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B815E" w14:textId="7C85CD11" w:rsidR="00866C30" w:rsidRPr="005F696E" w:rsidRDefault="00B3435D" w:rsidP="00B3435D">
      <w:pPr>
        <w:pStyle w:val="Title"/>
        <w:tabs>
          <w:tab w:val="center" w:pos="4680"/>
        </w:tabs>
        <w:spacing w:line="360" w:lineRule="auto"/>
        <w:rPr>
          <w:rFonts w:ascii="Arial" w:hAnsi="Arial" w:cs="Arial"/>
          <w:b/>
          <w:sz w:val="28"/>
          <w:szCs w:val="28"/>
        </w:rPr>
      </w:pPr>
      <w:bookmarkStart w:id="0" w:name="_Hlk212205595"/>
      <w:bookmarkEnd w:id="0"/>
      <w:r>
        <w:rPr>
          <w:noProof/>
        </w:rPr>
        <w:drawing>
          <wp:inline distT="0" distB="0" distL="0" distR="0" wp14:anchorId="3418F618" wp14:editId="54E621D5">
            <wp:extent cx="5943358" cy="1041991"/>
            <wp:effectExtent l="0" t="0" r="635" b="6350"/>
            <wp:docPr id="2" name="Picture 1" descr="Professional Investigation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fessional Investigation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0451" cy="1044988"/>
                    </a:xfrm>
                    <a:prstGeom prst="rect">
                      <a:avLst/>
                    </a:prstGeom>
                    <a:noFill/>
                    <a:ln>
                      <a:noFill/>
                    </a:ln>
                  </pic:spPr>
                </pic:pic>
              </a:graphicData>
            </a:graphic>
          </wp:inline>
        </w:drawing>
      </w:r>
      <w:r>
        <w:rPr>
          <w:rFonts w:ascii="Arial" w:hAnsi="Arial" w:cs="Arial"/>
          <w:b/>
          <w:sz w:val="28"/>
          <w:szCs w:val="28"/>
        </w:rPr>
        <w:tab/>
      </w:r>
      <w:r w:rsidR="00866C30" w:rsidRPr="005F696E">
        <w:rPr>
          <w:rFonts w:ascii="Arial" w:hAnsi="Arial" w:cs="Arial"/>
          <w:b/>
          <w:sz w:val="28"/>
          <w:szCs w:val="28"/>
        </w:rPr>
        <w:t>Natasha Ellis</w:t>
      </w:r>
    </w:p>
    <w:p w14:paraId="373EC499" w14:textId="77777777" w:rsidR="00866C30" w:rsidRPr="005F696E" w:rsidRDefault="00866C30" w:rsidP="00DD54E4">
      <w:pPr>
        <w:pStyle w:val="Title"/>
        <w:spacing w:line="360" w:lineRule="auto"/>
        <w:jc w:val="center"/>
        <w:rPr>
          <w:rFonts w:ascii="Arial" w:hAnsi="Arial" w:cs="Arial"/>
          <w:b/>
          <w:sz w:val="28"/>
          <w:szCs w:val="28"/>
        </w:rPr>
      </w:pPr>
      <w:r w:rsidRPr="005F696E">
        <w:rPr>
          <w:rFonts w:ascii="Arial" w:hAnsi="Arial" w:cs="Arial"/>
          <w:b/>
          <w:sz w:val="28"/>
          <w:szCs w:val="28"/>
        </w:rPr>
        <w:t>Student number: 2309153</w:t>
      </w:r>
    </w:p>
    <w:p w14:paraId="79CEA6EB" w14:textId="77777777" w:rsidR="00307B1A" w:rsidRPr="00F96EC6" w:rsidRDefault="00307B1A" w:rsidP="005F696E">
      <w:pPr>
        <w:pStyle w:val="Title"/>
        <w:spacing w:line="360" w:lineRule="auto"/>
        <w:rPr>
          <w:rFonts w:ascii="Arial" w:hAnsi="Arial" w:cs="Arial"/>
          <w:b/>
          <w:sz w:val="36"/>
          <w:szCs w:val="36"/>
        </w:rPr>
      </w:pPr>
    </w:p>
    <w:p w14:paraId="366EF4C4" w14:textId="3C942D0E" w:rsidR="00866C30" w:rsidRPr="004A27F9" w:rsidRDefault="00866C30" w:rsidP="00DD54E4">
      <w:pPr>
        <w:pStyle w:val="Title"/>
        <w:spacing w:line="360" w:lineRule="auto"/>
        <w:jc w:val="center"/>
        <w:rPr>
          <w:rFonts w:ascii="Arial" w:hAnsi="Arial" w:cs="Arial"/>
          <w:b/>
          <w:sz w:val="24"/>
          <w:szCs w:val="24"/>
        </w:rPr>
      </w:pPr>
      <w:r w:rsidRPr="004A27F9">
        <w:rPr>
          <w:rFonts w:ascii="Arial" w:hAnsi="Arial" w:cs="Arial"/>
          <w:b/>
          <w:sz w:val="24"/>
          <w:szCs w:val="24"/>
        </w:rPr>
        <w:t xml:space="preserve">Module: BMHP6026 Digital Transformation in the Health and Care </w:t>
      </w:r>
      <w:r w:rsidR="00666DD9" w:rsidRPr="004A27F9">
        <w:rPr>
          <w:rFonts w:ascii="Arial" w:hAnsi="Arial" w:cs="Arial"/>
          <w:b/>
          <w:sz w:val="24"/>
          <w:szCs w:val="24"/>
        </w:rPr>
        <w:t>Professionals</w:t>
      </w:r>
      <w:r w:rsidR="00A17D27" w:rsidRPr="004A27F9">
        <w:rPr>
          <w:rFonts w:ascii="Arial" w:hAnsi="Arial" w:cs="Arial"/>
          <w:b/>
          <w:sz w:val="24"/>
          <w:szCs w:val="24"/>
        </w:rPr>
        <w:t xml:space="preserve"> (BMHP6026 BIRM)</w:t>
      </w:r>
    </w:p>
    <w:p w14:paraId="508B8FAD" w14:textId="642ED304" w:rsidR="00AD2EB6" w:rsidRPr="004A27F9" w:rsidRDefault="00866C30" w:rsidP="00DD54E4">
      <w:pPr>
        <w:pStyle w:val="Title"/>
        <w:spacing w:line="360" w:lineRule="auto"/>
        <w:jc w:val="center"/>
        <w:rPr>
          <w:rFonts w:ascii="Arial" w:hAnsi="Arial" w:cs="Arial"/>
          <w:b/>
          <w:sz w:val="24"/>
          <w:szCs w:val="24"/>
        </w:rPr>
      </w:pPr>
      <w:r w:rsidRPr="004A27F9">
        <w:rPr>
          <w:rFonts w:ascii="Arial" w:hAnsi="Arial" w:cs="Arial"/>
          <w:b/>
          <w:sz w:val="24"/>
          <w:szCs w:val="24"/>
        </w:rPr>
        <w:t>Component: BMHP6026 Component 1 – Written Report</w:t>
      </w:r>
    </w:p>
    <w:p w14:paraId="6E1BEC69" w14:textId="08D648DB" w:rsidR="00CA480B" w:rsidRPr="00B3435D" w:rsidRDefault="004A27F9" w:rsidP="00B3435D">
      <w:pPr>
        <w:pStyle w:val="Title"/>
        <w:spacing w:line="360" w:lineRule="auto"/>
        <w:jc w:val="center"/>
        <w:rPr>
          <w:rFonts w:ascii="Arial" w:hAnsi="Arial" w:cs="Arial"/>
          <w:b/>
          <w:sz w:val="24"/>
          <w:szCs w:val="24"/>
        </w:rPr>
      </w:pPr>
      <w:r>
        <w:rPr>
          <w:rFonts w:ascii="Arial" w:hAnsi="Arial" w:cs="Arial"/>
          <w:b/>
          <w:bCs/>
          <w:noProof/>
          <w:sz w:val="32"/>
          <w:szCs w:val="32"/>
        </w:rPr>
        <w:drawing>
          <wp:anchor distT="0" distB="0" distL="114300" distR="114300" simplePos="0" relativeHeight="251651584" behindDoc="0" locked="0" layoutInCell="1" allowOverlap="1" wp14:anchorId="58D223CB" wp14:editId="57B1A871">
            <wp:simplePos x="0" y="0"/>
            <wp:positionH relativeFrom="margin">
              <wp:align>center</wp:align>
            </wp:positionH>
            <wp:positionV relativeFrom="paragraph">
              <wp:posOffset>329565</wp:posOffset>
            </wp:positionV>
            <wp:extent cx="1294765" cy="985520"/>
            <wp:effectExtent l="57150" t="0" r="57785" b="119380"/>
            <wp:wrapTopAndBottom/>
            <wp:docPr id="985361771" name="Picture 1" descr="A blue circle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361771" name="Picture 1" descr="A blue circle with white tex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94765" cy="985520"/>
                    </a:xfrm>
                    <a:prstGeom prst="rect">
                      <a:avLst/>
                    </a:prstGeom>
                    <a:effectLst>
                      <a:outerShdw blurRad="50800" dist="50800" dir="5400000" algn="ctr" rotWithShape="0">
                        <a:srgbClr val="000000"/>
                      </a:outerShdw>
                    </a:effectLst>
                  </pic:spPr>
                </pic:pic>
              </a:graphicData>
            </a:graphic>
            <wp14:sizeRelH relativeFrom="margin">
              <wp14:pctWidth>0</wp14:pctWidth>
            </wp14:sizeRelH>
            <wp14:sizeRelV relativeFrom="margin">
              <wp14:pctHeight>0</wp14:pctHeight>
            </wp14:sizeRelV>
          </wp:anchor>
        </w:drawing>
      </w:r>
    </w:p>
    <w:p w14:paraId="17B19E63" w14:textId="1EB59805" w:rsidR="003760EE" w:rsidRPr="00280637" w:rsidRDefault="003760EE" w:rsidP="00DD54E4">
      <w:pPr>
        <w:pStyle w:val="Title"/>
        <w:spacing w:line="360" w:lineRule="auto"/>
        <w:jc w:val="center"/>
        <w:rPr>
          <w:rFonts w:ascii="Arial" w:hAnsi="Arial" w:cs="Arial"/>
          <w:b/>
          <w:bCs/>
          <w:sz w:val="24"/>
          <w:szCs w:val="24"/>
        </w:rPr>
      </w:pPr>
    </w:p>
    <w:p w14:paraId="2C584824" w14:textId="3795C418" w:rsidR="003760EE" w:rsidRPr="00280637" w:rsidRDefault="004A27F9" w:rsidP="00DD54E4">
      <w:pPr>
        <w:pStyle w:val="Title"/>
        <w:spacing w:line="360" w:lineRule="auto"/>
        <w:jc w:val="center"/>
        <w:rPr>
          <w:rFonts w:ascii="Arial" w:hAnsi="Arial" w:cs="Arial"/>
          <w:b/>
          <w:bCs/>
          <w:sz w:val="24"/>
          <w:szCs w:val="24"/>
        </w:rPr>
      </w:pPr>
      <w:r w:rsidRPr="00280637">
        <w:rPr>
          <w:b/>
          <w:bCs/>
          <w:noProof/>
        </w:rPr>
        <mc:AlternateContent>
          <mc:Choice Requires="wps">
            <w:drawing>
              <wp:anchor distT="0" distB="0" distL="114300" distR="114300" simplePos="0" relativeHeight="251646464" behindDoc="0" locked="0" layoutInCell="1" allowOverlap="1" wp14:anchorId="4229DD66" wp14:editId="62F4766C">
                <wp:simplePos x="0" y="0"/>
                <wp:positionH relativeFrom="margin">
                  <wp:align>right</wp:align>
                </wp:positionH>
                <wp:positionV relativeFrom="paragraph">
                  <wp:posOffset>10750</wp:posOffset>
                </wp:positionV>
                <wp:extent cx="5628005" cy="721216"/>
                <wp:effectExtent l="0" t="0" r="0" b="3175"/>
                <wp:wrapNone/>
                <wp:docPr id="1186445281" name="Text Box 1"/>
                <wp:cNvGraphicFramePr/>
                <a:graphic xmlns:a="http://schemas.openxmlformats.org/drawingml/2006/main">
                  <a:graphicData uri="http://schemas.microsoft.com/office/word/2010/wordprocessingShape">
                    <wps:wsp>
                      <wps:cNvSpPr txBox="1"/>
                      <wps:spPr>
                        <a:xfrm>
                          <a:off x="0" y="0"/>
                          <a:ext cx="5628005" cy="721216"/>
                        </a:xfrm>
                        <a:prstGeom prst="rect">
                          <a:avLst/>
                        </a:prstGeom>
                        <a:noFill/>
                        <a:ln>
                          <a:noFill/>
                        </a:ln>
                      </wps:spPr>
                      <wps:txbx>
                        <w:txbxContent>
                          <w:p w14:paraId="191E1684" w14:textId="77777777" w:rsidR="003760EE" w:rsidRPr="004A27F9" w:rsidRDefault="003760EE" w:rsidP="003760EE">
                            <w:pPr>
                              <w:pStyle w:val="Title"/>
                              <w:spacing w:line="360" w:lineRule="auto"/>
                              <w:jc w:val="center"/>
                              <w:rPr>
                                <w:rFonts w:ascii="Arial" w:hAnsi="Arial" w:cs="Arial"/>
                                <w:b/>
                                <w:bCs/>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27F9">
                              <w:rPr>
                                <w:rFonts w:ascii="Arial" w:hAnsi="Arial" w:cs="Arial"/>
                                <w:b/>
                                <w:bCs/>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Medicus Health Cloud</w:t>
                            </w:r>
                            <w:r w:rsidRPr="004A27F9">
                              <w:rPr>
                                <w:rFonts w:ascii="Cambria Math" w:hAnsi="Cambria Math" w:cs="Cambria Math"/>
                                <w:b/>
                                <w:bCs/>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A27F9">
                              <w:rPr>
                                <w:rFonts w:ascii="Arial" w:hAnsi="Arial" w:cs="Arial"/>
                                <w:b/>
                                <w:bCs/>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Based Clinical System: A Case Study in Digital Transformation Across NHS General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29DD66" id="_x0000_t202" coordsize="21600,21600" o:spt="202" path="m,l,21600r21600,l21600,xe">
                <v:stroke joinstyle="miter"/>
                <v:path gradientshapeok="t" o:connecttype="rect"/>
              </v:shapetype>
              <v:shape id="Text Box 1" o:spid="_x0000_s1026" type="#_x0000_t202" style="position:absolute;left:0;text-align:left;margin-left:391.95pt;margin-top:.85pt;width:443.15pt;height:56.8pt;z-index:2516464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" filled="f" stroked="f">
                <v:textbox>
                  <w:txbxContent>
                    <w:p w14:paraId="191E1684" w14:textId="77777777" w:rsidR="003760EE" w:rsidRPr="004A27F9" w:rsidRDefault="003760EE" w:rsidP="003760EE">
                      <w:pPr>
                        <w:pStyle w:val="Title"/>
                        <w:spacing w:line="360" w:lineRule="auto"/>
                        <w:jc w:val="center"/>
                        <w:rPr>
                          <w:rFonts w:ascii="Arial" w:hAnsi="Arial" w:cs="Arial"/>
                          <w:b/>
                          <w:bCs/>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27F9">
                        <w:rPr>
                          <w:rFonts w:ascii="Arial" w:hAnsi="Arial" w:cs="Arial"/>
                          <w:b/>
                          <w:bCs/>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Medicus Health Cloud</w:t>
                      </w:r>
                      <w:r w:rsidRPr="004A27F9">
                        <w:rPr>
                          <w:rFonts w:ascii="Cambria Math" w:hAnsi="Cambria Math" w:cs="Cambria Math"/>
                          <w:b/>
                          <w:bCs/>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A27F9">
                        <w:rPr>
                          <w:rFonts w:ascii="Arial" w:hAnsi="Arial" w:cs="Arial"/>
                          <w:b/>
                          <w:bCs/>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Based Clinical System: A Case Study in Digital Transformation Across NHS General Practice</w:t>
                      </w:r>
                    </w:p>
                  </w:txbxContent>
                </v:textbox>
                <w10:wrap anchorx="margin"/>
              </v:shape>
            </w:pict>
          </mc:Fallback>
        </mc:AlternateContent>
      </w:r>
    </w:p>
    <w:p w14:paraId="4FEDB016" w14:textId="6559CAB8" w:rsidR="003760EE" w:rsidRPr="00280637" w:rsidRDefault="003760EE" w:rsidP="00DD54E4">
      <w:pPr>
        <w:pStyle w:val="Title"/>
        <w:spacing w:line="360" w:lineRule="auto"/>
        <w:rPr>
          <w:rFonts w:ascii="Arial" w:hAnsi="Arial" w:cs="Arial"/>
          <w:b/>
          <w:bCs/>
          <w:sz w:val="24"/>
          <w:szCs w:val="24"/>
        </w:rPr>
      </w:pPr>
    </w:p>
    <w:p w14:paraId="793D9AEE" w14:textId="77777777" w:rsidR="00690AA7" w:rsidRDefault="00690AA7" w:rsidP="00B3435D">
      <w:pPr>
        <w:pStyle w:val="Title"/>
        <w:spacing w:line="360" w:lineRule="auto"/>
        <w:rPr>
          <w:rFonts w:ascii="Arial" w:hAnsi="Arial" w:cs="Arial"/>
          <w:b/>
          <w:bCs/>
          <w:sz w:val="24"/>
          <w:szCs w:val="24"/>
        </w:rPr>
      </w:pPr>
    </w:p>
    <w:p w14:paraId="00E6F530" w14:textId="77777777" w:rsidR="00D17700" w:rsidRDefault="00D17700" w:rsidP="00DD54E4">
      <w:pPr>
        <w:pStyle w:val="Title"/>
        <w:spacing w:line="360" w:lineRule="auto"/>
        <w:jc w:val="center"/>
        <w:rPr>
          <w:rFonts w:ascii="Arial" w:hAnsi="Arial" w:cs="Arial"/>
          <w:b/>
          <w:bCs/>
          <w:sz w:val="24"/>
          <w:szCs w:val="24"/>
        </w:rPr>
      </w:pPr>
    </w:p>
    <w:p w14:paraId="55386BAD" w14:textId="77777777" w:rsidR="004A27F9" w:rsidRPr="004A27F9" w:rsidRDefault="004A27F9" w:rsidP="004A27F9"/>
    <w:p w14:paraId="3ABC470E" w14:textId="513CF8A4" w:rsidR="005F6A81" w:rsidRPr="004A27F9" w:rsidRDefault="00280637" w:rsidP="00DD54E4">
      <w:pPr>
        <w:pStyle w:val="Title"/>
        <w:spacing w:line="360" w:lineRule="auto"/>
        <w:jc w:val="center"/>
        <w:rPr>
          <w:rFonts w:ascii="Arial" w:hAnsi="Arial" w:cs="Arial"/>
          <w:b/>
          <w:bCs/>
          <w:sz w:val="22"/>
          <w:szCs w:val="22"/>
        </w:rPr>
      </w:pPr>
      <w:r w:rsidRPr="004A27F9">
        <w:rPr>
          <w:rFonts w:ascii="Arial" w:hAnsi="Arial" w:cs="Arial"/>
          <w:b/>
          <w:bCs/>
          <w:sz w:val="22"/>
          <w:szCs w:val="22"/>
        </w:rPr>
        <w:t>(</w:t>
      </w:r>
      <w:r w:rsidR="005E17B7" w:rsidRPr="004A27F9">
        <w:rPr>
          <w:rFonts w:ascii="Arial" w:hAnsi="Arial" w:cs="Arial"/>
          <w:b/>
          <w:bCs/>
          <w:sz w:val="22"/>
          <w:szCs w:val="22"/>
        </w:rPr>
        <w:t xml:space="preserve">Tutor </w:t>
      </w:r>
      <w:r w:rsidR="005F6A81" w:rsidRPr="004A27F9">
        <w:rPr>
          <w:rFonts w:ascii="Arial" w:hAnsi="Arial" w:cs="Arial"/>
          <w:b/>
          <w:bCs/>
          <w:sz w:val="22"/>
          <w:szCs w:val="22"/>
        </w:rPr>
        <w:t>Name</w:t>
      </w:r>
      <w:r w:rsidR="004D4284" w:rsidRPr="004A27F9">
        <w:rPr>
          <w:rFonts w:ascii="Arial" w:hAnsi="Arial" w:cs="Arial"/>
          <w:b/>
          <w:bCs/>
          <w:sz w:val="22"/>
          <w:szCs w:val="22"/>
        </w:rPr>
        <w:t xml:space="preserve"> – Martin S</w:t>
      </w:r>
      <w:r w:rsidR="00EF76AB" w:rsidRPr="004A27F9">
        <w:rPr>
          <w:rFonts w:ascii="Arial" w:hAnsi="Arial" w:cs="Arial"/>
          <w:b/>
          <w:bCs/>
          <w:sz w:val="22"/>
          <w:szCs w:val="22"/>
        </w:rPr>
        <w:t>vejda)</w:t>
      </w:r>
    </w:p>
    <w:p w14:paraId="63FEC5A4" w14:textId="0B495CC3" w:rsidR="005F6A81" w:rsidRPr="004A27F9" w:rsidRDefault="005F6A81" w:rsidP="00DD54E4">
      <w:pPr>
        <w:pStyle w:val="Title"/>
        <w:spacing w:line="360" w:lineRule="auto"/>
        <w:jc w:val="center"/>
        <w:rPr>
          <w:rFonts w:ascii="Arial" w:hAnsi="Arial" w:cs="Arial"/>
          <w:b/>
          <w:bCs/>
          <w:sz w:val="22"/>
          <w:szCs w:val="22"/>
        </w:rPr>
      </w:pPr>
      <w:r w:rsidRPr="004A27F9">
        <w:rPr>
          <w:rFonts w:ascii="Arial" w:hAnsi="Arial" w:cs="Arial"/>
          <w:b/>
          <w:bCs/>
          <w:sz w:val="22"/>
          <w:szCs w:val="22"/>
        </w:rPr>
        <w:t xml:space="preserve">Submission date: </w:t>
      </w:r>
      <w:r w:rsidR="00280637" w:rsidRPr="004A27F9">
        <w:rPr>
          <w:rFonts w:ascii="Arial" w:hAnsi="Arial" w:cs="Arial"/>
          <w:b/>
          <w:bCs/>
          <w:sz w:val="22"/>
          <w:szCs w:val="22"/>
        </w:rPr>
        <w:t>(</w:t>
      </w:r>
      <w:r w:rsidR="00020723" w:rsidRPr="004A27F9">
        <w:rPr>
          <w:rFonts w:ascii="Arial" w:hAnsi="Arial" w:cs="Arial"/>
          <w:b/>
          <w:bCs/>
          <w:sz w:val="22"/>
          <w:szCs w:val="22"/>
        </w:rPr>
        <w:t>02</w:t>
      </w:r>
      <w:r w:rsidR="003327D7" w:rsidRPr="004A27F9">
        <w:rPr>
          <w:rFonts w:ascii="Arial" w:hAnsi="Arial" w:cs="Arial"/>
          <w:b/>
          <w:bCs/>
          <w:sz w:val="22"/>
          <w:szCs w:val="22"/>
        </w:rPr>
        <w:t>.08.2025</w:t>
      </w:r>
      <w:r w:rsidR="00280637" w:rsidRPr="004A27F9">
        <w:rPr>
          <w:rFonts w:ascii="Arial" w:hAnsi="Arial" w:cs="Arial"/>
          <w:b/>
          <w:bCs/>
          <w:sz w:val="22"/>
          <w:szCs w:val="22"/>
        </w:rPr>
        <w:t>)</w:t>
      </w:r>
    </w:p>
    <w:p w14:paraId="312EDD09" w14:textId="77777777" w:rsidR="00270D78" w:rsidRPr="004A27F9" w:rsidRDefault="005F6A81" w:rsidP="00270D78">
      <w:pPr>
        <w:jc w:val="center"/>
        <w:rPr>
          <w:rFonts w:ascii="Arial" w:hAnsi="Arial" w:cs="Arial"/>
          <w:b/>
          <w:bCs/>
          <w:sz w:val="22"/>
          <w:szCs w:val="22"/>
        </w:rPr>
      </w:pPr>
      <w:r w:rsidRPr="004A27F9">
        <w:rPr>
          <w:rFonts w:ascii="Arial" w:hAnsi="Arial" w:cs="Arial"/>
          <w:b/>
          <w:bCs/>
          <w:sz w:val="22"/>
          <w:szCs w:val="22"/>
        </w:rPr>
        <w:t xml:space="preserve">Word count: </w:t>
      </w:r>
      <w:r w:rsidR="00280637" w:rsidRPr="004A27F9">
        <w:rPr>
          <w:rFonts w:ascii="Arial" w:hAnsi="Arial" w:cs="Arial"/>
          <w:b/>
          <w:bCs/>
          <w:sz w:val="22"/>
          <w:szCs w:val="22"/>
        </w:rPr>
        <w:t>(2</w:t>
      </w:r>
      <w:r w:rsidR="006470B2" w:rsidRPr="004A27F9">
        <w:rPr>
          <w:rFonts w:ascii="Arial" w:hAnsi="Arial" w:cs="Arial"/>
          <w:b/>
          <w:bCs/>
          <w:sz w:val="22"/>
          <w:szCs w:val="22"/>
        </w:rPr>
        <w:t>,</w:t>
      </w:r>
      <w:r w:rsidR="00280637" w:rsidRPr="004A27F9">
        <w:rPr>
          <w:rFonts w:ascii="Arial" w:hAnsi="Arial" w:cs="Arial"/>
          <w:b/>
          <w:bCs/>
          <w:sz w:val="22"/>
          <w:szCs w:val="22"/>
        </w:rPr>
        <w:t>000</w:t>
      </w:r>
      <w:r w:rsidRPr="004A27F9">
        <w:rPr>
          <w:rFonts w:ascii="Arial" w:hAnsi="Arial" w:cs="Arial"/>
          <w:b/>
          <w:bCs/>
          <w:sz w:val="22"/>
          <w:szCs w:val="22"/>
        </w:rPr>
        <w:t xml:space="preserve"> words</w:t>
      </w:r>
      <w:r w:rsidR="00280637" w:rsidRPr="004A27F9">
        <w:rPr>
          <w:rFonts w:ascii="Arial" w:hAnsi="Arial" w:cs="Arial"/>
          <w:b/>
          <w:bCs/>
          <w:sz w:val="22"/>
          <w:szCs w:val="22"/>
        </w:rPr>
        <w:t>)</w:t>
      </w:r>
      <w:r w:rsidR="00270D78" w:rsidRPr="004A27F9">
        <w:rPr>
          <w:rFonts w:ascii="Arial" w:hAnsi="Arial" w:cs="Arial"/>
          <w:b/>
          <w:bCs/>
          <w:sz w:val="22"/>
          <w:szCs w:val="22"/>
        </w:rPr>
        <w:t xml:space="preserve"> (+/-10%)</w:t>
      </w:r>
    </w:p>
    <w:p w14:paraId="670983C0" w14:textId="77777777" w:rsidR="004A27F9" w:rsidRDefault="004A27F9" w:rsidP="00DD54E4">
      <w:pPr>
        <w:pStyle w:val="Title"/>
        <w:spacing w:line="360" w:lineRule="auto"/>
        <w:rPr>
          <w:rFonts w:ascii="Arial" w:hAnsi="Arial" w:cs="Arial"/>
          <w:b/>
          <w:bCs/>
          <w:sz w:val="20"/>
          <w:szCs w:val="20"/>
        </w:rPr>
      </w:pPr>
    </w:p>
    <w:p w14:paraId="516F807D" w14:textId="77777777" w:rsidR="004A27F9" w:rsidRDefault="004A27F9" w:rsidP="00DD54E4">
      <w:pPr>
        <w:pStyle w:val="Title"/>
        <w:spacing w:line="360" w:lineRule="auto"/>
        <w:rPr>
          <w:rFonts w:ascii="Arial" w:hAnsi="Arial" w:cs="Arial"/>
          <w:b/>
          <w:bCs/>
          <w:sz w:val="20"/>
          <w:szCs w:val="20"/>
        </w:rPr>
      </w:pPr>
    </w:p>
    <w:p w14:paraId="6B95DD6E" w14:textId="77777777" w:rsidR="004A27F9" w:rsidRDefault="004A27F9" w:rsidP="00DD54E4">
      <w:pPr>
        <w:pStyle w:val="Title"/>
        <w:spacing w:line="360" w:lineRule="auto"/>
        <w:rPr>
          <w:rFonts w:ascii="Arial" w:hAnsi="Arial" w:cs="Arial"/>
          <w:b/>
          <w:bCs/>
          <w:sz w:val="20"/>
          <w:szCs w:val="20"/>
        </w:rPr>
      </w:pPr>
    </w:p>
    <w:p w14:paraId="198C097F" w14:textId="3DA12F06" w:rsidR="00A31F76" w:rsidRDefault="005F6A81" w:rsidP="00DD54E4">
      <w:pPr>
        <w:pStyle w:val="Title"/>
        <w:spacing w:line="360" w:lineRule="auto"/>
        <w:rPr>
          <w:rFonts w:ascii="Arial" w:hAnsi="Arial" w:cs="Arial"/>
          <w:b/>
          <w:bCs/>
          <w:sz w:val="20"/>
          <w:szCs w:val="20"/>
        </w:rPr>
      </w:pPr>
      <w:r w:rsidRPr="00280637">
        <w:rPr>
          <w:rFonts w:ascii="Arial" w:hAnsi="Arial" w:cs="Arial"/>
          <w:b/>
          <w:bCs/>
          <w:sz w:val="20"/>
          <w:szCs w:val="20"/>
        </w:rPr>
        <w:t>Declaration: I confirm that this work is my own and has not been submitted for assessment elsewhere</w:t>
      </w:r>
    </w:p>
    <w:p w14:paraId="3CDE5BBC" w14:textId="77777777" w:rsidR="004A27F9" w:rsidRPr="004A27F9" w:rsidRDefault="004A27F9" w:rsidP="004A27F9"/>
    <w:sdt>
      <w:sdtPr>
        <w:rPr>
          <w:rFonts w:asciiTheme="minorHAnsi" w:eastAsiaTheme="minorEastAsia" w:hAnsiTheme="minorHAnsi" w:cstheme="minorBidi"/>
          <w:color w:val="auto"/>
          <w:kern w:val="2"/>
          <w:sz w:val="24"/>
          <w:szCs w:val="24"/>
          <w:lang w:eastAsia="en-US"/>
          <w14:ligatures w14:val="standardContextual"/>
        </w:rPr>
        <w:id w:val="178790923"/>
        <w:docPartObj>
          <w:docPartGallery w:val="Table of Contents"/>
          <w:docPartUnique/>
        </w:docPartObj>
      </w:sdtPr>
      <w:sdtEndPr>
        <w:rPr>
          <w:rFonts w:ascii="Arial" w:hAnsi="Arial" w:cs="Arial"/>
          <w:b/>
          <w:bCs/>
          <w:sz w:val="22"/>
          <w:szCs w:val="22"/>
        </w:rPr>
      </w:sdtEndPr>
      <w:sdtContent>
        <w:p w14:paraId="76BB481F" w14:textId="072F2C68" w:rsidR="00F83138" w:rsidRPr="00494FEB" w:rsidRDefault="00F83138">
          <w:pPr>
            <w:pStyle w:val="TOCHeading"/>
            <w:rPr>
              <w:rFonts w:ascii="Arial" w:hAnsi="Arial" w:cs="Arial"/>
            </w:rPr>
          </w:pPr>
          <w:r w:rsidRPr="00494FEB">
            <w:rPr>
              <w:rFonts w:ascii="Arial" w:hAnsi="Arial" w:cs="Arial"/>
            </w:rPr>
            <w:t>Contents</w:t>
          </w:r>
        </w:p>
        <w:p w14:paraId="34306354" w14:textId="77777777" w:rsidR="00395EA5" w:rsidRPr="00395EA5" w:rsidRDefault="00395EA5" w:rsidP="00395EA5">
          <w:pPr>
            <w:rPr>
              <w:lang w:eastAsia="en-GB"/>
            </w:rPr>
          </w:pPr>
        </w:p>
        <w:p w14:paraId="2BBF829E" w14:textId="7AE04712" w:rsidR="00F01673" w:rsidRPr="00F01673" w:rsidRDefault="00F83138">
          <w:pPr>
            <w:pStyle w:val="TOC3"/>
            <w:tabs>
              <w:tab w:val="right" w:leader="dot" w:pos="9350"/>
            </w:tabs>
            <w:rPr>
              <w:noProof/>
              <w:sz w:val="22"/>
              <w:szCs w:val="22"/>
              <w:lang w:eastAsia="en-GB"/>
            </w:rPr>
          </w:pPr>
          <w:r w:rsidRPr="00F01673">
            <w:rPr>
              <w:rFonts w:ascii="Arial" w:hAnsi="Arial" w:cs="Arial"/>
              <w:sz w:val="22"/>
              <w:szCs w:val="22"/>
            </w:rPr>
            <w:fldChar w:fldCharType="begin"/>
          </w:r>
          <w:r w:rsidRPr="00F01673">
            <w:rPr>
              <w:rFonts w:ascii="Arial" w:hAnsi="Arial" w:cs="Arial"/>
              <w:sz w:val="22"/>
              <w:szCs w:val="22"/>
            </w:rPr>
            <w:instrText xml:space="preserve"> TOC \o "1-3" \h \z \u </w:instrText>
          </w:r>
          <w:r w:rsidRPr="00F01673">
            <w:rPr>
              <w:rFonts w:ascii="Arial" w:hAnsi="Arial" w:cs="Arial"/>
              <w:sz w:val="22"/>
              <w:szCs w:val="22"/>
            </w:rPr>
            <w:fldChar w:fldCharType="separate"/>
          </w:r>
          <w:hyperlink w:anchor="_Toc212335605" w:history="1">
            <w:r w:rsidR="00F01673" w:rsidRPr="00F01673">
              <w:rPr>
                <w:rStyle w:val="Hyperlink"/>
                <w:rFonts w:ascii="Arial" w:eastAsia="Times New Roman" w:hAnsi="Arial" w:cs="Arial"/>
                <w:noProof/>
                <w:sz w:val="22"/>
                <w:szCs w:val="22"/>
                <w:lang w:eastAsia="en-GB"/>
              </w:rPr>
              <w:t>Executive summary</w:t>
            </w:r>
            <w:r w:rsidR="00F01673" w:rsidRPr="00F01673">
              <w:rPr>
                <w:noProof/>
                <w:webHidden/>
                <w:sz w:val="22"/>
                <w:szCs w:val="22"/>
              </w:rPr>
              <w:tab/>
            </w:r>
            <w:r w:rsidR="00F01673" w:rsidRPr="00F01673">
              <w:rPr>
                <w:noProof/>
                <w:webHidden/>
                <w:sz w:val="22"/>
                <w:szCs w:val="22"/>
              </w:rPr>
              <w:fldChar w:fldCharType="begin"/>
            </w:r>
            <w:r w:rsidR="00F01673" w:rsidRPr="00F01673">
              <w:rPr>
                <w:noProof/>
                <w:webHidden/>
                <w:sz w:val="22"/>
                <w:szCs w:val="22"/>
              </w:rPr>
              <w:instrText xml:space="preserve"> PAGEREF _Toc212335605 \h </w:instrText>
            </w:r>
            <w:r w:rsidR="00F01673" w:rsidRPr="00F01673">
              <w:rPr>
                <w:noProof/>
                <w:webHidden/>
                <w:sz w:val="22"/>
                <w:szCs w:val="22"/>
              </w:rPr>
            </w:r>
            <w:r w:rsidR="00F01673" w:rsidRPr="00F01673">
              <w:rPr>
                <w:noProof/>
                <w:webHidden/>
                <w:sz w:val="22"/>
                <w:szCs w:val="22"/>
              </w:rPr>
              <w:fldChar w:fldCharType="separate"/>
            </w:r>
            <w:r w:rsidR="00F01673" w:rsidRPr="00F01673">
              <w:rPr>
                <w:noProof/>
                <w:webHidden/>
                <w:sz w:val="22"/>
                <w:szCs w:val="22"/>
              </w:rPr>
              <w:t>2</w:t>
            </w:r>
            <w:r w:rsidR="00F01673" w:rsidRPr="00F01673">
              <w:rPr>
                <w:noProof/>
                <w:webHidden/>
                <w:sz w:val="22"/>
                <w:szCs w:val="22"/>
              </w:rPr>
              <w:fldChar w:fldCharType="end"/>
            </w:r>
          </w:hyperlink>
        </w:p>
        <w:p w14:paraId="6D02B373" w14:textId="48B81735" w:rsidR="00F01673" w:rsidRPr="00F01673" w:rsidRDefault="00F01673">
          <w:pPr>
            <w:pStyle w:val="TOC3"/>
            <w:tabs>
              <w:tab w:val="right" w:leader="dot" w:pos="9350"/>
            </w:tabs>
            <w:rPr>
              <w:noProof/>
              <w:sz w:val="22"/>
              <w:szCs w:val="22"/>
              <w:lang w:eastAsia="en-GB"/>
            </w:rPr>
          </w:pPr>
          <w:hyperlink w:anchor="_Toc212335606" w:history="1">
            <w:r w:rsidRPr="00F01673">
              <w:rPr>
                <w:rStyle w:val="Hyperlink"/>
                <w:rFonts w:ascii="Arial" w:hAnsi="Arial" w:cs="Arial"/>
                <w:noProof/>
                <w:sz w:val="22"/>
                <w:szCs w:val="22"/>
              </w:rPr>
              <w:t>Introduction</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_Toc212335606 \h </w:instrText>
            </w:r>
            <w:r w:rsidRPr="00F01673">
              <w:rPr>
                <w:noProof/>
                <w:webHidden/>
                <w:sz w:val="22"/>
                <w:szCs w:val="22"/>
              </w:rPr>
            </w:r>
            <w:r w:rsidRPr="00F01673">
              <w:rPr>
                <w:noProof/>
                <w:webHidden/>
                <w:sz w:val="22"/>
                <w:szCs w:val="22"/>
              </w:rPr>
              <w:fldChar w:fldCharType="separate"/>
            </w:r>
            <w:r w:rsidRPr="00F01673">
              <w:rPr>
                <w:noProof/>
                <w:webHidden/>
                <w:sz w:val="22"/>
                <w:szCs w:val="22"/>
              </w:rPr>
              <w:t>3</w:t>
            </w:r>
            <w:r w:rsidRPr="00F01673">
              <w:rPr>
                <w:noProof/>
                <w:webHidden/>
                <w:sz w:val="22"/>
                <w:szCs w:val="22"/>
              </w:rPr>
              <w:fldChar w:fldCharType="end"/>
            </w:r>
          </w:hyperlink>
        </w:p>
        <w:p w14:paraId="1BAB2AA1" w14:textId="2FFDB2A5" w:rsidR="00F01673" w:rsidRPr="00F01673" w:rsidRDefault="00F01673">
          <w:pPr>
            <w:pStyle w:val="TOC3"/>
            <w:tabs>
              <w:tab w:val="right" w:leader="dot" w:pos="9350"/>
            </w:tabs>
            <w:rPr>
              <w:noProof/>
              <w:sz w:val="22"/>
              <w:szCs w:val="22"/>
              <w:lang w:eastAsia="en-GB"/>
            </w:rPr>
          </w:pPr>
          <w:hyperlink w:anchor="_Toc212335607" w:history="1">
            <w:r w:rsidRPr="00F01673">
              <w:rPr>
                <w:rStyle w:val="Hyperlink"/>
                <w:rFonts w:ascii="Arial" w:hAnsi="Arial" w:cs="Arial"/>
                <w:noProof/>
                <w:sz w:val="22"/>
                <w:szCs w:val="22"/>
              </w:rPr>
              <w:t>Methods</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_Toc212335607 \h </w:instrText>
            </w:r>
            <w:r w:rsidRPr="00F01673">
              <w:rPr>
                <w:noProof/>
                <w:webHidden/>
                <w:sz w:val="22"/>
                <w:szCs w:val="22"/>
              </w:rPr>
            </w:r>
            <w:r w:rsidRPr="00F01673">
              <w:rPr>
                <w:noProof/>
                <w:webHidden/>
                <w:sz w:val="22"/>
                <w:szCs w:val="22"/>
              </w:rPr>
              <w:fldChar w:fldCharType="separate"/>
            </w:r>
            <w:r w:rsidRPr="00F01673">
              <w:rPr>
                <w:noProof/>
                <w:webHidden/>
                <w:sz w:val="22"/>
                <w:szCs w:val="22"/>
              </w:rPr>
              <w:t>4</w:t>
            </w:r>
            <w:r w:rsidRPr="00F01673">
              <w:rPr>
                <w:noProof/>
                <w:webHidden/>
                <w:sz w:val="22"/>
                <w:szCs w:val="22"/>
              </w:rPr>
              <w:fldChar w:fldCharType="end"/>
            </w:r>
          </w:hyperlink>
        </w:p>
        <w:p w14:paraId="108F330A" w14:textId="531020E8" w:rsidR="00F01673" w:rsidRPr="00F01673" w:rsidRDefault="00F01673">
          <w:pPr>
            <w:pStyle w:val="TOC3"/>
            <w:tabs>
              <w:tab w:val="right" w:leader="dot" w:pos="9350"/>
            </w:tabs>
            <w:rPr>
              <w:noProof/>
              <w:sz w:val="22"/>
              <w:szCs w:val="22"/>
              <w:lang w:eastAsia="en-GB"/>
            </w:rPr>
          </w:pPr>
          <w:hyperlink w:anchor="_Toc212335608" w:history="1">
            <w:r w:rsidRPr="00F01673">
              <w:rPr>
                <w:rStyle w:val="Hyperlink"/>
                <w:rFonts w:ascii="Arial" w:eastAsia="Times New Roman" w:hAnsi="Arial" w:cs="Arial"/>
                <w:noProof/>
                <w:sz w:val="22"/>
                <w:szCs w:val="22"/>
                <w:lang w:eastAsia="en-GB"/>
              </w:rPr>
              <w:t>Overview of the digital innovation</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_Toc212335608 \h </w:instrText>
            </w:r>
            <w:r w:rsidRPr="00F01673">
              <w:rPr>
                <w:noProof/>
                <w:webHidden/>
                <w:sz w:val="22"/>
                <w:szCs w:val="22"/>
              </w:rPr>
            </w:r>
            <w:r w:rsidRPr="00F01673">
              <w:rPr>
                <w:noProof/>
                <w:webHidden/>
                <w:sz w:val="22"/>
                <w:szCs w:val="22"/>
              </w:rPr>
              <w:fldChar w:fldCharType="separate"/>
            </w:r>
            <w:r w:rsidRPr="00F01673">
              <w:rPr>
                <w:noProof/>
                <w:webHidden/>
                <w:sz w:val="22"/>
                <w:szCs w:val="22"/>
              </w:rPr>
              <w:t>5</w:t>
            </w:r>
            <w:r w:rsidRPr="00F01673">
              <w:rPr>
                <w:noProof/>
                <w:webHidden/>
                <w:sz w:val="22"/>
                <w:szCs w:val="22"/>
              </w:rPr>
              <w:fldChar w:fldCharType="end"/>
            </w:r>
          </w:hyperlink>
        </w:p>
        <w:p w14:paraId="60A5C439" w14:textId="0DA4CB38" w:rsidR="00F01673" w:rsidRPr="00F01673" w:rsidRDefault="00F01673">
          <w:pPr>
            <w:pStyle w:val="TOC3"/>
            <w:tabs>
              <w:tab w:val="right" w:leader="dot" w:pos="9350"/>
            </w:tabs>
            <w:rPr>
              <w:noProof/>
              <w:sz w:val="22"/>
              <w:szCs w:val="22"/>
              <w:lang w:eastAsia="en-GB"/>
            </w:rPr>
          </w:pPr>
          <w:hyperlink w:anchor="_Toc212335609" w:history="1">
            <w:r w:rsidRPr="00F01673">
              <w:rPr>
                <w:rStyle w:val="Hyperlink"/>
                <w:rFonts w:ascii="Arial" w:eastAsia="Times New Roman" w:hAnsi="Arial" w:cs="Arial"/>
                <w:noProof/>
                <w:sz w:val="22"/>
                <w:szCs w:val="22"/>
                <w:lang w:eastAsia="en-GB"/>
              </w:rPr>
              <w:t>Impact on the workforce</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_Toc212335609 \h </w:instrText>
            </w:r>
            <w:r w:rsidRPr="00F01673">
              <w:rPr>
                <w:noProof/>
                <w:webHidden/>
                <w:sz w:val="22"/>
                <w:szCs w:val="22"/>
              </w:rPr>
            </w:r>
            <w:r w:rsidRPr="00F01673">
              <w:rPr>
                <w:noProof/>
                <w:webHidden/>
                <w:sz w:val="22"/>
                <w:szCs w:val="22"/>
              </w:rPr>
              <w:fldChar w:fldCharType="separate"/>
            </w:r>
            <w:r w:rsidRPr="00F01673">
              <w:rPr>
                <w:noProof/>
                <w:webHidden/>
                <w:sz w:val="22"/>
                <w:szCs w:val="22"/>
              </w:rPr>
              <w:t>6</w:t>
            </w:r>
            <w:r w:rsidRPr="00F01673">
              <w:rPr>
                <w:noProof/>
                <w:webHidden/>
                <w:sz w:val="22"/>
                <w:szCs w:val="22"/>
              </w:rPr>
              <w:fldChar w:fldCharType="end"/>
            </w:r>
          </w:hyperlink>
        </w:p>
        <w:p w14:paraId="5265A462" w14:textId="6A1195FB" w:rsidR="00F01673" w:rsidRPr="00F01673" w:rsidRDefault="00F01673">
          <w:pPr>
            <w:pStyle w:val="TOC3"/>
            <w:tabs>
              <w:tab w:val="right" w:leader="dot" w:pos="9350"/>
            </w:tabs>
            <w:rPr>
              <w:noProof/>
              <w:sz w:val="22"/>
              <w:szCs w:val="22"/>
              <w:lang w:eastAsia="en-GB"/>
            </w:rPr>
          </w:pPr>
          <w:hyperlink w:anchor="_Toc212335610" w:history="1">
            <w:r w:rsidRPr="00F01673">
              <w:rPr>
                <w:rStyle w:val="Hyperlink"/>
                <w:rFonts w:ascii="Arial" w:eastAsia="Times New Roman" w:hAnsi="Arial" w:cs="Arial"/>
                <w:noProof/>
                <w:sz w:val="22"/>
                <w:szCs w:val="22"/>
                <w:lang w:eastAsia="en-GB"/>
              </w:rPr>
              <w:t>Impact on service delivery</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_Toc212335610 \h </w:instrText>
            </w:r>
            <w:r w:rsidRPr="00F01673">
              <w:rPr>
                <w:noProof/>
                <w:webHidden/>
                <w:sz w:val="22"/>
                <w:szCs w:val="22"/>
              </w:rPr>
            </w:r>
            <w:r w:rsidRPr="00F01673">
              <w:rPr>
                <w:noProof/>
                <w:webHidden/>
                <w:sz w:val="22"/>
                <w:szCs w:val="22"/>
              </w:rPr>
              <w:fldChar w:fldCharType="separate"/>
            </w:r>
            <w:r w:rsidRPr="00F01673">
              <w:rPr>
                <w:noProof/>
                <w:webHidden/>
                <w:sz w:val="22"/>
                <w:szCs w:val="22"/>
              </w:rPr>
              <w:t>7</w:t>
            </w:r>
            <w:r w:rsidRPr="00F01673">
              <w:rPr>
                <w:noProof/>
                <w:webHidden/>
                <w:sz w:val="22"/>
                <w:szCs w:val="22"/>
              </w:rPr>
              <w:fldChar w:fldCharType="end"/>
            </w:r>
          </w:hyperlink>
        </w:p>
        <w:p w14:paraId="2060301A" w14:textId="6DEF09E2" w:rsidR="00F01673" w:rsidRPr="00F01673" w:rsidRDefault="00F01673">
          <w:pPr>
            <w:pStyle w:val="TOC3"/>
            <w:tabs>
              <w:tab w:val="right" w:leader="dot" w:pos="9350"/>
            </w:tabs>
            <w:rPr>
              <w:noProof/>
              <w:sz w:val="22"/>
              <w:szCs w:val="22"/>
              <w:lang w:eastAsia="en-GB"/>
            </w:rPr>
          </w:pPr>
          <w:hyperlink w:anchor="_Toc212335611" w:history="1">
            <w:r w:rsidRPr="00F01673">
              <w:rPr>
                <w:rStyle w:val="Hyperlink"/>
                <w:rFonts w:ascii="Arial" w:eastAsia="Times New Roman" w:hAnsi="Arial" w:cs="Arial"/>
                <w:noProof/>
                <w:sz w:val="22"/>
                <w:szCs w:val="22"/>
                <w:lang w:eastAsia="en-GB"/>
              </w:rPr>
              <w:t>Impact on patients and service users</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_Toc212335611 \h </w:instrText>
            </w:r>
            <w:r w:rsidRPr="00F01673">
              <w:rPr>
                <w:noProof/>
                <w:webHidden/>
                <w:sz w:val="22"/>
                <w:szCs w:val="22"/>
              </w:rPr>
            </w:r>
            <w:r w:rsidRPr="00F01673">
              <w:rPr>
                <w:noProof/>
                <w:webHidden/>
                <w:sz w:val="22"/>
                <w:szCs w:val="22"/>
              </w:rPr>
              <w:fldChar w:fldCharType="separate"/>
            </w:r>
            <w:r w:rsidRPr="00F01673">
              <w:rPr>
                <w:noProof/>
                <w:webHidden/>
                <w:sz w:val="22"/>
                <w:szCs w:val="22"/>
              </w:rPr>
              <w:t>8</w:t>
            </w:r>
            <w:r w:rsidRPr="00F01673">
              <w:rPr>
                <w:noProof/>
                <w:webHidden/>
                <w:sz w:val="22"/>
                <w:szCs w:val="22"/>
              </w:rPr>
              <w:fldChar w:fldCharType="end"/>
            </w:r>
          </w:hyperlink>
        </w:p>
        <w:p w14:paraId="25220986" w14:textId="70AB6190" w:rsidR="00F01673" w:rsidRPr="00F01673" w:rsidRDefault="00F01673">
          <w:pPr>
            <w:pStyle w:val="TOC3"/>
            <w:tabs>
              <w:tab w:val="right" w:leader="dot" w:pos="9350"/>
            </w:tabs>
            <w:rPr>
              <w:noProof/>
              <w:sz w:val="22"/>
              <w:szCs w:val="22"/>
              <w:lang w:eastAsia="en-GB"/>
            </w:rPr>
          </w:pPr>
          <w:hyperlink w:anchor="_Toc212335612" w:history="1">
            <w:r w:rsidRPr="00F01673">
              <w:rPr>
                <w:rStyle w:val="Hyperlink"/>
                <w:rFonts w:ascii="Arial" w:eastAsia="Times New Roman" w:hAnsi="Arial" w:cs="Arial"/>
                <w:noProof/>
                <w:sz w:val="22"/>
                <w:szCs w:val="22"/>
                <w:lang w:eastAsia="en-GB"/>
              </w:rPr>
              <w:t>Impact on the community</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_Toc212335612 \h </w:instrText>
            </w:r>
            <w:r w:rsidRPr="00F01673">
              <w:rPr>
                <w:noProof/>
                <w:webHidden/>
                <w:sz w:val="22"/>
                <w:szCs w:val="22"/>
              </w:rPr>
            </w:r>
            <w:r w:rsidRPr="00F01673">
              <w:rPr>
                <w:noProof/>
                <w:webHidden/>
                <w:sz w:val="22"/>
                <w:szCs w:val="22"/>
              </w:rPr>
              <w:fldChar w:fldCharType="separate"/>
            </w:r>
            <w:r w:rsidRPr="00F01673">
              <w:rPr>
                <w:noProof/>
                <w:webHidden/>
                <w:sz w:val="22"/>
                <w:szCs w:val="22"/>
              </w:rPr>
              <w:t>9</w:t>
            </w:r>
            <w:r w:rsidRPr="00F01673">
              <w:rPr>
                <w:noProof/>
                <w:webHidden/>
                <w:sz w:val="22"/>
                <w:szCs w:val="22"/>
              </w:rPr>
              <w:fldChar w:fldCharType="end"/>
            </w:r>
          </w:hyperlink>
        </w:p>
        <w:p w14:paraId="25D41660" w14:textId="710052DF" w:rsidR="00F01673" w:rsidRPr="00F01673" w:rsidRDefault="00F01673">
          <w:pPr>
            <w:pStyle w:val="TOC3"/>
            <w:tabs>
              <w:tab w:val="right" w:leader="dot" w:pos="9350"/>
            </w:tabs>
            <w:rPr>
              <w:noProof/>
              <w:sz w:val="22"/>
              <w:szCs w:val="22"/>
              <w:lang w:eastAsia="en-GB"/>
            </w:rPr>
          </w:pPr>
          <w:hyperlink w:anchor="_Toc212335613" w:history="1">
            <w:r w:rsidRPr="00F01673">
              <w:rPr>
                <w:rStyle w:val="Hyperlink"/>
                <w:rFonts w:ascii="Arial" w:eastAsia="Times New Roman" w:hAnsi="Arial" w:cs="Arial"/>
                <w:noProof/>
                <w:sz w:val="22"/>
                <w:szCs w:val="22"/>
                <w:lang w:eastAsia="en-GB"/>
              </w:rPr>
              <w:t>Conclusion and recommendations</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_Toc212335613 \h </w:instrText>
            </w:r>
            <w:r w:rsidRPr="00F01673">
              <w:rPr>
                <w:noProof/>
                <w:webHidden/>
                <w:sz w:val="22"/>
                <w:szCs w:val="22"/>
              </w:rPr>
            </w:r>
            <w:r w:rsidRPr="00F01673">
              <w:rPr>
                <w:noProof/>
                <w:webHidden/>
                <w:sz w:val="22"/>
                <w:szCs w:val="22"/>
              </w:rPr>
              <w:fldChar w:fldCharType="separate"/>
            </w:r>
            <w:r w:rsidRPr="00F01673">
              <w:rPr>
                <w:noProof/>
                <w:webHidden/>
                <w:sz w:val="22"/>
                <w:szCs w:val="22"/>
              </w:rPr>
              <w:t>10</w:t>
            </w:r>
            <w:r w:rsidRPr="00F01673">
              <w:rPr>
                <w:noProof/>
                <w:webHidden/>
                <w:sz w:val="22"/>
                <w:szCs w:val="22"/>
              </w:rPr>
              <w:fldChar w:fldCharType="end"/>
            </w:r>
          </w:hyperlink>
        </w:p>
        <w:p w14:paraId="546B194C" w14:textId="028751C4" w:rsidR="00F01673" w:rsidRPr="00F01673" w:rsidRDefault="00F01673">
          <w:pPr>
            <w:pStyle w:val="TOC3"/>
            <w:tabs>
              <w:tab w:val="right" w:leader="dot" w:pos="9350"/>
            </w:tabs>
            <w:rPr>
              <w:noProof/>
              <w:sz w:val="22"/>
              <w:szCs w:val="22"/>
              <w:lang w:eastAsia="en-GB"/>
            </w:rPr>
          </w:pPr>
          <w:hyperlink w:anchor="_Toc212335614" w:history="1">
            <w:r w:rsidRPr="00F01673">
              <w:rPr>
                <w:rStyle w:val="Hyperlink"/>
                <w:rFonts w:ascii="Arial" w:eastAsia="Times New Roman" w:hAnsi="Arial" w:cs="Arial"/>
                <w:noProof/>
                <w:sz w:val="22"/>
                <w:szCs w:val="22"/>
                <w:lang w:eastAsia="en-GB"/>
              </w:rPr>
              <w:t>Priority actions</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_Toc212335614 \h </w:instrText>
            </w:r>
            <w:r w:rsidRPr="00F01673">
              <w:rPr>
                <w:noProof/>
                <w:webHidden/>
                <w:sz w:val="22"/>
                <w:szCs w:val="22"/>
              </w:rPr>
            </w:r>
            <w:r w:rsidRPr="00F01673">
              <w:rPr>
                <w:noProof/>
                <w:webHidden/>
                <w:sz w:val="22"/>
                <w:szCs w:val="22"/>
              </w:rPr>
              <w:fldChar w:fldCharType="separate"/>
            </w:r>
            <w:r w:rsidRPr="00F01673">
              <w:rPr>
                <w:noProof/>
                <w:webHidden/>
                <w:sz w:val="22"/>
                <w:szCs w:val="22"/>
              </w:rPr>
              <w:t>10</w:t>
            </w:r>
            <w:r w:rsidRPr="00F01673">
              <w:rPr>
                <w:noProof/>
                <w:webHidden/>
                <w:sz w:val="22"/>
                <w:szCs w:val="22"/>
              </w:rPr>
              <w:fldChar w:fldCharType="end"/>
            </w:r>
          </w:hyperlink>
        </w:p>
        <w:p w14:paraId="2BB649D5" w14:textId="0A5225F3" w:rsidR="00F01673" w:rsidRPr="00F01673" w:rsidRDefault="00F01673">
          <w:pPr>
            <w:pStyle w:val="TOC3"/>
            <w:tabs>
              <w:tab w:val="right" w:leader="dot" w:pos="9350"/>
            </w:tabs>
            <w:rPr>
              <w:noProof/>
              <w:sz w:val="22"/>
              <w:szCs w:val="22"/>
              <w:lang w:eastAsia="en-GB"/>
            </w:rPr>
          </w:pPr>
          <w:hyperlink w:anchor="_Toc212335615" w:history="1">
            <w:r w:rsidRPr="00F01673">
              <w:rPr>
                <w:rStyle w:val="Hyperlink"/>
                <w:rFonts w:ascii="Arial" w:eastAsia="Times New Roman" w:hAnsi="Arial" w:cs="Arial"/>
                <w:noProof/>
                <w:sz w:val="22"/>
                <w:szCs w:val="22"/>
                <w:lang w:eastAsia="en-GB"/>
              </w:rPr>
              <w:t>Appendix</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_Toc212335615 \h </w:instrText>
            </w:r>
            <w:r w:rsidRPr="00F01673">
              <w:rPr>
                <w:noProof/>
                <w:webHidden/>
                <w:sz w:val="22"/>
                <w:szCs w:val="22"/>
              </w:rPr>
            </w:r>
            <w:r w:rsidRPr="00F01673">
              <w:rPr>
                <w:noProof/>
                <w:webHidden/>
                <w:sz w:val="22"/>
                <w:szCs w:val="22"/>
              </w:rPr>
              <w:fldChar w:fldCharType="separate"/>
            </w:r>
            <w:r w:rsidRPr="00F01673">
              <w:rPr>
                <w:noProof/>
                <w:webHidden/>
                <w:sz w:val="22"/>
                <w:szCs w:val="22"/>
              </w:rPr>
              <w:t>12</w:t>
            </w:r>
            <w:r w:rsidRPr="00F01673">
              <w:rPr>
                <w:noProof/>
                <w:webHidden/>
                <w:sz w:val="22"/>
                <w:szCs w:val="22"/>
              </w:rPr>
              <w:fldChar w:fldCharType="end"/>
            </w:r>
          </w:hyperlink>
        </w:p>
        <w:p w14:paraId="0B3B4653" w14:textId="20FCD557" w:rsidR="00F01673" w:rsidRPr="00F01673" w:rsidRDefault="00F01673">
          <w:pPr>
            <w:pStyle w:val="TOC3"/>
            <w:tabs>
              <w:tab w:val="right" w:leader="dot" w:pos="9350"/>
            </w:tabs>
            <w:rPr>
              <w:noProof/>
              <w:sz w:val="22"/>
              <w:szCs w:val="22"/>
              <w:lang w:eastAsia="en-GB"/>
            </w:rPr>
          </w:pPr>
          <w:hyperlink w:anchor="_Toc212335616" w:history="1">
            <w:r w:rsidRPr="00F01673">
              <w:rPr>
                <w:rStyle w:val="Hyperlink"/>
                <w:rFonts w:ascii="Arial" w:hAnsi="Arial" w:cs="Arial"/>
                <w:noProof/>
                <w:sz w:val="22"/>
                <w:szCs w:val="22"/>
              </w:rPr>
              <w:t>References (alphabetical, UWTSD Harvard style)</w:t>
            </w:r>
            <w:r w:rsidRPr="00F01673">
              <w:rPr>
                <w:noProof/>
                <w:webHidden/>
                <w:sz w:val="22"/>
                <w:szCs w:val="22"/>
              </w:rPr>
              <w:tab/>
            </w:r>
            <w:r w:rsidRPr="00F01673">
              <w:rPr>
                <w:noProof/>
                <w:webHidden/>
                <w:sz w:val="22"/>
                <w:szCs w:val="22"/>
              </w:rPr>
              <w:fldChar w:fldCharType="begin"/>
            </w:r>
            <w:r w:rsidRPr="00F01673">
              <w:rPr>
                <w:noProof/>
                <w:webHidden/>
                <w:sz w:val="22"/>
                <w:szCs w:val="22"/>
              </w:rPr>
              <w:instrText xml:space="preserve"> PAGEREF _Toc212335616 \h </w:instrText>
            </w:r>
            <w:r w:rsidRPr="00F01673">
              <w:rPr>
                <w:noProof/>
                <w:webHidden/>
                <w:sz w:val="22"/>
                <w:szCs w:val="22"/>
              </w:rPr>
            </w:r>
            <w:r w:rsidRPr="00F01673">
              <w:rPr>
                <w:noProof/>
                <w:webHidden/>
                <w:sz w:val="22"/>
                <w:szCs w:val="22"/>
              </w:rPr>
              <w:fldChar w:fldCharType="separate"/>
            </w:r>
            <w:r w:rsidRPr="00F01673">
              <w:rPr>
                <w:noProof/>
                <w:webHidden/>
                <w:sz w:val="22"/>
                <w:szCs w:val="22"/>
              </w:rPr>
              <w:t>27</w:t>
            </w:r>
            <w:r w:rsidRPr="00F01673">
              <w:rPr>
                <w:noProof/>
                <w:webHidden/>
                <w:sz w:val="22"/>
                <w:szCs w:val="22"/>
              </w:rPr>
              <w:fldChar w:fldCharType="end"/>
            </w:r>
          </w:hyperlink>
        </w:p>
        <w:p w14:paraId="0288C31D" w14:textId="7C059EBD" w:rsidR="00F83138" w:rsidRPr="00F01673" w:rsidRDefault="00F83138" w:rsidP="00395EA5">
          <w:pPr>
            <w:spacing w:line="360" w:lineRule="auto"/>
            <w:rPr>
              <w:rFonts w:ascii="Arial" w:hAnsi="Arial" w:cs="Arial"/>
              <w:sz w:val="22"/>
              <w:szCs w:val="22"/>
            </w:rPr>
          </w:pPr>
          <w:r w:rsidRPr="00F01673">
            <w:rPr>
              <w:rFonts w:ascii="Arial" w:hAnsi="Arial" w:cs="Arial"/>
              <w:b/>
              <w:bCs/>
              <w:sz w:val="22"/>
              <w:szCs w:val="22"/>
            </w:rPr>
            <w:fldChar w:fldCharType="end"/>
          </w:r>
        </w:p>
      </w:sdtContent>
    </w:sdt>
    <w:p w14:paraId="09CAD7BC" w14:textId="7CA503C2" w:rsidR="004C06B1" w:rsidRDefault="004C06B1" w:rsidP="00A5783B">
      <w:pPr>
        <w:spacing w:line="360" w:lineRule="auto"/>
      </w:pPr>
    </w:p>
    <w:p w14:paraId="09A22987" w14:textId="77777777" w:rsidR="00C87EC6" w:rsidRPr="00C87EC6" w:rsidRDefault="00C87EC6" w:rsidP="00C87EC6">
      <w:pPr>
        <w:rPr>
          <w:lang w:eastAsia="ja-JP"/>
        </w:rPr>
      </w:pPr>
    </w:p>
    <w:p w14:paraId="54B99358" w14:textId="77777777" w:rsidR="0056298F" w:rsidRDefault="0056298F" w:rsidP="0056298F">
      <w:pPr>
        <w:pStyle w:val="Title"/>
        <w:spacing w:line="360" w:lineRule="auto"/>
        <w:jc w:val="center"/>
        <w:rPr>
          <w:rFonts w:ascii="Arial" w:hAnsi="Arial" w:cs="Arial"/>
          <w:sz w:val="40"/>
          <w:szCs w:val="40"/>
        </w:rPr>
      </w:pPr>
    </w:p>
    <w:p w14:paraId="068B775B" w14:textId="77777777" w:rsidR="0056298F" w:rsidRDefault="0056298F" w:rsidP="0056298F">
      <w:pPr>
        <w:pStyle w:val="Title"/>
        <w:spacing w:line="360" w:lineRule="auto"/>
        <w:jc w:val="center"/>
        <w:rPr>
          <w:rFonts w:ascii="Arial" w:hAnsi="Arial" w:cs="Arial"/>
          <w:sz w:val="40"/>
          <w:szCs w:val="40"/>
        </w:rPr>
      </w:pPr>
    </w:p>
    <w:p w14:paraId="34AC0E89" w14:textId="77777777" w:rsidR="004B443A" w:rsidRDefault="004B443A" w:rsidP="004B443A"/>
    <w:p w14:paraId="3CE0FB50" w14:textId="77777777" w:rsidR="004B443A" w:rsidRDefault="004B443A" w:rsidP="004B443A"/>
    <w:p w14:paraId="4B919BBF" w14:textId="77777777" w:rsidR="004B443A" w:rsidRDefault="004B443A" w:rsidP="004B443A"/>
    <w:p w14:paraId="1E030689" w14:textId="77777777" w:rsidR="004B443A" w:rsidRDefault="004B443A" w:rsidP="004B443A"/>
    <w:p w14:paraId="2A342D82" w14:textId="77777777" w:rsidR="004B443A" w:rsidRDefault="004B443A" w:rsidP="004B443A"/>
    <w:p w14:paraId="40677FB7" w14:textId="77777777" w:rsidR="0056298F" w:rsidRDefault="0056298F" w:rsidP="00594742"/>
    <w:p w14:paraId="08CEB493" w14:textId="2D63CC66" w:rsidR="00A953FB" w:rsidRPr="00494FEB" w:rsidRDefault="00A953FB" w:rsidP="001E29AD">
      <w:pPr>
        <w:pStyle w:val="Heading3"/>
        <w:spacing w:line="360" w:lineRule="auto"/>
        <w:rPr>
          <w:rFonts w:ascii="Arial" w:eastAsia="Times New Roman" w:hAnsi="Arial" w:cs="Arial"/>
          <w:sz w:val="32"/>
          <w:szCs w:val="32"/>
          <w:lang w:eastAsia="en-GB"/>
        </w:rPr>
      </w:pPr>
      <w:bookmarkStart w:id="1" w:name="_Toc212335605"/>
      <w:r w:rsidRPr="00494FEB">
        <w:rPr>
          <w:rFonts w:ascii="Arial" w:eastAsia="Times New Roman" w:hAnsi="Arial" w:cs="Arial"/>
          <w:sz w:val="32"/>
          <w:szCs w:val="32"/>
          <w:lang w:eastAsia="en-GB"/>
        </w:rPr>
        <w:lastRenderedPageBreak/>
        <w:t>Executive summary</w:t>
      </w:r>
      <w:bookmarkEnd w:id="1"/>
    </w:p>
    <w:p w14:paraId="7CF221CC" w14:textId="2276F397" w:rsidR="00A953FB" w:rsidRPr="00494FEB" w:rsidRDefault="00A953FB" w:rsidP="00494FEB">
      <w:pPr>
        <w:spacing w:line="360" w:lineRule="auto"/>
        <w:rPr>
          <w:rFonts w:ascii="Arial" w:eastAsia="Times New Roman" w:hAnsi="Arial" w:cs="Arial"/>
          <w:sz w:val="22"/>
          <w:szCs w:val="22"/>
          <w:lang w:eastAsia="en-GB"/>
        </w:rPr>
      </w:pPr>
      <w:r w:rsidRPr="00494FEB">
        <w:rPr>
          <w:rFonts w:ascii="Arial" w:eastAsia="Times New Roman" w:hAnsi="Arial" w:cs="Arial"/>
          <w:sz w:val="22"/>
          <w:szCs w:val="22"/>
          <w:lang w:eastAsia="en-GB"/>
        </w:rPr>
        <w:t>Medicus Health is a cloud</w:t>
      </w:r>
      <w:r w:rsidRPr="00494FEB">
        <w:rPr>
          <w:rFonts w:ascii="Cambria Math" w:eastAsia="Times New Roman" w:hAnsi="Cambria Math" w:cs="Cambria Math"/>
          <w:sz w:val="22"/>
          <w:szCs w:val="22"/>
          <w:lang w:eastAsia="en-GB"/>
        </w:rPr>
        <w:t>‑</w:t>
      </w:r>
      <w:r w:rsidRPr="00494FEB">
        <w:rPr>
          <w:rFonts w:ascii="Arial" w:eastAsia="Times New Roman" w:hAnsi="Arial" w:cs="Arial"/>
          <w:sz w:val="22"/>
          <w:szCs w:val="22"/>
          <w:lang w:eastAsia="en-GB"/>
        </w:rPr>
        <w:t xml:space="preserve">native electronic patient record (EPR) and clinical information system for primary care integrating longitudinal records, online consultations, secure document </w:t>
      </w:r>
      <w:r w:rsidR="002E35D1" w:rsidRPr="00494FEB">
        <w:rPr>
          <w:rFonts w:ascii="Arial" w:eastAsia="Times New Roman" w:hAnsi="Arial" w:cs="Arial"/>
          <w:sz w:val="22"/>
          <w:szCs w:val="22"/>
          <w:lang w:eastAsia="en-GB"/>
        </w:rPr>
        <w:t>storage,</w:t>
      </w:r>
      <w:r w:rsidRPr="00494FEB">
        <w:rPr>
          <w:rFonts w:ascii="Arial" w:eastAsia="Times New Roman" w:hAnsi="Arial" w:cs="Arial"/>
          <w:sz w:val="22"/>
          <w:szCs w:val="22"/>
          <w:lang w:eastAsia="en-GB"/>
        </w:rPr>
        <w:t xml:space="preserve"> and context</w:t>
      </w:r>
      <w:r w:rsidRPr="00494FEB">
        <w:rPr>
          <w:rFonts w:ascii="Cambria Math" w:eastAsia="Times New Roman" w:hAnsi="Cambria Math" w:cs="Cambria Math"/>
          <w:sz w:val="22"/>
          <w:szCs w:val="22"/>
          <w:lang w:eastAsia="en-GB"/>
        </w:rPr>
        <w:t>‑</w:t>
      </w:r>
      <w:r w:rsidRPr="00494FEB">
        <w:rPr>
          <w:rFonts w:ascii="Arial" w:eastAsia="Times New Roman" w:hAnsi="Arial" w:cs="Arial"/>
          <w:sz w:val="22"/>
          <w:szCs w:val="22"/>
          <w:lang w:eastAsia="en-GB"/>
        </w:rPr>
        <w:t>aware prescribing decision support via FDB Multilex (First Databank, 2025; Medicus Health, 2025). Piloted in 2025 across four UK general practices (~42,000 patients), Medicus seeks to replace fragmented legacy systems with a web</w:t>
      </w:r>
      <w:r w:rsidRPr="00494FEB">
        <w:rPr>
          <w:rFonts w:ascii="Cambria Math" w:eastAsia="Times New Roman" w:hAnsi="Cambria Math" w:cs="Cambria Math"/>
          <w:sz w:val="22"/>
          <w:szCs w:val="22"/>
          <w:lang w:eastAsia="en-GB"/>
        </w:rPr>
        <w:t>‑</w:t>
      </w:r>
      <w:r w:rsidRPr="00494FEB">
        <w:rPr>
          <w:rFonts w:ascii="Arial" w:eastAsia="Times New Roman" w:hAnsi="Arial" w:cs="Arial"/>
          <w:sz w:val="22"/>
          <w:szCs w:val="22"/>
          <w:lang w:eastAsia="en-GB"/>
        </w:rPr>
        <w:t>first, modular platform that supports neighbourhood care and device</w:t>
      </w:r>
      <w:r w:rsidRPr="00494FEB">
        <w:rPr>
          <w:rFonts w:ascii="Cambria Math" w:eastAsia="Times New Roman" w:hAnsi="Cambria Math" w:cs="Cambria Math"/>
          <w:sz w:val="22"/>
          <w:szCs w:val="22"/>
          <w:lang w:eastAsia="en-GB"/>
        </w:rPr>
        <w:t>‑</w:t>
      </w:r>
      <w:r w:rsidRPr="00494FEB">
        <w:rPr>
          <w:rFonts w:ascii="Arial" w:eastAsia="Times New Roman" w:hAnsi="Arial" w:cs="Arial"/>
          <w:sz w:val="22"/>
          <w:szCs w:val="22"/>
          <w:lang w:eastAsia="en-GB"/>
        </w:rPr>
        <w:t xml:space="preserve">agnostic access (First Databank, 2025; NHS England, 2025). This rapid thematic synthesis evaluates Medicus across workforce, service delivery, patients/service </w:t>
      </w:r>
      <w:r w:rsidR="002E35D1" w:rsidRPr="00494FEB">
        <w:rPr>
          <w:rFonts w:ascii="Arial" w:eastAsia="Times New Roman" w:hAnsi="Arial" w:cs="Arial"/>
          <w:sz w:val="22"/>
          <w:szCs w:val="22"/>
          <w:lang w:eastAsia="en-GB"/>
        </w:rPr>
        <w:t>users,</w:t>
      </w:r>
      <w:r w:rsidRPr="00494FEB">
        <w:rPr>
          <w:rFonts w:ascii="Arial" w:eastAsia="Times New Roman" w:hAnsi="Arial" w:cs="Arial"/>
          <w:sz w:val="22"/>
          <w:szCs w:val="22"/>
          <w:lang w:eastAsia="en-GB"/>
        </w:rPr>
        <w:t xml:space="preserve"> and community to identify </w:t>
      </w:r>
      <w:r w:rsidR="002E35D1" w:rsidRPr="00494FEB">
        <w:rPr>
          <w:rFonts w:ascii="Arial" w:eastAsia="Times New Roman" w:hAnsi="Arial" w:cs="Arial"/>
          <w:sz w:val="22"/>
          <w:szCs w:val="22"/>
          <w:lang w:eastAsia="en-GB"/>
        </w:rPr>
        <w:t>impacts</w:t>
      </w:r>
      <w:r w:rsidRPr="00494FEB">
        <w:rPr>
          <w:rFonts w:ascii="Arial" w:eastAsia="Times New Roman" w:hAnsi="Arial" w:cs="Arial"/>
          <w:sz w:val="22"/>
          <w:szCs w:val="22"/>
          <w:lang w:eastAsia="en-GB"/>
        </w:rPr>
        <w:t xml:space="preserve">, potential </w:t>
      </w:r>
      <w:r w:rsidR="002E35D1" w:rsidRPr="00494FEB">
        <w:rPr>
          <w:rFonts w:ascii="Arial" w:eastAsia="Times New Roman" w:hAnsi="Arial" w:cs="Arial"/>
          <w:sz w:val="22"/>
          <w:szCs w:val="22"/>
          <w:lang w:eastAsia="en-GB"/>
        </w:rPr>
        <w:t>harms,</w:t>
      </w:r>
      <w:r w:rsidRPr="00494FEB">
        <w:rPr>
          <w:rFonts w:ascii="Arial" w:eastAsia="Times New Roman" w:hAnsi="Arial" w:cs="Arial"/>
          <w:sz w:val="22"/>
          <w:szCs w:val="22"/>
          <w:lang w:eastAsia="en-GB"/>
        </w:rPr>
        <w:t xml:space="preserve"> and implementable mitigations to inform procurement, local rollout </w:t>
      </w:r>
      <w:r w:rsidR="002E35D1" w:rsidRPr="00494FEB">
        <w:rPr>
          <w:rFonts w:ascii="Arial" w:eastAsia="Times New Roman" w:hAnsi="Arial" w:cs="Arial"/>
          <w:sz w:val="22"/>
          <w:szCs w:val="22"/>
          <w:lang w:eastAsia="en-GB"/>
        </w:rPr>
        <w:t>planning,</w:t>
      </w:r>
      <w:r w:rsidRPr="00494FEB">
        <w:rPr>
          <w:rFonts w:ascii="Arial" w:eastAsia="Times New Roman" w:hAnsi="Arial" w:cs="Arial"/>
          <w:sz w:val="22"/>
          <w:szCs w:val="22"/>
          <w:lang w:eastAsia="en-GB"/>
        </w:rPr>
        <w:t xml:space="preserve"> and short</w:t>
      </w:r>
      <w:r w:rsidRPr="00494FEB">
        <w:rPr>
          <w:rFonts w:ascii="Cambria Math" w:eastAsia="Times New Roman" w:hAnsi="Cambria Math" w:cs="Cambria Math"/>
          <w:sz w:val="22"/>
          <w:szCs w:val="22"/>
          <w:lang w:eastAsia="en-GB"/>
        </w:rPr>
        <w:t>‑</w:t>
      </w:r>
      <w:r w:rsidRPr="00494FEB">
        <w:rPr>
          <w:rFonts w:ascii="Arial" w:eastAsia="Times New Roman" w:hAnsi="Arial" w:cs="Arial"/>
          <w:sz w:val="22"/>
          <w:szCs w:val="22"/>
          <w:lang w:eastAsia="en-GB"/>
        </w:rPr>
        <w:t>term evaluation. Key recommendations include contracted funding for protected training and super</w:t>
      </w:r>
      <w:r w:rsidRPr="00494FEB">
        <w:rPr>
          <w:rFonts w:ascii="Cambria Math" w:eastAsia="Times New Roman" w:hAnsi="Cambria Math" w:cs="Cambria Math"/>
          <w:sz w:val="22"/>
          <w:szCs w:val="22"/>
          <w:lang w:eastAsia="en-GB"/>
        </w:rPr>
        <w:t>‑</w:t>
      </w:r>
      <w:r w:rsidRPr="00494FEB">
        <w:rPr>
          <w:rFonts w:ascii="Arial" w:eastAsia="Times New Roman" w:hAnsi="Arial" w:cs="Arial"/>
          <w:sz w:val="22"/>
          <w:szCs w:val="22"/>
          <w:lang w:eastAsia="en-GB"/>
        </w:rPr>
        <w:t>user capacity, contractual resilience SLAs, clinically tuned CDS governance with override monitoring, and explicit equity measures including funded assisted</w:t>
      </w:r>
      <w:r w:rsidRPr="00494FEB">
        <w:rPr>
          <w:rFonts w:ascii="Cambria Math" w:eastAsia="Times New Roman" w:hAnsi="Cambria Math" w:cs="Cambria Math"/>
          <w:sz w:val="22"/>
          <w:szCs w:val="22"/>
          <w:lang w:eastAsia="en-GB"/>
        </w:rPr>
        <w:t>‑</w:t>
      </w:r>
      <w:r w:rsidRPr="00494FEB">
        <w:rPr>
          <w:rFonts w:ascii="Arial" w:eastAsia="Times New Roman" w:hAnsi="Arial" w:cs="Arial"/>
          <w:sz w:val="22"/>
          <w:szCs w:val="22"/>
          <w:lang w:eastAsia="en-GB"/>
        </w:rPr>
        <w:t>digital support and disaggregated KPI monitoring (Health Foundation, 2025; Payne et al., 2021). See Appendix Table A2 for the full KPI definitions and Appendix Figures A1–A9 for interface and policy context visuals.</w:t>
      </w:r>
    </w:p>
    <w:p w14:paraId="6F1DB5D8" w14:textId="77777777" w:rsidR="00A953FB" w:rsidRPr="001E29AD" w:rsidRDefault="00A953FB" w:rsidP="001E29AD">
      <w:pPr>
        <w:spacing w:line="360" w:lineRule="auto"/>
        <w:rPr>
          <w:rFonts w:ascii="Arial" w:eastAsia="Times New Roman" w:hAnsi="Arial" w:cs="Arial"/>
          <w:b/>
          <w:bCs/>
          <w:kern w:val="0"/>
          <w:sz w:val="36"/>
          <w:szCs w:val="36"/>
          <w:lang w:eastAsia="en-GB"/>
          <w14:ligatures w14:val="none"/>
        </w:rPr>
      </w:pPr>
    </w:p>
    <w:p w14:paraId="0830D926" w14:textId="77777777" w:rsidR="00EE2954" w:rsidRPr="001E29AD" w:rsidRDefault="00EE2954" w:rsidP="001E29AD">
      <w:pPr>
        <w:spacing w:line="360" w:lineRule="auto"/>
        <w:rPr>
          <w:rFonts w:ascii="Arial" w:eastAsia="Times New Roman" w:hAnsi="Arial" w:cs="Arial"/>
          <w:b/>
          <w:bCs/>
          <w:kern w:val="0"/>
          <w:sz w:val="36"/>
          <w:szCs w:val="36"/>
          <w:lang w:eastAsia="en-GB"/>
          <w14:ligatures w14:val="none"/>
        </w:rPr>
      </w:pPr>
    </w:p>
    <w:p w14:paraId="70AA1C10" w14:textId="77777777" w:rsidR="00E750DB" w:rsidRPr="001E29AD" w:rsidRDefault="00E750DB" w:rsidP="001E29AD">
      <w:pPr>
        <w:spacing w:line="360" w:lineRule="auto"/>
        <w:rPr>
          <w:rFonts w:ascii="Arial" w:eastAsia="Times New Roman" w:hAnsi="Arial" w:cs="Arial"/>
          <w:b/>
          <w:bCs/>
          <w:kern w:val="0"/>
          <w:sz w:val="36"/>
          <w:szCs w:val="36"/>
          <w:lang w:eastAsia="en-GB"/>
          <w14:ligatures w14:val="none"/>
        </w:rPr>
      </w:pPr>
    </w:p>
    <w:p w14:paraId="28FCD584" w14:textId="77777777" w:rsidR="00E750DB" w:rsidRPr="001E29AD" w:rsidRDefault="00E750DB" w:rsidP="001E29AD">
      <w:pPr>
        <w:spacing w:line="360" w:lineRule="auto"/>
        <w:rPr>
          <w:rFonts w:ascii="Arial" w:eastAsia="Times New Roman" w:hAnsi="Arial" w:cs="Arial"/>
          <w:b/>
          <w:bCs/>
          <w:kern w:val="0"/>
          <w:sz w:val="36"/>
          <w:szCs w:val="36"/>
          <w:lang w:eastAsia="en-GB"/>
          <w14:ligatures w14:val="none"/>
        </w:rPr>
      </w:pPr>
    </w:p>
    <w:p w14:paraId="0CB94513" w14:textId="77777777" w:rsidR="00E750DB" w:rsidRPr="001E29AD" w:rsidRDefault="00E750DB" w:rsidP="001E29AD">
      <w:pPr>
        <w:spacing w:line="360" w:lineRule="auto"/>
        <w:rPr>
          <w:rFonts w:ascii="Arial" w:eastAsia="Times New Roman" w:hAnsi="Arial" w:cs="Arial"/>
          <w:b/>
          <w:bCs/>
          <w:kern w:val="0"/>
          <w:sz w:val="36"/>
          <w:szCs w:val="36"/>
          <w:lang w:eastAsia="en-GB"/>
          <w14:ligatures w14:val="none"/>
        </w:rPr>
      </w:pPr>
    </w:p>
    <w:p w14:paraId="7E6A49FC" w14:textId="77777777" w:rsidR="00E750DB" w:rsidRPr="001E29AD" w:rsidRDefault="00E750DB" w:rsidP="001E29AD">
      <w:pPr>
        <w:spacing w:line="360" w:lineRule="auto"/>
        <w:rPr>
          <w:rFonts w:ascii="Arial" w:eastAsia="Times New Roman" w:hAnsi="Arial" w:cs="Arial"/>
          <w:b/>
          <w:bCs/>
          <w:kern w:val="0"/>
          <w:sz w:val="36"/>
          <w:szCs w:val="36"/>
          <w:lang w:eastAsia="en-GB"/>
          <w14:ligatures w14:val="none"/>
        </w:rPr>
      </w:pPr>
    </w:p>
    <w:p w14:paraId="17C6F5E1" w14:textId="77777777" w:rsidR="00F8429A" w:rsidRPr="001E29AD" w:rsidRDefault="00F8429A" w:rsidP="001E29AD">
      <w:pPr>
        <w:spacing w:line="360" w:lineRule="auto"/>
        <w:rPr>
          <w:rFonts w:ascii="Arial" w:eastAsia="Times New Roman" w:hAnsi="Arial" w:cs="Arial"/>
          <w:b/>
          <w:bCs/>
          <w:kern w:val="0"/>
          <w:sz w:val="36"/>
          <w:szCs w:val="36"/>
          <w:lang w:eastAsia="en-GB"/>
          <w14:ligatures w14:val="none"/>
        </w:rPr>
      </w:pPr>
    </w:p>
    <w:p w14:paraId="3A1052F4" w14:textId="77777777" w:rsidR="00F8429A" w:rsidRPr="001E29AD" w:rsidRDefault="00F8429A" w:rsidP="001E29AD">
      <w:pPr>
        <w:spacing w:line="360" w:lineRule="auto"/>
        <w:rPr>
          <w:rFonts w:ascii="Arial" w:eastAsia="Times New Roman" w:hAnsi="Arial" w:cs="Arial"/>
          <w:b/>
          <w:bCs/>
          <w:kern w:val="0"/>
          <w:sz w:val="36"/>
          <w:szCs w:val="36"/>
          <w:lang w:eastAsia="en-GB"/>
          <w14:ligatures w14:val="none"/>
        </w:rPr>
      </w:pPr>
    </w:p>
    <w:p w14:paraId="6D244CEE" w14:textId="5AD84996" w:rsidR="0086322A" w:rsidRPr="00D12B15" w:rsidRDefault="00A953FB" w:rsidP="00D12B15">
      <w:pPr>
        <w:pStyle w:val="Heading3"/>
        <w:spacing w:line="360" w:lineRule="auto"/>
        <w:rPr>
          <w:rFonts w:ascii="Arial" w:hAnsi="Arial" w:cs="Arial"/>
          <w:sz w:val="32"/>
          <w:szCs w:val="32"/>
        </w:rPr>
      </w:pPr>
      <w:bookmarkStart w:id="2" w:name="_Toc212335606"/>
      <w:r w:rsidRPr="00494FEB">
        <w:rPr>
          <w:rFonts w:ascii="Arial" w:hAnsi="Arial" w:cs="Arial"/>
          <w:sz w:val="32"/>
          <w:szCs w:val="32"/>
        </w:rPr>
        <w:lastRenderedPageBreak/>
        <w:t>Introduction</w:t>
      </w:r>
      <w:bookmarkEnd w:id="2"/>
    </w:p>
    <w:p w14:paraId="17AEDEC9" w14:textId="475A9A92" w:rsidR="0086322A" w:rsidRPr="00D12B15" w:rsidRDefault="00D12B15" w:rsidP="00D12B15">
      <w:pPr>
        <w:spacing w:line="360" w:lineRule="auto"/>
        <w:rPr>
          <w:rFonts w:ascii="Arial" w:eastAsia="Times New Roman" w:hAnsi="Arial" w:cs="Arial"/>
          <w:kern w:val="0"/>
          <w:sz w:val="22"/>
          <w:szCs w:val="22"/>
          <w:lang w:eastAsia="en-GB"/>
          <w14:ligatures w14:val="none"/>
        </w:rPr>
      </w:pPr>
      <w:r w:rsidRPr="00D12B15">
        <w:rPr>
          <w:rFonts w:ascii="Arial" w:eastAsia="Times New Roman" w:hAnsi="Arial" w:cs="Arial"/>
          <w:kern w:val="0"/>
          <w:sz w:val="22"/>
          <w:szCs w:val="22"/>
          <w:lang w:eastAsia="en-GB"/>
          <w14:ligatures w14:val="none"/>
        </w:rPr>
        <w:t>Medicus Health is a cloud</w:t>
      </w:r>
      <w:r w:rsidRPr="00D12B15">
        <w:rPr>
          <w:rFonts w:ascii="Cambria Math" w:eastAsia="Times New Roman" w:hAnsi="Cambria Math" w:cs="Cambria Math"/>
          <w:kern w:val="0"/>
          <w:sz w:val="22"/>
          <w:szCs w:val="22"/>
          <w:lang w:eastAsia="en-GB"/>
          <w14:ligatures w14:val="none"/>
        </w:rPr>
        <w:t>‑</w:t>
      </w:r>
      <w:r w:rsidRPr="00D12B15">
        <w:rPr>
          <w:rFonts w:ascii="Arial" w:eastAsia="Times New Roman" w:hAnsi="Arial" w:cs="Arial"/>
          <w:kern w:val="0"/>
          <w:sz w:val="22"/>
          <w:szCs w:val="22"/>
          <w:lang w:eastAsia="en-GB"/>
          <w14:ligatures w14:val="none"/>
        </w:rPr>
        <w:t xml:space="preserve">native electronic patient record (EPR) developed for primary care that consolidates longitudinal records, online consultations, secure document </w:t>
      </w:r>
      <w:r w:rsidR="002E35D1" w:rsidRPr="00D12B15">
        <w:rPr>
          <w:rFonts w:ascii="Arial" w:eastAsia="Times New Roman" w:hAnsi="Arial" w:cs="Arial"/>
          <w:kern w:val="0"/>
          <w:sz w:val="22"/>
          <w:szCs w:val="22"/>
          <w:lang w:eastAsia="en-GB"/>
          <w14:ligatures w14:val="none"/>
        </w:rPr>
        <w:t>storage,</w:t>
      </w:r>
      <w:r w:rsidRPr="00D12B15">
        <w:rPr>
          <w:rFonts w:ascii="Arial" w:eastAsia="Times New Roman" w:hAnsi="Arial" w:cs="Arial"/>
          <w:kern w:val="0"/>
          <w:sz w:val="22"/>
          <w:szCs w:val="22"/>
          <w:lang w:eastAsia="en-GB"/>
          <w14:ligatures w14:val="none"/>
        </w:rPr>
        <w:t xml:space="preserve"> and context</w:t>
      </w:r>
      <w:r w:rsidRPr="00D12B15">
        <w:rPr>
          <w:rFonts w:ascii="Cambria Math" w:eastAsia="Times New Roman" w:hAnsi="Cambria Math" w:cs="Cambria Math"/>
          <w:kern w:val="0"/>
          <w:sz w:val="22"/>
          <w:szCs w:val="22"/>
          <w:lang w:eastAsia="en-GB"/>
          <w14:ligatures w14:val="none"/>
        </w:rPr>
        <w:t>‑</w:t>
      </w:r>
      <w:r w:rsidRPr="00D12B15">
        <w:rPr>
          <w:rFonts w:ascii="Arial" w:eastAsia="Times New Roman" w:hAnsi="Arial" w:cs="Arial"/>
          <w:kern w:val="0"/>
          <w:sz w:val="22"/>
          <w:szCs w:val="22"/>
          <w:lang w:eastAsia="en-GB"/>
          <w14:ligatures w14:val="none"/>
        </w:rPr>
        <w:t>aware prescribing decision support via FDB Multilex (First Databank 2020). Built as a web</w:t>
      </w:r>
      <w:r w:rsidRPr="00D12B15">
        <w:rPr>
          <w:rFonts w:ascii="Cambria Math" w:eastAsia="Times New Roman" w:hAnsi="Cambria Math" w:cs="Cambria Math"/>
          <w:kern w:val="0"/>
          <w:sz w:val="22"/>
          <w:szCs w:val="22"/>
          <w:lang w:eastAsia="en-GB"/>
          <w14:ligatures w14:val="none"/>
        </w:rPr>
        <w:t>‑</w:t>
      </w:r>
      <w:r w:rsidRPr="00D12B15">
        <w:rPr>
          <w:rFonts w:ascii="Arial" w:eastAsia="Times New Roman" w:hAnsi="Arial" w:cs="Arial"/>
          <w:kern w:val="0"/>
          <w:sz w:val="22"/>
          <w:szCs w:val="22"/>
          <w:lang w:eastAsia="en-GB"/>
          <w14:ligatures w14:val="none"/>
        </w:rPr>
        <w:t>first, modular platform, Medicus aims to replace fragmented legacy systems by providing device</w:t>
      </w:r>
      <w:r w:rsidRPr="00D12B15">
        <w:rPr>
          <w:rFonts w:ascii="Cambria Math" w:eastAsia="Times New Roman" w:hAnsi="Cambria Math" w:cs="Cambria Math"/>
          <w:kern w:val="0"/>
          <w:sz w:val="22"/>
          <w:szCs w:val="22"/>
          <w:lang w:eastAsia="en-GB"/>
          <w14:ligatures w14:val="none"/>
        </w:rPr>
        <w:t>‑</w:t>
      </w:r>
      <w:r w:rsidRPr="00D12B15">
        <w:rPr>
          <w:rFonts w:ascii="Arial" w:eastAsia="Times New Roman" w:hAnsi="Arial" w:cs="Arial"/>
          <w:kern w:val="0"/>
          <w:sz w:val="22"/>
          <w:szCs w:val="22"/>
          <w:lang w:eastAsia="en-GB"/>
          <w14:ligatures w14:val="none"/>
        </w:rPr>
        <w:t>agnostic access for neighbourhood teams and faster clinical content updates than on</w:t>
      </w:r>
      <w:r w:rsidRPr="00D12B15">
        <w:rPr>
          <w:rFonts w:ascii="Cambria Math" w:eastAsia="Times New Roman" w:hAnsi="Cambria Math" w:cs="Cambria Math"/>
          <w:kern w:val="0"/>
          <w:sz w:val="22"/>
          <w:szCs w:val="22"/>
          <w:lang w:eastAsia="en-GB"/>
          <w14:ligatures w14:val="none"/>
        </w:rPr>
        <w:t>‑</w:t>
      </w:r>
      <w:r w:rsidRPr="00D12B15">
        <w:rPr>
          <w:rFonts w:ascii="Arial" w:eastAsia="Times New Roman" w:hAnsi="Arial" w:cs="Arial"/>
          <w:kern w:val="0"/>
          <w:sz w:val="22"/>
          <w:szCs w:val="22"/>
          <w:lang w:eastAsia="en-GB"/>
          <w14:ligatures w14:val="none"/>
        </w:rPr>
        <w:t xml:space="preserve">premises EPRs (NHS England 2022). Piloted in 2025 across four UK general practices serving approximately 42,000 registered patients, the system aligns with national priorities for cloud migration, interoperability and digitally enabled primary care services (Department of Health and Social Care 2021; NHSX 2023). Vendor claim — independent verification required: product materials assert performance and integrations that must be validated during procurement (Medicus Health 2025). This rapid thematic synthesis draws on prioritised UK evidence, policy guidance and implementation learning to identify </w:t>
      </w:r>
      <w:r w:rsidR="002E35D1" w:rsidRPr="00D12B15">
        <w:rPr>
          <w:rFonts w:ascii="Arial" w:eastAsia="Times New Roman" w:hAnsi="Arial" w:cs="Arial"/>
          <w:kern w:val="0"/>
          <w:sz w:val="22"/>
          <w:szCs w:val="22"/>
          <w:lang w:eastAsia="en-GB"/>
          <w14:ligatures w14:val="none"/>
        </w:rPr>
        <w:t>impacts</w:t>
      </w:r>
      <w:r w:rsidRPr="00D12B15">
        <w:rPr>
          <w:rFonts w:ascii="Arial" w:eastAsia="Times New Roman" w:hAnsi="Arial" w:cs="Arial"/>
          <w:kern w:val="0"/>
          <w:sz w:val="22"/>
          <w:szCs w:val="22"/>
          <w:lang w:eastAsia="en-GB"/>
          <w14:ligatures w14:val="none"/>
        </w:rPr>
        <w:t xml:space="preserve">, potential </w:t>
      </w:r>
      <w:r w:rsidR="002E35D1" w:rsidRPr="00D12B15">
        <w:rPr>
          <w:rFonts w:ascii="Arial" w:eastAsia="Times New Roman" w:hAnsi="Arial" w:cs="Arial"/>
          <w:kern w:val="0"/>
          <w:sz w:val="22"/>
          <w:szCs w:val="22"/>
          <w:lang w:eastAsia="en-GB"/>
          <w14:ligatures w14:val="none"/>
        </w:rPr>
        <w:t>harms,</w:t>
      </w:r>
      <w:r w:rsidRPr="00D12B15">
        <w:rPr>
          <w:rFonts w:ascii="Arial" w:eastAsia="Times New Roman" w:hAnsi="Arial" w:cs="Arial"/>
          <w:kern w:val="0"/>
          <w:sz w:val="22"/>
          <w:szCs w:val="22"/>
          <w:lang w:eastAsia="en-GB"/>
          <w14:ligatures w14:val="none"/>
        </w:rPr>
        <w:t xml:space="preserve"> and practical mitigations to inform procurement, local rollout planning and short</w:t>
      </w:r>
      <w:r w:rsidRPr="00D12B15">
        <w:rPr>
          <w:rFonts w:ascii="Cambria Math" w:eastAsia="Times New Roman" w:hAnsi="Cambria Math" w:cs="Cambria Math"/>
          <w:kern w:val="0"/>
          <w:sz w:val="22"/>
          <w:szCs w:val="22"/>
          <w:lang w:eastAsia="en-GB"/>
          <w14:ligatures w14:val="none"/>
        </w:rPr>
        <w:t>‑</w:t>
      </w:r>
      <w:r w:rsidRPr="00D12B15">
        <w:rPr>
          <w:rFonts w:ascii="Arial" w:eastAsia="Times New Roman" w:hAnsi="Arial" w:cs="Arial"/>
          <w:kern w:val="0"/>
          <w:sz w:val="22"/>
          <w:szCs w:val="22"/>
          <w:lang w:eastAsia="en-GB"/>
          <w14:ligatures w14:val="none"/>
        </w:rPr>
        <w:t xml:space="preserve">term evaluation across workforce, service delivery, patients/service </w:t>
      </w:r>
      <w:r w:rsidR="002E35D1" w:rsidRPr="00D12B15">
        <w:rPr>
          <w:rFonts w:ascii="Arial" w:eastAsia="Times New Roman" w:hAnsi="Arial" w:cs="Arial"/>
          <w:kern w:val="0"/>
          <w:sz w:val="22"/>
          <w:szCs w:val="22"/>
          <w:lang w:eastAsia="en-GB"/>
          <w14:ligatures w14:val="none"/>
        </w:rPr>
        <w:t>users,</w:t>
      </w:r>
      <w:r w:rsidRPr="00D12B15">
        <w:rPr>
          <w:rFonts w:ascii="Arial" w:eastAsia="Times New Roman" w:hAnsi="Arial" w:cs="Arial"/>
          <w:kern w:val="0"/>
          <w:sz w:val="22"/>
          <w:szCs w:val="22"/>
          <w:lang w:eastAsia="en-GB"/>
          <w14:ligatures w14:val="none"/>
        </w:rPr>
        <w:t xml:space="preserve"> and community (Greenhalgh et al. 2017). See Methods box for search strategy and Appendix for supporting materials.</w:t>
      </w:r>
    </w:p>
    <w:p w14:paraId="25927146" w14:textId="23189604" w:rsidR="006F27BC" w:rsidRPr="00D12B15" w:rsidRDefault="006F27BC" w:rsidP="00D12B15">
      <w:pPr>
        <w:spacing w:line="360" w:lineRule="auto"/>
        <w:rPr>
          <w:rFonts w:ascii="Arial" w:eastAsia="Times New Roman" w:hAnsi="Arial" w:cs="Arial"/>
          <w:kern w:val="0"/>
          <w:sz w:val="36"/>
          <w:szCs w:val="36"/>
          <w:lang w:eastAsia="en-GB"/>
          <w14:ligatures w14:val="none"/>
        </w:rPr>
      </w:pPr>
    </w:p>
    <w:p w14:paraId="0463AFAF" w14:textId="77777777" w:rsidR="006F27BC" w:rsidRPr="001E29AD" w:rsidRDefault="006F27BC" w:rsidP="001E29AD">
      <w:pPr>
        <w:spacing w:line="360" w:lineRule="auto"/>
        <w:rPr>
          <w:rFonts w:ascii="Arial" w:eastAsia="Times New Roman" w:hAnsi="Arial" w:cs="Arial"/>
          <w:b/>
          <w:bCs/>
          <w:kern w:val="0"/>
          <w:sz w:val="36"/>
          <w:szCs w:val="36"/>
          <w:lang w:eastAsia="en-GB"/>
          <w14:ligatures w14:val="none"/>
        </w:rPr>
      </w:pPr>
    </w:p>
    <w:p w14:paraId="56B814C9" w14:textId="77777777" w:rsidR="006F27BC" w:rsidRPr="001E29AD" w:rsidRDefault="006F27BC" w:rsidP="001E29AD">
      <w:pPr>
        <w:spacing w:line="360" w:lineRule="auto"/>
        <w:rPr>
          <w:rFonts w:ascii="Arial" w:eastAsia="Times New Roman" w:hAnsi="Arial" w:cs="Arial"/>
          <w:b/>
          <w:bCs/>
          <w:kern w:val="0"/>
          <w:sz w:val="36"/>
          <w:szCs w:val="36"/>
          <w:lang w:eastAsia="en-GB"/>
          <w14:ligatures w14:val="none"/>
        </w:rPr>
      </w:pPr>
    </w:p>
    <w:p w14:paraId="6ABFD14F" w14:textId="77777777" w:rsidR="006F27BC" w:rsidRPr="001E29AD" w:rsidRDefault="006F27BC" w:rsidP="001E29AD">
      <w:pPr>
        <w:spacing w:line="360" w:lineRule="auto"/>
        <w:rPr>
          <w:rFonts w:ascii="Arial" w:eastAsia="Times New Roman" w:hAnsi="Arial" w:cs="Arial"/>
          <w:b/>
          <w:bCs/>
          <w:kern w:val="0"/>
          <w:sz w:val="36"/>
          <w:szCs w:val="36"/>
          <w:lang w:eastAsia="en-GB"/>
          <w14:ligatures w14:val="none"/>
        </w:rPr>
      </w:pPr>
    </w:p>
    <w:p w14:paraId="79A37A29" w14:textId="77777777" w:rsidR="006F27BC" w:rsidRPr="001E29AD" w:rsidRDefault="006F27BC" w:rsidP="001E29AD">
      <w:pPr>
        <w:spacing w:line="360" w:lineRule="auto"/>
        <w:rPr>
          <w:rFonts w:ascii="Arial" w:eastAsia="Times New Roman" w:hAnsi="Arial" w:cs="Arial"/>
          <w:b/>
          <w:bCs/>
          <w:kern w:val="0"/>
          <w:sz w:val="36"/>
          <w:szCs w:val="36"/>
          <w:lang w:eastAsia="en-GB"/>
          <w14:ligatures w14:val="none"/>
        </w:rPr>
      </w:pPr>
    </w:p>
    <w:p w14:paraId="737E8F2B" w14:textId="77777777" w:rsidR="00FD1EAC" w:rsidRDefault="00FD1EAC" w:rsidP="001E29AD">
      <w:pPr>
        <w:spacing w:line="360" w:lineRule="auto"/>
        <w:rPr>
          <w:rFonts w:ascii="Arial" w:eastAsia="Times New Roman" w:hAnsi="Arial" w:cs="Arial"/>
          <w:b/>
          <w:bCs/>
          <w:kern w:val="0"/>
          <w:sz w:val="36"/>
          <w:szCs w:val="36"/>
          <w:lang w:eastAsia="en-GB"/>
          <w14:ligatures w14:val="none"/>
        </w:rPr>
      </w:pPr>
    </w:p>
    <w:p w14:paraId="31C95943" w14:textId="77777777" w:rsidR="00D12B15" w:rsidRPr="001E29AD" w:rsidRDefault="00D12B15" w:rsidP="001E29AD">
      <w:pPr>
        <w:spacing w:line="360" w:lineRule="auto"/>
        <w:rPr>
          <w:rFonts w:ascii="Arial" w:eastAsia="Times New Roman" w:hAnsi="Arial" w:cs="Arial"/>
          <w:b/>
          <w:bCs/>
          <w:kern w:val="0"/>
          <w:sz w:val="36"/>
          <w:szCs w:val="36"/>
          <w:lang w:eastAsia="en-GB"/>
          <w14:ligatures w14:val="none"/>
        </w:rPr>
      </w:pPr>
    </w:p>
    <w:p w14:paraId="2F18416C" w14:textId="77777777" w:rsidR="000E5496" w:rsidRPr="000E5496" w:rsidRDefault="000E5496" w:rsidP="000E5496">
      <w:pPr>
        <w:pStyle w:val="Heading3"/>
        <w:rPr>
          <w:rFonts w:ascii="Arial" w:hAnsi="Arial" w:cs="Arial"/>
          <w:sz w:val="32"/>
          <w:szCs w:val="32"/>
        </w:rPr>
      </w:pPr>
      <w:bookmarkStart w:id="3" w:name="_Toc212335607"/>
      <w:r w:rsidRPr="000E5496">
        <w:rPr>
          <w:rFonts w:ascii="Arial" w:hAnsi="Arial" w:cs="Arial"/>
          <w:sz w:val="32"/>
          <w:szCs w:val="32"/>
        </w:rPr>
        <w:lastRenderedPageBreak/>
        <w:t>Methods</w:t>
      </w:r>
      <w:bookmarkEnd w:id="3"/>
    </w:p>
    <w:p w14:paraId="50928CAC" w14:textId="02BD17F2" w:rsidR="000E5496" w:rsidRPr="000E5496" w:rsidRDefault="000E5496" w:rsidP="000E5496">
      <w:pPr>
        <w:spacing w:line="360" w:lineRule="auto"/>
        <w:rPr>
          <w:rFonts w:ascii="Arial" w:eastAsia="Times New Roman" w:hAnsi="Arial" w:cs="Arial"/>
          <w:sz w:val="22"/>
          <w:szCs w:val="22"/>
          <w:lang w:eastAsia="en-GB"/>
        </w:rPr>
      </w:pPr>
      <w:r w:rsidRPr="000E5496">
        <w:rPr>
          <w:rFonts w:ascii="Arial" w:eastAsia="Times New Roman" w:hAnsi="Arial" w:cs="Arial"/>
          <w:sz w:val="22"/>
          <w:szCs w:val="22"/>
          <w:lang w:eastAsia="en-GB"/>
        </w:rPr>
        <w:t xml:space="preserve">Search strategy and inclusion </w:t>
      </w:r>
      <w:r w:rsidR="0062420E" w:rsidRPr="000E5496">
        <w:rPr>
          <w:rFonts w:ascii="Arial" w:eastAsia="Times New Roman" w:hAnsi="Arial" w:cs="Arial"/>
          <w:sz w:val="22"/>
          <w:szCs w:val="22"/>
          <w:lang w:eastAsia="en-GB"/>
        </w:rPr>
        <w:t>criteria.</w:t>
      </w:r>
    </w:p>
    <w:p w14:paraId="212B846B" w14:textId="77777777" w:rsidR="000E5496" w:rsidRPr="000E5496" w:rsidRDefault="000E5496" w:rsidP="000E5496">
      <w:pPr>
        <w:spacing w:line="360" w:lineRule="auto"/>
        <w:rPr>
          <w:rFonts w:ascii="Arial" w:eastAsia="Times New Roman" w:hAnsi="Arial" w:cs="Arial"/>
          <w:sz w:val="22"/>
          <w:szCs w:val="22"/>
          <w:lang w:eastAsia="en-GB"/>
        </w:rPr>
      </w:pPr>
      <w:r w:rsidRPr="000E5496">
        <w:rPr>
          <w:rFonts w:ascii="Arial" w:eastAsia="Times New Roman" w:hAnsi="Arial" w:cs="Arial"/>
          <w:sz w:val="22"/>
          <w:szCs w:val="22"/>
          <w:lang w:eastAsia="en-GB"/>
        </w:rPr>
        <w:t>Rapid review of English</w:t>
      </w:r>
      <w:r w:rsidRPr="000E5496">
        <w:rPr>
          <w:rFonts w:ascii="Cambria Math" w:eastAsia="Times New Roman" w:hAnsi="Cambria Math" w:cs="Cambria Math"/>
          <w:sz w:val="22"/>
          <w:szCs w:val="22"/>
          <w:lang w:eastAsia="en-GB"/>
        </w:rPr>
        <w:t>‑</w:t>
      </w:r>
      <w:r w:rsidRPr="000E5496">
        <w:rPr>
          <w:rFonts w:ascii="Arial" w:eastAsia="Times New Roman" w:hAnsi="Arial" w:cs="Arial"/>
          <w:sz w:val="22"/>
          <w:szCs w:val="22"/>
          <w:lang w:eastAsia="en-GB"/>
        </w:rPr>
        <w:t>language literature from 2019–2025 using PubMed/MEDLINE, CINAHL, JMIR, BJGP, Health Foundation and NHS England publications, ICO guidance and vendor materials. Example search string: "EPR OR EHR OR electronic patient record OR electronic health record" AND "primary care OR general practice" AND "workforce OR training OR safety OR clinical decision support". Filters: 2019–2025; article types: systematic review, implementation study, policy report. Screening prioritised UK</w:t>
      </w:r>
      <w:r w:rsidRPr="000E5496">
        <w:rPr>
          <w:rFonts w:ascii="Cambria Math" w:eastAsia="Times New Roman" w:hAnsi="Cambria Math" w:cs="Cambria Math"/>
          <w:sz w:val="22"/>
          <w:szCs w:val="22"/>
          <w:lang w:eastAsia="en-GB"/>
        </w:rPr>
        <w:t>‑</w:t>
      </w:r>
      <w:r w:rsidRPr="000E5496">
        <w:rPr>
          <w:rFonts w:ascii="Arial" w:eastAsia="Times New Roman" w:hAnsi="Arial" w:cs="Arial"/>
          <w:sz w:val="22"/>
          <w:szCs w:val="22"/>
          <w:lang w:eastAsia="en-GB"/>
        </w:rPr>
        <w:t>focused evidence, high</w:t>
      </w:r>
      <w:r w:rsidRPr="000E5496">
        <w:rPr>
          <w:rFonts w:ascii="Cambria Math" w:eastAsia="Times New Roman" w:hAnsi="Cambria Math" w:cs="Cambria Math"/>
          <w:sz w:val="22"/>
          <w:szCs w:val="22"/>
          <w:lang w:eastAsia="en-GB"/>
        </w:rPr>
        <w:t>‑</w:t>
      </w:r>
      <w:r w:rsidRPr="000E5496">
        <w:rPr>
          <w:rFonts w:ascii="Arial" w:eastAsia="Times New Roman" w:hAnsi="Arial" w:cs="Arial"/>
          <w:sz w:val="22"/>
          <w:szCs w:val="22"/>
          <w:lang w:eastAsia="en-GB"/>
        </w:rPr>
        <w:t>quality systematic reviews and pragmatic implementation case studies for extractable findings and operational recommendations (Aveyard, 2014). Appendix_Methods.txt contains full search strings and screening notes.</w:t>
      </w:r>
    </w:p>
    <w:p w14:paraId="1D83BFDC" w14:textId="77777777" w:rsidR="000E5496" w:rsidRPr="000E5496" w:rsidRDefault="000E5496" w:rsidP="000E5496">
      <w:pPr>
        <w:spacing w:line="360" w:lineRule="auto"/>
        <w:rPr>
          <w:rFonts w:ascii="Arial" w:eastAsia="Times New Roman" w:hAnsi="Arial" w:cs="Arial"/>
          <w:sz w:val="22"/>
          <w:szCs w:val="22"/>
          <w:lang w:eastAsia="en-GB"/>
        </w:rPr>
      </w:pPr>
      <w:r w:rsidRPr="000E5496">
        <w:rPr>
          <w:rFonts w:ascii="Arial" w:eastAsia="Times New Roman" w:hAnsi="Arial" w:cs="Arial"/>
          <w:sz w:val="22"/>
          <w:szCs w:val="22"/>
          <w:lang w:eastAsia="en-GB"/>
        </w:rPr>
        <w:t>Quality appraisal and synthesis approach</w:t>
      </w:r>
    </w:p>
    <w:p w14:paraId="5E0310CD" w14:textId="62641D3B" w:rsidR="000E5496" w:rsidRPr="000E5496" w:rsidRDefault="000E5496" w:rsidP="000E5496">
      <w:pPr>
        <w:spacing w:line="360" w:lineRule="auto"/>
        <w:rPr>
          <w:rFonts w:ascii="Arial" w:eastAsia="Times New Roman" w:hAnsi="Arial" w:cs="Arial"/>
          <w:sz w:val="22"/>
          <w:szCs w:val="22"/>
          <w:lang w:eastAsia="en-GB"/>
        </w:rPr>
      </w:pPr>
      <w:r w:rsidRPr="000E5496">
        <w:rPr>
          <w:rFonts w:ascii="Arial" w:eastAsia="Times New Roman" w:hAnsi="Arial" w:cs="Arial"/>
          <w:sz w:val="22"/>
          <w:szCs w:val="22"/>
          <w:lang w:eastAsia="en-GB"/>
        </w:rPr>
        <w:t>Evidence was classified by study type and judged for relevance to primary care implementation. Vendor claims are flagged in the text as “Vendor claim — independent verification required” where appropriate (Medicus Health, 2025). Practical recommendations prioritise high</w:t>
      </w:r>
      <w:r w:rsidRPr="000E5496">
        <w:rPr>
          <w:rFonts w:ascii="Cambria Math" w:eastAsia="Times New Roman" w:hAnsi="Cambria Math" w:cs="Cambria Math"/>
          <w:sz w:val="22"/>
          <w:szCs w:val="22"/>
          <w:lang w:eastAsia="en-GB"/>
        </w:rPr>
        <w:t>‑</w:t>
      </w:r>
      <w:r w:rsidRPr="000E5496">
        <w:rPr>
          <w:rFonts w:ascii="Arial" w:eastAsia="Times New Roman" w:hAnsi="Arial" w:cs="Arial"/>
          <w:sz w:val="22"/>
          <w:szCs w:val="22"/>
          <w:lang w:eastAsia="en-GB"/>
        </w:rPr>
        <w:t>quality synthesis and UK policy alignment (Greenhalgh et al., 2017; Health Foundation, 2025).</w:t>
      </w:r>
    </w:p>
    <w:p w14:paraId="751E053D" w14:textId="77777777" w:rsidR="000E5496" w:rsidRPr="000E5496" w:rsidRDefault="000E5496" w:rsidP="000E5496">
      <w:pPr>
        <w:spacing w:line="360" w:lineRule="auto"/>
        <w:rPr>
          <w:rFonts w:ascii="Arial" w:eastAsia="Times New Roman" w:hAnsi="Arial" w:cs="Arial"/>
          <w:sz w:val="22"/>
          <w:szCs w:val="22"/>
          <w:lang w:eastAsia="en-GB"/>
        </w:rPr>
      </w:pPr>
    </w:p>
    <w:p w14:paraId="15421CA4" w14:textId="77777777" w:rsidR="000E5496" w:rsidRDefault="000E5496" w:rsidP="00494FEB">
      <w:pPr>
        <w:pStyle w:val="Heading3"/>
        <w:spacing w:line="360" w:lineRule="auto"/>
        <w:rPr>
          <w:rFonts w:ascii="Arial" w:eastAsia="Times New Roman" w:hAnsi="Arial" w:cs="Arial"/>
          <w:sz w:val="32"/>
          <w:szCs w:val="32"/>
          <w:lang w:eastAsia="en-GB"/>
        </w:rPr>
      </w:pPr>
    </w:p>
    <w:p w14:paraId="649AC78A" w14:textId="77777777" w:rsidR="000E5496" w:rsidRDefault="000E5496" w:rsidP="00494FEB">
      <w:pPr>
        <w:pStyle w:val="Heading3"/>
        <w:spacing w:line="360" w:lineRule="auto"/>
        <w:rPr>
          <w:rFonts w:ascii="Arial" w:eastAsia="Times New Roman" w:hAnsi="Arial" w:cs="Arial"/>
          <w:sz w:val="32"/>
          <w:szCs w:val="32"/>
          <w:lang w:eastAsia="en-GB"/>
        </w:rPr>
      </w:pPr>
    </w:p>
    <w:p w14:paraId="270D746B" w14:textId="77777777" w:rsidR="000E5496" w:rsidRDefault="000E5496" w:rsidP="00494FEB">
      <w:pPr>
        <w:pStyle w:val="Heading3"/>
        <w:spacing w:line="360" w:lineRule="auto"/>
        <w:rPr>
          <w:rFonts w:ascii="Arial" w:eastAsia="Times New Roman" w:hAnsi="Arial" w:cs="Arial"/>
          <w:sz w:val="32"/>
          <w:szCs w:val="32"/>
          <w:lang w:eastAsia="en-GB"/>
        </w:rPr>
      </w:pPr>
    </w:p>
    <w:p w14:paraId="496AFBA7" w14:textId="77777777" w:rsidR="0062420E" w:rsidRDefault="0062420E" w:rsidP="0062420E">
      <w:pPr>
        <w:rPr>
          <w:lang w:eastAsia="en-GB"/>
        </w:rPr>
      </w:pPr>
    </w:p>
    <w:p w14:paraId="7FA11B2B" w14:textId="77777777" w:rsidR="0062420E" w:rsidRDefault="0062420E" w:rsidP="0062420E">
      <w:pPr>
        <w:rPr>
          <w:lang w:eastAsia="en-GB"/>
        </w:rPr>
      </w:pPr>
    </w:p>
    <w:p w14:paraId="1C7312CD" w14:textId="77777777" w:rsidR="0062420E" w:rsidRDefault="0062420E" w:rsidP="0062420E">
      <w:pPr>
        <w:rPr>
          <w:lang w:eastAsia="en-GB"/>
        </w:rPr>
      </w:pPr>
    </w:p>
    <w:p w14:paraId="28C36BAE" w14:textId="77777777" w:rsidR="0062420E" w:rsidRPr="0062420E" w:rsidRDefault="0062420E" w:rsidP="0062420E">
      <w:pPr>
        <w:rPr>
          <w:lang w:eastAsia="en-GB"/>
        </w:rPr>
      </w:pPr>
    </w:p>
    <w:p w14:paraId="2B662F99" w14:textId="3A1A892E" w:rsidR="00A953FB" w:rsidRPr="00494FEB" w:rsidRDefault="00A953FB" w:rsidP="00494FEB">
      <w:pPr>
        <w:pStyle w:val="Heading3"/>
        <w:spacing w:line="360" w:lineRule="auto"/>
        <w:rPr>
          <w:rFonts w:ascii="Arial" w:eastAsia="Times New Roman" w:hAnsi="Arial" w:cs="Arial"/>
          <w:sz w:val="32"/>
          <w:szCs w:val="32"/>
          <w:lang w:eastAsia="en-GB"/>
        </w:rPr>
      </w:pPr>
      <w:bookmarkStart w:id="4" w:name="_Toc212335608"/>
      <w:r w:rsidRPr="00494FEB">
        <w:rPr>
          <w:rFonts w:ascii="Arial" w:eastAsia="Times New Roman" w:hAnsi="Arial" w:cs="Arial"/>
          <w:sz w:val="32"/>
          <w:szCs w:val="32"/>
          <w:lang w:eastAsia="en-GB"/>
        </w:rPr>
        <w:lastRenderedPageBreak/>
        <w:t>Overview of the digital innovation</w:t>
      </w:r>
      <w:bookmarkEnd w:id="4"/>
    </w:p>
    <w:p w14:paraId="52F8E66B" w14:textId="11359932" w:rsidR="00F8429A" w:rsidRPr="00BE74A6" w:rsidRDefault="00BE74A6" w:rsidP="00BE74A6">
      <w:pPr>
        <w:spacing w:line="360" w:lineRule="auto"/>
        <w:rPr>
          <w:rFonts w:ascii="Arial" w:eastAsia="Times New Roman" w:hAnsi="Arial" w:cs="Arial"/>
          <w:kern w:val="0"/>
          <w:sz w:val="22"/>
          <w:szCs w:val="22"/>
          <w:lang w:eastAsia="en-GB"/>
          <w14:ligatures w14:val="none"/>
        </w:rPr>
      </w:pPr>
      <w:r w:rsidRPr="00BE74A6">
        <w:rPr>
          <w:rFonts w:ascii="Arial" w:eastAsia="Times New Roman" w:hAnsi="Arial" w:cs="Arial"/>
          <w:kern w:val="0"/>
          <w:sz w:val="22"/>
          <w:szCs w:val="22"/>
          <w:lang w:eastAsia="en-GB"/>
          <w14:ligatures w14:val="none"/>
        </w:rPr>
        <w:t>Medicus is a cloud</w:t>
      </w:r>
      <w:r w:rsidRPr="00BE74A6">
        <w:rPr>
          <w:rFonts w:ascii="Cambria Math" w:eastAsia="Times New Roman" w:hAnsi="Cambria Math" w:cs="Cambria Math"/>
          <w:kern w:val="0"/>
          <w:sz w:val="22"/>
          <w:szCs w:val="22"/>
          <w:lang w:eastAsia="en-GB"/>
          <w14:ligatures w14:val="none"/>
        </w:rPr>
        <w:t>‑</w:t>
      </w:r>
      <w:r w:rsidRPr="00BE74A6">
        <w:rPr>
          <w:rFonts w:ascii="Arial" w:eastAsia="Times New Roman" w:hAnsi="Arial" w:cs="Arial"/>
          <w:kern w:val="0"/>
          <w:sz w:val="22"/>
          <w:szCs w:val="22"/>
          <w:lang w:eastAsia="en-GB"/>
          <w14:ligatures w14:val="none"/>
        </w:rPr>
        <w:t xml:space="preserve">native EPR designed to reduce administrative duplication and enable neighbourhood team working through modular task routing, integrated </w:t>
      </w:r>
      <w:r w:rsidR="002E35D1" w:rsidRPr="00BE74A6">
        <w:rPr>
          <w:rFonts w:ascii="Arial" w:eastAsia="Times New Roman" w:hAnsi="Arial" w:cs="Arial"/>
          <w:kern w:val="0"/>
          <w:sz w:val="22"/>
          <w:szCs w:val="22"/>
          <w:lang w:eastAsia="en-GB"/>
          <w14:ligatures w14:val="none"/>
        </w:rPr>
        <w:t>messaging,</w:t>
      </w:r>
      <w:r w:rsidRPr="00BE74A6">
        <w:rPr>
          <w:rFonts w:ascii="Arial" w:eastAsia="Times New Roman" w:hAnsi="Arial" w:cs="Arial"/>
          <w:kern w:val="0"/>
          <w:sz w:val="22"/>
          <w:szCs w:val="22"/>
          <w:lang w:eastAsia="en-GB"/>
          <w14:ligatures w14:val="none"/>
        </w:rPr>
        <w:t xml:space="preserve"> and point</w:t>
      </w:r>
      <w:r w:rsidRPr="00BE74A6">
        <w:rPr>
          <w:rFonts w:ascii="Cambria Math" w:eastAsia="Times New Roman" w:hAnsi="Cambria Math" w:cs="Cambria Math"/>
          <w:kern w:val="0"/>
          <w:sz w:val="22"/>
          <w:szCs w:val="22"/>
          <w:lang w:eastAsia="en-GB"/>
          <w14:ligatures w14:val="none"/>
        </w:rPr>
        <w:t>‑</w:t>
      </w:r>
      <w:r w:rsidRPr="00BE74A6">
        <w:rPr>
          <w:rFonts w:ascii="Arial" w:eastAsia="Times New Roman" w:hAnsi="Arial" w:cs="Arial"/>
          <w:kern w:val="0"/>
          <w:sz w:val="22"/>
          <w:szCs w:val="22"/>
          <w:lang w:eastAsia="en-GB"/>
          <w14:ligatures w14:val="none"/>
        </w:rPr>
        <w:t>of</w:t>
      </w:r>
      <w:r w:rsidRPr="00BE74A6">
        <w:rPr>
          <w:rFonts w:ascii="Cambria Math" w:eastAsia="Times New Roman" w:hAnsi="Cambria Math" w:cs="Cambria Math"/>
          <w:kern w:val="0"/>
          <w:sz w:val="22"/>
          <w:szCs w:val="22"/>
          <w:lang w:eastAsia="en-GB"/>
          <w14:ligatures w14:val="none"/>
        </w:rPr>
        <w:t>‑</w:t>
      </w:r>
      <w:r w:rsidRPr="00BE74A6">
        <w:rPr>
          <w:rFonts w:ascii="Arial" w:eastAsia="Times New Roman" w:hAnsi="Arial" w:cs="Arial"/>
          <w:kern w:val="0"/>
          <w:sz w:val="22"/>
          <w:szCs w:val="22"/>
          <w:lang w:eastAsia="en-GB"/>
          <w14:ligatures w14:val="none"/>
        </w:rPr>
        <w:t>care clinical decision support from FDB Multilex (First Databank 2020; Medicus Health 2025). The cloud architecture supports centralised security, faster clinical content updates and real</w:t>
      </w:r>
      <w:r w:rsidRPr="00BE74A6">
        <w:rPr>
          <w:rFonts w:ascii="Cambria Math" w:eastAsia="Times New Roman" w:hAnsi="Cambria Math" w:cs="Cambria Math"/>
          <w:kern w:val="0"/>
          <w:sz w:val="22"/>
          <w:szCs w:val="22"/>
          <w:lang w:eastAsia="en-GB"/>
          <w14:ligatures w14:val="none"/>
        </w:rPr>
        <w:t>‑</w:t>
      </w:r>
      <w:r w:rsidRPr="00BE74A6">
        <w:rPr>
          <w:rFonts w:ascii="Arial" w:eastAsia="Times New Roman" w:hAnsi="Arial" w:cs="Arial"/>
          <w:kern w:val="0"/>
          <w:sz w:val="22"/>
          <w:szCs w:val="22"/>
          <w:lang w:eastAsia="en-GB"/>
          <w14:ligatures w14:val="none"/>
        </w:rPr>
        <w:t>time national integrations such as NHS App, Summary Care Record and EPS (NHS England 2022). Vendor claim — independent verification required: procurement should request pilot time</w:t>
      </w:r>
      <w:r w:rsidRPr="00BE74A6">
        <w:rPr>
          <w:rFonts w:ascii="Cambria Math" w:eastAsia="Times New Roman" w:hAnsi="Cambria Math" w:cs="Cambria Math"/>
          <w:kern w:val="0"/>
          <w:sz w:val="22"/>
          <w:szCs w:val="22"/>
          <w:lang w:eastAsia="en-GB"/>
          <w14:ligatures w14:val="none"/>
        </w:rPr>
        <w:t>‑</w:t>
      </w:r>
      <w:r w:rsidRPr="00BE74A6">
        <w:rPr>
          <w:rFonts w:ascii="Arial" w:eastAsia="Times New Roman" w:hAnsi="Arial" w:cs="Arial"/>
          <w:kern w:val="0"/>
          <w:sz w:val="22"/>
          <w:szCs w:val="22"/>
          <w:lang w:eastAsia="en-GB"/>
          <w14:ligatures w14:val="none"/>
        </w:rPr>
        <w:t xml:space="preserve">motion data, resilience </w:t>
      </w:r>
      <w:r w:rsidR="002E35D1" w:rsidRPr="00BE74A6">
        <w:rPr>
          <w:rFonts w:ascii="Arial" w:eastAsia="Times New Roman" w:hAnsi="Arial" w:cs="Arial"/>
          <w:kern w:val="0"/>
          <w:sz w:val="22"/>
          <w:szCs w:val="22"/>
          <w:lang w:eastAsia="en-GB"/>
          <w14:ligatures w14:val="none"/>
        </w:rPr>
        <w:t>logs,</w:t>
      </w:r>
      <w:r w:rsidRPr="00BE74A6">
        <w:rPr>
          <w:rFonts w:ascii="Arial" w:eastAsia="Times New Roman" w:hAnsi="Arial" w:cs="Arial"/>
          <w:kern w:val="0"/>
          <w:sz w:val="22"/>
          <w:szCs w:val="22"/>
          <w:lang w:eastAsia="en-GB"/>
          <w14:ligatures w14:val="none"/>
        </w:rPr>
        <w:t xml:space="preserve"> and evidence of integrations (Medicus Health 2025). Early pilot feedback reported improved UI flow and centralised task handling but also significant configuration and training demand during transition (Local pilot feedback report 2025). Measurable objectives for Medicus rollout should include reduction in administrative time per consultation, medication reconciliation timeliness, portal registration by deprivation decile and resilience SLAs; operational definitions and data sources are provided in the Appendix KPI table (DigitalHealth Council 2020).</w:t>
      </w:r>
    </w:p>
    <w:p w14:paraId="12E46A41" w14:textId="77777777" w:rsidR="00494FEB" w:rsidRDefault="00494FEB" w:rsidP="00494FEB">
      <w:pPr>
        <w:spacing w:line="360" w:lineRule="auto"/>
        <w:rPr>
          <w:rFonts w:ascii="Arial" w:eastAsia="Times New Roman" w:hAnsi="Arial" w:cs="Arial"/>
          <w:kern w:val="0"/>
          <w:sz w:val="22"/>
          <w:szCs w:val="22"/>
          <w:lang w:eastAsia="en-GB"/>
          <w14:ligatures w14:val="none"/>
        </w:rPr>
      </w:pPr>
    </w:p>
    <w:p w14:paraId="51F6225F" w14:textId="77777777" w:rsidR="00494FEB" w:rsidRDefault="00494FEB" w:rsidP="00494FEB">
      <w:pPr>
        <w:spacing w:line="360" w:lineRule="auto"/>
        <w:rPr>
          <w:rFonts w:ascii="Arial" w:eastAsia="Times New Roman" w:hAnsi="Arial" w:cs="Arial"/>
          <w:kern w:val="0"/>
          <w:sz w:val="22"/>
          <w:szCs w:val="22"/>
          <w:lang w:eastAsia="en-GB"/>
          <w14:ligatures w14:val="none"/>
        </w:rPr>
      </w:pPr>
    </w:p>
    <w:p w14:paraId="305024A1" w14:textId="77777777" w:rsidR="00494FEB" w:rsidRDefault="00494FEB" w:rsidP="00494FEB">
      <w:pPr>
        <w:spacing w:line="360" w:lineRule="auto"/>
        <w:rPr>
          <w:rFonts w:ascii="Arial" w:eastAsia="Times New Roman" w:hAnsi="Arial" w:cs="Arial"/>
          <w:kern w:val="0"/>
          <w:sz w:val="22"/>
          <w:szCs w:val="22"/>
          <w:lang w:eastAsia="en-GB"/>
          <w14:ligatures w14:val="none"/>
        </w:rPr>
      </w:pPr>
    </w:p>
    <w:p w14:paraId="674293D3" w14:textId="77777777" w:rsidR="00494FEB" w:rsidRDefault="00494FEB" w:rsidP="00494FEB">
      <w:pPr>
        <w:spacing w:line="360" w:lineRule="auto"/>
        <w:rPr>
          <w:rFonts w:ascii="Arial" w:eastAsia="Times New Roman" w:hAnsi="Arial" w:cs="Arial"/>
          <w:kern w:val="0"/>
          <w:sz w:val="22"/>
          <w:szCs w:val="22"/>
          <w:lang w:eastAsia="en-GB"/>
          <w14:ligatures w14:val="none"/>
        </w:rPr>
      </w:pPr>
    </w:p>
    <w:p w14:paraId="4EFE2081" w14:textId="77777777" w:rsidR="00494FEB" w:rsidRDefault="00494FEB" w:rsidP="00494FEB">
      <w:pPr>
        <w:spacing w:line="360" w:lineRule="auto"/>
        <w:rPr>
          <w:rFonts w:ascii="Arial" w:eastAsia="Times New Roman" w:hAnsi="Arial" w:cs="Arial"/>
          <w:kern w:val="0"/>
          <w:sz w:val="22"/>
          <w:szCs w:val="22"/>
          <w:lang w:eastAsia="en-GB"/>
          <w14:ligatures w14:val="none"/>
        </w:rPr>
      </w:pPr>
    </w:p>
    <w:p w14:paraId="6088C72E" w14:textId="77777777" w:rsidR="00BE74A6" w:rsidRDefault="00BE74A6" w:rsidP="00494FEB">
      <w:pPr>
        <w:spacing w:line="360" w:lineRule="auto"/>
        <w:rPr>
          <w:rFonts w:ascii="Arial" w:eastAsia="Times New Roman" w:hAnsi="Arial" w:cs="Arial"/>
          <w:kern w:val="0"/>
          <w:sz w:val="22"/>
          <w:szCs w:val="22"/>
          <w:lang w:eastAsia="en-GB"/>
          <w14:ligatures w14:val="none"/>
        </w:rPr>
      </w:pPr>
    </w:p>
    <w:p w14:paraId="23EA3D2F" w14:textId="77777777" w:rsidR="00BE74A6" w:rsidRDefault="00BE74A6" w:rsidP="00494FEB">
      <w:pPr>
        <w:spacing w:line="360" w:lineRule="auto"/>
        <w:rPr>
          <w:rFonts w:ascii="Arial" w:eastAsia="Times New Roman" w:hAnsi="Arial" w:cs="Arial"/>
          <w:kern w:val="0"/>
          <w:sz w:val="22"/>
          <w:szCs w:val="22"/>
          <w:lang w:eastAsia="en-GB"/>
          <w14:ligatures w14:val="none"/>
        </w:rPr>
      </w:pPr>
    </w:p>
    <w:p w14:paraId="05B6CF6A" w14:textId="77777777" w:rsidR="00BE74A6" w:rsidRDefault="00BE74A6" w:rsidP="00494FEB">
      <w:pPr>
        <w:spacing w:line="360" w:lineRule="auto"/>
        <w:rPr>
          <w:rFonts w:ascii="Arial" w:eastAsia="Times New Roman" w:hAnsi="Arial" w:cs="Arial"/>
          <w:kern w:val="0"/>
          <w:sz w:val="22"/>
          <w:szCs w:val="22"/>
          <w:lang w:eastAsia="en-GB"/>
          <w14:ligatures w14:val="none"/>
        </w:rPr>
      </w:pPr>
    </w:p>
    <w:p w14:paraId="16D4BFCF" w14:textId="77777777" w:rsidR="00BE74A6" w:rsidRDefault="00BE74A6" w:rsidP="00494FEB">
      <w:pPr>
        <w:spacing w:line="360" w:lineRule="auto"/>
        <w:rPr>
          <w:rFonts w:ascii="Arial" w:eastAsia="Times New Roman" w:hAnsi="Arial" w:cs="Arial"/>
          <w:kern w:val="0"/>
          <w:sz w:val="22"/>
          <w:szCs w:val="22"/>
          <w:lang w:eastAsia="en-GB"/>
          <w14:ligatures w14:val="none"/>
        </w:rPr>
      </w:pPr>
    </w:p>
    <w:p w14:paraId="772EC477" w14:textId="77777777" w:rsidR="00BE74A6" w:rsidRDefault="00BE74A6" w:rsidP="00494FEB">
      <w:pPr>
        <w:spacing w:line="360" w:lineRule="auto"/>
        <w:rPr>
          <w:rFonts w:ascii="Arial" w:eastAsia="Times New Roman" w:hAnsi="Arial" w:cs="Arial"/>
          <w:kern w:val="0"/>
          <w:sz w:val="22"/>
          <w:szCs w:val="22"/>
          <w:lang w:eastAsia="en-GB"/>
          <w14:ligatures w14:val="none"/>
        </w:rPr>
      </w:pPr>
    </w:p>
    <w:p w14:paraId="5C4CDC3F" w14:textId="77777777" w:rsidR="00BE74A6" w:rsidRDefault="00BE74A6" w:rsidP="00494FEB">
      <w:pPr>
        <w:spacing w:line="360" w:lineRule="auto"/>
        <w:rPr>
          <w:rFonts w:ascii="Arial" w:eastAsia="Times New Roman" w:hAnsi="Arial" w:cs="Arial"/>
          <w:kern w:val="0"/>
          <w:sz w:val="22"/>
          <w:szCs w:val="22"/>
          <w:lang w:eastAsia="en-GB"/>
          <w14:ligatures w14:val="none"/>
        </w:rPr>
      </w:pPr>
    </w:p>
    <w:p w14:paraId="1E3E5582" w14:textId="77777777" w:rsidR="00BE74A6" w:rsidRDefault="00BE74A6" w:rsidP="00494FEB">
      <w:pPr>
        <w:spacing w:line="360" w:lineRule="auto"/>
        <w:rPr>
          <w:rFonts w:ascii="Arial" w:eastAsia="Times New Roman" w:hAnsi="Arial" w:cs="Arial"/>
          <w:kern w:val="0"/>
          <w:sz w:val="22"/>
          <w:szCs w:val="22"/>
          <w:lang w:eastAsia="en-GB"/>
          <w14:ligatures w14:val="none"/>
        </w:rPr>
      </w:pPr>
    </w:p>
    <w:p w14:paraId="42CE23D7" w14:textId="77777777" w:rsidR="00494FEB" w:rsidRPr="00494FEB" w:rsidRDefault="00494FEB" w:rsidP="00494FEB">
      <w:pPr>
        <w:spacing w:line="360" w:lineRule="auto"/>
        <w:rPr>
          <w:rFonts w:ascii="Arial" w:eastAsia="Times New Roman" w:hAnsi="Arial" w:cs="Arial"/>
          <w:kern w:val="0"/>
          <w:sz w:val="22"/>
          <w:szCs w:val="22"/>
          <w:lang w:eastAsia="en-GB"/>
          <w14:ligatures w14:val="none"/>
        </w:rPr>
      </w:pPr>
    </w:p>
    <w:p w14:paraId="35CCBF55" w14:textId="1389098A" w:rsidR="00A953FB" w:rsidRPr="00494FEB" w:rsidRDefault="00A953FB" w:rsidP="00494FEB">
      <w:pPr>
        <w:pStyle w:val="Heading3"/>
        <w:spacing w:line="360" w:lineRule="auto"/>
        <w:rPr>
          <w:rFonts w:ascii="Arial" w:eastAsia="Times New Roman" w:hAnsi="Arial" w:cs="Arial"/>
          <w:sz w:val="32"/>
          <w:szCs w:val="32"/>
          <w:lang w:eastAsia="en-GB"/>
        </w:rPr>
      </w:pPr>
      <w:bookmarkStart w:id="5" w:name="_Toc212335609"/>
      <w:r w:rsidRPr="00494FEB">
        <w:rPr>
          <w:rFonts w:ascii="Arial" w:eastAsia="Times New Roman" w:hAnsi="Arial" w:cs="Arial"/>
          <w:sz w:val="32"/>
          <w:szCs w:val="32"/>
          <w:lang w:eastAsia="en-GB"/>
        </w:rPr>
        <w:lastRenderedPageBreak/>
        <w:t>Impact on the workforce</w:t>
      </w:r>
      <w:bookmarkEnd w:id="5"/>
    </w:p>
    <w:p w14:paraId="0A553E67" w14:textId="300C35AB" w:rsidR="00335DC0" w:rsidRDefault="00CB736F" w:rsidP="00494FEB">
      <w:pPr>
        <w:spacing w:line="360" w:lineRule="auto"/>
        <w:rPr>
          <w:rFonts w:ascii="Arial" w:eastAsia="Times New Roman" w:hAnsi="Arial" w:cs="Arial"/>
          <w:kern w:val="0"/>
          <w:sz w:val="22"/>
          <w:szCs w:val="22"/>
          <w:lang w:eastAsia="en-GB"/>
          <w14:ligatures w14:val="none"/>
        </w:rPr>
      </w:pPr>
      <w:r w:rsidRPr="00CB736F">
        <w:rPr>
          <w:rFonts w:ascii="Arial" w:eastAsia="Times New Roman" w:hAnsi="Arial" w:cs="Arial"/>
          <w:kern w:val="0"/>
          <w:sz w:val="22"/>
          <w:szCs w:val="22"/>
          <w:lang w:eastAsia="en-GB"/>
          <w14:ligatures w14:val="none"/>
        </w:rPr>
        <w:t>Medicus centralises workflows and shifts many administrative tasks previously spread across multiple systems onto the EPR, creating role changes and new roles such as super</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users, local configuration leads and assisted</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digital coordinators (Bates et al. 2018). Adoption requires competency</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based training with protected learning time, a phased activation approach and a super</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user cascade with competency sign</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offs (NHS Education for Scotland 2019). Risks include alert fatigue from poorly tuned clinical decision support (CDS) (Sittig and Singh 2012), knowledge concentration in unfunded super</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users and transient increases in helpdesk demand during go</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live (Local pilot feedback report 2025). Recommended mitigations: contractual funding for protected training and super</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user hours, competency sign</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off targets with sensitivity testing against baseline staff availability, phased rollouts with parallel running and supplier surge support (Health Foundation 2020). Workforce KPIs: proportion of staff with competency sign</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off within 8 weeks; funded super</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user hours per 1,000 patients; helpdesk demand per 1,000 consultations; staff satisfaction score pre/post rollout (see Appendix Table A2) (Royal College of General Practitioners 2021). Assumption: baseline KPI targets should be sensitivity</w:t>
      </w:r>
      <w:r w:rsidRPr="00CB736F">
        <w:rPr>
          <w:rFonts w:ascii="Cambria Math" w:eastAsia="Times New Roman" w:hAnsi="Cambria Math" w:cs="Cambria Math"/>
          <w:kern w:val="0"/>
          <w:sz w:val="22"/>
          <w:szCs w:val="22"/>
          <w:lang w:eastAsia="en-GB"/>
          <w14:ligatures w14:val="none"/>
        </w:rPr>
        <w:t>‑</w:t>
      </w:r>
      <w:r w:rsidRPr="00CB736F">
        <w:rPr>
          <w:rFonts w:ascii="Arial" w:eastAsia="Times New Roman" w:hAnsi="Arial" w:cs="Arial"/>
          <w:kern w:val="0"/>
          <w:sz w:val="22"/>
          <w:szCs w:val="22"/>
          <w:lang w:eastAsia="en-GB"/>
          <w14:ligatures w14:val="none"/>
        </w:rPr>
        <w:t>tested against local staffing and activity; record assumptions in Appendix_A7_Worked.xlsx.</w:t>
      </w:r>
    </w:p>
    <w:p w14:paraId="74A1CF01"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2A756E83"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40C41D15"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45919A1D"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683F8C64"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290A319E"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1E63D3DF"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0383D730"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3F308ECD"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1B5FD01E" w14:textId="77777777" w:rsidR="00CB736F" w:rsidRDefault="00CB736F" w:rsidP="00494FEB">
      <w:pPr>
        <w:spacing w:line="360" w:lineRule="auto"/>
        <w:rPr>
          <w:rFonts w:ascii="Arial" w:eastAsia="Times New Roman" w:hAnsi="Arial" w:cs="Arial"/>
          <w:kern w:val="0"/>
          <w:sz w:val="22"/>
          <w:szCs w:val="22"/>
          <w:lang w:eastAsia="en-GB"/>
          <w14:ligatures w14:val="none"/>
        </w:rPr>
      </w:pPr>
    </w:p>
    <w:p w14:paraId="6F3E4F47" w14:textId="77777777" w:rsidR="00CB736F" w:rsidRPr="00CB736F" w:rsidRDefault="00CB736F" w:rsidP="00494FEB">
      <w:pPr>
        <w:spacing w:line="360" w:lineRule="auto"/>
        <w:rPr>
          <w:rFonts w:ascii="Arial" w:eastAsia="Times New Roman" w:hAnsi="Arial" w:cs="Arial"/>
          <w:kern w:val="0"/>
          <w:sz w:val="22"/>
          <w:szCs w:val="22"/>
          <w:lang w:eastAsia="en-GB"/>
          <w14:ligatures w14:val="none"/>
        </w:rPr>
      </w:pPr>
    </w:p>
    <w:p w14:paraId="7668BDDD" w14:textId="52F37BC0" w:rsidR="00A953FB" w:rsidRPr="00494FEB" w:rsidRDefault="00A953FB" w:rsidP="00494FEB">
      <w:pPr>
        <w:pStyle w:val="Heading3"/>
        <w:spacing w:line="360" w:lineRule="auto"/>
        <w:rPr>
          <w:rFonts w:ascii="Arial" w:eastAsia="Times New Roman" w:hAnsi="Arial" w:cs="Arial"/>
          <w:sz w:val="32"/>
          <w:szCs w:val="32"/>
          <w:lang w:eastAsia="en-GB"/>
        </w:rPr>
      </w:pPr>
      <w:bookmarkStart w:id="6" w:name="_Toc212335610"/>
      <w:r w:rsidRPr="00494FEB">
        <w:rPr>
          <w:rFonts w:ascii="Arial" w:eastAsia="Times New Roman" w:hAnsi="Arial" w:cs="Arial"/>
          <w:sz w:val="32"/>
          <w:szCs w:val="32"/>
          <w:lang w:eastAsia="en-GB"/>
        </w:rPr>
        <w:lastRenderedPageBreak/>
        <w:t>Impact on service delivery</w:t>
      </w:r>
      <w:bookmarkEnd w:id="6"/>
    </w:p>
    <w:p w14:paraId="1FB2B3D6" w14:textId="4AFDE26F" w:rsidR="00A953FB" w:rsidRPr="00146606" w:rsidRDefault="00A953FB" w:rsidP="00494FEB">
      <w:pPr>
        <w:spacing w:line="360" w:lineRule="auto"/>
        <w:rPr>
          <w:rFonts w:ascii="Arial" w:eastAsia="Times New Roman" w:hAnsi="Arial" w:cs="Arial"/>
          <w:kern w:val="0"/>
          <w:sz w:val="22"/>
          <w:szCs w:val="22"/>
          <w:lang w:eastAsia="en-GB"/>
          <w14:ligatures w14:val="none"/>
        </w:rPr>
      </w:pPr>
      <w:r w:rsidRPr="00146606">
        <w:rPr>
          <w:rFonts w:ascii="Arial" w:eastAsia="Times New Roman" w:hAnsi="Arial" w:cs="Arial"/>
          <w:kern w:val="0"/>
          <w:sz w:val="22"/>
          <w:szCs w:val="22"/>
          <w:lang w:eastAsia="en-GB"/>
          <w14:ligatures w14:val="none"/>
        </w:rPr>
        <w:t>Medicus can transform daily service delivery by centralising workflows, automating routine administrative tasks and enabling context</w:t>
      </w:r>
      <w:r w:rsidRPr="00146606">
        <w:rPr>
          <w:rFonts w:ascii="Cambria Math" w:eastAsia="Times New Roman" w:hAnsi="Cambria Math" w:cs="Cambria Math"/>
          <w:kern w:val="0"/>
          <w:sz w:val="22"/>
          <w:szCs w:val="22"/>
          <w:lang w:eastAsia="en-GB"/>
          <w14:ligatures w14:val="none"/>
        </w:rPr>
        <w:t>‑</w:t>
      </w:r>
      <w:r w:rsidRPr="00146606">
        <w:rPr>
          <w:rFonts w:ascii="Arial" w:eastAsia="Times New Roman" w:hAnsi="Arial" w:cs="Arial"/>
          <w:kern w:val="0"/>
          <w:sz w:val="22"/>
          <w:szCs w:val="22"/>
          <w:lang w:eastAsia="en-GB"/>
          <w14:ligatures w14:val="none"/>
        </w:rPr>
        <w:t xml:space="preserve">aware decision support, potentially shortening care pathways, reducing </w:t>
      </w:r>
      <w:r w:rsidR="002E35D1" w:rsidRPr="00146606">
        <w:rPr>
          <w:rFonts w:ascii="Arial" w:eastAsia="Times New Roman" w:hAnsi="Arial" w:cs="Arial"/>
          <w:kern w:val="0"/>
          <w:sz w:val="22"/>
          <w:szCs w:val="22"/>
          <w:lang w:eastAsia="en-GB"/>
          <w14:ligatures w14:val="none"/>
        </w:rPr>
        <w:t>duplication,</w:t>
      </w:r>
      <w:r w:rsidRPr="00146606">
        <w:rPr>
          <w:rFonts w:ascii="Arial" w:eastAsia="Times New Roman" w:hAnsi="Arial" w:cs="Arial"/>
          <w:kern w:val="0"/>
          <w:sz w:val="22"/>
          <w:szCs w:val="22"/>
          <w:lang w:eastAsia="en-GB"/>
          <w14:ligatures w14:val="none"/>
        </w:rPr>
        <w:t xml:space="preserve"> and speeding access to information (NHS England, 2023). Reported efficiency gains include fewer clicks per task, automated task </w:t>
      </w:r>
      <w:r w:rsidR="002E35D1" w:rsidRPr="00146606">
        <w:rPr>
          <w:rFonts w:ascii="Arial" w:eastAsia="Times New Roman" w:hAnsi="Arial" w:cs="Arial"/>
          <w:kern w:val="0"/>
          <w:sz w:val="22"/>
          <w:szCs w:val="22"/>
          <w:lang w:eastAsia="en-GB"/>
          <w14:ligatures w14:val="none"/>
        </w:rPr>
        <w:t>routing,</w:t>
      </w:r>
      <w:r w:rsidRPr="00146606">
        <w:rPr>
          <w:rFonts w:ascii="Arial" w:eastAsia="Times New Roman" w:hAnsi="Arial" w:cs="Arial"/>
          <w:kern w:val="0"/>
          <w:sz w:val="22"/>
          <w:szCs w:val="22"/>
          <w:lang w:eastAsia="en-GB"/>
          <w14:ligatures w14:val="none"/>
        </w:rPr>
        <w:t xml:space="preserve"> and faster medication reconciliation where CDS is integrated (First Databank, 2025). See Appendix Figure A1 for the FDB Medication Decision Support home screen and connected tools.</w:t>
      </w:r>
    </w:p>
    <w:p w14:paraId="7EF52789" w14:textId="165BB494" w:rsidR="00A953FB" w:rsidRPr="00146606" w:rsidRDefault="00A953FB" w:rsidP="00494FEB">
      <w:pPr>
        <w:spacing w:line="360" w:lineRule="auto"/>
        <w:rPr>
          <w:rFonts w:ascii="Arial" w:eastAsia="Times New Roman" w:hAnsi="Arial" w:cs="Arial"/>
          <w:kern w:val="0"/>
          <w:sz w:val="22"/>
          <w:szCs w:val="22"/>
          <w:lang w:eastAsia="en-GB"/>
          <w14:ligatures w14:val="none"/>
        </w:rPr>
      </w:pPr>
      <w:r w:rsidRPr="00146606">
        <w:rPr>
          <w:rFonts w:ascii="Arial" w:eastAsia="Times New Roman" w:hAnsi="Arial" w:cs="Arial"/>
          <w:kern w:val="0"/>
          <w:sz w:val="22"/>
          <w:szCs w:val="22"/>
          <w:lang w:eastAsia="en-GB"/>
          <w14:ligatures w14:val="none"/>
        </w:rPr>
        <w:t>Realised gains depend on configuration quality, interoperability testing (EPS, SCR, referrals) and SLA</w:t>
      </w:r>
      <w:r w:rsidRPr="00146606">
        <w:rPr>
          <w:rFonts w:ascii="Cambria Math" w:eastAsia="Times New Roman" w:hAnsi="Cambria Math" w:cs="Cambria Math"/>
          <w:kern w:val="0"/>
          <w:sz w:val="22"/>
          <w:szCs w:val="22"/>
          <w:lang w:eastAsia="en-GB"/>
          <w14:ligatures w14:val="none"/>
        </w:rPr>
        <w:t>‑</w:t>
      </w:r>
      <w:r w:rsidRPr="00146606">
        <w:rPr>
          <w:rFonts w:ascii="Arial" w:eastAsia="Times New Roman" w:hAnsi="Arial" w:cs="Arial"/>
          <w:kern w:val="0"/>
          <w:sz w:val="22"/>
          <w:szCs w:val="22"/>
          <w:lang w:eastAsia="en-GB"/>
          <w14:ligatures w14:val="none"/>
        </w:rPr>
        <w:t xml:space="preserve">backed resilience (NHS England, 2023; HFMA, 2025). Initial deployment commonly causes workflow disruption: appointment scheduling patterns shift, triage pathways may require </w:t>
      </w:r>
      <w:r w:rsidR="00146606" w:rsidRPr="00146606">
        <w:rPr>
          <w:rFonts w:ascii="Arial" w:eastAsia="Times New Roman" w:hAnsi="Arial" w:cs="Arial"/>
          <w:kern w:val="0"/>
          <w:sz w:val="22"/>
          <w:szCs w:val="22"/>
          <w:lang w:eastAsia="en-GB"/>
          <w14:ligatures w14:val="none"/>
        </w:rPr>
        <w:t>redesign,</w:t>
      </w:r>
      <w:r w:rsidRPr="00146606">
        <w:rPr>
          <w:rFonts w:ascii="Arial" w:eastAsia="Times New Roman" w:hAnsi="Arial" w:cs="Arial"/>
          <w:kern w:val="0"/>
          <w:sz w:val="22"/>
          <w:szCs w:val="22"/>
          <w:lang w:eastAsia="en-GB"/>
          <w14:ligatures w14:val="none"/>
        </w:rPr>
        <w:t xml:space="preserve"> and administrative teams must adapt to new task distributions (Burns, 2024). Mitigations include phased rollouts, parallel running with legacy systems for a defined period and targeted process mapping prior to go</w:t>
      </w:r>
      <w:r w:rsidRPr="00146606">
        <w:rPr>
          <w:rFonts w:ascii="Cambria Math" w:eastAsia="Times New Roman" w:hAnsi="Cambria Math" w:cs="Cambria Math"/>
          <w:kern w:val="0"/>
          <w:sz w:val="22"/>
          <w:szCs w:val="22"/>
          <w:lang w:eastAsia="en-GB"/>
          <w14:ligatures w14:val="none"/>
        </w:rPr>
        <w:t>‑</w:t>
      </w:r>
      <w:r w:rsidRPr="00146606">
        <w:rPr>
          <w:rFonts w:ascii="Arial" w:eastAsia="Times New Roman" w:hAnsi="Arial" w:cs="Arial"/>
          <w:kern w:val="0"/>
          <w:sz w:val="22"/>
          <w:szCs w:val="22"/>
          <w:lang w:eastAsia="en-GB"/>
          <w14:ligatures w14:val="none"/>
        </w:rPr>
        <w:t>live. Tactical interface examples are in Appendix Figures A2–A4.</w:t>
      </w:r>
    </w:p>
    <w:p w14:paraId="5BF25045" w14:textId="5DA8C2A2" w:rsidR="00A953FB" w:rsidRPr="00146606" w:rsidRDefault="00A953FB" w:rsidP="00494FEB">
      <w:pPr>
        <w:spacing w:line="360" w:lineRule="auto"/>
        <w:rPr>
          <w:rFonts w:ascii="Arial" w:eastAsia="Times New Roman" w:hAnsi="Arial" w:cs="Arial"/>
          <w:kern w:val="0"/>
          <w:sz w:val="22"/>
          <w:szCs w:val="22"/>
          <w:lang w:eastAsia="en-GB"/>
          <w14:ligatures w14:val="none"/>
        </w:rPr>
      </w:pPr>
      <w:r w:rsidRPr="00146606">
        <w:rPr>
          <w:rFonts w:ascii="Arial" w:eastAsia="Times New Roman" w:hAnsi="Arial" w:cs="Arial"/>
          <w:kern w:val="0"/>
          <w:sz w:val="22"/>
          <w:szCs w:val="22"/>
          <w:lang w:eastAsia="en-GB"/>
          <w14:ligatures w14:val="none"/>
        </w:rPr>
        <w:t xml:space="preserve">Safety and resilience are central: CDS tuning is essential to avoid excessive alerts and unsafe overrides, therefore override rates and incident reporting should be embedded in a Safety Dashboard and monitored continuously (Payne et al., 2021). Technical resilience (uptime and MTTR targets) must be contractually defined and tracked via a Resilience Dashboard with daily exception alerts (NHS England, 2023). Operational dashboard </w:t>
      </w:r>
      <w:r w:rsidR="00CC3C9B" w:rsidRPr="00146606">
        <w:rPr>
          <w:rFonts w:ascii="Arial" w:eastAsia="Times New Roman" w:hAnsi="Arial" w:cs="Arial"/>
          <w:kern w:val="0"/>
          <w:sz w:val="22"/>
          <w:szCs w:val="22"/>
          <w:lang w:eastAsia="en-GB"/>
          <w14:ligatures w14:val="none"/>
        </w:rPr>
        <w:t>mock-ups</w:t>
      </w:r>
      <w:r w:rsidRPr="00146606">
        <w:rPr>
          <w:rFonts w:ascii="Arial" w:eastAsia="Times New Roman" w:hAnsi="Arial" w:cs="Arial"/>
          <w:kern w:val="0"/>
          <w:sz w:val="22"/>
          <w:szCs w:val="22"/>
          <w:lang w:eastAsia="en-GB"/>
          <w14:ligatures w14:val="none"/>
        </w:rPr>
        <w:t xml:space="preserve"> and recommended KPI definitions are provided in Appendix Table A3 and Appendix Table </w:t>
      </w:r>
      <w:r w:rsidR="002E35D1" w:rsidRPr="00146606">
        <w:rPr>
          <w:rFonts w:ascii="Arial" w:eastAsia="Times New Roman" w:hAnsi="Arial" w:cs="Arial"/>
          <w:kern w:val="0"/>
          <w:sz w:val="22"/>
          <w:szCs w:val="22"/>
          <w:lang w:eastAsia="en-GB"/>
          <w14:ligatures w14:val="none"/>
        </w:rPr>
        <w:t>A2,</w:t>
      </w:r>
      <w:r w:rsidRPr="00146606">
        <w:rPr>
          <w:rFonts w:ascii="Arial" w:eastAsia="Times New Roman" w:hAnsi="Arial" w:cs="Arial"/>
          <w:kern w:val="0"/>
          <w:sz w:val="22"/>
          <w:szCs w:val="22"/>
          <w:lang w:eastAsia="en-GB"/>
          <w14:ligatures w14:val="none"/>
        </w:rPr>
        <w:t xml:space="preserve"> respectively.</w:t>
      </w:r>
    </w:p>
    <w:p w14:paraId="29F03892" w14:textId="77777777" w:rsidR="00B5361C" w:rsidRPr="001E29AD" w:rsidRDefault="00B5361C" w:rsidP="00494FEB">
      <w:pPr>
        <w:spacing w:line="360" w:lineRule="auto"/>
        <w:rPr>
          <w:rFonts w:ascii="Arial" w:eastAsia="Times New Roman" w:hAnsi="Arial" w:cs="Arial"/>
          <w:kern w:val="0"/>
          <w:sz w:val="28"/>
          <w:szCs w:val="28"/>
          <w:lang w:eastAsia="en-GB"/>
          <w14:ligatures w14:val="none"/>
        </w:rPr>
      </w:pPr>
    </w:p>
    <w:p w14:paraId="2B14A4AB" w14:textId="77777777" w:rsidR="00B5361C" w:rsidRPr="001E29AD" w:rsidRDefault="00B5361C" w:rsidP="00494FEB">
      <w:pPr>
        <w:spacing w:line="360" w:lineRule="auto"/>
        <w:rPr>
          <w:rFonts w:ascii="Arial" w:eastAsia="Times New Roman" w:hAnsi="Arial" w:cs="Arial"/>
          <w:kern w:val="0"/>
          <w:sz w:val="22"/>
          <w:szCs w:val="22"/>
          <w:lang w:eastAsia="en-GB"/>
          <w14:ligatures w14:val="none"/>
        </w:rPr>
      </w:pPr>
    </w:p>
    <w:p w14:paraId="17E0C545" w14:textId="77777777" w:rsidR="00B5361C" w:rsidRPr="001E29AD" w:rsidRDefault="00B5361C" w:rsidP="00494FEB">
      <w:pPr>
        <w:spacing w:line="360" w:lineRule="auto"/>
        <w:rPr>
          <w:rFonts w:ascii="Arial" w:eastAsia="Times New Roman" w:hAnsi="Arial" w:cs="Arial"/>
          <w:kern w:val="0"/>
          <w:sz w:val="22"/>
          <w:szCs w:val="22"/>
          <w:lang w:eastAsia="en-GB"/>
          <w14:ligatures w14:val="none"/>
        </w:rPr>
      </w:pPr>
    </w:p>
    <w:p w14:paraId="0B6EE395" w14:textId="77777777" w:rsidR="00B5361C" w:rsidRPr="001E29AD" w:rsidRDefault="00B5361C" w:rsidP="00494FEB">
      <w:pPr>
        <w:spacing w:line="360" w:lineRule="auto"/>
        <w:rPr>
          <w:rFonts w:ascii="Arial" w:eastAsia="Times New Roman" w:hAnsi="Arial" w:cs="Arial"/>
          <w:kern w:val="0"/>
          <w:sz w:val="22"/>
          <w:szCs w:val="22"/>
          <w:lang w:eastAsia="en-GB"/>
          <w14:ligatures w14:val="none"/>
        </w:rPr>
      </w:pPr>
    </w:p>
    <w:p w14:paraId="2BB23903" w14:textId="77777777" w:rsidR="00E750DB" w:rsidRPr="001E29AD" w:rsidRDefault="00E750DB" w:rsidP="00494FEB">
      <w:pPr>
        <w:spacing w:line="360" w:lineRule="auto"/>
        <w:rPr>
          <w:rFonts w:ascii="Arial" w:eastAsia="Times New Roman" w:hAnsi="Arial" w:cs="Arial"/>
          <w:kern w:val="0"/>
          <w:sz w:val="22"/>
          <w:szCs w:val="22"/>
          <w:lang w:eastAsia="en-GB"/>
          <w14:ligatures w14:val="none"/>
        </w:rPr>
      </w:pPr>
    </w:p>
    <w:p w14:paraId="45E23A24" w14:textId="77777777" w:rsidR="00F8429A" w:rsidRPr="001E29AD" w:rsidRDefault="00F8429A" w:rsidP="00494FEB">
      <w:pPr>
        <w:spacing w:line="360" w:lineRule="auto"/>
        <w:rPr>
          <w:rFonts w:ascii="Arial" w:eastAsia="Times New Roman" w:hAnsi="Arial" w:cs="Arial"/>
          <w:kern w:val="0"/>
          <w:sz w:val="22"/>
          <w:szCs w:val="22"/>
          <w:lang w:eastAsia="en-GB"/>
          <w14:ligatures w14:val="none"/>
        </w:rPr>
      </w:pPr>
    </w:p>
    <w:p w14:paraId="4DE96AE4" w14:textId="77777777" w:rsidR="00F8429A" w:rsidRPr="001E29AD" w:rsidRDefault="00F8429A" w:rsidP="00494FEB">
      <w:pPr>
        <w:spacing w:line="360" w:lineRule="auto"/>
        <w:rPr>
          <w:rFonts w:ascii="Arial" w:eastAsia="Times New Roman" w:hAnsi="Arial" w:cs="Arial"/>
          <w:kern w:val="0"/>
          <w:sz w:val="22"/>
          <w:szCs w:val="22"/>
          <w:lang w:eastAsia="en-GB"/>
          <w14:ligatures w14:val="none"/>
        </w:rPr>
      </w:pPr>
    </w:p>
    <w:p w14:paraId="0A452C36" w14:textId="77777777" w:rsidR="00F8429A" w:rsidRPr="001E29AD" w:rsidRDefault="00F8429A" w:rsidP="00494FEB">
      <w:pPr>
        <w:spacing w:line="360" w:lineRule="auto"/>
        <w:rPr>
          <w:rFonts w:ascii="Arial" w:eastAsia="Times New Roman" w:hAnsi="Arial" w:cs="Arial"/>
          <w:kern w:val="0"/>
          <w:sz w:val="22"/>
          <w:szCs w:val="22"/>
          <w:lang w:eastAsia="en-GB"/>
          <w14:ligatures w14:val="none"/>
        </w:rPr>
      </w:pPr>
    </w:p>
    <w:p w14:paraId="2AD8ECC6" w14:textId="52FA7562" w:rsidR="00A953FB" w:rsidRPr="00CC3C9B" w:rsidRDefault="00A953FB" w:rsidP="00494FEB">
      <w:pPr>
        <w:pStyle w:val="Heading3"/>
        <w:spacing w:line="360" w:lineRule="auto"/>
        <w:rPr>
          <w:rFonts w:ascii="Arial" w:eastAsia="Times New Roman" w:hAnsi="Arial" w:cs="Arial"/>
          <w:sz w:val="32"/>
          <w:szCs w:val="32"/>
          <w:lang w:eastAsia="en-GB"/>
        </w:rPr>
      </w:pPr>
      <w:bookmarkStart w:id="7" w:name="_Toc212335611"/>
      <w:r w:rsidRPr="00CC3C9B">
        <w:rPr>
          <w:rFonts w:ascii="Arial" w:eastAsia="Times New Roman" w:hAnsi="Arial" w:cs="Arial"/>
          <w:sz w:val="32"/>
          <w:szCs w:val="32"/>
          <w:lang w:eastAsia="en-GB"/>
        </w:rPr>
        <w:lastRenderedPageBreak/>
        <w:t>Impact on patients and service users</w:t>
      </w:r>
      <w:bookmarkEnd w:id="7"/>
    </w:p>
    <w:p w14:paraId="243EDE67" w14:textId="5C2B11B6"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Patient experience is determined by portal functionality, CDS</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 xml:space="preserve">enabled shared decision </w:t>
      </w:r>
      <w:r w:rsidR="002E35D1" w:rsidRPr="001E29AD">
        <w:rPr>
          <w:rFonts w:ascii="Arial" w:eastAsia="Times New Roman" w:hAnsi="Arial" w:cs="Arial"/>
          <w:kern w:val="0"/>
          <w:sz w:val="22"/>
          <w:szCs w:val="22"/>
          <w:lang w:eastAsia="en-GB"/>
          <w14:ligatures w14:val="none"/>
        </w:rPr>
        <w:t>aids,</w:t>
      </w:r>
      <w:r w:rsidRPr="001E29AD">
        <w:rPr>
          <w:rFonts w:ascii="Arial" w:eastAsia="Times New Roman" w:hAnsi="Arial" w:cs="Arial"/>
          <w:kern w:val="0"/>
          <w:sz w:val="22"/>
          <w:szCs w:val="22"/>
          <w:lang w:eastAsia="en-GB"/>
          <w14:ligatures w14:val="none"/>
        </w:rPr>
        <w:t xml:space="preserve"> and assisted</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 xml:space="preserve">digital pathways. </w:t>
      </w:r>
      <w:r w:rsidR="00F12EB7" w:rsidRPr="001E29AD">
        <w:rPr>
          <w:rFonts w:ascii="Arial" w:eastAsia="Times New Roman" w:hAnsi="Arial" w:cs="Arial"/>
          <w:kern w:val="0"/>
          <w:sz w:val="22"/>
          <w:szCs w:val="22"/>
          <w:lang w:eastAsia="en-GB"/>
          <w14:ligatures w14:val="none"/>
        </w:rPr>
        <w:t>Well,</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implemented portals increase transparency (test results, messaging), support self</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management and strengthen shared decision</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making when patient summaries and explainable CDS outputs are available (Da Silva, 2012; First Databank, 2025). Policy entitlements and patient rights from March 2025 are summarised in Appendix Figure A5 and provide context for portal expectations.</w:t>
      </w:r>
    </w:p>
    <w:p w14:paraId="1AE6C932" w14:textId="770DE3A4"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 xml:space="preserve">Evidence from comparable rollouts shows faster access to results, timelier medication </w:t>
      </w:r>
      <w:r w:rsidR="002E35D1" w:rsidRPr="001E29AD">
        <w:rPr>
          <w:rFonts w:ascii="Arial" w:eastAsia="Times New Roman" w:hAnsi="Arial" w:cs="Arial"/>
          <w:kern w:val="0"/>
          <w:sz w:val="22"/>
          <w:szCs w:val="22"/>
          <w:lang w:eastAsia="en-GB"/>
          <w14:ligatures w14:val="none"/>
        </w:rPr>
        <w:t>reviews,</w:t>
      </w:r>
      <w:r w:rsidRPr="001E29AD">
        <w:rPr>
          <w:rFonts w:ascii="Arial" w:eastAsia="Times New Roman" w:hAnsi="Arial" w:cs="Arial"/>
          <w:kern w:val="0"/>
          <w:sz w:val="22"/>
          <w:szCs w:val="22"/>
          <w:lang w:eastAsia="en-GB"/>
          <w14:ligatures w14:val="none"/>
        </w:rPr>
        <w:t xml:space="preserve"> and improved coordination for multimorbid patients via consolidated records (Health Foundation, 2025). When patient</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facing decision support is clear and contextualised, consultations may become more focused and adherence improve. Risks include reduced face</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to</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face contact for those who value in</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person care and perceived depersonalisation where clinicians over</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rely on templated CDS prompts (Ratwani et al., 2018). Digital exclusion risks and assisted</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digital mitigations are explored in Appendix Table A2, with suggested KPIs for monitoring uptake by deprivation decile and proxy access audits (Information Commissioner’s Office, 2018; NHS England Digital, 2024).</w:t>
      </w:r>
    </w:p>
    <w:p w14:paraId="079250E3" w14:textId="77777777" w:rsidR="00A953FB" w:rsidRPr="001E29AD" w:rsidRDefault="00A953FB" w:rsidP="00494FEB">
      <w:pPr>
        <w:spacing w:line="360" w:lineRule="auto"/>
        <w:rPr>
          <w:rFonts w:ascii="Arial" w:eastAsia="Times New Roman" w:hAnsi="Arial" w:cs="Arial"/>
          <w:b/>
          <w:bCs/>
          <w:kern w:val="0"/>
          <w:sz w:val="22"/>
          <w:szCs w:val="22"/>
          <w:lang w:eastAsia="en-GB"/>
          <w14:ligatures w14:val="none"/>
        </w:rPr>
      </w:pPr>
    </w:p>
    <w:p w14:paraId="2F953350" w14:textId="77777777" w:rsidR="000A508C" w:rsidRPr="001E29AD" w:rsidRDefault="000A508C" w:rsidP="00494FEB">
      <w:pPr>
        <w:spacing w:line="360" w:lineRule="auto"/>
        <w:rPr>
          <w:rFonts w:ascii="Arial" w:eastAsia="Times New Roman" w:hAnsi="Arial" w:cs="Arial"/>
          <w:b/>
          <w:bCs/>
          <w:kern w:val="0"/>
          <w:sz w:val="22"/>
          <w:szCs w:val="22"/>
          <w:lang w:eastAsia="en-GB"/>
          <w14:ligatures w14:val="none"/>
        </w:rPr>
      </w:pPr>
    </w:p>
    <w:p w14:paraId="2F63FF85" w14:textId="77777777" w:rsidR="000A508C" w:rsidRPr="001E29AD" w:rsidRDefault="000A508C" w:rsidP="00494FEB">
      <w:pPr>
        <w:spacing w:line="360" w:lineRule="auto"/>
        <w:rPr>
          <w:rFonts w:ascii="Arial" w:eastAsia="Times New Roman" w:hAnsi="Arial" w:cs="Arial"/>
          <w:b/>
          <w:bCs/>
          <w:kern w:val="0"/>
          <w:sz w:val="36"/>
          <w:szCs w:val="36"/>
          <w:lang w:eastAsia="en-GB"/>
          <w14:ligatures w14:val="none"/>
        </w:rPr>
      </w:pPr>
    </w:p>
    <w:p w14:paraId="50934D2D" w14:textId="77777777" w:rsidR="00E750DB" w:rsidRPr="001E29AD" w:rsidRDefault="00E750DB" w:rsidP="00494FEB">
      <w:pPr>
        <w:spacing w:line="360" w:lineRule="auto"/>
        <w:rPr>
          <w:rFonts w:ascii="Arial" w:eastAsia="Times New Roman" w:hAnsi="Arial" w:cs="Arial"/>
          <w:b/>
          <w:bCs/>
          <w:kern w:val="0"/>
          <w:sz w:val="36"/>
          <w:szCs w:val="36"/>
          <w:lang w:eastAsia="en-GB"/>
          <w14:ligatures w14:val="none"/>
        </w:rPr>
      </w:pPr>
    </w:p>
    <w:p w14:paraId="53F185B1" w14:textId="77777777" w:rsidR="00E750DB" w:rsidRPr="001E29AD" w:rsidRDefault="00E750DB" w:rsidP="00494FEB">
      <w:pPr>
        <w:spacing w:line="360" w:lineRule="auto"/>
        <w:rPr>
          <w:rFonts w:ascii="Arial" w:eastAsia="Times New Roman" w:hAnsi="Arial" w:cs="Arial"/>
          <w:b/>
          <w:bCs/>
          <w:kern w:val="0"/>
          <w:sz w:val="36"/>
          <w:szCs w:val="36"/>
          <w:lang w:eastAsia="en-GB"/>
          <w14:ligatures w14:val="none"/>
        </w:rPr>
      </w:pPr>
    </w:p>
    <w:p w14:paraId="4208540C" w14:textId="77777777" w:rsidR="00E750DB" w:rsidRPr="001E29AD" w:rsidRDefault="00E750DB" w:rsidP="00494FEB">
      <w:pPr>
        <w:spacing w:line="360" w:lineRule="auto"/>
        <w:rPr>
          <w:rFonts w:ascii="Arial" w:eastAsia="Times New Roman" w:hAnsi="Arial" w:cs="Arial"/>
          <w:b/>
          <w:bCs/>
          <w:kern w:val="0"/>
          <w:sz w:val="36"/>
          <w:szCs w:val="36"/>
          <w:lang w:eastAsia="en-GB"/>
          <w14:ligatures w14:val="none"/>
        </w:rPr>
      </w:pPr>
    </w:p>
    <w:p w14:paraId="43DB57C1" w14:textId="77777777" w:rsidR="00E750DB" w:rsidRPr="001E29AD" w:rsidRDefault="00E750DB" w:rsidP="00494FEB">
      <w:pPr>
        <w:spacing w:line="360" w:lineRule="auto"/>
        <w:rPr>
          <w:rFonts w:ascii="Arial" w:eastAsia="Times New Roman" w:hAnsi="Arial" w:cs="Arial"/>
          <w:b/>
          <w:bCs/>
          <w:kern w:val="0"/>
          <w:sz w:val="36"/>
          <w:szCs w:val="36"/>
          <w:lang w:eastAsia="en-GB"/>
          <w14:ligatures w14:val="none"/>
        </w:rPr>
      </w:pPr>
    </w:p>
    <w:p w14:paraId="671EAF15" w14:textId="77777777" w:rsidR="00F8429A" w:rsidRPr="001E29AD" w:rsidRDefault="00F8429A" w:rsidP="00494FEB">
      <w:pPr>
        <w:spacing w:line="360" w:lineRule="auto"/>
        <w:rPr>
          <w:rFonts w:ascii="Arial" w:eastAsia="Times New Roman" w:hAnsi="Arial" w:cs="Arial"/>
          <w:b/>
          <w:bCs/>
          <w:kern w:val="0"/>
          <w:sz w:val="36"/>
          <w:szCs w:val="36"/>
          <w:lang w:eastAsia="en-GB"/>
          <w14:ligatures w14:val="none"/>
        </w:rPr>
      </w:pPr>
    </w:p>
    <w:p w14:paraId="12CB28A3" w14:textId="0365857B" w:rsidR="00A953FB" w:rsidRPr="00E257DC" w:rsidRDefault="00A953FB" w:rsidP="00494FEB">
      <w:pPr>
        <w:pStyle w:val="Heading3"/>
        <w:spacing w:line="360" w:lineRule="auto"/>
        <w:rPr>
          <w:rFonts w:ascii="Arial" w:eastAsia="Times New Roman" w:hAnsi="Arial" w:cs="Arial"/>
          <w:sz w:val="32"/>
          <w:szCs w:val="32"/>
          <w:lang w:eastAsia="en-GB"/>
        </w:rPr>
      </w:pPr>
      <w:bookmarkStart w:id="8" w:name="_Toc212335612"/>
      <w:r w:rsidRPr="00E257DC">
        <w:rPr>
          <w:rFonts w:ascii="Arial" w:eastAsia="Times New Roman" w:hAnsi="Arial" w:cs="Arial"/>
          <w:sz w:val="32"/>
          <w:szCs w:val="32"/>
          <w:lang w:eastAsia="en-GB"/>
        </w:rPr>
        <w:lastRenderedPageBreak/>
        <w:t>Impact on the community</w:t>
      </w:r>
      <w:bookmarkEnd w:id="8"/>
    </w:p>
    <w:p w14:paraId="129C06E3" w14:textId="7C97A69A"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Medicus can enable population health analytics, targeted screening and vaccination outreach and better coordination across neighbourhood teams by providing aggregated data flows that identify underserved localities and permit tailored interventions, subject to robust data</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use governance and population health capacity (Public Health England, 2020; Department of Health and Social Care &amp; NHS England, 2022). Appendix Figure A6 presents a PICO framework used to define rapid review questions and population characteristics for population</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level interventions.</w:t>
      </w:r>
    </w:p>
    <w:p w14:paraId="321C9665" w14:textId="76406A44"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Benefits for rural and remote communities include improved remote access and record continuity for visiting clinicians, reducing travel</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dependent care gaps. Conversely, infrastructural weaknesses (broadband and device access) and low digital literacy can limit benefits and exacerbate inequalities unless mitigations are resourced (Department of Health and Social Care &amp; NHS England, 2022). Co</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production with patients, carers and community partners improves design appropriateness and uptake and is recommended in early deployment phases; a co</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production checklist is included in the Appendix metadata and operational checklist (see Appendix index).</w:t>
      </w:r>
    </w:p>
    <w:p w14:paraId="3FF7AE15" w14:textId="76A61948"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Community harms to monitor include unequal benefit distribution, increased informal carer workload and privacy concerns about inter</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service data sharing. Recommended mitigations include funded outreach, monitoring equity KPIs disaggregated by deprivation and geography and embedding co</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production in implementation planning (see Appendix Table A2 and Appendix Figures A5–A6).</w:t>
      </w:r>
    </w:p>
    <w:p w14:paraId="6AFB59C5" w14:textId="77777777" w:rsidR="000A508C" w:rsidRPr="001E29AD" w:rsidRDefault="000A508C" w:rsidP="00494FEB">
      <w:pPr>
        <w:spacing w:line="360" w:lineRule="auto"/>
        <w:rPr>
          <w:rFonts w:ascii="Arial" w:eastAsia="Times New Roman" w:hAnsi="Arial" w:cs="Arial"/>
          <w:kern w:val="0"/>
          <w:sz w:val="22"/>
          <w:szCs w:val="22"/>
          <w:lang w:eastAsia="en-GB"/>
          <w14:ligatures w14:val="none"/>
        </w:rPr>
      </w:pPr>
    </w:p>
    <w:p w14:paraId="6FBB154C" w14:textId="77777777" w:rsidR="00E750DB" w:rsidRPr="001E29AD" w:rsidRDefault="00E750DB" w:rsidP="00494FEB">
      <w:pPr>
        <w:spacing w:line="360" w:lineRule="auto"/>
        <w:rPr>
          <w:rFonts w:ascii="Arial" w:eastAsia="Times New Roman" w:hAnsi="Arial" w:cs="Arial"/>
          <w:kern w:val="0"/>
          <w:sz w:val="22"/>
          <w:szCs w:val="22"/>
          <w:lang w:eastAsia="en-GB"/>
          <w14:ligatures w14:val="none"/>
        </w:rPr>
      </w:pPr>
    </w:p>
    <w:p w14:paraId="151E7150" w14:textId="77777777" w:rsidR="00F8429A" w:rsidRPr="001E29AD" w:rsidRDefault="00F8429A" w:rsidP="00494FEB">
      <w:pPr>
        <w:spacing w:line="360" w:lineRule="auto"/>
        <w:rPr>
          <w:rFonts w:ascii="Arial" w:eastAsia="Times New Roman" w:hAnsi="Arial" w:cs="Arial"/>
          <w:kern w:val="0"/>
          <w:sz w:val="22"/>
          <w:szCs w:val="22"/>
          <w:lang w:eastAsia="en-GB"/>
          <w14:ligatures w14:val="none"/>
        </w:rPr>
      </w:pPr>
    </w:p>
    <w:p w14:paraId="7BF3E081" w14:textId="77777777" w:rsidR="00F8429A" w:rsidRPr="001E29AD" w:rsidRDefault="00F8429A" w:rsidP="00494FEB">
      <w:pPr>
        <w:spacing w:line="360" w:lineRule="auto"/>
        <w:rPr>
          <w:rFonts w:ascii="Arial" w:eastAsia="Times New Roman" w:hAnsi="Arial" w:cs="Arial"/>
          <w:kern w:val="0"/>
          <w:sz w:val="22"/>
          <w:szCs w:val="22"/>
          <w:lang w:eastAsia="en-GB"/>
          <w14:ligatures w14:val="none"/>
        </w:rPr>
      </w:pPr>
    </w:p>
    <w:p w14:paraId="41AE9A44" w14:textId="77777777" w:rsidR="00F8429A" w:rsidRPr="001E29AD" w:rsidRDefault="00F8429A" w:rsidP="00494FEB">
      <w:pPr>
        <w:spacing w:line="360" w:lineRule="auto"/>
        <w:rPr>
          <w:rFonts w:ascii="Arial" w:eastAsia="Times New Roman" w:hAnsi="Arial" w:cs="Arial"/>
          <w:kern w:val="0"/>
          <w:sz w:val="22"/>
          <w:szCs w:val="22"/>
          <w:lang w:eastAsia="en-GB"/>
          <w14:ligatures w14:val="none"/>
        </w:rPr>
      </w:pPr>
    </w:p>
    <w:p w14:paraId="3F82BE1F" w14:textId="77777777" w:rsidR="00F8429A" w:rsidRPr="001E29AD" w:rsidRDefault="00F8429A" w:rsidP="00494FEB">
      <w:pPr>
        <w:spacing w:line="360" w:lineRule="auto"/>
        <w:rPr>
          <w:rFonts w:ascii="Arial" w:eastAsia="Times New Roman" w:hAnsi="Arial" w:cs="Arial"/>
          <w:kern w:val="0"/>
          <w:sz w:val="22"/>
          <w:szCs w:val="22"/>
          <w:lang w:eastAsia="en-GB"/>
          <w14:ligatures w14:val="none"/>
        </w:rPr>
      </w:pPr>
    </w:p>
    <w:p w14:paraId="312451BF" w14:textId="77777777" w:rsidR="00F8429A" w:rsidRPr="001E29AD" w:rsidRDefault="00F8429A" w:rsidP="00494FEB">
      <w:pPr>
        <w:spacing w:line="360" w:lineRule="auto"/>
        <w:rPr>
          <w:rFonts w:ascii="Arial" w:eastAsia="Times New Roman" w:hAnsi="Arial" w:cs="Arial"/>
          <w:kern w:val="0"/>
          <w:sz w:val="22"/>
          <w:szCs w:val="22"/>
          <w:lang w:eastAsia="en-GB"/>
          <w14:ligatures w14:val="none"/>
        </w:rPr>
      </w:pPr>
    </w:p>
    <w:p w14:paraId="7200582F" w14:textId="77777777" w:rsidR="00F8429A" w:rsidRPr="001E29AD" w:rsidRDefault="00F8429A" w:rsidP="00494FEB">
      <w:pPr>
        <w:spacing w:line="360" w:lineRule="auto"/>
        <w:rPr>
          <w:rFonts w:ascii="Arial" w:eastAsia="Times New Roman" w:hAnsi="Arial" w:cs="Arial"/>
          <w:kern w:val="0"/>
          <w:sz w:val="22"/>
          <w:szCs w:val="22"/>
          <w:lang w:eastAsia="en-GB"/>
          <w14:ligatures w14:val="none"/>
        </w:rPr>
      </w:pPr>
    </w:p>
    <w:p w14:paraId="37262939" w14:textId="4B7EB030" w:rsidR="00A953FB" w:rsidRPr="00E257DC" w:rsidRDefault="00A953FB" w:rsidP="00494FEB">
      <w:pPr>
        <w:pStyle w:val="Heading3"/>
        <w:spacing w:line="360" w:lineRule="auto"/>
        <w:rPr>
          <w:rFonts w:ascii="Arial" w:eastAsia="Times New Roman" w:hAnsi="Arial" w:cs="Arial"/>
          <w:sz w:val="32"/>
          <w:szCs w:val="32"/>
          <w:lang w:eastAsia="en-GB"/>
        </w:rPr>
      </w:pPr>
      <w:bookmarkStart w:id="9" w:name="_Toc212335613"/>
      <w:r w:rsidRPr="00E257DC">
        <w:rPr>
          <w:rFonts w:ascii="Arial" w:eastAsia="Times New Roman" w:hAnsi="Arial" w:cs="Arial"/>
          <w:sz w:val="32"/>
          <w:szCs w:val="32"/>
          <w:lang w:eastAsia="en-GB"/>
        </w:rPr>
        <w:lastRenderedPageBreak/>
        <w:t>Conclusion and recommendations</w:t>
      </w:r>
      <w:bookmarkEnd w:id="9"/>
    </w:p>
    <w:p w14:paraId="2DD23EDA" w14:textId="1338DC96"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 xml:space="preserve">Medicus Health offers a credible path to more coordinated, </w:t>
      </w:r>
      <w:r w:rsidR="002E35D1" w:rsidRPr="001E29AD">
        <w:rPr>
          <w:rFonts w:ascii="Arial" w:eastAsia="Times New Roman" w:hAnsi="Arial" w:cs="Arial"/>
          <w:kern w:val="0"/>
          <w:sz w:val="22"/>
          <w:szCs w:val="22"/>
          <w:lang w:eastAsia="en-GB"/>
          <w14:ligatures w14:val="none"/>
        </w:rPr>
        <w:t>efficient,</w:t>
      </w:r>
      <w:r w:rsidRPr="001E29AD">
        <w:rPr>
          <w:rFonts w:ascii="Arial" w:eastAsia="Times New Roman" w:hAnsi="Arial" w:cs="Arial"/>
          <w:kern w:val="0"/>
          <w:sz w:val="22"/>
          <w:szCs w:val="22"/>
          <w:lang w:eastAsia="en-GB"/>
          <w14:ligatures w14:val="none"/>
        </w:rPr>
        <w:t xml:space="preserve"> and safety</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focused primary care through cloud</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native architecture, integrated CDS and device</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agnostic access. Realised benefits depend on funded and carefully managed implementation: clinically tuned CDS, protected training and super</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user capacity, robust supplier SLAs for resilience and explicit equity measures including assisted</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digital support. Evidence and implementation experience indicate recurrent patterns: early productivity dips, phased activation needs and the centrality of governance and evaluation to secure safety and equity gains (Finnegan &amp; Mountford, 2025; Payne et al., 2021).</w:t>
      </w:r>
    </w:p>
    <w:p w14:paraId="75C20D0E" w14:textId="77777777" w:rsidR="00A953FB" w:rsidRPr="00E257DC" w:rsidRDefault="00A953FB" w:rsidP="00494FEB">
      <w:pPr>
        <w:pStyle w:val="Heading3"/>
        <w:spacing w:line="360" w:lineRule="auto"/>
        <w:rPr>
          <w:rFonts w:ascii="Arial" w:eastAsia="Times New Roman" w:hAnsi="Arial" w:cs="Arial"/>
          <w:sz w:val="32"/>
          <w:szCs w:val="32"/>
          <w:lang w:eastAsia="en-GB"/>
        </w:rPr>
      </w:pPr>
      <w:bookmarkStart w:id="10" w:name="_Toc212335614"/>
      <w:r w:rsidRPr="00E257DC">
        <w:rPr>
          <w:rFonts w:ascii="Arial" w:eastAsia="Times New Roman" w:hAnsi="Arial" w:cs="Arial"/>
          <w:sz w:val="32"/>
          <w:szCs w:val="32"/>
          <w:lang w:eastAsia="en-GB"/>
        </w:rPr>
        <w:t>Priority actions</w:t>
      </w:r>
      <w:bookmarkEnd w:id="10"/>
    </w:p>
    <w:p w14:paraId="307BC673" w14:textId="666D289E"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Contract funded training and super</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user hours with competency sign</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offs within 6–8 weeks of go</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live (Burns, 2024; Finnegan &amp; Mountford, 2025). See Appendix Figure A7 for the worked training and tariff calculation</w:t>
      </w:r>
      <w:r w:rsidR="002E35D1" w:rsidRPr="001E29AD">
        <w:rPr>
          <w:rFonts w:ascii="Arial" w:eastAsia="Times New Roman" w:hAnsi="Arial" w:cs="Arial"/>
          <w:kern w:val="0"/>
          <w:sz w:val="22"/>
          <w:szCs w:val="22"/>
          <w:lang w:eastAsia="en-GB"/>
          <w14:ligatures w14:val="none"/>
        </w:rPr>
        <w:t xml:space="preserve">. </w:t>
      </w:r>
    </w:p>
    <w:p w14:paraId="17790711" w14:textId="3EE63A38"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Define supplier SLAs for uptime and MTTR and monitor via a Resilience Dashboard with daily exception alerts (NHS England, 2023). See Appendix Table A3 for the dashboard mock</w:t>
      </w:r>
      <w:r w:rsidR="002E35D1" w:rsidRPr="001E29AD">
        <w:rPr>
          <w:rFonts w:ascii="Arial" w:eastAsia="Times New Roman" w:hAnsi="Arial" w:cs="Arial"/>
          <w:kern w:val="0"/>
          <w:sz w:val="22"/>
          <w:szCs w:val="22"/>
          <w:lang w:eastAsia="en-GB"/>
          <w14:ligatures w14:val="none"/>
        </w:rPr>
        <w:t xml:space="preserve">. </w:t>
      </w:r>
    </w:p>
    <w:p w14:paraId="1910D020" w14:textId="39B796B4"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Implement Safety, Equity and Resilience dashboards with clear KPIs, named owners and escalation thresholds; include CDS override monitoring and portal uptake by deprivation decile (Payne et al., 2021; Health Foundation, 2025). KPI operational definitions are in Appendix Table A2</w:t>
      </w:r>
      <w:r w:rsidR="002E35D1" w:rsidRPr="001E29AD">
        <w:rPr>
          <w:rFonts w:ascii="Arial" w:eastAsia="Times New Roman" w:hAnsi="Arial" w:cs="Arial"/>
          <w:kern w:val="0"/>
          <w:sz w:val="22"/>
          <w:szCs w:val="22"/>
          <w:lang w:eastAsia="en-GB"/>
          <w14:ligatures w14:val="none"/>
        </w:rPr>
        <w:t xml:space="preserve">. </w:t>
      </w:r>
    </w:p>
    <w:p w14:paraId="350D10E6" w14:textId="284064E8"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Fund assisted</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digital navigators and retain mixed</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channel access during rollout to mitigate digital exclusion (Paddison &amp; McGill, 2022; Poduval et al., 2025). See Appendix Table A2 for staffing and outreach KPI suggestions</w:t>
      </w:r>
      <w:r w:rsidR="002E35D1" w:rsidRPr="001E29AD">
        <w:rPr>
          <w:rFonts w:ascii="Arial" w:eastAsia="Times New Roman" w:hAnsi="Arial" w:cs="Arial"/>
          <w:kern w:val="0"/>
          <w:sz w:val="22"/>
          <w:szCs w:val="22"/>
          <w:lang w:eastAsia="en-GB"/>
          <w14:ligatures w14:val="none"/>
        </w:rPr>
        <w:t xml:space="preserve">. </w:t>
      </w:r>
    </w:p>
    <w:p w14:paraId="3E3B87AA" w14:textId="23970939"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 xml:space="preserve">Commission independent </w:t>
      </w:r>
      <w:r w:rsidR="002E35D1" w:rsidRPr="001E29AD">
        <w:rPr>
          <w:rFonts w:ascii="Arial" w:eastAsia="Times New Roman" w:hAnsi="Arial" w:cs="Arial"/>
          <w:kern w:val="0"/>
          <w:sz w:val="22"/>
          <w:szCs w:val="22"/>
          <w:lang w:eastAsia="en-GB"/>
          <w14:ligatures w14:val="none"/>
        </w:rPr>
        <w:t>three</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 xml:space="preserve"> and </w:t>
      </w:r>
      <w:r w:rsidR="002E35D1" w:rsidRPr="001E29AD">
        <w:rPr>
          <w:rFonts w:ascii="Arial" w:eastAsia="Times New Roman" w:hAnsi="Arial" w:cs="Arial"/>
          <w:kern w:val="0"/>
          <w:sz w:val="22"/>
          <w:szCs w:val="22"/>
          <w:lang w:eastAsia="en-GB"/>
          <w14:ligatures w14:val="none"/>
        </w:rPr>
        <w:t>twelve</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month evaluations against pre</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registered KPIs and publish anonymised artefacts for shared learning (Greenhalgh et al., 2017). The pre</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registered KPI list and evaluation plan are included in the Appendix.</w:t>
      </w:r>
    </w:p>
    <w:p w14:paraId="0CD05BFA" w14:textId="5D7FFB27"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t>Appendix materials (full</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 xml:space="preserve">size figures, underlying data files, metadata/permission </w:t>
      </w:r>
      <w:r w:rsidR="002E35D1" w:rsidRPr="001E29AD">
        <w:rPr>
          <w:rFonts w:ascii="Arial" w:eastAsia="Times New Roman" w:hAnsi="Arial" w:cs="Arial"/>
          <w:kern w:val="0"/>
          <w:sz w:val="22"/>
          <w:szCs w:val="22"/>
          <w:lang w:eastAsia="en-GB"/>
          <w14:ligatures w14:val="none"/>
        </w:rPr>
        <w:t>log,</w:t>
      </w:r>
      <w:r w:rsidRPr="001E29AD">
        <w:rPr>
          <w:rFonts w:ascii="Arial" w:eastAsia="Times New Roman" w:hAnsi="Arial" w:cs="Arial"/>
          <w:kern w:val="0"/>
          <w:sz w:val="22"/>
          <w:szCs w:val="22"/>
          <w:lang w:eastAsia="en-GB"/>
          <w14:ligatures w14:val="none"/>
        </w:rPr>
        <w:t xml:space="preserve"> and operational tables) are listed in the Appendix index following the References (see Appendix Figures A1–A9; Appendix Tables A1–A3).</w:t>
      </w:r>
    </w:p>
    <w:p w14:paraId="76AF4FDA" w14:textId="5F65E57A" w:rsidR="00A953FB" w:rsidRPr="001E29AD" w:rsidRDefault="00A953FB" w:rsidP="00494FEB">
      <w:pPr>
        <w:spacing w:line="360" w:lineRule="auto"/>
        <w:rPr>
          <w:rFonts w:ascii="Arial" w:eastAsia="Times New Roman" w:hAnsi="Arial" w:cs="Arial"/>
          <w:kern w:val="0"/>
          <w:sz w:val="22"/>
          <w:szCs w:val="22"/>
          <w:lang w:eastAsia="en-GB"/>
          <w14:ligatures w14:val="none"/>
        </w:rPr>
      </w:pPr>
      <w:r w:rsidRPr="001E29AD">
        <w:rPr>
          <w:rFonts w:ascii="Arial" w:eastAsia="Times New Roman" w:hAnsi="Arial" w:cs="Arial"/>
          <w:kern w:val="0"/>
          <w:sz w:val="22"/>
          <w:szCs w:val="22"/>
          <w:lang w:eastAsia="en-GB"/>
          <w14:ligatures w14:val="none"/>
        </w:rPr>
        <w:lastRenderedPageBreak/>
        <w:t>generate the Appendix index and the Appendix Table A2 (KPI definitions) as a spreadsheet</w:t>
      </w:r>
      <w:r w:rsidRPr="001E29AD">
        <w:rPr>
          <w:rFonts w:ascii="Cambria Math" w:eastAsia="Times New Roman" w:hAnsi="Cambria Math" w:cs="Cambria Math"/>
          <w:kern w:val="0"/>
          <w:sz w:val="22"/>
          <w:szCs w:val="22"/>
          <w:lang w:eastAsia="en-GB"/>
          <w14:ligatures w14:val="none"/>
        </w:rPr>
        <w:t>‑</w:t>
      </w:r>
      <w:r w:rsidRPr="001E29AD">
        <w:rPr>
          <w:rFonts w:ascii="Arial" w:eastAsia="Times New Roman" w:hAnsi="Arial" w:cs="Arial"/>
          <w:kern w:val="0"/>
          <w:sz w:val="22"/>
          <w:szCs w:val="22"/>
          <w:lang w:eastAsia="en-GB"/>
          <w14:ligatures w14:val="none"/>
        </w:rPr>
        <w:t>ready CSV for immediate paste. Which would you like next?</w:t>
      </w:r>
    </w:p>
    <w:p w14:paraId="35BE6801" w14:textId="77777777" w:rsidR="00421DE4" w:rsidRPr="001E29AD" w:rsidRDefault="00421DE4"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398E2AA4" w14:textId="77777777" w:rsidR="00421DE4" w:rsidRPr="001E29AD" w:rsidRDefault="00421DE4"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2E15E3BC" w14:textId="77777777" w:rsidR="00421DE4" w:rsidRPr="001E29AD" w:rsidRDefault="00421DE4"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1F08CA66" w14:textId="77777777" w:rsidR="00421DE4" w:rsidRPr="001E29AD" w:rsidRDefault="00421DE4"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7AB9A561" w14:textId="77777777" w:rsidR="00421DE4" w:rsidRPr="001E29AD" w:rsidRDefault="00421DE4"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0E4D66B8" w14:textId="77777777" w:rsidR="00421DE4" w:rsidRDefault="00421DE4"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5A968506" w14:textId="77777777" w:rsidR="00E257DC" w:rsidRDefault="00E257DC"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7530BB62" w14:textId="77777777" w:rsidR="00E257DC" w:rsidRDefault="00E257DC"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467A87AE" w14:textId="77777777" w:rsidR="00E257DC" w:rsidRDefault="00E257DC"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6A620598" w14:textId="77777777" w:rsidR="00E257DC" w:rsidRDefault="00E257DC"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5B65C4B8" w14:textId="77777777" w:rsidR="00E257DC" w:rsidRDefault="00E257DC"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76DFADFD" w14:textId="77777777" w:rsidR="00E257DC" w:rsidRDefault="00E257DC"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7CE1624C" w14:textId="77777777" w:rsidR="00E257DC" w:rsidRPr="001E29AD" w:rsidRDefault="00E257DC" w:rsidP="00494FEB">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5A108E31" w14:textId="77777777" w:rsidR="0062420E" w:rsidRDefault="0062420E" w:rsidP="0062420E">
      <w:pPr>
        <w:rPr>
          <w:rFonts w:eastAsia="Times New Roman"/>
          <w:lang w:eastAsia="en-GB"/>
        </w:rPr>
      </w:pPr>
    </w:p>
    <w:p w14:paraId="21FC53AE" w14:textId="77777777" w:rsidR="009B2BA1" w:rsidRDefault="009B2BA1" w:rsidP="0062420E">
      <w:pPr>
        <w:rPr>
          <w:rFonts w:eastAsia="Times New Roman"/>
          <w:lang w:eastAsia="en-GB"/>
        </w:rPr>
      </w:pPr>
    </w:p>
    <w:p w14:paraId="75F533FE" w14:textId="77777777" w:rsidR="009B2BA1" w:rsidRDefault="00FB6C23" w:rsidP="009B2BA1">
      <w:pPr>
        <w:pStyle w:val="Heading3"/>
        <w:spacing w:line="360" w:lineRule="auto"/>
        <w:rPr>
          <w:rFonts w:ascii="Arial" w:eastAsia="Times New Roman" w:hAnsi="Arial" w:cs="Arial"/>
          <w:lang w:eastAsia="en-GB"/>
        </w:rPr>
      </w:pPr>
      <w:bookmarkStart w:id="11" w:name="_Toc212335615"/>
      <w:r w:rsidRPr="001E29AD">
        <w:rPr>
          <w:rFonts w:ascii="Arial" w:eastAsia="Times New Roman" w:hAnsi="Arial" w:cs="Arial"/>
          <w:lang w:eastAsia="en-GB"/>
        </w:rPr>
        <w:lastRenderedPageBreak/>
        <w:t>Appendix</w:t>
      </w:r>
      <w:bookmarkEnd w:id="11"/>
      <w:r w:rsidRPr="001E29AD">
        <w:rPr>
          <w:rFonts w:ascii="Arial" w:eastAsia="Times New Roman" w:hAnsi="Arial" w:cs="Arial"/>
          <w:lang w:eastAsia="en-GB"/>
        </w:rPr>
        <w:t xml:space="preserve"> </w:t>
      </w:r>
    </w:p>
    <w:p w14:paraId="355A01B8" w14:textId="26A729A4" w:rsidR="00FB6C23" w:rsidRPr="00707CE4" w:rsidRDefault="00FB6C23" w:rsidP="009B2BA1">
      <w:pPr>
        <w:rPr>
          <w:rFonts w:eastAsia="Times New Roman"/>
          <w:lang w:eastAsia="en-GB"/>
        </w:rPr>
      </w:pPr>
      <w:r w:rsidRPr="00707CE4">
        <w:rPr>
          <w:rFonts w:eastAsia="Times New Roman"/>
          <w:lang w:eastAsia="en-GB"/>
        </w:rPr>
        <w:t>This Appendix contains full</w:t>
      </w:r>
      <w:r w:rsidRPr="00707CE4">
        <w:rPr>
          <w:rFonts w:eastAsia="Times New Roman"/>
          <w:lang w:eastAsia="en-GB"/>
        </w:rPr>
        <w:noBreakHyphen/>
        <w:t>size figures, source notes, adaptation details, underlying aggregated data, tables and a metadata/permission log for files referenced in the report.</w:t>
      </w:r>
    </w:p>
    <w:p w14:paraId="075F0011" w14:textId="196FF24C" w:rsidR="00F828E6" w:rsidRPr="00707CE4" w:rsidRDefault="00707CE4" w:rsidP="00494FEB">
      <w:pPr>
        <w:spacing w:before="100" w:beforeAutospacing="1" w:after="100" w:afterAutospacing="1" w:line="360" w:lineRule="auto"/>
        <w:rPr>
          <w:rFonts w:ascii="Arial" w:eastAsia="Times New Roman" w:hAnsi="Arial" w:cs="Arial"/>
          <w:kern w:val="0"/>
          <w:sz w:val="28"/>
          <w:szCs w:val="28"/>
          <w:lang w:eastAsia="en-GB"/>
          <w14:ligatures w14:val="none"/>
        </w:rPr>
      </w:pPr>
      <w:r w:rsidRPr="001E29AD">
        <w:rPr>
          <w:rFonts w:ascii="Arial" w:hAnsi="Arial" w:cs="Arial"/>
          <w:b/>
          <w:bCs/>
          <w:noProof/>
          <w:sz w:val="16"/>
          <w:szCs w:val="16"/>
          <w:lang w:eastAsia="en-GB"/>
        </w:rPr>
        <w:drawing>
          <wp:inline distT="0" distB="0" distL="0" distR="0" wp14:anchorId="69FA26C0" wp14:editId="3CAD7190">
            <wp:extent cx="5275803" cy="2180590"/>
            <wp:effectExtent l="190500" t="190500" r="191770" b="181610"/>
            <wp:docPr id="1074674462" name="Picture 1" descr="A computer icons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41445" name="Picture 1" descr="A computer icons on a white background"/>
                    <pic:cNvPicPr/>
                  </pic:nvPicPr>
                  <pic:blipFill>
                    <a:blip r:embed="rId10"/>
                    <a:stretch>
                      <a:fillRect/>
                    </a:stretch>
                  </pic:blipFill>
                  <pic:spPr>
                    <a:xfrm>
                      <a:off x="0" y="0"/>
                      <a:ext cx="5433653" cy="2245832"/>
                    </a:xfrm>
                    <a:prstGeom prst="rect">
                      <a:avLst/>
                    </a:prstGeom>
                    <a:ln>
                      <a:noFill/>
                    </a:ln>
                    <a:effectLst>
                      <a:outerShdw blurRad="190500" algn="tl" rotWithShape="0">
                        <a:srgbClr val="000000">
                          <a:alpha val="70000"/>
                        </a:srgbClr>
                      </a:outerShdw>
                    </a:effectLst>
                  </pic:spPr>
                </pic:pic>
              </a:graphicData>
            </a:graphic>
          </wp:inline>
        </w:drawing>
      </w:r>
    </w:p>
    <w:p w14:paraId="214AE32A" w14:textId="268D5AD6" w:rsidR="00DE21DD" w:rsidRPr="00707CE4" w:rsidRDefault="00FB6C23" w:rsidP="00494FEB">
      <w:pPr>
        <w:pStyle w:val="ListParagraph"/>
        <w:numPr>
          <w:ilvl w:val="0"/>
          <w:numId w:val="31"/>
        </w:numPr>
        <w:spacing w:before="100" w:beforeAutospacing="1" w:after="100" w:afterAutospacing="1" w:line="360" w:lineRule="auto"/>
        <w:rPr>
          <w:rFonts w:ascii="Arial" w:eastAsia="Times New Roman" w:hAnsi="Arial" w:cs="Arial"/>
          <w:kern w:val="0"/>
          <w:lang w:eastAsia="en-GB"/>
          <w14:ligatures w14:val="none"/>
        </w:rPr>
      </w:pPr>
      <w:r w:rsidRPr="00707CE4">
        <w:rPr>
          <w:rFonts w:ascii="Arial" w:eastAsia="Times New Roman" w:hAnsi="Arial" w:cs="Arial"/>
          <w:b/>
          <w:bCs/>
          <w:kern w:val="0"/>
          <w:lang w:eastAsia="en-GB"/>
          <w14:ligatures w14:val="none"/>
        </w:rPr>
        <w:t>Appendix Figure A1</w:t>
      </w:r>
      <w:r w:rsidRPr="00707CE4">
        <w:rPr>
          <w:rFonts w:ascii="Arial" w:eastAsia="Times New Roman" w:hAnsi="Arial" w:cs="Arial"/>
          <w:kern w:val="0"/>
          <w:lang w:eastAsia="en-GB"/>
          <w14:ligatures w14:val="none"/>
        </w:rPr>
        <w:t xml:space="preserve"> </w:t>
      </w:r>
      <w:r w:rsidR="00DE21DD" w:rsidRPr="00707CE4">
        <w:rPr>
          <w:rFonts w:ascii="Arial" w:eastAsia="Times New Roman" w:hAnsi="Arial" w:cs="Arial"/>
          <w:b/>
          <w:bCs/>
          <w:kern w:val="0"/>
          <w:lang w:eastAsia="en-GB"/>
          <w14:ligatures w14:val="none"/>
        </w:rPr>
        <w:t xml:space="preserve">- </w:t>
      </w:r>
      <w:r w:rsidRPr="00707CE4">
        <w:rPr>
          <w:rFonts w:ascii="Arial" w:eastAsia="Times New Roman" w:hAnsi="Arial" w:cs="Arial"/>
          <w:b/>
          <w:bCs/>
          <w:kern w:val="0"/>
          <w:lang w:eastAsia="en-GB"/>
          <w14:ligatures w14:val="none"/>
        </w:rPr>
        <w:t>Home of Medication Decision Support (First Databank, 2025).</w:t>
      </w:r>
      <w:r w:rsidRPr="00707CE4">
        <w:rPr>
          <w:rFonts w:ascii="Arial" w:eastAsia="Times New Roman" w:hAnsi="Arial" w:cs="Arial"/>
          <w:kern w:val="0"/>
          <w:lang w:eastAsia="en-GB"/>
          <w14:ligatures w14:val="none"/>
        </w:rPr>
        <w:t xml:space="preserve"> </w:t>
      </w:r>
    </w:p>
    <w:p w14:paraId="5F773F5E" w14:textId="176F3B84" w:rsidR="0052319C" w:rsidRPr="00707CE4" w:rsidRDefault="00FB6C23"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File:</w:t>
      </w:r>
      <w:r w:rsidRPr="00707CE4">
        <w:rPr>
          <w:rFonts w:ascii="Arial" w:eastAsia="Times New Roman" w:hAnsi="Arial" w:cs="Arial"/>
          <w:kern w:val="0"/>
          <w:sz w:val="22"/>
          <w:szCs w:val="22"/>
          <w:lang w:eastAsia="en-GB"/>
          <w14:ligatures w14:val="none"/>
        </w:rPr>
        <w:t xml:space="preserve"> Appendix_A1_Figure1.png. Caption: Figure 1: Home of Medication Decision Support (Adapted from First Databank, 2025). </w:t>
      </w:r>
    </w:p>
    <w:p w14:paraId="0B6A070B" w14:textId="7A4DECB8" w:rsidR="00AB0B12" w:rsidRPr="00707CE4" w:rsidRDefault="00AB0B12"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Figure 1</w:t>
      </w:r>
      <w:r w:rsidRPr="00707CE4">
        <w:rPr>
          <w:rFonts w:ascii="Arial" w:eastAsia="Times New Roman" w:hAnsi="Arial" w:cs="Arial"/>
          <w:kern w:val="0"/>
          <w:sz w:val="22"/>
          <w:szCs w:val="22"/>
          <w:lang w:eastAsia="en-GB"/>
          <w14:ligatures w14:val="none"/>
        </w:rPr>
        <w:t xml:space="preserve"> shows the FDB Medication Decision Support home screen and its four connected tools that surface prescribing guidance, optimisation </w:t>
      </w:r>
      <w:r w:rsidR="002E35D1" w:rsidRPr="00707CE4">
        <w:rPr>
          <w:rFonts w:ascii="Arial" w:eastAsia="Times New Roman" w:hAnsi="Arial" w:cs="Arial"/>
          <w:kern w:val="0"/>
          <w:sz w:val="22"/>
          <w:szCs w:val="22"/>
          <w:lang w:eastAsia="en-GB"/>
          <w14:ligatures w14:val="none"/>
        </w:rPr>
        <w:t>prompts,</w:t>
      </w:r>
      <w:r w:rsidRPr="00707CE4">
        <w:rPr>
          <w:rFonts w:ascii="Arial" w:eastAsia="Times New Roman" w:hAnsi="Arial" w:cs="Arial"/>
          <w:kern w:val="0"/>
          <w:sz w:val="22"/>
          <w:szCs w:val="22"/>
          <w:lang w:eastAsia="en-GB"/>
          <w14:ligatures w14:val="none"/>
        </w:rPr>
        <w:t xml:space="preserve"> and record</w:t>
      </w:r>
      <w:r w:rsidRPr="00707CE4">
        <w:rPr>
          <w:rFonts w:ascii="Cambria Math" w:eastAsia="Times New Roman" w:hAnsi="Cambria Math" w:cs="Cambria Math"/>
          <w:kern w:val="0"/>
          <w:sz w:val="22"/>
          <w:szCs w:val="22"/>
          <w:lang w:eastAsia="en-GB"/>
          <w14:ligatures w14:val="none"/>
        </w:rPr>
        <w:t>‑</w:t>
      </w:r>
      <w:r w:rsidRPr="00707CE4">
        <w:rPr>
          <w:rFonts w:ascii="Arial" w:eastAsia="Times New Roman" w:hAnsi="Arial" w:cs="Arial"/>
          <w:kern w:val="0"/>
          <w:sz w:val="22"/>
          <w:szCs w:val="22"/>
          <w:lang w:eastAsia="en-GB"/>
          <w14:ligatures w14:val="none"/>
        </w:rPr>
        <w:t>building aids at the point of care.</w:t>
      </w:r>
    </w:p>
    <w:p w14:paraId="7E8C4910" w14:textId="77777777" w:rsidR="007863FF" w:rsidRPr="001E29AD" w:rsidRDefault="007863FF"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5E162A7C" w14:textId="77777777" w:rsidR="00476B89" w:rsidRPr="001E29AD" w:rsidRDefault="00476B89"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52A177A3" w14:textId="77777777" w:rsidR="00216C91" w:rsidRPr="001E29AD" w:rsidRDefault="00216C91"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6DE72B6C" w14:textId="77777777" w:rsidR="00216C91" w:rsidRPr="001E29AD" w:rsidRDefault="00216C91"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34E348C8" w14:textId="77777777" w:rsidR="00476B89" w:rsidRPr="001E29AD" w:rsidRDefault="00476B89"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43326DBD" w14:textId="7B3A4BDA" w:rsidR="004B7A84" w:rsidRPr="001E29AD" w:rsidRDefault="007863FF" w:rsidP="00494FEB">
      <w:pPr>
        <w:spacing w:before="100" w:beforeAutospacing="1" w:after="100" w:afterAutospacing="1" w:line="360" w:lineRule="auto"/>
        <w:rPr>
          <w:rFonts w:ascii="Arial" w:eastAsia="Times New Roman" w:hAnsi="Arial" w:cs="Arial"/>
          <w:b/>
          <w:bCs/>
          <w:kern w:val="0"/>
          <w:lang w:eastAsia="en-GB"/>
          <w14:ligatures w14:val="none"/>
        </w:rPr>
      </w:pPr>
      <w:r w:rsidRPr="001E29AD">
        <w:rPr>
          <w:rFonts w:ascii="Arial" w:hAnsi="Arial" w:cs="Arial"/>
          <w:noProof/>
        </w:rPr>
        <w:drawing>
          <wp:inline distT="0" distB="0" distL="0" distR="0" wp14:anchorId="067CE827" wp14:editId="181683A1">
            <wp:extent cx="6007100" cy="4572000"/>
            <wp:effectExtent l="0" t="0" r="0" b="0"/>
            <wp:docPr id="2019403643" name="drawing" descr="A computer with a screen and a screen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676566" name="drawing" descr="A computer with a screen and a screen with icons&#10;&#10;AI-generated content may be incorrect."/>
                    <pic:cNvPicPr/>
                  </pic:nvPicPr>
                  <pic:blipFill>
                    <a:blip r:embed="rId11">
                      <a:extLst>
                        <a:ext uri="{28A0092B-C50C-407E-A947-70E740481C1C}">
                          <a14:useLocalDpi xmlns:a14="http://schemas.microsoft.com/office/drawing/2010/main"/>
                        </a:ext>
                      </a:extLst>
                    </a:blip>
                    <a:stretch>
                      <a:fillRect/>
                    </a:stretch>
                  </pic:blipFill>
                  <pic:spPr>
                    <a:xfrm>
                      <a:off x="0" y="0"/>
                      <a:ext cx="6146025" cy="4677736"/>
                    </a:xfrm>
                    <a:prstGeom prst="rect">
                      <a:avLst/>
                    </a:prstGeom>
                  </pic:spPr>
                </pic:pic>
              </a:graphicData>
            </a:graphic>
          </wp:inline>
        </w:drawing>
      </w:r>
    </w:p>
    <w:p w14:paraId="0B73070F" w14:textId="708BCB50" w:rsidR="00F17BA9" w:rsidRPr="00707CE4" w:rsidRDefault="00FB6C23" w:rsidP="00494FEB">
      <w:pPr>
        <w:pStyle w:val="ListParagraph"/>
        <w:numPr>
          <w:ilvl w:val="0"/>
          <w:numId w:val="31"/>
        </w:numPr>
        <w:spacing w:before="100" w:beforeAutospacing="1" w:after="100" w:afterAutospacing="1" w:line="360" w:lineRule="auto"/>
        <w:rPr>
          <w:rFonts w:ascii="Arial" w:eastAsia="Times New Roman" w:hAnsi="Arial" w:cs="Arial"/>
          <w:b/>
          <w:bCs/>
          <w:kern w:val="0"/>
          <w:lang w:eastAsia="en-GB"/>
          <w14:ligatures w14:val="none"/>
        </w:rPr>
      </w:pPr>
      <w:r w:rsidRPr="00707CE4">
        <w:rPr>
          <w:rFonts w:ascii="Arial" w:eastAsia="Times New Roman" w:hAnsi="Arial" w:cs="Arial"/>
          <w:b/>
          <w:bCs/>
          <w:kern w:val="0"/>
          <w:lang w:eastAsia="en-GB"/>
          <w14:ligatures w14:val="none"/>
        </w:rPr>
        <w:t xml:space="preserve">Appendix Figure A2 — Fragmented legacy workflows versus unified platform approach (Medicus Health, 2025). </w:t>
      </w:r>
    </w:p>
    <w:p w14:paraId="48B28E08" w14:textId="77777777" w:rsidR="00F17BA9" w:rsidRPr="00707CE4" w:rsidRDefault="00FB6C23"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kern w:val="0"/>
          <w:sz w:val="22"/>
          <w:szCs w:val="22"/>
          <w:lang w:eastAsia="en-GB"/>
          <w14:ligatures w14:val="none"/>
        </w:rPr>
        <w:t xml:space="preserve">File: Appendix_A2_Figure2.png. Caption: Figure 2: Fragmented legacy workflows versus unified platform approach (Adapted from Medicus Health, 2025). </w:t>
      </w:r>
    </w:p>
    <w:p w14:paraId="2BED39EF" w14:textId="24720C70" w:rsidR="00127C5A" w:rsidRPr="00707CE4" w:rsidRDefault="00127C5A"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Figure 2</w:t>
      </w:r>
      <w:r w:rsidRPr="00707CE4">
        <w:rPr>
          <w:rFonts w:ascii="Arial" w:eastAsia="Times New Roman" w:hAnsi="Arial" w:cs="Arial"/>
          <w:kern w:val="0"/>
          <w:sz w:val="22"/>
          <w:szCs w:val="22"/>
          <w:lang w:eastAsia="en-GB"/>
          <w14:ligatures w14:val="none"/>
        </w:rPr>
        <w:t xml:space="preserve"> contrasts a fragmented set of standalone clinical tools and workflows with a single, cloud</w:t>
      </w:r>
      <w:r w:rsidRPr="00707CE4">
        <w:rPr>
          <w:rFonts w:ascii="Cambria Math" w:eastAsia="Times New Roman" w:hAnsi="Cambria Math" w:cs="Cambria Math"/>
          <w:kern w:val="0"/>
          <w:sz w:val="22"/>
          <w:szCs w:val="22"/>
          <w:lang w:eastAsia="en-GB"/>
          <w14:ligatures w14:val="none"/>
        </w:rPr>
        <w:t>‑</w:t>
      </w:r>
      <w:r w:rsidRPr="00707CE4">
        <w:rPr>
          <w:rFonts w:ascii="Arial" w:eastAsia="Times New Roman" w:hAnsi="Arial" w:cs="Arial"/>
          <w:kern w:val="0"/>
          <w:sz w:val="22"/>
          <w:szCs w:val="22"/>
          <w:lang w:eastAsia="en-GB"/>
          <w14:ligatures w14:val="none"/>
        </w:rPr>
        <w:t xml:space="preserve">based EPR (Medicus) that centralises prescribing, scheduling, </w:t>
      </w:r>
      <w:r w:rsidR="002E35D1" w:rsidRPr="00707CE4">
        <w:rPr>
          <w:rFonts w:ascii="Arial" w:eastAsia="Times New Roman" w:hAnsi="Arial" w:cs="Arial"/>
          <w:kern w:val="0"/>
          <w:sz w:val="22"/>
          <w:szCs w:val="22"/>
          <w:lang w:eastAsia="en-GB"/>
          <w14:ligatures w14:val="none"/>
        </w:rPr>
        <w:t>messaging,</w:t>
      </w:r>
      <w:r w:rsidRPr="00707CE4">
        <w:rPr>
          <w:rFonts w:ascii="Arial" w:eastAsia="Times New Roman" w:hAnsi="Arial" w:cs="Arial"/>
          <w:kern w:val="0"/>
          <w:sz w:val="22"/>
          <w:szCs w:val="22"/>
          <w:lang w:eastAsia="en-GB"/>
          <w14:ligatures w14:val="none"/>
        </w:rPr>
        <w:t xml:space="preserve"> and analytics to simplify care delivery.</w:t>
      </w:r>
    </w:p>
    <w:p w14:paraId="7A27D63E" w14:textId="35E1CCAC" w:rsidR="00177181" w:rsidRPr="00707CE4" w:rsidRDefault="00882F61" w:rsidP="00494FEB">
      <w:pPr>
        <w:spacing w:before="100" w:beforeAutospacing="1" w:after="100" w:afterAutospacing="1" w:line="360" w:lineRule="auto"/>
        <w:rPr>
          <w:rFonts w:ascii="Arial" w:eastAsia="Times New Roman" w:hAnsi="Arial" w:cs="Arial"/>
          <w:kern w:val="0"/>
          <w:lang w:eastAsia="en-GB"/>
          <w14:ligatures w14:val="none"/>
        </w:rPr>
      </w:pPr>
      <w:r w:rsidRPr="001E29AD">
        <w:rPr>
          <w:rFonts w:ascii="Arial" w:hAnsi="Arial" w:cs="Arial"/>
          <w:b/>
          <w:bCs/>
          <w:noProof/>
          <w:sz w:val="20"/>
          <w:szCs w:val="20"/>
        </w:rPr>
        <w:lastRenderedPageBreak/>
        <w:drawing>
          <wp:anchor distT="0" distB="0" distL="114300" distR="114300" simplePos="0" relativeHeight="251662848" behindDoc="0" locked="0" layoutInCell="1" allowOverlap="1" wp14:anchorId="26964D60" wp14:editId="07EB5657">
            <wp:simplePos x="0" y="0"/>
            <wp:positionH relativeFrom="margin">
              <wp:align>right</wp:align>
            </wp:positionH>
            <wp:positionV relativeFrom="paragraph">
              <wp:posOffset>177165</wp:posOffset>
            </wp:positionV>
            <wp:extent cx="5943600" cy="4089400"/>
            <wp:effectExtent l="0" t="0" r="0" b="6350"/>
            <wp:wrapSquare wrapText="bothSides"/>
            <wp:docPr id="21823183" name="Chart 1">
              <a:extLst xmlns:a="http://schemas.openxmlformats.org/drawingml/2006/main">
                <a:ext uri="{FF2B5EF4-FFF2-40B4-BE49-F238E27FC236}">
                  <a16:creationId xmlns:a16="http://schemas.microsoft.com/office/drawing/2014/main" id="{31865C00-CA13-108D-C115-6812CDB3F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6376E461" w14:textId="77777777" w:rsidR="00707CE4" w:rsidRDefault="00707CE4" w:rsidP="00707CE4">
      <w:pPr>
        <w:pStyle w:val="ListParagraph"/>
        <w:spacing w:before="100" w:beforeAutospacing="1" w:after="100" w:afterAutospacing="1" w:line="360" w:lineRule="auto"/>
        <w:rPr>
          <w:rFonts w:ascii="Arial" w:eastAsia="Times New Roman" w:hAnsi="Arial" w:cs="Arial"/>
          <w:kern w:val="0"/>
          <w:lang w:eastAsia="en-GB"/>
          <w14:ligatures w14:val="none"/>
        </w:rPr>
      </w:pPr>
    </w:p>
    <w:p w14:paraId="5ADCB02A" w14:textId="64CE8FFE" w:rsidR="00127C5A" w:rsidRPr="00707CE4" w:rsidRDefault="00FB6C23" w:rsidP="00494FEB">
      <w:pPr>
        <w:pStyle w:val="ListParagraph"/>
        <w:numPr>
          <w:ilvl w:val="0"/>
          <w:numId w:val="31"/>
        </w:numPr>
        <w:spacing w:before="100" w:beforeAutospacing="1" w:after="100" w:afterAutospacing="1" w:line="360" w:lineRule="auto"/>
        <w:rPr>
          <w:rFonts w:ascii="Arial" w:eastAsia="Times New Roman" w:hAnsi="Arial" w:cs="Arial"/>
          <w:kern w:val="0"/>
          <w:lang w:eastAsia="en-GB"/>
          <w14:ligatures w14:val="none"/>
        </w:rPr>
      </w:pPr>
      <w:r w:rsidRPr="00707CE4">
        <w:rPr>
          <w:rFonts w:ascii="Arial" w:eastAsia="Times New Roman" w:hAnsi="Arial" w:cs="Arial"/>
          <w:kern w:val="0"/>
          <w:lang w:eastAsia="en-GB"/>
          <w14:ligatures w14:val="none"/>
        </w:rPr>
        <w:t>Appendix Figure A3 — Patient population of early Medicus Health adopters (Medicus Health; NHS England, 2025)</w:t>
      </w:r>
      <w:r w:rsidR="000532B7" w:rsidRPr="00707CE4">
        <w:rPr>
          <w:rFonts w:ascii="Arial" w:eastAsia="Times New Roman" w:hAnsi="Arial" w:cs="Arial"/>
          <w:kern w:val="0"/>
          <w:lang w:eastAsia="en-GB"/>
          <w14:ligatures w14:val="none"/>
        </w:rPr>
        <w:t xml:space="preserve"> </w:t>
      </w:r>
      <w:r w:rsidR="00B74581" w:rsidRPr="00707CE4">
        <w:rPr>
          <w:rFonts w:ascii="Arial" w:eastAsia="Times New Roman" w:hAnsi="Arial" w:cs="Arial"/>
          <w:kern w:val="0"/>
          <w:lang w:eastAsia="en-GB"/>
          <w14:ligatures w14:val="none"/>
        </w:rPr>
        <w:t xml:space="preserve">(created </w:t>
      </w:r>
      <w:r w:rsidR="000532B7" w:rsidRPr="00707CE4">
        <w:rPr>
          <w:rFonts w:ascii="Arial" w:eastAsia="Times New Roman" w:hAnsi="Arial" w:cs="Arial"/>
          <w:kern w:val="0"/>
          <w:lang w:eastAsia="en-GB"/>
          <w14:ligatures w14:val="none"/>
        </w:rPr>
        <w:t>by</w:t>
      </w:r>
      <w:r w:rsidR="00B74581" w:rsidRPr="00707CE4">
        <w:rPr>
          <w:rFonts w:ascii="Arial" w:eastAsia="Times New Roman" w:hAnsi="Arial" w:cs="Arial"/>
          <w:kern w:val="0"/>
          <w:lang w:eastAsia="en-GB"/>
          <w14:ligatures w14:val="none"/>
        </w:rPr>
        <w:t xml:space="preserve"> Natasha Ellis in Excel </w:t>
      </w:r>
      <w:r w:rsidR="000532B7" w:rsidRPr="00707CE4">
        <w:rPr>
          <w:rFonts w:ascii="Arial" w:eastAsia="Times New Roman" w:hAnsi="Arial" w:cs="Arial"/>
          <w:kern w:val="0"/>
          <w:lang w:eastAsia="en-GB"/>
          <w14:ligatures w14:val="none"/>
        </w:rPr>
        <w:t>Microsoft).</w:t>
      </w:r>
    </w:p>
    <w:p w14:paraId="176F0EE4" w14:textId="77777777" w:rsidR="009903E8" w:rsidRPr="00707CE4" w:rsidRDefault="00FB6C23"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kern w:val="0"/>
          <w:sz w:val="22"/>
          <w:szCs w:val="22"/>
          <w:lang w:eastAsia="en-GB"/>
          <w14:ligatures w14:val="none"/>
        </w:rPr>
        <w:t xml:space="preserve">Files: Appendix_A3_Figure3.png; Appendix_A3_Data.csv. </w:t>
      </w:r>
    </w:p>
    <w:p w14:paraId="5D127941" w14:textId="7B055A88" w:rsidR="00127C5A" w:rsidRPr="00707CE4" w:rsidRDefault="00FB6C23"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kern w:val="0"/>
          <w:sz w:val="22"/>
          <w:szCs w:val="22"/>
          <w:lang w:eastAsia="en-GB"/>
          <w14:ligatures w14:val="none"/>
        </w:rPr>
        <w:t xml:space="preserve">Caption: Figure 3: Patient population of early Medicus Health adopters (Adapted from Medicus Health, 2025; NHS England, 2025). </w:t>
      </w:r>
    </w:p>
    <w:p w14:paraId="198368DE" w14:textId="789CE930" w:rsidR="00000A19" w:rsidRPr="00707CE4" w:rsidRDefault="00000A19"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Figure 3</w:t>
      </w:r>
      <w:r w:rsidRPr="00707CE4">
        <w:rPr>
          <w:rFonts w:ascii="Arial" w:eastAsia="Times New Roman" w:hAnsi="Arial" w:cs="Arial"/>
          <w:kern w:val="0"/>
          <w:sz w:val="22"/>
          <w:szCs w:val="22"/>
          <w:lang w:eastAsia="en-GB"/>
          <w14:ligatures w14:val="none"/>
        </w:rPr>
        <w:t xml:space="preserve"> shows registered patient counts for four early Medicus adopters, highlighting that The Adam Practice accounts for the largest share (~25,000) while the other three practices have </w:t>
      </w:r>
      <w:r w:rsidR="002E35D1" w:rsidRPr="00707CE4">
        <w:rPr>
          <w:rFonts w:ascii="Arial" w:eastAsia="Times New Roman" w:hAnsi="Arial" w:cs="Arial"/>
          <w:kern w:val="0"/>
          <w:sz w:val="22"/>
          <w:szCs w:val="22"/>
          <w:lang w:eastAsia="en-GB"/>
          <w14:ligatures w14:val="none"/>
        </w:rPr>
        <w:t>smaller</w:t>
      </w:r>
      <w:r w:rsidRPr="00707CE4">
        <w:rPr>
          <w:rFonts w:ascii="Arial" w:eastAsia="Times New Roman" w:hAnsi="Arial" w:cs="Arial"/>
          <w:kern w:val="0"/>
          <w:sz w:val="22"/>
          <w:szCs w:val="22"/>
          <w:lang w:eastAsia="en-GB"/>
          <w14:ligatures w14:val="none"/>
        </w:rPr>
        <w:t xml:space="preserve">, </w:t>
      </w:r>
      <w:r w:rsidR="002E35D1" w:rsidRPr="00707CE4">
        <w:rPr>
          <w:rFonts w:ascii="Arial" w:eastAsia="Times New Roman" w:hAnsi="Arial" w:cs="Arial"/>
          <w:kern w:val="0"/>
          <w:sz w:val="22"/>
          <w:szCs w:val="22"/>
          <w:lang w:eastAsia="en-GB"/>
          <w14:ligatures w14:val="none"/>
        </w:rPr>
        <w:t>similar</w:t>
      </w:r>
      <w:r w:rsidRPr="00707CE4">
        <w:rPr>
          <w:rFonts w:ascii="Arial" w:eastAsia="Times New Roman" w:hAnsi="Arial" w:cs="Arial"/>
          <w:kern w:val="0"/>
          <w:sz w:val="22"/>
          <w:szCs w:val="22"/>
          <w:lang w:eastAsia="en-GB"/>
          <w14:ligatures w14:val="none"/>
        </w:rPr>
        <w:t xml:space="preserve"> patient populations.</w:t>
      </w:r>
    </w:p>
    <w:p w14:paraId="5EB138EE" w14:textId="77777777" w:rsidR="00000A19" w:rsidRPr="001E29AD" w:rsidRDefault="00000A19"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42140C0B" w14:textId="4819AB2C" w:rsidR="00A73B2A" w:rsidRPr="001E29AD" w:rsidRDefault="00086C3C" w:rsidP="00494FEB">
      <w:pPr>
        <w:spacing w:before="100" w:beforeAutospacing="1" w:after="100" w:afterAutospacing="1" w:line="360" w:lineRule="auto"/>
        <w:rPr>
          <w:rFonts w:ascii="Arial" w:eastAsia="Times New Roman" w:hAnsi="Arial" w:cs="Arial"/>
          <w:kern w:val="0"/>
          <w:sz w:val="28"/>
          <w:szCs w:val="28"/>
          <w:lang w:eastAsia="en-GB"/>
          <w14:ligatures w14:val="none"/>
        </w:rPr>
      </w:pPr>
      <w:r w:rsidRPr="001E29AD">
        <w:rPr>
          <w:rFonts w:ascii="Arial" w:hAnsi="Arial" w:cs="Arial"/>
          <w:noProof/>
          <w:sz w:val="20"/>
          <w:szCs w:val="20"/>
        </w:rPr>
        <w:lastRenderedPageBreak/>
        <w:drawing>
          <wp:anchor distT="0" distB="0" distL="114300" distR="114300" simplePos="0" relativeHeight="251674112" behindDoc="0" locked="0" layoutInCell="1" allowOverlap="1" wp14:anchorId="23D85762" wp14:editId="44BCB499">
            <wp:simplePos x="0" y="0"/>
            <wp:positionH relativeFrom="margin">
              <wp:align>right</wp:align>
            </wp:positionH>
            <wp:positionV relativeFrom="paragraph">
              <wp:posOffset>377825</wp:posOffset>
            </wp:positionV>
            <wp:extent cx="5943600" cy="4380865"/>
            <wp:effectExtent l="0" t="0" r="0" b="0"/>
            <wp:wrapSquare wrapText="bothSides"/>
            <wp:docPr id="201335000" name="Picture 1" descr="A screenshot of a medical appoin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40401" name="Picture 1" descr="A screenshot of a medical appointment"/>
                    <pic:cNvPicPr>
                      <a:picLocks noChangeAspect="1"/>
                    </pic:cNvPicPr>
                  </pic:nvPicPr>
                  <pic:blipFill>
                    <a:blip r:embed="rId13"/>
                    <a:stretch>
                      <a:fillRect/>
                    </a:stretch>
                  </pic:blipFill>
                  <pic:spPr>
                    <a:xfrm>
                      <a:off x="0" y="0"/>
                      <a:ext cx="5948070" cy="4384376"/>
                    </a:xfrm>
                    <a:prstGeom prst="rect">
                      <a:avLst/>
                    </a:prstGeom>
                  </pic:spPr>
                </pic:pic>
              </a:graphicData>
            </a:graphic>
            <wp14:sizeRelH relativeFrom="margin">
              <wp14:pctWidth>0</wp14:pctWidth>
            </wp14:sizeRelH>
            <wp14:sizeRelV relativeFrom="margin">
              <wp14:pctHeight>0</wp14:pctHeight>
            </wp14:sizeRelV>
          </wp:anchor>
        </w:drawing>
      </w:r>
    </w:p>
    <w:p w14:paraId="3629F1D7" w14:textId="77777777" w:rsidR="00A73B2A" w:rsidRPr="00707CE4" w:rsidRDefault="00A73B2A" w:rsidP="00494FEB">
      <w:pPr>
        <w:spacing w:before="100" w:beforeAutospacing="1" w:after="100" w:afterAutospacing="1" w:line="360" w:lineRule="auto"/>
        <w:rPr>
          <w:rFonts w:ascii="Arial" w:eastAsia="Times New Roman" w:hAnsi="Arial" w:cs="Arial"/>
          <w:kern w:val="0"/>
          <w:lang w:eastAsia="en-GB"/>
          <w14:ligatures w14:val="none"/>
        </w:rPr>
      </w:pPr>
    </w:p>
    <w:p w14:paraId="57A5E2E4" w14:textId="4A2EC289" w:rsidR="00265B03" w:rsidRPr="00707CE4" w:rsidRDefault="00FB6C23" w:rsidP="00494FEB">
      <w:pPr>
        <w:pStyle w:val="ListParagraph"/>
        <w:numPr>
          <w:ilvl w:val="0"/>
          <w:numId w:val="31"/>
        </w:numPr>
        <w:spacing w:before="100" w:beforeAutospacing="1" w:after="100" w:afterAutospacing="1" w:line="360" w:lineRule="auto"/>
        <w:rPr>
          <w:rFonts w:ascii="Arial" w:eastAsia="Times New Roman" w:hAnsi="Arial" w:cs="Arial"/>
          <w:kern w:val="0"/>
          <w:lang w:eastAsia="en-GB"/>
          <w14:ligatures w14:val="none"/>
        </w:rPr>
      </w:pPr>
      <w:r w:rsidRPr="00707CE4">
        <w:rPr>
          <w:rFonts w:ascii="Arial" w:eastAsia="Times New Roman" w:hAnsi="Arial" w:cs="Arial"/>
          <w:kern w:val="0"/>
          <w:lang w:eastAsia="en-GB"/>
          <w14:ligatures w14:val="none"/>
        </w:rPr>
        <w:t xml:space="preserve">Appendix Figure A4 — Appointment scheduling interface (Medicus Health screenshot, 2025). </w:t>
      </w:r>
    </w:p>
    <w:p w14:paraId="228EF1D6" w14:textId="77777777" w:rsidR="00476CED" w:rsidRPr="00707CE4" w:rsidRDefault="00FB6C23"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kern w:val="0"/>
          <w:sz w:val="22"/>
          <w:szCs w:val="22"/>
          <w:lang w:eastAsia="en-GB"/>
          <w14:ligatures w14:val="none"/>
        </w:rPr>
        <w:t>File: Appendix_A4_Figure4.png. Caption: Figure 4: Example appointment scheduling interface (Adapted from Medicus Health, 2025).</w:t>
      </w:r>
    </w:p>
    <w:p w14:paraId="19E152F5" w14:textId="4DCF0B3E" w:rsidR="00476CED" w:rsidRPr="00707CE4" w:rsidRDefault="00476CED"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Figure 4</w:t>
      </w:r>
      <w:r w:rsidRPr="00707CE4">
        <w:rPr>
          <w:rFonts w:ascii="Arial" w:eastAsia="Times New Roman" w:hAnsi="Arial" w:cs="Arial"/>
          <w:kern w:val="0"/>
          <w:sz w:val="22"/>
          <w:szCs w:val="22"/>
          <w:lang w:eastAsia="en-GB"/>
          <w14:ligatures w14:val="none"/>
        </w:rPr>
        <w:t xml:space="preserve"> displays a multi</w:t>
      </w:r>
      <w:r w:rsidRPr="00707CE4">
        <w:rPr>
          <w:rFonts w:ascii="Cambria Math" w:eastAsia="Times New Roman" w:hAnsi="Cambria Math" w:cs="Cambria Math"/>
          <w:kern w:val="0"/>
          <w:sz w:val="22"/>
          <w:szCs w:val="22"/>
          <w:lang w:eastAsia="en-GB"/>
          <w14:ligatures w14:val="none"/>
        </w:rPr>
        <w:t>‑</w:t>
      </w:r>
      <w:r w:rsidRPr="00707CE4">
        <w:rPr>
          <w:rFonts w:ascii="Arial" w:eastAsia="Times New Roman" w:hAnsi="Arial" w:cs="Arial"/>
          <w:kern w:val="0"/>
          <w:sz w:val="22"/>
          <w:szCs w:val="22"/>
          <w:lang w:eastAsia="en-GB"/>
          <w14:ligatures w14:val="none"/>
        </w:rPr>
        <w:t>clinician appointment interface, showing real</w:t>
      </w:r>
      <w:r w:rsidRPr="00707CE4">
        <w:rPr>
          <w:rFonts w:ascii="Cambria Math" w:eastAsia="Times New Roman" w:hAnsi="Cambria Math" w:cs="Cambria Math"/>
          <w:kern w:val="0"/>
          <w:sz w:val="22"/>
          <w:szCs w:val="22"/>
          <w:lang w:eastAsia="en-GB"/>
          <w14:ligatures w14:val="none"/>
        </w:rPr>
        <w:t>‑</w:t>
      </w:r>
      <w:r w:rsidRPr="00707CE4">
        <w:rPr>
          <w:rFonts w:ascii="Arial" w:eastAsia="Times New Roman" w:hAnsi="Arial" w:cs="Arial"/>
          <w:kern w:val="0"/>
          <w:sz w:val="22"/>
          <w:szCs w:val="22"/>
          <w:lang w:eastAsia="en-GB"/>
          <w14:ligatures w14:val="none"/>
        </w:rPr>
        <w:t xml:space="preserve">time scheduling across GP, </w:t>
      </w:r>
      <w:r w:rsidR="002E35D1" w:rsidRPr="00707CE4">
        <w:rPr>
          <w:rFonts w:ascii="Arial" w:eastAsia="Times New Roman" w:hAnsi="Arial" w:cs="Arial"/>
          <w:kern w:val="0"/>
          <w:sz w:val="22"/>
          <w:szCs w:val="22"/>
          <w:lang w:eastAsia="en-GB"/>
          <w14:ligatures w14:val="none"/>
        </w:rPr>
        <w:t>telephone,</w:t>
      </w:r>
      <w:r w:rsidRPr="00707CE4">
        <w:rPr>
          <w:rFonts w:ascii="Arial" w:eastAsia="Times New Roman" w:hAnsi="Arial" w:cs="Arial"/>
          <w:kern w:val="0"/>
          <w:sz w:val="22"/>
          <w:szCs w:val="22"/>
          <w:lang w:eastAsia="en-GB"/>
          <w14:ligatures w14:val="none"/>
        </w:rPr>
        <w:t xml:space="preserve"> and routine consultations, with filters and search tools that streamline booking and improve visibility across the practice team.</w:t>
      </w:r>
    </w:p>
    <w:p w14:paraId="43AC31B6" w14:textId="77777777" w:rsidR="00F65457" w:rsidRPr="001E29AD" w:rsidRDefault="00F65457"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3EF20259" w14:textId="77777777" w:rsidR="00F65457" w:rsidRPr="001E29AD" w:rsidRDefault="00F65457" w:rsidP="00494FEB">
      <w:pPr>
        <w:spacing w:before="100" w:beforeAutospacing="1" w:after="100" w:afterAutospacing="1" w:line="360" w:lineRule="auto"/>
        <w:rPr>
          <w:rFonts w:ascii="Arial" w:eastAsia="Times New Roman" w:hAnsi="Arial" w:cs="Arial"/>
          <w:kern w:val="0"/>
          <w:sz w:val="28"/>
          <w:szCs w:val="28"/>
          <w:lang w:eastAsia="en-GB"/>
          <w14:ligatures w14:val="none"/>
        </w:rPr>
      </w:pPr>
    </w:p>
    <w:tbl>
      <w:tblPr>
        <w:tblStyle w:val="TableGrid"/>
        <w:tblpPr w:leftFromText="180" w:rightFromText="180" w:vertAnchor="text" w:horzAnchor="margin" w:tblpY="963"/>
        <w:tblW w:w="9477" w:type="dxa"/>
        <w:tblInd w:w="0" w:type="dxa"/>
        <w:tblLook w:val="04A0" w:firstRow="1" w:lastRow="0" w:firstColumn="1" w:lastColumn="0" w:noHBand="0" w:noVBand="1"/>
      </w:tblPr>
      <w:tblGrid>
        <w:gridCol w:w="9477"/>
      </w:tblGrid>
      <w:tr w:rsidR="00E03423" w:rsidRPr="001E29AD" w14:paraId="2433A940" w14:textId="77777777" w:rsidTr="00E03423">
        <w:trPr>
          <w:trHeight w:val="193"/>
        </w:trPr>
        <w:tc>
          <w:tcPr>
            <w:tcW w:w="9477" w:type="dxa"/>
          </w:tcPr>
          <w:p w14:paraId="78624A73" w14:textId="77777777" w:rsidR="00F65457" w:rsidRPr="001E29AD" w:rsidRDefault="00F65457" w:rsidP="00494FEB">
            <w:pPr>
              <w:keepNext/>
              <w:keepLines/>
              <w:shd w:val="clear" w:color="auto" w:fill="FFFFFF"/>
              <w:spacing w:line="360" w:lineRule="auto"/>
              <w:outlineLvl w:val="3"/>
              <w:rPr>
                <w:rFonts w:ascii="Arial" w:eastAsiaTheme="majorEastAsia" w:hAnsi="Arial" w:cs="Arial"/>
                <w:b/>
                <w:bCs/>
                <w:color w:val="0B0C0C"/>
                <w:kern w:val="2"/>
                <w:sz w:val="22"/>
                <w:szCs w:val="22"/>
                <w:lang w:eastAsia="en-US"/>
                <w14:ligatures w14:val="standardContextual"/>
              </w:rPr>
            </w:pPr>
          </w:p>
          <w:p w14:paraId="6DCF1FB3" w14:textId="77777777" w:rsidR="00F65457" w:rsidRPr="001E29AD" w:rsidRDefault="00F65457" w:rsidP="00494FEB">
            <w:pPr>
              <w:keepNext/>
              <w:keepLines/>
              <w:shd w:val="clear" w:color="auto" w:fill="FFFFFF"/>
              <w:spacing w:line="360" w:lineRule="auto"/>
              <w:outlineLvl w:val="3"/>
              <w:rPr>
                <w:rFonts w:ascii="Arial" w:eastAsiaTheme="majorEastAsia" w:hAnsi="Arial" w:cs="Arial"/>
                <w:b/>
                <w:bCs/>
                <w:color w:val="0B0C0C"/>
                <w:kern w:val="2"/>
                <w:sz w:val="22"/>
                <w:szCs w:val="22"/>
                <w:lang w:eastAsia="en-US"/>
                <w14:ligatures w14:val="standardContextual"/>
              </w:rPr>
            </w:pPr>
            <w:r w:rsidRPr="001E29AD">
              <w:rPr>
                <w:rFonts w:ascii="Arial" w:eastAsiaTheme="majorEastAsia" w:hAnsi="Arial" w:cs="Arial"/>
                <w:b/>
                <w:bCs/>
                <w:color w:val="0B0C0C"/>
                <w:kern w:val="2"/>
                <w:sz w:val="22"/>
                <w:szCs w:val="22"/>
                <w:lang w:eastAsia="en-US"/>
                <w14:ligatures w14:val="standardContextual"/>
              </w:rPr>
              <w:t>From March 2025 and beyond</w:t>
            </w:r>
          </w:p>
          <w:p w14:paraId="3E001508" w14:textId="77777777" w:rsidR="00F65457" w:rsidRPr="001E29AD" w:rsidRDefault="00F65457" w:rsidP="00494FEB">
            <w:pPr>
              <w:spacing w:after="160" w:line="360" w:lineRule="auto"/>
              <w:rPr>
                <w:rFonts w:ascii="Arial" w:hAnsi="Arial" w:cs="Arial"/>
                <w:kern w:val="2"/>
                <w:sz w:val="22"/>
                <w:szCs w:val="22"/>
                <w14:ligatures w14:val="standardContextual"/>
              </w:rPr>
            </w:pPr>
          </w:p>
        </w:tc>
      </w:tr>
      <w:tr w:rsidR="00E03423" w:rsidRPr="001E29AD" w14:paraId="6DAE2965" w14:textId="77777777" w:rsidTr="00E03423">
        <w:trPr>
          <w:trHeight w:val="146"/>
        </w:trPr>
        <w:tc>
          <w:tcPr>
            <w:tcW w:w="9477" w:type="dxa"/>
          </w:tcPr>
          <w:p w14:paraId="6CF0D1D1" w14:textId="77777777" w:rsidR="00F65457" w:rsidRPr="001E29AD" w:rsidRDefault="00F65457" w:rsidP="00494FEB">
            <w:pPr>
              <w:shd w:val="clear" w:color="auto" w:fill="FFFFFF"/>
              <w:spacing w:after="300" w:line="360" w:lineRule="auto"/>
              <w:rPr>
                <w:rFonts w:ascii="Arial" w:hAnsi="Arial" w:cs="Arial"/>
                <w:b/>
                <w:bCs/>
                <w:color w:val="0B0C0C"/>
                <w:sz w:val="22"/>
                <w:szCs w:val="22"/>
                <w:lang w:eastAsia="en-US"/>
              </w:rPr>
            </w:pPr>
            <w:r w:rsidRPr="001E29AD">
              <w:rPr>
                <w:rFonts w:ascii="Arial" w:hAnsi="Arial" w:cs="Arial"/>
                <w:b/>
                <w:bCs/>
                <w:color w:val="0B0C0C"/>
                <w:sz w:val="22"/>
                <w:szCs w:val="22"/>
                <w:lang w:eastAsia="en-US"/>
              </w:rPr>
              <w:t>To manage my health, I can:</w:t>
            </w:r>
          </w:p>
        </w:tc>
      </w:tr>
      <w:tr w:rsidR="00E03423" w:rsidRPr="001E29AD" w14:paraId="6B1D666F" w14:textId="77777777" w:rsidTr="00E03423">
        <w:trPr>
          <w:trHeight w:val="114"/>
        </w:trPr>
        <w:tc>
          <w:tcPr>
            <w:tcW w:w="9477" w:type="dxa"/>
          </w:tcPr>
          <w:p w14:paraId="4D770C3D" w14:textId="77777777" w:rsidR="00F65457" w:rsidRPr="001E29AD" w:rsidRDefault="00F65457" w:rsidP="00494FEB">
            <w:pPr>
              <w:shd w:val="clear" w:color="auto" w:fill="FFFFFF"/>
              <w:spacing w:after="150" w:line="360" w:lineRule="auto"/>
              <w:rPr>
                <w:rFonts w:ascii="Arial" w:hAnsi="Arial" w:cs="Arial"/>
                <w:b/>
                <w:bCs/>
                <w:color w:val="0B0C0C"/>
                <w:kern w:val="2"/>
                <w:sz w:val="22"/>
                <w:szCs w:val="22"/>
                <w:lang w:eastAsia="en-US"/>
                <w14:ligatures w14:val="standardContextual"/>
              </w:rPr>
            </w:pPr>
            <w:r w:rsidRPr="001E29AD">
              <w:rPr>
                <w:rFonts w:ascii="Arial" w:hAnsi="Arial" w:cs="Arial"/>
                <w:b/>
                <w:bCs/>
                <w:color w:val="0B0C0C"/>
                <w:kern w:val="2"/>
                <w:sz w:val="22"/>
                <w:szCs w:val="22"/>
                <w:lang w:eastAsia="en-US"/>
                <w14:ligatures w14:val="standardContextual"/>
              </w:rPr>
              <w:t>View all my test results easily and consistently</w:t>
            </w:r>
          </w:p>
        </w:tc>
      </w:tr>
      <w:tr w:rsidR="00E03423" w:rsidRPr="001E29AD" w14:paraId="42FAE0B9" w14:textId="77777777" w:rsidTr="00E03423">
        <w:trPr>
          <w:trHeight w:val="181"/>
        </w:trPr>
        <w:tc>
          <w:tcPr>
            <w:tcW w:w="9477" w:type="dxa"/>
          </w:tcPr>
          <w:p w14:paraId="61EFAE34" w14:textId="77777777" w:rsidR="00F65457" w:rsidRPr="001E29AD" w:rsidRDefault="00F65457" w:rsidP="00494FEB">
            <w:pPr>
              <w:shd w:val="clear" w:color="auto" w:fill="FFFFFF"/>
              <w:spacing w:after="150" w:line="360" w:lineRule="auto"/>
              <w:rPr>
                <w:rFonts w:ascii="Arial" w:hAnsi="Arial" w:cs="Arial"/>
                <w:b/>
                <w:bCs/>
                <w:color w:val="0B0C0C"/>
                <w:kern w:val="2"/>
                <w:sz w:val="22"/>
                <w:szCs w:val="22"/>
                <w:lang w:eastAsia="en-US"/>
                <w14:ligatures w14:val="standardContextual"/>
              </w:rPr>
            </w:pPr>
            <w:r w:rsidRPr="001E29AD">
              <w:rPr>
                <w:rFonts w:ascii="Arial" w:hAnsi="Arial" w:cs="Arial"/>
                <w:b/>
                <w:bCs/>
                <w:color w:val="0B0C0C"/>
                <w:kern w:val="2"/>
                <w:sz w:val="22"/>
                <w:szCs w:val="22"/>
                <w:lang w:eastAsia="en-US"/>
                <w14:ligatures w14:val="standardContextual"/>
              </w:rPr>
              <w:t>Review how my data has been used to plan services and contribute to medical research</w:t>
            </w:r>
          </w:p>
        </w:tc>
      </w:tr>
      <w:tr w:rsidR="00E03423" w:rsidRPr="001E29AD" w14:paraId="6ECC6FF3" w14:textId="77777777" w:rsidTr="00E03423">
        <w:trPr>
          <w:trHeight w:val="243"/>
        </w:trPr>
        <w:tc>
          <w:tcPr>
            <w:tcW w:w="9477" w:type="dxa"/>
          </w:tcPr>
          <w:p w14:paraId="2D8BFF43" w14:textId="77777777" w:rsidR="00F65457" w:rsidRPr="001E29AD" w:rsidRDefault="00F65457" w:rsidP="00494FEB">
            <w:pPr>
              <w:shd w:val="clear" w:color="auto" w:fill="FFFFFF"/>
              <w:spacing w:after="150" w:line="360" w:lineRule="auto"/>
              <w:rPr>
                <w:rFonts w:ascii="Arial" w:hAnsi="Arial" w:cs="Arial"/>
                <w:b/>
                <w:bCs/>
                <w:color w:val="0B0C0C"/>
                <w:kern w:val="2"/>
                <w:sz w:val="22"/>
                <w:szCs w:val="22"/>
                <w:lang w:eastAsia="en-US"/>
                <w14:ligatures w14:val="standardContextual"/>
              </w:rPr>
            </w:pPr>
            <w:r w:rsidRPr="001E29AD">
              <w:rPr>
                <w:rFonts w:ascii="Arial" w:hAnsi="Arial" w:cs="Arial"/>
                <w:b/>
                <w:bCs/>
                <w:color w:val="0B0C0C"/>
                <w:kern w:val="2"/>
                <w:sz w:val="22"/>
                <w:szCs w:val="22"/>
                <w:lang w:eastAsia="en-US"/>
                <w14:ligatures w14:val="standardContextual"/>
              </w:rPr>
              <w:t>Exercise greater control over how my data is used by being able to opt out of specific uses of my data if I choose, once I have been informed of the potential benefits</w:t>
            </w:r>
          </w:p>
        </w:tc>
      </w:tr>
      <w:tr w:rsidR="00E03423" w:rsidRPr="001E29AD" w14:paraId="0C456BE4" w14:textId="77777777" w:rsidTr="00E03423">
        <w:trPr>
          <w:trHeight w:val="558"/>
        </w:trPr>
        <w:tc>
          <w:tcPr>
            <w:tcW w:w="9477" w:type="dxa"/>
          </w:tcPr>
          <w:p w14:paraId="33EFA97A" w14:textId="77777777" w:rsidR="00F65457" w:rsidRPr="001E29AD" w:rsidRDefault="00F65457" w:rsidP="00494FEB">
            <w:pPr>
              <w:shd w:val="clear" w:color="auto" w:fill="FFFFFF"/>
              <w:spacing w:after="150" w:line="360" w:lineRule="auto"/>
              <w:rPr>
                <w:rFonts w:ascii="Arial" w:hAnsi="Arial" w:cs="Arial"/>
                <w:b/>
                <w:bCs/>
                <w:color w:val="0B0C0C"/>
                <w:kern w:val="2"/>
                <w:sz w:val="22"/>
                <w:szCs w:val="22"/>
                <w:lang w:eastAsia="en-US"/>
                <w14:ligatures w14:val="standardContextual"/>
              </w:rPr>
            </w:pPr>
            <w:r w:rsidRPr="001E29AD">
              <w:rPr>
                <w:rFonts w:ascii="Arial" w:hAnsi="Arial" w:cs="Arial"/>
                <w:b/>
                <w:bCs/>
                <w:color w:val="0B0C0C"/>
                <w:kern w:val="2"/>
                <w:sz w:val="22"/>
                <w:szCs w:val="22"/>
                <w:lang w:eastAsia="en-US"/>
                <w14:ligatures w14:val="standardContextual"/>
              </w:rPr>
              <w:t>Access services that are relevant to me</w:t>
            </w:r>
          </w:p>
        </w:tc>
      </w:tr>
    </w:tbl>
    <w:p w14:paraId="6C84E808" w14:textId="556B1E9D" w:rsidR="00F65457" w:rsidRPr="001E29AD" w:rsidRDefault="00F65457" w:rsidP="00494FEB">
      <w:pPr>
        <w:spacing w:before="100" w:beforeAutospacing="1" w:after="100" w:afterAutospacing="1" w:line="360" w:lineRule="auto"/>
        <w:rPr>
          <w:rFonts w:ascii="Arial" w:eastAsia="Times New Roman" w:hAnsi="Arial" w:cs="Arial"/>
          <w:kern w:val="0"/>
          <w:sz w:val="28"/>
          <w:szCs w:val="28"/>
          <w:lang w:eastAsia="en-GB"/>
          <w14:ligatures w14:val="none"/>
        </w:rPr>
      </w:pPr>
      <w:r w:rsidRPr="001E29AD">
        <w:rPr>
          <w:rFonts w:ascii="Arial" w:hAnsi="Arial" w:cs="Arial"/>
          <w:noProof/>
          <w:sz w:val="20"/>
          <w:szCs w:val="20"/>
        </w:rPr>
        <w:drawing>
          <wp:inline distT="0" distB="0" distL="0" distR="0" wp14:anchorId="25AD60DE" wp14:editId="21E5688A">
            <wp:extent cx="6099140" cy="572115"/>
            <wp:effectExtent l="0" t="0" r="0" b="0"/>
            <wp:docPr id="1136493425" name="Picture 3"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49418" name="Picture 3" descr="A blue background with white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306810" cy="591595"/>
                    </a:xfrm>
                    <a:prstGeom prst="rect">
                      <a:avLst/>
                    </a:prstGeom>
                  </pic:spPr>
                </pic:pic>
              </a:graphicData>
            </a:graphic>
          </wp:inline>
        </w:drawing>
      </w:r>
      <w:r w:rsidRPr="001E29AD">
        <w:rPr>
          <w:rFonts w:ascii="Arial" w:eastAsiaTheme="majorEastAsia" w:hAnsi="Arial" w:cs="Arial"/>
          <w:b/>
          <w:bCs/>
          <w:color w:val="0B0C0C"/>
          <w:sz w:val="20"/>
          <w:szCs w:val="20"/>
          <w:shd w:val="clear" w:color="auto" w:fill="FFFFFF"/>
        </w:rPr>
        <w:t xml:space="preserve">   </w:t>
      </w:r>
    </w:p>
    <w:p w14:paraId="6086A2ED" w14:textId="77777777" w:rsidR="00F65457" w:rsidRPr="001E29AD" w:rsidRDefault="00F65457"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3BB3CC40" w14:textId="78F0434F" w:rsidR="00F65457" w:rsidRPr="00707CE4" w:rsidRDefault="00B24EF3" w:rsidP="00494FEB">
      <w:pPr>
        <w:pStyle w:val="ListParagraph"/>
        <w:numPr>
          <w:ilvl w:val="0"/>
          <w:numId w:val="31"/>
        </w:numPr>
        <w:spacing w:before="100" w:beforeAutospacing="1" w:after="100" w:afterAutospacing="1" w:line="360" w:lineRule="auto"/>
        <w:rPr>
          <w:rFonts w:ascii="Arial" w:eastAsia="Times New Roman" w:hAnsi="Arial" w:cs="Arial"/>
          <w:kern w:val="0"/>
          <w:lang w:eastAsia="en-GB"/>
          <w14:ligatures w14:val="none"/>
        </w:rPr>
      </w:pPr>
      <w:r w:rsidRPr="00707CE4">
        <w:rPr>
          <w:rFonts w:ascii="Arial" w:eastAsia="Times New Roman" w:hAnsi="Arial" w:cs="Arial"/>
          <w:kern w:val="0"/>
          <w:lang w:eastAsia="en-GB"/>
          <w14:ligatures w14:val="none"/>
        </w:rPr>
        <w:t>Appendix Figure A5 — Roadmap: Manage my health from March 2025 and beyond (Adapted from Department of Health and Social Care, 2022)</w:t>
      </w:r>
    </w:p>
    <w:p w14:paraId="605DE33B" w14:textId="77777777" w:rsidR="0025630C" w:rsidRPr="00707CE4" w:rsidRDefault="0025630C"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File:</w:t>
      </w:r>
      <w:r w:rsidRPr="00707CE4">
        <w:rPr>
          <w:rFonts w:ascii="Arial" w:eastAsia="Times New Roman" w:hAnsi="Arial" w:cs="Arial"/>
          <w:kern w:val="0"/>
          <w:sz w:val="22"/>
          <w:szCs w:val="22"/>
          <w:lang w:eastAsia="en-GB"/>
          <w14:ligatures w14:val="none"/>
        </w:rPr>
        <w:t xml:space="preserve"> Appendix_A5_Figure5.png (PNG, 300 dpi)</w:t>
      </w:r>
    </w:p>
    <w:p w14:paraId="0CE32E0C" w14:textId="4CB26503" w:rsidR="0025630C" w:rsidRPr="00707CE4" w:rsidRDefault="0025630C"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Caption:</w:t>
      </w:r>
      <w:r w:rsidRPr="00707CE4">
        <w:rPr>
          <w:rFonts w:ascii="Arial" w:eastAsia="Times New Roman" w:hAnsi="Arial" w:cs="Arial"/>
          <w:kern w:val="0"/>
          <w:sz w:val="22"/>
          <w:szCs w:val="22"/>
          <w:lang w:eastAsia="en-GB"/>
          <w14:ligatures w14:val="none"/>
        </w:rPr>
        <w:t xml:space="preserve"> Figure 5: Roadmap — Manage my health from March 2025 and beyond (Adapted from Department of Health and Social Care, 2022).</w:t>
      </w:r>
    </w:p>
    <w:p w14:paraId="6C720F97" w14:textId="05408DB8" w:rsidR="0025630C" w:rsidRPr="001E29AD" w:rsidRDefault="0025630C" w:rsidP="00494FEB">
      <w:pPr>
        <w:spacing w:before="100" w:beforeAutospacing="1" w:after="100" w:afterAutospacing="1" w:line="360" w:lineRule="auto"/>
        <w:rPr>
          <w:rFonts w:ascii="Arial" w:eastAsia="Times New Roman" w:hAnsi="Arial" w:cs="Arial"/>
          <w:kern w:val="0"/>
          <w:sz w:val="28"/>
          <w:szCs w:val="28"/>
          <w:lang w:eastAsia="en-GB"/>
          <w14:ligatures w14:val="none"/>
        </w:rPr>
      </w:pPr>
      <w:r w:rsidRPr="00707CE4">
        <w:rPr>
          <w:rFonts w:ascii="Arial" w:eastAsia="Times New Roman" w:hAnsi="Arial" w:cs="Arial"/>
          <w:b/>
          <w:bCs/>
          <w:kern w:val="0"/>
          <w:sz w:val="22"/>
          <w:szCs w:val="22"/>
          <w:lang w:eastAsia="en-GB"/>
          <w14:ligatures w14:val="none"/>
        </w:rPr>
        <w:t>Figure 5</w:t>
      </w:r>
      <w:r w:rsidRPr="00707CE4">
        <w:rPr>
          <w:rFonts w:ascii="Arial" w:eastAsia="Times New Roman" w:hAnsi="Arial" w:cs="Arial"/>
          <w:kern w:val="0"/>
          <w:sz w:val="22"/>
          <w:szCs w:val="22"/>
          <w:lang w:eastAsia="en-GB"/>
          <w14:ligatures w14:val="none"/>
        </w:rPr>
        <w:t xml:space="preserve"> This roadmap outlines key digital health entitlements for patients from March 2025 onwards, including consistent access to test results, transparency around data use in planning and research, informed opt</w:t>
      </w:r>
      <w:r w:rsidRPr="00707CE4">
        <w:rPr>
          <w:rFonts w:ascii="Cambria Math" w:eastAsia="Times New Roman" w:hAnsi="Cambria Math" w:cs="Cambria Math"/>
          <w:kern w:val="0"/>
          <w:sz w:val="22"/>
          <w:szCs w:val="22"/>
          <w:lang w:eastAsia="en-GB"/>
          <w14:ligatures w14:val="none"/>
        </w:rPr>
        <w:t>‑</w:t>
      </w:r>
      <w:r w:rsidRPr="00707CE4">
        <w:rPr>
          <w:rFonts w:ascii="Arial" w:eastAsia="Times New Roman" w:hAnsi="Arial" w:cs="Arial"/>
          <w:kern w:val="0"/>
          <w:sz w:val="22"/>
          <w:szCs w:val="22"/>
          <w:lang w:eastAsia="en-GB"/>
          <w14:ligatures w14:val="none"/>
        </w:rPr>
        <w:t>out</w:t>
      </w:r>
      <w:r w:rsidRPr="001E29AD">
        <w:rPr>
          <w:rFonts w:ascii="Arial" w:eastAsia="Times New Roman" w:hAnsi="Arial" w:cs="Arial"/>
          <w:kern w:val="0"/>
          <w:sz w:val="28"/>
          <w:szCs w:val="28"/>
          <w:lang w:eastAsia="en-GB"/>
          <w14:ligatures w14:val="none"/>
        </w:rPr>
        <w:t xml:space="preserve"> controls, and tailored service access. Use this figure to contextualise policy drivers for digital inclusion, data </w:t>
      </w:r>
      <w:r w:rsidR="002E35D1" w:rsidRPr="001E29AD">
        <w:rPr>
          <w:rFonts w:ascii="Arial" w:eastAsia="Times New Roman" w:hAnsi="Arial" w:cs="Arial"/>
          <w:kern w:val="0"/>
          <w:sz w:val="28"/>
          <w:szCs w:val="28"/>
          <w:lang w:eastAsia="en-GB"/>
          <w14:ligatures w14:val="none"/>
        </w:rPr>
        <w:t>governance,</w:t>
      </w:r>
      <w:r w:rsidRPr="001E29AD">
        <w:rPr>
          <w:rFonts w:ascii="Arial" w:eastAsia="Times New Roman" w:hAnsi="Arial" w:cs="Arial"/>
          <w:kern w:val="0"/>
          <w:sz w:val="28"/>
          <w:szCs w:val="28"/>
          <w:lang w:eastAsia="en-GB"/>
          <w14:ligatures w14:val="none"/>
        </w:rPr>
        <w:t xml:space="preserve"> and patient</w:t>
      </w:r>
      <w:r w:rsidRPr="001E29AD">
        <w:rPr>
          <w:rFonts w:ascii="Cambria Math" w:eastAsia="Times New Roman" w:hAnsi="Cambria Math" w:cs="Cambria Math"/>
          <w:kern w:val="0"/>
          <w:sz w:val="28"/>
          <w:szCs w:val="28"/>
          <w:lang w:eastAsia="en-GB"/>
          <w14:ligatures w14:val="none"/>
        </w:rPr>
        <w:t>‑</w:t>
      </w:r>
      <w:r w:rsidRPr="001E29AD">
        <w:rPr>
          <w:rFonts w:ascii="Arial" w:eastAsia="Times New Roman" w:hAnsi="Arial" w:cs="Arial"/>
          <w:kern w:val="0"/>
          <w:sz w:val="28"/>
          <w:szCs w:val="28"/>
          <w:lang w:eastAsia="en-GB"/>
          <w14:ligatures w14:val="none"/>
        </w:rPr>
        <w:t>centred design.</w:t>
      </w:r>
    </w:p>
    <w:p w14:paraId="057A325B" w14:textId="77777777" w:rsidR="00706D72" w:rsidRPr="001E29AD" w:rsidRDefault="00706D72"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2C778EC8" w14:textId="7642A87A" w:rsidR="00706D72" w:rsidRPr="001E29AD" w:rsidRDefault="008532A5" w:rsidP="00494FEB">
      <w:pPr>
        <w:spacing w:before="100" w:beforeAutospacing="1" w:after="100" w:afterAutospacing="1" w:line="360" w:lineRule="auto"/>
        <w:rPr>
          <w:rFonts w:ascii="Arial" w:eastAsia="Times New Roman" w:hAnsi="Arial" w:cs="Arial"/>
          <w:kern w:val="0"/>
          <w:sz w:val="28"/>
          <w:szCs w:val="28"/>
          <w:lang w:eastAsia="en-GB"/>
          <w14:ligatures w14:val="none"/>
        </w:rPr>
      </w:pPr>
      <w:r w:rsidRPr="001E29AD">
        <w:rPr>
          <w:rFonts w:ascii="Arial" w:hAnsi="Arial" w:cs="Arial"/>
          <w:noProof/>
        </w:rPr>
        <w:lastRenderedPageBreak/>
        <w:drawing>
          <wp:inline distT="0" distB="0" distL="0" distR="0" wp14:anchorId="76464B33" wp14:editId="584F2F4A">
            <wp:extent cx="5942122" cy="3949002"/>
            <wp:effectExtent l="0" t="0" r="1905" b="0"/>
            <wp:docPr id="487798807" name="Picture 1"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958801" name="Picture 1" descr="A close-up of a documen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68732" cy="4033144"/>
                    </a:xfrm>
                    <a:prstGeom prst="rect">
                      <a:avLst/>
                    </a:prstGeom>
                  </pic:spPr>
                </pic:pic>
              </a:graphicData>
            </a:graphic>
          </wp:inline>
        </w:drawing>
      </w:r>
    </w:p>
    <w:p w14:paraId="0512C598" w14:textId="24CE1DB6" w:rsidR="00C029E2" w:rsidRPr="00707CE4" w:rsidRDefault="00C029E2" w:rsidP="00494FEB">
      <w:pPr>
        <w:spacing w:before="100" w:beforeAutospacing="1" w:after="100" w:afterAutospacing="1" w:line="360" w:lineRule="auto"/>
        <w:rPr>
          <w:rFonts w:ascii="Arial" w:eastAsia="Times New Roman" w:hAnsi="Arial" w:cs="Arial"/>
          <w:b/>
          <w:bCs/>
          <w:kern w:val="0"/>
          <w:lang w:eastAsia="en-GB"/>
          <w14:ligatures w14:val="none"/>
        </w:rPr>
      </w:pPr>
      <w:r w:rsidRPr="00707CE4">
        <w:rPr>
          <w:rFonts w:ascii="Arial" w:eastAsia="Times New Roman" w:hAnsi="Arial" w:cs="Arial"/>
          <w:b/>
          <w:bCs/>
          <w:kern w:val="0"/>
          <w:lang w:eastAsia="en-GB"/>
          <w14:ligatures w14:val="none"/>
        </w:rPr>
        <w:t>Appendix Figure A6 — Population, Intervention, Comparator and Outcomes Framework (Adapted from NHS Innovation Service, 2025)</w:t>
      </w:r>
    </w:p>
    <w:p w14:paraId="3C331E47" w14:textId="250E6742" w:rsidR="00C029E2" w:rsidRPr="00707CE4" w:rsidRDefault="00C029E2"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File:</w:t>
      </w:r>
      <w:r w:rsidRPr="00707CE4">
        <w:rPr>
          <w:rFonts w:ascii="Arial" w:eastAsia="Times New Roman" w:hAnsi="Arial" w:cs="Arial"/>
          <w:kern w:val="0"/>
          <w:sz w:val="22"/>
          <w:szCs w:val="22"/>
          <w:lang w:eastAsia="en-GB"/>
          <w14:ligatures w14:val="none"/>
        </w:rPr>
        <w:t xml:space="preserve"> Appendix_A6_Figure6.png (PNG, 300 dpi)</w:t>
      </w:r>
    </w:p>
    <w:p w14:paraId="101D5D44" w14:textId="55A627EC" w:rsidR="00C029E2" w:rsidRPr="00707CE4" w:rsidRDefault="00C029E2"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Caption:</w:t>
      </w:r>
      <w:r w:rsidRPr="00707CE4">
        <w:rPr>
          <w:rFonts w:ascii="Arial" w:eastAsia="Times New Roman" w:hAnsi="Arial" w:cs="Arial"/>
          <w:kern w:val="0"/>
          <w:sz w:val="22"/>
          <w:szCs w:val="22"/>
          <w:lang w:eastAsia="en-GB"/>
          <w14:ligatures w14:val="none"/>
        </w:rPr>
        <w:t xml:space="preserve"> Figure 6: Population, Intervention, Comparator and Outcomes Framework (Adapted from NHS Innovation Service, 2025).</w:t>
      </w:r>
    </w:p>
    <w:p w14:paraId="22F3F1A9" w14:textId="77D16459" w:rsidR="00706D72" w:rsidRPr="00707CE4" w:rsidRDefault="009C1D8F"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Figure 6:</w:t>
      </w:r>
      <w:r w:rsidRPr="00707CE4">
        <w:rPr>
          <w:rFonts w:ascii="Arial" w:eastAsia="Times New Roman" w:hAnsi="Arial" w:cs="Arial"/>
          <w:kern w:val="0"/>
          <w:sz w:val="22"/>
          <w:szCs w:val="22"/>
          <w:lang w:eastAsia="en-GB"/>
          <w14:ligatures w14:val="none"/>
        </w:rPr>
        <w:t xml:space="preserve"> </w:t>
      </w:r>
      <w:r w:rsidR="00C029E2" w:rsidRPr="00707CE4">
        <w:rPr>
          <w:rFonts w:ascii="Arial" w:eastAsia="Times New Roman" w:hAnsi="Arial" w:cs="Arial"/>
          <w:kern w:val="0"/>
          <w:sz w:val="22"/>
          <w:szCs w:val="22"/>
          <w:lang w:eastAsia="en-GB"/>
          <w14:ligatures w14:val="none"/>
        </w:rPr>
        <w:t xml:space="preserve">This figure presents the NHS Innovation Service’s PICO framework, used to define rapid review questions. It outlines structured prompts under each heading to guide evaluation of health interventions, including population characteristics, intervention purpose, comparator </w:t>
      </w:r>
      <w:r w:rsidR="002E35D1" w:rsidRPr="00707CE4">
        <w:rPr>
          <w:rFonts w:ascii="Arial" w:eastAsia="Times New Roman" w:hAnsi="Arial" w:cs="Arial"/>
          <w:kern w:val="0"/>
          <w:sz w:val="22"/>
          <w:szCs w:val="22"/>
          <w:lang w:eastAsia="en-GB"/>
          <w14:ligatures w14:val="none"/>
        </w:rPr>
        <w:t>standards,</w:t>
      </w:r>
      <w:r w:rsidR="00C029E2" w:rsidRPr="00707CE4">
        <w:rPr>
          <w:rFonts w:ascii="Arial" w:eastAsia="Times New Roman" w:hAnsi="Arial" w:cs="Arial"/>
          <w:kern w:val="0"/>
          <w:sz w:val="22"/>
          <w:szCs w:val="22"/>
          <w:lang w:eastAsia="en-GB"/>
          <w14:ligatures w14:val="none"/>
        </w:rPr>
        <w:t xml:space="preserve"> and outcome types.</w:t>
      </w:r>
    </w:p>
    <w:p w14:paraId="777A0C73" w14:textId="77777777" w:rsidR="0079307F" w:rsidRDefault="0079307F"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79147131" w14:textId="77777777" w:rsidR="00707CE4" w:rsidRDefault="00707CE4"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6CC15747" w14:textId="77777777" w:rsidR="00707CE4" w:rsidRPr="001E29AD" w:rsidRDefault="00707CE4" w:rsidP="00494FEB">
      <w:pPr>
        <w:spacing w:before="100" w:beforeAutospacing="1" w:after="100" w:afterAutospacing="1" w:line="360" w:lineRule="auto"/>
        <w:rPr>
          <w:rFonts w:ascii="Arial" w:eastAsia="Times New Roman" w:hAnsi="Arial" w:cs="Arial"/>
          <w:kern w:val="0"/>
          <w:sz w:val="28"/>
          <w:szCs w:val="28"/>
          <w:lang w:eastAsia="en-GB"/>
          <w14:ligatures w14:val="none"/>
        </w:rPr>
      </w:pPr>
    </w:p>
    <w:tbl>
      <w:tblPr>
        <w:tblStyle w:val="TableGrid"/>
        <w:tblpPr w:leftFromText="180" w:rightFromText="180" w:vertAnchor="text" w:horzAnchor="margin" w:tblpY="44"/>
        <w:tblW w:w="9805" w:type="dxa"/>
        <w:tblInd w:w="0" w:type="dxa"/>
        <w:tblLook w:val="04A0" w:firstRow="1" w:lastRow="0" w:firstColumn="1" w:lastColumn="0" w:noHBand="0" w:noVBand="1"/>
      </w:tblPr>
      <w:tblGrid>
        <w:gridCol w:w="9805"/>
      </w:tblGrid>
      <w:tr w:rsidR="004D0B3E" w:rsidRPr="001E29AD" w14:paraId="12F2C829" w14:textId="77777777" w:rsidTr="004D0B3E">
        <w:trPr>
          <w:trHeight w:val="576"/>
        </w:trPr>
        <w:tc>
          <w:tcPr>
            <w:tcW w:w="9805" w:type="dxa"/>
          </w:tcPr>
          <w:p w14:paraId="5C4D0CD9" w14:textId="77777777" w:rsidR="004D0B3E" w:rsidRPr="001E29AD" w:rsidRDefault="004D0B3E" w:rsidP="00494FEB">
            <w:pPr>
              <w:spacing w:line="360" w:lineRule="auto"/>
              <w:rPr>
                <w:rFonts w:ascii="Arial" w:eastAsia="Times New Roman" w:hAnsi="Arial" w:cs="Arial"/>
                <w:b/>
                <w:bCs/>
                <w:color w:val="0B0C0C"/>
                <w:sz w:val="22"/>
                <w:szCs w:val="22"/>
                <w:lang w:eastAsia="en-GB"/>
              </w:rPr>
            </w:pPr>
            <w:r w:rsidRPr="001E29AD">
              <w:rPr>
                <w:rFonts w:ascii="Arial" w:eastAsia="Times New Roman" w:hAnsi="Arial" w:cs="Arial"/>
                <w:b/>
                <w:bCs/>
                <w:color w:val="0B0C0C"/>
                <w:sz w:val="22"/>
                <w:szCs w:val="22"/>
                <w:lang w:eastAsia="en-GB"/>
              </w:rPr>
              <w:t>£5,519 ÷ 40.8 weeks = £135.27</w:t>
            </w:r>
          </w:p>
        </w:tc>
      </w:tr>
      <w:tr w:rsidR="004D0B3E" w:rsidRPr="001E29AD" w14:paraId="16108E3E" w14:textId="77777777" w:rsidTr="004D0B3E">
        <w:trPr>
          <w:trHeight w:val="1711"/>
        </w:trPr>
        <w:tc>
          <w:tcPr>
            <w:tcW w:w="9805" w:type="dxa"/>
          </w:tcPr>
          <w:p w14:paraId="06F592E2" w14:textId="77777777" w:rsidR="004D0B3E" w:rsidRPr="001E29AD" w:rsidRDefault="004D0B3E" w:rsidP="00494FEB">
            <w:pPr>
              <w:spacing w:line="360" w:lineRule="auto"/>
              <w:rPr>
                <w:rFonts w:ascii="Arial" w:eastAsia="Times New Roman" w:hAnsi="Arial" w:cs="Arial"/>
                <w:b/>
                <w:bCs/>
                <w:color w:val="0B0C0C"/>
                <w:sz w:val="22"/>
                <w:szCs w:val="22"/>
                <w:lang w:eastAsia="en-GB"/>
              </w:rPr>
            </w:pPr>
            <w:r w:rsidRPr="001E29AD">
              <w:rPr>
                <w:rFonts w:ascii="Arial" w:eastAsia="Times New Roman" w:hAnsi="Arial" w:cs="Arial"/>
                <w:b/>
                <w:bCs/>
                <w:color w:val="0B0C0C"/>
                <w:sz w:val="22"/>
                <w:szCs w:val="22"/>
                <w:lang w:eastAsia="en-GB"/>
              </w:rPr>
              <w:t>Once we have calculated the payment per week of £135.27, we are then able to calculate the payment per hour, which is calculated by dividing the weekly rate by 37.5 hours:</w:t>
            </w:r>
          </w:p>
        </w:tc>
      </w:tr>
      <w:tr w:rsidR="004D0B3E" w:rsidRPr="001E29AD" w14:paraId="3631578A" w14:textId="77777777" w:rsidTr="004D0B3E">
        <w:trPr>
          <w:trHeight w:val="576"/>
        </w:trPr>
        <w:tc>
          <w:tcPr>
            <w:tcW w:w="9805" w:type="dxa"/>
          </w:tcPr>
          <w:p w14:paraId="142DA576" w14:textId="77777777" w:rsidR="004D0B3E" w:rsidRPr="001E29AD" w:rsidRDefault="004D0B3E" w:rsidP="00494FEB">
            <w:pPr>
              <w:spacing w:line="360" w:lineRule="auto"/>
              <w:rPr>
                <w:rFonts w:ascii="Arial" w:eastAsia="Times New Roman" w:hAnsi="Arial" w:cs="Arial"/>
                <w:b/>
                <w:bCs/>
                <w:color w:val="0B0C0C"/>
                <w:sz w:val="22"/>
                <w:szCs w:val="22"/>
                <w:lang w:eastAsia="en-GB"/>
              </w:rPr>
            </w:pPr>
            <w:r w:rsidRPr="001E29AD">
              <w:rPr>
                <w:rFonts w:ascii="Arial" w:eastAsia="Times New Roman" w:hAnsi="Arial" w:cs="Arial"/>
                <w:b/>
                <w:bCs/>
                <w:color w:val="0B0C0C"/>
                <w:sz w:val="22"/>
                <w:szCs w:val="22"/>
                <w:lang w:eastAsia="en-GB"/>
              </w:rPr>
              <w:t>£135.27 ÷ 37.5 hours = £3.61</w:t>
            </w:r>
          </w:p>
        </w:tc>
      </w:tr>
      <w:tr w:rsidR="004D0B3E" w:rsidRPr="001E29AD" w14:paraId="53261ED8" w14:textId="77777777" w:rsidTr="004D0B3E">
        <w:trPr>
          <w:trHeight w:val="1131"/>
        </w:trPr>
        <w:tc>
          <w:tcPr>
            <w:tcW w:w="9805" w:type="dxa"/>
          </w:tcPr>
          <w:p w14:paraId="1DF82167" w14:textId="77777777" w:rsidR="004D0B3E" w:rsidRPr="001E29AD" w:rsidRDefault="004D0B3E" w:rsidP="00494FEB">
            <w:pPr>
              <w:spacing w:line="360" w:lineRule="auto"/>
              <w:rPr>
                <w:rFonts w:ascii="Arial" w:eastAsia="Times New Roman" w:hAnsi="Arial" w:cs="Arial"/>
                <w:b/>
                <w:bCs/>
                <w:color w:val="0B0C0C"/>
                <w:sz w:val="22"/>
                <w:szCs w:val="22"/>
                <w:lang w:eastAsia="en-GB"/>
              </w:rPr>
            </w:pPr>
            <w:r w:rsidRPr="001E29AD">
              <w:rPr>
                <w:rFonts w:ascii="Arial" w:eastAsia="Times New Roman" w:hAnsi="Arial" w:cs="Arial"/>
                <w:b/>
                <w:bCs/>
                <w:color w:val="0B0C0C"/>
                <w:sz w:val="22"/>
                <w:szCs w:val="22"/>
                <w:lang w:eastAsia="en-GB"/>
              </w:rPr>
              <w:t>The hourly rate should then be applied to the total number of hours of placement activity:</w:t>
            </w:r>
          </w:p>
        </w:tc>
      </w:tr>
      <w:tr w:rsidR="004D0B3E" w:rsidRPr="001E29AD" w14:paraId="0150DE36" w14:textId="77777777" w:rsidTr="004D0B3E">
        <w:trPr>
          <w:trHeight w:val="576"/>
        </w:trPr>
        <w:tc>
          <w:tcPr>
            <w:tcW w:w="9805" w:type="dxa"/>
          </w:tcPr>
          <w:p w14:paraId="787A27AC" w14:textId="77777777" w:rsidR="004D0B3E" w:rsidRPr="001E29AD" w:rsidRDefault="004D0B3E" w:rsidP="00494FEB">
            <w:pPr>
              <w:spacing w:line="360" w:lineRule="auto"/>
              <w:rPr>
                <w:rFonts w:ascii="Arial" w:eastAsia="Times New Roman" w:hAnsi="Arial" w:cs="Arial"/>
                <w:b/>
                <w:bCs/>
                <w:color w:val="0B0C0C"/>
                <w:sz w:val="22"/>
                <w:szCs w:val="22"/>
                <w:lang w:eastAsia="en-GB"/>
              </w:rPr>
            </w:pPr>
            <w:r w:rsidRPr="001E29AD">
              <w:rPr>
                <w:rFonts w:ascii="Arial" w:eastAsia="Times New Roman" w:hAnsi="Arial" w:cs="Arial"/>
                <w:b/>
                <w:bCs/>
                <w:color w:val="0B0C0C"/>
                <w:sz w:val="22"/>
                <w:szCs w:val="22"/>
                <w:lang w:eastAsia="en-GB"/>
              </w:rPr>
              <w:t>5,000 hours × £3.61 = £18,035</w:t>
            </w:r>
          </w:p>
        </w:tc>
      </w:tr>
      <w:tr w:rsidR="004D0B3E" w:rsidRPr="001E29AD" w14:paraId="63A0945C" w14:textId="77777777" w:rsidTr="004D0B3E">
        <w:trPr>
          <w:trHeight w:val="576"/>
        </w:trPr>
        <w:tc>
          <w:tcPr>
            <w:tcW w:w="9805" w:type="dxa"/>
          </w:tcPr>
          <w:p w14:paraId="16696050" w14:textId="77777777" w:rsidR="004D0B3E" w:rsidRPr="001E29AD" w:rsidRDefault="004D0B3E" w:rsidP="00494FEB">
            <w:pPr>
              <w:spacing w:line="360" w:lineRule="auto"/>
              <w:rPr>
                <w:rFonts w:ascii="Arial" w:eastAsia="Times New Roman" w:hAnsi="Arial" w:cs="Arial"/>
                <w:b/>
                <w:bCs/>
                <w:color w:val="0B0C0C"/>
                <w:sz w:val="22"/>
                <w:szCs w:val="22"/>
                <w:lang w:eastAsia="en-GB"/>
              </w:rPr>
            </w:pPr>
            <w:r w:rsidRPr="001E29AD">
              <w:rPr>
                <w:rFonts w:ascii="Arial" w:eastAsia="Times New Roman" w:hAnsi="Arial" w:cs="Arial"/>
                <w:b/>
                <w:bCs/>
                <w:color w:val="0B0C0C"/>
                <w:sz w:val="22"/>
                <w:szCs w:val="22"/>
                <w:lang w:eastAsia="en-GB"/>
              </w:rPr>
              <w:t>The final stage is to apply the MFF payment index to the total funding:</w:t>
            </w:r>
          </w:p>
        </w:tc>
      </w:tr>
      <w:tr w:rsidR="004D0B3E" w:rsidRPr="001E29AD" w14:paraId="1C523FD6" w14:textId="77777777" w:rsidTr="004D0B3E">
        <w:trPr>
          <w:trHeight w:val="551"/>
        </w:trPr>
        <w:tc>
          <w:tcPr>
            <w:tcW w:w="9805" w:type="dxa"/>
          </w:tcPr>
          <w:p w14:paraId="226874B6" w14:textId="77777777" w:rsidR="004D0B3E" w:rsidRPr="001E29AD" w:rsidRDefault="004D0B3E" w:rsidP="00494FEB">
            <w:pPr>
              <w:spacing w:line="360" w:lineRule="auto"/>
              <w:rPr>
                <w:rFonts w:ascii="Arial" w:eastAsia="Times New Roman" w:hAnsi="Arial" w:cs="Arial"/>
                <w:b/>
                <w:bCs/>
                <w:color w:val="0B0C0C"/>
                <w:sz w:val="22"/>
                <w:szCs w:val="22"/>
                <w:lang w:eastAsia="en-GB"/>
              </w:rPr>
            </w:pPr>
            <w:r w:rsidRPr="001E29AD">
              <w:rPr>
                <w:rFonts w:ascii="Arial" w:eastAsia="Times New Roman" w:hAnsi="Arial" w:cs="Arial"/>
                <w:b/>
                <w:bCs/>
                <w:color w:val="0B0C0C"/>
                <w:sz w:val="22"/>
                <w:szCs w:val="22"/>
                <w:lang w:eastAsia="en-GB"/>
              </w:rPr>
              <w:t>£18,035 × 1.0383 (Midlands MFF rate) = £18,726.73</w:t>
            </w:r>
          </w:p>
        </w:tc>
      </w:tr>
      <w:tr w:rsidR="004D0B3E" w:rsidRPr="001E29AD" w14:paraId="1A420941" w14:textId="77777777" w:rsidTr="004D0B3E">
        <w:trPr>
          <w:trHeight w:val="551"/>
        </w:trPr>
        <w:tc>
          <w:tcPr>
            <w:tcW w:w="9805" w:type="dxa"/>
          </w:tcPr>
          <w:p w14:paraId="1A67C6CB" w14:textId="77777777" w:rsidR="004D0B3E" w:rsidRPr="001E29AD" w:rsidRDefault="004D0B3E" w:rsidP="00494FEB">
            <w:pPr>
              <w:spacing w:line="360" w:lineRule="auto"/>
              <w:rPr>
                <w:rFonts w:ascii="Arial" w:eastAsia="Times New Roman" w:hAnsi="Arial" w:cs="Arial"/>
                <w:b/>
                <w:bCs/>
                <w:color w:val="0B0C0C"/>
                <w:sz w:val="22"/>
                <w:szCs w:val="22"/>
                <w:lang w:eastAsia="en-GB"/>
              </w:rPr>
            </w:pPr>
            <w:r w:rsidRPr="001E29AD">
              <w:rPr>
                <w:rFonts w:ascii="Arial" w:eastAsia="Times New Roman" w:hAnsi="Arial" w:cs="Arial"/>
                <w:b/>
                <w:bCs/>
                <w:color w:val="0B0C0C"/>
                <w:sz w:val="22"/>
                <w:szCs w:val="22"/>
                <w:lang w:eastAsia="en-GB"/>
              </w:rPr>
              <w:t>The total funding that this activity will generate is therefore £18,726.73.</w:t>
            </w:r>
          </w:p>
        </w:tc>
      </w:tr>
    </w:tbl>
    <w:p w14:paraId="4E65F81A" w14:textId="77777777" w:rsidR="0079307F" w:rsidRPr="001E29AD" w:rsidRDefault="0079307F" w:rsidP="00494FEB">
      <w:pPr>
        <w:spacing w:before="100" w:beforeAutospacing="1" w:after="100" w:afterAutospacing="1" w:line="360" w:lineRule="auto"/>
        <w:rPr>
          <w:rFonts w:ascii="Arial" w:eastAsia="Times New Roman" w:hAnsi="Arial" w:cs="Arial"/>
          <w:kern w:val="0"/>
          <w:sz w:val="22"/>
          <w:szCs w:val="22"/>
          <w:lang w:eastAsia="en-GB"/>
          <w14:ligatures w14:val="none"/>
        </w:rPr>
      </w:pPr>
    </w:p>
    <w:p w14:paraId="11AFFC80" w14:textId="77777777" w:rsidR="004D0B3E" w:rsidRPr="00707CE4" w:rsidRDefault="004D0B3E" w:rsidP="00494FEB">
      <w:pPr>
        <w:spacing w:before="100" w:beforeAutospacing="1" w:after="100" w:afterAutospacing="1" w:line="360" w:lineRule="auto"/>
        <w:rPr>
          <w:rFonts w:ascii="Arial" w:eastAsia="Times New Roman" w:hAnsi="Arial" w:cs="Arial"/>
          <w:b/>
          <w:bCs/>
          <w:kern w:val="0"/>
          <w:lang w:eastAsia="en-GB"/>
          <w14:ligatures w14:val="none"/>
        </w:rPr>
      </w:pPr>
      <w:r w:rsidRPr="00707CE4">
        <w:rPr>
          <w:rFonts w:ascii="Arial" w:eastAsia="Times New Roman" w:hAnsi="Arial" w:cs="Arial"/>
          <w:b/>
          <w:bCs/>
          <w:kern w:val="0"/>
          <w:lang w:eastAsia="en-GB"/>
          <w14:ligatures w14:val="none"/>
        </w:rPr>
        <w:t>Appendix Figure A7 — Healthcare education and training tariff calculation (Adapted from Department of Health and Social Care and NHS England, 2024)</w:t>
      </w:r>
    </w:p>
    <w:p w14:paraId="27767FF6" w14:textId="463B7932" w:rsidR="004D0B3E" w:rsidRPr="00707CE4" w:rsidRDefault="004D0B3E"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File:</w:t>
      </w:r>
      <w:r w:rsidRPr="00707CE4">
        <w:rPr>
          <w:rFonts w:ascii="Arial" w:eastAsia="Times New Roman" w:hAnsi="Arial" w:cs="Arial"/>
          <w:kern w:val="0"/>
          <w:sz w:val="22"/>
          <w:szCs w:val="22"/>
          <w:lang w:eastAsia="en-GB"/>
          <w14:ligatures w14:val="none"/>
        </w:rPr>
        <w:t xml:space="preserve"> Appendix_A7_Figure7.png (or .docx/.xlsx if tabular)</w:t>
      </w:r>
    </w:p>
    <w:p w14:paraId="0817C275" w14:textId="6BAC1A62" w:rsidR="004D0B3E" w:rsidRPr="00707CE4" w:rsidRDefault="004D0B3E"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Caption:</w:t>
      </w:r>
      <w:r w:rsidRPr="00707CE4">
        <w:rPr>
          <w:rFonts w:ascii="Arial" w:eastAsia="Times New Roman" w:hAnsi="Arial" w:cs="Arial"/>
          <w:kern w:val="0"/>
          <w:sz w:val="22"/>
          <w:szCs w:val="22"/>
          <w:lang w:eastAsia="en-GB"/>
          <w14:ligatures w14:val="none"/>
        </w:rPr>
        <w:t xml:space="preserve"> Figure 7: Healthcare education and training tariff 2024–25 (Adapted from Department of Health and Social Care and NHS England, 2024).</w:t>
      </w:r>
    </w:p>
    <w:p w14:paraId="4B07F92F" w14:textId="61FA42AD" w:rsidR="0079307F" w:rsidRPr="001E29AD" w:rsidRDefault="004D0B3E" w:rsidP="00494FEB">
      <w:pPr>
        <w:spacing w:before="100" w:beforeAutospacing="1" w:after="100" w:afterAutospacing="1" w:line="360" w:lineRule="auto"/>
        <w:rPr>
          <w:rFonts w:ascii="Arial" w:eastAsia="Times New Roman" w:hAnsi="Arial" w:cs="Arial"/>
          <w:kern w:val="0"/>
          <w:sz w:val="28"/>
          <w:szCs w:val="28"/>
          <w:lang w:eastAsia="en-GB"/>
          <w14:ligatures w14:val="none"/>
        </w:rPr>
      </w:pPr>
      <w:r w:rsidRPr="00707CE4">
        <w:rPr>
          <w:rFonts w:ascii="Arial" w:eastAsia="Times New Roman" w:hAnsi="Arial" w:cs="Arial"/>
          <w:b/>
          <w:bCs/>
          <w:kern w:val="0"/>
          <w:sz w:val="22"/>
          <w:szCs w:val="22"/>
          <w:lang w:eastAsia="en-GB"/>
          <w14:ligatures w14:val="none"/>
        </w:rPr>
        <w:t>Figure 7:</w:t>
      </w:r>
      <w:r w:rsidRPr="00707CE4">
        <w:rPr>
          <w:rFonts w:ascii="Arial" w:eastAsia="Times New Roman" w:hAnsi="Arial" w:cs="Arial"/>
          <w:kern w:val="0"/>
          <w:sz w:val="22"/>
          <w:szCs w:val="22"/>
          <w:lang w:eastAsia="en-GB"/>
          <w14:ligatures w14:val="none"/>
        </w:rPr>
        <w:t xml:space="preserve"> This figure outlines the 2024–25 tariff calculation for healthcare education</w:t>
      </w:r>
      <w:r w:rsidRPr="001E29AD">
        <w:rPr>
          <w:rFonts w:ascii="Arial" w:eastAsia="Times New Roman" w:hAnsi="Arial" w:cs="Arial"/>
          <w:kern w:val="0"/>
          <w:sz w:val="28"/>
          <w:szCs w:val="28"/>
          <w:lang w:eastAsia="en-GB"/>
          <w14:ligatures w14:val="none"/>
        </w:rPr>
        <w:t xml:space="preserve"> </w:t>
      </w:r>
      <w:r w:rsidRPr="00707CE4">
        <w:rPr>
          <w:rFonts w:ascii="Arial" w:eastAsia="Times New Roman" w:hAnsi="Arial" w:cs="Arial"/>
          <w:kern w:val="0"/>
          <w:sz w:val="22"/>
          <w:szCs w:val="22"/>
          <w:lang w:eastAsia="en-GB"/>
          <w14:ligatures w14:val="none"/>
        </w:rPr>
        <w:t xml:space="preserve">placements. It shows how the base annual amount (£5,519) is converted into weekly and hourly rates, applied to 5,000 placement hours, and </w:t>
      </w:r>
      <w:r w:rsidRPr="001E29AD">
        <w:rPr>
          <w:rFonts w:ascii="Arial" w:eastAsia="Times New Roman" w:hAnsi="Arial" w:cs="Arial"/>
          <w:kern w:val="0"/>
          <w:sz w:val="28"/>
          <w:szCs w:val="28"/>
          <w:lang w:eastAsia="en-GB"/>
          <w14:ligatures w14:val="none"/>
        </w:rPr>
        <w:t xml:space="preserve">adjusted using the Midlands Market </w:t>
      </w:r>
      <w:r w:rsidRPr="00707CE4">
        <w:rPr>
          <w:rFonts w:ascii="Arial" w:eastAsia="Times New Roman" w:hAnsi="Arial" w:cs="Arial"/>
          <w:kern w:val="0"/>
          <w:sz w:val="22"/>
          <w:szCs w:val="22"/>
          <w:lang w:eastAsia="en-GB"/>
          <w14:ligatures w14:val="none"/>
        </w:rPr>
        <w:t>Forces Factor (MFF) to generate a total funding value of £18,726.73.</w:t>
      </w:r>
    </w:p>
    <w:p w14:paraId="76622E4F" w14:textId="77777777" w:rsidR="0079307F" w:rsidRPr="001E29AD" w:rsidRDefault="0079307F"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119BFDDC" w14:textId="77777777" w:rsidR="00A41C19" w:rsidRPr="001E29AD" w:rsidRDefault="00A41C19" w:rsidP="00494FEB">
      <w:pPr>
        <w:spacing w:line="360" w:lineRule="auto"/>
        <w:rPr>
          <w:rFonts w:ascii="Arial" w:hAnsi="Arial" w:cs="Arial"/>
          <w:sz w:val="22"/>
          <w:szCs w:val="22"/>
        </w:rPr>
      </w:pPr>
      <w:r w:rsidRPr="001E29AD">
        <w:rPr>
          <w:rFonts w:ascii="Arial" w:hAnsi="Arial" w:cs="Arial"/>
          <w:noProof/>
          <w:sz w:val="22"/>
          <w:szCs w:val="22"/>
        </w:rPr>
        <w:drawing>
          <wp:inline distT="0" distB="0" distL="0" distR="0" wp14:anchorId="021001F7" wp14:editId="3B2807B2">
            <wp:extent cx="2453535" cy="2794000"/>
            <wp:effectExtent l="0" t="0" r="4445" b="6350"/>
            <wp:docPr id="1707280004" name="Picture 1" descr="A pink and black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70629" name="Picture 1" descr="A pink and black logo"/>
                    <pic:cNvPicPr/>
                  </pic:nvPicPr>
                  <pic:blipFill>
                    <a:blip r:embed="rId16"/>
                    <a:stretch>
                      <a:fillRect/>
                    </a:stretch>
                  </pic:blipFill>
                  <pic:spPr>
                    <a:xfrm>
                      <a:off x="0" y="0"/>
                      <a:ext cx="2551003" cy="2904993"/>
                    </a:xfrm>
                    <a:prstGeom prst="rect">
                      <a:avLst/>
                    </a:prstGeom>
                  </pic:spPr>
                </pic:pic>
              </a:graphicData>
            </a:graphic>
          </wp:inline>
        </w:drawing>
      </w:r>
      <w:r w:rsidRPr="001E29AD">
        <w:rPr>
          <w:rFonts w:ascii="Arial" w:eastAsiaTheme="majorEastAsia" w:hAnsi="Arial" w:cs="Arial"/>
          <w:noProof/>
        </w:rPr>
        <w:drawing>
          <wp:inline distT="0" distB="0" distL="0" distR="0" wp14:anchorId="09BBFC87" wp14:editId="0BD38EC1">
            <wp:extent cx="1582133" cy="2207683"/>
            <wp:effectExtent l="0" t="0" r="0" b="2540"/>
            <wp:docPr id="376218574" name="Picture 1" descr="A person and person holding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70463" name="Picture 1" descr="A person and person holding a sign"/>
                    <pic:cNvPicPr/>
                  </pic:nvPicPr>
                  <pic:blipFill>
                    <a:blip r:embed="rId17"/>
                    <a:stretch>
                      <a:fillRect/>
                    </a:stretch>
                  </pic:blipFill>
                  <pic:spPr>
                    <a:xfrm flipH="1">
                      <a:off x="0" y="0"/>
                      <a:ext cx="1604627" cy="2239071"/>
                    </a:xfrm>
                    <a:prstGeom prst="rect">
                      <a:avLst/>
                    </a:prstGeom>
                  </pic:spPr>
                </pic:pic>
              </a:graphicData>
            </a:graphic>
          </wp:inline>
        </w:drawing>
      </w:r>
      <w:r w:rsidRPr="001E29AD">
        <w:rPr>
          <w:rFonts w:ascii="Arial" w:hAnsi="Arial" w:cs="Arial"/>
          <w:noProof/>
          <w:sz w:val="22"/>
          <w:szCs w:val="22"/>
        </w:rPr>
        <w:drawing>
          <wp:inline distT="0" distB="0" distL="0" distR="0" wp14:anchorId="4E182F12" wp14:editId="10D29EC8">
            <wp:extent cx="1752600" cy="2081451"/>
            <wp:effectExtent l="0" t="0" r="0" b="0"/>
            <wp:docPr id="885096928" name="Picture 1" descr="A pink paper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05253" name="Picture 1" descr="A pink paper with black text"/>
                    <pic:cNvPicPr/>
                  </pic:nvPicPr>
                  <pic:blipFill>
                    <a:blip r:embed="rId18"/>
                    <a:stretch>
                      <a:fillRect/>
                    </a:stretch>
                  </pic:blipFill>
                  <pic:spPr>
                    <a:xfrm>
                      <a:off x="0" y="0"/>
                      <a:ext cx="1804418" cy="2142991"/>
                    </a:xfrm>
                    <a:prstGeom prst="rect">
                      <a:avLst/>
                    </a:prstGeom>
                  </pic:spPr>
                </pic:pic>
              </a:graphicData>
            </a:graphic>
          </wp:inline>
        </w:drawing>
      </w:r>
    </w:p>
    <w:p w14:paraId="5C92F43A" w14:textId="77777777" w:rsidR="00673437" w:rsidRPr="00707CE4" w:rsidRDefault="00673437" w:rsidP="00494FEB">
      <w:pPr>
        <w:spacing w:before="100" w:beforeAutospacing="1" w:after="100" w:afterAutospacing="1" w:line="360" w:lineRule="auto"/>
        <w:rPr>
          <w:rFonts w:ascii="Arial" w:eastAsia="Times New Roman" w:hAnsi="Arial" w:cs="Arial"/>
          <w:b/>
          <w:bCs/>
          <w:kern w:val="0"/>
          <w:lang w:eastAsia="en-GB"/>
          <w14:ligatures w14:val="none"/>
        </w:rPr>
      </w:pPr>
      <w:r w:rsidRPr="00707CE4">
        <w:rPr>
          <w:rFonts w:ascii="Arial" w:eastAsia="Times New Roman" w:hAnsi="Arial" w:cs="Arial"/>
          <w:b/>
          <w:bCs/>
          <w:kern w:val="0"/>
          <w:lang w:eastAsia="en-GB"/>
          <w14:ligatures w14:val="none"/>
        </w:rPr>
        <w:t>Appendix Figure A8 — Evidence: Shared Decision-Making (Adapted from Da Silva, D., 2012)</w:t>
      </w:r>
    </w:p>
    <w:p w14:paraId="0CB047B7" w14:textId="30FDEB6C" w:rsidR="00673437" w:rsidRPr="00707CE4" w:rsidRDefault="00673437"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File</w:t>
      </w:r>
      <w:r w:rsidRPr="00707CE4">
        <w:rPr>
          <w:rFonts w:ascii="Arial" w:eastAsia="Times New Roman" w:hAnsi="Arial" w:cs="Arial"/>
          <w:kern w:val="0"/>
          <w:sz w:val="22"/>
          <w:szCs w:val="22"/>
          <w:lang w:eastAsia="en-GB"/>
          <w14:ligatures w14:val="none"/>
        </w:rPr>
        <w:t>: Appendix_A8_Figure8.png (PNG, 300 dpi)</w:t>
      </w:r>
    </w:p>
    <w:p w14:paraId="61BBE782" w14:textId="3F9CC2BB" w:rsidR="00673437" w:rsidRPr="00707CE4" w:rsidRDefault="00673437"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Caption:</w:t>
      </w:r>
      <w:r w:rsidRPr="00707CE4">
        <w:rPr>
          <w:rFonts w:ascii="Arial" w:eastAsia="Times New Roman" w:hAnsi="Arial" w:cs="Arial"/>
          <w:kern w:val="0"/>
          <w:sz w:val="22"/>
          <w:szCs w:val="22"/>
          <w:lang w:eastAsia="en-GB"/>
          <w14:ligatures w14:val="none"/>
        </w:rPr>
        <w:t xml:space="preserve"> Figure 8: Evidence — Shared Decision-Making (Adapted from Da Silva, D., 2012).</w:t>
      </w:r>
    </w:p>
    <w:p w14:paraId="62CBF9D6" w14:textId="0AB163E1" w:rsidR="0079307F" w:rsidRPr="00707CE4" w:rsidRDefault="00673437"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Figure 8</w:t>
      </w:r>
      <w:r w:rsidRPr="00707CE4">
        <w:rPr>
          <w:rFonts w:ascii="Arial" w:eastAsia="Times New Roman" w:hAnsi="Arial" w:cs="Arial"/>
          <w:kern w:val="0"/>
          <w:sz w:val="22"/>
          <w:szCs w:val="22"/>
          <w:lang w:eastAsia="en-GB"/>
          <w14:ligatures w14:val="none"/>
        </w:rPr>
        <w:t xml:space="preserve"> : This figure presents the cover of Da Silva’s 2012 evidence review on shared decision-making, published by The Health Foundation. It introduces the concept of collaborative healthcare decisions and sets the foundation for evaluating its impact on patient outcomes and service delivery.</w:t>
      </w:r>
    </w:p>
    <w:p w14:paraId="15AB21CB" w14:textId="77777777" w:rsidR="0079307F" w:rsidRPr="00707CE4" w:rsidRDefault="0079307F" w:rsidP="00494FEB">
      <w:pPr>
        <w:spacing w:before="100" w:beforeAutospacing="1" w:after="100" w:afterAutospacing="1" w:line="360" w:lineRule="auto"/>
        <w:rPr>
          <w:rFonts w:ascii="Arial" w:eastAsia="Times New Roman" w:hAnsi="Arial" w:cs="Arial"/>
          <w:kern w:val="0"/>
          <w:sz w:val="22"/>
          <w:szCs w:val="22"/>
          <w:lang w:eastAsia="en-GB"/>
          <w14:ligatures w14:val="none"/>
        </w:rPr>
      </w:pPr>
    </w:p>
    <w:p w14:paraId="5DDC3CCB" w14:textId="28694AA9" w:rsidR="0079307F" w:rsidRPr="001E29AD" w:rsidRDefault="00103C36" w:rsidP="00494FEB">
      <w:pPr>
        <w:spacing w:before="100" w:beforeAutospacing="1" w:after="100" w:afterAutospacing="1" w:line="360" w:lineRule="auto"/>
        <w:rPr>
          <w:rFonts w:ascii="Arial" w:eastAsia="Times New Roman" w:hAnsi="Arial" w:cs="Arial"/>
          <w:kern w:val="0"/>
          <w:sz w:val="28"/>
          <w:szCs w:val="28"/>
          <w:lang w:eastAsia="en-GB"/>
          <w14:ligatures w14:val="none"/>
        </w:rPr>
      </w:pPr>
      <w:r w:rsidRPr="001E29AD">
        <w:rPr>
          <w:rFonts w:ascii="Arial" w:hAnsi="Arial" w:cs="Arial"/>
          <w:noProof/>
        </w:rPr>
        <w:lastRenderedPageBreak/>
        <w:drawing>
          <wp:inline distT="0" distB="0" distL="0" distR="0" wp14:anchorId="6A61FFA5" wp14:editId="542D9BE2">
            <wp:extent cx="5888990" cy="4813161"/>
            <wp:effectExtent l="0" t="0" r="0" b="6985"/>
            <wp:docPr id="54603963" name="Picture 54603963" descr="44% of GP admin work can be ‘fully automated’, workforce plan sugge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4% of GP admin work can be ‘fully automated’, workforce plan sugges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84418" cy="4891156"/>
                    </a:xfrm>
                    <a:prstGeom prst="rect">
                      <a:avLst/>
                    </a:prstGeom>
                    <a:noFill/>
                    <a:ln>
                      <a:noFill/>
                    </a:ln>
                    <a:effectLst>
                      <a:softEdge rad="50800"/>
                    </a:effectLst>
                  </pic:spPr>
                </pic:pic>
              </a:graphicData>
            </a:graphic>
          </wp:inline>
        </w:drawing>
      </w:r>
    </w:p>
    <w:p w14:paraId="6DB6B851" w14:textId="77777777" w:rsidR="0079307F" w:rsidRPr="001E29AD" w:rsidRDefault="0079307F" w:rsidP="00494FEB">
      <w:pPr>
        <w:spacing w:before="100" w:beforeAutospacing="1" w:after="100" w:afterAutospacing="1" w:line="360" w:lineRule="auto"/>
        <w:rPr>
          <w:rFonts w:ascii="Arial" w:eastAsia="Times New Roman" w:hAnsi="Arial" w:cs="Arial"/>
          <w:kern w:val="0"/>
          <w:sz w:val="28"/>
          <w:szCs w:val="28"/>
          <w:lang w:eastAsia="en-GB"/>
          <w14:ligatures w14:val="none"/>
        </w:rPr>
      </w:pPr>
    </w:p>
    <w:p w14:paraId="2A9E2E01" w14:textId="77777777" w:rsidR="00472111" w:rsidRPr="00707CE4" w:rsidRDefault="00472111" w:rsidP="00494FEB">
      <w:pPr>
        <w:spacing w:before="100" w:beforeAutospacing="1" w:after="100" w:afterAutospacing="1" w:line="360" w:lineRule="auto"/>
        <w:rPr>
          <w:rFonts w:ascii="Arial" w:eastAsia="Times New Roman" w:hAnsi="Arial" w:cs="Arial"/>
          <w:b/>
          <w:bCs/>
          <w:kern w:val="0"/>
          <w:lang w:eastAsia="en-GB"/>
          <w14:ligatures w14:val="none"/>
        </w:rPr>
      </w:pPr>
      <w:r w:rsidRPr="00707CE4">
        <w:rPr>
          <w:rFonts w:ascii="Arial" w:eastAsia="Times New Roman" w:hAnsi="Arial" w:cs="Arial"/>
          <w:b/>
          <w:bCs/>
          <w:kern w:val="0"/>
          <w:lang w:eastAsia="en-GB"/>
          <w14:ligatures w14:val="none"/>
        </w:rPr>
        <w:t>Appendix Figure A9 — GP Administrative Automation Potential (Adapted from Pulse Today, 2024)</w:t>
      </w:r>
    </w:p>
    <w:p w14:paraId="1157AC04" w14:textId="77777777" w:rsidR="00472111" w:rsidRPr="00707CE4" w:rsidRDefault="00472111"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File:</w:t>
      </w:r>
      <w:r w:rsidRPr="00707CE4">
        <w:rPr>
          <w:rFonts w:ascii="Arial" w:eastAsia="Times New Roman" w:hAnsi="Arial" w:cs="Arial"/>
          <w:kern w:val="0"/>
          <w:sz w:val="22"/>
          <w:szCs w:val="22"/>
          <w:lang w:eastAsia="en-GB"/>
          <w14:ligatures w14:val="none"/>
        </w:rPr>
        <w:t xml:space="preserve"> Appendix_A9_Figure9.png (PNG, 300 dpi)</w:t>
      </w:r>
    </w:p>
    <w:p w14:paraId="6B6ECC26" w14:textId="77777777" w:rsidR="00472111" w:rsidRPr="00707CE4" w:rsidRDefault="00472111"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Caption:</w:t>
      </w:r>
      <w:r w:rsidRPr="00707CE4">
        <w:rPr>
          <w:rFonts w:ascii="Arial" w:eastAsia="Times New Roman" w:hAnsi="Arial" w:cs="Arial"/>
          <w:kern w:val="0"/>
          <w:sz w:val="22"/>
          <w:szCs w:val="22"/>
          <w:lang w:eastAsia="en-GB"/>
          <w14:ligatures w14:val="none"/>
        </w:rPr>
        <w:t xml:space="preserve"> Figure 9: GP administrative work automation potential (Adapted from Pulse Today, 2024).</w:t>
      </w:r>
    </w:p>
    <w:p w14:paraId="409C612E" w14:textId="28B0B5A5" w:rsidR="0079307F" w:rsidRPr="00707CE4" w:rsidRDefault="00472111" w:rsidP="00494FEB">
      <w:pPr>
        <w:spacing w:before="100" w:beforeAutospacing="1" w:after="100" w:afterAutospacing="1"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Figure 9:</w:t>
      </w:r>
      <w:r w:rsidRPr="00707CE4">
        <w:rPr>
          <w:rFonts w:ascii="Arial" w:eastAsia="Times New Roman" w:hAnsi="Arial" w:cs="Arial"/>
          <w:kern w:val="0"/>
          <w:sz w:val="22"/>
          <w:szCs w:val="22"/>
          <w:lang w:eastAsia="en-GB"/>
          <w14:ligatures w14:val="none"/>
        </w:rPr>
        <w:t xml:space="preserve"> This figure supports the claim that 44% of GP administrative workload could be automated, as suggested in NHS workforce planning discussions reported by Pulse Today (2024).</w:t>
      </w:r>
    </w:p>
    <w:tbl>
      <w:tblPr>
        <w:tblStyle w:val="GridTable6ColourfulAccent1"/>
        <w:tblpPr w:leftFromText="180" w:rightFromText="180" w:vertAnchor="text" w:horzAnchor="margin" w:tblpY="376"/>
        <w:tblW w:w="9317" w:type="dxa"/>
        <w:tblLook w:val="0620" w:firstRow="1" w:lastRow="0" w:firstColumn="0" w:lastColumn="0" w:noHBand="1" w:noVBand="1"/>
      </w:tblPr>
      <w:tblGrid>
        <w:gridCol w:w="1676"/>
        <w:gridCol w:w="1840"/>
        <w:gridCol w:w="1758"/>
        <w:gridCol w:w="4043"/>
      </w:tblGrid>
      <w:tr w:rsidR="00363653" w:rsidRPr="001E29AD" w14:paraId="51B89253" w14:textId="77777777" w:rsidTr="00363653">
        <w:trPr>
          <w:cnfStyle w:val="100000000000" w:firstRow="1" w:lastRow="0" w:firstColumn="0" w:lastColumn="0" w:oddVBand="0" w:evenVBand="0" w:oddHBand="0" w:evenHBand="0" w:firstRowFirstColumn="0" w:firstRowLastColumn="0" w:lastRowFirstColumn="0" w:lastRowLastColumn="0"/>
          <w:trHeight w:val="464"/>
        </w:trPr>
        <w:tc>
          <w:tcPr>
            <w:tcW w:w="0" w:type="auto"/>
            <w:shd w:val="clear" w:color="auto" w:fill="DAE9F7" w:themeFill="text2" w:themeFillTint="1A"/>
            <w:hideMark/>
          </w:tcPr>
          <w:p w14:paraId="077E8B40" w14:textId="77777777" w:rsidR="00363653" w:rsidRPr="001E29AD" w:rsidRDefault="00363653" w:rsidP="00494FEB">
            <w:pPr>
              <w:spacing w:line="360" w:lineRule="auto"/>
              <w:rPr>
                <w:rFonts w:ascii="Arial" w:eastAsia="Times New Roman" w:hAnsi="Arial" w:cs="Arial"/>
                <w:color w:val="auto"/>
                <w:sz w:val="20"/>
                <w:szCs w:val="20"/>
              </w:rPr>
            </w:pPr>
          </w:p>
          <w:p w14:paraId="1CB0DDA9"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Feature</w:t>
            </w:r>
          </w:p>
        </w:tc>
        <w:tc>
          <w:tcPr>
            <w:tcW w:w="0" w:type="auto"/>
            <w:shd w:val="clear" w:color="auto" w:fill="DAE9F7" w:themeFill="text2" w:themeFillTint="1A"/>
            <w:hideMark/>
          </w:tcPr>
          <w:p w14:paraId="483453D7" w14:textId="77777777" w:rsidR="00363653" w:rsidRPr="001E29AD" w:rsidRDefault="00363653" w:rsidP="00494FEB">
            <w:pPr>
              <w:spacing w:line="360" w:lineRule="auto"/>
              <w:rPr>
                <w:rFonts w:ascii="Arial" w:eastAsia="Times New Roman" w:hAnsi="Arial" w:cs="Arial"/>
                <w:color w:val="auto"/>
                <w:sz w:val="20"/>
                <w:szCs w:val="20"/>
              </w:rPr>
            </w:pPr>
          </w:p>
          <w:p w14:paraId="1A8148D5"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 xml:space="preserve">Legacy Systems (EMIS Web, SystmOne) </w:t>
            </w:r>
          </w:p>
          <w:p w14:paraId="6CD3D22B" w14:textId="77777777" w:rsidR="00363653" w:rsidRPr="001E29AD" w:rsidRDefault="00363653" w:rsidP="00494FEB">
            <w:pPr>
              <w:spacing w:line="360" w:lineRule="auto"/>
              <w:rPr>
                <w:rFonts w:ascii="Arial" w:eastAsia="Times New Roman" w:hAnsi="Arial" w:cs="Arial"/>
                <w:color w:val="auto"/>
                <w:sz w:val="20"/>
                <w:szCs w:val="20"/>
              </w:rPr>
            </w:pPr>
          </w:p>
        </w:tc>
        <w:tc>
          <w:tcPr>
            <w:tcW w:w="0" w:type="auto"/>
            <w:shd w:val="clear" w:color="auto" w:fill="DAE9F7" w:themeFill="text2" w:themeFillTint="1A"/>
            <w:hideMark/>
          </w:tcPr>
          <w:p w14:paraId="15329DB5" w14:textId="77777777" w:rsidR="00363653" w:rsidRPr="001E29AD" w:rsidRDefault="00363653" w:rsidP="00494FEB">
            <w:pPr>
              <w:spacing w:line="360" w:lineRule="auto"/>
              <w:rPr>
                <w:rFonts w:ascii="Arial" w:eastAsia="Times New Roman" w:hAnsi="Arial" w:cs="Arial"/>
                <w:color w:val="auto"/>
                <w:sz w:val="20"/>
                <w:szCs w:val="20"/>
              </w:rPr>
            </w:pPr>
          </w:p>
          <w:p w14:paraId="51D8D363" w14:textId="77777777" w:rsidR="00363653" w:rsidRPr="001E29AD" w:rsidRDefault="00363653" w:rsidP="00494FEB">
            <w:pPr>
              <w:spacing w:line="360" w:lineRule="auto"/>
              <w:rPr>
                <w:rFonts w:ascii="Arial" w:eastAsia="Times New Roman" w:hAnsi="Arial" w:cs="Arial"/>
                <w:b w:val="0"/>
                <w:bCs w:val="0"/>
                <w:color w:val="auto"/>
                <w:sz w:val="20"/>
                <w:szCs w:val="20"/>
              </w:rPr>
            </w:pPr>
            <w:r w:rsidRPr="001E29AD">
              <w:rPr>
                <w:rFonts w:ascii="Arial" w:eastAsia="Times New Roman" w:hAnsi="Arial" w:cs="Arial"/>
                <w:color w:val="auto"/>
                <w:sz w:val="20"/>
                <w:szCs w:val="20"/>
              </w:rPr>
              <w:t>Medicus Health (Cloud-Based)</w:t>
            </w:r>
          </w:p>
          <w:p w14:paraId="0632645F" w14:textId="77777777" w:rsidR="00363653" w:rsidRPr="001E29AD" w:rsidRDefault="00363653" w:rsidP="00494FEB">
            <w:pPr>
              <w:spacing w:line="360" w:lineRule="auto"/>
              <w:rPr>
                <w:rFonts w:ascii="Arial" w:eastAsia="Times New Roman" w:hAnsi="Arial" w:cs="Arial"/>
                <w:color w:val="auto"/>
                <w:sz w:val="20"/>
                <w:szCs w:val="20"/>
              </w:rPr>
            </w:pPr>
          </w:p>
        </w:tc>
        <w:tc>
          <w:tcPr>
            <w:tcW w:w="4043" w:type="dxa"/>
            <w:shd w:val="clear" w:color="auto" w:fill="DAE9F7" w:themeFill="text2" w:themeFillTint="1A"/>
            <w:hideMark/>
          </w:tcPr>
          <w:p w14:paraId="56413719" w14:textId="77777777" w:rsidR="00363653" w:rsidRPr="001E29AD" w:rsidRDefault="00363653" w:rsidP="00494FEB">
            <w:pPr>
              <w:spacing w:line="360" w:lineRule="auto"/>
              <w:rPr>
                <w:rFonts w:ascii="Arial" w:eastAsia="Times New Roman" w:hAnsi="Arial" w:cs="Arial"/>
                <w:color w:val="auto"/>
                <w:sz w:val="20"/>
                <w:szCs w:val="20"/>
              </w:rPr>
            </w:pPr>
          </w:p>
          <w:p w14:paraId="1EEBA8D4"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Key Characteristics</w:t>
            </w:r>
          </w:p>
        </w:tc>
      </w:tr>
      <w:tr w:rsidR="00363653" w:rsidRPr="001E29AD" w14:paraId="2E52B9D7" w14:textId="77777777" w:rsidTr="00363653">
        <w:trPr>
          <w:trHeight w:val="479"/>
        </w:trPr>
        <w:tc>
          <w:tcPr>
            <w:tcW w:w="0" w:type="auto"/>
            <w:hideMark/>
          </w:tcPr>
          <w:p w14:paraId="30D254AB" w14:textId="77777777" w:rsidR="00363653" w:rsidRPr="001E29AD" w:rsidRDefault="00363653" w:rsidP="00494FEB">
            <w:pPr>
              <w:spacing w:line="360" w:lineRule="auto"/>
              <w:rPr>
                <w:rFonts w:ascii="Arial" w:eastAsia="Times New Roman" w:hAnsi="Arial" w:cs="Arial"/>
                <w:color w:val="auto"/>
                <w:sz w:val="20"/>
                <w:szCs w:val="20"/>
              </w:rPr>
            </w:pPr>
          </w:p>
          <w:p w14:paraId="1006E7C9"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Launch Period</w:t>
            </w:r>
          </w:p>
          <w:p w14:paraId="73F6BE51" w14:textId="77777777" w:rsidR="00363653" w:rsidRPr="001E29AD" w:rsidRDefault="00363653" w:rsidP="00494FEB">
            <w:pPr>
              <w:spacing w:line="360" w:lineRule="auto"/>
              <w:rPr>
                <w:rFonts w:ascii="Arial" w:eastAsia="Times New Roman" w:hAnsi="Arial" w:cs="Arial"/>
                <w:color w:val="auto"/>
                <w:sz w:val="20"/>
                <w:szCs w:val="20"/>
              </w:rPr>
            </w:pPr>
          </w:p>
        </w:tc>
        <w:tc>
          <w:tcPr>
            <w:tcW w:w="0" w:type="auto"/>
            <w:hideMark/>
          </w:tcPr>
          <w:p w14:paraId="5BF02162" w14:textId="77777777" w:rsidR="00363653" w:rsidRPr="001E29AD" w:rsidRDefault="00363653" w:rsidP="00494FEB">
            <w:pPr>
              <w:spacing w:line="360" w:lineRule="auto"/>
              <w:rPr>
                <w:rFonts w:ascii="Arial" w:eastAsia="Times New Roman" w:hAnsi="Arial" w:cs="Arial"/>
                <w:color w:val="auto"/>
                <w:sz w:val="20"/>
                <w:szCs w:val="20"/>
              </w:rPr>
            </w:pPr>
          </w:p>
          <w:p w14:paraId="263DA576"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1990s–2000s</w:t>
            </w:r>
          </w:p>
        </w:tc>
        <w:tc>
          <w:tcPr>
            <w:tcW w:w="0" w:type="auto"/>
            <w:hideMark/>
          </w:tcPr>
          <w:p w14:paraId="2601792F" w14:textId="77777777" w:rsidR="00363653" w:rsidRPr="001E29AD" w:rsidRDefault="00363653" w:rsidP="00494FEB">
            <w:pPr>
              <w:spacing w:line="360" w:lineRule="auto"/>
              <w:rPr>
                <w:rFonts w:ascii="Arial" w:eastAsia="Times New Roman" w:hAnsi="Arial" w:cs="Arial"/>
                <w:color w:val="auto"/>
                <w:sz w:val="20"/>
                <w:szCs w:val="20"/>
              </w:rPr>
            </w:pPr>
          </w:p>
          <w:p w14:paraId="2192C755"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2025</w:t>
            </w:r>
          </w:p>
        </w:tc>
        <w:tc>
          <w:tcPr>
            <w:tcW w:w="4043" w:type="dxa"/>
            <w:hideMark/>
          </w:tcPr>
          <w:p w14:paraId="16F5D7C1" w14:textId="77777777" w:rsidR="00363653" w:rsidRPr="001E29AD" w:rsidRDefault="00363653" w:rsidP="00494FEB">
            <w:pPr>
              <w:spacing w:line="360" w:lineRule="auto"/>
              <w:rPr>
                <w:rFonts w:ascii="Arial" w:eastAsia="Times New Roman" w:hAnsi="Arial" w:cs="Arial"/>
                <w:color w:val="auto"/>
                <w:sz w:val="20"/>
                <w:szCs w:val="20"/>
              </w:rPr>
            </w:pPr>
          </w:p>
          <w:p w14:paraId="7062D2B7"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EMIS: widely used GP system; SystmOne: centralised, strong in community care</w:t>
            </w:r>
          </w:p>
          <w:p w14:paraId="1A3A9AE3" w14:textId="77777777" w:rsidR="00363653" w:rsidRPr="001E29AD" w:rsidRDefault="00363653" w:rsidP="00494FEB">
            <w:pPr>
              <w:spacing w:line="360" w:lineRule="auto"/>
              <w:rPr>
                <w:rFonts w:ascii="Arial" w:eastAsia="Times New Roman" w:hAnsi="Arial" w:cs="Arial"/>
                <w:color w:val="auto"/>
                <w:sz w:val="20"/>
                <w:szCs w:val="20"/>
              </w:rPr>
            </w:pPr>
          </w:p>
          <w:p w14:paraId="5554B93A" w14:textId="77777777" w:rsidR="00363653" w:rsidRPr="001E29AD" w:rsidRDefault="00363653" w:rsidP="00494FEB">
            <w:pPr>
              <w:spacing w:line="360" w:lineRule="auto"/>
              <w:rPr>
                <w:rFonts w:ascii="Arial" w:eastAsia="Times New Roman" w:hAnsi="Arial" w:cs="Arial"/>
                <w:color w:val="auto"/>
                <w:sz w:val="20"/>
                <w:szCs w:val="20"/>
              </w:rPr>
            </w:pPr>
          </w:p>
        </w:tc>
      </w:tr>
      <w:tr w:rsidR="00363653" w:rsidRPr="001E29AD" w14:paraId="4707141A" w14:textId="77777777" w:rsidTr="00363653">
        <w:trPr>
          <w:trHeight w:val="319"/>
        </w:trPr>
        <w:tc>
          <w:tcPr>
            <w:tcW w:w="0" w:type="auto"/>
            <w:hideMark/>
          </w:tcPr>
          <w:p w14:paraId="36B049CB" w14:textId="77777777" w:rsidR="00363653" w:rsidRPr="001E29AD" w:rsidRDefault="00363653" w:rsidP="00494FEB">
            <w:pPr>
              <w:spacing w:line="360" w:lineRule="auto"/>
              <w:rPr>
                <w:rFonts w:ascii="Arial" w:eastAsia="Times New Roman" w:hAnsi="Arial" w:cs="Arial"/>
                <w:color w:val="auto"/>
                <w:sz w:val="20"/>
                <w:szCs w:val="20"/>
                <w:highlight w:val="yellow"/>
              </w:rPr>
            </w:pPr>
          </w:p>
          <w:p w14:paraId="240BBEAC" w14:textId="77777777" w:rsidR="00363653" w:rsidRPr="001E29AD" w:rsidRDefault="00363653" w:rsidP="00494FEB">
            <w:pPr>
              <w:spacing w:line="360" w:lineRule="auto"/>
              <w:rPr>
                <w:rFonts w:ascii="Arial" w:eastAsia="Times New Roman" w:hAnsi="Arial" w:cs="Arial"/>
                <w:color w:val="auto"/>
                <w:sz w:val="20"/>
                <w:szCs w:val="20"/>
                <w:highlight w:val="yellow"/>
              </w:rPr>
            </w:pPr>
            <w:r w:rsidRPr="001E29AD">
              <w:rPr>
                <w:rFonts w:ascii="Arial" w:eastAsia="Times New Roman" w:hAnsi="Arial" w:cs="Arial"/>
                <w:color w:val="auto"/>
                <w:sz w:val="20"/>
                <w:szCs w:val="20"/>
                <w:highlight w:val="yellow"/>
              </w:rPr>
              <w:t>Hosting Model</w:t>
            </w:r>
          </w:p>
          <w:p w14:paraId="719EA2B9" w14:textId="77777777" w:rsidR="00363653" w:rsidRPr="001E29AD" w:rsidRDefault="00363653" w:rsidP="00494FEB">
            <w:pPr>
              <w:spacing w:line="360" w:lineRule="auto"/>
              <w:rPr>
                <w:rFonts w:ascii="Arial" w:eastAsia="Times New Roman" w:hAnsi="Arial" w:cs="Arial"/>
                <w:color w:val="auto"/>
                <w:sz w:val="20"/>
                <w:szCs w:val="20"/>
                <w:highlight w:val="yellow"/>
              </w:rPr>
            </w:pPr>
          </w:p>
        </w:tc>
        <w:tc>
          <w:tcPr>
            <w:tcW w:w="0" w:type="auto"/>
            <w:hideMark/>
          </w:tcPr>
          <w:p w14:paraId="6DD59608" w14:textId="77777777" w:rsidR="00363653" w:rsidRPr="001E29AD" w:rsidRDefault="00363653" w:rsidP="00494FEB">
            <w:pPr>
              <w:spacing w:line="360" w:lineRule="auto"/>
              <w:rPr>
                <w:rFonts w:ascii="Arial" w:eastAsia="Times New Roman" w:hAnsi="Arial" w:cs="Arial"/>
                <w:color w:val="auto"/>
                <w:sz w:val="20"/>
                <w:szCs w:val="20"/>
              </w:rPr>
            </w:pPr>
          </w:p>
          <w:p w14:paraId="35E99071"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Locally hosted or hybrid cloud</w:t>
            </w:r>
          </w:p>
          <w:p w14:paraId="5C57094E" w14:textId="77777777" w:rsidR="00363653" w:rsidRPr="001E29AD" w:rsidRDefault="00363653" w:rsidP="00494FEB">
            <w:pPr>
              <w:spacing w:line="360" w:lineRule="auto"/>
              <w:rPr>
                <w:rFonts w:ascii="Arial" w:eastAsia="Times New Roman" w:hAnsi="Arial" w:cs="Arial"/>
                <w:color w:val="auto"/>
                <w:sz w:val="20"/>
                <w:szCs w:val="20"/>
              </w:rPr>
            </w:pPr>
          </w:p>
          <w:p w14:paraId="120CCF67" w14:textId="77777777" w:rsidR="00363653" w:rsidRPr="001E29AD" w:rsidRDefault="00363653" w:rsidP="00494FEB">
            <w:pPr>
              <w:spacing w:line="360" w:lineRule="auto"/>
              <w:rPr>
                <w:rFonts w:ascii="Arial" w:eastAsia="Times New Roman" w:hAnsi="Arial" w:cs="Arial"/>
                <w:color w:val="auto"/>
                <w:sz w:val="20"/>
                <w:szCs w:val="20"/>
              </w:rPr>
            </w:pPr>
          </w:p>
        </w:tc>
        <w:tc>
          <w:tcPr>
            <w:tcW w:w="0" w:type="auto"/>
            <w:hideMark/>
          </w:tcPr>
          <w:p w14:paraId="107D62A2" w14:textId="77777777" w:rsidR="00363653" w:rsidRPr="001E29AD" w:rsidRDefault="00363653" w:rsidP="00494FEB">
            <w:pPr>
              <w:spacing w:line="360" w:lineRule="auto"/>
              <w:rPr>
                <w:rFonts w:ascii="Arial" w:eastAsia="Times New Roman" w:hAnsi="Arial" w:cs="Arial"/>
                <w:color w:val="auto"/>
                <w:sz w:val="20"/>
                <w:szCs w:val="20"/>
              </w:rPr>
            </w:pPr>
          </w:p>
          <w:p w14:paraId="353DADE1"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Fully cloud-based</w:t>
            </w:r>
          </w:p>
        </w:tc>
        <w:tc>
          <w:tcPr>
            <w:tcW w:w="4043" w:type="dxa"/>
            <w:hideMark/>
          </w:tcPr>
          <w:p w14:paraId="1A446017" w14:textId="77777777" w:rsidR="00363653" w:rsidRPr="001E29AD" w:rsidRDefault="00363653" w:rsidP="00494FEB">
            <w:pPr>
              <w:spacing w:line="360" w:lineRule="auto"/>
              <w:rPr>
                <w:rFonts w:ascii="Arial" w:eastAsia="Times New Roman" w:hAnsi="Arial" w:cs="Arial"/>
                <w:color w:val="auto"/>
                <w:sz w:val="20"/>
                <w:szCs w:val="20"/>
              </w:rPr>
            </w:pPr>
          </w:p>
          <w:p w14:paraId="4C27138B"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Medicus: ISO 27001, GDPR, Cyber Essentials Plus, DCB0129-compliant</w:t>
            </w:r>
          </w:p>
          <w:p w14:paraId="12259663" w14:textId="77777777" w:rsidR="00363653" w:rsidRPr="001E29AD" w:rsidRDefault="00363653" w:rsidP="00494FEB">
            <w:pPr>
              <w:spacing w:line="360" w:lineRule="auto"/>
              <w:rPr>
                <w:rFonts w:ascii="Arial" w:eastAsia="Times New Roman" w:hAnsi="Arial" w:cs="Arial"/>
                <w:color w:val="auto"/>
                <w:sz w:val="20"/>
                <w:szCs w:val="20"/>
              </w:rPr>
            </w:pPr>
          </w:p>
        </w:tc>
      </w:tr>
      <w:tr w:rsidR="00363653" w:rsidRPr="001E29AD" w14:paraId="4896F055" w14:textId="77777777" w:rsidTr="00363653">
        <w:trPr>
          <w:trHeight w:val="479"/>
        </w:trPr>
        <w:tc>
          <w:tcPr>
            <w:tcW w:w="0" w:type="auto"/>
            <w:hideMark/>
          </w:tcPr>
          <w:p w14:paraId="759B15DD" w14:textId="77777777" w:rsidR="00363653" w:rsidRPr="001E29AD" w:rsidRDefault="00363653" w:rsidP="00494FEB">
            <w:pPr>
              <w:spacing w:line="360" w:lineRule="auto"/>
              <w:rPr>
                <w:rFonts w:ascii="Arial" w:eastAsia="Times New Roman" w:hAnsi="Arial" w:cs="Arial"/>
                <w:color w:val="auto"/>
                <w:sz w:val="20"/>
                <w:szCs w:val="20"/>
                <w:highlight w:val="yellow"/>
              </w:rPr>
            </w:pPr>
          </w:p>
          <w:p w14:paraId="59A2B91E"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highlight w:val="yellow"/>
              </w:rPr>
              <w:t>Interoperability</w:t>
            </w:r>
          </w:p>
        </w:tc>
        <w:tc>
          <w:tcPr>
            <w:tcW w:w="0" w:type="auto"/>
            <w:hideMark/>
          </w:tcPr>
          <w:p w14:paraId="52A49B39" w14:textId="77777777" w:rsidR="00363653" w:rsidRPr="001E29AD" w:rsidRDefault="00363653" w:rsidP="00494FEB">
            <w:pPr>
              <w:spacing w:line="360" w:lineRule="auto"/>
              <w:rPr>
                <w:rFonts w:ascii="Arial" w:eastAsia="Times New Roman" w:hAnsi="Arial" w:cs="Arial"/>
                <w:color w:val="auto"/>
                <w:sz w:val="20"/>
                <w:szCs w:val="20"/>
              </w:rPr>
            </w:pPr>
          </w:p>
          <w:p w14:paraId="0FE3C60E"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Limited integration with newer NHS services</w:t>
            </w:r>
          </w:p>
        </w:tc>
        <w:tc>
          <w:tcPr>
            <w:tcW w:w="0" w:type="auto"/>
            <w:hideMark/>
          </w:tcPr>
          <w:p w14:paraId="3031D397" w14:textId="77777777" w:rsidR="00363653" w:rsidRPr="001E29AD" w:rsidRDefault="00363653" w:rsidP="00494FEB">
            <w:pPr>
              <w:spacing w:line="360" w:lineRule="auto"/>
              <w:rPr>
                <w:rFonts w:ascii="Arial" w:eastAsia="Times New Roman" w:hAnsi="Arial" w:cs="Arial"/>
                <w:color w:val="auto"/>
                <w:sz w:val="20"/>
                <w:szCs w:val="20"/>
              </w:rPr>
            </w:pPr>
          </w:p>
          <w:p w14:paraId="028F0CCB"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Integrates with 24+ NHS services (e.g. NHS App, EPS)</w:t>
            </w:r>
          </w:p>
          <w:p w14:paraId="44EA7F6B" w14:textId="77777777" w:rsidR="00363653" w:rsidRPr="001E29AD" w:rsidRDefault="00363653" w:rsidP="00494FEB">
            <w:pPr>
              <w:spacing w:line="360" w:lineRule="auto"/>
              <w:rPr>
                <w:rFonts w:ascii="Arial" w:eastAsia="Times New Roman" w:hAnsi="Arial" w:cs="Arial"/>
                <w:color w:val="auto"/>
                <w:sz w:val="20"/>
                <w:szCs w:val="20"/>
              </w:rPr>
            </w:pPr>
          </w:p>
          <w:p w14:paraId="73270423" w14:textId="77777777" w:rsidR="00363653" w:rsidRPr="001E29AD" w:rsidRDefault="00363653" w:rsidP="00494FEB">
            <w:pPr>
              <w:spacing w:line="360" w:lineRule="auto"/>
              <w:rPr>
                <w:rFonts w:ascii="Arial" w:eastAsia="Times New Roman" w:hAnsi="Arial" w:cs="Arial"/>
                <w:color w:val="auto"/>
                <w:sz w:val="20"/>
                <w:szCs w:val="20"/>
              </w:rPr>
            </w:pPr>
          </w:p>
        </w:tc>
        <w:tc>
          <w:tcPr>
            <w:tcW w:w="4043" w:type="dxa"/>
            <w:hideMark/>
          </w:tcPr>
          <w:p w14:paraId="3AD6A282" w14:textId="77777777" w:rsidR="00363653" w:rsidRPr="001E29AD" w:rsidRDefault="00363653" w:rsidP="00494FEB">
            <w:pPr>
              <w:spacing w:line="360" w:lineRule="auto"/>
              <w:rPr>
                <w:rFonts w:ascii="Arial" w:eastAsia="Times New Roman" w:hAnsi="Arial" w:cs="Arial"/>
                <w:color w:val="auto"/>
                <w:sz w:val="20"/>
                <w:szCs w:val="20"/>
              </w:rPr>
            </w:pPr>
          </w:p>
          <w:p w14:paraId="57252F5D"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Real-time web access: NHS Mail, MESH, scanned post integration</w:t>
            </w:r>
          </w:p>
        </w:tc>
      </w:tr>
      <w:tr w:rsidR="00363653" w:rsidRPr="001E29AD" w14:paraId="340DD422" w14:textId="77777777" w:rsidTr="00363653">
        <w:trPr>
          <w:trHeight w:val="150"/>
        </w:trPr>
        <w:tc>
          <w:tcPr>
            <w:tcW w:w="0" w:type="auto"/>
            <w:hideMark/>
          </w:tcPr>
          <w:p w14:paraId="618EB5C8" w14:textId="77777777" w:rsidR="00363653" w:rsidRPr="001E29AD" w:rsidRDefault="00363653" w:rsidP="00494FEB">
            <w:pPr>
              <w:spacing w:line="360" w:lineRule="auto"/>
              <w:rPr>
                <w:rFonts w:ascii="Arial" w:eastAsia="Times New Roman" w:hAnsi="Arial" w:cs="Arial"/>
                <w:color w:val="auto"/>
                <w:sz w:val="20"/>
                <w:szCs w:val="20"/>
              </w:rPr>
            </w:pPr>
          </w:p>
          <w:p w14:paraId="3AE0AFBE"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Device Accessibility</w:t>
            </w:r>
          </w:p>
          <w:p w14:paraId="58C2F00D" w14:textId="77777777" w:rsidR="00363653" w:rsidRPr="001E29AD" w:rsidRDefault="00363653" w:rsidP="00494FEB">
            <w:pPr>
              <w:spacing w:line="360" w:lineRule="auto"/>
              <w:rPr>
                <w:rFonts w:ascii="Arial" w:eastAsia="Times New Roman" w:hAnsi="Arial" w:cs="Arial"/>
                <w:color w:val="auto"/>
                <w:sz w:val="20"/>
                <w:szCs w:val="20"/>
              </w:rPr>
            </w:pPr>
          </w:p>
          <w:p w14:paraId="49800F5E" w14:textId="77777777" w:rsidR="00363653" w:rsidRPr="001E29AD" w:rsidRDefault="00363653" w:rsidP="00494FEB">
            <w:pPr>
              <w:spacing w:line="360" w:lineRule="auto"/>
              <w:rPr>
                <w:rFonts w:ascii="Arial" w:eastAsia="Times New Roman" w:hAnsi="Arial" w:cs="Arial"/>
                <w:color w:val="auto"/>
                <w:sz w:val="20"/>
                <w:szCs w:val="20"/>
              </w:rPr>
            </w:pPr>
          </w:p>
        </w:tc>
        <w:tc>
          <w:tcPr>
            <w:tcW w:w="0" w:type="auto"/>
            <w:hideMark/>
          </w:tcPr>
          <w:p w14:paraId="50DA7186" w14:textId="77777777" w:rsidR="00363653" w:rsidRPr="001E29AD" w:rsidRDefault="00363653" w:rsidP="00494FEB">
            <w:pPr>
              <w:spacing w:line="360" w:lineRule="auto"/>
              <w:rPr>
                <w:rFonts w:ascii="Arial" w:eastAsia="Times New Roman" w:hAnsi="Arial" w:cs="Arial"/>
                <w:color w:val="auto"/>
                <w:sz w:val="20"/>
                <w:szCs w:val="20"/>
              </w:rPr>
            </w:pPr>
          </w:p>
          <w:p w14:paraId="6741FC7E"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Desktop-focused</w:t>
            </w:r>
          </w:p>
        </w:tc>
        <w:tc>
          <w:tcPr>
            <w:tcW w:w="0" w:type="auto"/>
            <w:hideMark/>
          </w:tcPr>
          <w:p w14:paraId="69804D4E" w14:textId="77777777" w:rsidR="00363653" w:rsidRPr="001E29AD" w:rsidRDefault="00363653" w:rsidP="00494FEB">
            <w:pPr>
              <w:spacing w:line="360" w:lineRule="auto"/>
              <w:rPr>
                <w:rFonts w:ascii="Arial" w:eastAsia="Times New Roman" w:hAnsi="Arial" w:cs="Arial"/>
                <w:color w:val="auto"/>
                <w:sz w:val="20"/>
                <w:szCs w:val="20"/>
              </w:rPr>
            </w:pPr>
          </w:p>
          <w:p w14:paraId="7A2299E0"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Tablets, mobiles, desktops</w:t>
            </w:r>
          </w:p>
          <w:p w14:paraId="1C761FD6" w14:textId="77777777" w:rsidR="00363653" w:rsidRPr="001E29AD" w:rsidRDefault="00363653" w:rsidP="00494FEB">
            <w:pPr>
              <w:spacing w:line="360" w:lineRule="auto"/>
              <w:rPr>
                <w:rFonts w:ascii="Arial" w:eastAsia="Times New Roman" w:hAnsi="Arial" w:cs="Arial"/>
                <w:color w:val="auto"/>
                <w:sz w:val="20"/>
                <w:szCs w:val="20"/>
              </w:rPr>
            </w:pPr>
          </w:p>
        </w:tc>
        <w:tc>
          <w:tcPr>
            <w:tcW w:w="4043" w:type="dxa"/>
            <w:hideMark/>
          </w:tcPr>
          <w:p w14:paraId="7AB01926" w14:textId="77777777" w:rsidR="00363653" w:rsidRPr="001E29AD" w:rsidRDefault="00363653" w:rsidP="00494FEB">
            <w:pPr>
              <w:spacing w:line="360" w:lineRule="auto"/>
              <w:rPr>
                <w:rFonts w:ascii="Arial" w:eastAsia="Times New Roman" w:hAnsi="Arial" w:cs="Arial"/>
                <w:color w:val="auto"/>
                <w:sz w:val="20"/>
                <w:szCs w:val="20"/>
              </w:rPr>
            </w:pPr>
          </w:p>
          <w:p w14:paraId="50C1C0CA"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Responsive UI across platforms</w:t>
            </w:r>
          </w:p>
        </w:tc>
      </w:tr>
      <w:tr w:rsidR="00363653" w:rsidRPr="001E29AD" w14:paraId="65B87EC9" w14:textId="77777777" w:rsidTr="00363653">
        <w:trPr>
          <w:trHeight w:val="479"/>
        </w:trPr>
        <w:tc>
          <w:tcPr>
            <w:tcW w:w="0" w:type="auto"/>
            <w:hideMark/>
          </w:tcPr>
          <w:p w14:paraId="118FF286" w14:textId="77777777" w:rsidR="00363653" w:rsidRPr="001E29AD" w:rsidRDefault="00363653" w:rsidP="00494FEB">
            <w:pPr>
              <w:spacing w:line="360" w:lineRule="auto"/>
              <w:rPr>
                <w:rFonts w:ascii="Arial" w:eastAsia="Times New Roman" w:hAnsi="Arial" w:cs="Arial"/>
                <w:color w:val="auto"/>
                <w:sz w:val="20"/>
                <w:szCs w:val="20"/>
              </w:rPr>
            </w:pPr>
          </w:p>
          <w:p w14:paraId="5A57ADCF"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Clinical Safety Assurance</w:t>
            </w:r>
          </w:p>
        </w:tc>
        <w:tc>
          <w:tcPr>
            <w:tcW w:w="0" w:type="auto"/>
            <w:hideMark/>
          </w:tcPr>
          <w:p w14:paraId="70B3C1B4" w14:textId="77777777" w:rsidR="00363653" w:rsidRPr="001E29AD" w:rsidRDefault="00363653" w:rsidP="00494FEB">
            <w:pPr>
              <w:spacing w:line="360" w:lineRule="auto"/>
              <w:rPr>
                <w:rFonts w:ascii="Arial" w:eastAsia="Times New Roman" w:hAnsi="Arial" w:cs="Arial"/>
                <w:color w:val="auto"/>
                <w:sz w:val="20"/>
                <w:szCs w:val="20"/>
              </w:rPr>
            </w:pPr>
          </w:p>
          <w:p w14:paraId="3B1AF89F"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Not fully aligned with DCB0129/0160</w:t>
            </w:r>
          </w:p>
        </w:tc>
        <w:tc>
          <w:tcPr>
            <w:tcW w:w="0" w:type="auto"/>
            <w:hideMark/>
          </w:tcPr>
          <w:p w14:paraId="14C0CAB3" w14:textId="77777777" w:rsidR="00363653" w:rsidRPr="001E29AD" w:rsidRDefault="00363653" w:rsidP="00494FEB">
            <w:pPr>
              <w:spacing w:line="360" w:lineRule="auto"/>
              <w:rPr>
                <w:rFonts w:ascii="Arial" w:eastAsia="Times New Roman" w:hAnsi="Arial" w:cs="Arial"/>
                <w:color w:val="auto"/>
                <w:sz w:val="20"/>
                <w:szCs w:val="20"/>
              </w:rPr>
            </w:pPr>
          </w:p>
          <w:p w14:paraId="432CEDD3"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Fully assured under the NHS Tech Innovation Framework</w:t>
            </w:r>
          </w:p>
          <w:p w14:paraId="2DAC855B" w14:textId="77777777" w:rsidR="00363653" w:rsidRPr="001E29AD" w:rsidRDefault="00363653" w:rsidP="00494FEB">
            <w:pPr>
              <w:spacing w:line="360" w:lineRule="auto"/>
              <w:rPr>
                <w:rFonts w:ascii="Arial" w:eastAsia="Times New Roman" w:hAnsi="Arial" w:cs="Arial"/>
                <w:color w:val="auto"/>
                <w:sz w:val="20"/>
                <w:szCs w:val="20"/>
              </w:rPr>
            </w:pPr>
          </w:p>
          <w:p w14:paraId="4E84B565" w14:textId="77777777" w:rsidR="00363653" w:rsidRPr="001E29AD" w:rsidRDefault="00363653" w:rsidP="00494FEB">
            <w:pPr>
              <w:spacing w:line="360" w:lineRule="auto"/>
              <w:rPr>
                <w:rFonts w:ascii="Arial" w:eastAsia="Times New Roman" w:hAnsi="Arial" w:cs="Arial"/>
                <w:color w:val="auto"/>
                <w:sz w:val="20"/>
                <w:szCs w:val="20"/>
              </w:rPr>
            </w:pPr>
          </w:p>
        </w:tc>
        <w:tc>
          <w:tcPr>
            <w:tcW w:w="4043" w:type="dxa"/>
            <w:hideMark/>
          </w:tcPr>
          <w:p w14:paraId="542FCC84" w14:textId="77777777" w:rsidR="00363653" w:rsidRPr="001E29AD" w:rsidRDefault="00363653" w:rsidP="00494FEB">
            <w:pPr>
              <w:spacing w:line="360" w:lineRule="auto"/>
              <w:rPr>
                <w:rFonts w:ascii="Arial" w:eastAsia="Times New Roman" w:hAnsi="Arial" w:cs="Arial"/>
                <w:color w:val="auto"/>
                <w:sz w:val="20"/>
                <w:szCs w:val="20"/>
              </w:rPr>
            </w:pPr>
          </w:p>
          <w:p w14:paraId="48C5C236"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Meets NHS Digital safety standards</w:t>
            </w:r>
          </w:p>
        </w:tc>
      </w:tr>
      <w:tr w:rsidR="00363653" w:rsidRPr="001E29AD" w14:paraId="092DCD14" w14:textId="77777777" w:rsidTr="00363653">
        <w:trPr>
          <w:trHeight w:val="319"/>
        </w:trPr>
        <w:tc>
          <w:tcPr>
            <w:tcW w:w="0" w:type="auto"/>
            <w:hideMark/>
          </w:tcPr>
          <w:p w14:paraId="71E4D7CF" w14:textId="77777777" w:rsidR="00363653" w:rsidRPr="001E29AD" w:rsidRDefault="00363653" w:rsidP="00494FEB">
            <w:pPr>
              <w:spacing w:line="360" w:lineRule="auto"/>
              <w:rPr>
                <w:rFonts w:ascii="Arial" w:eastAsia="Times New Roman" w:hAnsi="Arial" w:cs="Arial"/>
                <w:color w:val="auto"/>
                <w:sz w:val="20"/>
                <w:szCs w:val="20"/>
              </w:rPr>
            </w:pPr>
          </w:p>
          <w:p w14:paraId="73380487"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User Experience</w:t>
            </w:r>
          </w:p>
          <w:p w14:paraId="47129146" w14:textId="77777777" w:rsidR="00363653" w:rsidRPr="001E29AD" w:rsidRDefault="00363653" w:rsidP="00494FEB">
            <w:pPr>
              <w:spacing w:line="360" w:lineRule="auto"/>
              <w:rPr>
                <w:rFonts w:ascii="Arial" w:eastAsia="Times New Roman" w:hAnsi="Arial" w:cs="Arial"/>
                <w:color w:val="auto"/>
                <w:sz w:val="20"/>
                <w:szCs w:val="20"/>
              </w:rPr>
            </w:pPr>
          </w:p>
          <w:p w14:paraId="2E5C095E" w14:textId="77777777" w:rsidR="00363653" w:rsidRPr="001E29AD" w:rsidRDefault="00363653" w:rsidP="00494FEB">
            <w:pPr>
              <w:spacing w:line="360" w:lineRule="auto"/>
              <w:rPr>
                <w:rFonts w:ascii="Arial" w:eastAsia="Times New Roman" w:hAnsi="Arial" w:cs="Arial"/>
                <w:color w:val="auto"/>
                <w:sz w:val="20"/>
                <w:szCs w:val="20"/>
              </w:rPr>
            </w:pPr>
          </w:p>
        </w:tc>
        <w:tc>
          <w:tcPr>
            <w:tcW w:w="0" w:type="auto"/>
            <w:hideMark/>
          </w:tcPr>
          <w:p w14:paraId="1BE013F2" w14:textId="77777777" w:rsidR="00363653" w:rsidRPr="001E29AD" w:rsidRDefault="00363653" w:rsidP="00494FEB">
            <w:pPr>
              <w:spacing w:line="360" w:lineRule="auto"/>
              <w:rPr>
                <w:rFonts w:ascii="Arial" w:eastAsia="Times New Roman" w:hAnsi="Arial" w:cs="Arial"/>
                <w:color w:val="auto"/>
                <w:sz w:val="20"/>
                <w:szCs w:val="20"/>
              </w:rPr>
            </w:pPr>
          </w:p>
          <w:p w14:paraId="7E69F89C"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Clunky interfaces, slow updates</w:t>
            </w:r>
          </w:p>
        </w:tc>
        <w:tc>
          <w:tcPr>
            <w:tcW w:w="0" w:type="auto"/>
            <w:hideMark/>
          </w:tcPr>
          <w:p w14:paraId="427386BC" w14:textId="77777777" w:rsidR="00363653" w:rsidRPr="001E29AD" w:rsidRDefault="00363653" w:rsidP="00494FEB">
            <w:pPr>
              <w:spacing w:line="360" w:lineRule="auto"/>
              <w:rPr>
                <w:rFonts w:ascii="Arial" w:eastAsia="Times New Roman" w:hAnsi="Arial" w:cs="Arial"/>
                <w:color w:val="auto"/>
                <w:sz w:val="20"/>
                <w:szCs w:val="20"/>
              </w:rPr>
            </w:pPr>
          </w:p>
          <w:p w14:paraId="6504C31F" w14:textId="66CC2D05"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 xml:space="preserve">Streamlined UI, faster </w:t>
            </w:r>
            <w:r w:rsidR="0062420E" w:rsidRPr="001E29AD">
              <w:rPr>
                <w:rFonts w:ascii="Arial" w:eastAsia="Times New Roman" w:hAnsi="Arial" w:cs="Arial"/>
                <w:color w:val="auto"/>
                <w:sz w:val="20"/>
                <w:szCs w:val="20"/>
              </w:rPr>
              <w:t>workflows</w:t>
            </w:r>
            <w:r w:rsidR="0062420E" w:rsidRPr="001E29AD">
              <w:rPr>
                <w:rFonts w:ascii="Arial" w:eastAsia="Times New Roman" w:hAnsi="Arial" w:cs="Arial"/>
                <w:sz w:val="20"/>
                <w:szCs w:val="20"/>
              </w:rPr>
              <w:t>.</w:t>
            </w:r>
          </w:p>
          <w:p w14:paraId="02BE5A87" w14:textId="77777777" w:rsidR="00363653" w:rsidRPr="001E29AD" w:rsidRDefault="00363653" w:rsidP="00494FEB">
            <w:pPr>
              <w:spacing w:line="360" w:lineRule="auto"/>
              <w:rPr>
                <w:rFonts w:ascii="Arial" w:eastAsia="Times New Roman" w:hAnsi="Arial" w:cs="Arial"/>
                <w:color w:val="auto"/>
                <w:sz w:val="20"/>
                <w:szCs w:val="20"/>
              </w:rPr>
            </w:pPr>
          </w:p>
        </w:tc>
        <w:tc>
          <w:tcPr>
            <w:tcW w:w="4043" w:type="dxa"/>
            <w:hideMark/>
          </w:tcPr>
          <w:p w14:paraId="5BA38D7C" w14:textId="77777777" w:rsidR="00363653" w:rsidRPr="001E29AD" w:rsidRDefault="00363653" w:rsidP="00494FEB">
            <w:pPr>
              <w:spacing w:line="360" w:lineRule="auto"/>
              <w:rPr>
                <w:rFonts w:ascii="Arial" w:eastAsia="Times New Roman" w:hAnsi="Arial" w:cs="Arial"/>
                <w:color w:val="auto"/>
                <w:sz w:val="20"/>
                <w:szCs w:val="20"/>
              </w:rPr>
            </w:pPr>
          </w:p>
          <w:p w14:paraId="2C77C0D7"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Weekly updates (1,000+); modern UX design</w:t>
            </w:r>
          </w:p>
        </w:tc>
      </w:tr>
      <w:tr w:rsidR="00363653" w:rsidRPr="001E29AD" w14:paraId="196B5DCB" w14:textId="77777777" w:rsidTr="00363653">
        <w:trPr>
          <w:trHeight w:val="319"/>
        </w:trPr>
        <w:tc>
          <w:tcPr>
            <w:tcW w:w="0" w:type="auto"/>
            <w:hideMark/>
          </w:tcPr>
          <w:p w14:paraId="3D212AFE" w14:textId="77777777" w:rsidR="00363653" w:rsidRPr="001E29AD" w:rsidRDefault="00363653" w:rsidP="00494FEB">
            <w:pPr>
              <w:spacing w:line="360" w:lineRule="auto"/>
              <w:rPr>
                <w:rFonts w:ascii="Arial" w:eastAsia="Times New Roman" w:hAnsi="Arial" w:cs="Arial"/>
                <w:color w:val="auto"/>
                <w:sz w:val="20"/>
                <w:szCs w:val="20"/>
              </w:rPr>
            </w:pPr>
          </w:p>
          <w:p w14:paraId="3C7B2AFD"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Administrative Efficiency</w:t>
            </w:r>
          </w:p>
        </w:tc>
        <w:tc>
          <w:tcPr>
            <w:tcW w:w="0" w:type="auto"/>
            <w:hideMark/>
          </w:tcPr>
          <w:p w14:paraId="5C2D0825" w14:textId="77777777" w:rsidR="00363653" w:rsidRPr="001E29AD" w:rsidRDefault="00363653" w:rsidP="00494FEB">
            <w:pPr>
              <w:spacing w:line="360" w:lineRule="auto"/>
              <w:rPr>
                <w:rFonts w:ascii="Arial" w:eastAsia="Times New Roman" w:hAnsi="Arial" w:cs="Arial"/>
                <w:color w:val="auto"/>
                <w:sz w:val="20"/>
                <w:szCs w:val="20"/>
              </w:rPr>
            </w:pPr>
          </w:p>
          <w:p w14:paraId="469E6449"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lastRenderedPageBreak/>
              <w:t>High admin burden, duplication</w:t>
            </w:r>
          </w:p>
        </w:tc>
        <w:tc>
          <w:tcPr>
            <w:tcW w:w="0" w:type="auto"/>
            <w:hideMark/>
          </w:tcPr>
          <w:p w14:paraId="457A0D20" w14:textId="77777777" w:rsidR="00363653" w:rsidRPr="001E29AD" w:rsidRDefault="00363653" w:rsidP="00494FEB">
            <w:pPr>
              <w:spacing w:line="360" w:lineRule="auto"/>
              <w:rPr>
                <w:rFonts w:ascii="Arial" w:eastAsia="Times New Roman" w:hAnsi="Arial" w:cs="Arial"/>
                <w:color w:val="auto"/>
                <w:sz w:val="20"/>
                <w:szCs w:val="20"/>
              </w:rPr>
            </w:pPr>
          </w:p>
          <w:p w14:paraId="76565ED6" w14:textId="418D081A"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lastRenderedPageBreak/>
              <w:t xml:space="preserve">Reduces admin time, improves </w:t>
            </w:r>
            <w:r w:rsidR="0062420E" w:rsidRPr="001E29AD">
              <w:rPr>
                <w:rFonts w:ascii="Arial" w:eastAsia="Times New Roman" w:hAnsi="Arial" w:cs="Arial"/>
                <w:color w:val="auto"/>
                <w:sz w:val="20"/>
                <w:szCs w:val="20"/>
              </w:rPr>
              <w:t>coordination</w:t>
            </w:r>
            <w:r w:rsidR="0062420E" w:rsidRPr="001E29AD">
              <w:rPr>
                <w:rFonts w:ascii="Arial" w:eastAsia="Times New Roman" w:hAnsi="Arial" w:cs="Arial"/>
                <w:sz w:val="20"/>
                <w:szCs w:val="20"/>
              </w:rPr>
              <w:t>.</w:t>
            </w:r>
          </w:p>
          <w:p w14:paraId="6A812C41" w14:textId="77777777" w:rsidR="00363653" w:rsidRPr="001E29AD" w:rsidRDefault="00363653" w:rsidP="00494FEB">
            <w:pPr>
              <w:spacing w:line="360" w:lineRule="auto"/>
              <w:rPr>
                <w:rFonts w:ascii="Arial" w:eastAsia="Times New Roman" w:hAnsi="Arial" w:cs="Arial"/>
                <w:color w:val="auto"/>
                <w:sz w:val="20"/>
                <w:szCs w:val="20"/>
              </w:rPr>
            </w:pPr>
          </w:p>
          <w:p w14:paraId="788BA4D5" w14:textId="77777777" w:rsidR="00363653" w:rsidRPr="001E29AD" w:rsidRDefault="00363653" w:rsidP="00494FEB">
            <w:pPr>
              <w:spacing w:line="360" w:lineRule="auto"/>
              <w:rPr>
                <w:rFonts w:ascii="Arial" w:eastAsia="Times New Roman" w:hAnsi="Arial" w:cs="Arial"/>
                <w:color w:val="auto"/>
                <w:sz w:val="20"/>
                <w:szCs w:val="20"/>
              </w:rPr>
            </w:pPr>
          </w:p>
          <w:p w14:paraId="203F7CD0" w14:textId="77777777" w:rsidR="00363653" w:rsidRPr="001E29AD" w:rsidRDefault="00363653" w:rsidP="00494FEB">
            <w:pPr>
              <w:spacing w:line="360" w:lineRule="auto"/>
              <w:rPr>
                <w:rFonts w:ascii="Arial" w:eastAsia="Times New Roman" w:hAnsi="Arial" w:cs="Arial"/>
                <w:color w:val="auto"/>
                <w:sz w:val="20"/>
                <w:szCs w:val="20"/>
              </w:rPr>
            </w:pPr>
          </w:p>
        </w:tc>
        <w:tc>
          <w:tcPr>
            <w:tcW w:w="4043" w:type="dxa"/>
            <w:hideMark/>
          </w:tcPr>
          <w:p w14:paraId="3EA3EDBC" w14:textId="77777777" w:rsidR="00363653" w:rsidRPr="001E29AD" w:rsidRDefault="00363653" w:rsidP="00494FEB">
            <w:pPr>
              <w:spacing w:line="360" w:lineRule="auto"/>
              <w:rPr>
                <w:rFonts w:ascii="Arial" w:eastAsia="Times New Roman" w:hAnsi="Arial" w:cs="Arial"/>
                <w:color w:val="auto"/>
                <w:sz w:val="20"/>
                <w:szCs w:val="20"/>
              </w:rPr>
            </w:pPr>
          </w:p>
          <w:p w14:paraId="31E42BA6"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Supports automation and task routing</w:t>
            </w:r>
          </w:p>
        </w:tc>
      </w:tr>
      <w:tr w:rsidR="00363653" w:rsidRPr="001E29AD" w14:paraId="1F51221D" w14:textId="77777777" w:rsidTr="00363653">
        <w:trPr>
          <w:trHeight w:val="319"/>
        </w:trPr>
        <w:tc>
          <w:tcPr>
            <w:tcW w:w="0" w:type="auto"/>
            <w:hideMark/>
          </w:tcPr>
          <w:p w14:paraId="46F9EA18" w14:textId="77777777" w:rsidR="00363653" w:rsidRPr="001E29AD" w:rsidRDefault="00363653" w:rsidP="00494FEB">
            <w:pPr>
              <w:spacing w:line="360" w:lineRule="auto"/>
              <w:rPr>
                <w:rFonts w:ascii="Arial" w:eastAsia="Times New Roman" w:hAnsi="Arial" w:cs="Arial"/>
                <w:color w:val="auto"/>
                <w:sz w:val="20"/>
                <w:szCs w:val="20"/>
              </w:rPr>
            </w:pPr>
          </w:p>
          <w:p w14:paraId="7C968124"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Vendor Lock-In</w:t>
            </w:r>
          </w:p>
        </w:tc>
        <w:tc>
          <w:tcPr>
            <w:tcW w:w="0" w:type="auto"/>
            <w:hideMark/>
          </w:tcPr>
          <w:p w14:paraId="34E54DE5" w14:textId="77777777" w:rsidR="00363653" w:rsidRPr="001E29AD" w:rsidRDefault="00363653" w:rsidP="00494FEB">
            <w:pPr>
              <w:spacing w:line="360" w:lineRule="auto"/>
              <w:rPr>
                <w:rFonts w:ascii="Arial" w:eastAsia="Times New Roman" w:hAnsi="Arial" w:cs="Arial"/>
                <w:color w:val="auto"/>
                <w:sz w:val="20"/>
                <w:szCs w:val="20"/>
              </w:rPr>
            </w:pPr>
          </w:p>
          <w:p w14:paraId="5BEA21EE"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Long-term contracts, limited choice</w:t>
            </w:r>
          </w:p>
        </w:tc>
        <w:tc>
          <w:tcPr>
            <w:tcW w:w="0" w:type="auto"/>
            <w:hideMark/>
          </w:tcPr>
          <w:p w14:paraId="40249C33" w14:textId="77777777" w:rsidR="00363653" w:rsidRPr="001E29AD" w:rsidRDefault="00363653" w:rsidP="00494FEB">
            <w:pPr>
              <w:spacing w:line="360" w:lineRule="auto"/>
              <w:rPr>
                <w:rFonts w:ascii="Arial" w:eastAsia="Times New Roman" w:hAnsi="Arial" w:cs="Arial"/>
                <w:color w:val="auto"/>
                <w:sz w:val="20"/>
                <w:szCs w:val="20"/>
              </w:rPr>
            </w:pPr>
          </w:p>
          <w:p w14:paraId="57892A37"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Open procurement framework</w:t>
            </w:r>
          </w:p>
          <w:p w14:paraId="44256A14" w14:textId="77777777" w:rsidR="00363653" w:rsidRPr="001E29AD" w:rsidRDefault="00363653" w:rsidP="00494FEB">
            <w:pPr>
              <w:spacing w:line="360" w:lineRule="auto"/>
              <w:rPr>
                <w:rFonts w:ascii="Arial" w:eastAsia="Times New Roman" w:hAnsi="Arial" w:cs="Arial"/>
                <w:color w:val="auto"/>
                <w:sz w:val="20"/>
                <w:szCs w:val="20"/>
              </w:rPr>
            </w:pPr>
          </w:p>
          <w:p w14:paraId="6A6362E5" w14:textId="77777777" w:rsidR="00363653" w:rsidRPr="001E29AD" w:rsidRDefault="00363653" w:rsidP="00494FEB">
            <w:pPr>
              <w:spacing w:line="360" w:lineRule="auto"/>
              <w:rPr>
                <w:rFonts w:ascii="Arial" w:eastAsia="Times New Roman" w:hAnsi="Arial" w:cs="Arial"/>
                <w:color w:val="auto"/>
                <w:sz w:val="20"/>
                <w:szCs w:val="20"/>
              </w:rPr>
            </w:pPr>
          </w:p>
          <w:p w14:paraId="01D5DF09" w14:textId="77777777" w:rsidR="00363653" w:rsidRPr="001E29AD" w:rsidRDefault="00363653" w:rsidP="00494FEB">
            <w:pPr>
              <w:spacing w:line="360" w:lineRule="auto"/>
              <w:rPr>
                <w:rFonts w:ascii="Arial" w:eastAsia="Times New Roman" w:hAnsi="Arial" w:cs="Arial"/>
                <w:color w:val="auto"/>
                <w:sz w:val="20"/>
                <w:szCs w:val="20"/>
              </w:rPr>
            </w:pPr>
          </w:p>
        </w:tc>
        <w:tc>
          <w:tcPr>
            <w:tcW w:w="4043" w:type="dxa"/>
            <w:hideMark/>
          </w:tcPr>
          <w:p w14:paraId="04DA08B5" w14:textId="77777777" w:rsidR="00363653" w:rsidRPr="001E29AD" w:rsidRDefault="00363653" w:rsidP="00494FEB">
            <w:pPr>
              <w:spacing w:line="360" w:lineRule="auto"/>
              <w:rPr>
                <w:rFonts w:ascii="Arial" w:eastAsia="Times New Roman" w:hAnsi="Arial" w:cs="Arial"/>
                <w:color w:val="auto"/>
                <w:sz w:val="20"/>
                <w:szCs w:val="20"/>
              </w:rPr>
            </w:pPr>
          </w:p>
          <w:p w14:paraId="3B8CB038"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Modular, future-proofed architecture</w:t>
            </w:r>
          </w:p>
        </w:tc>
      </w:tr>
      <w:tr w:rsidR="00363653" w:rsidRPr="001E29AD" w14:paraId="0F49FEB5" w14:textId="77777777" w:rsidTr="00363653">
        <w:trPr>
          <w:trHeight w:val="319"/>
        </w:trPr>
        <w:tc>
          <w:tcPr>
            <w:tcW w:w="0" w:type="auto"/>
            <w:hideMark/>
          </w:tcPr>
          <w:p w14:paraId="06966B8F" w14:textId="77777777" w:rsidR="00363653" w:rsidRPr="001E29AD" w:rsidRDefault="00363653" w:rsidP="00494FEB">
            <w:pPr>
              <w:spacing w:line="360" w:lineRule="auto"/>
              <w:rPr>
                <w:rFonts w:ascii="Arial" w:eastAsia="Times New Roman" w:hAnsi="Arial" w:cs="Arial"/>
                <w:color w:val="auto"/>
                <w:sz w:val="20"/>
                <w:szCs w:val="20"/>
              </w:rPr>
            </w:pPr>
          </w:p>
          <w:p w14:paraId="53A90931"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Trauma-Informed Care Support</w:t>
            </w:r>
          </w:p>
        </w:tc>
        <w:tc>
          <w:tcPr>
            <w:tcW w:w="0" w:type="auto"/>
            <w:hideMark/>
          </w:tcPr>
          <w:p w14:paraId="16D27824" w14:textId="77777777" w:rsidR="00363653" w:rsidRPr="001E29AD" w:rsidRDefault="00363653" w:rsidP="00494FEB">
            <w:pPr>
              <w:spacing w:line="360" w:lineRule="auto"/>
              <w:rPr>
                <w:rFonts w:ascii="Arial" w:eastAsia="Times New Roman" w:hAnsi="Arial" w:cs="Arial"/>
                <w:color w:val="auto"/>
                <w:sz w:val="20"/>
                <w:szCs w:val="20"/>
              </w:rPr>
            </w:pPr>
          </w:p>
          <w:p w14:paraId="2357C0AA"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Limited flexibility in record-keeping</w:t>
            </w:r>
          </w:p>
        </w:tc>
        <w:tc>
          <w:tcPr>
            <w:tcW w:w="0" w:type="auto"/>
            <w:hideMark/>
          </w:tcPr>
          <w:p w14:paraId="78870D73" w14:textId="77777777" w:rsidR="00363653" w:rsidRPr="001E29AD" w:rsidRDefault="00363653" w:rsidP="00494FEB">
            <w:pPr>
              <w:spacing w:line="360" w:lineRule="auto"/>
              <w:rPr>
                <w:rFonts w:ascii="Arial" w:eastAsia="Times New Roman" w:hAnsi="Arial" w:cs="Arial"/>
                <w:color w:val="auto"/>
                <w:sz w:val="20"/>
                <w:szCs w:val="20"/>
              </w:rPr>
            </w:pPr>
          </w:p>
          <w:p w14:paraId="701BF0DB"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Faster access to patient history and notes</w:t>
            </w:r>
          </w:p>
          <w:p w14:paraId="7AF3F9F7" w14:textId="77777777" w:rsidR="00363653" w:rsidRPr="001E29AD" w:rsidRDefault="00363653" w:rsidP="00494FEB">
            <w:pPr>
              <w:spacing w:line="360" w:lineRule="auto"/>
              <w:rPr>
                <w:rFonts w:ascii="Arial" w:eastAsia="Times New Roman" w:hAnsi="Arial" w:cs="Arial"/>
                <w:color w:val="auto"/>
                <w:sz w:val="20"/>
                <w:szCs w:val="20"/>
              </w:rPr>
            </w:pPr>
          </w:p>
          <w:p w14:paraId="7CC97508" w14:textId="77777777" w:rsidR="00363653" w:rsidRPr="001E29AD" w:rsidRDefault="00363653" w:rsidP="00494FEB">
            <w:pPr>
              <w:spacing w:line="360" w:lineRule="auto"/>
              <w:rPr>
                <w:rFonts w:ascii="Arial" w:eastAsia="Times New Roman" w:hAnsi="Arial" w:cs="Arial"/>
                <w:color w:val="auto"/>
                <w:sz w:val="20"/>
                <w:szCs w:val="20"/>
              </w:rPr>
            </w:pPr>
          </w:p>
        </w:tc>
        <w:tc>
          <w:tcPr>
            <w:tcW w:w="4043" w:type="dxa"/>
            <w:hideMark/>
          </w:tcPr>
          <w:p w14:paraId="579BC14B" w14:textId="77777777" w:rsidR="00363653" w:rsidRPr="001E29AD" w:rsidRDefault="00363653" w:rsidP="00494FEB">
            <w:pPr>
              <w:spacing w:line="360" w:lineRule="auto"/>
              <w:rPr>
                <w:rFonts w:ascii="Arial" w:eastAsia="Times New Roman" w:hAnsi="Arial" w:cs="Arial"/>
                <w:color w:val="auto"/>
                <w:sz w:val="20"/>
                <w:szCs w:val="20"/>
              </w:rPr>
            </w:pPr>
          </w:p>
          <w:p w14:paraId="0D535129" w14:textId="3D392999"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 xml:space="preserve">Enables contextualised, person-centred </w:t>
            </w:r>
            <w:r w:rsidR="0062420E" w:rsidRPr="001E29AD">
              <w:rPr>
                <w:rFonts w:ascii="Arial" w:eastAsia="Times New Roman" w:hAnsi="Arial" w:cs="Arial"/>
                <w:color w:val="auto"/>
                <w:sz w:val="20"/>
                <w:szCs w:val="20"/>
              </w:rPr>
              <w:t>care</w:t>
            </w:r>
            <w:r w:rsidR="0062420E" w:rsidRPr="001E29AD">
              <w:rPr>
                <w:rFonts w:ascii="Arial" w:eastAsia="Times New Roman" w:hAnsi="Arial" w:cs="Arial"/>
                <w:sz w:val="20"/>
                <w:szCs w:val="20"/>
              </w:rPr>
              <w:t>.</w:t>
            </w:r>
          </w:p>
          <w:p w14:paraId="505D4F7C" w14:textId="77777777" w:rsidR="00363653" w:rsidRPr="001E29AD" w:rsidRDefault="00363653" w:rsidP="00494FEB">
            <w:pPr>
              <w:spacing w:line="360" w:lineRule="auto"/>
              <w:rPr>
                <w:rFonts w:ascii="Arial" w:eastAsia="Times New Roman" w:hAnsi="Arial" w:cs="Arial"/>
                <w:color w:val="auto"/>
                <w:sz w:val="20"/>
                <w:szCs w:val="20"/>
              </w:rPr>
            </w:pPr>
          </w:p>
          <w:p w14:paraId="26BF2DBA" w14:textId="77777777" w:rsidR="00363653" w:rsidRPr="001E29AD" w:rsidRDefault="00363653" w:rsidP="00494FEB">
            <w:pPr>
              <w:spacing w:line="360" w:lineRule="auto"/>
              <w:rPr>
                <w:rFonts w:ascii="Arial" w:eastAsia="Times New Roman" w:hAnsi="Arial" w:cs="Arial"/>
                <w:color w:val="auto"/>
                <w:sz w:val="20"/>
                <w:szCs w:val="20"/>
              </w:rPr>
            </w:pPr>
          </w:p>
        </w:tc>
      </w:tr>
      <w:tr w:rsidR="00363653" w:rsidRPr="001E29AD" w14:paraId="45DEE1F3" w14:textId="77777777" w:rsidTr="00363653">
        <w:trPr>
          <w:trHeight w:val="311"/>
        </w:trPr>
        <w:tc>
          <w:tcPr>
            <w:tcW w:w="0" w:type="auto"/>
            <w:hideMark/>
          </w:tcPr>
          <w:p w14:paraId="24BD19D5" w14:textId="77777777" w:rsidR="00363653" w:rsidRPr="001E29AD" w:rsidRDefault="00363653" w:rsidP="00494FEB">
            <w:pPr>
              <w:spacing w:line="360" w:lineRule="auto"/>
              <w:rPr>
                <w:rFonts w:ascii="Arial" w:eastAsia="Times New Roman" w:hAnsi="Arial" w:cs="Arial"/>
                <w:color w:val="auto"/>
                <w:sz w:val="20"/>
                <w:szCs w:val="20"/>
              </w:rPr>
            </w:pPr>
          </w:p>
          <w:p w14:paraId="0594BD13" w14:textId="77777777" w:rsidR="00363653" w:rsidRPr="001E29AD" w:rsidRDefault="00363653" w:rsidP="00494FEB">
            <w:pPr>
              <w:spacing w:line="360" w:lineRule="auto"/>
              <w:rPr>
                <w:rFonts w:ascii="Arial" w:eastAsia="Times New Roman" w:hAnsi="Arial" w:cs="Arial"/>
                <w:color w:val="auto"/>
                <w:sz w:val="20"/>
                <w:szCs w:val="20"/>
              </w:rPr>
            </w:pPr>
          </w:p>
          <w:p w14:paraId="36263A53"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Scalability &amp; Innovation</w:t>
            </w:r>
          </w:p>
          <w:p w14:paraId="7398535F" w14:textId="77777777" w:rsidR="00363653" w:rsidRPr="001E29AD" w:rsidRDefault="00363653" w:rsidP="00494FEB">
            <w:pPr>
              <w:spacing w:line="360" w:lineRule="auto"/>
              <w:rPr>
                <w:rFonts w:ascii="Arial" w:eastAsia="Times New Roman" w:hAnsi="Arial" w:cs="Arial"/>
                <w:color w:val="auto"/>
                <w:sz w:val="20"/>
                <w:szCs w:val="20"/>
              </w:rPr>
            </w:pPr>
          </w:p>
        </w:tc>
        <w:tc>
          <w:tcPr>
            <w:tcW w:w="0" w:type="auto"/>
            <w:hideMark/>
          </w:tcPr>
          <w:p w14:paraId="35C35FD2" w14:textId="77777777" w:rsidR="00363653" w:rsidRPr="001E29AD" w:rsidRDefault="00363653" w:rsidP="00494FEB">
            <w:pPr>
              <w:spacing w:line="360" w:lineRule="auto"/>
              <w:rPr>
                <w:rFonts w:ascii="Arial" w:eastAsia="Times New Roman" w:hAnsi="Arial" w:cs="Arial"/>
                <w:color w:val="auto"/>
                <w:sz w:val="20"/>
                <w:szCs w:val="20"/>
              </w:rPr>
            </w:pPr>
          </w:p>
          <w:p w14:paraId="233FBBF4"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Difficult to upgrade or customise</w:t>
            </w:r>
          </w:p>
        </w:tc>
        <w:tc>
          <w:tcPr>
            <w:tcW w:w="0" w:type="auto"/>
            <w:hideMark/>
          </w:tcPr>
          <w:p w14:paraId="5F1A501D" w14:textId="77777777" w:rsidR="00363653" w:rsidRPr="001E29AD" w:rsidRDefault="00363653" w:rsidP="00494FEB">
            <w:pPr>
              <w:spacing w:line="360" w:lineRule="auto"/>
              <w:rPr>
                <w:rFonts w:ascii="Arial" w:eastAsia="Times New Roman" w:hAnsi="Arial" w:cs="Arial"/>
                <w:color w:val="auto"/>
                <w:sz w:val="20"/>
                <w:szCs w:val="20"/>
              </w:rPr>
            </w:pPr>
          </w:p>
          <w:p w14:paraId="0F804586" w14:textId="77777777"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Modular, future-proofed design</w:t>
            </w:r>
          </w:p>
          <w:p w14:paraId="46F7E91D" w14:textId="77777777" w:rsidR="00363653" w:rsidRPr="001E29AD" w:rsidRDefault="00363653" w:rsidP="00494FEB">
            <w:pPr>
              <w:spacing w:line="360" w:lineRule="auto"/>
              <w:rPr>
                <w:rFonts w:ascii="Arial" w:eastAsia="Times New Roman" w:hAnsi="Arial" w:cs="Arial"/>
                <w:color w:val="auto"/>
                <w:sz w:val="20"/>
                <w:szCs w:val="20"/>
              </w:rPr>
            </w:pPr>
          </w:p>
        </w:tc>
        <w:tc>
          <w:tcPr>
            <w:tcW w:w="4043" w:type="dxa"/>
            <w:hideMark/>
          </w:tcPr>
          <w:p w14:paraId="2FB6E9A8" w14:textId="77777777" w:rsidR="00363653" w:rsidRPr="001E29AD" w:rsidRDefault="00363653" w:rsidP="00494FEB">
            <w:pPr>
              <w:spacing w:line="360" w:lineRule="auto"/>
              <w:rPr>
                <w:rFonts w:ascii="Arial" w:eastAsia="Times New Roman" w:hAnsi="Arial" w:cs="Arial"/>
                <w:color w:val="auto"/>
                <w:sz w:val="20"/>
                <w:szCs w:val="20"/>
              </w:rPr>
            </w:pPr>
          </w:p>
          <w:p w14:paraId="172EAFFF" w14:textId="3947D38C" w:rsidR="00363653" w:rsidRPr="001E29AD" w:rsidRDefault="00363653" w:rsidP="00494FEB">
            <w:pPr>
              <w:spacing w:line="360" w:lineRule="auto"/>
              <w:rPr>
                <w:rFonts w:ascii="Arial" w:eastAsia="Times New Roman" w:hAnsi="Arial" w:cs="Arial"/>
                <w:color w:val="auto"/>
                <w:sz w:val="20"/>
                <w:szCs w:val="20"/>
              </w:rPr>
            </w:pPr>
            <w:r w:rsidRPr="001E29AD">
              <w:rPr>
                <w:rFonts w:ascii="Arial" w:eastAsia="Times New Roman" w:hAnsi="Arial" w:cs="Arial"/>
                <w:color w:val="auto"/>
                <w:sz w:val="20"/>
                <w:szCs w:val="20"/>
              </w:rPr>
              <w:t xml:space="preserve">Designed for iterative improvement and </w:t>
            </w:r>
            <w:r w:rsidR="0062420E" w:rsidRPr="001E29AD">
              <w:rPr>
                <w:rFonts w:ascii="Arial" w:eastAsia="Times New Roman" w:hAnsi="Arial" w:cs="Arial"/>
                <w:color w:val="auto"/>
                <w:sz w:val="20"/>
                <w:szCs w:val="20"/>
              </w:rPr>
              <w:t>integration</w:t>
            </w:r>
            <w:r w:rsidR="0062420E" w:rsidRPr="001E29AD">
              <w:rPr>
                <w:rFonts w:ascii="Arial" w:eastAsia="Times New Roman" w:hAnsi="Arial" w:cs="Arial"/>
                <w:sz w:val="20"/>
                <w:szCs w:val="20"/>
              </w:rPr>
              <w:t>.</w:t>
            </w:r>
          </w:p>
          <w:p w14:paraId="75227491" w14:textId="77777777" w:rsidR="00363653" w:rsidRPr="001E29AD" w:rsidRDefault="00363653" w:rsidP="00494FEB">
            <w:pPr>
              <w:spacing w:line="360" w:lineRule="auto"/>
              <w:rPr>
                <w:rFonts w:ascii="Arial" w:eastAsia="Times New Roman" w:hAnsi="Arial" w:cs="Arial"/>
                <w:color w:val="auto"/>
                <w:sz w:val="20"/>
                <w:szCs w:val="20"/>
              </w:rPr>
            </w:pPr>
          </w:p>
        </w:tc>
      </w:tr>
    </w:tbl>
    <w:p w14:paraId="0459EA0F" w14:textId="31E1D19F" w:rsidR="00A73E61" w:rsidRPr="00707CE4" w:rsidRDefault="00A73E61" w:rsidP="00494FEB">
      <w:pPr>
        <w:spacing w:before="100" w:beforeAutospacing="1" w:after="100" w:afterAutospacing="1" w:line="360" w:lineRule="auto"/>
        <w:rPr>
          <w:rFonts w:ascii="Arial" w:eastAsia="Times New Roman" w:hAnsi="Arial" w:cs="Arial"/>
          <w:b/>
          <w:bCs/>
          <w:kern w:val="0"/>
          <w:lang w:eastAsia="en-GB"/>
          <w14:ligatures w14:val="none"/>
        </w:rPr>
      </w:pPr>
    </w:p>
    <w:p w14:paraId="45F24910" w14:textId="47930BA6" w:rsidR="001B3E64" w:rsidRPr="00707CE4" w:rsidRDefault="00FB6C23" w:rsidP="00494FEB">
      <w:pPr>
        <w:pStyle w:val="ListParagraph"/>
        <w:numPr>
          <w:ilvl w:val="0"/>
          <w:numId w:val="31"/>
        </w:numPr>
        <w:spacing w:before="100" w:beforeAutospacing="1" w:after="100" w:afterAutospacing="1" w:line="360" w:lineRule="auto"/>
        <w:rPr>
          <w:rFonts w:ascii="Arial" w:eastAsia="Times New Roman" w:hAnsi="Arial" w:cs="Arial"/>
          <w:b/>
          <w:bCs/>
          <w:kern w:val="0"/>
          <w:lang w:eastAsia="en-GB"/>
          <w14:ligatures w14:val="none"/>
        </w:rPr>
      </w:pPr>
      <w:r w:rsidRPr="00707CE4">
        <w:rPr>
          <w:rFonts w:ascii="Arial" w:eastAsia="Times New Roman" w:hAnsi="Arial" w:cs="Arial"/>
          <w:b/>
          <w:bCs/>
          <w:kern w:val="0"/>
          <w:lang w:eastAsia="en-GB"/>
          <w14:ligatures w14:val="none"/>
        </w:rPr>
        <w:t xml:space="preserve">Appendix Table A1 — Three mechanisms (comparison of legacy EPRs and Medicus Health). </w:t>
      </w:r>
    </w:p>
    <w:p w14:paraId="09DC3238" w14:textId="77777777" w:rsidR="00AB7F09" w:rsidRPr="00707CE4" w:rsidRDefault="00FB6C23" w:rsidP="00494FEB">
      <w:pPr>
        <w:spacing w:line="360" w:lineRule="auto"/>
        <w:rPr>
          <w:rFonts w:ascii="Arial" w:eastAsia="Times New Roman" w:hAnsi="Arial" w:cs="Arial"/>
          <w:kern w:val="0"/>
          <w:sz w:val="22"/>
          <w:szCs w:val="22"/>
          <w:lang w:eastAsia="en-GB"/>
          <w14:ligatures w14:val="none"/>
        </w:rPr>
      </w:pPr>
      <w:r w:rsidRPr="00707CE4">
        <w:rPr>
          <w:rFonts w:ascii="Arial" w:eastAsia="Times New Roman" w:hAnsi="Arial" w:cs="Arial"/>
          <w:b/>
          <w:bCs/>
          <w:kern w:val="0"/>
          <w:sz w:val="22"/>
          <w:szCs w:val="22"/>
          <w:lang w:eastAsia="en-GB"/>
          <w14:ligatures w14:val="none"/>
        </w:rPr>
        <w:t>Files:</w:t>
      </w:r>
      <w:r w:rsidRPr="00707CE4">
        <w:rPr>
          <w:rFonts w:ascii="Arial" w:eastAsia="Times New Roman" w:hAnsi="Arial" w:cs="Arial"/>
          <w:kern w:val="0"/>
          <w:sz w:val="22"/>
          <w:szCs w:val="22"/>
          <w:lang w:eastAsia="en-GB"/>
          <w14:ligatures w14:val="none"/>
        </w:rPr>
        <w:t xml:space="preserve"> Appendix_TableA1.csv; Appendix_TableA1.docx. </w:t>
      </w:r>
    </w:p>
    <w:p w14:paraId="72BABE95" w14:textId="598CCE89" w:rsidR="00B54C51" w:rsidRPr="00707CE4" w:rsidRDefault="00B54C51" w:rsidP="00494FEB">
      <w:pPr>
        <w:spacing w:line="360" w:lineRule="auto"/>
        <w:rPr>
          <w:rFonts w:ascii="Arial" w:eastAsia="Arial" w:hAnsi="Arial" w:cs="Arial"/>
          <w:kern w:val="0"/>
          <w:sz w:val="22"/>
          <w:szCs w:val="22"/>
          <w14:ligatures w14:val="none"/>
        </w:rPr>
      </w:pPr>
      <w:r w:rsidRPr="00707CE4">
        <w:rPr>
          <w:rFonts w:ascii="Arial" w:eastAsia="Arial" w:hAnsi="Arial" w:cs="Arial"/>
          <w:b/>
          <w:bCs/>
          <w:kern w:val="0"/>
          <w:sz w:val="22"/>
          <w:szCs w:val="22"/>
          <w14:ligatures w14:val="none"/>
        </w:rPr>
        <w:t>Sources:</w:t>
      </w:r>
      <w:r w:rsidRPr="00707CE4">
        <w:rPr>
          <w:rFonts w:ascii="Arial" w:eastAsia="Arial" w:hAnsi="Arial" w:cs="Arial"/>
          <w:kern w:val="0"/>
          <w:sz w:val="22"/>
          <w:szCs w:val="22"/>
          <w14:ligatures w14:val="none"/>
        </w:rPr>
        <w:t xml:space="preserve"> Medicus Health (2025); Digital Health (2025); TPP (2025); Health Foundation (2025)</w:t>
      </w:r>
    </w:p>
    <w:p w14:paraId="012E60EE" w14:textId="1DBE72A1" w:rsidR="00B54C51" w:rsidRPr="00707CE4" w:rsidRDefault="00101EDF" w:rsidP="00494FEB">
      <w:pPr>
        <w:spacing w:line="360" w:lineRule="auto"/>
        <w:rPr>
          <w:rFonts w:ascii="Arial" w:eastAsia="Arial" w:hAnsi="Arial" w:cs="Arial"/>
          <w:kern w:val="0"/>
          <w:sz w:val="22"/>
          <w:szCs w:val="22"/>
          <w14:ligatures w14:val="none"/>
        </w:rPr>
      </w:pPr>
      <w:r w:rsidRPr="00707CE4">
        <w:rPr>
          <w:rFonts w:ascii="Arial" w:eastAsia="Arial" w:hAnsi="Arial" w:cs="Arial"/>
          <w:b/>
          <w:bCs/>
          <w:kern w:val="0"/>
          <w:sz w:val="22"/>
          <w:szCs w:val="22"/>
          <w14:ligatures w14:val="none"/>
        </w:rPr>
        <w:t>Table 1</w:t>
      </w:r>
      <w:r w:rsidRPr="00707CE4">
        <w:rPr>
          <w:rFonts w:ascii="Arial" w:eastAsia="Arial" w:hAnsi="Arial" w:cs="Arial"/>
          <w:kern w:val="0"/>
          <w:sz w:val="22"/>
          <w:szCs w:val="22"/>
          <w14:ligatures w14:val="none"/>
        </w:rPr>
        <w:t xml:space="preserve"> compares legacy EPR systems with the cloud</w:t>
      </w:r>
      <w:r w:rsidRPr="00707CE4">
        <w:rPr>
          <w:rFonts w:ascii="Cambria Math" w:eastAsia="Arial" w:hAnsi="Cambria Math" w:cs="Cambria Math"/>
          <w:kern w:val="0"/>
          <w:sz w:val="22"/>
          <w:szCs w:val="22"/>
          <w14:ligatures w14:val="none"/>
        </w:rPr>
        <w:t>‑</w:t>
      </w:r>
      <w:r w:rsidRPr="00707CE4">
        <w:rPr>
          <w:rFonts w:ascii="Arial" w:eastAsia="Arial" w:hAnsi="Arial" w:cs="Arial"/>
          <w:kern w:val="0"/>
          <w:sz w:val="22"/>
          <w:szCs w:val="22"/>
          <w14:ligatures w14:val="none"/>
        </w:rPr>
        <w:t>based Medicus Health platform across ten implementation features, highlighting differences in safety assurance, interoperability, trauma</w:t>
      </w:r>
      <w:r w:rsidRPr="00707CE4">
        <w:rPr>
          <w:rFonts w:ascii="Cambria Math" w:eastAsia="Arial" w:hAnsi="Cambria Math" w:cs="Cambria Math"/>
          <w:kern w:val="0"/>
          <w:sz w:val="22"/>
          <w:szCs w:val="22"/>
          <w14:ligatures w14:val="none"/>
        </w:rPr>
        <w:t>‑</w:t>
      </w:r>
      <w:r w:rsidRPr="00707CE4">
        <w:rPr>
          <w:rFonts w:ascii="Arial" w:eastAsia="Arial" w:hAnsi="Arial" w:cs="Arial"/>
          <w:kern w:val="0"/>
          <w:sz w:val="22"/>
          <w:szCs w:val="22"/>
          <w14:ligatures w14:val="none"/>
        </w:rPr>
        <w:t xml:space="preserve">informed care </w:t>
      </w:r>
      <w:r w:rsidR="002E35D1" w:rsidRPr="00707CE4">
        <w:rPr>
          <w:rFonts w:ascii="Arial" w:eastAsia="Arial" w:hAnsi="Arial" w:cs="Arial"/>
          <w:kern w:val="0"/>
          <w:sz w:val="22"/>
          <w:szCs w:val="22"/>
          <w14:ligatures w14:val="none"/>
        </w:rPr>
        <w:t>support,</w:t>
      </w:r>
      <w:r w:rsidRPr="00707CE4">
        <w:rPr>
          <w:rFonts w:ascii="Arial" w:eastAsia="Arial" w:hAnsi="Arial" w:cs="Arial"/>
          <w:kern w:val="0"/>
          <w:sz w:val="22"/>
          <w:szCs w:val="22"/>
          <w14:ligatures w14:val="none"/>
        </w:rPr>
        <w:t xml:space="preserve"> and scalability.</w:t>
      </w:r>
    </w:p>
    <w:p w14:paraId="2F2FD4CF" w14:textId="77777777" w:rsidR="00A73E61" w:rsidRPr="001E29AD" w:rsidRDefault="00A73E61" w:rsidP="00494FEB">
      <w:pPr>
        <w:spacing w:line="360" w:lineRule="auto"/>
        <w:rPr>
          <w:rFonts w:ascii="Arial" w:eastAsia="Arial" w:hAnsi="Arial" w:cs="Arial"/>
          <w:kern w:val="0"/>
          <w:sz w:val="28"/>
          <w:szCs w:val="28"/>
          <w14:ligatures w14:val="none"/>
        </w:rPr>
      </w:pPr>
    </w:p>
    <w:p w14:paraId="00641F46" w14:textId="77777777" w:rsidR="00A73E61" w:rsidRPr="001E29AD" w:rsidRDefault="00A73E61" w:rsidP="00494FEB">
      <w:pPr>
        <w:spacing w:line="360" w:lineRule="auto"/>
        <w:rPr>
          <w:rFonts w:ascii="Arial" w:eastAsia="Arial" w:hAnsi="Arial" w:cs="Arial"/>
          <w:kern w:val="0"/>
          <w:sz w:val="28"/>
          <w:szCs w:val="28"/>
          <w14:ligatures w14:val="none"/>
        </w:rPr>
      </w:pPr>
    </w:p>
    <w:p w14:paraId="47B69910" w14:textId="77777777" w:rsidR="009B7B49" w:rsidRPr="001E29AD" w:rsidRDefault="009B7B49" w:rsidP="00494FEB">
      <w:pPr>
        <w:spacing w:line="360" w:lineRule="auto"/>
        <w:rPr>
          <w:rFonts w:ascii="Arial" w:hAnsi="Arial" w:cs="Arial"/>
          <w:sz w:val="22"/>
          <w:szCs w:val="22"/>
        </w:rPr>
      </w:pPr>
    </w:p>
    <w:p w14:paraId="431AD40D" w14:textId="77777777" w:rsidR="009B7B49" w:rsidRPr="001E29AD" w:rsidRDefault="009B7B49" w:rsidP="00494FEB">
      <w:pPr>
        <w:spacing w:line="360" w:lineRule="auto"/>
        <w:rPr>
          <w:rFonts w:ascii="Arial" w:hAnsi="Arial" w:cs="Arial"/>
        </w:rPr>
      </w:pPr>
      <w:r w:rsidRPr="001E29AD">
        <w:rPr>
          <w:rFonts w:ascii="Arial" w:hAnsi="Arial" w:cs="Arial"/>
        </w:rPr>
        <w:lastRenderedPageBreak/>
        <w:t xml:space="preserve">Rapid source harvest </w:t>
      </w:r>
    </w:p>
    <w:tbl>
      <w:tblPr>
        <w:tblStyle w:val="TableGrid"/>
        <w:tblW w:w="0" w:type="auto"/>
        <w:tblInd w:w="-5" w:type="dxa"/>
        <w:tblLook w:val="04A0" w:firstRow="1" w:lastRow="0" w:firstColumn="1" w:lastColumn="0" w:noHBand="0" w:noVBand="1"/>
      </w:tblPr>
      <w:tblGrid>
        <w:gridCol w:w="1854"/>
        <w:gridCol w:w="2037"/>
        <w:gridCol w:w="1755"/>
        <w:gridCol w:w="1889"/>
        <w:gridCol w:w="1820"/>
      </w:tblGrid>
      <w:tr w:rsidR="009B7B49" w:rsidRPr="001E29AD" w14:paraId="3FA2CB86" w14:textId="77777777">
        <w:tc>
          <w:tcPr>
            <w:tcW w:w="0" w:type="auto"/>
            <w:hideMark/>
          </w:tcPr>
          <w:p w14:paraId="7745DD5F" w14:textId="77777777" w:rsidR="009B7B49" w:rsidRPr="001E29AD" w:rsidRDefault="009B7B49" w:rsidP="00494FEB">
            <w:pPr>
              <w:spacing w:line="360" w:lineRule="auto"/>
              <w:rPr>
                <w:rFonts w:ascii="Arial" w:hAnsi="Arial" w:cs="Arial"/>
              </w:rPr>
            </w:pPr>
            <w:r w:rsidRPr="001E29AD">
              <w:rPr>
                <w:rFonts w:ascii="Arial" w:hAnsi="Arial" w:cs="Arial"/>
              </w:rPr>
              <w:t>Reference</w:t>
            </w:r>
          </w:p>
        </w:tc>
        <w:tc>
          <w:tcPr>
            <w:tcW w:w="0" w:type="auto"/>
            <w:hideMark/>
          </w:tcPr>
          <w:p w14:paraId="4E4A7FDE" w14:textId="77777777" w:rsidR="009B7B49" w:rsidRPr="001E29AD" w:rsidRDefault="009B7B49" w:rsidP="00494FEB">
            <w:pPr>
              <w:spacing w:line="360" w:lineRule="auto"/>
              <w:rPr>
                <w:rFonts w:ascii="Arial" w:hAnsi="Arial" w:cs="Arial"/>
              </w:rPr>
            </w:pPr>
            <w:r w:rsidRPr="001E29AD">
              <w:rPr>
                <w:rFonts w:ascii="Arial" w:hAnsi="Arial" w:cs="Arial"/>
              </w:rPr>
              <w:t>Type</w:t>
            </w:r>
          </w:p>
        </w:tc>
        <w:tc>
          <w:tcPr>
            <w:tcW w:w="0" w:type="auto"/>
            <w:hideMark/>
          </w:tcPr>
          <w:p w14:paraId="1B185951" w14:textId="77777777" w:rsidR="009B7B49" w:rsidRPr="001E29AD" w:rsidRDefault="009B7B49" w:rsidP="00494FEB">
            <w:pPr>
              <w:spacing w:line="360" w:lineRule="auto"/>
              <w:rPr>
                <w:rFonts w:ascii="Arial" w:hAnsi="Arial" w:cs="Arial"/>
              </w:rPr>
            </w:pPr>
            <w:r w:rsidRPr="001E29AD">
              <w:rPr>
                <w:rFonts w:ascii="Arial" w:hAnsi="Arial" w:cs="Arial"/>
              </w:rPr>
              <w:t>One-line finding</w:t>
            </w:r>
          </w:p>
        </w:tc>
        <w:tc>
          <w:tcPr>
            <w:tcW w:w="0" w:type="auto"/>
            <w:hideMark/>
          </w:tcPr>
          <w:p w14:paraId="102740F6" w14:textId="77777777" w:rsidR="009B7B49" w:rsidRPr="001E29AD" w:rsidRDefault="009B7B49" w:rsidP="00494FEB">
            <w:pPr>
              <w:spacing w:line="360" w:lineRule="auto"/>
              <w:rPr>
                <w:rFonts w:ascii="Arial" w:hAnsi="Arial" w:cs="Arial"/>
              </w:rPr>
            </w:pPr>
            <w:r w:rsidRPr="001E29AD">
              <w:rPr>
                <w:rFonts w:ascii="Arial" w:hAnsi="Arial" w:cs="Arial"/>
              </w:rPr>
              <w:t>Relevance to Medicus</w:t>
            </w:r>
          </w:p>
        </w:tc>
        <w:tc>
          <w:tcPr>
            <w:tcW w:w="0" w:type="auto"/>
          </w:tcPr>
          <w:p w14:paraId="4CF3CA40" w14:textId="77777777" w:rsidR="009B7B49" w:rsidRPr="001E29AD" w:rsidRDefault="009B7B49" w:rsidP="00494FEB">
            <w:pPr>
              <w:spacing w:line="360" w:lineRule="auto"/>
              <w:rPr>
                <w:rFonts w:ascii="Arial" w:hAnsi="Arial" w:cs="Arial"/>
              </w:rPr>
            </w:pPr>
            <w:r w:rsidRPr="001E29AD">
              <w:rPr>
                <w:rFonts w:ascii="Arial" w:hAnsi="Arial" w:cs="Arial"/>
              </w:rPr>
              <w:t>Quality (justification)</w:t>
            </w:r>
          </w:p>
        </w:tc>
      </w:tr>
      <w:tr w:rsidR="009B7B49" w:rsidRPr="001E29AD" w14:paraId="0C45EFC9" w14:textId="77777777">
        <w:tc>
          <w:tcPr>
            <w:tcW w:w="0" w:type="auto"/>
            <w:hideMark/>
          </w:tcPr>
          <w:p w14:paraId="63669816"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Health Foundation (2025) Electronic patient records: why the NHS urgently needs a strategy to reap the benefits.</w:t>
            </w:r>
          </w:p>
        </w:tc>
        <w:tc>
          <w:tcPr>
            <w:tcW w:w="0" w:type="auto"/>
            <w:hideMark/>
          </w:tcPr>
          <w:p w14:paraId="71E57DF9"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Policy report</w:t>
            </w:r>
          </w:p>
        </w:tc>
        <w:tc>
          <w:tcPr>
            <w:tcW w:w="0" w:type="auto"/>
            <w:hideMark/>
          </w:tcPr>
          <w:p w14:paraId="0C1EAE93" w14:textId="04129A5B"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EPR adoption can deliver benefits but requires funded transition, </w:t>
            </w:r>
            <w:r w:rsidR="002E35D1" w:rsidRPr="001E29AD">
              <w:rPr>
                <w:rFonts w:ascii="Arial" w:hAnsi="Arial" w:cs="Arial"/>
                <w:sz w:val="20"/>
                <w:szCs w:val="20"/>
              </w:rPr>
              <w:t>assurance,</w:t>
            </w:r>
            <w:r w:rsidRPr="001E29AD">
              <w:rPr>
                <w:rFonts w:ascii="Arial" w:hAnsi="Arial" w:cs="Arial"/>
                <w:sz w:val="20"/>
                <w:szCs w:val="20"/>
              </w:rPr>
              <w:t xml:space="preserve"> and national strategy to realise value.</w:t>
            </w:r>
          </w:p>
        </w:tc>
        <w:tc>
          <w:tcPr>
            <w:tcW w:w="0" w:type="auto"/>
            <w:hideMark/>
          </w:tcPr>
          <w:p w14:paraId="101BED49" w14:textId="434BD3F2"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Indicates need to quantify transition costs, </w:t>
            </w:r>
            <w:r w:rsidR="002E35D1" w:rsidRPr="001E29AD">
              <w:rPr>
                <w:rFonts w:ascii="Arial" w:hAnsi="Arial" w:cs="Arial"/>
                <w:sz w:val="20"/>
                <w:szCs w:val="20"/>
              </w:rPr>
              <w:t>funding,</w:t>
            </w:r>
            <w:r w:rsidRPr="001E29AD">
              <w:rPr>
                <w:rFonts w:ascii="Arial" w:hAnsi="Arial" w:cs="Arial"/>
                <w:sz w:val="20"/>
                <w:szCs w:val="20"/>
              </w:rPr>
              <w:t xml:space="preserve"> and assurance requirements for Medicus.</w:t>
            </w:r>
          </w:p>
        </w:tc>
        <w:tc>
          <w:tcPr>
            <w:tcW w:w="0" w:type="auto"/>
          </w:tcPr>
          <w:p w14:paraId="1A6ABF9F"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Medium (policy synthesis; limited primary data)</w:t>
            </w:r>
          </w:p>
        </w:tc>
      </w:tr>
      <w:tr w:rsidR="009B7B49" w:rsidRPr="001E29AD" w14:paraId="003BBDBB" w14:textId="77777777">
        <w:tc>
          <w:tcPr>
            <w:tcW w:w="0" w:type="auto"/>
            <w:hideMark/>
          </w:tcPr>
          <w:p w14:paraId="720CAE42"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HFMA (2025) Implementing an electronic patient record: briefing and case studies.</w:t>
            </w:r>
          </w:p>
        </w:tc>
        <w:tc>
          <w:tcPr>
            <w:tcW w:w="0" w:type="auto"/>
            <w:hideMark/>
          </w:tcPr>
          <w:p w14:paraId="6B861BAD"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Policy/case studies</w:t>
            </w:r>
          </w:p>
        </w:tc>
        <w:tc>
          <w:tcPr>
            <w:tcW w:w="0" w:type="auto"/>
            <w:hideMark/>
          </w:tcPr>
          <w:p w14:paraId="12E0A5E0"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Financial and operational implications vary; clear business case and phasing mitigate risk.</w:t>
            </w:r>
          </w:p>
        </w:tc>
        <w:tc>
          <w:tcPr>
            <w:tcW w:w="0" w:type="auto"/>
            <w:hideMark/>
          </w:tcPr>
          <w:p w14:paraId="4F4836C0"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Guides financial and rollout KPIs and prompts TCO and phasing checks for Medicus.</w:t>
            </w:r>
          </w:p>
        </w:tc>
        <w:tc>
          <w:tcPr>
            <w:tcW w:w="0" w:type="auto"/>
          </w:tcPr>
          <w:p w14:paraId="20693C51"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Medium (case studies; pragmatic but not generalisable)</w:t>
            </w:r>
          </w:p>
        </w:tc>
      </w:tr>
      <w:tr w:rsidR="009B7B49" w:rsidRPr="001E29AD" w14:paraId="6F040573" w14:textId="77777777">
        <w:tc>
          <w:tcPr>
            <w:tcW w:w="0" w:type="auto"/>
            <w:hideMark/>
          </w:tcPr>
          <w:p w14:paraId="0EEA5B4B"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NHS Confederation (2024) How ICSs are using digital innovation – four case studies.</w:t>
            </w:r>
          </w:p>
        </w:tc>
        <w:tc>
          <w:tcPr>
            <w:tcW w:w="0" w:type="auto"/>
            <w:hideMark/>
          </w:tcPr>
          <w:p w14:paraId="4FBD141A"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Policy case studies</w:t>
            </w:r>
          </w:p>
        </w:tc>
        <w:tc>
          <w:tcPr>
            <w:tcW w:w="0" w:type="auto"/>
            <w:hideMark/>
          </w:tcPr>
          <w:p w14:paraId="23B91912"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Local digital innovation succeeds when interoperability, leadership and inclusion are prioritised.</w:t>
            </w:r>
          </w:p>
        </w:tc>
        <w:tc>
          <w:tcPr>
            <w:tcW w:w="0" w:type="auto"/>
            <w:hideMark/>
          </w:tcPr>
          <w:p w14:paraId="0F039B9D"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Informs local system engagement and interoperability expectations for Medicus deployments.</w:t>
            </w:r>
          </w:p>
        </w:tc>
        <w:tc>
          <w:tcPr>
            <w:tcW w:w="0" w:type="auto"/>
          </w:tcPr>
          <w:p w14:paraId="187581DF"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Medium (practical case examples; context dependent)</w:t>
            </w:r>
          </w:p>
        </w:tc>
      </w:tr>
      <w:tr w:rsidR="009B7B49" w:rsidRPr="001E29AD" w14:paraId="7BE8B33B" w14:textId="77777777">
        <w:tc>
          <w:tcPr>
            <w:tcW w:w="0" w:type="auto"/>
            <w:hideMark/>
          </w:tcPr>
          <w:p w14:paraId="08520AE3"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Ratwani, R. M., et al. (2017) Mind the gap: usability and safety challenges during EHR implementation.</w:t>
            </w:r>
          </w:p>
        </w:tc>
        <w:tc>
          <w:tcPr>
            <w:tcW w:w="0" w:type="auto"/>
            <w:hideMark/>
          </w:tcPr>
          <w:p w14:paraId="4E784E8D"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Systematic review</w:t>
            </w:r>
          </w:p>
        </w:tc>
        <w:tc>
          <w:tcPr>
            <w:tcW w:w="0" w:type="auto"/>
            <w:hideMark/>
          </w:tcPr>
          <w:p w14:paraId="786A57E1"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Usability problems during rollouts create safety risks and workflow disruption without mitigation.</w:t>
            </w:r>
          </w:p>
        </w:tc>
        <w:tc>
          <w:tcPr>
            <w:tcW w:w="0" w:type="auto"/>
            <w:hideMark/>
          </w:tcPr>
          <w:p w14:paraId="22BA38B8" w14:textId="2B4388DE"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Supports need to assess Medicus usability, safety </w:t>
            </w:r>
            <w:r w:rsidR="002E35D1" w:rsidRPr="001E29AD">
              <w:rPr>
                <w:rFonts w:ascii="Arial" w:hAnsi="Arial" w:cs="Arial"/>
                <w:sz w:val="20"/>
                <w:szCs w:val="20"/>
              </w:rPr>
              <w:t>incidents,</w:t>
            </w:r>
            <w:r w:rsidRPr="001E29AD">
              <w:rPr>
                <w:rFonts w:ascii="Arial" w:hAnsi="Arial" w:cs="Arial"/>
                <w:sz w:val="20"/>
                <w:szCs w:val="20"/>
              </w:rPr>
              <w:t xml:space="preserve"> and mitigation plans.</w:t>
            </w:r>
          </w:p>
        </w:tc>
        <w:tc>
          <w:tcPr>
            <w:tcW w:w="0" w:type="auto"/>
          </w:tcPr>
          <w:p w14:paraId="5D1EA68F"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High (systematic synthesis of safety/usability evidence)</w:t>
            </w:r>
          </w:p>
        </w:tc>
      </w:tr>
      <w:tr w:rsidR="009B7B49" w:rsidRPr="001E29AD" w14:paraId="02AE7CEB" w14:textId="77777777">
        <w:tc>
          <w:tcPr>
            <w:tcW w:w="0" w:type="auto"/>
            <w:hideMark/>
          </w:tcPr>
          <w:p w14:paraId="2930E53B"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Greenhalgh, T., et al. (2020) Beyond </w:t>
            </w:r>
            <w:r w:rsidRPr="001E29AD">
              <w:rPr>
                <w:rFonts w:ascii="Arial" w:hAnsi="Arial" w:cs="Arial"/>
                <w:sz w:val="20"/>
                <w:szCs w:val="20"/>
              </w:rPr>
              <w:lastRenderedPageBreak/>
              <w:t>adoption: evaluating scale-up and sustainability of health technologies.</w:t>
            </w:r>
          </w:p>
        </w:tc>
        <w:tc>
          <w:tcPr>
            <w:tcW w:w="0" w:type="auto"/>
            <w:hideMark/>
          </w:tcPr>
          <w:p w14:paraId="53D6D994"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Systematic review / framework</w:t>
            </w:r>
          </w:p>
        </w:tc>
        <w:tc>
          <w:tcPr>
            <w:tcW w:w="0" w:type="auto"/>
            <w:hideMark/>
          </w:tcPr>
          <w:p w14:paraId="7465F81A" w14:textId="3FD49A3D"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Scale and sustainability </w:t>
            </w:r>
            <w:r w:rsidRPr="001E29AD">
              <w:rPr>
                <w:rFonts w:ascii="Arial" w:hAnsi="Arial" w:cs="Arial"/>
                <w:sz w:val="20"/>
                <w:szCs w:val="20"/>
              </w:rPr>
              <w:lastRenderedPageBreak/>
              <w:t xml:space="preserve">depend on context, configuration, continuous </w:t>
            </w:r>
            <w:r w:rsidR="002E35D1" w:rsidRPr="001E29AD">
              <w:rPr>
                <w:rFonts w:ascii="Arial" w:hAnsi="Arial" w:cs="Arial"/>
                <w:sz w:val="20"/>
                <w:szCs w:val="20"/>
              </w:rPr>
              <w:t>learning,</w:t>
            </w:r>
            <w:r w:rsidRPr="001E29AD">
              <w:rPr>
                <w:rFonts w:ascii="Arial" w:hAnsi="Arial" w:cs="Arial"/>
                <w:sz w:val="20"/>
                <w:szCs w:val="20"/>
              </w:rPr>
              <w:t xml:space="preserve"> and governance.</w:t>
            </w:r>
          </w:p>
        </w:tc>
        <w:tc>
          <w:tcPr>
            <w:tcW w:w="0" w:type="auto"/>
            <w:hideMark/>
          </w:tcPr>
          <w:p w14:paraId="06EBE886"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 xml:space="preserve">Offers evaluation framework and </w:t>
            </w:r>
            <w:r w:rsidRPr="001E29AD">
              <w:rPr>
                <w:rFonts w:ascii="Arial" w:hAnsi="Arial" w:cs="Arial"/>
                <w:sz w:val="20"/>
                <w:szCs w:val="20"/>
              </w:rPr>
              <w:lastRenderedPageBreak/>
              <w:t>sustainability metrics to apply to Medicus.</w:t>
            </w:r>
          </w:p>
        </w:tc>
        <w:tc>
          <w:tcPr>
            <w:tcW w:w="0" w:type="auto"/>
          </w:tcPr>
          <w:p w14:paraId="2343FF86"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 xml:space="preserve">High (robust framework widely </w:t>
            </w:r>
            <w:r w:rsidRPr="001E29AD">
              <w:rPr>
                <w:rFonts w:ascii="Arial" w:hAnsi="Arial" w:cs="Arial"/>
                <w:sz w:val="20"/>
                <w:szCs w:val="20"/>
              </w:rPr>
              <w:lastRenderedPageBreak/>
              <w:t>used in implementation research)</w:t>
            </w:r>
          </w:p>
        </w:tc>
      </w:tr>
      <w:tr w:rsidR="009B7B49" w:rsidRPr="001E29AD" w14:paraId="1BBA6236" w14:textId="77777777">
        <w:tc>
          <w:tcPr>
            <w:tcW w:w="0" w:type="auto"/>
            <w:hideMark/>
          </w:tcPr>
          <w:p w14:paraId="7AFAF08D"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Payne, T. H., et al. (2021) Clinical decision support and medication safety: a review of the evidence.</w:t>
            </w:r>
          </w:p>
        </w:tc>
        <w:tc>
          <w:tcPr>
            <w:tcW w:w="0" w:type="auto"/>
            <w:hideMark/>
          </w:tcPr>
          <w:p w14:paraId="07EB3F60"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Systematic review</w:t>
            </w:r>
          </w:p>
        </w:tc>
        <w:tc>
          <w:tcPr>
            <w:tcW w:w="0" w:type="auto"/>
            <w:hideMark/>
          </w:tcPr>
          <w:p w14:paraId="66EAEA83"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CDS can reduce prescribing errors but is sensitive to alert design, tuning and clinician engagement.</w:t>
            </w:r>
          </w:p>
        </w:tc>
        <w:tc>
          <w:tcPr>
            <w:tcW w:w="0" w:type="auto"/>
            <w:hideMark/>
          </w:tcPr>
          <w:p w14:paraId="5D339CF9"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Directly relevant to Medicus’s FDB Multilex CDS; informs measures of alert specificity and override rates.</w:t>
            </w:r>
          </w:p>
        </w:tc>
        <w:tc>
          <w:tcPr>
            <w:tcW w:w="0" w:type="auto"/>
          </w:tcPr>
          <w:p w14:paraId="2019E030"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High (focused synthesis on CDS effectiveness and harms)</w:t>
            </w:r>
          </w:p>
        </w:tc>
      </w:tr>
      <w:tr w:rsidR="009B7B49" w:rsidRPr="001E29AD" w14:paraId="7B455F7D" w14:textId="77777777">
        <w:tc>
          <w:tcPr>
            <w:tcW w:w="0" w:type="auto"/>
            <w:hideMark/>
          </w:tcPr>
          <w:p w14:paraId="5856841D"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Finnegan, H. &amp; Mountford, N. (2025) 25 years of EHR implementation processes: scoping review.</w:t>
            </w:r>
          </w:p>
        </w:tc>
        <w:tc>
          <w:tcPr>
            <w:tcW w:w="0" w:type="auto"/>
            <w:hideMark/>
          </w:tcPr>
          <w:p w14:paraId="0A1725DA"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Systematic review</w:t>
            </w:r>
          </w:p>
        </w:tc>
        <w:tc>
          <w:tcPr>
            <w:tcW w:w="0" w:type="auto"/>
            <w:hideMark/>
          </w:tcPr>
          <w:p w14:paraId="3513E374" w14:textId="0AB3BCEB"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Longitudinal lessons show predictable transition phases, common </w:t>
            </w:r>
            <w:r w:rsidR="002E35D1" w:rsidRPr="001E29AD">
              <w:rPr>
                <w:rFonts w:ascii="Arial" w:hAnsi="Arial" w:cs="Arial"/>
                <w:sz w:val="20"/>
                <w:szCs w:val="20"/>
              </w:rPr>
              <w:t>pitfalls,</w:t>
            </w:r>
            <w:r w:rsidRPr="001E29AD">
              <w:rPr>
                <w:rFonts w:ascii="Arial" w:hAnsi="Arial" w:cs="Arial"/>
                <w:sz w:val="20"/>
                <w:szCs w:val="20"/>
              </w:rPr>
              <w:t xml:space="preserve"> and importance of training.</w:t>
            </w:r>
          </w:p>
        </w:tc>
        <w:tc>
          <w:tcPr>
            <w:tcW w:w="0" w:type="auto"/>
            <w:hideMark/>
          </w:tcPr>
          <w:p w14:paraId="5709A903"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Helps define training hours, phased milestones and expected productivity dips for Medicus rollout.</w:t>
            </w:r>
          </w:p>
        </w:tc>
        <w:tc>
          <w:tcPr>
            <w:tcW w:w="0" w:type="auto"/>
          </w:tcPr>
          <w:p w14:paraId="28A5CA0F"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Medium (scoping review; recent synthesis of implementation lessons)</w:t>
            </w:r>
          </w:p>
        </w:tc>
      </w:tr>
      <w:tr w:rsidR="009B7B49" w:rsidRPr="001E29AD" w14:paraId="56C89089" w14:textId="77777777">
        <w:tc>
          <w:tcPr>
            <w:tcW w:w="0" w:type="auto"/>
            <w:hideMark/>
          </w:tcPr>
          <w:p w14:paraId="2F6D2789" w14:textId="0C3A0572"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Burns, M. (2024) </w:t>
            </w:r>
            <w:r w:rsidR="002E35D1" w:rsidRPr="001E29AD">
              <w:rPr>
                <w:rFonts w:ascii="Arial" w:hAnsi="Arial" w:cs="Arial"/>
                <w:sz w:val="20"/>
                <w:szCs w:val="20"/>
              </w:rPr>
              <w:t>Challenges,</w:t>
            </w:r>
            <w:r w:rsidRPr="001E29AD">
              <w:rPr>
                <w:rFonts w:ascii="Arial" w:hAnsi="Arial" w:cs="Arial"/>
                <w:sz w:val="20"/>
                <w:szCs w:val="20"/>
              </w:rPr>
              <w:t xml:space="preserve"> and successes implementing HIVE at Manchester University NHS FT.</w:t>
            </w:r>
          </w:p>
        </w:tc>
        <w:tc>
          <w:tcPr>
            <w:tcW w:w="0" w:type="auto"/>
            <w:hideMark/>
          </w:tcPr>
          <w:p w14:paraId="0992869E"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UK empirical paper</w:t>
            </w:r>
          </w:p>
        </w:tc>
        <w:tc>
          <w:tcPr>
            <w:tcW w:w="0" w:type="auto"/>
            <w:hideMark/>
          </w:tcPr>
          <w:p w14:paraId="554318B0" w14:textId="11D501AD"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Large integrated EPR rollout required intensive local configuration, staff </w:t>
            </w:r>
            <w:r w:rsidR="002E35D1" w:rsidRPr="001E29AD">
              <w:rPr>
                <w:rFonts w:ascii="Arial" w:hAnsi="Arial" w:cs="Arial"/>
                <w:sz w:val="20"/>
                <w:szCs w:val="20"/>
              </w:rPr>
              <w:t>training,</w:t>
            </w:r>
            <w:r w:rsidRPr="001E29AD">
              <w:rPr>
                <w:rFonts w:ascii="Arial" w:hAnsi="Arial" w:cs="Arial"/>
                <w:sz w:val="20"/>
                <w:szCs w:val="20"/>
              </w:rPr>
              <w:t xml:space="preserve"> and iterative fixes.</w:t>
            </w:r>
          </w:p>
        </w:tc>
        <w:tc>
          <w:tcPr>
            <w:tcW w:w="0" w:type="auto"/>
            <w:hideMark/>
          </w:tcPr>
          <w:p w14:paraId="0A17081C" w14:textId="5F861CE8"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Serves as a comparator for scale, configuration </w:t>
            </w:r>
            <w:r w:rsidR="002E35D1" w:rsidRPr="001E29AD">
              <w:rPr>
                <w:rFonts w:ascii="Arial" w:hAnsi="Arial" w:cs="Arial"/>
                <w:sz w:val="20"/>
                <w:szCs w:val="20"/>
              </w:rPr>
              <w:t>workload,</w:t>
            </w:r>
            <w:r w:rsidRPr="001E29AD">
              <w:rPr>
                <w:rFonts w:ascii="Arial" w:hAnsi="Arial" w:cs="Arial"/>
                <w:sz w:val="20"/>
                <w:szCs w:val="20"/>
              </w:rPr>
              <w:t xml:space="preserve"> and support needs for Medicus in early sites.</w:t>
            </w:r>
          </w:p>
        </w:tc>
        <w:tc>
          <w:tcPr>
            <w:tcW w:w="0" w:type="auto"/>
          </w:tcPr>
          <w:p w14:paraId="309ECA6D"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Medium (single large-site evaluation; useful but context-specific)</w:t>
            </w:r>
          </w:p>
        </w:tc>
      </w:tr>
      <w:tr w:rsidR="009B7B49" w:rsidRPr="001E29AD" w14:paraId="25CB3A55" w14:textId="77777777">
        <w:tc>
          <w:tcPr>
            <w:tcW w:w="0" w:type="auto"/>
            <w:hideMark/>
          </w:tcPr>
          <w:p w14:paraId="675DC8E9"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Poduval, S., et al. (2025) Do community-based digital health inclusion programmes </w:t>
            </w:r>
            <w:r w:rsidRPr="001E29AD">
              <w:rPr>
                <w:rFonts w:ascii="Arial" w:hAnsi="Arial" w:cs="Arial"/>
                <w:sz w:val="20"/>
                <w:szCs w:val="20"/>
              </w:rPr>
              <w:lastRenderedPageBreak/>
              <w:t>tackle inequalities?</w:t>
            </w:r>
          </w:p>
        </w:tc>
        <w:tc>
          <w:tcPr>
            <w:tcW w:w="0" w:type="auto"/>
            <w:hideMark/>
          </w:tcPr>
          <w:p w14:paraId="13F17720"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UK empirical paper</w:t>
            </w:r>
          </w:p>
        </w:tc>
        <w:tc>
          <w:tcPr>
            <w:tcW w:w="0" w:type="auto"/>
            <w:hideMark/>
          </w:tcPr>
          <w:p w14:paraId="3173D05B"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Targeted inclusion programmes improve access but need sustained </w:t>
            </w:r>
            <w:r w:rsidRPr="001E29AD">
              <w:rPr>
                <w:rFonts w:ascii="Arial" w:hAnsi="Arial" w:cs="Arial"/>
                <w:sz w:val="20"/>
                <w:szCs w:val="20"/>
              </w:rPr>
              <w:lastRenderedPageBreak/>
              <w:t>funding and mixed channels.</w:t>
            </w:r>
          </w:p>
        </w:tc>
        <w:tc>
          <w:tcPr>
            <w:tcW w:w="0" w:type="auto"/>
            <w:hideMark/>
          </w:tcPr>
          <w:p w14:paraId="430D02B5"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Informs assisted-digital and equity mitigation strategies for Medicus patient-facing services.</w:t>
            </w:r>
          </w:p>
        </w:tc>
        <w:tc>
          <w:tcPr>
            <w:tcW w:w="0" w:type="auto"/>
          </w:tcPr>
          <w:p w14:paraId="652DB6D0"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Medium (empirical, policy-relevant; funding realism limits scale-up)</w:t>
            </w:r>
          </w:p>
        </w:tc>
      </w:tr>
      <w:tr w:rsidR="009B7B49" w:rsidRPr="001E29AD" w14:paraId="68D325EA" w14:textId="77777777">
        <w:tc>
          <w:tcPr>
            <w:tcW w:w="0" w:type="auto"/>
            <w:hideMark/>
          </w:tcPr>
          <w:p w14:paraId="00899085"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Baines, R., et al. (2022) Digital primary care and effects on access and inequalities.</w:t>
            </w:r>
          </w:p>
        </w:tc>
        <w:tc>
          <w:tcPr>
            <w:tcW w:w="0" w:type="auto"/>
            <w:hideMark/>
          </w:tcPr>
          <w:p w14:paraId="3879F64A"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UK empirical paper</w:t>
            </w:r>
          </w:p>
        </w:tc>
        <w:tc>
          <w:tcPr>
            <w:tcW w:w="0" w:type="auto"/>
            <w:hideMark/>
          </w:tcPr>
          <w:p w14:paraId="39EA42A9"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Digital-first services can improve access for some but widen inequities without safeguards.</w:t>
            </w:r>
          </w:p>
        </w:tc>
        <w:tc>
          <w:tcPr>
            <w:tcW w:w="0" w:type="auto"/>
            <w:hideMark/>
          </w:tcPr>
          <w:p w14:paraId="6B0C2129"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Supports stratified uptake measurement and inclusion requirements for Medicus implementations.</w:t>
            </w:r>
          </w:p>
        </w:tc>
        <w:tc>
          <w:tcPr>
            <w:tcW w:w="0" w:type="auto"/>
          </w:tcPr>
          <w:p w14:paraId="4B6124F2"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Medium (empirical; highlights equity trade-offs)</w:t>
            </w:r>
          </w:p>
        </w:tc>
      </w:tr>
      <w:tr w:rsidR="009B7B49" w:rsidRPr="001E29AD" w14:paraId="2F561BB1" w14:textId="77777777">
        <w:tc>
          <w:tcPr>
            <w:tcW w:w="0" w:type="auto"/>
            <w:hideMark/>
          </w:tcPr>
          <w:p w14:paraId="07625F39"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Burns, A. (2024) Electronic health record implementations in UK primary care: lessons for training and deployment.</w:t>
            </w:r>
          </w:p>
        </w:tc>
        <w:tc>
          <w:tcPr>
            <w:tcW w:w="0" w:type="auto"/>
            <w:hideMark/>
          </w:tcPr>
          <w:p w14:paraId="63EBBFAF"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UK empirical paper</w:t>
            </w:r>
          </w:p>
        </w:tc>
        <w:tc>
          <w:tcPr>
            <w:tcW w:w="0" w:type="auto"/>
            <w:hideMark/>
          </w:tcPr>
          <w:p w14:paraId="66257C55"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Protected learning time and super</w:t>
            </w:r>
            <w:r w:rsidRPr="001E29AD">
              <w:rPr>
                <w:rFonts w:ascii="Arial" w:hAnsi="Arial" w:cs="Arial"/>
                <w:sz w:val="20"/>
                <w:szCs w:val="20"/>
              </w:rPr>
              <w:noBreakHyphen/>
              <w:t>user models reduce disruption and improve uptake.</w:t>
            </w:r>
          </w:p>
        </w:tc>
        <w:tc>
          <w:tcPr>
            <w:tcW w:w="0" w:type="auto"/>
            <w:hideMark/>
          </w:tcPr>
          <w:p w14:paraId="471FA7F6"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Guides workforce training model and super</w:t>
            </w:r>
            <w:r w:rsidRPr="001E29AD">
              <w:rPr>
                <w:rFonts w:ascii="Arial" w:hAnsi="Arial" w:cs="Arial"/>
                <w:sz w:val="20"/>
                <w:szCs w:val="20"/>
              </w:rPr>
              <w:noBreakHyphen/>
              <w:t>user metrics to evaluate Medicus adoption.</w:t>
            </w:r>
          </w:p>
        </w:tc>
        <w:tc>
          <w:tcPr>
            <w:tcW w:w="0" w:type="auto"/>
          </w:tcPr>
          <w:p w14:paraId="247B7577"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Medium (implementation-focused; practical evidence)</w:t>
            </w:r>
          </w:p>
        </w:tc>
      </w:tr>
      <w:tr w:rsidR="009B7B49" w:rsidRPr="001E29AD" w14:paraId="5D9A2FFD" w14:textId="77777777">
        <w:tc>
          <w:tcPr>
            <w:tcW w:w="0" w:type="auto"/>
            <w:hideMark/>
          </w:tcPr>
          <w:p w14:paraId="15711764"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Information Commissioner’s Office (2025) Data Protection Act 2018 guidance.</w:t>
            </w:r>
          </w:p>
        </w:tc>
        <w:tc>
          <w:tcPr>
            <w:tcW w:w="0" w:type="auto"/>
            <w:hideMark/>
          </w:tcPr>
          <w:p w14:paraId="2E9B12BF"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Guidance/regulatory</w:t>
            </w:r>
          </w:p>
        </w:tc>
        <w:tc>
          <w:tcPr>
            <w:tcW w:w="0" w:type="auto"/>
            <w:hideMark/>
          </w:tcPr>
          <w:p w14:paraId="0E2B04CD" w14:textId="3ACA2B79"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Cloud services must satisfy data protection, contractual </w:t>
            </w:r>
            <w:r w:rsidR="002E35D1" w:rsidRPr="001E29AD">
              <w:rPr>
                <w:rFonts w:ascii="Arial" w:hAnsi="Arial" w:cs="Arial"/>
                <w:sz w:val="20"/>
                <w:szCs w:val="20"/>
              </w:rPr>
              <w:t>controls,</w:t>
            </w:r>
            <w:r w:rsidRPr="001E29AD">
              <w:rPr>
                <w:rFonts w:ascii="Arial" w:hAnsi="Arial" w:cs="Arial"/>
                <w:sz w:val="20"/>
                <w:szCs w:val="20"/>
              </w:rPr>
              <w:t xml:space="preserve"> and transparent processing obligations.</w:t>
            </w:r>
          </w:p>
        </w:tc>
        <w:tc>
          <w:tcPr>
            <w:tcW w:w="0" w:type="auto"/>
            <w:hideMark/>
          </w:tcPr>
          <w:p w14:paraId="2363F707"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Sets minimum contractual and audit evidence to request from Medicus vendor.</w:t>
            </w:r>
          </w:p>
        </w:tc>
        <w:tc>
          <w:tcPr>
            <w:tcW w:w="0" w:type="auto"/>
          </w:tcPr>
          <w:p w14:paraId="4D08971E"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High (regulatory guidance; legally authoritative)</w:t>
            </w:r>
          </w:p>
        </w:tc>
      </w:tr>
      <w:tr w:rsidR="009B7B49" w:rsidRPr="001E29AD" w14:paraId="7EA4B7F1" w14:textId="77777777">
        <w:tc>
          <w:tcPr>
            <w:tcW w:w="0" w:type="auto"/>
            <w:hideMark/>
          </w:tcPr>
          <w:p w14:paraId="7F2FF1CB"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NHS England (2023) Primary care digital services strategy / Purpose of the GP EHR (2025)</w:t>
            </w:r>
          </w:p>
        </w:tc>
        <w:tc>
          <w:tcPr>
            <w:tcW w:w="0" w:type="auto"/>
            <w:hideMark/>
          </w:tcPr>
          <w:p w14:paraId="6D5C06BC"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Guidance/policy</w:t>
            </w:r>
          </w:p>
        </w:tc>
        <w:tc>
          <w:tcPr>
            <w:tcW w:w="0" w:type="auto"/>
            <w:hideMark/>
          </w:tcPr>
          <w:p w14:paraId="7E7B3C3A" w14:textId="70D79E22"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National interoperability and assurance expectations require APIs, coded </w:t>
            </w:r>
            <w:r w:rsidR="002E35D1" w:rsidRPr="001E29AD">
              <w:rPr>
                <w:rFonts w:ascii="Arial" w:hAnsi="Arial" w:cs="Arial"/>
                <w:sz w:val="20"/>
                <w:szCs w:val="20"/>
              </w:rPr>
              <w:t>terminologies,</w:t>
            </w:r>
            <w:r w:rsidRPr="001E29AD">
              <w:rPr>
                <w:rFonts w:ascii="Arial" w:hAnsi="Arial" w:cs="Arial"/>
                <w:sz w:val="20"/>
                <w:szCs w:val="20"/>
              </w:rPr>
              <w:t xml:space="preserve"> and testing.</w:t>
            </w:r>
          </w:p>
        </w:tc>
        <w:tc>
          <w:tcPr>
            <w:tcW w:w="0" w:type="auto"/>
            <w:hideMark/>
          </w:tcPr>
          <w:p w14:paraId="58C2667E" w14:textId="680ED520"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Frames interoperability tests (EPS, SCR, referrals) and conformance </w:t>
            </w:r>
            <w:r w:rsidR="00FF4009" w:rsidRPr="001E29AD">
              <w:rPr>
                <w:rFonts w:ascii="Arial" w:hAnsi="Arial" w:cs="Arial"/>
                <w:sz w:val="20"/>
                <w:szCs w:val="20"/>
              </w:rPr>
              <w:t>check</w:t>
            </w:r>
            <w:r w:rsidRPr="001E29AD">
              <w:rPr>
                <w:rFonts w:ascii="Arial" w:hAnsi="Arial" w:cs="Arial"/>
                <w:sz w:val="20"/>
                <w:szCs w:val="20"/>
              </w:rPr>
              <w:t xml:space="preserve"> for Medicus.</w:t>
            </w:r>
          </w:p>
        </w:tc>
        <w:tc>
          <w:tcPr>
            <w:tcW w:w="0" w:type="auto"/>
          </w:tcPr>
          <w:p w14:paraId="34E2DF7E"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High (national policy / technical expectations)</w:t>
            </w:r>
          </w:p>
        </w:tc>
      </w:tr>
      <w:tr w:rsidR="009B7B49" w:rsidRPr="001E29AD" w14:paraId="44C43F33" w14:textId="77777777">
        <w:tc>
          <w:tcPr>
            <w:tcW w:w="0" w:type="auto"/>
            <w:hideMark/>
          </w:tcPr>
          <w:p w14:paraId="10318A38"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 xml:space="preserve">Medicus Health (2025) Medicus — product and </w:t>
            </w:r>
            <w:r w:rsidRPr="001E29AD">
              <w:rPr>
                <w:rFonts w:ascii="Arial" w:hAnsi="Arial" w:cs="Arial"/>
                <w:sz w:val="20"/>
                <w:szCs w:val="20"/>
              </w:rPr>
              <w:lastRenderedPageBreak/>
              <w:t>solutions; Medicus marketing materials (2025).</w:t>
            </w:r>
          </w:p>
        </w:tc>
        <w:tc>
          <w:tcPr>
            <w:tcW w:w="0" w:type="auto"/>
            <w:hideMark/>
          </w:tcPr>
          <w:p w14:paraId="57904EF3"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Vendor/technical spec</w:t>
            </w:r>
          </w:p>
        </w:tc>
        <w:tc>
          <w:tcPr>
            <w:tcW w:w="0" w:type="auto"/>
            <w:hideMark/>
          </w:tcPr>
          <w:p w14:paraId="56319A7D" w14:textId="7B30C283"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Claims cloud</w:t>
            </w:r>
            <w:r w:rsidRPr="001E29AD">
              <w:rPr>
                <w:rFonts w:ascii="Arial" w:hAnsi="Arial" w:cs="Arial"/>
                <w:sz w:val="20"/>
                <w:szCs w:val="20"/>
              </w:rPr>
              <w:noBreakHyphen/>
              <w:t xml:space="preserve">native architecture, </w:t>
            </w:r>
            <w:r w:rsidRPr="001E29AD">
              <w:rPr>
                <w:rFonts w:ascii="Arial" w:hAnsi="Arial" w:cs="Arial"/>
                <w:sz w:val="20"/>
                <w:szCs w:val="20"/>
              </w:rPr>
              <w:lastRenderedPageBreak/>
              <w:t xml:space="preserve">FDB Multilex integration, modular web </w:t>
            </w:r>
            <w:r w:rsidR="002E35D1" w:rsidRPr="001E29AD">
              <w:rPr>
                <w:rFonts w:ascii="Arial" w:hAnsi="Arial" w:cs="Arial"/>
                <w:sz w:val="20"/>
                <w:szCs w:val="20"/>
              </w:rPr>
              <w:t>access,</w:t>
            </w:r>
            <w:r w:rsidRPr="001E29AD">
              <w:rPr>
                <w:rFonts w:ascii="Arial" w:hAnsi="Arial" w:cs="Arial"/>
                <w:sz w:val="20"/>
                <w:szCs w:val="20"/>
              </w:rPr>
              <w:t xml:space="preserve"> and NHS innovation approval.</w:t>
            </w:r>
          </w:p>
        </w:tc>
        <w:tc>
          <w:tcPr>
            <w:tcW w:w="0" w:type="auto"/>
            <w:hideMark/>
          </w:tcPr>
          <w:p w14:paraId="4800A1EC" w14:textId="2156ED3B"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 xml:space="preserve">Primary source of product claims to triangulate with </w:t>
            </w:r>
            <w:r w:rsidRPr="001E29AD">
              <w:rPr>
                <w:rFonts w:ascii="Arial" w:hAnsi="Arial" w:cs="Arial"/>
                <w:sz w:val="20"/>
                <w:szCs w:val="20"/>
              </w:rPr>
              <w:lastRenderedPageBreak/>
              <w:t xml:space="preserve">independent evidence, </w:t>
            </w:r>
            <w:r w:rsidR="002E35D1" w:rsidRPr="001E29AD">
              <w:rPr>
                <w:rFonts w:ascii="Arial" w:hAnsi="Arial" w:cs="Arial"/>
                <w:sz w:val="20"/>
                <w:szCs w:val="20"/>
              </w:rPr>
              <w:t>SLAs,</w:t>
            </w:r>
            <w:r w:rsidRPr="001E29AD">
              <w:rPr>
                <w:rFonts w:ascii="Arial" w:hAnsi="Arial" w:cs="Arial"/>
                <w:sz w:val="20"/>
                <w:szCs w:val="20"/>
              </w:rPr>
              <w:t xml:space="preserve"> and audit artefacts.</w:t>
            </w:r>
          </w:p>
        </w:tc>
        <w:tc>
          <w:tcPr>
            <w:tcW w:w="0" w:type="auto"/>
          </w:tcPr>
          <w:p w14:paraId="5B50C5E1"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 xml:space="preserve">Low (vendor claim; requires </w:t>
            </w:r>
            <w:r w:rsidRPr="001E29AD">
              <w:rPr>
                <w:rFonts w:ascii="Arial" w:hAnsi="Arial" w:cs="Arial"/>
                <w:sz w:val="20"/>
                <w:szCs w:val="20"/>
              </w:rPr>
              <w:lastRenderedPageBreak/>
              <w:t>independent verification)</w:t>
            </w:r>
          </w:p>
        </w:tc>
      </w:tr>
      <w:tr w:rsidR="009B7B49" w:rsidRPr="001E29AD" w14:paraId="4EED63B3" w14:textId="77777777">
        <w:tc>
          <w:tcPr>
            <w:tcW w:w="0" w:type="auto"/>
            <w:hideMark/>
          </w:tcPr>
          <w:p w14:paraId="37B96809"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lastRenderedPageBreak/>
              <w:t>First Databank (FDB) (2025) New GP solution, Medicus, integrates FDB Multilex.</w:t>
            </w:r>
          </w:p>
        </w:tc>
        <w:tc>
          <w:tcPr>
            <w:tcW w:w="0" w:type="auto"/>
            <w:hideMark/>
          </w:tcPr>
          <w:p w14:paraId="5ED8F94F"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Vendor technical note</w:t>
            </w:r>
          </w:p>
        </w:tc>
        <w:tc>
          <w:tcPr>
            <w:tcW w:w="0" w:type="auto"/>
            <w:hideMark/>
          </w:tcPr>
          <w:p w14:paraId="44E135F3"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Confirms integration with FDB Multilex for context</w:t>
            </w:r>
            <w:r w:rsidRPr="001E29AD">
              <w:rPr>
                <w:rFonts w:ascii="Arial" w:hAnsi="Arial" w:cs="Arial"/>
                <w:sz w:val="20"/>
                <w:szCs w:val="20"/>
              </w:rPr>
              <w:noBreakHyphen/>
              <w:t>aware prescribing decision support.</w:t>
            </w:r>
          </w:p>
        </w:tc>
        <w:tc>
          <w:tcPr>
            <w:tcW w:w="0" w:type="auto"/>
            <w:hideMark/>
          </w:tcPr>
          <w:p w14:paraId="0EDF747C"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Validates CDS provenance and helps specify CDS performance and tuning checks for Medicus.</w:t>
            </w:r>
          </w:p>
        </w:tc>
        <w:tc>
          <w:tcPr>
            <w:tcW w:w="0" w:type="auto"/>
          </w:tcPr>
          <w:p w14:paraId="2D847E48" w14:textId="77777777" w:rsidR="009B7B49" w:rsidRPr="001E29AD" w:rsidRDefault="009B7B49" w:rsidP="00494FEB">
            <w:pPr>
              <w:spacing w:line="360" w:lineRule="auto"/>
              <w:rPr>
                <w:rFonts w:ascii="Arial" w:hAnsi="Arial" w:cs="Arial"/>
                <w:sz w:val="20"/>
                <w:szCs w:val="20"/>
              </w:rPr>
            </w:pPr>
            <w:r w:rsidRPr="001E29AD">
              <w:rPr>
                <w:rFonts w:ascii="Arial" w:hAnsi="Arial" w:cs="Arial"/>
                <w:sz w:val="20"/>
                <w:szCs w:val="20"/>
              </w:rPr>
              <w:t>Low (vendor technical note; factual on integration but needs performance data)</w:t>
            </w:r>
          </w:p>
        </w:tc>
      </w:tr>
    </w:tbl>
    <w:p w14:paraId="0416B82D" w14:textId="77777777" w:rsidR="009B7B49" w:rsidRPr="001E29AD" w:rsidRDefault="009B7B49" w:rsidP="00494FEB">
      <w:pPr>
        <w:spacing w:line="360" w:lineRule="auto"/>
        <w:rPr>
          <w:rFonts w:ascii="Arial" w:hAnsi="Arial" w:cs="Arial"/>
          <w:sz w:val="16"/>
          <w:szCs w:val="16"/>
        </w:rPr>
      </w:pPr>
    </w:p>
    <w:p w14:paraId="76A44A45" w14:textId="77777777" w:rsidR="009B7B49" w:rsidRPr="001E29AD" w:rsidRDefault="009B7B49" w:rsidP="00494FEB">
      <w:pPr>
        <w:spacing w:line="360" w:lineRule="auto"/>
        <w:rPr>
          <w:rFonts w:ascii="Arial" w:hAnsi="Arial" w:cs="Arial"/>
        </w:rPr>
      </w:pPr>
      <w:r w:rsidRPr="001E29AD">
        <w:rPr>
          <w:rFonts w:ascii="Arial" w:hAnsi="Arial" w:cs="Arial"/>
        </w:rPr>
        <w:t>Search strategy (concise and reproducible)</w:t>
      </w:r>
    </w:p>
    <w:tbl>
      <w:tblPr>
        <w:tblStyle w:val="TableGrid"/>
        <w:tblW w:w="0" w:type="auto"/>
        <w:tblInd w:w="0" w:type="dxa"/>
        <w:tblLook w:val="04A0" w:firstRow="1" w:lastRow="0" w:firstColumn="1" w:lastColumn="0" w:noHBand="0" w:noVBand="1"/>
      </w:tblPr>
      <w:tblGrid>
        <w:gridCol w:w="9350"/>
      </w:tblGrid>
      <w:tr w:rsidR="009B7B49" w:rsidRPr="001E29AD" w14:paraId="1066C5E4" w14:textId="77777777" w:rsidTr="00837D7E">
        <w:tc>
          <w:tcPr>
            <w:tcW w:w="9350" w:type="dxa"/>
          </w:tcPr>
          <w:p w14:paraId="17C2348D" w14:textId="77777777" w:rsidR="009B7B49" w:rsidRPr="001E29AD" w:rsidRDefault="009B7B49" w:rsidP="00494FEB">
            <w:pPr>
              <w:spacing w:line="360" w:lineRule="auto"/>
              <w:rPr>
                <w:rFonts w:ascii="Arial" w:hAnsi="Arial" w:cs="Arial"/>
                <w:sz w:val="16"/>
                <w:szCs w:val="16"/>
              </w:rPr>
            </w:pPr>
            <w:r w:rsidRPr="001E29AD">
              <w:rPr>
                <w:rFonts w:ascii="Arial" w:hAnsi="Arial" w:cs="Arial"/>
                <w:sz w:val="16"/>
                <w:szCs w:val="16"/>
              </w:rPr>
              <w:t>Sources to search: PubMed/MEDLINE, CINAHL, JMIR, BJGP, Health Foundation and NHS England publications, ICO guidance, Digital Health, vendor sites (Medicus Health, First Databank).</w:t>
            </w:r>
          </w:p>
        </w:tc>
      </w:tr>
      <w:tr w:rsidR="009B7B49" w:rsidRPr="001E29AD" w14:paraId="29CD852D" w14:textId="77777777" w:rsidTr="00837D7E">
        <w:tc>
          <w:tcPr>
            <w:tcW w:w="9350" w:type="dxa"/>
          </w:tcPr>
          <w:p w14:paraId="51C265F0" w14:textId="77777777" w:rsidR="009B7B49" w:rsidRPr="001E29AD" w:rsidRDefault="009B7B49" w:rsidP="00494FEB">
            <w:pPr>
              <w:spacing w:line="360" w:lineRule="auto"/>
              <w:rPr>
                <w:rFonts w:ascii="Arial" w:hAnsi="Arial" w:cs="Arial"/>
                <w:sz w:val="16"/>
                <w:szCs w:val="16"/>
              </w:rPr>
            </w:pPr>
            <w:r w:rsidRPr="001E29AD">
              <w:rPr>
                <w:rFonts w:ascii="Arial" w:hAnsi="Arial" w:cs="Arial"/>
                <w:sz w:val="16"/>
                <w:szCs w:val="16"/>
              </w:rPr>
              <w:t>Example search string (use in each database with appropriate syntax):</w:t>
            </w:r>
          </w:p>
        </w:tc>
      </w:tr>
      <w:tr w:rsidR="009B7B49" w:rsidRPr="001E29AD" w14:paraId="1EF52EC8" w14:textId="77777777" w:rsidTr="00837D7E">
        <w:tc>
          <w:tcPr>
            <w:tcW w:w="9350" w:type="dxa"/>
          </w:tcPr>
          <w:p w14:paraId="4C7AD2C8" w14:textId="77777777" w:rsidR="009B7B49" w:rsidRPr="001E29AD" w:rsidRDefault="009B7B49" w:rsidP="00494FEB">
            <w:pPr>
              <w:spacing w:line="360" w:lineRule="auto"/>
              <w:rPr>
                <w:rFonts w:ascii="Arial" w:hAnsi="Arial" w:cs="Arial"/>
                <w:sz w:val="16"/>
                <w:szCs w:val="16"/>
              </w:rPr>
            </w:pPr>
            <w:r w:rsidRPr="001E29AD">
              <w:rPr>
                <w:rFonts w:ascii="Arial" w:hAnsi="Arial" w:cs="Arial"/>
                <w:sz w:val="16"/>
                <w:szCs w:val="16"/>
              </w:rPr>
              <w:t>"EPR" OR "EHR" OR "electronic patient record" OR "electronic health record" AND "primary care" OR "general practice" AND "workforce" OR "training" OR "safety" OR "clinical decision support" AND 2019:2025.</w:t>
            </w:r>
          </w:p>
        </w:tc>
      </w:tr>
      <w:tr w:rsidR="009B7B49" w:rsidRPr="001E29AD" w14:paraId="732F9CE8" w14:textId="77777777" w:rsidTr="00837D7E">
        <w:tc>
          <w:tcPr>
            <w:tcW w:w="9350" w:type="dxa"/>
          </w:tcPr>
          <w:p w14:paraId="3F106641" w14:textId="77777777" w:rsidR="009B7B49" w:rsidRPr="001E29AD" w:rsidRDefault="009B7B49" w:rsidP="00494FEB">
            <w:pPr>
              <w:spacing w:line="360" w:lineRule="auto"/>
              <w:rPr>
                <w:rFonts w:ascii="Arial" w:hAnsi="Arial" w:cs="Arial"/>
                <w:sz w:val="16"/>
                <w:szCs w:val="16"/>
              </w:rPr>
            </w:pPr>
            <w:r w:rsidRPr="001E29AD">
              <w:rPr>
                <w:rFonts w:ascii="Arial" w:hAnsi="Arial" w:cs="Arial"/>
                <w:sz w:val="16"/>
                <w:szCs w:val="16"/>
              </w:rPr>
              <w:t>Filters: English; 2019–2025; article types: systematic review, implementation study, policy report.</w:t>
            </w:r>
          </w:p>
        </w:tc>
      </w:tr>
    </w:tbl>
    <w:p w14:paraId="3A2493BE" w14:textId="77777777" w:rsidR="008E7142" w:rsidRDefault="008E7142" w:rsidP="00494FEB">
      <w:pPr>
        <w:spacing w:line="360" w:lineRule="auto"/>
        <w:rPr>
          <w:rFonts w:ascii="Arial" w:hAnsi="Arial" w:cs="Arial"/>
        </w:rPr>
      </w:pPr>
    </w:p>
    <w:p w14:paraId="4EAA7BC2" w14:textId="77777777" w:rsidR="00707CE4" w:rsidRDefault="00707CE4" w:rsidP="00494FEB">
      <w:pPr>
        <w:spacing w:line="360" w:lineRule="auto"/>
        <w:rPr>
          <w:rFonts w:ascii="Arial" w:hAnsi="Arial" w:cs="Arial"/>
        </w:rPr>
      </w:pPr>
    </w:p>
    <w:p w14:paraId="1966D431" w14:textId="77777777" w:rsidR="00707CE4" w:rsidRDefault="00707CE4" w:rsidP="00494FEB">
      <w:pPr>
        <w:spacing w:line="360" w:lineRule="auto"/>
        <w:rPr>
          <w:rFonts w:ascii="Arial" w:hAnsi="Arial" w:cs="Arial"/>
        </w:rPr>
      </w:pPr>
    </w:p>
    <w:p w14:paraId="6E1DE5DD" w14:textId="77777777" w:rsidR="00707CE4" w:rsidRDefault="00707CE4" w:rsidP="00494FEB">
      <w:pPr>
        <w:spacing w:line="360" w:lineRule="auto"/>
        <w:rPr>
          <w:rFonts w:ascii="Arial" w:hAnsi="Arial" w:cs="Arial"/>
        </w:rPr>
      </w:pPr>
    </w:p>
    <w:p w14:paraId="38289294" w14:textId="77777777" w:rsidR="00707CE4" w:rsidRDefault="00707CE4" w:rsidP="00494FEB">
      <w:pPr>
        <w:spacing w:line="360" w:lineRule="auto"/>
        <w:rPr>
          <w:rFonts w:ascii="Arial" w:hAnsi="Arial" w:cs="Arial"/>
        </w:rPr>
      </w:pPr>
    </w:p>
    <w:p w14:paraId="37BBC487" w14:textId="77777777" w:rsidR="00707CE4" w:rsidRDefault="00707CE4" w:rsidP="00494FEB">
      <w:pPr>
        <w:spacing w:line="360" w:lineRule="auto"/>
        <w:rPr>
          <w:rFonts w:ascii="Arial" w:hAnsi="Arial" w:cs="Arial"/>
        </w:rPr>
      </w:pPr>
    </w:p>
    <w:p w14:paraId="4088CC16" w14:textId="77777777" w:rsidR="00707CE4" w:rsidRDefault="00707CE4" w:rsidP="00494FEB">
      <w:pPr>
        <w:spacing w:line="360" w:lineRule="auto"/>
        <w:rPr>
          <w:rFonts w:ascii="Arial" w:hAnsi="Arial" w:cs="Arial"/>
        </w:rPr>
      </w:pPr>
    </w:p>
    <w:p w14:paraId="3559B46B" w14:textId="77777777" w:rsidR="00707CE4" w:rsidRDefault="00707CE4" w:rsidP="00494FEB">
      <w:pPr>
        <w:spacing w:line="360" w:lineRule="auto"/>
        <w:rPr>
          <w:rFonts w:ascii="Arial" w:hAnsi="Arial" w:cs="Arial"/>
        </w:rPr>
      </w:pPr>
    </w:p>
    <w:p w14:paraId="42E800A5" w14:textId="77777777" w:rsidR="00707CE4" w:rsidRDefault="00707CE4" w:rsidP="00494FEB">
      <w:pPr>
        <w:spacing w:line="360" w:lineRule="auto"/>
        <w:rPr>
          <w:rFonts w:ascii="Arial" w:hAnsi="Arial" w:cs="Arial"/>
        </w:rPr>
      </w:pPr>
    </w:p>
    <w:p w14:paraId="3087D259" w14:textId="77777777" w:rsidR="00707CE4" w:rsidRPr="001E29AD" w:rsidRDefault="00707CE4" w:rsidP="00494FEB">
      <w:pPr>
        <w:spacing w:line="360" w:lineRule="auto"/>
        <w:rPr>
          <w:rFonts w:ascii="Arial" w:hAnsi="Arial" w:cs="Arial"/>
        </w:rPr>
      </w:pPr>
    </w:p>
    <w:p w14:paraId="3A1AC548" w14:textId="223945E7" w:rsidR="00726958" w:rsidRPr="00707CE4" w:rsidRDefault="00726958" w:rsidP="00494FEB">
      <w:pPr>
        <w:pStyle w:val="Heading3"/>
        <w:spacing w:line="360" w:lineRule="auto"/>
        <w:rPr>
          <w:rFonts w:ascii="Arial" w:hAnsi="Arial" w:cs="Arial"/>
          <w:sz w:val="32"/>
          <w:szCs w:val="32"/>
        </w:rPr>
      </w:pPr>
      <w:bookmarkStart w:id="12" w:name="_Toc212335616"/>
      <w:r w:rsidRPr="00707CE4">
        <w:rPr>
          <w:rStyle w:val="normaltextrun"/>
          <w:rFonts w:ascii="Arial" w:hAnsi="Arial" w:cs="Arial"/>
          <w:sz w:val="32"/>
          <w:szCs w:val="32"/>
        </w:rPr>
        <w:lastRenderedPageBreak/>
        <w:t>References (alphabetical, UWTS</w:t>
      </w:r>
      <w:r w:rsidR="00FF4009">
        <w:rPr>
          <w:rStyle w:val="normaltextrun"/>
          <w:rFonts w:ascii="Arial" w:hAnsi="Arial" w:cs="Arial"/>
          <w:sz w:val="32"/>
          <w:szCs w:val="32"/>
        </w:rPr>
        <w:t>D</w:t>
      </w:r>
      <w:r w:rsidRPr="00707CE4">
        <w:rPr>
          <w:rStyle w:val="normaltextrun"/>
          <w:rFonts w:ascii="Arial" w:hAnsi="Arial" w:cs="Arial"/>
          <w:sz w:val="32"/>
          <w:szCs w:val="32"/>
        </w:rPr>
        <w:t> Harvard style)</w:t>
      </w:r>
      <w:bookmarkEnd w:id="12"/>
      <w:r w:rsidRPr="00707CE4">
        <w:rPr>
          <w:rStyle w:val="eop"/>
          <w:rFonts w:ascii="Arial" w:hAnsi="Arial" w:cs="Arial"/>
          <w:sz w:val="32"/>
          <w:szCs w:val="32"/>
        </w:rPr>
        <w:t> </w:t>
      </w:r>
    </w:p>
    <w:p w14:paraId="7AB51AA6" w14:textId="77777777" w:rsidR="00C11265" w:rsidRDefault="00C11265" w:rsidP="00494FEB">
      <w:pPr>
        <w:spacing w:line="360" w:lineRule="auto"/>
        <w:rPr>
          <w:rFonts w:ascii="Arial" w:eastAsia="Times New Roman" w:hAnsi="Arial" w:cs="Arial"/>
          <w:sz w:val="22"/>
          <w:szCs w:val="22"/>
        </w:rPr>
      </w:pPr>
    </w:p>
    <w:p w14:paraId="0F1E5701" w14:textId="087B3BE3" w:rsidR="001E29AD"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Aveyard, H. (2014) </w:t>
      </w:r>
      <w:r w:rsidRPr="001E418C">
        <w:rPr>
          <w:rFonts w:ascii="Arial" w:eastAsia="Times New Roman" w:hAnsi="Arial" w:cs="Arial"/>
          <w:i/>
          <w:iCs/>
          <w:sz w:val="22"/>
          <w:szCs w:val="22"/>
        </w:rPr>
        <w:t xml:space="preserve">Doing a literature review in health and social care: a practical guide. </w:t>
      </w:r>
      <w:r w:rsidRPr="00C11265">
        <w:rPr>
          <w:rFonts w:ascii="Arial" w:eastAsia="Times New Roman" w:hAnsi="Arial" w:cs="Arial"/>
          <w:sz w:val="22"/>
          <w:szCs w:val="22"/>
        </w:rPr>
        <w:t xml:space="preserve">Maidenhead: Open University Press. Available at: </w:t>
      </w:r>
      <w:hyperlink r:id="rId20" w:history="1">
        <w:r w:rsidRPr="00C11265">
          <w:rPr>
            <w:rFonts w:ascii="Arial" w:eastAsia="Times New Roman" w:hAnsi="Arial" w:cs="Arial"/>
            <w:color w:val="0000FF"/>
            <w:sz w:val="22"/>
            <w:szCs w:val="22"/>
            <w:u w:val="single"/>
          </w:rPr>
          <w:t>https://www-vlebooks-com.ezproxy.uwtsd.ac.uk/Product/Index/344727?page=0&amp;startBookmarkId=-1</w:t>
        </w:r>
      </w:hyperlink>
      <w:r w:rsidRPr="00C11265">
        <w:rPr>
          <w:rFonts w:ascii="Arial" w:eastAsia="Times New Roman" w:hAnsi="Arial" w:cs="Arial"/>
          <w:sz w:val="22"/>
          <w:szCs w:val="22"/>
        </w:rPr>
        <w:t xml:space="preserve"> (Accessed: 17 October 2025).</w:t>
      </w:r>
    </w:p>
    <w:p w14:paraId="3D497D01" w14:textId="77777777" w:rsidR="00C11265" w:rsidRPr="00C11265" w:rsidRDefault="00C11265" w:rsidP="00494FEB">
      <w:pPr>
        <w:spacing w:line="360" w:lineRule="auto"/>
        <w:rPr>
          <w:rFonts w:ascii="Arial" w:eastAsia="Times New Roman" w:hAnsi="Arial" w:cs="Arial"/>
          <w:sz w:val="22"/>
          <w:szCs w:val="22"/>
        </w:rPr>
      </w:pPr>
    </w:p>
    <w:p w14:paraId="7EB801CE" w14:textId="39D3557F" w:rsidR="00676E90"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Burns, M. (2024) ‘Challenges and successes in implementing an integrated electronic patient record (HIVE) at the Manchester University National Health Service Foundation Trust, England: 1000+ legacy systems, 10 hospitals, one electronic patient record’, </w:t>
      </w:r>
      <w:r w:rsidRPr="00A264FB">
        <w:rPr>
          <w:rFonts w:ascii="Arial" w:eastAsia="Times New Roman" w:hAnsi="Arial" w:cs="Arial"/>
          <w:i/>
          <w:iCs/>
          <w:sz w:val="22"/>
          <w:szCs w:val="22"/>
        </w:rPr>
        <w:t>Health Information</w:t>
      </w:r>
      <w:r w:rsidRPr="00C11265">
        <w:rPr>
          <w:rFonts w:ascii="Arial" w:eastAsia="Times New Roman" w:hAnsi="Arial" w:cs="Arial"/>
          <w:sz w:val="22"/>
          <w:szCs w:val="22"/>
        </w:rPr>
        <w:t xml:space="preserve"> </w:t>
      </w:r>
      <w:r w:rsidRPr="00A264FB">
        <w:rPr>
          <w:rFonts w:ascii="Arial" w:eastAsia="Times New Roman" w:hAnsi="Arial" w:cs="Arial"/>
          <w:i/>
          <w:iCs/>
          <w:sz w:val="22"/>
          <w:szCs w:val="22"/>
        </w:rPr>
        <w:t>Management Journal</w:t>
      </w:r>
      <w:r w:rsidRPr="00C11265">
        <w:rPr>
          <w:rFonts w:ascii="Arial" w:eastAsia="Times New Roman" w:hAnsi="Arial" w:cs="Arial"/>
          <w:sz w:val="22"/>
          <w:szCs w:val="22"/>
        </w:rPr>
        <w:t xml:space="preserve">, 53(1), pp. 20–28. doi: 10.1177/18333583231200417. Available at: </w:t>
      </w:r>
      <w:hyperlink r:id="rId21" w:history="1">
        <w:r w:rsidRPr="00C11265">
          <w:rPr>
            <w:rFonts w:ascii="Arial" w:eastAsia="Times New Roman" w:hAnsi="Arial" w:cs="Arial"/>
            <w:color w:val="0000FF"/>
            <w:sz w:val="22"/>
            <w:szCs w:val="22"/>
            <w:u w:val="single"/>
          </w:rPr>
          <w:t>https://pubmed.ncbi.nlm.nih.gov/37846824/</w:t>
        </w:r>
      </w:hyperlink>
      <w:r w:rsidRPr="00C11265">
        <w:rPr>
          <w:rFonts w:ascii="Arial" w:eastAsia="Times New Roman" w:hAnsi="Arial" w:cs="Arial"/>
          <w:sz w:val="22"/>
          <w:szCs w:val="22"/>
        </w:rPr>
        <w:t xml:space="preserve"> (Accessed: 18 September 2025).</w:t>
      </w:r>
    </w:p>
    <w:p w14:paraId="5EE995B8" w14:textId="77777777" w:rsidR="00676E90" w:rsidRDefault="00676E90" w:rsidP="00494FEB">
      <w:pPr>
        <w:spacing w:line="360" w:lineRule="auto"/>
        <w:rPr>
          <w:rFonts w:ascii="Arial" w:eastAsia="Times New Roman" w:hAnsi="Arial" w:cs="Arial"/>
          <w:sz w:val="22"/>
          <w:szCs w:val="22"/>
        </w:rPr>
      </w:pPr>
    </w:p>
    <w:p w14:paraId="701DAC0C" w14:textId="38FAC5D9" w:rsid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Da Silva, D. (2012) </w:t>
      </w:r>
      <w:r w:rsidRPr="00D56BCB">
        <w:rPr>
          <w:rFonts w:ascii="Arial" w:eastAsia="Times New Roman" w:hAnsi="Arial" w:cs="Arial"/>
          <w:i/>
          <w:iCs/>
          <w:sz w:val="22"/>
          <w:szCs w:val="22"/>
        </w:rPr>
        <w:t>Helping people share decision making</w:t>
      </w:r>
      <w:r w:rsidRPr="00C11265">
        <w:rPr>
          <w:rFonts w:ascii="Arial" w:eastAsia="Times New Roman" w:hAnsi="Arial" w:cs="Arial"/>
          <w:sz w:val="22"/>
          <w:szCs w:val="22"/>
        </w:rPr>
        <w:t xml:space="preserve">. London: The Health Foundation. Available at: </w:t>
      </w:r>
      <w:hyperlink r:id="rId22" w:history="1">
        <w:r w:rsidRPr="00C11265">
          <w:rPr>
            <w:rFonts w:ascii="Arial" w:eastAsia="Times New Roman" w:hAnsi="Arial" w:cs="Arial"/>
            <w:color w:val="0000FF"/>
            <w:sz w:val="22"/>
            <w:szCs w:val="22"/>
            <w:u w:val="single"/>
          </w:rPr>
          <w:t>https://www.health.org.uk/publications</w:t>
        </w:r>
      </w:hyperlink>
      <w:r w:rsidRPr="00C11265">
        <w:rPr>
          <w:rFonts w:ascii="Arial" w:eastAsia="Times New Roman" w:hAnsi="Arial" w:cs="Arial"/>
          <w:sz w:val="22"/>
          <w:szCs w:val="22"/>
        </w:rPr>
        <w:t xml:space="preserve"> (Accessed: 17 September 2025)</w:t>
      </w:r>
    </w:p>
    <w:p w14:paraId="100B60C2" w14:textId="77777777" w:rsidR="008F0D0B" w:rsidRPr="00C11265" w:rsidRDefault="008F0D0B" w:rsidP="00494FEB">
      <w:pPr>
        <w:spacing w:line="360" w:lineRule="auto"/>
        <w:rPr>
          <w:rFonts w:ascii="Arial" w:eastAsia="Times New Roman" w:hAnsi="Arial" w:cs="Arial"/>
          <w:sz w:val="22"/>
          <w:szCs w:val="22"/>
        </w:rPr>
      </w:pPr>
    </w:p>
    <w:p w14:paraId="7642A8AD"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Department of Health and Social Care and NHS England (2022) </w:t>
      </w:r>
      <w:r w:rsidRPr="00F8114D">
        <w:rPr>
          <w:rFonts w:ascii="Arial" w:eastAsia="Times New Roman" w:hAnsi="Arial" w:cs="Arial"/>
          <w:i/>
          <w:iCs/>
          <w:sz w:val="22"/>
          <w:szCs w:val="22"/>
        </w:rPr>
        <w:t>A plan for digital health and social care.</w:t>
      </w:r>
      <w:r w:rsidRPr="00C11265">
        <w:rPr>
          <w:rFonts w:ascii="Arial" w:eastAsia="Times New Roman" w:hAnsi="Arial" w:cs="Arial"/>
          <w:sz w:val="22"/>
          <w:szCs w:val="22"/>
        </w:rPr>
        <w:t xml:space="preserve"> GOV.UK. Available at: </w:t>
      </w:r>
      <w:hyperlink r:id="rId23" w:history="1">
        <w:r w:rsidRPr="00C11265">
          <w:rPr>
            <w:rFonts w:ascii="Arial" w:eastAsia="Times New Roman" w:hAnsi="Arial" w:cs="Arial"/>
            <w:color w:val="0000FF"/>
            <w:sz w:val="22"/>
            <w:szCs w:val="22"/>
            <w:u w:val="single"/>
          </w:rPr>
          <w:t>https://www.gov.uk/government/publications/a-plan-for-digital-health-and-social-care/a-plan-for-digital-health-and-social-care</w:t>
        </w:r>
      </w:hyperlink>
      <w:r w:rsidRPr="00C11265">
        <w:rPr>
          <w:rFonts w:ascii="Arial" w:eastAsia="Times New Roman" w:hAnsi="Arial" w:cs="Arial"/>
          <w:sz w:val="22"/>
          <w:szCs w:val="22"/>
        </w:rPr>
        <w:t xml:space="preserve"> (Accessed: 24 October 2025).</w:t>
      </w:r>
    </w:p>
    <w:p w14:paraId="6377807A" w14:textId="77777777" w:rsidR="00C11265" w:rsidRPr="00C11265" w:rsidRDefault="00C11265" w:rsidP="00494FEB">
      <w:pPr>
        <w:spacing w:line="360" w:lineRule="auto"/>
        <w:rPr>
          <w:rFonts w:ascii="Arial" w:eastAsia="Times New Roman" w:hAnsi="Arial" w:cs="Arial"/>
          <w:sz w:val="22"/>
          <w:szCs w:val="22"/>
        </w:rPr>
      </w:pPr>
    </w:p>
    <w:p w14:paraId="764DEADB"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Department of Health and Social Care and NHS England (2024) </w:t>
      </w:r>
      <w:r w:rsidRPr="00F8114D">
        <w:rPr>
          <w:rFonts w:ascii="Arial" w:eastAsia="Times New Roman" w:hAnsi="Arial" w:cs="Arial"/>
          <w:i/>
          <w:iCs/>
          <w:sz w:val="22"/>
          <w:szCs w:val="22"/>
        </w:rPr>
        <w:t>Healthcare education and training tariff: 2024 to 2025.</w:t>
      </w:r>
      <w:r w:rsidRPr="00C11265">
        <w:rPr>
          <w:rFonts w:ascii="Arial" w:eastAsia="Times New Roman" w:hAnsi="Arial" w:cs="Arial"/>
          <w:sz w:val="22"/>
          <w:szCs w:val="22"/>
        </w:rPr>
        <w:t xml:space="preserve"> GOV.UK. Available at: </w:t>
      </w:r>
      <w:hyperlink r:id="rId24" w:history="1">
        <w:r w:rsidRPr="00C11265">
          <w:rPr>
            <w:rFonts w:ascii="Arial" w:eastAsia="Times New Roman" w:hAnsi="Arial" w:cs="Arial"/>
            <w:color w:val="0000FF"/>
            <w:sz w:val="22"/>
            <w:szCs w:val="22"/>
            <w:u w:val="single"/>
          </w:rPr>
          <w:t>https://www.gov.uk/government/publications/healthcare-education-and-training-tariff-2024-to-2025</w:t>
        </w:r>
      </w:hyperlink>
      <w:r w:rsidRPr="00C11265">
        <w:rPr>
          <w:rFonts w:ascii="Arial" w:eastAsia="Times New Roman" w:hAnsi="Arial" w:cs="Arial"/>
          <w:sz w:val="22"/>
          <w:szCs w:val="22"/>
        </w:rPr>
        <w:t xml:space="preserve"> (Accessed: 23 October 2025).</w:t>
      </w:r>
    </w:p>
    <w:p w14:paraId="68C4596A" w14:textId="77777777" w:rsidR="00C11265" w:rsidRPr="00C11265" w:rsidRDefault="00C11265" w:rsidP="00494FEB">
      <w:pPr>
        <w:spacing w:line="360" w:lineRule="auto"/>
        <w:rPr>
          <w:rFonts w:ascii="Arial" w:eastAsia="Times New Roman" w:hAnsi="Arial" w:cs="Arial"/>
          <w:sz w:val="22"/>
          <w:szCs w:val="22"/>
        </w:rPr>
      </w:pPr>
    </w:p>
    <w:p w14:paraId="7B0C4DE8" w14:textId="7E591E47" w:rsidR="00C11265"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First Databank (FDB) (2025) </w:t>
      </w:r>
      <w:r w:rsidRPr="00F8114D">
        <w:rPr>
          <w:rFonts w:ascii="Arial" w:eastAsia="Times New Roman" w:hAnsi="Arial" w:cs="Arial"/>
          <w:i/>
          <w:iCs/>
          <w:sz w:val="22"/>
          <w:szCs w:val="22"/>
        </w:rPr>
        <w:t>Home of Medication Decision Support FDB</w:t>
      </w:r>
      <w:r w:rsidRPr="00C11265">
        <w:rPr>
          <w:rFonts w:ascii="Arial" w:eastAsia="Times New Roman" w:hAnsi="Arial" w:cs="Arial"/>
          <w:sz w:val="22"/>
          <w:szCs w:val="22"/>
        </w:rPr>
        <w:t xml:space="preserve">. Available at: </w:t>
      </w:r>
      <w:hyperlink r:id="rId25" w:history="1">
        <w:r w:rsidRPr="00C11265">
          <w:rPr>
            <w:rFonts w:ascii="Arial" w:eastAsia="Times New Roman" w:hAnsi="Arial" w:cs="Arial"/>
            <w:color w:val="0000FF"/>
            <w:sz w:val="22"/>
            <w:szCs w:val="22"/>
            <w:u w:val="single"/>
          </w:rPr>
          <w:t>https://www.fdbhealth.co.uk</w:t>
        </w:r>
      </w:hyperlink>
      <w:r w:rsidRPr="00C11265">
        <w:rPr>
          <w:rFonts w:ascii="Arial" w:eastAsia="Times New Roman" w:hAnsi="Arial" w:cs="Arial"/>
          <w:sz w:val="22"/>
          <w:szCs w:val="22"/>
        </w:rPr>
        <w:t xml:space="preserve"> (Accessed: 13 October 2025).</w:t>
      </w:r>
    </w:p>
    <w:p w14:paraId="47422BE5"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lastRenderedPageBreak/>
        <w:t xml:space="preserve">Finnegan, H. and Mountford, N. (2025) ‘25 years of electronic health record implementation processes: scoping review’, </w:t>
      </w:r>
      <w:r w:rsidRPr="00293458">
        <w:rPr>
          <w:rFonts w:ascii="Arial" w:eastAsia="Times New Roman" w:hAnsi="Arial" w:cs="Arial"/>
          <w:i/>
          <w:iCs/>
          <w:sz w:val="22"/>
          <w:szCs w:val="22"/>
        </w:rPr>
        <w:t>Journal of Medical Internet Research</w:t>
      </w:r>
      <w:r w:rsidRPr="00C11265">
        <w:rPr>
          <w:rFonts w:ascii="Arial" w:eastAsia="Times New Roman" w:hAnsi="Arial" w:cs="Arial"/>
          <w:sz w:val="22"/>
          <w:szCs w:val="22"/>
        </w:rPr>
        <w:t xml:space="preserve">, 27: e60077. Available at: </w:t>
      </w:r>
      <w:hyperlink r:id="rId26" w:history="1">
        <w:r w:rsidRPr="00C11265">
          <w:rPr>
            <w:rFonts w:ascii="Arial" w:eastAsia="Times New Roman" w:hAnsi="Arial" w:cs="Arial"/>
            <w:color w:val="0000FF"/>
            <w:sz w:val="22"/>
            <w:szCs w:val="22"/>
            <w:u w:val="single"/>
          </w:rPr>
          <w:t>https://www.jmir.org/2025/1/e60077/</w:t>
        </w:r>
      </w:hyperlink>
      <w:r w:rsidRPr="00C11265">
        <w:rPr>
          <w:rFonts w:ascii="Arial" w:eastAsia="Times New Roman" w:hAnsi="Arial" w:cs="Arial"/>
          <w:sz w:val="22"/>
          <w:szCs w:val="22"/>
        </w:rPr>
        <w:t xml:space="preserve"> (Accessed: 18 September 2025).</w:t>
      </w:r>
    </w:p>
    <w:p w14:paraId="386080CB" w14:textId="77777777" w:rsidR="00C11265" w:rsidRPr="00C11265" w:rsidRDefault="00C11265" w:rsidP="00494FEB">
      <w:pPr>
        <w:spacing w:line="360" w:lineRule="auto"/>
        <w:rPr>
          <w:rFonts w:ascii="Arial" w:eastAsia="Times New Roman" w:hAnsi="Arial" w:cs="Arial"/>
          <w:sz w:val="22"/>
          <w:szCs w:val="22"/>
        </w:rPr>
      </w:pPr>
    </w:p>
    <w:p w14:paraId="509ADB0A" w14:textId="2642AB72" w:rsidR="001E29AD" w:rsidRPr="008F0D0B" w:rsidRDefault="001E29AD" w:rsidP="00494FEB">
      <w:pPr>
        <w:spacing w:line="360" w:lineRule="auto"/>
        <w:rPr>
          <w:rFonts w:ascii="Arial" w:eastAsia="Times New Roman" w:hAnsi="Arial" w:cs="Arial"/>
          <w:sz w:val="22"/>
          <w:szCs w:val="22"/>
        </w:rPr>
      </w:pPr>
      <w:r w:rsidRPr="008F0D0B">
        <w:rPr>
          <w:rFonts w:ascii="Arial" w:eastAsia="Times New Roman" w:hAnsi="Arial" w:cs="Arial"/>
          <w:sz w:val="22"/>
          <w:szCs w:val="22"/>
        </w:rPr>
        <w:t xml:space="preserve">Greenhalgh, T., Wherton, J., Papoutsi, C., Lynch, J., Hughes, G., A’Court, C., Hinder, S., Fahy, N., Procter, R. and Shaw, S. (2017) ‘Beyond adoption: a new framework for theorising and evaluating </w:t>
      </w:r>
      <w:r w:rsidR="00FF4009" w:rsidRPr="008F0D0B">
        <w:rPr>
          <w:rFonts w:ascii="Arial" w:eastAsia="Times New Roman" w:hAnsi="Arial" w:cs="Arial"/>
          <w:sz w:val="22"/>
          <w:szCs w:val="22"/>
        </w:rPr>
        <w:t>no adoption</w:t>
      </w:r>
      <w:r w:rsidRPr="008F0D0B">
        <w:rPr>
          <w:rFonts w:ascii="Arial" w:eastAsia="Times New Roman" w:hAnsi="Arial" w:cs="Arial"/>
          <w:sz w:val="22"/>
          <w:szCs w:val="22"/>
        </w:rPr>
        <w:t xml:space="preserve">, abandonment, and challenges to the scale-up, spread, and sustainability of health and care technologies’, </w:t>
      </w:r>
      <w:r w:rsidRPr="008F0D0B">
        <w:rPr>
          <w:rFonts w:ascii="Arial" w:eastAsia="Times New Roman" w:hAnsi="Arial" w:cs="Arial"/>
          <w:i/>
          <w:iCs/>
          <w:sz w:val="22"/>
          <w:szCs w:val="22"/>
        </w:rPr>
        <w:t>Journal of Medical Internet Research,</w:t>
      </w:r>
      <w:r w:rsidRPr="008F0D0B">
        <w:rPr>
          <w:rFonts w:ascii="Arial" w:eastAsia="Times New Roman" w:hAnsi="Arial" w:cs="Arial"/>
          <w:sz w:val="22"/>
          <w:szCs w:val="22"/>
        </w:rPr>
        <w:t xml:space="preserve"> 19(11): e367. doi: 10.2196/jmir.8775. Available at: </w:t>
      </w:r>
      <w:hyperlink r:id="rId27" w:history="1">
        <w:r w:rsidRPr="008F0D0B">
          <w:rPr>
            <w:rFonts w:ascii="Arial" w:eastAsia="Times New Roman" w:hAnsi="Arial" w:cs="Arial"/>
            <w:color w:val="0000FF"/>
            <w:sz w:val="22"/>
            <w:szCs w:val="22"/>
            <w:u w:val="single"/>
          </w:rPr>
          <w:t>https://pubmed.ncbi.nlm.nih.gov/29092808/</w:t>
        </w:r>
      </w:hyperlink>
      <w:r w:rsidRPr="008F0D0B">
        <w:rPr>
          <w:rFonts w:ascii="Arial" w:eastAsia="Times New Roman" w:hAnsi="Arial" w:cs="Arial"/>
          <w:sz w:val="22"/>
          <w:szCs w:val="22"/>
        </w:rPr>
        <w:t xml:space="preserve"> (Accessed: 18 September 2025).</w:t>
      </w:r>
    </w:p>
    <w:p w14:paraId="66B1906E" w14:textId="77777777" w:rsidR="00C11265" w:rsidRPr="00C11265" w:rsidRDefault="00C11265" w:rsidP="00494FEB">
      <w:pPr>
        <w:spacing w:line="360" w:lineRule="auto"/>
        <w:rPr>
          <w:rFonts w:ascii="Arial" w:eastAsia="Times New Roman" w:hAnsi="Arial" w:cs="Arial"/>
          <w:sz w:val="22"/>
          <w:szCs w:val="22"/>
        </w:rPr>
      </w:pPr>
    </w:p>
    <w:p w14:paraId="5FD1E938"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Health Foundation (2025) Electronic patient records: </w:t>
      </w:r>
      <w:r w:rsidRPr="00293458">
        <w:rPr>
          <w:rFonts w:ascii="Arial" w:eastAsia="Times New Roman" w:hAnsi="Arial" w:cs="Arial"/>
          <w:i/>
          <w:iCs/>
          <w:sz w:val="22"/>
          <w:szCs w:val="22"/>
        </w:rPr>
        <w:t>why the NHS urgently needs a strategy to reap the benefits.</w:t>
      </w:r>
      <w:r w:rsidRPr="00C11265">
        <w:rPr>
          <w:rFonts w:ascii="Arial" w:eastAsia="Times New Roman" w:hAnsi="Arial" w:cs="Arial"/>
          <w:sz w:val="22"/>
          <w:szCs w:val="22"/>
        </w:rPr>
        <w:t xml:space="preserve"> London: Health Foundation. Available at: </w:t>
      </w:r>
      <w:hyperlink r:id="rId28" w:history="1">
        <w:r w:rsidRPr="00C11265">
          <w:rPr>
            <w:rFonts w:ascii="Arial" w:eastAsia="Times New Roman" w:hAnsi="Arial" w:cs="Arial"/>
            <w:color w:val="0000FF"/>
            <w:sz w:val="22"/>
            <w:szCs w:val="22"/>
            <w:u w:val="single"/>
          </w:rPr>
          <w:t>https://www.health.org.uk/reports-and-analysis/analysis/electronic-patient-records-nhs-strategy</w:t>
        </w:r>
      </w:hyperlink>
      <w:r w:rsidRPr="00C11265">
        <w:rPr>
          <w:rFonts w:ascii="Arial" w:eastAsia="Times New Roman" w:hAnsi="Arial" w:cs="Arial"/>
          <w:sz w:val="22"/>
          <w:szCs w:val="22"/>
        </w:rPr>
        <w:t xml:space="preserve"> (Accessed: 18 September 2025).</w:t>
      </w:r>
    </w:p>
    <w:p w14:paraId="7DE29950" w14:textId="77777777" w:rsidR="00C11265" w:rsidRPr="00C11265" w:rsidRDefault="00C11265" w:rsidP="00494FEB">
      <w:pPr>
        <w:spacing w:line="360" w:lineRule="auto"/>
        <w:rPr>
          <w:rFonts w:ascii="Arial" w:eastAsia="Times New Roman" w:hAnsi="Arial" w:cs="Arial"/>
          <w:sz w:val="22"/>
          <w:szCs w:val="22"/>
        </w:rPr>
      </w:pPr>
    </w:p>
    <w:p w14:paraId="12ECFA57"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HFMA (Healthcare Financial Management Association) (2025) </w:t>
      </w:r>
      <w:r w:rsidRPr="00293458">
        <w:rPr>
          <w:rFonts w:ascii="Arial" w:eastAsia="Times New Roman" w:hAnsi="Arial" w:cs="Arial"/>
          <w:i/>
          <w:iCs/>
          <w:sz w:val="22"/>
          <w:szCs w:val="22"/>
        </w:rPr>
        <w:t>Implementing an electronic patient record: briefing and case studies</w:t>
      </w:r>
      <w:r w:rsidRPr="00C11265">
        <w:rPr>
          <w:rFonts w:ascii="Arial" w:eastAsia="Times New Roman" w:hAnsi="Arial" w:cs="Arial"/>
          <w:sz w:val="22"/>
          <w:szCs w:val="22"/>
        </w:rPr>
        <w:t xml:space="preserve">. 5 September. Available at: </w:t>
      </w:r>
      <w:hyperlink r:id="rId29" w:history="1">
        <w:r w:rsidRPr="00C11265">
          <w:rPr>
            <w:rFonts w:ascii="Arial" w:eastAsia="Times New Roman" w:hAnsi="Arial" w:cs="Arial"/>
            <w:color w:val="0000FF"/>
            <w:sz w:val="22"/>
            <w:szCs w:val="22"/>
            <w:u w:val="single"/>
          </w:rPr>
          <w:t>https://www.hfma.org.uk/publications/implementing-electronic-patient-record</w:t>
        </w:r>
      </w:hyperlink>
      <w:r w:rsidRPr="00C11265">
        <w:rPr>
          <w:rFonts w:ascii="Arial" w:eastAsia="Times New Roman" w:hAnsi="Arial" w:cs="Arial"/>
          <w:sz w:val="22"/>
          <w:szCs w:val="22"/>
        </w:rPr>
        <w:t xml:space="preserve"> (Accessed: 18 September 2025).</w:t>
      </w:r>
    </w:p>
    <w:p w14:paraId="736117F6" w14:textId="77777777" w:rsidR="00C11265" w:rsidRPr="00C11265" w:rsidRDefault="00C11265" w:rsidP="00494FEB">
      <w:pPr>
        <w:spacing w:line="360" w:lineRule="auto"/>
        <w:rPr>
          <w:rFonts w:ascii="Arial" w:eastAsia="Times New Roman" w:hAnsi="Arial" w:cs="Arial"/>
          <w:sz w:val="22"/>
          <w:szCs w:val="22"/>
        </w:rPr>
      </w:pPr>
    </w:p>
    <w:p w14:paraId="284C8BC9"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Information Commissioner’s Office (2018) </w:t>
      </w:r>
      <w:r w:rsidRPr="00293458">
        <w:rPr>
          <w:rFonts w:ascii="Arial" w:eastAsia="Times New Roman" w:hAnsi="Arial" w:cs="Arial"/>
          <w:i/>
          <w:iCs/>
          <w:sz w:val="22"/>
          <w:szCs w:val="22"/>
        </w:rPr>
        <w:t>Data Protection Act 2018.</w:t>
      </w:r>
      <w:r w:rsidRPr="00C11265">
        <w:rPr>
          <w:rFonts w:ascii="Arial" w:eastAsia="Times New Roman" w:hAnsi="Arial" w:cs="Arial"/>
          <w:sz w:val="22"/>
          <w:szCs w:val="22"/>
        </w:rPr>
        <w:t xml:space="preserve"> Available at: </w:t>
      </w:r>
      <w:hyperlink r:id="rId30" w:history="1">
        <w:r w:rsidRPr="00C11265">
          <w:rPr>
            <w:rFonts w:ascii="Arial" w:eastAsia="Times New Roman" w:hAnsi="Arial" w:cs="Arial"/>
            <w:color w:val="0000FF"/>
            <w:sz w:val="22"/>
            <w:szCs w:val="22"/>
            <w:u w:val="single"/>
          </w:rPr>
          <w:t>https://ico.org.uk/about-the-ico/what-we-do/legislation-we-cover/data-protection-act-2018/</w:t>
        </w:r>
      </w:hyperlink>
      <w:r w:rsidRPr="00C11265">
        <w:rPr>
          <w:rFonts w:ascii="Arial" w:eastAsia="Times New Roman" w:hAnsi="Arial" w:cs="Arial"/>
          <w:sz w:val="22"/>
          <w:szCs w:val="22"/>
        </w:rPr>
        <w:t xml:space="preserve"> (Accessed: 17 September 2025).</w:t>
      </w:r>
    </w:p>
    <w:p w14:paraId="4D16BAE5" w14:textId="77777777" w:rsidR="00C11265" w:rsidRPr="00C11265" w:rsidRDefault="00C11265" w:rsidP="00494FEB">
      <w:pPr>
        <w:spacing w:line="360" w:lineRule="auto"/>
        <w:rPr>
          <w:rFonts w:ascii="Arial" w:eastAsia="Times New Roman" w:hAnsi="Arial" w:cs="Arial"/>
          <w:sz w:val="22"/>
          <w:szCs w:val="22"/>
        </w:rPr>
      </w:pPr>
    </w:p>
    <w:p w14:paraId="1B9B6FFE"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Medicus Health (2025) Medicus Health EPR: </w:t>
      </w:r>
      <w:r w:rsidRPr="00293458">
        <w:rPr>
          <w:rFonts w:ascii="Arial" w:eastAsia="Times New Roman" w:hAnsi="Arial" w:cs="Arial"/>
          <w:i/>
          <w:iCs/>
          <w:sz w:val="22"/>
          <w:szCs w:val="22"/>
        </w:rPr>
        <w:t>product overview and implementation case studies.</w:t>
      </w:r>
      <w:r w:rsidRPr="00C11265">
        <w:rPr>
          <w:rFonts w:ascii="Arial" w:eastAsia="Times New Roman" w:hAnsi="Arial" w:cs="Arial"/>
          <w:sz w:val="22"/>
          <w:szCs w:val="22"/>
        </w:rPr>
        <w:t xml:space="preserve"> Available at: </w:t>
      </w:r>
      <w:hyperlink r:id="rId31" w:history="1">
        <w:r w:rsidRPr="00C11265">
          <w:rPr>
            <w:rFonts w:ascii="Arial" w:eastAsia="Times New Roman" w:hAnsi="Arial" w:cs="Arial"/>
            <w:color w:val="0000FF"/>
            <w:sz w:val="22"/>
            <w:szCs w:val="22"/>
            <w:u w:val="single"/>
          </w:rPr>
          <w:t>https://medicus.health/</w:t>
        </w:r>
      </w:hyperlink>
      <w:r w:rsidRPr="00C11265">
        <w:rPr>
          <w:rFonts w:ascii="Arial" w:eastAsia="Times New Roman" w:hAnsi="Arial" w:cs="Arial"/>
          <w:sz w:val="22"/>
          <w:szCs w:val="22"/>
        </w:rPr>
        <w:t xml:space="preserve"> (Accessed: 13 October 2025).</w:t>
      </w:r>
    </w:p>
    <w:p w14:paraId="108024CA" w14:textId="77777777" w:rsidR="00C11265" w:rsidRPr="00C11265" w:rsidRDefault="00C11265" w:rsidP="00494FEB">
      <w:pPr>
        <w:spacing w:line="360" w:lineRule="auto"/>
        <w:rPr>
          <w:rFonts w:ascii="Arial" w:eastAsia="Times New Roman" w:hAnsi="Arial" w:cs="Arial"/>
          <w:sz w:val="22"/>
          <w:szCs w:val="22"/>
        </w:rPr>
      </w:pPr>
    </w:p>
    <w:p w14:paraId="3524322D" w14:textId="77777777" w:rsidR="001E29AD"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lastRenderedPageBreak/>
        <w:t xml:space="preserve">NHS (2022) </w:t>
      </w:r>
      <w:r w:rsidRPr="00293458">
        <w:rPr>
          <w:rFonts w:ascii="Arial" w:eastAsia="Times New Roman" w:hAnsi="Arial" w:cs="Arial"/>
          <w:i/>
          <w:iCs/>
          <w:sz w:val="22"/>
          <w:szCs w:val="22"/>
        </w:rPr>
        <w:t>NHS App: integration guidance for suppliers</w:t>
      </w:r>
      <w:r w:rsidRPr="00C11265">
        <w:rPr>
          <w:rFonts w:ascii="Arial" w:eastAsia="Times New Roman" w:hAnsi="Arial" w:cs="Arial"/>
          <w:sz w:val="22"/>
          <w:szCs w:val="22"/>
        </w:rPr>
        <w:t xml:space="preserve">. Available at: </w:t>
      </w:r>
      <w:hyperlink r:id="rId32" w:history="1">
        <w:r w:rsidRPr="00C11265">
          <w:rPr>
            <w:rFonts w:ascii="Arial" w:eastAsia="Times New Roman" w:hAnsi="Arial" w:cs="Arial"/>
            <w:color w:val="0000FF"/>
            <w:sz w:val="22"/>
            <w:szCs w:val="22"/>
            <w:u w:val="single"/>
          </w:rPr>
          <w:t>https://digital.nhs.uk/services/nhs-app</w:t>
        </w:r>
      </w:hyperlink>
      <w:r w:rsidRPr="00C11265">
        <w:rPr>
          <w:rFonts w:ascii="Arial" w:eastAsia="Times New Roman" w:hAnsi="Arial" w:cs="Arial"/>
          <w:sz w:val="22"/>
          <w:szCs w:val="22"/>
        </w:rPr>
        <w:t xml:space="preserve"> (Accessed: 13 October 2025).</w:t>
      </w:r>
    </w:p>
    <w:p w14:paraId="22ABAEBF" w14:textId="77777777" w:rsidR="00F01673" w:rsidRPr="00C11265" w:rsidRDefault="00F01673" w:rsidP="00494FEB">
      <w:pPr>
        <w:spacing w:line="360" w:lineRule="auto"/>
        <w:rPr>
          <w:rFonts w:ascii="Arial" w:eastAsia="Times New Roman" w:hAnsi="Arial" w:cs="Arial"/>
          <w:sz w:val="22"/>
          <w:szCs w:val="22"/>
        </w:rPr>
      </w:pPr>
    </w:p>
    <w:p w14:paraId="48A5A617"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NHS England (2023) </w:t>
      </w:r>
      <w:r w:rsidRPr="00293458">
        <w:rPr>
          <w:rFonts w:ascii="Arial" w:eastAsia="Times New Roman" w:hAnsi="Arial" w:cs="Arial"/>
          <w:i/>
          <w:iCs/>
          <w:sz w:val="22"/>
          <w:szCs w:val="22"/>
        </w:rPr>
        <w:t>Primary care digital services strategy / Purpose of the GP EHR.</w:t>
      </w:r>
      <w:r w:rsidRPr="00C11265">
        <w:rPr>
          <w:rFonts w:ascii="Arial" w:eastAsia="Times New Roman" w:hAnsi="Arial" w:cs="Arial"/>
          <w:sz w:val="22"/>
          <w:szCs w:val="22"/>
        </w:rPr>
        <w:t xml:space="preserve"> NHS England. Available at: </w:t>
      </w:r>
      <w:hyperlink r:id="rId33" w:history="1">
        <w:r w:rsidRPr="00C11265">
          <w:rPr>
            <w:rFonts w:ascii="Arial" w:eastAsia="Times New Roman" w:hAnsi="Arial" w:cs="Arial"/>
            <w:color w:val="0000FF"/>
            <w:sz w:val="22"/>
            <w:szCs w:val="22"/>
            <w:u w:val="single"/>
          </w:rPr>
          <w:t>https://www.england.nhs.uk</w:t>
        </w:r>
      </w:hyperlink>
      <w:r w:rsidRPr="00C11265">
        <w:rPr>
          <w:rFonts w:ascii="Arial" w:eastAsia="Times New Roman" w:hAnsi="Arial" w:cs="Arial"/>
          <w:sz w:val="22"/>
          <w:szCs w:val="22"/>
        </w:rPr>
        <w:t xml:space="preserve"> (Accessed: 17 September 2025).</w:t>
      </w:r>
    </w:p>
    <w:p w14:paraId="43FE3A49" w14:textId="77777777" w:rsidR="00C11265" w:rsidRPr="00C11265" w:rsidRDefault="00C11265" w:rsidP="00494FEB">
      <w:pPr>
        <w:spacing w:line="360" w:lineRule="auto"/>
        <w:rPr>
          <w:rFonts w:ascii="Arial" w:eastAsia="Times New Roman" w:hAnsi="Arial" w:cs="Arial"/>
          <w:sz w:val="22"/>
          <w:szCs w:val="22"/>
        </w:rPr>
      </w:pPr>
    </w:p>
    <w:p w14:paraId="15E18D9C"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NHS England (2025) </w:t>
      </w:r>
      <w:r w:rsidRPr="00293458">
        <w:rPr>
          <w:rFonts w:ascii="Arial" w:eastAsia="Times New Roman" w:hAnsi="Arial" w:cs="Arial"/>
          <w:i/>
          <w:iCs/>
          <w:sz w:val="22"/>
          <w:szCs w:val="22"/>
        </w:rPr>
        <w:t xml:space="preserve">Medicus Health pilot evaluation: implementation insights and workforce feedback. </w:t>
      </w:r>
      <w:r w:rsidRPr="00C11265">
        <w:rPr>
          <w:rFonts w:ascii="Arial" w:eastAsia="Times New Roman" w:hAnsi="Arial" w:cs="Arial"/>
          <w:sz w:val="22"/>
          <w:szCs w:val="22"/>
        </w:rPr>
        <w:t xml:space="preserve">London: NHS England. Available at: </w:t>
      </w:r>
      <w:hyperlink r:id="rId34" w:history="1">
        <w:r w:rsidRPr="00C11265">
          <w:rPr>
            <w:rFonts w:ascii="Arial" w:eastAsia="Times New Roman" w:hAnsi="Arial" w:cs="Arial"/>
            <w:color w:val="0000FF"/>
            <w:sz w:val="22"/>
            <w:szCs w:val="22"/>
            <w:u w:val="single"/>
          </w:rPr>
          <w:t>https://www.england.nhs.uk/2025/06/nhs-approves-new-it-system-for-gps-to-help-transform-care/</w:t>
        </w:r>
      </w:hyperlink>
      <w:r w:rsidRPr="00C11265">
        <w:rPr>
          <w:rFonts w:ascii="Arial" w:eastAsia="Times New Roman" w:hAnsi="Arial" w:cs="Arial"/>
          <w:sz w:val="22"/>
          <w:szCs w:val="22"/>
        </w:rPr>
        <w:t xml:space="preserve"> (Accessed: 13 October 2025).</w:t>
      </w:r>
    </w:p>
    <w:p w14:paraId="552B3B74" w14:textId="77777777" w:rsidR="00C11265" w:rsidRPr="00C11265" w:rsidRDefault="00C11265" w:rsidP="00494FEB">
      <w:pPr>
        <w:spacing w:line="360" w:lineRule="auto"/>
        <w:rPr>
          <w:rFonts w:ascii="Arial" w:eastAsia="Times New Roman" w:hAnsi="Arial" w:cs="Arial"/>
          <w:sz w:val="22"/>
          <w:szCs w:val="22"/>
        </w:rPr>
      </w:pPr>
    </w:p>
    <w:p w14:paraId="09025791"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NHS England Digital (2024) </w:t>
      </w:r>
      <w:r w:rsidRPr="003D3CB8">
        <w:rPr>
          <w:rFonts w:ascii="Arial" w:eastAsia="Times New Roman" w:hAnsi="Arial" w:cs="Arial"/>
          <w:i/>
          <w:iCs/>
          <w:sz w:val="22"/>
          <w:szCs w:val="22"/>
        </w:rPr>
        <w:t>Protecting patient data: National Data Opt-Out guidance</w:t>
      </w:r>
      <w:r w:rsidRPr="00C11265">
        <w:rPr>
          <w:rFonts w:ascii="Arial" w:eastAsia="Times New Roman" w:hAnsi="Arial" w:cs="Arial"/>
          <w:sz w:val="22"/>
          <w:szCs w:val="22"/>
        </w:rPr>
        <w:t xml:space="preserve">. Available at: </w:t>
      </w:r>
      <w:hyperlink r:id="rId35" w:history="1">
        <w:r w:rsidRPr="00C11265">
          <w:rPr>
            <w:rFonts w:ascii="Arial" w:eastAsia="Times New Roman" w:hAnsi="Arial" w:cs="Arial"/>
            <w:color w:val="0000FF"/>
            <w:sz w:val="22"/>
            <w:szCs w:val="22"/>
            <w:u w:val="single"/>
          </w:rPr>
          <w:t>https://digital.nhs.uk/services/national-data-opt-out/understanding-the-national-data-opt-out/protecting-patient-data</w:t>
        </w:r>
      </w:hyperlink>
      <w:r w:rsidRPr="00C11265">
        <w:rPr>
          <w:rFonts w:ascii="Arial" w:eastAsia="Times New Roman" w:hAnsi="Arial" w:cs="Arial"/>
          <w:sz w:val="22"/>
          <w:szCs w:val="22"/>
        </w:rPr>
        <w:t xml:space="preserve"> (Accessed: 17 September 2025).</w:t>
      </w:r>
    </w:p>
    <w:p w14:paraId="42479BA5" w14:textId="77777777" w:rsidR="00C11265" w:rsidRPr="00C11265" w:rsidRDefault="00C11265" w:rsidP="00494FEB">
      <w:pPr>
        <w:spacing w:line="360" w:lineRule="auto"/>
        <w:rPr>
          <w:rFonts w:ascii="Arial" w:eastAsia="Times New Roman" w:hAnsi="Arial" w:cs="Arial"/>
          <w:sz w:val="22"/>
          <w:szCs w:val="22"/>
        </w:rPr>
      </w:pPr>
    </w:p>
    <w:p w14:paraId="39E60A80" w14:textId="66A40136"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Nuffield Trust (2022) </w:t>
      </w:r>
      <w:r w:rsidRPr="003D3CB8">
        <w:rPr>
          <w:rFonts w:ascii="Arial" w:eastAsia="Times New Roman" w:hAnsi="Arial" w:cs="Arial"/>
          <w:i/>
          <w:iCs/>
          <w:sz w:val="22"/>
          <w:szCs w:val="22"/>
        </w:rPr>
        <w:t>Digital primary care: improving access for all?</w:t>
      </w:r>
      <w:r w:rsidRPr="00C11265">
        <w:rPr>
          <w:rFonts w:ascii="Arial" w:eastAsia="Times New Roman" w:hAnsi="Arial" w:cs="Arial"/>
          <w:sz w:val="22"/>
          <w:szCs w:val="22"/>
        </w:rPr>
        <w:t xml:space="preserve"> Rapid evidence </w:t>
      </w:r>
      <w:r w:rsidR="002E35D1" w:rsidRPr="00C11265">
        <w:rPr>
          <w:rFonts w:ascii="Arial" w:eastAsia="Times New Roman" w:hAnsi="Arial" w:cs="Arial"/>
          <w:sz w:val="22"/>
          <w:szCs w:val="22"/>
        </w:rPr>
        <w:t>reviews</w:t>
      </w:r>
      <w:r w:rsidRPr="00C11265">
        <w:rPr>
          <w:rFonts w:ascii="Arial" w:eastAsia="Times New Roman" w:hAnsi="Arial" w:cs="Arial"/>
          <w:sz w:val="22"/>
          <w:szCs w:val="22"/>
        </w:rPr>
        <w:t xml:space="preserve">. London: Nuffield Trust. Available at: </w:t>
      </w:r>
      <w:hyperlink r:id="rId36" w:history="1">
        <w:r w:rsidRPr="00C11265">
          <w:rPr>
            <w:rFonts w:ascii="Arial" w:eastAsia="Times New Roman" w:hAnsi="Arial" w:cs="Arial"/>
            <w:color w:val="0000FF"/>
            <w:sz w:val="22"/>
            <w:szCs w:val="22"/>
            <w:u w:val="single"/>
          </w:rPr>
          <w:t>https://www.nuffieldtrust.org.uk/research/digital-primary-care-improving-access-for-all-rapid-evidence-review</w:t>
        </w:r>
      </w:hyperlink>
      <w:r w:rsidRPr="00C11265">
        <w:rPr>
          <w:rFonts w:ascii="Arial" w:eastAsia="Times New Roman" w:hAnsi="Arial" w:cs="Arial"/>
          <w:sz w:val="22"/>
          <w:szCs w:val="22"/>
        </w:rPr>
        <w:t xml:space="preserve"> (Accessed: 23 October 2025).</w:t>
      </w:r>
    </w:p>
    <w:p w14:paraId="1A72CB80" w14:textId="77777777" w:rsidR="00C11265" w:rsidRPr="00C11265" w:rsidRDefault="00C11265" w:rsidP="00494FEB">
      <w:pPr>
        <w:spacing w:line="360" w:lineRule="auto"/>
        <w:rPr>
          <w:rFonts w:ascii="Arial" w:eastAsia="Times New Roman" w:hAnsi="Arial" w:cs="Arial"/>
          <w:sz w:val="22"/>
          <w:szCs w:val="22"/>
        </w:rPr>
      </w:pPr>
    </w:p>
    <w:p w14:paraId="492DAC83"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Paddison, C. and McGill, I. (2022) </w:t>
      </w:r>
      <w:r w:rsidRPr="003D3CB8">
        <w:rPr>
          <w:rFonts w:ascii="Arial" w:eastAsia="Times New Roman" w:hAnsi="Arial" w:cs="Arial"/>
          <w:i/>
          <w:iCs/>
          <w:sz w:val="22"/>
          <w:szCs w:val="22"/>
        </w:rPr>
        <w:t>Digital primary care: Improving access for all? Rapid evidence reviews</w:t>
      </w:r>
      <w:r w:rsidRPr="00C11265">
        <w:rPr>
          <w:rFonts w:ascii="Arial" w:eastAsia="Times New Roman" w:hAnsi="Arial" w:cs="Arial"/>
          <w:sz w:val="22"/>
          <w:szCs w:val="22"/>
        </w:rPr>
        <w:t xml:space="preserve">. London: Nuffield Trust. Available at: </w:t>
      </w:r>
      <w:hyperlink r:id="rId37" w:history="1">
        <w:r w:rsidRPr="00C11265">
          <w:rPr>
            <w:rFonts w:ascii="Arial" w:eastAsia="Times New Roman" w:hAnsi="Arial" w:cs="Arial"/>
            <w:color w:val="0000FF"/>
            <w:sz w:val="22"/>
            <w:szCs w:val="22"/>
            <w:u w:val="single"/>
          </w:rPr>
          <w:t>https://www.nuffieldtrust.org.uk/sites/default/files/2022-02/digital-access-to-general-practice-evidence-review.pdf</w:t>
        </w:r>
      </w:hyperlink>
      <w:r w:rsidRPr="00C11265">
        <w:rPr>
          <w:rFonts w:ascii="Arial" w:eastAsia="Times New Roman" w:hAnsi="Arial" w:cs="Arial"/>
          <w:sz w:val="22"/>
          <w:szCs w:val="22"/>
        </w:rPr>
        <w:t xml:space="preserve"> (Accessed: 22 October 2025).</w:t>
      </w:r>
    </w:p>
    <w:p w14:paraId="2C441070" w14:textId="77777777" w:rsidR="00C11265" w:rsidRPr="00C11265" w:rsidRDefault="00C11265" w:rsidP="00494FEB">
      <w:pPr>
        <w:spacing w:line="360" w:lineRule="auto"/>
        <w:rPr>
          <w:rFonts w:ascii="Arial" w:eastAsia="Times New Roman" w:hAnsi="Arial" w:cs="Arial"/>
          <w:sz w:val="22"/>
          <w:szCs w:val="22"/>
        </w:rPr>
      </w:pPr>
    </w:p>
    <w:p w14:paraId="783FF986"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Payne, T.H., Corley, S., Cullen, T.A. and Gandhi, T.K. (2021) ‘Report of the AMIA EHR 2020 Task Force on clinical decision support’, </w:t>
      </w:r>
      <w:r w:rsidRPr="003D3CB8">
        <w:rPr>
          <w:rFonts w:ascii="Arial" w:eastAsia="Times New Roman" w:hAnsi="Arial" w:cs="Arial"/>
          <w:i/>
          <w:iCs/>
          <w:sz w:val="22"/>
          <w:szCs w:val="22"/>
        </w:rPr>
        <w:t>Journal of the American Medical Informatics Association</w:t>
      </w:r>
      <w:r w:rsidRPr="00C11265">
        <w:rPr>
          <w:rFonts w:ascii="Arial" w:eastAsia="Times New Roman" w:hAnsi="Arial" w:cs="Arial"/>
          <w:sz w:val="22"/>
          <w:szCs w:val="22"/>
        </w:rPr>
        <w:t xml:space="preserve">, 28(1), pp. 1–10. Available at: </w:t>
      </w:r>
      <w:hyperlink r:id="rId38" w:history="1">
        <w:r w:rsidRPr="00C11265">
          <w:rPr>
            <w:rFonts w:ascii="Arial" w:eastAsia="Times New Roman" w:hAnsi="Arial" w:cs="Arial"/>
            <w:color w:val="0000FF"/>
            <w:sz w:val="22"/>
            <w:szCs w:val="22"/>
            <w:u w:val="single"/>
          </w:rPr>
          <w:t>https://academic.oup.com/jamia/article/28/1/1/6018276</w:t>
        </w:r>
      </w:hyperlink>
      <w:r w:rsidRPr="00C11265">
        <w:rPr>
          <w:rFonts w:ascii="Arial" w:eastAsia="Times New Roman" w:hAnsi="Arial" w:cs="Arial"/>
          <w:sz w:val="22"/>
          <w:szCs w:val="22"/>
        </w:rPr>
        <w:t xml:space="preserve"> (Accessed: 13 October 2025).</w:t>
      </w:r>
    </w:p>
    <w:p w14:paraId="4C3CF632" w14:textId="77777777" w:rsidR="00C11265" w:rsidRPr="00C11265" w:rsidRDefault="00C11265" w:rsidP="00494FEB">
      <w:pPr>
        <w:spacing w:line="360" w:lineRule="auto"/>
        <w:rPr>
          <w:rFonts w:ascii="Arial" w:eastAsia="Times New Roman" w:hAnsi="Arial" w:cs="Arial"/>
          <w:sz w:val="22"/>
          <w:szCs w:val="22"/>
        </w:rPr>
      </w:pPr>
    </w:p>
    <w:p w14:paraId="49548503" w14:textId="77777777" w:rsidR="001E29AD"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lastRenderedPageBreak/>
        <w:t xml:space="preserve">Poduval, S., Arnold, L., Carta, E., Nimmons, D., Stratton, I., Shaw, M., Bradbury, K. and Stevenson, F. (2025) ‘Do community-based digital health inclusion programmes contribute to reducing health inequalities?’, </w:t>
      </w:r>
      <w:r w:rsidRPr="008F0D0B">
        <w:rPr>
          <w:rFonts w:ascii="Arial" w:eastAsia="Times New Roman" w:hAnsi="Arial" w:cs="Arial"/>
          <w:i/>
          <w:iCs/>
          <w:sz w:val="22"/>
          <w:szCs w:val="22"/>
        </w:rPr>
        <w:t>BMJ Open.</w:t>
      </w:r>
      <w:r w:rsidRPr="00C11265">
        <w:rPr>
          <w:rFonts w:ascii="Arial" w:eastAsia="Times New Roman" w:hAnsi="Arial" w:cs="Arial"/>
          <w:sz w:val="22"/>
          <w:szCs w:val="22"/>
        </w:rPr>
        <w:t xml:space="preserve"> Available at: [publication URL] (Accessed: 18 September 2025).</w:t>
      </w:r>
    </w:p>
    <w:p w14:paraId="65B2770D" w14:textId="77777777" w:rsidR="00F01673" w:rsidRPr="00C11265" w:rsidRDefault="00F01673" w:rsidP="00494FEB">
      <w:pPr>
        <w:spacing w:line="360" w:lineRule="auto"/>
        <w:rPr>
          <w:rFonts w:ascii="Arial" w:eastAsia="Times New Roman" w:hAnsi="Arial" w:cs="Arial"/>
          <w:sz w:val="22"/>
          <w:szCs w:val="22"/>
        </w:rPr>
      </w:pPr>
    </w:p>
    <w:p w14:paraId="4A7F9D54"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Pulse Today (2024) </w:t>
      </w:r>
      <w:r w:rsidRPr="003D3CB8">
        <w:rPr>
          <w:rFonts w:ascii="Arial" w:eastAsia="Times New Roman" w:hAnsi="Arial" w:cs="Arial"/>
          <w:i/>
          <w:iCs/>
          <w:sz w:val="22"/>
          <w:szCs w:val="22"/>
        </w:rPr>
        <w:t>44% of GP admin work can be fully automated, the workforce plan suggests.</w:t>
      </w:r>
      <w:r w:rsidRPr="00C11265">
        <w:rPr>
          <w:rFonts w:ascii="Arial" w:eastAsia="Times New Roman" w:hAnsi="Arial" w:cs="Arial"/>
          <w:sz w:val="22"/>
          <w:szCs w:val="22"/>
        </w:rPr>
        <w:t xml:space="preserve"> Pulse Today. Available at: </w:t>
      </w:r>
      <w:hyperlink r:id="rId39" w:history="1">
        <w:r w:rsidRPr="00C11265">
          <w:rPr>
            <w:rFonts w:ascii="Arial" w:eastAsia="Times New Roman" w:hAnsi="Arial" w:cs="Arial"/>
            <w:color w:val="0000FF"/>
            <w:sz w:val="22"/>
            <w:szCs w:val="22"/>
            <w:u w:val="single"/>
          </w:rPr>
          <w:t>https://www.pulsetoday.co.uk/news/workforce/44-of-gp-admin-work-can-be-fully-automated-workforce-plan-suggests/</w:t>
        </w:r>
      </w:hyperlink>
      <w:r w:rsidRPr="00C11265">
        <w:rPr>
          <w:rFonts w:ascii="Arial" w:eastAsia="Times New Roman" w:hAnsi="Arial" w:cs="Arial"/>
          <w:sz w:val="22"/>
          <w:szCs w:val="22"/>
        </w:rPr>
        <w:t xml:space="preserve"> (Accessed: 23 October 2025).</w:t>
      </w:r>
    </w:p>
    <w:p w14:paraId="6132310C" w14:textId="77777777" w:rsidR="00C11265" w:rsidRPr="00C11265" w:rsidRDefault="00C11265" w:rsidP="00494FEB">
      <w:pPr>
        <w:spacing w:line="360" w:lineRule="auto"/>
        <w:rPr>
          <w:rFonts w:ascii="Arial" w:eastAsia="Times New Roman" w:hAnsi="Arial" w:cs="Arial"/>
          <w:sz w:val="22"/>
          <w:szCs w:val="22"/>
        </w:rPr>
      </w:pPr>
    </w:p>
    <w:p w14:paraId="1CC3862B"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Ratwani, R.M., Savage, E., Will, A., Fong, A., Karavite, D., Muthu, N., Rivera, A.J., Gibson, C., Asmonga, D., Moscovitch, B., Grundmeier, R. and Rising, J. (2018) ‘Identifying electronic health record usability and safety challenges in pediatric settings’, </w:t>
      </w:r>
      <w:r w:rsidRPr="00AD5F58">
        <w:rPr>
          <w:rFonts w:ascii="Arial" w:eastAsia="Times New Roman" w:hAnsi="Arial" w:cs="Arial"/>
          <w:i/>
          <w:iCs/>
          <w:sz w:val="22"/>
          <w:szCs w:val="22"/>
        </w:rPr>
        <w:t>Health Affairs,</w:t>
      </w:r>
      <w:r w:rsidRPr="00C11265">
        <w:rPr>
          <w:rFonts w:ascii="Arial" w:eastAsia="Times New Roman" w:hAnsi="Arial" w:cs="Arial"/>
          <w:sz w:val="22"/>
          <w:szCs w:val="22"/>
        </w:rPr>
        <w:t xml:space="preserve"> 37(11), pp. 1752–1759. doi: 10.1377/hlthaff.2018.0699. Available at: </w:t>
      </w:r>
      <w:hyperlink r:id="rId40" w:history="1">
        <w:r w:rsidRPr="00C11265">
          <w:rPr>
            <w:rFonts w:ascii="Arial" w:eastAsia="Times New Roman" w:hAnsi="Arial" w:cs="Arial"/>
            <w:color w:val="0000FF"/>
            <w:sz w:val="22"/>
            <w:szCs w:val="22"/>
            <w:u w:val="single"/>
          </w:rPr>
          <w:t>https://pubmed.ncbi.nlm.nih.gov/30395517/</w:t>
        </w:r>
      </w:hyperlink>
      <w:r w:rsidRPr="00C11265">
        <w:rPr>
          <w:rFonts w:ascii="Arial" w:eastAsia="Times New Roman" w:hAnsi="Arial" w:cs="Arial"/>
          <w:sz w:val="22"/>
          <w:szCs w:val="22"/>
        </w:rPr>
        <w:t xml:space="preserve"> (Accessed: 22 October 2026).</w:t>
      </w:r>
    </w:p>
    <w:p w14:paraId="0B272B9D" w14:textId="77777777" w:rsidR="00C11265" w:rsidRPr="00C11265" w:rsidRDefault="00C11265" w:rsidP="00494FEB">
      <w:pPr>
        <w:spacing w:line="360" w:lineRule="auto"/>
        <w:rPr>
          <w:rFonts w:ascii="Arial" w:eastAsia="Times New Roman" w:hAnsi="Arial" w:cs="Arial"/>
          <w:sz w:val="22"/>
          <w:szCs w:val="22"/>
        </w:rPr>
      </w:pPr>
    </w:p>
    <w:p w14:paraId="13FEF39E"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TPP (The Phoenix Partnership) (2025) General Practice </w:t>
      </w:r>
      <w:r w:rsidRPr="00AD5F58">
        <w:rPr>
          <w:rFonts w:ascii="Arial" w:eastAsia="Times New Roman" w:hAnsi="Arial" w:cs="Arial"/>
          <w:i/>
          <w:iCs/>
          <w:sz w:val="22"/>
          <w:szCs w:val="22"/>
        </w:rPr>
        <w:t>(SystmOne).</w:t>
      </w:r>
      <w:r w:rsidRPr="00C11265">
        <w:rPr>
          <w:rFonts w:ascii="Arial" w:eastAsia="Times New Roman" w:hAnsi="Arial" w:cs="Arial"/>
          <w:sz w:val="22"/>
          <w:szCs w:val="22"/>
        </w:rPr>
        <w:t xml:space="preserve"> Available at: </w:t>
      </w:r>
      <w:hyperlink r:id="rId41" w:history="1">
        <w:r w:rsidRPr="00C11265">
          <w:rPr>
            <w:rFonts w:ascii="Arial" w:eastAsia="Times New Roman" w:hAnsi="Arial" w:cs="Arial"/>
            <w:color w:val="0000FF"/>
            <w:sz w:val="22"/>
            <w:szCs w:val="22"/>
            <w:u w:val="single"/>
          </w:rPr>
          <w:t>https://tpp-uk.com/general-practice/emr/</w:t>
        </w:r>
      </w:hyperlink>
      <w:r w:rsidRPr="00C11265">
        <w:rPr>
          <w:rFonts w:ascii="Arial" w:eastAsia="Times New Roman" w:hAnsi="Arial" w:cs="Arial"/>
          <w:sz w:val="22"/>
          <w:szCs w:val="22"/>
        </w:rPr>
        <w:t xml:space="preserve"> (Accessed: 15 October 2025).</w:t>
      </w:r>
    </w:p>
    <w:p w14:paraId="1B92EF2D" w14:textId="77777777" w:rsidR="00C11265" w:rsidRPr="00C11265" w:rsidRDefault="00C11265" w:rsidP="00494FEB">
      <w:pPr>
        <w:spacing w:line="360" w:lineRule="auto"/>
        <w:rPr>
          <w:rFonts w:ascii="Arial" w:eastAsia="Times New Roman" w:hAnsi="Arial" w:cs="Arial"/>
          <w:sz w:val="22"/>
          <w:szCs w:val="22"/>
        </w:rPr>
      </w:pPr>
    </w:p>
    <w:p w14:paraId="36D4BFA1"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UWTSD Moodle (2025) C1 </w:t>
      </w:r>
      <w:r w:rsidRPr="00AD5F58">
        <w:rPr>
          <w:rFonts w:ascii="Arial" w:eastAsia="Times New Roman" w:hAnsi="Arial" w:cs="Arial"/>
          <w:i/>
          <w:iCs/>
          <w:sz w:val="22"/>
          <w:szCs w:val="22"/>
        </w:rPr>
        <w:t>Thematic Approach</w:t>
      </w:r>
      <w:r w:rsidRPr="00C11265">
        <w:rPr>
          <w:rFonts w:ascii="Arial" w:eastAsia="Times New Roman" w:hAnsi="Arial" w:cs="Arial"/>
          <w:sz w:val="22"/>
          <w:szCs w:val="22"/>
        </w:rPr>
        <w:t xml:space="preserve">. Available at: </w:t>
      </w:r>
      <w:hyperlink r:id="rId42" w:history="1">
        <w:r w:rsidRPr="00C11265">
          <w:rPr>
            <w:rFonts w:ascii="Arial" w:eastAsia="Times New Roman" w:hAnsi="Arial" w:cs="Arial"/>
            <w:color w:val="0000FF"/>
            <w:sz w:val="22"/>
            <w:szCs w:val="22"/>
            <w:u w:val="single"/>
          </w:rPr>
          <w:t>https://moodle.uwtsd.ac.uk/pluginfile.php/979801/mod_folder/content/0/C1%20Thematic%20Approach.pdf</w:t>
        </w:r>
      </w:hyperlink>
      <w:r w:rsidRPr="00C11265">
        <w:rPr>
          <w:rFonts w:ascii="Arial" w:eastAsia="Times New Roman" w:hAnsi="Arial" w:cs="Arial"/>
          <w:sz w:val="22"/>
          <w:szCs w:val="22"/>
        </w:rPr>
        <w:t xml:space="preserve"> (Accessed: 23 October 2025).</w:t>
      </w:r>
    </w:p>
    <w:p w14:paraId="46AD9A7F" w14:textId="77777777" w:rsidR="00C11265" w:rsidRPr="00C11265" w:rsidRDefault="00C11265" w:rsidP="00494FEB">
      <w:pPr>
        <w:spacing w:line="360" w:lineRule="auto"/>
        <w:rPr>
          <w:rFonts w:ascii="Arial" w:eastAsia="Times New Roman" w:hAnsi="Arial" w:cs="Arial"/>
          <w:sz w:val="22"/>
          <w:szCs w:val="22"/>
        </w:rPr>
      </w:pPr>
    </w:p>
    <w:p w14:paraId="1AC8450E" w14:textId="77777777" w:rsidR="001E29AD" w:rsidRPr="00C11265" w:rsidRDefault="001E29AD" w:rsidP="00494FEB">
      <w:pPr>
        <w:spacing w:line="360" w:lineRule="auto"/>
        <w:rPr>
          <w:rFonts w:ascii="Arial" w:eastAsia="Times New Roman" w:hAnsi="Arial" w:cs="Arial"/>
          <w:sz w:val="22"/>
          <w:szCs w:val="22"/>
        </w:rPr>
      </w:pPr>
      <w:r w:rsidRPr="00C11265">
        <w:rPr>
          <w:rFonts w:ascii="Arial" w:eastAsia="Times New Roman" w:hAnsi="Arial" w:cs="Arial"/>
          <w:sz w:val="22"/>
          <w:szCs w:val="22"/>
        </w:rPr>
        <w:t xml:space="preserve">WHO (2019) WHO guideline: </w:t>
      </w:r>
      <w:r w:rsidRPr="00AD5F58">
        <w:rPr>
          <w:rFonts w:ascii="Arial" w:eastAsia="Times New Roman" w:hAnsi="Arial" w:cs="Arial"/>
          <w:i/>
          <w:iCs/>
          <w:sz w:val="22"/>
          <w:szCs w:val="22"/>
        </w:rPr>
        <w:t>recommendations on digital interventions for health system strengthening.</w:t>
      </w:r>
      <w:r w:rsidRPr="00C11265">
        <w:rPr>
          <w:rFonts w:ascii="Arial" w:eastAsia="Times New Roman" w:hAnsi="Arial" w:cs="Arial"/>
          <w:sz w:val="22"/>
          <w:szCs w:val="22"/>
        </w:rPr>
        <w:t xml:space="preserve"> Geneva: World Health Organization. Available at: </w:t>
      </w:r>
      <w:hyperlink r:id="rId43" w:history="1">
        <w:r w:rsidRPr="00C11265">
          <w:rPr>
            <w:rFonts w:ascii="Arial" w:eastAsia="Times New Roman" w:hAnsi="Arial" w:cs="Arial"/>
            <w:color w:val="0000FF"/>
            <w:sz w:val="22"/>
            <w:szCs w:val="22"/>
            <w:u w:val="single"/>
          </w:rPr>
          <w:t>https://www.who.int/publications/i/item/9789241550505</w:t>
        </w:r>
      </w:hyperlink>
      <w:r w:rsidRPr="00C11265">
        <w:rPr>
          <w:rFonts w:ascii="Arial" w:eastAsia="Times New Roman" w:hAnsi="Arial" w:cs="Arial"/>
          <w:sz w:val="22"/>
          <w:szCs w:val="22"/>
        </w:rPr>
        <w:t xml:space="preserve"> (Accessed: 15 October 2025).</w:t>
      </w:r>
    </w:p>
    <w:p w14:paraId="100DDB18" w14:textId="77777777" w:rsidR="001E29AD" w:rsidRPr="001E29AD" w:rsidRDefault="001E29AD" w:rsidP="00494FEB">
      <w:pPr>
        <w:spacing w:line="360" w:lineRule="auto"/>
        <w:rPr>
          <w:rFonts w:ascii="Arial" w:eastAsia="Times New Roman" w:hAnsi="Arial" w:cs="Arial"/>
          <w:b/>
          <w:bCs/>
          <w:kern w:val="0"/>
          <w:sz w:val="36"/>
          <w:szCs w:val="36"/>
          <w:lang w:eastAsia="en-GB"/>
          <w14:ligatures w14:val="none"/>
        </w:rPr>
      </w:pPr>
    </w:p>
    <w:p w14:paraId="42F00352" w14:textId="583C1913" w:rsidR="0050328B" w:rsidRPr="001E29AD" w:rsidRDefault="0050328B" w:rsidP="00494FEB">
      <w:pPr>
        <w:spacing w:line="360" w:lineRule="auto"/>
        <w:rPr>
          <w:rFonts w:ascii="Arial" w:hAnsi="Arial" w:cs="Arial"/>
        </w:rPr>
      </w:pPr>
    </w:p>
    <w:sectPr w:rsidR="0050328B" w:rsidRPr="001E29AD" w:rsidSect="00A31F76">
      <w:headerReference w:type="default" r:id="rId44"/>
      <w:footerReference w:type="default" r:id="rId4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48488" w14:textId="77777777" w:rsidR="005527A5" w:rsidRDefault="005527A5" w:rsidP="00A32670">
      <w:pPr>
        <w:spacing w:after="0" w:line="240" w:lineRule="auto"/>
      </w:pPr>
      <w:r>
        <w:separator/>
      </w:r>
    </w:p>
  </w:endnote>
  <w:endnote w:type="continuationSeparator" w:id="0">
    <w:p w14:paraId="277B6946" w14:textId="77777777" w:rsidR="005527A5" w:rsidRDefault="005527A5" w:rsidP="00A32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977169"/>
      <w:docPartObj>
        <w:docPartGallery w:val="Page Numbers (Bottom of Page)"/>
        <w:docPartUnique/>
      </w:docPartObj>
    </w:sdtPr>
    <w:sdtContent>
      <w:p w14:paraId="03DB2A1C" w14:textId="0538CAF3" w:rsidR="00F20C2C" w:rsidRDefault="00F20C2C">
        <w:pPr>
          <w:pStyle w:val="Footer"/>
        </w:pPr>
        <w:r>
          <w:fldChar w:fldCharType="begin"/>
        </w:r>
        <w:r>
          <w:instrText>PAGE   \* MERGEFORMAT</w:instrText>
        </w:r>
        <w:r>
          <w:fldChar w:fldCharType="separate"/>
        </w:r>
        <w:r>
          <w:t>2</w:t>
        </w:r>
        <w:r>
          <w:fldChar w:fldCharType="end"/>
        </w:r>
      </w:p>
    </w:sdtContent>
  </w:sdt>
  <w:p w14:paraId="41B42265" w14:textId="77777777" w:rsidR="00364210" w:rsidRDefault="00364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F832C" w14:textId="77777777" w:rsidR="005527A5" w:rsidRDefault="005527A5" w:rsidP="00A32670">
      <w:pPr>
        <w:spacing w:after="0" w:line="240" w:lineRule="auto"/>
      </w:pPr>
      <w:r>
        <w:separator/>
      </w:r>
    </w:p>
  </w:footnote>
  <w:footnote w:type="continuationSeparator" w:id="0">
    <w:p w14:paraId="7DC313DE" w14:textId="77777777" w:rsidR="005527A5" w:rsidRDefault="005527A5" w:rsidP="00A326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C3730" w14:textId="4C549460" w:rsidR="00364210" w:rsidRDefault="009142E8">
    <w:pPr>
      <w:pStyle w:val="Header"/>
    </w:pPr>
    <w:r>
      <w:rPr>
        <w:noProof/>
      </w:rPr>
      <mc:AlternateContent>
        <mc:Choice Requires="wps">
          <w:drawing>
            <wp:anchor distT="0" distB="0" distL="118745" distR="118745" simplePos="0" relativeHeight="251658240" behindDoc="1" locked="0" layoutInCell="1" allowOverlap="0" wp14:anchorId="63CCFFF6" wp14:editId="4A847F72">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aps/>
                              <w:color w:val="FFFFFF" w:themeColor="background1"/>
                              <w:sz w:val="20"/>
                              <w:szCs w:val="20"/>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CD0AB79" w14:textId="58E0EC63" w:rsidR="009142E8" w:rsidRPr="001C6BF1" w:rsidRDefault="002B3FD3">
                              <w:pPr>
                                <w:pStyle w:val="Header"/>
                                <w:tabs>
                                  <w:tab w:val="clear" w:pos="4680"/>
                                  <w:tab w:val="clear" w:pos="9360"/>
                                </w:tabs>
                                <w:jc w:val="center"/>
                                <w:rPr>
                                  <w:b/>
                                  <w:bCs/>
                                  <w:caps/>
                                  <w:color w:val="FFFFFF" w:themeColor="background1"/>
                                  <w:sz w:val="20"/>
                                  <w:szCs w:val="20"/>
                                </w:rPr>
                              </w:pPr>
                              <w:r w:rsidRPr="001C6BF1">
                                <w:rPr>
                                  <w:b/>
                                  <w:bCs/>
                                  <w:caps/>
                                  <w:color w:val="FFFFFF" w:themeColor="background1"/>
                                  <w:sz w:val="20"/>
                                  <w:szCs w:val="20"/>
                                </w:rPr>
                                <w:t>Medicus Health Cloud</w:t>
                              </w:r>
                              <w:r w:rsidRPr="001C6BF1">
                                <w:rPr>
                                  <w:rFonts w:ascii="Cambria Math" w:hAnsi="Cambria Math" w:cs="Cambria Math"/>
                                  <w:b/>
                                  <w:bCs/>
                                  <w:caps/>
                                  <w:color w:val="FFFFFF" w:themeColor="background1"/>
                                  <w:sz w:val="20"/>
                                  <w:szCs w:val="20"/>
                                </w:rPr>
                                <w:t>‑</w:t>
                              </w:r>
                              <w:r w:rsidRPr="001C6BF1">
                                <w:rPr>
                                  <w:b/>
                                  <w:bCs/>
                                  <w:caps/>
                                  <w:color w:val="FFFFFF" w:themeColor="background1"/>
                                  <w:sz w:val="20"/>
                                  <w:szCs w:val="20"/>
                                </w:rPr>
                                <w:t>Based Clinical System: A Case Study in Digital Transformation Across NHS General Practice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3CCFFF6" id="Rectangle 200" o:spid="_x0000_s1027" style="position:absolute;margin-left:0;margin-top:0;width:468.5pt;height:21.3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" o:allowoverlap="f" fillcolor="#156082 [3204]" stroked="f" strokeweight="1.5pt">
              <v:textbox style="mso-fit-shape-to-text:t">
                <w:txbxContent>
                  <w:sdt>
                    <w:sdtPr>
                      <w:rPr>
                        <w:b/>
                        <w:bCs/>
                        <w:caps/>
                        <w:color w:val="FFFFFF" w:themeColor="background1"/>
                        <w:sz w:val="20"/>
                        <w:szCs w:val="20"/>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CD0AB79" w14:textId="58E0EC63" w:rsidR="009142E8" w:rsidRPr="001C6BF1" w:rsidRDefault="002B3FD3">
                        <w:pPr>
                          <w:pStyle w:val="Header"/>
                          <w:tabs>
                            <w:tab w:val="clear" w:pos="4680"/>
                            <w:tab w:val="clear" w:pos="9360"/>
                          </w:tabs>
                          <w:jc w:val="center"/>
                          <w:rPr>
                            <w:b/>
                            <w:bCs/>
                            <w:caps/>
                            <w:color w:val="FFFFFF" w:themeColor="background1"/>
                            <w:sz w:val="20"/>
                            <w:szCs w:val="20"/>
                          </w:rPr>
                        </w:pPr>
                        <w:r w:rsidRPr="001C6BF1">
                          <w:rPr>
                            <w:b/>
                            <w:bCs/>
                            <w:caps/>
                            <w:color w:val="FFFFFF" w:themeColor="background1"/>
                            <w:sz w:val="20"/>
                            <w:szCs w:val="20"/>
                          </w:rPr>
                          <w:t>Medicus Health Cloud</w:t>
                        </w:r>
                        <w:r w:rsidRPr="001C6BF1">
                          <w:rPr>
                            <w:rFonts w:ascii="Cambria Math" w:hAnsi="Cambria Math" w:cs="Cambria Math"/>
                            <w:b/>
                            <w:bCs/>
                            <w:caps/>
                            <w:color w:val="FFFFFF" w:themeColor="background1"/>
                            <w:sz w:val="20"/>
                            <w:szCs w:val="20"/>
                          </w:rPr>
                          <w:t>‑</w:t>
                        </w:r>
                        <w:r w:rsidRPr="001C6BF1">
                          <w:rPr>
                            <w:b/>
                            <w:bCs/>
                            <w:caps/>
                            <w:color w:val="FFFFFF" w:themeColor="background1"/>
                            <w:sz w:val="20"/>
                            <w:szCs w:val="20"/>
                          </w:rPr>
                          <w:t>Based Clinical System: A Case Study in Digital Transformation Across NHS General Practice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42801"/>
    <w:multiLevelType w:val="multilevel"/>
    <w:tmpl w:val="6C36CD44"/>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eastAsiaTheme="majorEastAsia" w:hint="default"/>
        <w:b w:val="0"/>
        <w:color w:val="0F4761" w:themeColor="accent1" w:themeShade="BF"/>
        <w:sz w:val="28"/>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1188F"/>
    <w:multiLevelType w:val="multilevel"/>
    <w:tmpl w:val="D41E2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FC3042"/>
    <w:multiLevelType w:val="multilevel"/>
    <w:tmpl w:val="3A680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7E177D"/>
    <w:multiLevelType w:val="multilevel"/>
    <w:tmpl w:val="AE1C1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951169"/>
    <w:multiLevelType w:val="hybridMultilevel"/>
    <w:tmpl w:val="B534F91A"/>
    <w:lvl w:ilvl="0" w:tplc="9EF6B10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F70EA0"/>
    <w:multiLevelType w:val="multilevel"/>
    <w:tmpl w:val="62DE4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3F7272"/>
    <w:multiLevelType w:val="multilevel"/>
    <w:tmpl w:val="A9023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E96D56"/>
    <w:multiLevelType w:val="multilevel"/>
    <w:tmpl w:val="79CAC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7E1A2D"/>
    <w:multiLevelType w:val="hybridMultilevel"/>
    <w:tmpl w:val="CA8E5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192D94"/>
    <w:multiLevelType w:val="multilevel"/>
    <w:tmpl w:val="AA10C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8B6250"/>
    <w:multiLevelType w:val="multilevel"/>
    <w:tmpl w:val="C2908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1C6F91"/>
    <w:multiLevelType w:val="multilevel"/>
    <w:tmpl w:val="B5842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E42161"/>
    <w:multiLevelType w:val="multilevel"/>
    <w:tmpl w:val="77FED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E517CD5"/>
    <w:multiLevelType w:val="multilevel"/>
    <w:tmpl w:val="90F80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0A7542"/>
    <w:multiLevelType w:val="multilevel"/>
    <w:tmpl w:val="52784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8F6F9A"/>
    <w:multiLevelType w:val="multilevel"/>
    <w:tmpl w:val="5C5CC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7200C4"/>
    <w:multiLevelType w:val="multilevel"/>
    <w:tmpl w:val="0C405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5D46FF"/>
    <w:multiLevelType w:val="multilevel"/>
    <w:tmpl w:val="BF967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1D404C"/>
    <w:multiLevelType w:val="multilevel"/>
    <w:tmpl w:val="D244F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9A19DF"/>
    <w:multiLevelType w:val="multilevel"/>
    <w:tmpl w:val="6C3CC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9B2C9D"/>
    <w:multiLevelType w:val="hybridMultilevel"/>
    <w:tmpl w:val="1574415C"/>
    <w:lvl w:ilvl="0" w:tplc="1BC6D1D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E773E1"/>
    <w:multiLevelType w:val="multilevel"/>
    <w:tmpl w:val="957E8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8A03773"/>
    <w:multiLevelType w:val="hybridMultilevel"/>
    <w:tmpl w:val="0F0ED99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AE1A8826">
      <w:numFmt w:val="bullet"/>
      <w:lvlText w:val="•"/>
      <w:lvlJc w:val="left"/>
      <w:pPr>
        <w:ind w:left="2160" w:hanging="360"/>
      </w:pPr>
      <w:rPr>
        <w:rFonts w:ascii="Arial" w:eastAsia="Times New Roman"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71103A"/>
    <w:multiLevelType w:val="hybridMultilevel"/>
    <w:tmpl w:val="60CE5B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7F4DB6"/>
    <w:multiLevelType w:val="multilevel"/>
    <w:tmpl w:val="033C8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5314F8"/>
    <w:multiLevelType w:val="multilevel"/>
    <w:tmpl w:val="27764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967E96"/>
    <w:multiLevelType w:val="hybridMultilevel"/>
    <w:tmpl w:val="1740535E"/>
    <w:lvl w:ilvl="0" w:tplc="5BCAF1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C70AF3"/>
    <w:multiLevelType w:val="hybridMultilevel"/>
    <w:tmpl w:val="7DD24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E75A0D"/>
    <w:multiLevelType w:val="multilevel"/>
    <w:tmpl w:val="DEE6B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255A91"/>
    <w:multiLevelType w:val="multilevel"/>
    <w:tmpl w:val="56FA1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74777F"/>
    <w:multiLevelType w:val="multilevel"/>
    <w:tmpl w:val="2CC6F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0167494">
    <w:abstractNumId w:val="8"/>
  </w:num>
  <w:num w:numId="2" w16cid:durableId="1763911466">
    <w:abstractNumId w:val="28"/>
  </w:num>
  <w:num w:numId="3" w16cid:durableId="405808314">
    <w:abstractNumId w:val="13"/>
  </w:num>
  <w:num w:numId="4" w16cid:durableId="1065033850">
    <w:abstractNumId w:val="1"/>
  </w:num>
  <w:num w:numId="5" w16cid:durableId="201721203">
    <w:abstractNumId w:val="0"/>
  </w:num>
  <w:num w:numId="6" w16cid:durableId="971785765">
    <w:abstractNumId w:val="15"/>
  </w:num>
  <w:num w:numId="7" w16cid:durableId="212621893">
    <w:abstractNumId w:val="10"/>
  </w:num>
  <w:num w:numId="8" w16cid:durableId="489324234">
    <w:abstractNumId w:val="19"/>
  </w:num>
  <w:num w:numId="9" w16cid:durableId="1978413226">
    <w:abstractNumId w:val="18"/>
  </w:num>
  <w:num w:numId="10" w16cid:durableId="1736273766">
    <w:abstractNumId w:val="2"/>
  </w:num>
  <w:num w:numId="11" w16cid:durableId="1977104116">
    <w:abstractNumId w:val="29"/>
  </w:num>
  <w:num w:numId="12" w16cid:durableId="303049397">
    <w:abstractNumId w:val="25"/>
  </w:num>
  <w:num w:numId="13" w16cid:durableId="1705905983">
    <w:abstractNumId w:val="3"/>
  </w:num>
  <w:num w:numId="14" w16cid:durableId="720134759">
    <w:abstractNumId w:val="9"/>
  </w:num>
  <w:num w:numId="15" w16cid:durableId="456342359">
    <w:abstractNumId w:val="24"/>
  </w:num>
  <w:num w:numId="16" w16cid:durableId="1105806621">
    <w:abstractNumId w:val="14"/>
  </w:num>
  <w:num w:numId="17" w16cid:durableId="1744446527">
    <w:abstractNumId w:val="6"/>
  </w:num>
  <w:num w:numId="18" w16cid:durableId="902763161">
    <w:abstractNumId w:val="17"/>
  </w:num>
  <w:num w:numId="19" w16cid:durableId="756755131">
    <w:abstractNumId w:val="11"/>
  </w:num>
  <w:num w:numId="20" w16cid:durableId="788089557">
    <w:abstractNumId w:val="30"/>
  </w:num>
  <w:num w:numId="21" w16cid:durableId="47581252">
    <w:abstractNumId w:val="16"/>
  </w:num>
  <w:num w:numId="22" w16cid:durableId="1713534547">
    <w:abstractNumId w:val="20"/>
  </w:num>
  <w:num w:numId="23" w16cid:durableId="1334844741">
    <w:abstractNumId w:val="5"/>
  </w:num>
  <w:num w:numId="24" w16cid:durableId="1084884079">
    <w:abstractNumId w:val="7"/>
  </w:num>
  <w:num w:numId="25" w16cid:durableId="46882494">
    <w:abstractNumId w:val="27"/>
  </w:num>
  <w:num w:numId="26" w16cid:durableId="159005674">
    <w:abstractNumId w:val="12"/>
  </w:num>
  <w:num w:numId="27" w16cid:durableId="338432202">
    <w:abstractNumId w:val="23"/>
  </w:num>
  <w:num w:numId="28" w16cid:durableId="1945963075">
    <w:abstractNumId w:val="4"/>
  </w:num>
  <w:num w:numId="29" w16cid:durableId="944996145">
    <w:abstractNumId w:val="22"/>
  </w:num>
  <w:num w:numId="30" w16cid:durableId="966081774">
    <w:abstractNumId w:val="21"/>
  </w:num>
  <w:num w:numId="31" w16cid:durableId="1929579207">
    <w:abstractNumId w:val="26"/>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3BE"/>
    <w:rsid w:val="00000657"/>
    <w:rsid w:val="00000A19"/>
    <w:rsid w:val="00000B5A"/>
    <w:rsid w:val="00000D3C"/>
    <w:rsid w:val="00001045"/>
    <w:rsid w:val="00002774"/>
    <w:rsid w:val="000032D9"/>
    <w:rsid w:val="00005F02"/>
    <w:rsid w:val="00007383"/>
    <w:rsid w:val="00007CCE"/>
    <w:rsid w:val="00007CED"/>
    <w:rsid w:val="00007D14"/>
    <w:rsid w:val="00010852"/>
    <w:rsid w:val="00011C7E"/>
    <w:rsid w:val="000128F0"/>
    <w:rsid w:val="00012A76"/>
    <w:rsid w:val="000134D8"/>
    <w:rsid w:val="00014304"/>
    <w:rsid w:val="000174A6"/>
    <w:rsid w:val="0002027E"/>
    <w:rsid w:val="00020295"/>
    <w:rsid w:val="00020723"/>
    <w:rsid w:val="00021FC3"/>
    <w:rsid w:val="00024C95"/>
    <w:rsid w:val="00024DAC"/>
    <w:rsid w:val="0002502C"/>
    <w:rsid w:val="00026119"/>
    <w:rsid w:val="0003054B"/>
    <w:rsid w:val="0003090A"/>
    <w:rsid w:val="00030AB8"/>
    <w:rsid w:val="00030C3D"/>
    <w:rsid w:val="00033067"/>
    <w:rsid w:val="00034CD6"/>
    <w:rsid w:val="0003610D"/>
    <w:rsid w:val="00036F32"/>
    <w:rsid w:val="0004109C"/>
    <w:rsid w:val="0004179C"/>
    <w:rsid w:val="0004207F"/>
    <w:rsid w:val="00043649"/>
    <w:rsid w:val="000457FB"/>
    <w:rsid w:val="00046460"/>
    <w:rsid w:val="00046FE7"/>
    <w:rsid w:val="0004778E"/>
    <w:rsid w:val="00050A64"/>
    <w:rsid w:val="00051091"/>
    <w:rsid w:val="00051570"/>
    <w:rsid w:val="00051FC3"/>
    <w:rsid w:val="000523EB"/>
    <w:rsid w:val="000532B7"/>
    <w:rsid w:val="000552BC"/>
    <w:rsid w:val="00055464"/>
    <w:rsid w:val="000558C6"/>
    <w:rsid w:val="00056BE5"/>
    <w:rsid w:val="00056BF8"/>
    <w:rsid w:val="00057F5C"/>
    <w:rsid w:val="0006204D"/>
    <w:rsid w:val="00063AAF"/>
    <w:rsid w:val="0006467C"/>
    <w:rsid w:val="0006541F"/>
    <w:rsid w:val="0006650C"/>
    <w:rsid w:val="000671DA"/>
    <w:rsid w:val="000672D0"/>
    <w:rsid w:val="00075CD4"/>
    <w:rsid w:val="0007644D"/>
    <w:rsid w:val="000775E6"/>
    <w:rsid w:val="00080334"/>
    <w:rsid w:val="00083A2A"/>
    <w:rsid w:val="00083A62"/>
    <w:rsid w:val="00084533"/>
    <w:rsid w:val="00084DF6"/>
    <w:rsid w:val="00086233"/>
    <w:rsid w:val="0008649C"/>
    <w:rsid w:val="00086C3C"/>
    <w:rsid w:val="00086FA1"/>
    <w:rsid w:val="00091C85"/>
    <w:rsid w:val="000921E1"/>
    <w:rsid w:val="00092B61"/>
    <w:rsid w:val="00092F08"/>
    <w:rsid w:val="000933DB"/>
    <w:rsid w:val="0009360C"/>
    <w:rsid w:val="00093864"/>
    <w:rsid w:val="00094155"/>
    <w:rsid w:val="00094343"/>
    <w:rsid w:val="00094949"/>
    <w:rsid w:val="00095AE7"/>
    <w:rsid w:val="000974CF"/>
    <w:rsid w:val="000A0C37"/>
    <w:rsid w:val="000A1665"/>
    <w:rsid w:val="000A1CEE"/>
    <w:rsid w:val="000A508C"/>
    <w:rsid w:val="000A57C1"/>
    <w:rsid w:val="000A7BFF"/>
    <w:rsid w:val="000A7D3F"/>
    <w:rsid w:val="000B0603"/>
    <w:rsid w:val="000B0CB6"/>
    <w:rsid w:val="000B25F6"/>
    <w:rsid w:val="000B2DFA"/>
    <w:rsid w:val="000B368C"/>
    <w:rsid w:val="000B3CAF"/>
    <w:rsid w:val="000B48F0"/>
    <w:rsid w:val="000B4ADA"/>
    <w:rsid w:val="000B64D9"/>
    <w:rsid w:val="000B65AA"/>
    <w:rsid w:val="000B6A0D"/>
    <w:rsid w:val="000B7563"/>
    <w:rsid w:val="000B7E57"/>
    <w:rsid w:val="000C09C2"/>
    <w:rsid w:val="000C0BBA"/>
    <w:rsid w:val="000C0D09"/>
    <w:rsid w:val="000C206E"/>
    <w:rsid w:val="000C275B"/>
    <w:rsid w:val="000C3EA7"/>
    <w:rsid w:val="000C69E9"/>
    <w:rsid w:val="000D1C99"/>
    <w:rsid w:val="000D31F9"/>
    <w:rsid w:val="000D3221"/>
    <w:rsid w:val="000D34F3"/>
    <w:rsid w:val="000D6005"/>
    <w:rsid w:val="000D67AC"/>
    <w:rsid w:val="000D6B16"/>
    <w:rsid w:val="000E00B4"/>
    <w:rsid w:val="000E065F"/>
    <w:rsid w:val="000E11D7"/>
    <w:rsid w:val="000E1573"/>
    <w:rsid w:val="000E17A7"/>
    <w:rsid w:val="000E1BCC"/>
    <w:rsid w:val="000E24C9"/>
    <w:rsid w:val="000E3486"/>
    <w:rsid w:val="000E3A7A"/>
    <w:rsid w:val="000E3C42"/>
    <w:rsid w:val="000E53C1"/>
    <w:rsid w:val="000E5496"/>
    <w:rsid w:val="000E60B8"/>
    <w:rsid w:val="000E64D3"/>
    <w:rsid w:val="000E66D6"/>
    <w:rsid w:val="000F0D3F"/>
    <w:rsid w:val="000F2700"/>
    <w:rsid w:val="000F27D7"/>
    <w:rsid w:val="000F2A0E"/>
    <w:rsid w:val="000F30A4"/>
    <w:rsid w:val="000F3BC0"/>
    <w:rsid w:val="000F5300"/>
    <w:rsid w:val="000F61F6"/>
    <w:rsid w:val="00101BE4"/>
    <w:rsid w:val="00101D57"/>
    <w:rsid w:val="00101EDF"/>
    <w:rsid w:val="00102047"/>
    <w:rsid w:val="00103C36"/>
    <w:rsid w:val="00103D36"/>
    <w:rsid w:val="0010585B"/>
    <w:rsid w:val="0010742B"/>
    <w:rsid w:val="00112F26"/>
    <w:rsid w:val="00112F3C"/>
    <w:rsid w:val="00114D49"/>
    <w:rsid w:val="00114DC3"/>
    <w:rsid w:val="001158E3"/>
    <w:rsid w:val="00115B9A"/>
    <w:rsid w:val="001160F1"/>
    <w:rsid w:val="0011618B"/>
    <w:rsid w:val="00116EAB"/>
    <w:rsid w:val="00117EA7"/>
    <w:rsid w:val="00120307"/>
    <w:rsid w:val="00121925"/>
    <w:rsid w:val="00121982"/>
    <w:rsid w:val="00121D70"/>
    <w:rsid w:val="0012400C"/>
    <w:rsid w:val="00124DA5"/>
    <w:rsid w:val="00124DD6"/>
    <w:rsid w:val="00125A61"/>
    <w:rsid w:val="00125AAD"/>
    <w:rsid w:val="00125B8C"/>
    <w:rsid w:val="0012630A"/>
    <w:rsid w:val="00126BD4"/>
    <w:rsid w:val="00126D62"/>
    <w:rsid w:val="00127A33"/>
    <w:rsid w:val="00127C5A"/>
    <w:rsid w:val="00127D54"/>
    <w:rsid w:val="00132032"/>
    <w:rsid w:val="0013339C"/>
    <w:rsid w:val="0013366D"/>
    <w:rsid w:val="00134728"/>
    <w:rsid w:val="00135794"/>
    <w:rsid w:val="00135B36"/>
    <w:rsid w:val="001360B6"/>
    <w:rsid w:val="00137865"/>
    <w:rsid w:val="00137FC7"/>
    <w:rsid w:val="0014002C"/>
    <w:rsid w:val="00140225"/>
    <w:rsid w:val="00140619"/>
    <w:rsid w:val="00140D98"/>
    <w:rsid w:val="00141751"/>
    <w:rsid w:val="00141B23"/>
    <w:rsid w:val="00141CAD"/>
    <w:rsid w:val="00142EDE"/>
    <w:rsid w:val="00143014"/>
    <w:rsid w:val="001431D5"/>
    <w:rsid w:val="00143BBD"/>
    <w:rsid w:val="001440D7"/>
    <w:rsid w:val="00144CAC"/>
    <w:rsid w:val="001452EE"/>
    <w:rsid w:val="00146175"/>
    <w:rsid w:val="00146606"/>
    <w:rsid w:val="001471C6"/>
    <w:rsid w:val="0015063D"/>
    <w:rsid w:val="001512CC"/>
    <w:rsid w:val="001520AF"/>
    <w:rsid w:val="0015441D"/>
    <w:rsid w:val="00154F15"/>
    <w:rsid w:val="00155526"/>
    <w:rsid w:val="00155F2D"/>
    <w:rsid w:val="001641F2"/>
    <w:rsid w:val="00165811"/>
    <w:rsid w:val="00165875"/>
    <w:rsid w:val="00165AD5"/>
    <w:rsid w:val="00165E98"/>
    <w:rsid w:val="0017025C"/>
    <w:rsid w:val="001703A1"/>
    <w:rsid w:val="0017069A"/>
    <w:rsid w:val="00170AA9"/>
    <w:rsid w:val="00171757"/>
    <w:rsid w:val="001726A5"/>
    <w:rsid w:val="00172CD0"/>
    <w:rsid w:val="00175163"/>
    <w:rsid w:val="00175FF4"/>
    <w:rsid w:val="00177181"/>
    <w:rsid w:val="001773DE"/>
    <w:rsid w:val="0017757C"/>
    <w:rsid w:val="00180107"/>
    <w:rsid w:val="00183E20"/>
    <w:rsid w:val="00185B7C"/>
    <w:rsid w:val="00186039"/>
    <w:rsid w:val="001862C5"/>
    <w:rsid w:val="0018703F"/>
    <w:rsid w:val="00187231"/>
    <w:rsid w:val="00187D36"/>
    <w:rsid w:val="00190905"/>
    <w:rsid w:val="00190B11"/>
    <w:rsid w:val="00191803"/>
    <w:rsid w:val="0019210D"/>
    <w:rsid w:val="001940E1"/>
    <w:rsid w:val="00194247"/>
    <w:rsid w:val="00194948"/>
    <w:rsid w:val="00194D2C"/>
    <w:rsid w:val="00194EC5"/>
    <w:rsid w:val="00195B8A"/>
    <w:rsid w:val="00195CFE"/>
    <w:rsid w:val="001964AC"/>
    <w:rsid w:val="00196717"/>
    <w:rsid w:val="00197E79"/>
    <w:rsid w:val="00197F18"/>
    <w:rsid w:val="001A100A"/>
    <w:rsid w:val="001A1634"/>
    <w:rsid w:val="001A168D"/>
    <w:rsid w:val="001A2CF5"/>
    <w:rsid w:val="001A3080"/>
    <w:rsid w:val="001A3C25"/>
    <w:rsid w:val="001A3DF8"/>
    <w:rsid w:val="001A5CD0"/>
    <w:rsid w:val="001A6236"/>
    <w:rsid w:val="001A693A"/>
    <w:rsid w:val="001A7742"/>
    <w:rsid w:val="001A78B7"/>
    <w:rsid w:val="001A7DE6"/>
    <w:rsid w:val="001B1DED"/>
    <w:rsid w:val="001B2948"/>
    <w:rsid w:val="001B3BEE"/>
    <w:rsid w:val="001B3E64"/>
    <w:rsid w:val="001B4239"/>
    <w:rsid w:val="001B47AF"/>
    <w:rsid w:val="001B4A86"/>
    <w:rsid w:val="001B4CC3"/>
    <w:rsid w:val="001B4E86"/>
    <w:rsid w:val="001B593B"/>
    <w:rsid w:val="001B60F8"/>
    <w:rsid w:val="001C013F"/>
    <w:rsid w:val="001C3A6C"/>
    <w:rsid w:val="001C40C9"/>
    <w:rsid w:val="001C6BF1"/>
    <w:rsid w:val="001D0531"/>
    <w:rsid w:val="001D2388"/>
    <w:rsid w:val="001D2E53"/>
    <w:rsid w:val="001D39B4"/>
    <w:rsid w:val="001D40A9"/>
    <w:rsid w:val="001D49D4"/>
    <w:rsid w:val="001D4CEC"/>
    <w:rsid w:val="001D5513"/>
    <w:rsid w:val="001D5657"/>
    <w:rsid w:val="001D72E6"/>
    <w:rsid w:val="001D787C"/>
    <w:rsid w:val="001D7C49"/>
    <w:rsid w:val="001E01AF"/>
    <w:rsid w:val="001E29AD"/>
    <w:rsid w:val="001E3EF4"/>
    <w:rsid w:val="001E418C"/>
    <w:rsid w:val="001E55D9"/>
    <w:rsid w:val="001E5906"/>
    <w:rsid w:val="001E5A9A"/>
    <w:rsid w:val="001E7189"/>
    <w:rsid w:val="001F04AE"/>
    <w:rsid w:val="001F0A5F"/>
    <w:rsid w:val="001F0EF4"/>
    <w:rsid w:val="001F215C"/>
    <w:rsid w:val="001F3729"/>
    <w:rsid w:val="001F5375"/>
    <w:rsid w:val="001F5981"/>
    <w:rsid w:val="001F59B5"/>
    <w:rsid w:val="001F5A4D"/>
    <w:rsid w:val="001F6BF2"/>
    <w:rsid w:val="001F6C59"/>
    <w:rsid w:val="00200C3E"/>
    <w:rsid w:val="00200E58"/>
    <w:rsid w:val="002011FB"/>
    <w:rsid w:val="00201307"/>
    <w:rsid w:val="00201FCA"/>
    <w:rsid w:val="00202FDE"/>
    <w:rsid w:val="002031A0"/>
    <w:rsid w:val="00204683"/>
    <w:rsid w:val="0020575B"/>
    <w:rsid w:val="00207A7A"/>
    <w:rsid w:val="00207E50"/>
    <w:rsid w:val="002106AA"/>
    <w:rsid w:val="00211002"/>
    <w:rsid w:val="00211814"/>
    <w:rsid w:val="00211F10"/>
    <w:rsid w:val="0021212E"/>
    <w:rsid w:val="0021279F"/>
    <w:rsid w:val="00213E7C"/>
    <w:rsid w:val="00214D33"/>
    <w:rsid w:val="00214F3B"/>
    <w:rsid w:val="00216C91"/>
    <w:rsid w:val="0021780E"/>
    <w:rsid w:val="00217ED0"/>
    <w:rsid w:val="002210DB"/>
    <w:rsid w:val="00221B67"/>
    <w:rsid w:val="00222AB7"/>
    <w:rsid w:val="002256D5"/>
    <w:rsid w:val="00225AD2"/>
    <w:rsid w:val="00225B76"/>
    <w:rsid w:val="00225D54"/>
    <w:rsid w:val="00227869"/>
    <w:rsid w:val="0023002E"/>
    <w:rsid w:val="00230CB3"/>
    <w:rsid w:val="0023264A"/>
    <w:rsid w:val="0023269C"/>
    <w:rsid w:val="00233AAC"/>
    <w:rsid w:val="002368B9"/>
    <w:rsid w:val="00236B5A"/>
    <w:rsid w:val="00237294"/>
    <w:rsid w:val="002373E3"/>
    <w:rsid w:val="00237EE1"/>
    <w:rsid w:val="00241298"/>
    <w:rsid w:val="0024173B"/>
    <w:rsid w:val="00241896"/>
    <w:rsid w:val="002424EC"/>
    <w:rsid w:val="00242CD7"/>
    <w:rsid w:val="002434D8"/>
    <w:rsid w:val="00243D5F"/>
    <w:rsid w:val="00245E79"/>
    <w:rsid w:val="00247F5C"/>
    <w:rsid w:val="00250B9E"/>
    <w:rsid w:val="0025163C"/>
    <w:rsid w:val="00251DFB"/>
    <w:rsid w:val="002521DF"/>
    <w:rsid w:val="002525AD"/>
    <w:rsid w:val="002527CE"/>
    <w:rsid w:val="00252ADC"/>
    <w:rsid w:val="00254AE1"/>
    <w:rsid w:val="0025630C"/>
    <w:rsid w:val="00260AF4"/>
    <w:rsid w:val="00261041"/>
    <w:rsid w:val="00261750"/>
    <w:rsid w:val="00262CB4"/>
    <w:rsid w:val="00262E56"/>
    <w:rsid w:val="0026351E"/>
    <w:rsid w:val="00263958"/>
    <w:rsid w:val="00263DEE"/>
    <w:rsid w:val="00264036"/>
    <w:rsid w:val="00264157"/>
    <w:rsid w:val="00264304"/>
    <w:rsid w:val="00264965"/>
    <w:rsid w:val="002652C0"/>
    <w:rsid w:val="002654BF"/>
    <w:rsid w:val="00265616"/>
    <w:rsid w:val="00265B03"/>
    <w:rsid w:val="00270C57"/>
    <w:rsid w:val="00270D78"/>
    <w:rsid w:val="002713E5"/>
    <w:rsid w:val="00272E7A"/>
    <w:rsid w:val="0027364A"/>
    <w:rsid w:val="00275915"/>
    <w:rsid w:val="00275A59"/>
    <w:rsid w:val="00275A9B"/>
    <w:rsid w:val="002762D2"/>
    <w:rsid w:val="00276C81"/>
    <w:rsid w:val="00277F36"/>
    <w:rsid w:val="00280637"/>
    <w:rsid w:val="002809F1"/>
    <w:rsid w:val="00280C31"/>
    <w:rsid w:val="002812AA"/>
    <w:rsid w:val="00283FBE"/>
    <w:rsid w:val="00291B7B"/>
    <w:rsid w:val="0029222E"/>
    <w:rsid w:val="00293458"/>
    <w:rsid w:val="002935C1"/>
    <w:rsid w:val="002939FB"/>
    <w:rsid w:val="00294A6F"/>
    <w:rsid w:val="002956DF"/>
    <w:rsid w:val="00295F2F"/>
    <w:rsid w:val="00297728"/>
    <w:rsid w:val="00297961"/>
    <w:rsid w:val="00297D44"/>
    <w:rsid w:val="002A020D"/>
    <w:rsid w:val="002A0331"/>
    <w:rsid w:val="002A0A9F"/>
    <w:rsid w:val="002A1143"/>
    <w:rsid w:val="002A23A1"/>
    <w:rsid w:val="002A2953"/>
    <w:rsid w:val="002A3E91"/>
    <w:rsid w:val="002A60E1"/>
    <w:rsid w:val="002A64A4"/>
    <w:rsid w:val="002B0443"/>
    <w:rsid w:val="002B06A8"/>
    <w:rsid w:val="002B0C03"/>
    <w:rsid w:val="002B0F11"/>
    <w:rsid w:val="002B1930"/>
    <w:rsid w:val="002B1D6D"/>
    <w:rsid w:val="002B1DA5"/>
    <w:rsid w:val="002B28B8"/>
    <w:rsid w:val="002B2A26"/>
    <w:rsid w:val="002B3FD3"/>
    <w:rsid w:val="002B43BB"/>
    <w:rsid w:val="002B5474"/>
    <w:rsid w:val="002B61DC"/>
    <w:rsid w:val="002B7223"/>
    <w:rsid w:val="002B785C"/>
    <w:rsid w:val="002C0108"/>
    <w:rsid w:val="002C0CC7"/>
    <w:rsid w:val="002C0E55"/>
    <w:rsid w:val="002C133E"/>
    <w:rsid w:val="002C2E5D"/>
    <w:rsid w:val="002C368E"/>
    <w:rsid w:val="002C3B47"/>
    <w:rsid w:val="002C3C5F"/>
    <w:rsid w:val="002C5186"/>
    <w:rsid w:val="002C60BA"/>
    <w:rsid w:val="002C61F4"/>
    <w:rsid w:val="002D0026"/>
    <w:rsid w:val="002D0221"/>
    <w:rsid w:val="002D0598"/>
    <w:rsid w:val="002D07FB"/>
    <w:rsid w:val="002D18C4"/>
    <w:rsid w:val="002D1C8E"/>
    <w:rsid w:val="002D2C7B"/>
    <w:rsid w:val="002D3138"/>
    <w:rsid w:val="002D3897"/>
    <w:rsid w:val="002D4494"/>
    <w:rsid w:val="002D4496"/>
    <w:rsid w:val="002D50B5"/>
    <w:rsid w:val="002D50E8"/>
    <w:rsid w:val="002D5263"/>
    <w:rsid w:val="002D7309"/>
    <w:rsid w:val="002D789D"/>
    <w:rsid w:val="002E05CC"/>
    <w:rsid w:val="002E35D1"/>
    <w:rsid w:val="002E4C8A"/>
    <w:rsid w:val="002E520A"/>
    <w:rsid w:val="002E6C43"/>
    <w:rsid w:val="002E7ADC"/>
    <w:rsid w:val="002F10F2"/>
    <w:rsid w:val="002F2E55"/>
    <w:rsid w:val="002F3CD2"/>
    <w:rsid w:val="002F4DAF"/>
    <w:rsid w:val="002F5E49"/>
    <w:rsid w:val="002F6862"/>
    <w:rsid w:val="002F693A"/>
    <w:rsid w:val="002F6E43"/>
    <w:rsid w:val="002F6F63"/>
    <w:rsid w:val="002F7402"/>
    <w:rsid w:val="002F7D93"/>
    <w:rsid w:val="0030037D"/>
    <w:rsid w:val="00300A34"/>
    <w:rsid w:val="00303519"/>
    <w:rsid w:val="00303843"/>
    <w:rsid w:val="0030528C"/>
    <w:rsid w:val="00307B1A"/>
    <w:rsid w:val="003107A9"/>
    <w:rsid w:val="00311112"/>
    <w:rsid w:val="0031137D"/>
    <w:rsid w:val="0031174E"/>
    <w:rsid w:val="00311E2A"/>
    <w:rsid w:val="003127F0"/>
    <w:rsid w:val="003146D0"/>
    <w:rsid w:val="003158EC"/>
    <w:rsid w:val="00315EDC"/>
    <w:rsid w:val="00316092"/>
    <w:rsid w:val="0032003F"/>
    <w:rsid w:val="00320587"/>
    <w:rsid w:val="00321291"/>
    <w:rsid w:val="00321A03"/>
    <w:rsid w:val="0032236B"/>
    <w:rsid w:val="003226B6"/>
    <w:rsid w:val="003229E8"/>
    <w:rsid w:val="00323654"/>
    <w:rsid w:val="00324BB1"/>
    <w:rsid w:val="00324EC1"/>
    <w:rsid w:val="00325FA7"/>
    <w:rsid w:val="00326E43"/>
    <w:rsid w:val="00327593"/>
    <w:rsid w:val="00330CA8"/>
    <w:rsid w:val="00330FBB"/>
    <w:rsid w:val="00332326"/>
    <w:rsid w:val="003324A5"/>
    <w:rsid w:val="00332623"/>
    <w:rsid w:val="003327D7"/>
    <w:rsid w:val="00333F76"/>
    <w:rsid w:val="00334575"/>
    <w:rsid w:val="0033567A"/>
    <w:rsid w:val="00335DC0"/>
    <w:rsid w:val="003361B0"/>
    <w:rsid w:val="0033633C"/>
    <w:rsid w:val="003410FA"/>
    <w:rsid w:val="00342AAC"/>
    <w:rsid w:val="00342C41"/>
    <w:rsid w:val="003435C8"/>
    <w:rsid w:val="003437E2"/>
    <w:rsid w:val="00345373"/>
    <w:rsid w:val="003454AA"/>
    <w:rsid w:val="003461A4"/>
    <w:rsid w:val="00346757"/>
    <w:rsid w:val="003469B1"/>
    <w:rsid w:val="003470D5"/>
    <w:rsid w:val="003470E4"/>
    <w:rsid w:val="00350AC3"/>
    <w:rsid w:val="00350F7F"/>
    <w:rsid w:val="003522FC"/>
    <w:rsid w:val="00353BB8"/>
    <w:rsid w:val="0035474F"/>
    <w:rsid w:val="00354E4D"/>
    <w:rsid w:val="00355174"/>
    <w:rsid w:val="00355766"/>
    <w:rsid w:val="0036127D"/>
    <w:rsid w:val="00361E7E"/>
    <w:rsid w:val="003620D4"/>
    <w:rsid w:val="00363653"/>
    <w:rsid w:val="00363F70"/>
    <w:rsid w:val="00364210"/>
    <w:rsid w:val="00365154"/>
    <w:rsid w:val="00365B60"/>
    <w:rsid w:val="0036628A"/>
    <w:rsid w:val="0036649E"/>
    <w:rsid w:val="00371595"/>
    <w:rsid w:val="00371D55"/>
    <w:rsid w:val="003723BA"/>
    <w:rsid w:val="0037283A"/>
    <w:rsid w:val="003728C7"/>
    <w:rsid w:val="00372EA5"/>
    <w:rsid w:val="003735D1"/>
    <w:rsid w:val="00374F4E"/>
    <w:rsid w:val="003760EE"/>
    <w:rsid w:val="00376B0B"/>
    <w:rsid w:val="003779A9"/>
    <w:rsid w:val="00380129"/>
    <w:rsid w:val="00380D41"/>
    <w:rsid w:val="00381725"/>
    <w:rsid w:val="0038198D"/>
    <w:rsid w:val="00384030"/>
    <w:rsid w:val="003840FE"/>
    <w:rsid w:val="00384ABF"/>
    <w:rsid w:val="00386286"/>
    <w:rsid w:val="00386BBC"/>
    <w:rsid w:val="00386C71"/>
    <w:rsid w:val="00387FCD"/>
    <w:rsid w:val="00390957"/>
    <w:rsid w:val="003909B9"/>
    <w:rsid w:val="00391201"/>
    <w:rsid w:val="003917F5"/>
    <w:rsid w:val="0039242F"/>
    <w:rsid w:val="00392CEC"/>
    <w:rsid w:val="00395EA5"/>
    <w:rsid w:val="003967E8"/>
    <w:rsid w:val="00396E78"/>
    <w:rsid w:val="00397234"/>
    <w:rsid w:val="003976A6"/>
    <w:rsid w:val="003A2401"/>
    <w:rsid w:val="003A2A94"/>
    <w:rsid w:val="003A3FB7"/>
    <w:rsid w:val="003A4313"/>
    <w:rsid w:val="003A4E9B"/>
    <w:rsid w:val="003A4FD0"/>
    <w:rsid w:val="003A7E7F"/>
    <w:rsid w:val="003B0562"/>
    <w:rsid w:val="003B265F"/>
    <w:rsid w:val="003B367E"/>
    <w:rsid w:val="003B3C01"/>
    <w:rsid w:val="003B3DE7"/>
    <w:rsid w:val="003B564E"/>
    <w:rsid w:val="003B567E"/>
    <w:rsid w:val="003B59AD"/>
    <w:rsid w:val="003B626F"/>
    <w:rsid w:val="003B6A61"/>
    <w:rsid w:val="003B748F"/>
    <w:rsid w:val="003C15E2"/>
    <w:rsid w:val="003C29C1"/>
    <w:rsid w:val="003C5E6E"/>
    <w:rsid w:val="003C61F8"/>
    <w:rsid w:val="003D0656"/>
    <w:rsid w:val="003D06CF"/>
    <w:rsid w:val="003D0C7A"/>
    <w:rsid w:val="003D0CB9"/>
    <w:rsid w:val="003D1057"/>
    <w:rsid w:val="003D133E"/>
    <w:rsid w:val="003D160D"/>
    <w:rsid w:val="003D2AB9"/>
    <w:rsid w:val="003D3CB8"/>
    <w:rsid w:val="003D4723"/>
    <w:rsid w:val="003D5B71"/>
    <w:rsid w:val="003D75BF"/>
    <w:rsid w:val="003D79A7"/>
    <w:rsid w:val="003E02E4"/>
    <w:rsid w:val="003E04E7"/>
    <w:rsid w:val="003E1694"/>
    <w:rsid w:val="003E3788"/>
    <w:rsid w:val="003E3800"/>
    <w:rsid w:val="003E4DFD"/>
    <w:rsid w:val="003E51DD"/>
    <w:rsid w:val="003E6E5E"/>
    <w:rsid w:val="003F02B6"/>
    <w:rsid w:val="003F0DF8"/>
    <w:rsid w:val="003F1144"/>
    <w:rsid w:val="003F1306"/>
    <w:rsid w:val="003F1567"/>
    <w:rsid w:val="003F1CDE"/>
    <w:rsid w:val="003F2EC2"/>
    <w:rsid w:val="003F41B6"/>
    <w:rsid w:val="003F5519"/>
    <w:rsid w:val="003F570A"/>
    <w:rsid w:val="003F5C90"/>
    <w:rsid w:val="003F5D67"/>
    <w:rsid w:val="003F7532"/>
    <w:rsid w:val="003F7FD1"/>
    <w:rsid w:val="00400004"/>
    <w:rsid w:val="00400C93"/>
    <w:rsid w:val="00400E6D"/>
    <w:rsid w:val="004013EB"/>
    <w:rsid w:val="004017BE"/>
    <w:rsid w:val="00403495"/>
    <w:rsid w:val="004038AC"/>
    <w:rsid w:val="004045FF"/>
    <w:rsid w:val="00405EB4"/>
    <w:rsid w:val="00406C3E"/>
    <w:rsid w:val="00406EE6"/>
    <w:rsid w:val="004073E5"/>
    <w:rsid w:val="004100B8"/>
    <w:rsid w:val="00410F6D"/>
    <w:rsid w:val="00411616"/>
    <w:rsid w:val="00413074"/>
    <w:rsid w:val="00413B1A"/>
    <w:rsid w:val="00414867"/>
    <w:rsid w:val="00415414"/>
    <w:rsid w:val="004167FE"/>
    <w:rsid w:val="00421A2A"/>
    <w:rsid w:val="00421DE4"/>
    <w:rsid w:val="00421F04"/>
    <w:rsid w:val="00422B34"/>
    <w:rsid w:val="004232A8"/>
    <w:rsid w:val="00424258"/>
    <w:rsid w:val="0042575A"/>
    <w:rsid w:val="004268E2"/>
    <w:rsid w:val="00430905"/>
    <w:rsid w:val="004313FD"/>
    <w:rsid w:val="004319D1"/>
    <w:rsid w:val="00432045"/>
    <w:rsid w:val="004324A5"/>
    <w:rsid w:val="00432EF8"/>
    <w:rsid w:val="00432FBB"/>
    <w:rsid w:val="00432FCF"/>
    <w:rsid w:val="00433154"/>
    <w:rsid w:val="00435543"/>
    <w:rsid w:val="00435F12"/>
    <w:rsid w:val="0043613B"/>
    <w:rsid w:val="00437BD5"/>
    <w:rsid w:val="00437CB1"/>
    <w:rsid w:val="00440642"/>
    <w:rsid w:val="00440997"/>
    <w:rsid w:val="004442F9"/>
    <w:rsid w:val="00444DA1"/>
    <w:rsid w:val="0044521A"/>
    <w:rsid w:val="00445914"/>
    <w:rsid w:val="00450037"/>
    <w:rsid w:val="00453225"/>
    <w:rsid w:val="00453FE0"/>
    <w:rsid w:val="00454569"/>
    <w:rsid w:val="00455BA6"/>
    <w:rsid w:val="004563E8"/>
    <w:rsid w:val="0045781F"/>
    <w:rsid w:val="00457B29"/>
    <w:rsid w:val="004605B1"/>
    <w:rsid w:val="0046125D"/>
    <w:rsid w:val="00461BB6"/>
    <w:rsid w:val="00461CB8"/>
    <w:rsid w:val="00463F82"/>
    <w:rsid w:val="004640A3"/>
    <w:rsid w:val="00464606"/>
    <w:rsid w:val="00466445"/>
    <w:rsid w:val="004676D6"/>
    <w:rsid w:val="0047103C"/>
    <w:rsid w:val="00471D5B"/>
    <w:rsid w:val="00472111"/>
    <w:rsid w:val="00473C38"/>
    <w:rsid w:val="00474AC7"/>
    <w:rsid w:val="00474BD4"/>
    <w:rsid w:val="00476510"/>
    <w:rsid w:val="00476B89"/>
    <w:rsid w:val="00476CED"/>
    <w:rsid w:val="00480D08"/>
    <w:rsid w:val="00480E00"/>
    <w:rsid w:val="00482A3E"/>
    <w:rsid w:val="00483305"/>
    <w:rsid w:val="004839E1"/>
    <w:rsid w:val="004845F5"/>
    <w:rsid w:val="00484A8B"/>
    <w:rsid w:val="00485ACE"/>
    <w:rsid w:val="00486238"/>
    <w:rsid w:val="00486DF7"/>
    <w:rsid w:val="00486EF8"/>
    <w:rsid w:val="0048720D"/>
    <w:rsid w:val="004903A7"/>
    <w:rsid w:val="004905AF"/>
    <w:rsid w:val="00490F1E"/>
    <w:rsid w:val="00490F80"/>
    <w:rsid w:val="0049287A"/>
    <w:rsid w:val="004934DA"/>
    <w:rsid w:val="00493604"/>
    <w:rsid w:val="004943C7"/>
    <w:rsid w:val="00494965"/>
    <w:rsid w:val="00494FEB"/>
    <w:rsid w:val="00495786"/>
    <w:rsid w:val="0049605D"/>
    <w:rsid w:val="004973AA"/>
    <w:rsid w:val="004974C0"/>
    <w:rsid w:val="004979BF"/>
    <w:rsid w:val="004A0261"/>
    <w:rsid w:val="004A27F9"/>
    <w:rsid w:val="004A467C"/>
    <w:rsid w:val="004A6C15"/>
    <w:rsid w:val="004A706C"/>
    <w:rsid w:val="004B03BE"/>
    <w:rsid w:val="004B07CE"/>
    <w:rsid w:val="004B12B9"/>
    <w:rsid w:val="004B1BE8"/>
    <w:rsid w:val="004B1F15"/>
    <w:rsid w:val="004B443A"/>
    <w:rsid w:val="004B7068"/>
    <w:rsid w:val="004B7A84"/>
    <w:rsid w:val="004C06B1"/>
    <w:rsid w:val="004C0CCB"/>
    <w:rsid w:val="004C1520"/>
    <w:rsid w:val="004C1FDF"/>
    <w:rsid w:val="004C2661"/>
    <w:rsid w:val="004C2791"/>
    <w:rsid w:val="004C314D"/>
    <w:rsid w:val="004C3C71"/>
    <w:rsid w:val="004C3CC9"/>
    <w:rsid w:val="004C4954"/>
    <w:rsid w:val="004C4CDA"/>
    <w:rsid w:val="004C59EE"/>
    <w:rsid w:val="004C6825"/>
    <w:rsid w:val="004D05C8"/>
    <w:rsid w:val="004D0B3E"/>
    <w:rsid w:val="004D1AD5"/>
    <w:rsid w:val="004D2173"/>
    <w:rsid w:val="004D2594"/>
    <w:rsid w:val="004D3186"/>
    <w:rsid w:val="004D3418"/>
    <w:rsid w:val="004D4284"/>
    <w:rsid w:val="004D5066"/>
    <w:rsid w:val="004D5ABF"/>
    <w:rsid w:val="004D6582"/>
    <w:rsid w:val="004D6CE4"/>
    <w:rsid w:val="004E0904"/>
    <w:rsid w:val="004E0F79"/>
    <w:rsid w:val="004E6BC7"/>
    <w:rsid w:val="004F1D1C"/>
    <w:rsid w:val="004F24B6"/>
    <w:rsid w:val="004F298F"/>
    <w:rsid w:val="004F3399"/>
    <w:rsid w:val="004F361F"/>
    <w:rsid w:val="004F3BBD"/>
    <w:rsid w:val="004F43C5"/>
    <w:rsid w:val="004F4557"/>
    <w:rsid w:val="004F4756"/>
    <w:rsid w:val="004F488B"/>
    <w:rsid w:val="004F4A04"/>
    <w:rsid w:val="004F697B"/>
    <w:rsid w:val="004F6E6E"/>
    <w:rsid w:val="004F753B"/>
    <w:rsid w:val="005009C2"/>
    <w:rsid w:val="0050328B"/>
    <w:rsid w:val="00503460"/>
    <w:rsid w:val="00503D40"/>
    <w:rsid w:val="00504BC7"/>
    <w:rsid w:val="00505230"/>
    <w:rsid w:val="00506D2A"/>
    <w:rsid w:val="00507B9D"/>
    <w:rsid w:val="0051136B"/>
    <w:rsid w:val="005116DD"/>
    <w:rsid w:val="00511730"/>
    <w:rsid w:val="00511BC9"/>
    <w:rsid w:val="0051231F"/>
    <w:rsid w:val="00515169"/>
    <w:rsid w:val="005158A4"/>
    <w:rsid w:val="005162CD"/>
    <w:rsid w:val="00517554"/>
    <w:rsid w:val="005200C6"/>
    <w:rsid w:val="005225FF"/>
    <w:rsid w:val="00522B36"/>
    <w:rsid w:val="0052319C"/>
    <w:rsid w:val="005233BF"/>
    <w:rsid w:val="005252A0"/>
    <w:rsid w:val="005252A8"/>
    <w:rsid w:val="00525D32"/>
    <w:rsid w:val="00525FE2"/>
    <w:rsid w:val="0052629B"/>
    <w:rsid w:val="005270B8"/>
    <w:rsid w:val="00527C99"/>
    <w:rsid w:val="005300FD"/>
    <w:rsid w:val="00531662"/>
    <w:rsid w:val="00533782"/>
    <w:rsid w:val="00533ABA"/>
    <w:rsid w:val="00534481"/>
    <w:rsid w:val="00534484"/>
    <w:rsid w:val="00534871"/>
    <w:rsid w:val="005362ED"/>
    <w:rsid w:val="0053656E"/>
    <w:rsid w:val="005369F6"/>
    <w:rsid w:val="00541674"/>
    <w:rsid w:val="00542880"/>
    <w:rsid w:val="0054433F"/>
    <w:rsid w:val="00544BBD"/>
    <w:rsid w:val="005451D3"/>
    <w:rsid w:val="00545A0D"/>
    <w:rsid w:val="00545EC4"/>
    <w:rsid w:val="0054617F"/>
    <w:rsid w:val="005472DA"/>
    <w:rsid w:val="00547717"/>
    <w:rsid w:val="00547C69"/>
    <w:rsid w:val="005506A2"/>
    <w:rsid w:val="005509BF"/>
    <w:rsid w:val="00550B2E"/>
    <w:rsid w:val="00551177"/>
    <w:rsid w:val="00551C32"/>
    <w:rsid w:val="005527A5"/>
    <w:rsid w:val="00553F3E"/>
    <w:rsid w:val="00554812"/>
    <w:rsid w:val="00554F30"/>
    <w:rsid w:val="00555598"/>
    <w:rsid w:val="005558B2"/>
    <w:rsid w:val="00555F44"/>
    <w:rsid w:val="00556133"/>
    <w:rsid w:val="00556AD7"/>
    <w:rsid w:val="00560E50"/>
    <w:rsid w:val="00560F4F"/>
    <w:rsid w:val="00561219"/>
    <w:rsid w:val="00561740"/>
    <w:rsid w:val="00562428"/>
    <w:rsid w:val="0056298F"/>
    <w:rsid w:val="00563CC6"/>
    <w:rsid w:val="00563FF9"/>
    <w:rsid w:val="0056468C"/>
    <w:rsid w:val="005656B6"/>
    <w:rsid w:val="00566409"/>
    <w:rsid w:val="005673BD"/>
    <w:rsid w:val="0057060D"/>
    <w:rsid w:val="00571182"/>
    <w:rsid w:val="00571C3D"/>
    <w:rsid w:val="0057209F"/>
    <w:rsid w:val="00572647"/>
    <w:rsid w:val="00572C42"/>
    <w:rsid w:val="00572DC7"/>
    <w:rsid w:val="00573433"/>
    <w:rsid w:val="00577EB4"/>
    <w:rsid w:val="005812E6"/>
    <w:rsid w:val="00581911"/>
    <w:rsid w:val="00583062"/>
    <w:rsid w:val="00583696"/>
    <w:rsid w:val="00584049"/>
    <w:rsid w:val="00584B7D"/>
    <w:rsid w:val="00584D38"/>
    <w:rsid w:val="00584D9E"/>
    <w:rsid w:val="00585890"/>
    <w:rsid w:val="00585E52"/>
    <w:rsid w:val="0058614D"/>
    <w:rsid w:val="0058615C"/>
    <w:rsid w:val="00586C91"/>
    <w:rsid w:val="00587445"/>
    <w:rsid w:val="00587B81"/>
    <w:rsid w:val="00590C94"/>
    <w:rsid w:val="00592D9E"/>
    <w:rsid w:val="00593355"/>
    <w:rsid w:val="00593466"/>
    <w:rsid w:val="00593527"/>
    <w:rsid w:val="00593613"/>
    <w:rsid w:val="00593637"/>
    <w:rsid w:val="00594742"/>
    <w:rsid w:val="00594B52"/>
    <w:rsid w:val="0059513D"/>
    <w:rsid w:val="00595DE7"/>
    <w:rsid w:val="005971F7"/>
    <w:rsid w:val="00597272"/>
    <w:rsid w:val="0059786B"/>
    <w:rsid w:val="005A0250"/>
    <w:rsid w:val="005A1229"/>
    <w:rsid w:val="005A156E"/>
    <w:rsid w:val="005A16EE"/>
    <w:rsid w:val="005A1CF3"/>
    <w:rsid w:val="005A2C00"/>
    <w:rsid w:val="005A4AE1"/>
    <w:rsid w:val="005A5850"/>
    <w:rsid w:val="005A5D78"/>
    <w:rsid w:val="005A6BE2"/>
    <w:rsid w:val="005A6E19"/>
    <w:rsid w:val="005B0AB3"/>
    <w:rsid w:val="005B0CBE"/>
    <w:rsid w:val="005B1A3F"/>
    <w:rsid w:val="005B203F"/>
    <w:rsid w:val="005B2D35"/>
    <w:rsid w:val="005B469E"/>
    <w:rsid w:val="005B513B"/>
    <w:rsid w:val="005B731D"/>
    <w:rsid w:val="005C00AD"/>
    <w:rsid w:val="005C0FB7"/>
    <w:rsid w:val="005C2885"/>
    <w:rsid w:val="005C4A8A"/>
    <w:rsid w:val="005C4E2B"/>
    <w:rsid w:val="005C4E8B"/>
    <w:rsid w:val="005C58B7"/>
    <w:rsid w:val="005C75D8"/>
    <w:rsid w:val="005C7A0E"/>
    <w:rsid w:val="005D07C2"/>
    <w:rsid w:val="005D1A43"/>
    <w:rsid w:val="005D1B0F"/>
    <w:rsid w:val="005D2305"/>
    <w:rsid w:val="005D26F6"/>
    <w:rsid w:val="005D352B"/>
    <w:rsid w:val="005D37F5"/>
    <w:rsid w:val="005D40AD"/>
    <w:rsid w:val="005D57C4"/>
    <w:rsid w:val="005D5F80"/>
    <w:rsid w:val="005D773B"/>
    <w:rsid w:val="005D7787"/>
    <w:rsid w:val="005E0910"/>
    <w:rsid w:val="005E0CD2"/>
    <w:rsid w:val="005E0D5A"/>
    <w:rsid w:val="005E17B7"/>
    <w:rsid w:val="005E232D"/>
    <w:rsid w:val="005E23A1"/>
    <w:rsid w:val="005E285C"/>
    <w:rsid w:val="005E2B79"/>
    <w:rsid w:val="005E3509"/>
    <w:rsid w:val="005E4897"/>
    <w:rsid w:val="005E6B6E"/>
    <w:rsid w:val="005F1928"/>
    <w:rsid w:val="005F396E"/>
    <w:rsid w:val="005F3B42"/>
    <w:rsid w:val="005F42CA"/>
    <w:rsid w:val="005F46A2"/>
    <w:rsid w:val="005F4A2B"/>
    <w:rsid w:val="005F54AC"/>
    <w:rsid w:val="005F59D7"/>
    <w:rsid w:val="005F64CE"/>
    <w:rsid w:val="005F696E"/>
    <w:rsid w:val="005F6A81"/>
    <w:rsid w:val="0060001B"/>
    <w:rsid w:val="00600843"/>
    <w:rsid w:val="00600B99"/>
    <w:rsid w:val="006013C4"/>
    <w:rsid w:val="00602741"/>
    <w:rsid w:val="00602913"/>
    <w:rsid w:val="00602ED4"/>
    <w:rsid w:val="00602F4B"/>
    <w:rsid w:val="006032BF"/>
    <w:rsid w:val="00603770"/>
    <w:rsid w:val="00603B78"/>
    <w:rsid w:val="00603FF6"/>
    <w:rsid w:val="0060498C"/>
    <w:rsid w:val="00605408"/>
    <w:rsid w:val="00605E84"/>
    <w:rsid w:val="0060717B"/>
    <w:rsid w:val="006077B9"/>
    <w:rsid w:val="006078B2"/>
    <w:rsid w:val="006079C7"/>
    <w:rsid w:val="00610395"/>
    <w:rsid w:val="006104CD"/>
    <w:rsid w:val="00610E09"/>
    <w:rsid w:val="0061351D"/>
    <w:rsid w:val="006139B8"/>
    <w:rsid w:val="0061710F"/>
    <w:rsid w:val="00617B51"/>
    <w:rsid w:val="00620B02"/>
    <w:rsid w:val="006213D6"/>
    <w:rsid w:val="00623E2E"/>
    <w:rsid w:val="0062420E"/>
    <w:rsid w:val="00626184"/>
    <w:rsid w:val="00626605"/>
    <w:rsid w:val="006269A0"/>
    <w:rsid w:val="00630565"/>
    <w:rsid w:val="00630FF4"/>
    <w:rsid w:val="00631164"/>
    <w:rsid w:val="006312C6"/>
    <w:rsid w:val="00631A2D"/>
    <w:rsid w:val="00633AF0"/>
    <w:rsid w:val="00633B44"/>
    <w:rsid w:val="00634244"/>
    <w:rsid w:val="00635AF5"/>
    <w:rsid w:val="006361A6"/>
    <w:rsid w:val="00636BEE"/>
    <w:rsid w:val="00636E8F"/>
    <w:rsid w:val="00637727"/>
    <w:rsid w:val="006379E5"/>
    <w:rsid w:val="00640618"/>
    <w:rsid w:val="006408B9"/>
    <w:rsid w:val="00640EA1"/>
    <w:rsid w:val="006419AE"/>
    <w:rsid w:val="006425A1"/>
    <w:rsid w:val="00642983"/>
    <w:rsid w:val="00642EB3"/>
    <w:rsid w:val="00643997"/>
    <w:rsid w:val="00643A5B"/>
    <w:rsid w:val="006455EF"/>
    <w:rsid w:val="006470B2"/>
    <w:rsid w:val="006472D6"/>
    <w:rsid w:val="00650601"/>
    <w:rsid w:val="0065114E"/>
    <w:rsid w:val="00652EE0"/>
    <w:rsid w:val="0065316B"/>
    <w:rsid w:val="00656575"/>
    <w:rsid w:val="006573AE"/>
    <w:rsid w:val="00660465"/>
    <w:rsid w:val="00660A18"/>
    <w:rsid w:val="0066167B"/>
    <w:rsid w:val="00661C69"/>
    <w:rsid w:val="00661FAA"/>
    <w:rsid w:val="00662698"/>
    <w:rsid w:val="00663727"/>
    <w:rsid w:val="006637BB"/>
    <w:rsid w:val="006643B5"/>
    <w:rsid w:val="006645DC"/>
    <w:rsid w:val="00666478"/>
    <w:rsid w:val="00666D42"/>
    <w:rsid w:val="00666DD9"/>
    <w:rsid w:val="00666E63"/>
    <w:rsid w:val="00667886"/>
    <w:rsid w:val="0067130E"/>
    <w:rsid w:val="00673273"/>
    <w:rsid w:val="00673437"/>
    <w:rsid w:val="006739F6"/>
    <w:rsid w:val="00673AAC"/>
    <w:rsid w:val="00673D8F"/>
    <w:rsid w:val="00674F13"/>
    <w:rsid w:val="00675203"/>
    <w:rsid w:val="00675381"/>
    <w:rsid w:val="0067667C"/>
    <w:rsid w:val="006768D7"/>
    <w:rsid w:val="00676E90"/>
    <w:rsid w:val="00677287"/>
    <w:rsid w:val="00677856"/>
    <w:rsid w:val="00677D1A"/>
    <w:rsid w:val="006806B6"/>
    <w:rsid w:val="006808F3"/>
    <w:rsid w:val="00680A07"/>
    <w:rsid w:val="00680A3C"/>
    <w:rsid w:val="00681E5D"/>
    <w:rsid w:val="00682FD4"/>
    <w:rsid w:val="0068401C"/>
    <w:rsid w:val="006843A1"/>
    <w:rsid w:val="00685441"/>
    <w:rsid w:val="0068625A"/>
    <w:rsid w:val="006874FB"/>
    <w:rsid w:val="00690383"/>
    <w:rsid w:val="00690AA7"/>
    <w:rsid w:val="00691259"/>
    <w:rsid w:val="00691419"/>
    <w:rsid w:val="0069166C"/>
    <w:rsid w:val="00691955"/>
    <w:rsid w:val="00691F11"/>
    <w:rsid w:val="00694ED6"/>
    <w:rsid w:val="0069509D"/>
    <w:rsid w:val="0069694F"/>
    <w:rsid w:val="006971D2"/>
    <w:rsid w:val="0069727C"/>
    <w:rsid w:val="00697C06"/>
    <w:rsid w:val="006A0034"/>
    <w:rsid w:val="006A12E4"/>
    <w:rsid w:val="006A22E4"/>
    <w:rsid w:val="006A3D55"/>
    <w:rsid w:val="006A4480"/>
    <w:rsid w:val="006A4A0B"/>
    <w:rsid w:val="006A5326"/>
    <w:rsid w:val="006A5D7B"/>
    <w:rsid w:val="006A6A1F"/>
    <w:rsid w:val="006B00B4"/>
    <w:rsid w:val="006B06A6"/>
    <w:rsid w:val="006B0E90"/>
    <w:rsid w:val="006B1615"/>
    <w:rsid w:val="006B18D4"/>
    <w:rsid w:val="006B21FB"/>
    <w:rsid w:val="006B3A77"/>
    <w:rsid w:val="006B4DC9"/>
    <w:rsid w:val="006B4E70"/>
    <w:rsid w:val="006B561D"/>
    <w:rsid w:val="006B58FD"/>
    <w:rsid w:val="006B60C0"/>
    <w:rsid w:val="006B6D54"/>
    <w:rsid w:val="006B7AB4"/>
    <w:rsid w:val="006C0936"/>
    <w:rsid w:val="006C2707"/>
    <w:rsid w:val="006C5F78"/>
    <w:rsid w:val="006C68F2"/>
    <w:rsid w:val="006C7AD8"/>
    <w:rsid w:val="006D0827"/>
    <w:rsid w:val="006D0FFD"/>
    <w:rsid w:val="006D429C"/>
    <w:rsid w:val="006D5370"/>
    <w:rsid w:val="006D6A6F"/>
    <w:rsid w:val="006D6AEA"/>
    <w:rsid w:val="006D7871"/>
    <w:rsid w:val="006E07C4"/>
    <w:rsid w:val="006E0BE6"/>
    <w:rsid w:val="006E1300"/>
    <w:rsid w:val="006E1673"/>
    <w:rsid w:val="006E1C75"/>
    <w:rsid w:val="006E1CF6"/>
    <w:rsid w:val="006E1CF9"/>
    <w:rsid w:val="006E21D9"/>
    <w:rsid w:val="006E3697"/>
    <w:rsid w:val="006E38DD"/>
    <w:rsid w:val="006E3A12"/>
    <w:rsid w:val="006E42E8"/>
    <w:rsid w:val="006E4882"/>
    <w:rsid w:val="006E4AF7"/>
    <w:rsid w:val="006E5796"/>
    <w:rsid w:val="006E5949"/>
    <w:rsid w:val="006E66BA"/>
    <w:rsid w:val="006E69EF"/>
    <w:rsid w:val="006F0177"/>
    <w:rsid w:val="006F1FD4"/>
    <w:rsid w:val="006F2777"/>
    <w:rsid w:val="006F27BC"/>
    <w:rsid w:val="006F3AEB"/>
    <w:rsid w:val="006F3F68"/>
    <w:rsid w:val="006F5948"/>
    <w:rsid w:val="006F5AA1"/>
    <w:rsid w:val="006F65DB"/>
    <w:rsid w:val="006F6D09"/>
    <w:rsid w:val="006F6D50"/>
    <w:rsid w:val="006F6E6B"/>
    <w:rsid w:val="006F6EF0"/>
    <w:rsid w:val="006F7CE6"/>
    <w:rsid w:val="00701B2F"/>
    <w:rsid w:val="00702D58"/>
    <w:rsid w:val="00702FE8"/>
    <w:rsid w:val="007030EB"/>
    <w:rsid w:val="007033C0"/>
    <w:rsid w:val="0070362C"/>
    <w:rsid w:val="0070513B"/>
    <w:rsid w:val="00706B34"/>
    <w:rsid w:val="00706D72"/>
    <w:rsid w:val="00707CE4"/>
    <w:rsid w:val="00713958"/>
    <w:rsid w:val="007144C7"/>
    <w:rsid w:val="00715A09"/>
    <w:rsid w:val="00715EEF"/>
    <w:rsid w:val="00717818"/>
    <w:rsid w:val="00717FFD"/>
    <w:rsid w:val="007200CC"/>
    <w:rsid w:val="0072260B"/>
    <w:rsid w:val="00723866"/>
    <w:rsid w:val="00723B44"/>
    <w:rsid w:val="00723D12"/>
    <w:rsid w:val="007243E7"/>
    <w:rsid w:val="00724FB8"/>
    <w:rsid w:val="00725394"/>
    <w:rsid w:val="007257B0"/>
    <w:rsid w:val="0072598E"/>
    <w:rsid w:val="00726958"/>
    <w:rsid w:val="007270CB"/>
    <w:rsid w:val="00727AC5"/>
    <w:rsid w:val="0073014F"/>
    <w:rsid w:val="00730500"/>
    <w:rsid w:val="00730E39"/>
    <w:rsid w:val="007316C3"/>
    <w:rsid w:val="007319BE"/>
    <w:rsid w:val="007322D7"/>
    <w:rsid w:val="00732F9C"/>
    <w:rsid w:val="00733A2C"/>
    <w:rsid w:val="00733B82"/>
    <w:rsid w:val="00734B6F"/>
    <w:rsid w:val="00735133"/>
    <w:rsid w:val="0073644A"/>
    <w:rsid w:val="0073714B"/>
    <w:rsid w:val="0073788A"/>
    <w:rsid w:val="00740195"/>
    <w:rsid w:val="00742B4F"/>
    <w:rsid w:val="007435B3"/>
    <w:rsid w:val="00743650"/>
    <w:rsid w:val="00743A76"/>
    <w:rsid w:val="007441A4"/>
    <w:rsid w:val="00745203"/>
    <w:rsid w:val="00745729"/>
    <w:rsid w:val="0074656D"/>
    <w:rsid w:val="00752532"/>
    <w:rsid w:val="007567DF"/>
    <w:rsid w:val="00756947"/>
    <w:rsid w:val="00757BED"/>
    <w:rsid w:val="007605FC"/>
    <w:rsid w:val="007609CA"/>
    <w:rsid w:val="00762685"/>
    <w:rsid w:val="00763C57"/>
    <w:rsid w:val="007642DA"/>
    <w:rsid w:val="00765D34"/>
    <w:rsid w:val="00766B65"/>
    <w:rsid w:val="00766E09"/>
    <w:rsid w:val="00767B1C"/>
    <w:rsid w:val="00770646"/>
    <w:rsid w:val="0077074E"/>
    <w:rsid w:val="00771C0D"/>
    <w:rsid w:val="00774076"/>
    <w:rsid w:val="00774C6C"/>
    <w:rsid w:val="0077577C"/>
    <w:rsid w:val="007765E5"/>
    <w:rsid w:val="007769BA"/>
    <w:rsid w:val="0077790F"/>
    <w:rsid w:val="00780786"/>
    <w:rsid w:val="00781525"/>
    <w:rsid w:val="0078235F"/>
    <w:rsid w:val="00782383"/>
    <w:rsid w:val="00784F74"/>
    <w:rsid w:val="007859E7"/>
    <w:rsid w:val="00785F70"/>
    <w:rsid w:val="007863FF"/>
    <w:rsid w:val="007866F0"/>
    <w:rsid w:val="00786BCE"/>
    <w:rsid w:val="007878BD"/>
    <w:rsid w:val="00787A87"/>
    <w:rsid w:val="00790190"/>
    <w:rsid w:val="0079039E"/>
    <w:rsid w:val="007907B2"/>
    <w:rsid w:val="0079307F"/>
    <w:rsid w:val="0079323E"/>
    <w:rsid w:val="007937E2"/>
    <w:rsid w:val="00793C33"/>
    <w:rsid w:val="00795480"/>
    <w:rsid w:val="00796003"/>
    <w:rsid w:val="0079603D"/>
    <w:rsid w:val="0079722C"/>
    <w:rsid w:val="0079748E"/>
    <w:rsid w:val="007A0484"/>
    <w:rsid w:val="007A1A90"/>
    <w:rsid w:val="007A3255"/>
    <w:rsid w:val="007A3FDB"/>
    <w:rsid w:val="007A41DD"/>
    <w:rsid w:val="007A5653"/>
    <w:rsid w:val="007A6631"/>
    <w:rsid w:val="007A72E0"/>
    <w:rsid w:val="007A7441"/>
    <w:rsid w:val="007A7AB8"/>
    <w:rsid w:val="007B0162"/>
    <w:rsid w:val="007B0F6E"/>
    <w:rsid w:val="007B28FE"/>
    <w:rsid w:val="007B2F85"/>
    <w:rsid w:val="007B4798"/>
    <w:rsid w:val="007B57D2"/>
    <w:rsid w:val="007B6515"/>
    <w:rsid w:val="007C0443"/>
    <w:rsid w:val="007C1671"/>
    <w:rsid w:val="007C3254"/>
    <w:rsid w:val="007C3486"/>
    <w:rsid w:val="007C44C1"/>
    <w:rsid w:val="007C4D7D"/>
    <w:rsid w:val="007C4FB1"/>
    <w:rsid w:val="007C57BD"/>
    <w:rsid w:val="007C7122"/>
    <w:rsid w:val="007C7CEE"/>
    <w:rsid w:val="007D025E"/>
    <w:rsid w:val="007D0B2A"/>
    <w:rsid w:val="007D11E3"/>
    <w:rsid w:val="007D1D21"/>
    <w:rsid w:val="007D2710"/>
    <w:rsid w:val="007D3735"/>
    <w:rsid w:val="007D44B0"/>
    <w:rsid w:val="007D477F"/>
    <w:rsid w:val="007D5BD5"/>
    <w:rsid w:val="007D6EF7"/>
    <w:rsid w:val="007E038F"/>
    <w:rsid w:val="007E1CEB"/>
    <w:rsid w:val="007E2D6E"/>
    <w:rsid w:val="007E331B"/>
    <w:rsid w:val="007E45A9"/>
    <w:rsid w:val="007E464D"/>
    <w:rsid w:val="007E472D"/>
    <w:rsid w:val="007E5255"/>
    <w:rsid w:val="007E55B9"/>
    <w:rsid w:val="007E580C"/>
    <w:rsid w:val="007E6063"/>
    <w:rsid w:val="007E79C7"/>
    <w:rsid w:val="007F0B86"/>
    <w:rsid w:val="007F11A8"/>
    <w:rsid w:val="007F1AE0"/>
    <w:rsid w:val="007F1F83"/>
    <w:rsid w:val="007F2EAB"/>
    <w:rsid w:val="007F3207"/>
    <w:rsid w:val="007F3373"/>
    <w:rsid w:val="007F3F92"/>
    <w:rsid w:val="007F4A63"/>
    <w:rsid w:val="007F4CF4"/>
    <w:rsid w:val="007F643C"/>
    <w:rsid w:val="007F6AE9"/>
    <w:rsid w:val="007F7A16"/>
    <w:rsid w:val="00800720"/>
    <w:rsid w:val="00801D58"/>
    <w:rsid w:val="0080245B"/>
    <w:rsid w:val="008033FA"/>
    <w:rsid w:val="00804E32"/>
    <w:rsid w:val="008059D6"/>
    <w:rsid w:val="00805C6F"/>
    <w:rsid w:val="008063B7"/>
    <w:rsid w:val="0081057B"/>
    <w:rsid w:val="008124BD"/>
    <w:rsid w:val="0081279E"/>
    <w:rsid w:val="00814335"/>
    <w:rsid w:val="00814FB8"/>
    <w:rsid w:val="00820812"/>
    <w:rsid w:val="00820E72"/>
    <w:rsid w:val="008213B2"/>
    <w:rsid w:val="008215E1"/>
    <w:rsid w:val="00821BFE"/>
    <w:rsid w:val="008222AB"/>
    <w:rsid w:val="008225BF"/>
    <w:rsid w:val="00823CA0"/>
    <w:rsid w:val="00823F8A"/>
    <w:rsid w:val="008271F8"/>
    <w:rsid w:val="00830D00"/>
    <w:rsid w:val="00831A6E"/>
    <w:rsid w:val="00832CBC"/>
    <w:rsid w:val="00833598"/>
    <w:rsid w:val="00833C85"/>
    <w:rsid w:val="00833FB4"/>
    <w:rsid w:val="00834F00"/>
    <w:rsid w:val="0083570F"/>
    <w:rsid w:val="008357CE"/>
    <w:rsid w:val="0083582D"/>
    <w:rsid w:val="00836B49"/>
    <w:rsid w:val="00836D1A"/>
    <w:rsid w:val="00836E0B"/>
    <w:rsid w:val="0083799A"/>
    <w:rsid w:val="00841082"/>
    <w:rsid w:val="008426BC"/>
    <w:rsid w:val="00842906"/>
    <w:rsid w:val="008434B5"/>
    <w:rsid w:val="0084358B"/>
    <w:rsid w:val="00843640"/>
    <w:rsid w:val="00843F04"/>
    <w:rsid w:val="0084428E"/>
    <w:rsid w:val="00846C5D"/>
    <w:rsid w:val="008475E3"/>
    <w:rsid w:val="00847CBF"/>
    <w:rsid w:val="0085140C"/>
    <w:rsid w:val="00851995"/>
    <w:rsid w:val="00851C6A"/>
    <w:rsid w:val="00852459"/>
    <w:rsid w:val="008529A9"/>
    <w:rsid w:val="0085305A"/>
    <w:rsid w:val="008532A5"/>
    <w:rsid w:val="008539A3"/>
    <w:rsid w:val="0085479D"/>
    <w:rsid w:val="00856676"/>
    <w:rsid w:val="0086322A"/>
    <w:rsid w:val="00863D2F"/>
    <w:rsid w:val="008641A8"/>
    <w:rsid w:val="0086466C"/>
    <w:rsid w:val="00865467"/>
    <w:rsid w:val="0086564D"/>
    <w:rsid w:val="00865894"/>
    <w:rsid w:val="00865A46"/>
    <w:rsid w:val="00866160"/>
    <w:rsid w:val="0086689B"/>
    <w:rsid w:val="00866C30"/>
    <w:rsid w:val="0087045C"/>
    <w:rsid w:val="0087579E"/>
    <w:rsid w:val="00876877"/>
    <w:rsid w:val="00876DB0"/>
    <w:rsid w:val="00877AA1"/>
    <w:rsid w:val="00877BA5"/>
    <w:rsid w:val="0088000C"/>
    <w:rsid w:val="008801FC"/>
    <w:rsid w:val="008805E7"/>
    <w:rsid w:val="00882F61"/>
    <w:rsid w:val="008839FC"/>
    <w:rsid w:val="00884D09"/>
    <w:rsid w:val="008867C7"/>
    <w:rsid w:val="00886B78"/>
    <w:rsid w:val="0088706B"/>
    <w:rsid w:val="00887C5E"/>
    <w:rsid w:val="00887C88"/>
    <w:rsid w:val="00887F99"/>
    <w:rsid w:val="00890B16"/>
    <w:rsid w:val="00890F65"/>
    <w:rsid w:val="00891C7D"/>
    <w:rsid w:val="00891FB2"/>
    <w:rsid w:val="00893717"/>
    <w:rsid w:val="008938F2"/>
    <w:rsid w:val="0089507C"/>
    <w:rsid w:val="008951DC"/>
    <w:rsid w:val="0089521C"/>
    <w:rsid w:val="00896754"/>
    <w:rsid w:val="00896A6B"/>
    <w:rsid w:val="00897929"/>
    <w:rsid w:val="008A0ABE"/>
    <w:rsid w:val="008A16D5"/>
    <w:rsid w:val="008A24B8"/>
    <w:rsid w:val="008A278C"/>
    <w:rsid w:val="008A5B2F"/>
    <w:rsid w:val="008B021D"/>
    <w:rsid w:val="008B03E6"/>
    <w:rsid w:val="008B08F7"/>
    <w:rsid w:val="008B1602"/>
    <w:rsid w:val="008B2462"/>
    <w:rsid w:val="008B295C"/>
    <w:rsid w:val="008B7C78"/>
    <w:rsid w:val="008C0926"/>
    <w:rsid w:val="008C0C9C"/>
    <w:rsid w:val="008C101C"/>
    <w:rsid w:val="008C235D"/>
    <w:rsid w:val="008C2B8A"/>
    <w:rsid w:val="008C2FFC"/>
    <w:rsid w:val="008C319C"/>
    <w:rsid w:val="008C4AF1"/>
    <w:rsid w:val="008C628E"/>
    <w:rsid w:val="008C661C"/>
    <w:rsid w:val="008D07BF"/>
    <w:rsid w:val="008D0C85"/>
    <w:rsid w:val="008D21E2"/>
    <w:rsid w:val="008D2569"/>
    <w:rsid w:val="008D2926"/>
    <w:rsid w:val="008D370E"/>
    <w:rsid w:val="008D5379"/>
    <w:rsid w:val="008D652A"/>
    <w:rsid w:val="008D662D"/>
    <w:rsid w:val="008D67E1"/>
    <w:rsid w:val="008E0021"/>
    <w:rsid w:val="008E06AA"/>
    <w:rsid w:val="008E0FD3"/>
    <w:rsid w:val="008E1C83"/>
    <w:rsid w:val="008E3487"/>
    <w:rsid w:val="008E395E"/>
    <w:rsid w:val="008E396F"/>
    <w:rsid w:val="008E3A6A"/>
    <w:rsid w:val="008E43A3"/>
    <w:rsid w:val="008E484F"/>
    <w:rsid w:val="008E5612"/>
    <w:rsid w:val="008E7142"/>
    <w:rsid w:val="008E72F0"/>
    <w:rsid w:val="008E7377"/>
    <w:rsid w:val="008E780F"/>
    <w:rsid w:val="008E7DCD"/>
    <w:rsid w:val="008F0C03"/>
    <w:rsid w:val="008F0D0B"/>
    <w:rsid w:val="008F0D5D"/>
    <w:rsid w:val="008F174E"/>
    <w:rsid w:val="008F4568"/>
    <w:rsid w:val="008F56BC"/>
    <w:rsid w:val="008F5C4A"/>
    <w:rsid w:val="008F5CF8"/>
    <w:rsid w:val="008F64A3"/>
    <w:rsid w:val="008F67FD"/>
    <w:rsid w:val="008F72ED"/>
    <w:rsid w:val="008F7DFC"/>
    <w:rsid w:val="00900663"/>
    <w:rsid w:val="009017D5"/>
    <w:rsid w:val="00902686"/>
    <w:rsid w:val="00904449"/>
    <w:rsid w:val="0090456B"/>
    <w:rsid w:val="00904C49"/>
    <w:rsid w:val="00904F0A"/>
    <w:rsid w:val="0090543F"/>
    <w:rsid w:val="009055B9"/>
    <w:rsid w:val="009068EC"/>
    <w:rsid w:val="00906C25"/>
    <w:rsid w:val="00907657"/>
    <w:rsid w:val="00911AD7"/>
    <w:rsid w:val="00912B03"/>
    <w:rsid w:val="009142E8"/>
    <w:rsid w:val="00914912"/>
    <w:rsid w:val="00915578"/>
    <w:rsid w:val="009155EA"/>
    <w:rsid w:val="00920233"/>
    <w:rsid w:val="00921B1A"/>
    <w:rsid w:val="0092232B"/>
    <w:rsid w:val="00924E89"/>
    <w:rsid w:val="00925613"/>
    <w:rsid w:val="00925B32"/>
    <w:rsid w:val="0092692D"/>
    <w:rsid w:val="009273A7"/>
    <w:rsid w:val="0092773D"/>
    <w:rsid w:val="00927FC6"/>
    <w:rsid w:val="00930510"/>
    <w:rsid w:val="009319BC"/>
    <w:rsid w:val="00932AB8"/>
    <w:rsid w:val="00937749"/>
    <w:rsid w:val="00937BA1"/>
    <w:rsid w:val="00937C14"/>
    <w:rsid w:val="00937F51"/>
    <w:rsid w:val="009400E2"/>
    <w:rsid w:val="00940226"/>
    <w:rsid w:val="009405C8"/>
    <w:rsid w:val="009408E0"/>
    <w:rsid w:val="00944365"/>
    <w:rsid w:val="0094556B"/>
    <w:rsid w:val="009468F0"/>
    <w:rsid w:val="00946BA2"/>
    <w:rsid w:val="00950959"/>
    <w:rsid w:val="00950A8E"/>
    <w:rsid w:val="00951115"/>
    <w:rsid w:val="009538EB"/>
    <w:rsid w:val="00953C59"/>
    <w:rsid w:val="00954F34"/>
    <w:rsid w:val="00955744"/>
    <w:rsid w:val="00955F41"/>
    <w:rsid w:val="009569A2"/>
    <w:rsid w:val="00957775"/>
    <w:rsid w:val="009612EF"/>
    <w:rsid w:val="00962116"/>
    <w:rsid w:val="00962844"/>
    <w:rsid w:val="009629F9"/>
    <w:rsid w:val="00963D05"/>
    <w:rsid w:val="0096415A"/>
    <w:rsid w:val="009641A6"/>
    <w:rsid w:val="00964EF1"/>
    <w:rsid w:val="009650A5"/>
    <w:rsid w:val="00965233"/>
    <w:rsid w:val="00967084"/>
    <w:rsid w:val="00970D89"/>
    <w:rsid w:val="0097166F"/>
    <w:rsid w:val="009733C9"/>
    <w:rsid w:val="00973616"/>
    <w:rsid w:val="0097372F"/>
    <w:rsid w:val="0097381F"/>
    <w:rsid w:val="00973D88"/>
    <w:rsid w:val="00973D93"/>
    <w:rsid w:val="009746EE"/>
    <w:rsid w:val="009748FC"/>
    <w:rsid w:val="00974F31"/>
    <w:rsid w:val="00975C6F"/>
    <w:rsid w:val="00976014"/>
    <w:rsid w:val="00976881"/>
    <w:rsid w:val="00976DEC"/>
    <w:rsid w:val="00976E7A"/>
    <w:rsid w:val="00977302"/>
    <w:rsid w:val="00980180"/>
    <w:rsid w:val="0098085F"/>
    <w:rsid w:val="00984D8F"/>
    <w:rsid w:val="00985094"/>
    <w:rsid w:val="009854C6"/>
    <w:rsid w:val="00985564"/>
    <w:rsid w:val="009871E2"/>
    <w:rsid w:val="009873DE"/>
    <w:rsid w:val="009903E8"/>
    <w:rsid w:val="00990748"/>
    <w:rsid w:val="009912C7"/>
    <w:rsid w:val="00991DE4"/>
    <w:rsid w:val="00992354"/>
    <w:rsid w:val="00992374"/>
    <w:rsid w:val="0099306E"/>
    <w:rsid w:val="009931CD"/>
    <w:rsid w:val="009933FD"/>
    <w:rsid w:val="0099365D"/>
    <w:rsid w:val="0099435C"/>
    <w:rsid w:val="0099477C"/>
    <w:rsid w:val="00996CE5"/>
    <w:rsid w:val="0099704C"/>
    <w:rsid w:val="0099732B"/>
    <w:rsid w:val="00997766"/>
    <w:rsid w:val="009A1186"/>
    <w:rsid w:val="009A1D23"/>
    <w:rsid w:val="009A2B60"/>
    <w:rsid w:val="009A3588"/>
    <w:rsid w:val="009A4431"/>
    <w:rsid w:val="009A4BDD"/>
    <w:rsid w:val="009A51C8"/>
    <w:rsid w:val="009A6915"/>
    <w:rsid w:val="009A6A9E"/>
    <w:rsid w:val="009A6DEE"/>
    <w:rsid w:val="009B0045"/>
    <w:rsid w:val="009B08F5"/>
    <w:rsid w:val="009B0E02"/>
    <w:rsid w:val="009B0E8A"/>
    <w:rsid w:val="009B1111"/>
    <w:rsid w:val="009B2630"/>
    <w:rsid w:val="009B297E"/>
    <w:rsid w:val="009B2B28"/>
    <w:rsid w:val="009B2BA1"/>
    <w:rsid w:val="009B2E6C"/>
    <w:rsid w:val="009B39BF"/>
    <w:rsid w:val="009B4DDB"/>
    <w:rsid w:val="009B7B49"/>
    <w:rsid w:val="009C029E"/>
    <w:rsid w:val="009C02BA"/>
    <w:rsid w:val="009C0C4F"/>
    <w:rsid w:val="009C1948"/>
    <w:rsid w:val="009C1D87"/>
    <w:rsid w:val="009C1D8F"/>
    <w:rsid w:val="009C1EE2"/>
    <w:rsid w:val="009C2B7F"/>
    <w:rsid w:val="009C3435"/>
    <w:rsid w:val="009C3AB5"/>
    <w:rsid w:val="009C40BB"/>
    <w:rsid w:val="009C4789"/>
    <w:rsid w:val="009C48CA"/>
    <w:rsid w:val="009C4CA6"/>
    <w:rsid w:val="009C6D08"/>
    <w:rsid w:val="009C7444"/>
    <w:rsid w:val="009D03CC"/>
    <w:rsid w:val="009D0946"/>
    <w:rsid w:val="009D16B8"/>
    <w:rsid w:val="009D1D04"/>
    <w:rsid w:val="009D1F8C"/>
    <w:rsid w:val="009D20CF"/>
    <w:rsid w:val="009D212F"/>
    <w:rsid w:val="009D25F8"/>
    <w:rsid w:val="009D328D"/>
    <w:rsid w:val="009D35DD"/>
    <w:rsid w:val="009D3629"/>
    <w:rsid w:val="009D4779"/>
    <w:rsid w:val="009D4E5F"/>
    <w:rsid w:val="009D5D83"/>
    <w:rsid w:val="009E0CE0"/>
    <w:rsid w:val="009E3CDE"/>
    <w:rsid w:val="009E4290"/>
    <w:rsid w:val="009E62F1"/>
    <w:rsid w:val="009E6439"/>
    <w:rsid w:val="009E7C8B"/>
    <w:rsid w:val="009F10E7"/>
    <w:rsid w:val="009F2844"/>
    <w:rsid w:val="009F446B"/>
    <w:rsid w:val="009F4CCA"/>
    <w:rsid w:val="009F5E6B"/>
    <w:rsid w:val="009F602E"/>
    <w:rsid w:val="009F6547"/>
    <w:rsid w:val="00A00311"/>
    <w:rsid w:val="00A01752"/>
    <w:rsid w:val="00A01F87"/>
    <w:rsid w:val="00A03D8D"/>
    <w:rsid w:val="00A044A7"/>
    <w:rsid w:val="00A05FA8"/>
    <w:rsid w:val="00A060F1"/>
    <w:rsid w:val="00A0677C"/>
    <w:rsid w:val="00A12379"/>
    <w:rsid w:val="00A17648"/>
    <w:rsid w:val="00A1774C"/>
    <w:rsid w:val="00A17D27"/>
    <w:rsid w:val="00A20F8E"/>
    <w:rsid w:val="00A22FED"/>
    <w:rsid w:val="00A250D5"/>
    <w:rsid w:val="00A25C21"/>
    <w:rsid w:val="00A264FB"/>
    <w:rsid w:val="00A26B3D"/>
    <w:rsid w:val="00A27CA4"/>
    <w:rsid w:val="00A27D73"/>
    <w:rsid w:val="00A30EA2"/>
    <w:rsid w:val="00A30FA5"/>
    <w:rsid w:val="00A31112"/>
    <w:rsid w:val="00A314BF"/>
    <w:rsid w:val="00A31BB8"/>
    <w:rsid w:val="00A31F76"/>
    <w:rsid w:val="00A32670"/>
    <w:rsid w:val="00A339C5"/>
    <w:rsid w:val="00A3544E"/>
    <w:rsid w:val="00A35E0B"/>
    <w:rsid w:val="00A3616D"/>
    <w:rsid w:val="00A36412"/>
    <w:rsid w:val="00A36F09"/>
    <w:rsid w:val="00A3702E"/>
    <w:rsid w:val="00A37089"/>
    <w:rsid w:val="00A40202"/>
    <w:rsid w:val="00A40586"/>
    <w:rsid w:val="00A41B5F"/>
    <w:rsid w:val="00A41BF7"/>
    <w:rsid w:val="00A41C19"/>
    <w:rsid w:val="00A42B4E"/>
    <w:rsid w:val="00A44341"/>
    <w:rsid w:val="00A44CF9"/>
    <w:rsid w:val="00A44E6C"/>
    <w:rsid w:val="00A453DE"/>
    <w:rsid w:val="00A45485"/>
    <w:rsid w:val="00A461C8"/>
    <w:rsid w:val="00A46340"/>
    <w:rsid w:val="00A475E6"/>
    <w:rsid w:val="00A47C4C"/>
    <w:rsid w:val="00A50665"/>
    <w:rsid w:val="00A50976"/>
    <w:rsid w:val="00A510FC"/>
    <w:rsid w:val="00A512C1"/>
    <w:rsid w:val="00A5383F"/>
    <w:rsid w:val="00A54A28"/>
    <w:rsid w:val="00A54DB4"/>
    <w:rsid w:val="00A55046"/>
    <w:rsid w:val="00A55337"/>
    <w:rsid w:val="00A55EE3"/>
    <w:rsid w:val="00A56258"/>
    <w:rsid w:val="00A57572"/>
    <w:rsid w:val="00A5783B"/>
    <w:rsid w:val="00A60E65"/>
    <w:rsid w:val="00A622E1"/>
    <w:rsid w:val="00A63510"/>
    <w:rsid w:val="00A63C74"/>
    <w:rsid w:val="00A64841"/>
    <w:rsid w:val="00A64B0D"/>
    <w:rsid w:val="00A64FD6"/>
    <w:rsid w:val="00A65D2D"/>
    <w:rsid w:val="00A65F89"/>
    <w:rsid w:val="00A66BBC"/>
    <w:rsid w:val="00A674BD"/>
    <w:rsid w:val="00A67A5A"/>
    <w:rsid w:val="00A701F2"/>
    <w:rsid w:val="00A71D90"/>
    <w:rsid w:val="00A73B2A"/>
    <w:rsid w:val="00A73E61"/>
    <w:rsid w:val="00A74325"/>
    <w:rsid w:val="00A74508"/>
    <w:rsid w:val="00A759E0"/>
    <w:rsid w:val="00A7632C"/>
    <w:rsid w:val="00A76F19"/>
    <w:rsid w:val="00A7731E"/>
    <w:rsid w:val="00A77B82"/>
    <w:rsid w:val="00A81155"/>
    <w:rsid w:val="00A81EB4"/>
    <w:rsid w:val="00A831DA"/>
    <w:rsid w:val="00A8406C"/>
    <w:rsid w:val="00A848D2"/>
    <w:rsid w:val="00A85753"/>
    <w:rsid w:val="00A867DB"/>
    <w:rsid w:val="00A8746A"/>
    <w:rsid w:val="00A926D3"/>
    <w:rsid w:val="00A9399C"/>
    <w:rsid w:val="00A944C5"/>
    <w:rsid w:val="00A953FB"/>
    <w:rsid w:val="00A96589"/>
    <w:rsid w:val="00A96622"/>
    <w:rsid w:val="00AA0553"/>
    <w:rsid w:val="00AA1575"/>
    <w:rsid w:val="00AA2318"/>
    <w:rsid w:val="00AA26AC"/>
    <w:rsid w:val="00AA355C"/>
    <w:rsid w:val="00AA4312"/>
    <w:rsid w:val="00AA6E14"/>
    <w:rsid w:val="00AA769F"/>
    <w:rsid w:val="00AA7AEF"/>
    <w:rsid w:val="00AA7CEF"/>
    <w:rsid w:val="00AB00B4"/>
    <w:rsid w:val="00AB0B12"/>
    <w:rsid w:val="00AB27BF"/>
    <w:rsid w:val="00AB3021"/>
    <w:rsid w:val="00AB3634"/>
    <w:rsid w:val="00AB3FBF"/>
    <w:rsid w:val="00AB6AF8"/>
    <w:rsid w:val="00AB6EBB"/>
    <w:rsid w:val="00AB7012"/>
    <w:rsid w:val="00AB7AF8"/>
    <w:rsid w:val="00AB7E40"/>
    <w:rsid w:val="00AB7E61"/>
    <w:rsid w:val="00AB7F09"/>
    <w:rsid w:val="00AB7F90"/>
    <w:rsid w:val="00AC02EF"/>
    <w:rsid w:val="00AC25A1"/>
    <w:rsid w:val="00AC3762"/>
    <w:rsid w:val="00AC3D4D"/>
    <w:rsid w:val="00AC4313"/>
    <w:rsid w:val="00AC4983"/>
    <w:rsid w:val="00AC5ACE"/>
    <w:rsid w:val="00AC6774"/>
    <w:rsid w:val="00AD0797"/>
    <w:rsid w:val="00AD0A8D"/>
    <w:rsid w:val="00AD2383"/>
    <w:rsid w:val="00AD2E84"/>
    <w:rsid w:val="00AD2EB6"/>
    <w:rsid w:val="00AD3204"/>
    <w:rsid w:val="00AD520A"/>
    <w:rsid w:val="00AD5F58"/>
    <w:rsid w:val="00AD622F"/>
    <w:rsid w:val="00AD6C52"/>
    <w:rsid w:val="00AD6C90"/>
    <w:rsid w:val="00AE019D"/>
    <w:rsid w:val="00AE1BFD"/>
    <w:rsid w:val="00AE1F7D"/>
    <w:rsid w:val="00AE2013"/>
    <w:rsid w:val="00AE2657"/>
    <w:rsid w:val="00AE27C4"/>
    <w:rsid w:val="00AE3574"/>
    <w:rsid w:val="00AE45C1"/>
    <w:rsid w:val="00AE5941"/>
    <w:rsid w:val="00AE5C4F"/>
    <w:rsid w:val="00AE6A1D"/>
    <w:rsid w:val="00AE6DA3"/>
    <w:rsid w:val="00AF1956"/>
    <w:rsid w:val="00AF199D"/>
    <w:rsid w:val="00AF1B96"/>
    <w:rsid w:val="00AF1CA8"/>
    <w:rsid w:val="00AF22F0"/>
    <w:rsid w:val="00AF565A"/>
    <w:rsid w:val="00AF5FA7"/>
    <w:rsid w:val="00AF6259"/>
    <w:rsid w:val="00B01242"/>
    <w:rsid w:val="00B01F4E"/>
    <w:rsid w:val="00B0261D"/>
    <w:rsid w:val="00B02674"/>
    <w:rsid w:val="00B029E0"/>
    <w:rsid w:val="00B03542"/>
    <w:rsid w:val="00B03689"/>
    <w:rsid w:val="00B0713B"/>
    <w:rsid w:val="00B07AC5"/>
    <w:rsid w:val="00B11C23"/>
    <w:rsid w:val="00B12A5E"/>
    <w:rsid w:val="00B12F3A"/>
    <w:rsid w:val="00B14ABC"/>
    <w:rsid w:val="00B157DE"/>
    <w:rsid w:val="00B16A60"/>
    <w:rsid w:val="00B16B08"/>
    <w:rsid w:val="00B17DA1"/>
    <w:rsid w:val="00B2127D"/>
    <w:rsid w:val="00B2146C"/>
    <w:rsid w:val="00B21836"/>
    <w:rsid w:val="00B23B67"/>
    <w:rsid w:val="00B24A65"/>
    <w:rsid w:val="00B24EF3"/>
    <w:rsid w:val="00B25A70"/>
    <w:rsid w:val="00B2608C"/>
    <w:rsid w:val="00B26736"/>
    <w:rsid w:val="00B271F2"/>
    <w:rsid w:val="00B27C6D"/>
    <w:rsid w:val="00B30AB6"/>
    <w:rsid w:val="00B31E62"/>
    <w:rsid w:val="00B32360"/>
    <w:rsid w:val="00B3435D"/>
    <w:rsid w:val="00B3448E"/>
    <w:rsid w:val="00B34F38"/>
    <w:rsid w:val="00B35167"/>
    <w:rsid w:val="00B37950"/>
    <w:rsid w:val="00B40397"/>
    <w:rsid w:val="00B414D6"/>
    <w:rsid w:val="00B41B55"/>
    <w:rsid w:val="00B422E2"/>
    <w:rsid w:val="00B42387"/>
    <w:rsid w:val="00B42E10"/>
    <w:rsid w:val="00B43EDC"/>
    <w:rsid w:val="00B44620"/>
    <w:rsid w:val="00B4534B"/>
    <w:rsid w:val="00B47FB6"/>
    <w:rsid w:val="00B508CD"/>
    <w:rsid w:val="00B50C30"/>
    <w:rsid w:val="00B50D34"/>
    <w:rsid w:val="00B50E3E"/>
    <w:rsid w:val="00B50F5F"/>
    <w:rsid w:val="00B51870"/>
    <w:rsid w:val="00B52614"/>
    <w:rsid w:val="00B5361C"/>
    <w:rsid w:val="00B54C51"/>
    <w:rsid w:val="00B54D4A"/>
    <w:rsid w:val="00B60CB4"/>
    <w:rsid w:val="00B614D6"/>
    <w:rsid w:val="00B6152F"/>
    <w:rsid w:val="00B61593"/>
    <w:rsid w:val="00B6199B"/>
    <w:rsid w:val="00B61A39"/>
    <w:rsid w:val="00B61E6F"/>
    <w:rsid w:val="00B625CF"/>
    <w:rsid w:val="00B632C9"/>
    <w:rsid w:val="00B63A0E"/>
    <w:rsid w:val="00B641D8"/>
    <w:rsid w:val="00B64787"/>
    <w:rsid w:val="00B651FD"/>
    <w:rsid w:val="00B65E0F"/>
    <w:rsid w:val="00B667D7"/>
    <w:rsid w:val="00B66D54"/>
    <w:rsid w:val="00B7002F"/>
    <w:rsid w:val="00B700D1"/>
    <w:rsid w:val="00B70342"/>
    <w:rsid w:val="00B70E65"/>
    <w:rsid w:val="00B71C46"/>
    <w:rsid w:val="00B723D6"/>
    <w:rsid w:val="00B73AE1"/>
    <w:rsid w:val="00B73F91"/>
    <w:rsid w:val="00B740CE"/>
    <w:rsid w:val="00B740D7"/>
    <w:rsid w:val="00B74581"/>
    <w:rsid w:val="00B74809"/>
    <w:rsid w:val="00B751B8"/>
    <w:rsid w:val="00B769C8"/>
    <w:rsid w:val="00B76BC1"/>
    <w:rsid w:val="00B76DD1"/>
    <w:rsid w:val="00B77571"/>
    <w:rsid w:val="00B77573"/>
    <w:rsid w:val="00B77BA3"/>
    <w:rsid w:val="00B81070"/>
    <w:rsid w:val="00B8138E"/>
    <w:rsid w:val="00B82608"/>
    <w:rsid w:val="00B82F86"/>
    <w:rsid w:val="00B8356F"/>
    <w:rsid w:val="00B86885"/>
    <w:rsid w:val="00B86E5E"/>
    <w:rsid w:val="00B9073B"/>
    <w:rsid w:val="00B90E8C"/>
    <w:rsid w:val="00B920EE"/>
    <w:rsid w:val="00B921D2"/>
    <w:rsid w:val="00B9254F"/>
    <w:rsid w:val="00B92D3F"/>
    <w:rsid w:val="00B92D9F"/>
    <w:rsid w:val="00B936D4"/>
    <w:rsid w:val="00B939BD"/>
    <w:rsid w:val="00B93BF9"/>
    <w:rsid w:val="00B93D95"/>
    <w:rsid w:val="00B947B1"/>
    <w:rsid w:val="00B94C26"/>
    <w:rsid w:val="00B963A3"/>
    <w:rsid w:val="00B9781E"/>
    <w:rsid w:val="00BA081F"/>
    <w:rsid w:val="00BA1639"/>
    <w:rsid w:val="00BA2C11"/>
    <w:rsid w:val="00BA2C8F"/>
    <w:rsid w:val="00BA3145"/>
    <w:rsid w:val="00BA448A"/>
    <w:rsid w:val="00BA4919"/>
    <w:rsid w:val="00BA5EE5"/>
    <w:rsid w:val="00BA62B1"/>
    <w:rsid w:val="00BA6FF4"/>
    <w:rsid w:val="00BA703E"/>
    <w:rsid w:val="00BA775A"/>
    <w:rsid w:val="00BB126D"/>
    <w:rsid w:val="00BB142D"/>
    <w:rsid w:val="00BB15DA"/>
    <w:rsid w:val="00BB16CF"/>
    <w:rsid w:val="00BB1D93"/>
    <w:rsid w:val="00BB22F1"/>
    <w:rsid w:val="00BB3710"/>
    <w:rsid w:val="00BB492E"/>
    <w:rsid w:val="00BB4C55"/>
    <w:rsid w:val="00BB4F94"/>
    <w:rsid w:val="00BB5133"/>
    <w:rsid w:val="00BB5149"/>
    <w:rsid w:val="00BB5152"/>
    <w:rsid w:val="00BB7D5E"/>
    <w:rsid w:val="00BC313F"/>
    <w:rsid w:val="00BC41BB"/>
    <w:rsid w:val="00BC5BF0"/>
    <w:rsid w:val="00BC657C"/>
    <w:rsid w:val="00BC6DC5"/>
    <w:rsid w:val="00BD11B6"/>
    <w:rsid w:val="00BD123D"/>
    <w:rsid w:val="00BD139A"/>
    <w:rsid w:val="00BD2539"/>
    <w:rsid w:val="00BD2BBF"/>
    <w:rsid w:val="00BD3CBE"/>
    <w:rsid w:val="00BD4726"/>
    <w:rsid w:val="00BD49D3"/>
    <w:rsid w:val="00BD5BBF"/>
    <w:rsid w:val="00BD5DF1"/>
    <w:rsid w:val="00BD6B50"/>
    <w:rsid w:val="00BE1336"/>
    <w:rsid w:val="00BE19A6"/>
    <w:rsid w:val="00BE3C12"/>
    <w:rsid w:val="00BE4451"/>
    <w:rsid w:val="00BE5051"/>
    <w:rsid w:val="00BE5970"/>
    <w:rsid w:val="00BE6005"/>
    <w:rsid w:val="00BE60B6"/>
    <w:rsid w:val="00BE6507"/>
    <w:rsid w:val="00BE6574"/>
    <w:rsid w:val="00BE6611"/>
    <w:rsid w:val="00BE6F8B"/>
    <w:rsid w:val="00BE74A6"/>
    <w:rsid w:val="00BE7609"/>
    <w:rsid w:val="00BE7D23"/>
    <w:rsid w:val="00BF088F"/>
    <w:rsid w:val="00BF0993"/>
    <w:rsid w:val="00BF19F5"/>
    <w:rsid w:val="00BF2102"/>
    <w:rsid w:val="00BF293F"/>
    <w:rsid w:val="00BF2C31"/>
    <w:rsid w:val="00BF3FE0"/>
    <w:rsid w:val="00BF43D4"/>
    <w:rsid w:val="00BF50C3"/>
    <w:rsid w:val="00BF59A6"/>
    <w:rsid w:val="00BF65BF"/>
    <w:rsid w:val="00BF7928"/>
    <w:rsid w:val="00BF7AC1"/>
    <w:rsid w:val="00C02761"/>
    <w:rsid w:val="00C029E2"/>
    <w:rsid w:val="00C042F3"/>
    <w:rsid w:val="00C0520E"/>
    <w:rsid w:val="00C0546F"/>
    <w:rsid w:val="00C054CE"/>
    <w:rsid w:val="00C05635"/>
    <w:rsid w:val="00C103BC"/>
    <w:rsid w:val="00C10F8E"/>
    <w:rsid w:val="00C11265"/>
    <w:rsid w:val="00C11389"/>
    <w:rsid w:val="00C1138C"/>
    <w:rsid w:val="00C11BFF"/>
    <w:rsid w:val="00C1271F"/>
    <w:rsid w:val="00C13396"/>
    <w:rsid w:val="00C15096"/>
    <w:rsid w:val="00C152FF"/>
    <w:rsid w:val="00C1567F"/>
    <w:rsid w:val="00C15DB2"/>
    <w:rsid w:val="00C1626B"/>
    <w:rsid w:val="00C1679E"/>
    <w:rsid w:val="00C20DBA"/>
    <w:rsid w:val="00C2178E"/>
    <w:rsid w:val="00C21DEC"/>
    <w:rsid w:val="00C2219B"/>
    <w:rsid w:val="00C23551"/>
    <w:rsid w:val="00C23661"/>
    <w:rsid w:val="00C23953"/>
    <w:rsid w:val="00C23CB7"/>
    <w:rsid w:val="00C272C3"/>
    <w:rsid w:val="00C278B7"/>
    <w:rsid w:val="00C27F7A"/>
    <w:rsid w:val="00C305A3"/>
    <w:rsid w:val="00C30872"/>
    <w:rsid w:val="00C311E3"/>
    <w:rsid w:val="00C31B89"/>
    <w:rsid w:val="00C331B9"/>
    <w:rsid w:val="00C33844"/>
    <w:rsid w:val="00C33999"/>
    <w:rsid w:val="00C35324"/>
    <w:rsid w:val="00C36FC0"/>
    <w:rsid w:val="00C370B6"/>
    <w:rsid w:val="00C37153"/>
    <w:rsid w:val="00C37310"/>
    <w:rsid w:val="00C421B5"/>
    <w:rsid w:val="00C42422"/>
    <w:rsid w:val="00C42608"/>
    <w:rsid w:val="00C437EE"/>
    <w:rsid w:val="00C43EC2"/>
    <w:rsid w:val="00C443A4"/>
    <w:rsid w:val="00C44569"/>
    <w:rsid w:val="00C44776"/>
    <w:rsid w:val="00C4624C"/>
    <w:rsid w:val="00C47878"/>
    <w:rsid w:val="00C47BB9"/>
    <w:rsid w:val="00C50033"/>
    <w:rsid w:val="00C50C91"/>
    <w:rsid w:val="00C51315"/>
    <w:rsid w:val="00C52181"/>
    <w:rsid w:val="00C546FC"/>
    <w:rsid w:val="00C556BB"/>
    <w:rsid w:val="00C5727E"/>
    <w:rsid w:val="00C5793E"/>
    <w:rsid w:val="00C60216"/>
    <w:rsid w:val="00C60285"/>
    <w:rsid w:val="00C606B0"/>
    <w:rsid w:val="00C60E52"/>
    <w:rsid w:val="00C624C1"/>
    <w:rsid w:val="00C6569B"/>
    <w:rsid w:val="00C657C6"/>
    <w:rsid w:val="00C65C7B"/>
    <w:rsid w:val="00C66193"/>
    <w:rsid w:val="00C66D4F"/>
    <w:rsid w:val="00C6742F"/>
    <w:rsid w:val="00C71698"/>
    <w:rsid w:val="00C724A8"/>
    <w:rsid w:val="00C75C99"/>
    <w:rsid w:val="00C76590"/>
    <w:rsid w:val="00C77618"/>
    <w:rsid w:val="00C80617"/>
    <w:rsid w:val="00C80A03"/>
    <w:rsid w:val="00C813C0"/>
    <w:rsid w:val="00C81537"/>
    <w:rsid w:val="00C81C03"/>
    <w:rsid w:val="00C83037"/>
    <w:rsid w:val="00C831EE"/>
    <w:rsid w:val="00C841EE"/>
    <w:rsid w:val="00C843A2"/>
    <w:rsid w:val="00C845B3"/>
    <w:rsid w:val="00C84B08"/>
    <w:rsid w:val="00C85F67"/>
    <w:rsid w:val="00C861FD"/>
    <w:rsid w:val="00C86C0D"/>
    <w:rsid w:val="00C86CC3"/>
    <w:rsid w:val="00C8732C"/>
    <w:rsid w:val="00C87642"/>
    <w:rsid w:val="00C87ADB"/>
    <w:rsid w:val="00C87EC6"/>
    <w:rsid w:val="00C914FC"/>
    <w:rsid w:val="00C91C5B"/>
    <w:rsid w:val="00C92C34"/>
    <w:rsid w:val="00C93B73"/>
    <w:rsid w:val="00C9451C"/>
    <w:rsid w:val="00C960D3"/>
    <w:rsid w:val="00C966FD"/>
    <w:rsid w:val="00CA03C6"/>
    <w:rsid w:val="00CA12D8"/>
    <w:rsid w:val="00CA2A97"/>
    <w:rsid w:val="00CA480B"/>
    <w:rsid w:val="00CA482A"/>
    <w:rsid w:val="00CA6BE7"/>
    <w:rsid w:val="00CA70B4"/>
    <w:rsid w:val="00CB391A"/>
    <w:rsid w:val="00CB5142"/>
    <w:rsid w:val="00CB53FD"/>
    <w:rsid w:val="00CB6529"/>
    <w:rsid w:val="00CB6C6A"/>
    <w:rsid w:val="00CB736F"/>
    <w:rsid w:val="00CB7B77"/>
    <w:rsid w:val="00CC021C"/>
    <w:rsid w:val="00CC13BB"/>
    <w:rsid w:val="00CC1732"/>
    <w:rsid w:val="00CC2F69"/>
    <w:rsid w:val="00CC3C9B"/>
    <w:rsid w:val="00CC4A59"/>
    <w:rsid w:val="00CC5711"/>
    <w:rsid w:val="00CC6BAD"/>
    <w:rsid w:val="00CC77F9"/>
    <w:rsid w:val="00CC788E"/>
    <w:rsid w:val="00CD0442"/>
    <w:rsid w:val="00CD427E"/>
    <w:rsid w:val="00CD587E"/>
    <w:rsid w:val="00CD603E"/>
    <w:rsid w:val="00CD7E3A"/>
    <w:rsid w:val="00CE003A"/>
    <w:rsid w:val="00CE0130"/>
    <w:rsid w:val="00CE2114"/>
    <w:rsid w:val="00CE3C1F"/>
    <w:rsid w:val="00CE3DC9"/>
    <w:rsid w:val="00CE4557"/>
    <w:rsid w:val="00CE4716"/>
    <w:rsid w:val="00CE48A4"/>
    <w:rsid w:val="00CE4E42"/>
    <w:rsid w:val="00CE5C01"/>
    <w:rsid w:val="00CE6425"/>
    <w:rsid w:val="00CE6776"/>
    <w:rsid w:val="00CE7021"/>
    <w:rsid w:val="00CF3853"/>
    <w:rsid w:val="00CF4BCF"/>
    <w:rsid w:val="00CF53C2"/>
    <w:rsid w:val="00CF69A3"/>
    <w:rsid w:val="00CF6A53"/>
    <w:rsid w:val="00D004C6"/>
    <w:rsid w:val="00D005A0"/>
    <w:rsid w:val="00D01320"/>
    <w:rsid w:val="00D0212C"/>
    <w:rsid w:val="00D02550"/>
    <w:rsid w:val="00D03C04"/>
    <w:rsid w:val="00D03CAC"/>
    <w:rsid w:val="00D061AD"/>
    <w:rsid w:val="00D07410"/>
    <w:rsid w:val="00D07798"/>
    <w:rsid w:val="00D108EE"/>
    <w:rsid w:val="00D10CC7"/>
    <w:rsid w:val="00D12209"/>
    <w:rsid w:val="00D12B15"/>
    <w:rsid w:val="00D1596C"/>
    <w:rsid w:val="00D16368"/>
    <w:rsid w:val="00D163D9"/>
    <w:rsid w:val="00D16D3B"/>
    <w:rsid w:val="00D17700"/>
    <w:rsid w:val="00D177C0"/>
    <w:rsid w:val="00D209C7"/>
    <w:rsid w:val="00D20B62"/>
    <w:rsid w:val="00D22728"/>
    <w:rsid w:val="00D235A9"/>
    <w:rsid w:val="00D249EE"/>
    <w:rsid w:val="00D2545D"/>
    <w:rsid w:val="00D2563F"/>
    <w:rsid w:val="00D27A82"/>
    <w:rsid w:val="00D30225"/>
    <w:rsid w:val="00D3051A"/>
    <w:rsid w:val="00D30D3C"/>
    <w:rsid w:val="00D3118A"/>
    <w:rsid w:val="00D3256B"/>
    <w:rsid w:val="00D326EA"/>
    <w:rsid w:val="00D32A4E"/>
    <w:rsid w:val="00D33465"/>
    <w:rsid w:val="00D33DD0"/>
    <w:rsid w:val="00D340D5"/>
    <w:rsid w:val="00D35F8E"/>
    <w:rsid w:val="00D36229"/>
    <w:rsid w:val="00D36303"/>
    <w:rsid w:val="00D3747A"/>
    <w:rsid w:val="00D3775A"/>
    <w:rsid w:val="00D377F5"/>
    <w:rsid w:val="00D37F4F"/>
    <w:rsid w:val="00D404B8"/>
    <w:rsid w:val="00D40C05"/>
    <w:rsid w:val="00D4161D"/>
    <w:rsid w:val="00D41A48"/>
    <w:rsid w:val="00D43549"/>
    <w:rsid w:val="00D4360F"/>
    <w:rsid w:val="00D445EA"/>
    <w:rsid w:val="00D44CAA"/>
    <w:rsid w:val="00D45C38"/>
    <w:rsid w:val="00D4619B"/>
    <w:rsid w:val="00D47B48"/>
    <w:rsid w:val="00D5004B"/>
    <w:rsid w:val="00D50D76"/>
    <w:rsid w:val="00D51C63"/>
    <w:rsid w:val="00D51FDF"/>
    <w:rsid w:val="00D523A2"/>
    <w:rsid w:val="00D524C1"/>
    <w:rsid w:val="00D53334"/>
    <w:rsid w:val="00D55735"/>
    <w:rsid w:val="00D55C22"/>
    <w:rsid w:val="00D55E4C"/>
    <w:rsid w:val="00D56BCB"/>
    <w:rsid w:val="00D57389"/>
    <w:rsid w:val="00D57874"/>
    <w:rsid w:val="00D579EC"/>
    <w:rsid w:val="00D61AC8"/>
    <w:rsid w:val="00D6206C"/>
    <w:rsid w:val="00D638B1"/>
    <w:rsid w:val="00D65264"/>
    <w:rsid w:val="00D66B3C"/>
    <w:rsid w:val="00D67CFF"/>
    <w:rsid w:val="00D67F47"/>
    <w:rsid w:val="00D70A94"/>
    <w:rsid w:val="00D71BE1"/>
    <w:rsid w:val="00D71D9B"/>
    <w:rsid w:val="00D72779"/>
    <w:rsid w:val="00D73795"/>
    <w:rsid w:val="00D74861"/>
    <w:rsid w:val="00D74BB0"/>
    <w:rsid w:val="00D7503C"/>
    <w:rsid w:val="00D76048"/>
    <w:rsid w:val="00D768BE"/>
    <w:rsid w:val="00D76919"/>
    <w:rsid w:val="00D81500"/>
    <w:rsid w:val="00D8150C"/>
    <w:rsid w:val="00D81FD2"/>
    <w:rsid w:val="00D82D12"/>
    <w:rsid w:val="00D83762"/>
    <w:rsid w:val="00D84515"/>
    <w:rsid w:val="00D85D76"/>
    <w:rsid w:val="00D86343"/>
    <w:rsid w:val="00D87464"/>
    <w:rsid w:val="00D87A62"/>
    <w:rsid w:val="00D90F4D"/>
    <w:rsid w:val="00D9103F"/>
    <w:rsid w:val="00D9167A"/>
    <w:rsid w:val="00D9179B"/>
    <w:rsid w:val="00D91E59"/>
    <w:rsid w:val="00D92047"/>
    <w:rsid w:val="00D9208E"/>
    <w:rsid w:val="00D94586"/>
    <w:rsid w:val="00D94661"/>
    <w:rsid w:val="00D954FB"/>
    <w:rsid w:val="00D964BE"/>
    <w:rsid w:val="00D96870"/>
    <w:rsid w:val="00D96997"/>
    <w:rsid w:val="00D9782D"/>
    <w:rsid w:val="00D97CC8"/>
    <w:rsid w:val="00DA0763"/>
    <w:rsid w:val="00DA19C9"/>
    <w:rsid w:val="00DA220B"/>
    <w:rsid w:val="00DA2518"/>
    <w:rsid w:val="00DA2EA2"/>
    <w:rsid w:val="00DA3864"/>
    <w:rsid w:val="00DA4003"/>
    <w:rsid w:val="00DA408B"/>
    <w:rsid w:val="00DA48FD"/>
    <w:rsid w:val="00DA66AC"/>
    <w:rsid w:val="00DA7B6B"/>
    <w:rsid w:val="00DB0EA9"/>
    <w:rsid w:val="00DB421E"/>
    <w:rsid w:val="00DB5186"/>
    <w:rsid w:val="00DB5789"/>
    <w:rsid w:val="00DB5929"/>
    <w:rsid w:val="00DB5CD8"/>
    <w:rsid w:val="00DB6E37"/>
    <w:rsid w:val="00DB6FB1"/>
    <w:rsid w:val="00DB72CC"/>
    <w:rsid w:val="00DB7DAB"/>
    <w:rsid w:val="00DC03BA"/>
    <w:rsid w:val="00DC1354"/>
    <w:rsid w:val="00DC32A4"/>
    <w:rsid w:val="00DC331F"/>
    <w:rsid w:val="00DC4085"/>
    <w:rsid w:val="00DC44F0"/>
    <w:rsid w:val="00DC471A"/>
    <w:rsid w:val="00DC56CF"/>
    <w:rsid w:val="00DC58FD"/>
    <w:rsid w:val="00DC7203"/>
    <w:rsid w:val="00DD078F"/>
    <w:rsid w:val="00DD1977"/>
    <w:rsid w:val="00DD19C5"/>
    <w:rsid w:val="00DD3426"/>
    <w:rsid w:val="00DD4D8A"/>
    <w:rsid w:val="00DD53D8"/>
    <w:rsid w:val="00DD54E4"/>
    <w:rsid w:val="00DD671C"/>
    <w:rsid w:val="00DD738C"/>
    <w:rsid w:val="00DD7785"/>
    <w:rsid w:val="00DD7C71"/>
    <w:rsid w:val="00DE0073"/>
    <w:rsid w:val="00DE064B"/>
    <w:rsid w:val="00DE21DD"/>
    <w:rsid w:val="00DE6E38"/>
    <w:rsid w:val="00DF04AC"/>
    <w:rsid w:val="00DF13BE"/>
    <w:rsid w:val="00DF20D2"/>
    <w:rsid w:val="00DF2897"/>
    <w:rsid w:val="00DF39C5"/>
    <w:rsid w:val="00DF4F89"/>
    <w:rsid w:val="00DF572A"/>
    <w:rsid w:val="00DF7109"/>
    <w:rsid w:val="00DF713A"/>
    <w:rsid w:val="00DF759C"/>
    <w:rsid w:val="00E00845"/>
    <w:rsid w:val="00E0161E"/>
    <w:rsid w:val="00E01776"/>
    <w:rsid w:val="00E02D2C"/>
    <w:rsid w:val="00E03423"/>
    <w:rsid w:val="00E03586"/>
    <w:rsid w:val="00E0395C"/>
    <w:rsid w:val="00E03D6D"/>
    <w:rsid w:val="00E04410"/>
    <w:rsid w:val="00E0553D"/>
    <w:rsid w:val="00E05678"/>
    <w:rsid w:val="00E05DBA"/>
    <w:rsid w:val="00E07076"/>
    <w:rsid w:val="00E07648"/>
    <w:rsid w:val="00E10F6C"/>
    <w:rsid w:val="00E11103"/>
    <w:rsid w:val="00E13105"/>
    <w:rsid w:val="00E1311F"/>
    <w:rsid w:val="00E13542"/>
    <w:rsid w:val="00E13B9D"/>
    <w:rsid w:val="00E14F4A"/>
    <w:rsid w:val="00E15BA7"/>
    <w:rsid w:val="00E16243"/>
    <w:rsid w:val="00E164E8"/>
    <w:rsid w:val="00E21C5B"/>
    <w:rsid w:val="00E22A6B"/>
    <w:rsid w:val="00E23331"/>
    <w:rsid w:val="00E257DC"/>
    <w:rsid w:val="00E25FE4"/>
    <w:rsid w:val="00E263F1"/>
    <w:rsid w:val="00E31BA9"/>
    <w:rsid w:val="00E31D38"/>
    <w:rsid w:val="00E321B6"/>
    <w:rsid w:val="00E324D7"/>
    <w:rsid w:val="00E330DD"/>
    <w:rsid w:val="00E335C6"/>
    <w:rsid w:val="00E33D4F"/>
    <w:rsid w:val="00E34C68"/>
    <w:rsid w:val="00E34D21"/>
    <w:rsid w:val="00E34EE3"/>
    <w:rsid w:val="00E34F53"/>
    <w:rsid w:val="00E3652B"/>
    <w:rsid w:val="00E36D4B"/>
    <w:rsid w:val="00E404A8"/>
    <w:rsid w:val="00E410C0"/>
    <w:rsid w:val="00E42092"/>
    <w:rsid w:val="00E44788"/>
    <w:rsid w:val="00E469CA"/>
    <w:rsid w:val="00E46A9B"/>
    <w:rsid w:val="00E47322"/>
    <w:rsid w:val="00E475A1"/>
    <w:rsid w:val="00E47C92"/>
    <w:rsid w:val="00E47E00"/>
    <w:rsid w:val="00E50066"/>
    <w:rsid w:val="00E54D77"/>
    <w:rsid w:val="00E5726A"/>
    <w:rsid w:val="00E61287"/>
    <w:rsid w:val="00E64DA9"/>
    <w:rsid w:val="00E65BEF"/>
    <w:rsid w:val="00E6606B"/>
    <w:rsid w:val="00E66263"/>
    <w:rsid w:val="00E66AB0"/>
    <w:rsid w:val="00E7154C"/>
    <w:rsid w:val="00E724AE"/>
    <w:rsid w:val="00E726CE"/>
    <w:rsid w:val="00E74F21"/>
    <w:rsid w:val="00E750DB"/>
    <w:rsid w:val="00E76956"/>
    <w:rsid w:val="00E7758F"/>
    <w:rsid w:val="00E80A5A"/>
    <w:rsid w:val="00E80BA3"/>
    <w:rsid w:val="00E81F8A"/>
    <w:rsid w:val="00E82B70"/>
    <w:rsid w:val="00E82EC3"/>
    <w:rsid w:val="00E84332"/>
    <w:rsid w:val="00E84A4B"/>
    <w:rsid w:val="00E85E3C"/>
    <w:rsid w:val="00E86663"/>
    <w:rsid w:val="00E87E1F"/>
    <w:rsid w:val="00E92B1A"/>
    <w:rsid w:val="00E946FF"/>
    <w:rsid w:val="00E9586A"/>
    <w:rsid w:val="00E962CC"/>
    <w:rsid w:val="00E96D1E"/>
    <w:rsid w:val="00E97E44"/>
    <w:rsid w:val="00EA0142"/>
    <w:rsid w:val="00EA286A"/>
    <w:rsid w:val="00EA2897"/>
    <w:rsid w:val="00EA3AAC"/>
    <w:rsid w:val="00EA4A95"/>
    <w:rsid w:val="00EA6B41"/>
    <w:rsid w:val="00EA7534"/>
    <w:rsid w:val="00EA7599"/>
    <w:rsid w:val="00EB0560"/>
    <w:rsid w:val="00EB0D90"/>
    <w:rsid w:val="00EB1FCD"/>
    <w:rsid w:val="00EB327C"/>
    <w:rsid w:val="00EB4085"/>
    <w:rsid w:val="00EB7855"/>
    <w:rsid w:val="00EC0AE2"/>
    <w:rsid w:val="00EC21A8"/>
    <w:rsid w:val="00EC3551"/>
    <w:rsid w:val="00EC4555"/>
    <w:rsid w:val="00EC4E62"/>
    <w:rsid w:val="00EC5997"/>
    <w:rsid w:val="00EC5F88"/>
    <w:rsid w:val="00EC6DCC"/>
    <w:rsid w:val="00ED0345"/>
    <w:rsid w:val="00ED0C4D"/>
    <w:rsid w:val="00ED1AD3"/>
    <w:rsid w:val="00ED1AE8"/>
    <w:rsid w:val="00ED1EB5"/>
    <w:rsid w:val="00ED20F4"/>
    <w:rsid w:val="00ED27B4"/>
    <w:rsid w:val="00ED2BAD"/>
    <w:rsid w:val="00ED2CF0"/>
    <w:rsid w:val="00ED331D"/>
    <w:rsid w:val="00ED3F79"/>
    <w:rsid w:val="00ED4FF4"/>
    <w:rsid w:val="00ED5AE1"/>
    <w:rsid w:val="00ED7135"/>
    <w:rsid w:val="00ED7549"/>
    <w:rsid w:val="00ED7B85"/>
    <w:rsid w:val="00EE09E9"/>
    <w:rsid w:val="00EE0C94"/>
    <w:rsid w:val="00EE130A"/>
    <w:rsid w:val="00EE18E5"/>
    <w:rsid w:val="00EE269C"/>
    <w:rsid w:val="00EE2954"/>
    <w:rsid w:val="00EE4405"/>
    <w:rsid w:val="00EE4744"/>
    <w:rsid w:val="00EE67D1"/>
    <w:rsid w:val="00EE7143"/>
    <w:rsid w:val="00EF08E9"/>
    <w:rsid w:val="00EF115C"/>
    <w:rsid w:val="00EF18E3"/>
    <w:rsid w:val="00EF1E09"/>
    <w:rsid w:val="00EF211D"/>
    <w:rsid w:val="00EF239B"/>
    <w:rsid w:val="00EF2748"/>
    <w:rsid w:val="00EF39F3"/>
    <w:rsid w:val="00EF4846"/>
    <w:rsid w:val="00EF4EA7"/>
    <w:rsid w:val="00EF5EBA"/>
    <w:rsid w:val="00EF64E2"/>
    <w:rsid w:val="00EF6D3C"/>
    <w:rsid w:val="00EF76AB"/>
    <w:rsid w:val="00F00BBD"/>
    <w:rsid w:val="00F00BE9"/>
    <w:rsid w:val="00F015A9"/>
    <w:rsid w:val="00F01673"/>
    <w:rsid w:val="00F01814"/>
    <w:rsid w:val="00F01D2C"/>
    <w:rsid w:val="00F03899"/>
    <w:rsid w:val="00F03E30"/>
    <w:rsid w:val="00F04B2B"/>
    <w:rsid w:val="00F06A43"/>
    <w:rsid w:val="00F06AF8"/>
    <w:rsid w:val="00F12EB7"/>
    <w:rsid w:val="00F1439A"/>
    <w:rsid w:val="00F14719"/>
    <w:rsid w:val="00F15BE6"/>
    <w:rsid w:val="00F165A9"/>
    <w:rsid w:val="00F165D1"/>
    <w:rsid w:val="00F17BA9"/>
    <w:rsid w:val="00F20134"/>
    <w:rsid w:val="00F20528"/>
    <w:rsid w:val="00F2082D"/>
    <w:rsid w:val="00F20C2C"/>
    <w:rsid w:val="00F214AE"/>
    <w:rsid w:val="00F21DE1"/>
    <w:rsid w:val="00F22DEB"/>
    <w:rsid w:val="00F2307B"/>
    <w:rsid w:val="00F24310"/>
    <w:rsid w:val="00F244CA"/>
    <w:rsid w:val="00F24BF1"/>
    <w:rsid w:val="00F258DA"/>
    <w:rsid w:val="00F25A40"/>
    <w:rsid w:val="00F25E9E"/>
    <w:rsid w:val="00F26DA9"/>
    <w:rsid w:val="00F27B4A"/>
    <w:rsid w:val="00F300F7"/>
    <w:rsid w:val="00F3071E"/>
    <w:rsid w:val="00F30865"/>
    <w:rsid w:val="00F30C27"/>
    <w:rsid w:val="00F32D6E"/>
    <w:rsid w:val="00F32E4A"/>
    <w:rsid w:val="00F34939"/>
    <w:rsid w:val="00F349C9"/>
    <w:rsid w:val="00F35944"/>
    <w:rsid w:val="00F3631A"/>
    <w:rsid w:val="00F3792E"/>
    <w:rsid w:val="00F37D8E"/>
    <w:rsid w:val="00F37FA9"/>
    <w:rsid w:val="00F406D0"/>
    <w:rsid w:val="00F412CC"/>
    <w:rsid w:val="00F413FA"/>
    <w:rsid w:val="00F41BBF"/>
    <w:rsid w:val="00F41D67"/>
    <w:rsid w:val="00F42332"/>
    <w:rsid w:val="00F42EFC"/>
    <w:rsid w:val="00F430D6"/>
    <w:rsid w:val="00F435F4"/>
    <w:rsid w:val="00F44733"/>
    <w:rsid w:val="00F44748"/>
    <w:rsid w:val="00F44B35"/>
    <w:rsid w:val="00F45A7E"/>
    <w:rsid w:val="00F4683C"/>
    <w:rsid w:val="00F46C79"/>
    <w:rsid w:val="00F46DA2"/>
    <w:rsid w:val="00F46DDE"/>
    <w:rsid w:val="00F47752"/>
    <w:rsid w:val="00F5127A"/>
    <w:rsid w:val="00F527DA"/>
    <w:rsid w:val="00F533AB"/>
    <w:rsid w:val="00F54391"/>
    <w:rsid w:val="00F54A15"/>
    <w:rsid w:val="00F560BD"/>
    <w:rsid w:val="00F56CE9"/>
    <w:rsid w:val="00F60C04"/>
    <w:rsid w:val="00F626E3"/>
    <w:rsid w:val="00F62DBB"/>
    <w:rsid w:val="00F62F7E"/>
    <w:rsid w:val="00F63134"/>
    <w:rsid w:val="00F64BD3"/>
    <w:rsid w:val="00F6539A"/>
    <w:rsid w:val="00F65457"/>
    <w:rsid w:val="00F6702C"/>
    <w:rsid w:val="00F67519"/>
    <w:rsid w:val="00F678E6"/>
    <w:rsid w:val="00F67A07"/>
    <w:rsid w:val="00F70525"/>
    <w:rsid w:val="00F715B7"/>
    <w:rsid w:val="00F727B8"/>
    <w:rsid w:val="00F7321E"/>
    <w:rsid w:val="00F73A70"/>
    <w:rsid w:val="00F7418C"/>
    <w:rsid w:val="00F756A0"/>
    <w:rsid w:val="00F75963"/>
    <w:rsid w:val="00F75CB0"/>
    <w:rsid w:val="00F7626C"/>
    <w:rsid w:val="00F7697A"/>
    <w:rsid w:val="00F77793"/>
    <w:rsid w:val="00F8114D"/>
    <w:rsid w:val="00F8126D"/>
    <w:rsid w:val="00F819C9"/>
    <w:rsid w:val="00F828E6"/>
    <w:rsid w:val="00F82F70"/>
    <w:rsid w:val="00F83138"/>
    <w:rsid w:val="00F8429A"/>
    <w:rsid w:val="00F848FA"/>
    <w:rsid w:val="00F853B1"/>
    <w:rsid w:val="00F858CD"/>
    <w:rsid w:val="00F85955"/>
    <w:rsid w:val="00F8689E"/>
    <w:rsid w:val="00F870A4"/>
    <w:rsid w:val="00F87545"/>
    <w:rsid w:val="00F87EAC"/>
    <w:rsid w:val="00F87EF8"/>
    <w:rsid w:val="00F90069"/>
    <w:rsid w:val="00F91852"/>
    <w:rsid w:val="00F92C02"/>
    <w:rsid w:val="00F942D8"/>
    <w:rsid w:val="00F951F8"/>
    <w:rsid w:val="00F95A1C"/>
    <w:rsid w:val="00F968E7"/>
    <w:rsid w:val="00F96EC6"/>
    <w:rsid w:val="00F97D3F"/>
    <w:rsid w:val="00FA0A4C"/>
    <w:rsid w:val="00FA10DE"/>
    <w:rsid w:val="00FA2418"/>
    <w:rsid w:val="00FA2435"/>
    <w:rsid w:val="00FA414B"/>
    <w:rsid w:val="00FA42D9"/>
    <w:rsid w:val="00FA4D08"/>
    <w:rsid w:val="00FA54B1"/>
    <w:rsid w:val="00FA57E3"/>
    <w:rsid w:val="00FA6697"/>
    <w:rsid w:val="00FB03A7"/>
    <w:rsid w:val="00FB0FAA"/>
    <w:rsid w:val="00FB1BBB"/>
    <w:rsid w:val="00FB2B66"/>
    <w:rsid w:val="00FB2F31"/>
    <w:rsid w:val="00FB35CE"/>
    <w:rsid w:val="00FB3DD3"/>
    <w:rsid w:val="00FB405A"/>
    <w:rsid w:val="00FB554A"/>
    <w:rsid w:val="00FB5DB6"/>
    <w:rsid w:val="00FB6C23"/>
    <w:rsid w:val="00FB78E2"/>
    <w:rsid w:val="00FB7C10"/>
    <w:rsid w:val="00FC03EE"/>
    <w:rsid w:val="00FC0961"/>
    <w:rsid w:val="00FC20B9"/>
    <w:rsid w:val="00FC22EB"/>
    <w:rsid w:val="00FC2C93"/>
    <w:rsid w:val="00FC3277"/>
    <w:rsid w:val="00FC3BDE"/>
    <w:rsid w:val="00FC4CD7"/>
    <w:rsid w:val="00FC580D"/>
    <w:rsid w:val="00FC66B1"/>
    <w:rsid w:val="00FC79E4"/>
    <w:rsid w:val="00FC7D09"/>
    <w:rsid w:val="00FD03C5"/>
    <w:rsid w:val="00FD0529"/>
    <w:rsid w:val="00FD18F3"/>
    <w:rsid w:val="00FD1D5D"/>
    <w:rsid w:val="00FD1EAC"/>
    <w:rsid w:val="00FD251F"/>
    <w:rsid w:val="00FD2962"/>
    <w:rsid w:val="00FD2CC3"/>
    <w:rsid w:val="00FD576E"/>
    <w:rsid w:val="00FD7B49"/>
    <w:rsid w:val="00FE12F9"/>
    <w:rsid w:val="00FE17C8"/>
    <w:rsid w:val="00FE2DD0"/>
    <w:rsid w:val="00FE3058"/>
    <w:rsid w:val="00FE356B"/>
    <w:rsid w:val="00FE384C"/>
    <w:rsid w:val="00FE39A1"/>
    <w:rsid w:val="00FE3ACF"/>
    <w:rsid w:val="00FE4073"/>
    <w:rsid w:val="00FE4C1E"/>
    <w:rsid w:val="00FE4CA3"/>
    <w:rsid w:val="00FE55D5"/>
    <w:rsid w:val="00FE60C3"/>
    <w:rsid w:val="00FE662F"/>
    <w:rsid w:val="00FE66E5"/>
    <w:rsid w:val="00FE74EF"/>
    <w:rsid w:val="00FE7875"/>
    <w:rsid w:val="00FE7A76"/>
    <w:rsid w:val="00FF19CE"/>
    <w:rsid w:val="00FF1D10"/>
    <w:rsid w:val="00FF4009"/>
    <w:rsid w:val="00FF4D90"/>
    <w:rsid w:val="00FF4ECD"/>
    <w:rsid w:val="00FF6F58"/>
    <w:rsid w:val="00FF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70FCEE"/>
  <w15:chartTrackingRefBased/>
  <w15:docId w15:val="{A14D7B4F-3992-9347-A058-07F414FDE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EA1"/>
  </w:style>
  <w:style w:type="paragraph" w:styleId="Heading1">
    <w:name w:val="heading 1"/>
    <w:basedOn w:val="Normal"/>
    <w:next w:val="Normal"/>
    <w:link w:val="Heading1Char"/>
    <w:uiPriority w:val="9"/>
    <w:qFormat/>
    <w:rsid w:val="00DF13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13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F13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3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3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3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3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3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3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3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13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F13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3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3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3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3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3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3BE"/>
    <w:rPr>
      <w:rFonts w:eastAsiaTheme="majorEastAsia" w:cstheme="majorBidi"/>
      <w:color w:val="272727" w:themeColor="text1" w:themeTint="D8"/>
    </w:rPr>
  </w:style>
  <w:style w:type="paragraph" w:styleId="Title">
    <w:name w:val="Title"/>
    <w:basedOn w:val="Normal"/>
    <w:next w:val="Normal"/>
    <w:link w:val="TitleChar"/>
    <w:uiPriority w:val="10"/>
    <w:qFormat/>
    <w:rsid w:val="00DF13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3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3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3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3BE"/>
    <w:pPr>
      <w:spacing w:before="160"/>
      <w:jc w:val="center"/>
    </w:pPr>
    <w:rPr>
      <w:i/>
      <w:iCs/>
      <w:color w:val="404040" w:themeColor="text1" w:themeTint="BF"/>
    </w:rPr>
  </w:style>
  <w:style w:type="character" w:customStyle="1" w:styleId="QuoteChar">
    <w:name w:val="Quote Char"/>
    <w:basedOn w:val="DefaultParagraphFont"/>
    <w:link w:val="Quote"/>
    <w:uiPriority w:val="29"/>
    <w:rsid w:val="00DF13BE"/>
    <w:rPr>
      <w:i/>
      <w:iCs/>
      <w:color w:val="404040" w:themeColor="text1" w:themeTint="BF"/>
    </w:rPr>
  </w:style>
  <w:style w:type="paragraph" w:styleId="ListParagraph">
    <w:name w:val="List Paragraph"/>
    <w:basedOn w:val="Normal"/>
    <w:uiPriority w:val="34"/>
    <w:qFormat/>
    <w:rsid w:val="00DF13BE"/>
    <w:pPr>
      <w:ind w:left="720"/>
      <w:contextualSpacing/>
    </w:pPr>
  </w:style>
  <w:style w:type="character" w:styleId="IntenseEmphasis">
    <w:name w:val="Intense Emphasis"/>
    <w:basedOn w:val="DefaultParagraphFont"/>
    <w:uiPriority w:val="21"/>
    <w:qFormat/>
    <w:rsid w:val="00DF13BE"/>
    <w:rPr>
      <w:i/>
      <w:iCs/>
      <w:color w:val="0F4761" w:themeColor="accent1" w:themeShade="BF"/>
    </w:rPr>
  </w:style>
  <w:style w:type="paragraph" w:styleId="IntenseQuote">
    <w:name w:val="Intense Quote"/>
    <w:basedOn w:val="Normal"/>
    <w:next w:val="Normal"/>
    <w:link w:val="IntenseQuoteChar"/>
    <w:uiPriority w:val="30"/>
    <w:qFormat/>
    <w:rsid w:val="00DF13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3BE"/>
    <w:rPr>
      <w:i/>
      <w:iCs/>
      <w:color w:val="0F4761" w:themeColor="accent1" w:themeShade="BF"/>
    </w:rPr>
  </w:style>
  <w:style w:type="character" w:styleId="IntenseReference">
    <w:name w:val="Intense Reference"/>
    <w:basedOn w:val="DefaultParagraphFont"/>
    <w:uiPriority w:val="32"/>
    <w:qFormat/>
    <w:rsid w:val="00DF13BE"/>
    <w:rPr>
      <w:b/>
      <w:bCs/>
      <w:smallCaps/>
      <w:color w:val="0F4761" w:themeColor="accent1" w:themeShade="BF"/>
      <w:spacing w:val="5"/>
    </w:rPr>
  </w:style>
  <w:style w:type="character" w:styleId="Hyperlink">
    <w:name w:val="Hyperlink"/>
    <w:basedOn w:val="DefaultParagraphFont"/>
    <w:uiPriority w:val="99"/>
    <w:unhideWhenUsed/>
    <w:rsid w:val="000E00B4"/>
    <w:rPr>
      <w:color w:val="467886" w:themeColor="hyperlink"/>
      <w:u w:val="single"/>
    </w:rPr>
  </w:style>
  <w:style w:type="character" w:styleId="UnresolvedMention">
    <w:name w:val="Unresolved Mention"/>
    <w:basedOn w:val="DefaultParagraphFont"/>
    <w:uiPriority w:val="99"/>
    <w:semiHidden/>
    <w:unhideWhenUsed/>
    <w:rsid w:val="000E00B4"/>
    <w:rPr>
      <w:color w:val="605E5C"/>
      <w:shd w:val="clear" w:color="auto" w:fill="E1DFDD"/>
    </w:rPr>
  </w:style>
  <w:style w:type="table" w:styleId="TableGrid">
    <w:name w:val="Table Grid"/>
    <w:basedOn w:val="TableNormal"/>
    <w:uiPriority w:val="39"/>
    <w:rsid w:val="00217ED0"/>
    <w:pPr>
      <w:spacing w:after="0" w:line="240" w:lineRule="auto"/>
    </w:pPr>
    <w:rPr>
      <w:kern w:val="0"/>
      <w:lang w:eastAsia="ja-JP"/>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1137D"/>
    <w:rPr>
      <w:color w:val="96607D" w:themeColor="followedHyperlink"/>
      <w:u w:val="single"/>
    </w:rPr>
  </w:style>
  <w:style w:type="paragraph" w:styleId="Header">
    <w:name w:val="header"/>
    <w:basedOn w:val="Normal"/>
    <w:link w:val="HeaderChar"/>
    <w:uiPriority w:val="99"/>
    <w:unhideWhenUsed/>
    <w:rsid w:val="00A326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2670"/>
  </w:style>
  <w:style w:type="paragraph" w:styleId="Footer">
    <w:name w:val="footer"/>
    <w:basedOn w:val="Normal"/>
    <w:link w:val="FooterChar"/>
    <w:uiPriority w:val="99"/>
    <w:unhideWhenUsed/>
    <w:rsid w:val="00A326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2670"/>
  </w:style>
  <w:style w:type="paragraph" w:styleId="NormalWeb">
    <w:name w:val="Normal (Web)"/>
    <w:basedOn w:val="Normal"/>
    <w:uiPriority w:val="99"/>
    <w:unhideWhenUsed/>
    <w:rsid w:val="006419AE"/>
    <w:pPr>
      <w:spacing w:before="100" w:beforeAutospacing="1" w:after="100" w:afterAutospacing="1" w:line="240" w:lineRule="auto"/>
    </w:pPr>
    <w:rPr>
      <w:rFonts w:ascii="Times New Roman" w:hAnsi="Times New Roman" w:cs="Times New Roman"/>
      <w:kern w:val="0"/>
      <w14:ligatures w14:val="none"/>
    </w:rPr>
  </w:style>
  <w:style w:type="paragraph" w:styleId="TOCHeading">
    <w:name w:val="TOC Heading"/>
    <w:basedOn w:val="Heading1"/>
    <w:next w:val="Normal"/>
    <w:uiPriority w:val="39"/>
    <w:unhideWhenUsed/>
    <w:qFormat/>
    <w:rsid w:val="00364210"/>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364210"/>
    <w:pPr>
      <w:spacing w:after="100"/>
      <w:ind w:left="480"/>
    </w:pPr>
  </w:style>
  <w:style w:type="table" w:styleId="PlainTable3">
    <w:name w:val="Plain Table 3"/>
    <w:basedOn w:val="TableNormal"/>
    <w:uiPriority w:val="43"/>
    <w:rsid w:val="00E1310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E1310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C960D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C960D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TableGridLight">
    <w:name w:val="Grid Table Light"/>
    <w:basedOn w:val="TableNormal"/>
    <w:uiPriority w:val="40"/>
    <w:rsid w:val="00CA03C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1">
    <w:name w:val="Grid Table 2 Accent 1"/>
    <w:basedOn w:val="TableNormal"/>
    <w:uiPriority w:val="47"/>
    <w:rsid w:val="00CA03C6"/>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1">
    <w:name w:val="Grid Table 4 Accent 1"/>
    <w:basedOn w:val="TableNormal"/>
    <w:uiPriority w:val="49"/>
    <w:rsid w:val="00CA03C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urfulAccent1">
    <w:name w:val="Grid Table 6 Colorful Accent 1"/>
    <w:basedOn w:val="TableNormal"/>
    <w:uiPriority w:val="51"/>
    <w:rsid w:val="00CA03C6"/>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1">
    <w:name w:val="toc 1"/>
    <w:basedOn w:val="Normal"/>
    <w:next w:val="Normal"/>
    <w:autoRedefine/>
    <w:uiPriority w:val="39"/>
    <w:unhideWhenUsed/>
    <w:rsid w:val="0029222E"/>
    <w:pPr>
      <w:spacing w:after="100"/>
    </w:pPr>
  </w:style>
  <w:style w:type="paragraph" w:styleId="TOC2">
    <w:name w:val="toc 2"/>
    <w:basedOn w:val="Normal"/>
    <w:next w:val="Normal"/>
    <w:autoRedefine/>
    <w:uiPriority w:val="39"/>
    <w:unhideWhenUsed/>
    <w:rsid w:val="0029222E"/>
    <w:pPr>
      <w:spacing w:after="100"/>
      <w:ind w:left="240"/>
    </w:pPr>
  </w:style>
  <w:style w:type="paragraph" w:customStyle="1" w:styleId="paragraph">
    <w:name w:val="paragraph"/>
    <w:basedOn w:val="Normal"/>
    <w:rsid w:val="007269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26958"/>
  </w:style>
  <w:style w:type="character" w:customStyle="1" w:styleId="eop">
    <w:name w:val="eop"/>
    <w:basedOn w:val="DefaultParagraphFont"/>
    <w:rsid w:val="007269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jmir.org/2025/1/e60077/" TargetMode="External"/><Relationship Id="rId39" Type="http://schemas.openxmlformats.org/officeDocument/2006/relationships/hyperlink" Target="https://www.pulsetoday.co.uk/news/workforce/44-of-gp-admin-work-can-be-fully-automated-workforce-plan-suggests/" TargetMode="External"/><Relationship Id="rId21" Type="http://schemas.openxmlformats.org/officeDocument/2006/relationships/hyperlink" Target="https://pubmed.ncbi.nlm.nih.gov/37846824/" TargetMode="External"/><Relationship Id="rId34" Type="http://schemas.openxmlformats.org/officeDocument/2006/relationships/hyperlink" Target="https://www.england.nhs.uk/2025/06/nhs-approves-new-it-system-for-gps-to-help-transform-care/" TargetMode="External"/><Relationship Id="rId42" Type="http://schemas.openxmlformats.org/officeDocument/2006/relationships/hyperlink" Target="https://moodle.uwtsd.ac.uk/pluginfile.php/979801/mod_folder/content/0/C1%20Thematic%20Approach.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hfma.org.uk/publications/implementing-electronic-patient-recor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overnment/publications/healthcare-education-and-training-tariff-2024-to-2025" TargetMode="External"/><Relationship Id="rId32" Type="http://schemas.openxmlformats.org/officeDocument/2006/relationships/hyperlink" Target="https://digital.nhs.uk/services/nhs-app" TargetMode="External"/><Relationship Id="rId37" Type="http://schemas.openxmlformats.org/officeDocument/2006/relationships/hyperlink" Target="https://www.nuffieldtrust.org.uk/sites/default/files/2022-02/digital-access-to-general-practice-evidence-review.pdf" TargetMode="External"/><Relationship Id="rId40" Type="http://schemas.openxmlformats.org/officeDocument/2006/relationships/hyperlink" Target="https://pubmed.ncbi.nlm.nih.gov/30395517/"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gov.uk/government/publications/a-plan-for-digital-health-and-social-care/a-plan-for-digital-health-and-social-care" TargetMode="External"/><Relationship Id="rId28" Type="http://schemas.openxmlformats.org/officeDocument/2006/relationships/hyperlink" Target="https://www.health.org.uk/reports-and-analysis/analysis/electronic-patient-records-nhs-strategy" TargetMode="External"/><Relationship Id="rId36" Type="http://schemas.openxmlformats.org/officeDocument/2006/relationships/hyperlink" Target="https://www.nuffieldtrust.org.uk/research/digital-primary-care-improving-access-for-all-rapid-evidence-review" TargetMode="External"/><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hyperlink" Target="https://medicus.health/"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www.health.org.uk/publications" TargetMode="External"/><Relationship Id="rId27" Type="http://schemas.openxmlformats.org/officeDocument/2006/relationships/hyperlink" Target="https://pubmed.ncbi.nlm.nih.gov/29092808/" TargetMode="External"/><Relationship Id="rId30" Type="http://schemas.openxmlformats.org/officeDocument/2006/relationships/hyperlink" Target="https://ico.org.uk/about-the-ico/what-we-do/legislation-we-cover/data-protection-act-2018/" TargetMode="External"/><Relationship Id="rId35" Type="http://schemas.openxmlformats.org/officeDocument/2006/relationships/hyperlink" Target="https://digital.nhs.uk/services/national-data-opt-out/understanding-the-national-data-opt-out/protecting-patient-data" TargetMode="External"/><Relationship Id="rId43" Type="http://schemas.openxmlformats.org/officeDocument/2006/relationships/hyperlink" Target="https://www.who.int/publications/i/item/9789241550505"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9.png"/><Relationship Id="rId25" Type="http://schemas.openxmlformats.org/officeDocument/2006/relationships/hyperlink" Target="https://www.fdbhealth.co.uk" TargetMode="External"/><Relationship Id="rId33" Type="http://schemas.openxmlformats.org/officeDocument/2006/relationships/hyperlink" Target="https://www.england.nhs.uk" TargetMode="External"/><Relationship Id="rId38" Type="http://schemas.openxmlformats.org/officeDocument/2006/relationships/hyperlink" Target="https://academic.oup.com/jamia/article/28/1/1/6018276" TargetMode="External"/><Relationship Id="rId46" Type="http://schemas.openxmlformats.org/officeDocument/2006/relationships/fontTable" Target="fontTable.xml"/><Relationship Id="rId20" Type="http://schemas.openxmlformats.org/officeDocument/2006/relationships/hyperlink" Target="https://www-vlebooks-com.ezproxy.uwtsd.ac.uk/Product/Index/344727?page=0&amp;startBookmarkId=-1" TargetMode="External"/><Relationship Id="rId41" Type="http://schemas.openxmlformats.org/officeDocument/2006/relationships/hyperlink" Target="https://tpp-uk.com/general-practice/emr/"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800">
                <a:latin typeface="Arial" panose="020B0604020202020204" pitchFamily="34" charset="0"/>
                <a:cs typeface="Arial" panose="020B0604020202020204" pitchFamily="34" charset="0"/>
              </a:rPr>
              <a:t>Patient Population of Early Adoption of Medicus Health Clinical System</a:t>
            </a:r>
            <a:endParaRPr lang="en-US" sz="800">
              <a:latin typeface="Arial" panose="020B0604020202020204" pitchFamily="34" charset="0"/>
              <a:cs typeface="Arial" panose="020B0604020202020204" pitchFamily="34" charset="0"/>
            </a:endParaRPr>
          </a:p>
        </c:rich>
      </c:tx>
      <c:layout>
        <c:manualLayout>
          <c:xMode val="edge"/>
          <c:yMode val="edge"/>
          <c:x val="5.2639659596868242E-5"/>
          <c:y val="3.9525691699604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2"/>
          <c:order val="2"/>
          <c:spPr>
            <a:solidFill>
              <a:schemeClr val="accent3"/>
            </a:solidFill>
            <a:ln>
              <a:noFill/>
            </a:ln>
            <a:effectLst/>
          </c:spPr>
          <c:invertIfNegative val="0"/>
          <c:cat>
            <c:strRef>
              <c:f>[2026.xlsx]Sheet1!$C$6:$C$9</c:f>
              <c:strCache>
                <c:ptCount val="4"/>
                <c:pt idx="0">
                  <c:v>Wilmslow Health Centre </c:v>
                </c:pt>
                <c:pt idx="1">
                  <c:v>The Adam Pracrice </c:v>
                </c:pt>
                <c:pt idx="2">
                  <c:v>The Chorley Surgery</c:v>
                </c:pt>
                <c:pt idx="3">
                  <c:v>The Elms Medical Centre</c:v>
                </c:pt>
              </c:strCache>
            </c:strRef>
          </c:cat>
          <c:val>
            <c:numRef>
              <c:f>[2026.xlsx]Sheet1!$F$6:$F$9</c:f>
              <c:numCache>
                <c:formatCode>General</c:formatCode>
                <c:ptCount val="4"/>
                <c:pt idx="0">
                  <c:v>1600</c:v>
                </c:pt>
                <c:pt idx="1">
                  <c:v>25000</c:v>
                </c:pt>
                <c:pt idx="2">
                  <c:v>1500</c:v>
                </c:pt>
                <c:pt idx="3">
                  <c:v>1500</c:v>
                </c:pt>
              </c:numCache>
            </c:numRef>
          </c:val>
          <c:extLst>
            <c:ext xmlns:c16="http://schemas.microsoft.com/office/drawing/2014/chart" uri="{C3380CC4-5D6E-409C-BE32-E72D297353CC}">
              <c16:uniqueId val="{00000000-381B-41FB-9178-9CAB5E3C5571}"/>
            </c:ext>
          </c:extLst>
        </c:ser>
        <c:dLbls>
          <c:showLegendKey val="0"/>
          <c:showVal val="0"/>
          <c:showCatName val="0"/>
          <c:showSerName val="0"/>
          <c:showPercent val="0"/>
          <c:showBubbleSize val="0"/>
        </c:dLbls>
        <c:gapWidth val="219"/>
        <c:overlap val="-27"/>
        <c:axId val="570892815"/>
        <c:axId val="570889679"/>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[2026.xlsx]Sheet1!$C$6:$C$9</c15:sqref>
                        </c15:formulaRef>
                      </c:ext>
                    </c:extLst>
                    <c:strCache>
                      <c:ptCount val="4"/>
                      <c:pt idx="0">
                        <c:v>Wilmslow Health Centre </c:v>
                      </c:pt>
                      <c:pt idx="1">
                        <c:v>The Adam Pracrice </c:v>
                      </c:pt>
                      <c:pt idx="2">
                        <c:v>The Chorley Surgery</c:v>
                      </c:pt>
                      <c:pt idx="3">
                        <c:v>The Elms Medical Centre</c:v>
                      </c:pt>
                    </c:strCache>
                  </c:strRef>
                </c:cat>
                <c:val>
                  <c:numRef>
                    <c:extLst>
                      <c:ext uri="{02D57815-91ED-43cb-92C2-25804820EDAC}">
                        <c15:formulaRef>
                          <c15:sqref>[2026.xlsx]Sheet1!$D$6:$D$9</c15:sqref>
                        </c15:formulaRef>
                      </c:ext>
                    </c:extLst>
                    <c:numCache>
                      <c:formatCode>General</c:formatCode>
                      <c:ptCount val="4"/>
                    </c:numCache>
                  </c:numRef>
                </c:val>
                <c:extLst>
                  <c:ext xmlns:c16="http://schemas.microsoft.com/office/drawing/2014/chart" uri="{C3380CC4-5D6E-409C-BE32-E72D297353CC}">
                    <c16:uniqueId val="{00000001-381B-41FB-9178-9CAB5E3C5571}"/>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[2026.xlsx]Sheet1!$C$6:$C$9</c15:sqref>
                        </c15:formulaRef>
                      </c:ext>
                    </c:extLst>
                    <c:strCache>
                      <c:ptCount val="4"/>
                      <c:pt idx="0">
                        <c:v>Wilmslow Health Centre </c:v>
                      </c:pt>
                      <c:pt idx="1">
                        <c:v>The Adam Pracrice </c:v>
                      </c:pt>
                      <c:pt idx="2">
                        <c:v>The Chorley Surgery</c:v>
                      </c:pt>
                      <c:pt idx="3">
                        <c:v>The Elms Medical Centre</c:v>
                      </c:pt>
                    </c:strCache>
                  </c:strRef>
                </c:cat>
                <c:val>
                  <c:numRef>
                    <c:extLst xmlns:c15="http://schemas.microsoft.com/office/drawing/2012/chart">
                      <c:ext xmlns:c15="http://schemas.microsoft.com/office/drawing/2012/chart" uri="{02D57815-91ED-43cb-92C2-25804820EDAC}">
                        <c15:formulaRef>
                          <c15:sqref>[2026.xlsx]Sheet1!$E$6:$E$9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381B-41FB-9178-9CAB5E3C5571}"/>
                  </c:ext>
                </c:extLst>
              </c15:ser>
            </c15:filteredBarSeries>
            <c15:filteredBarSeries>
              <c15:ser>
                <c:idx val="3"/>
                <c:order val="3"/>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[2026.xlsx]Sheet1!$C$6:$C$9</c15:sqref>
                        </c15:formulaRef>
                      </c:ext>
                    </c:extLst>
                    <c:strCache>
                      <c:ptCount val="4"/>
                      <c:pt idx="0">
                        <c:v>Wilmslow Health Centre </c:v>
                      </c:pt>
                      <c:pt idx="1">
                        <c:v>The Adam Pracrice </c:v>
                      </c:pt>
                      <c:pt idx="2">
                        <c:v>The Chorley Surgery</c:v>
                      </c:pt>
                      <c:pt idx="3">
                        <c:v>The Elms Medical Centre</c:v>
                      </c:pt>
                    </c:strCache>
                  </c:strRef>
                </c:cat>
                <c:val>
                  <c:numRef>
                    <c:extLst xmlns:c15="http://schemas.microsoft.com/office/drawing/2012/chart">
                      <c:ext xmlns:c15="http://schemas.microsoft.com/office/drawing/2012/chart" uri="{02D57815-91ED-43cb-92C2-25804820EDAC}">
                        <c15:formulaRef>
                          <c15:sqref>[2026.xlsx]Sheet1!$G$6:$G$9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381B-41FB-9178-9CAB5E3C5571}"/>
                  </c:ext>
                </c:extLst>
              </c15:ser>
            </c15:filteredBarSeries>
          </c:ext>
        </c:extLst>
      </c:barChart>
      <c:catAx>
        <c:axId val="570892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889679"/>
        <c:crosses val="autoZero"/>
        <c:auto val="1"/>
        <c:lblAlgn val="ctr"/>
        <c:lblOffset val="100"/>
        <c:noMultiLvlLbl val="0"/>
      </c:catAx>
      <c:valAx>
        <c:axId val="5708896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8928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9566BF-BB5C-3F47-A210-A22513713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31</Pages>
  <Words>5598</Words>
  <Characters>31909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Medicus Health Cloud‑Based Clinical System: A Case Study in Digital Transformation Across NHS General Practice</vt:lpstr>
    </vt:vector>
  </TitlesOfParts>
  <Company/>
  <LinksUpToDate>false</LinksUpToDate>
  <CharactersWithSpaces>37433</CharactersWithSpaces>
  <SharedDoc>false</SharedDoc>
  <HLinks>
    <vt:vector size="120" baseType="variant">
      <vt:variant>
        <vt:i4>7667757</vt:i4>
      </vt:variant>
      <vt:variant>
        <vt:i4>93</vt:i4>
      </vt:variant>
      <vt:variant>
        <vt:i4>0</vt:i4>
      </vt:variant>
      <vt:variant>
        <vt:i4>5</vt:i4>
      </vt:variant>
      <vt:variant>
        <vt:lpwstr>https://www.nuffieldtrust.org.uk/sites/default/files/2022-02/digital-access-to-general-practice-evidence-review.pdf</vt:lpwstr>
      </vt:variant>
      <vt:variant>
        <vt:lpwstr/>
      </vt:variant>
      <vt:variant>
        <vt:i4>1638492</vt:i4>
      </vt:variant>
      <vt:variant>
        <vt:i4>90</vt:i4>
      </vt:variant>
      <vt:variant>
        <vt:i4>0</vt:i4>
      </vt:variant>
      <vt:variant>
        <vt:i4>5</vt:i4>
      </vt:variant>
      <vt:variant>
        <vt:lpwstr>https://www.england.nhs.uk/2025/06/nhs-approves-new-it-system-for-gps-to-help-transform-care/</vt:lpwstr>
      </vt:variant>
      <vt:variant>
        <vt:lpwstr/>
      </vt:variant>
      <vt:variant>
        <vt:i4>2162789</vt:i4>
      </vt:variant>
      <vt:variant>
        <vt:i4>87</vt:i4>
      </vt:variant>
      <vt:variant>
        <vt:i4>0</vt:i4>
      </vt:variant>
      <vt:variant>
        <vt:i4>5</vt:i4>
      </vt:variant>
      <vt:variant>
        <vt:lpwstr>https://ico.org.uk/about-the-ico/what-we-do/legislation-we-cover/data-protection-act-2018/</vt:lpwstr>
      </vt:variant>
      <vt:variant>
        <vt:lpwstr/>
      </vt:variant>
      <vt:variant>
        <vt:i4>1441870</vt:i4>
      </vt:variant>
      <vt:variant>
        <vt:i4>84</vt:i4>
      </vt:variant>
      <vt:variant>
        <vt:i4>0</vt:i4>
      </vt:variant>
      <vt:variant>
        <vt:i4>5</vt:i4>
      </vt:variant>
      <vt:variant>
        <vt:lpwstr>https://www.health.org.uk/publications/reports/the-digital-divide</vt:lpwstr>
      </vt:variant>
      <vt:variant>
        <vt:lpwstr/>
      </vt:variant>
      <vt:variant>
        <vt:i4>4849667</vt:i4>
      </vt:variant>
      <vt:variant>
        <vt:i4>81</vt:i4>
      </vt:variant>
      <vt:variant>
        <vt:i4>0</vt:i4>
      </vt:variant>
      <vt:variant>
        <vt:i4>5</vt:i4>
      </vt:variant>
      <vt:variant>
        <vt:lpwstr>https://www.fdbhealth.co.uk/</vt:lpwstr>
      </vt:variant>
      <vt:variant>
        <vt:lpwstr/>
      </vt:variant>
      <vt:variant>
        <vt:i4>5242884</vt:i4>
      </vt:variant>
      <vt:variant>
        <vt:i4>78</vt:i4>
      </vt:variant>
      <vt:variant>
        <vt:i4>0</vt:i4>
      </vt:variant>
      <vt:variant>
        <vt:i4>5</vt:i4>
      </vt:variant>
      <vt:variant>
        <vt:lpwstr>https://www.gov.uk/government/publications/a-plan-for-digital-health-and-social-care</vt:lpwstr>
      </vt:variant>
      <vt:variant>
        <vt:lpwstr/>
      </vt:variant>
      <vt:variant>
        <vt:i4>4849667</vt:i4>
      </vt:variant>
      <vt:variant>
        <vt:i4>75</vt:i4>
      </vt:variant>
      <vt:variant>
        <vt:i4>0</vt:i4>
      </vt:variant>
      <vt:variant>
        <vt:i4>5</vt:i4>
      </vt:variant>
      <vt:variant>
        <vt:lpwstr>https://www.fdbhealth.co.uk/</vt:lpwstr>
      </vt:variant>
      <vt:variant>
        <vt:lpwstr/>
      </vt:variant>
      <vt:variant>
        <vt:i4>1638492</vt:i4>
      </vt:variant>
      <vt:variant>
        <vt:i4>72</vt:i4>
      </vt:variant>
      <vt:variant>
        <vt:i4>0</vt:i4>
      </vt:variant>
      <vt:variant>
        <vt:i4>5</vt:i4>
      </vt:variant>
      <vt:variant>
        <vt:lpwstr>https://www.england.nhs.uk/2025/06/nhs-approves-new-it-system-for-gps-to-help-transform-care/</vt:lpwstr>
      </vt:variant>
      <vt:variant>
        <vt:lpwstr/>
      </vt:variant>
      <vt:variant>
        <vt:i4>2555940</vt:i4>
      </vt:variant>
      <vt:variant>
        <vt:i4>69</vt:i4>
      </vt:variant>
      <vt:variant>
        <vt:i4>0</vt:i4>
      </vt:variant>
      <vt:variant>
        <vt:i4>5</vt:i4>
      </vt:variant>
      <vt:variant>
        <vt:lpwstr>https://medicus.health/</vt:lpwstr>
      </vt:variant>
      <vt:variant>
        <vt:lpwstr/>
      </vt:variant>
      <vt:variant>
        <vt:i4>1966136</vt:i4>
      </vt:variant>
      <vt:variant>
        <vt:i4>62</vt:i4>
      </vt:variant>
      <vt:variant>
        <vt:i4>0</vt:i4>
      </vt:variant>
      <vt:variant>
        <vt:i4>5</vt:i4>
      </vt:variant>
      <vt:variant>
        <vt:lpwstr/>
      </vt:variant>
      <vt:variant>
        <vt:lpwstr>_Toc212318932</vt:lpwstr>
      </vt:variant>
      <vt:variant>
        <vt:i4>1966136</vt:i4>
      </vt:variant>
      <vt:variant>
        <vt:i4>56</vt:i4>
      </vt:variant>
      <vt:variant>
        <vt:i4>0</vt:i4>
      </vt:variant>
      <vt:variant>
        <vt:i4>5</vt:i4>
      </vt:variant>
      <vt:variant>
        <vt:lpwstr/>
      </vt:variant>
      <vt:variant>
        <vt:lpwstr>_Toc212318931</vt:lpwstr>
      </vt:variant>
      <vt:variant>
        <vt:i4>1966136</vt:i4>
      </vt:variant>
      <vt:variant>
        <vt:i4>50</vt:i4>
      </vt:variant>
      <vt:variant>
        <vt:i4>0</vt:i4>
      </vt:variant>
      <vt:variant>
        <vt:i4>5</vt:i4>
      </vt:variant>
      <vt:variant>
        <vt:lpwstr/>
      </vt:variant>
      <vt:variant>
        <vt:lpwstr>_Toc212318930</vt:lpwstr>
      </vt:variant>
      <vt:variant>
        <vt:i4>2031672</vt:i4>
      </vt:variant>
      <vt:variant>
        <vt:i4>44</vt:i4>
      </vt:variant>
      <vt:variant>
        <vt:i4>0</vt:i4>
      </vt:variant>
      <vt:variant>
        <vt:i4>5</vt:i4>
      </vt:variant>
      <vt:variant>
        <vt:lpwstr/>
      </vt:variant>
      <vt:variant>
        <vt:lpwstr>_Toc212318929</vt:lpwstr>
      </vt:variant>
      <vt:variant>
        <vt:i4>2031672</vt:i4>
      </vt:variant>
      <vt:variant>
        <vt:i4>38</vt:i4>
      </vt:variant>
      <vt:variant>
        <vt:i4>0</vt:i4>
      </vt:variant>
      <vt:variant>
        <vt:i4>5</vt:i4>
      </vt:variant>
      <vt:variant>
        <vt:lpwstr/>
      </vt:variant>
      <vt:variant>
        <vt:lpwstr>_Toc212318928</vt:lpwstr>
      </vt:variant>
      <vt:variant>
        <vt:i4>2031672</vt:i4>
      </vt:variant>
      <vt:variant>
        <vt:i4>32</vt:i4>
      </vt:variant>
      <vt:variant>
        <vt:i4>0</vt:i4>
      </vt:variant>
      <vt:variant>
        <vt:i4>5</vt:i4>
      </vt:variant>
      <vt:variant>
        <vt:lpwstr/>
      </vt:variant>
      <vt:variant>
        <vt:lpwstr>_Toc212318927</vt:lpwstr>
      </vt:variant>
      <vt:variant>
        <vt:i4>2031672</vt:i4>
      </vt:variant>
      <vt:variant>
        <vt:i4>26</vt:i4>
      </vt:variant>
      <vt:variant>
        <vt:i4>0</vt:i4>
      </vt:variant>
      <vt:variant>
        <vt:i4>5</vt:i4>
      </vt:variant>
      <vt:variant>
        <vt:lpwstr/>
      </vt:variant>
      <vt:variant>
        <vt:lpwstr>_Toc212318926</vt:lpwstr>
      </vt:variant>
      <vt:variant>
        <vt:i4>2031672</vt:i4>
      </vt:variant>
      <vt:variant>
        <vt:i4>20</vt:i4>
      </vt:variant>
      <vt:variant>
        <vt:i4>0</vt:i4>
      </vt:variant>
      <vt:variant>
        <vt:i4>5</vt:i4>
      </vt:variant>
      <vt:variant>
        <vt:lpwstr/>
      </vt:variant>
      <vt:variant>
        <vt:lpwstr>_Toc212318925</vt:lpwstr>
      </vt:variant>
      <vt:variant>
        <vt:i4>2031672</vt:i4>
      </vt:variant>
      <vt:variant>
        <vt:i4>14</vt:i4>
      </vt:variant>
      <vt:variant>
        <vt:i4>0</vt:i4>
      </vt:variant>
      <vt:variant>
        <vt:i4>5</vt:i4>
      </vt:variant>
      <vt:variant>
        <vt:lpwstr/>
      </vt:variant>
      <vt:variant>
        <vt:lpwstr>_Toc212318924</vt:lpwstr>
      </vt:variant>
      <vt:variant>
        <vt:i4>2031672</vt:i4>
      </vt:variant>
      <vt:variant>
        <vt:i4>8</vt:i4>
      </vt:variant>
      <vt:variant>
        <vt:i4>0</vt:i4>
      </vt:variant>
      <vt:variant>
        <vt:i4>5</vt:i4>
      </vt:variant>
      <vt:variant>
        <vt:lpwstr/>
      </vt:variant>
      <vt:variant>
        <vt:lpwstr>_Toc212318923</vt:lpwstr>
      </vt:variant>
      <vt:variant>
        <vt:i4>2031672</vt:i4>
      </vt:variant>
      <vt:variant>
        <vt:i4>2</vt:i4>
      </vt:variant>
      <vt:variant>
        <vt:i4>0</vt:i4>
      </vt:variant>
      <vt:variant>
        <vt:i4>5</vt:i4>
      </vt:variant>
      <vt:variant>
        <vt:lpwstr/>
      </vt:variant>
      <vt:variant>
        <vt:lpwstr>_Toc212318922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Medicus Health Cloud‑Based Clinical System: A Case Study in Digital Transformation Across NHS General Practice</dc:title>
  <dc:subject/>
  <dc:creator>Natasha Ellis</dc:creator>
  <cp:keywords/>
  <dc:description/>
  <cp:lastModifiedBy>Natasha Ellis</cp:lastModifiedBy>
  <cp:revision>14</cp:revision>
  <dcterms:created xsi:type="dcterms:W3CDTF">2025-10-26T00:04:00Z</dcterms:created>
  <dcterms:modified xsi:type="dcterms:W3CDTF">2025-10-26T00:47:00Z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20601f93-ee00-491e-af4c-d9894402725f</vt:lpwstr>
  </property>
</Properties>
</file>