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F81BD" w:themeColor="accent1"/>
          <w:sz w:val="24"/>
          <w:lang w:val="en-GB"/>
        </w:rPr>
        <w:id w:val="-467280600"/>
        <w:docPartObj>
          <w:docPartGallery w:val="Cover Pages"/>
          <w:docPartUnique/>
        </w:docPartObj>
      </w:sdtPr>
      <w:sdtEndPr>
        <w:rPr>
          <w:color w:val="auto"/>
        </w:rPr>
      </w:sdtEndPr>
      <w:sdtContent>
        <w:p w14:paraId="34AC376A" w14:textId="5ECA6C55" w:rsidR="001F085D" w:rsidRDefault="001F085D" w:rsidP="006818EA">
          <w:pPr>
            <w:pStyle w:val="NoSpacing"/>
            <w:spacing w:before="1540" w:after="240" w:line="360" w:lineRule="auto"/>
            <w:jc w:val="center"/>
            <w:rPr>
              <w:color w:val="4F81BD" w:themeColor="accent1"/>
            </w:rPr>
          </w:pPr>
          <w:r>
            <w:rPr>
              <w:noProof/>
              <w:color w:val="4F81BD" w:themeColor="accent1"/>
            </w:rPr>
            <w:drawing>
              <wp:inline distT="0" distB="0" distL="0" distR="0" wp14:anchorId="2BD0CDBE" wp14:editId="0471ABB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F31EEFF6C5744A6894E7CC4278FC166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D6A1B1" w14:textId="70374FD2" w:rsidR="001F085D" w:rsidRDefault="001F085D" w:rsidP="006818EA">
              <w:pPr>
                <w:pStyle w:val="NoSpacing"/>
                <w:pBdr>
                  <w:top w:val="single" w:sz="6" w:space="6" w:color="4F81BD" w:themeColor="accent1"/>
                  <w:bottom w:val="single" w:sz="6" w:space="6" w:color="4F81BD" w:themeColor="accent1"/>
                </w:pBdr>
                <w:spacing w:after="240" w:line="360" w:lineRule="auto"/>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Financial Management</w:t>
              </w:r>
            </w:p>
          </w:sdtContent>
        </w:sdt>
        <w:sdt>
          <w:sdtPr>
            <w:rPr>
              <w:color w:val="4F81BD" w:themeColor="accent1"/>
              <w:sz w:val="28"/>
              <w:szCs w:val="28"/>
            </w:rPr>
            <w:alias w:val="Subtitle"/>
            <w:tag w:val=""/>
            <w:id w:val="328029620"/>
            <w:placeholder>
              <w:docPart w:val="0E4C749C5B12475EB9ACD645A4FF979D"/>
            </w:placeholder>
            <w:dataBinding w:prefixMappings="xmlns:ns0='http://purl.org/dc/elements/1.1/' xmlns:ns1='http://schemas.openxmlformats.org/package/2006/metadata/core-properties' " w:xpath="/ns1:coreProperties[1]/ns0:subject[1]" w:storeItemID="{6C3C8BC8-F283-45AE-878A-BAB7291924A1}"/>
            <w:text/>
          </w:sdtPr>
          <w:sdtContent>
            <w:p w14:paraId="3E05E861" w14:textId="502AB996" w:rsidR="001F085D" w:rsidRDefault="001F085D" w:rsidP="006818EA">
              <w:pPr>
                <w:pStyle w:val="NoSpacing"/>
                <w:spacing w:line="360" w:lineRule="auto"/>
                <w:jc w:val="center"/>
                <w:rPr>
                  <w:color w:val="4F81BD" w:themeColor="accent1"/>
                  <w:sz w:val="28"/>
                  <w:szCs w:val="28"/>
                </w:rPr>
              </w:pPr>
              <w:r>
                <w:rPr>
                  <w:color w:val="4F81BD" w:themeColor="accent1"/>
                  <w:sz w:val="28"/>
                  <w:szCs w:val="28"/>
                </w:rPr>
                <w:t>LCMB7002</w:t>
              </w:r>
            </w:p>
          </w:sdtContent>
        </w:sdt>
        <w:p w14:paraId="03B0AC5B" w14:textId="77777777" w:rsidR="001F085D" w:rsidRDefault="001F085D" w:rsidP="006818EA">
          <w:pPr>
            <w:pStyle w:val="NoSpacing"/>
            <w:spacing w:before="480" w:line="360" w:lineRule="auto"/>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17D58671" wp14:editId="7593534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557EC3D" w14:textId="77777777" w:rsidR="001F085D" w:rsidRDefault="001F085D">
                                    <w:pPr>
                                      <w:pStyle w:val="NoSpacing"/>
                                      <w:spacing w:after="40"/>
                                      <w:jc w:val="center"/>
                                      <w:rPr>
                                        <w:caps/>
                                        <w:color w:val="4F81BD" w:themeColor="accent1"/>
                                        <w:sz w:val="28"/>
                                        <w:szCs w:val="28"/>
                                      </w:rPr>
                                    </w:pPr>
                                    <w:r>
                                      <w:rPr>
                                        <w:caps/>
                                        <w:color w:val="4F81BD" w:themeColor="accent1"/>
                                        <w:sz w:val="28"/>
                                        <w:szCs w:val="28"/>
                                      </w:rPr>
                                      <w:t>[Date]</w:t>
                                    </w:r>
                                  </w:p>
                                </w:sdtContent>
                              </w:sdt>
                              <w:p w14:paraId="790EC755" w14:textId="22C93514" w:rsidR="001F085D"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F085D">
                                      <w:rPr>
                                        <w:caps/>
                                        <w:color w:val="4F81BD" w:themeColor="accent1"/>
                                      </w:rPr>
                                      <w:t>Student Name: Ankit</w:t>
                                    </w:r>
                                  </w:sdtContent>
                                </w:sdt>
                              </w:p>
                              <w:p w14:paraId="47020CA7" w14:textId="0AA72F7E" w:rsidR="001F085D" w:rsidRDefault="001F085D">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D5867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557EC3D" w14:textId="77777777" w:rsidR="001F085D" w:rsidRDefault="001F085D">
                              <w:pPr>
                                <w:pStyle w:val="NoSpacing"/>
                                <w:spacing w:after="40"/>
                                <w:jc w:val="center"/>
                                <w:rPr>
                                  <w:caps/>
                                  <w:color w:val="4F81BD" w:themeColor="accent1"/>
                                  <w:sz w:val="28"/>
                                  <w:szCs w:val="28"/>
                                </w:rPr>
                              </w:pPr>
                              <w:r>
                                <w:rPr>
                                  <w:caps/>
                                  <w:color w:val="4F81BD" w:themeColor="accent1"/>
                                  <w:sz w:val="28"/>
                                  <w:szCs w:val="28"/>
                                </w:rPr>
                                <w:t>[Date]</w:t>
                              </w:r>
                            </w:p>
                          </w:sdtContent>
                        </w:sdt>
                        <w:p w14:paraId="790EC755" w14:textId="22C93514" w:rsidR="001F085D"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F085D">
                                <w:rPr>
                                  <w:caps/>
                                  <w:color w:val="4F81BD" w:themeColor="accent1"/>
                                </w:rPr>
                                <w:t>Student Name: Ankit</w:t>
                              </w:r>
                            </w:sdtContent>
                          </w:sdt>
                        </w:p>
                        <w:p w14:paraId="47020CA7" w14:textId="0AA72F7E" w:rsidR="001F085D" w:rsidRDefault="001F085D">
                          <w:pPr>
                            <w:pStyle w:val="NoSpacing"/>
                            <w:jc w:val="center"/>
                            <w:rPr>
                              <w:color w:val="4F81BD" w:themeColor="accent1"/>
                            </w:rPr>
                          </w:pPr>
                        </w:p>
                      </w:txbxContent>
                    </v:textbox>
                    <w10:wrap anchorx="margin" anchory="page"/>
                  </v:shape>
                </w:pict>
              </mc:Fallback>
            </mc:AlternateContent>
          </w:r>
          <w:r>
            <w:rPr>
              <w:noProof/>
              <w:color w:val="4F81BD" w:themeColor="accent1"/>
            </w:rPr>
            <w:drawing>
              <wp:inline distT="0" distB="0" distL="0" distR="0" wp14:anchorId="2FEF77EE" wp14:editId="10D8BFE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3BD499" w14:textId="2C98037C" w:rsidR="001F085D" w:rsidRDefault="001F085D" w:rsidP="006818EA">
          <w:pPr>
            <w:spacing w:after="200" w:line="360" w:lineRule="auto"/>
            <w:jc w:val="left"/>
          </w:pPr>
          <w:r>
            <w:br w:type="page"/>
          </w:r>
        </w:p>
      </w:sdtContent>
    </w:sdt>
    <w:sdt>
      <w:sdtPr>
        <w:rPr>
          <w:rFonts w:ascii="Times New Roman" w:eastAsiaTheme="minorHAnsi" w:hAnsi="Times New Roman" w:cstheme="minorBidi"/>
          <w:color w:val="auto"/>
          <w:sz w:val="24"/>
          <w:szCs w:val="22"/>
          <w:lang w:val="en-GB"/>
        </w:rPr>
        <w:id w:val="-1824270004"/>
        <w:docPartObj>
          <w:docPartGallery w:val="Table of Contents"/>
          <w:docPartUnique/>
        </w:docPartObj>
      </w:sdtPr>
      <w:sdtEndPr>
        <w:rPr>
          <w:b/>
          <w:bCs/>
          <w:noProof/>
        </w:rPr>
      </w:sdtEndPr>
      <w:sdtContent>
        <w:p w14:paraId="73408ABE" w14:textId="0C8F444C" w:rsidR="001C5650" w:rsidRDefault="001C5650" w:rsidP="006818EA">
          <w:pPr>
            <w:pStyle w:val="TOCHeading"/>
            <w:spacing w:line="360" w:lineRule="auto"/>
          </w:pPr>
          <w:r>
            <w:t>Contents</w:t>
          </w:r>
        </w:p>
        <w:p w14:paraId="1F50CCDA" w14:textId="1C502B5D" w:rsidR="001B7A1F" w:rsidRDefault="001C5650">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62218553" w:history="1">
            <w:r w:rsidR="001B7A1F" w:rsidRPr="000D06BF">
              <w:rPr>
                <w:rStyle w:val="Hyperlink"/>
                <w:noProof/>
              </w:rPr>
              <w:t>History of JP Morgan (2020-2024)</w:t>
            </w:r>
            <w:r w:rsidR="001B7A1F">
              <w:rPr>
                <w:noProof/>
                <w:webHidden/>
              </w:rPr>
              <w:tab/>
            </w:r>
            <w:r w:rsidR="001B7A1F">
              <w:rPr>
                <w:noProof/>
                <w:webHidden/>
              </w:rPr>
              <w:fldChar w:fldCharType="begin"/>
            </w:r>
            <w:r w:rsidR="001B7A1F">
              <w:rPr>
                <w:noProof/>
                <w:webHidden/>
              </w:rPr>
              <w:instrText xml:space="preserve"> PAGEREF _Toc162218553 \h </w:instrText>
            </w:r>
            <w:r w:rsidR="001B7A1F">
              <w:rPr>
                <w:noProof/>
                <w:webHidden/>
              </w:rPr>
            </w:r>
            <w:r w:rsidR="001B7A1F">
              <w:rPr>
                <w:noProof/>
                <w:webHidden/>
              </w:rPr>
              <w:fldChar w:fldCharType="separate"/>
            </w:r>
            <w:r w:rsidR="00F33E90">
              <w:rPr>
                <w:noProof/>
                <w:webHidden/>
              </w:rPr>
              <w:t>2</w:t>
            </w:r>
            <w:r w:rsidR="001B7A1F">
              <w:rPr>
                <w:noProof/>
                <w:webHidden/>
              </w:rPr>
              <w:fldChar w:fldCharType="end"/>
            </w:r>
          </w:hyperlink>
        </w:p>
        <w:p w14:paraId="79CF84B5" w14:textId="6819D0D6"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54" w:history="1">
            <w:r w:rsidR="001B7A1F" w:rsidRPr="000D06BF">
              <w:rPr>
                <w:rStyle w:val="Hyperlink"/>
                <w:noProof/>
              </w:rPr>
              <w:t>History and Overview</w:t>
            </w:r>
            <w:r w:rsidR="001B7A1F">
              <w:rPr>
                <w:noProof/>
                <w:webHidden/>
              </w:rPr>
              <w:tab/>
            </w:r>
            <w:r w:rsidR="001B7A1F">
              <w:rPr>
                <w:noProof/>
                <w:webHidden/>
              </w:rPr>
              <w:fldChar w:fldCharType="begin"/>
            </w:r>
            <w:r w:rsidR="001B7A1F">
              <w:rPr>
                <w:noProof/>
                <w:webHidden/>
              </w:rPr>
              <w:instrText xml:space="preserve"> PAGEREF _Toc162218554 \h </w:instrText>
            </w:r>
            <w:r w:rsidR="001B7A1F">
              <w:rPr>
                <w:noProof/>
                <w:webHidden/>
              </w:rPr>
            </w:r>
            <w:r w:rsidR="001B7A1F">
              <w:rPr>
                <w:noProof/>
                <w:webHidden/>
              </w:rPr>
              <w:fldChar w:fldCharType="separate"/>
            </w:r>
            <w:r w:rsidR="00F33E90">
              <w:rPr>
                <w:noProof/>
                <w:webHidden/>
              </w:rPr>
              <w:t>2</w:t>
            </w:r>
            <w:r w:rsidR="001B7A1F">
              <w:rPr>
                <w:noProof/>
                <w:webHidden/>
              </w:rPr>
              <w:fldChar w:fldCharType="end"/>
            </w:r>
          </w:hyperlink>
        </w:p>
        <w:p w14:paraId="292318D4" w14:textId="24246705"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55" w:history="1">
            <w:r w:rsidR="001B7A1F" w:rsidRPr="000D06BF">
              <w:rPr>
                <w:rStyle w:val="Hyperlink"/>
                <w:noProof/>
              </w:rPr>
              <w:t>Business Model of JP Morgan</w:t>
            </w:r>
            <w:r w:rsidR="001B7A1F">
              <w:rPr>
                <w:noProof/>
                <w:webHidden/>
              </w:rPr>
              <w:tab/>
            </w:r>
            <w:r w:rsidR="001B7A1F">
              <w:rPr>
                <w:noProof/>
                <w:webHidden/>
              </w:rPr>
              <w:fldChar w:fldCharType="begin"/>
            </w:r>
            <w:r w:rsidR="001B7A1F">
              <w:rPr>
                <w:noProof/>
                <w:webHidden/>
              </w:rPr>
              <w:instrText xml:space="preserve"> PAGEREF _Toc162218555 \h </w:instrText>
            </w:r>
            <w:r w:rsidR="001B7A1F">
              <w:rPr>
                <w:noProof/>
                <w:webHidden/>
              </w:rPr>
            </w:r>
            <w:r w:rsidR="001B7A1F">
              <w:rPr>
                <w:noProof/>
                <w:webHidden/>
              </w:rPr>
              <w:fldChar w:fldCharType="separate"/>
            </w:r>
            <w:r w:rsidR="00F33E90">
              <w:rPr>
                <w:noProof/>
                <w:webHidden/>
              </w:rPr>
              <w:t>3</w:t>
            </w:r>
            <w:r w:rsidR="001B7A1F">
              <w:rPr>
                <w:noProof/>
                <w:webHidden/>
              </w:rPr>
              <w:fldChar w:fldCharType="end"/>
            </w:r>
          </w:hyperlink>
        </w:p>
        <w:p w14:paraId="427C4745" w14:textId="0D32F54B"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56" w:history="1">
            <w:r w:rsidR="001B7A1F" w:rsidRPr="000D06BF">
              <w:rPr>
                <w:rStyle w:val="Hyperlink"/>
                <w:noProof/>
              </w:rPr>
              <w:t>Major Competitors of JP Morgan</w:t>
            </w:r>
            <w:r w:rsidR="001B7A1F">
              <w:rPr>
                <w:noProof/>
                <w:webHidden/>
              </w:rPr>
              <w:tab/>
            </w:r>
            <w:r w:rsidR="001B7A1F">
              <w:rPr>
                <w:noProof/>
                <w:webHidden/>
              </w:rPr>
              <w:fldChar w:fldCharType="begin"/>
            </w:r>
            <w:r w:rsidR="001B7A1F">
              <w:rPr>
                <w:noProof/>
                <w:webHidden/>
              </w:rPr>
              <w:instrText xml:space="preserve"> PAGEREF _Toc162218556 \h </w:instrText>
            </w:r>
            <w:r w:rsidR="001B7A1F">
              <w:rPr>
                <w:noProof/>
                <w:webHidden/>
              </w:rPr>
            </w:r>
            <w:r w:rsidR="001B7A1F">
              <w:rPr>
                <w:noProof/>
                <w:webHidden/>
              </w:rPr>
              <w:fldChar w:fldCharType="separate"/>
            </w:r>
            <w:r w:rsidR="00F33E90">
              <w:rPr>
                <w:noProof/>
                <w:webHidden/>
              </w:rPr>
              <w:t>4</w:t>
            </w:r>
            <w:r w:rsidR="001B7A1F">
              <w:rPr>
                <w:noProof/>
                <w:webHidden/>
              </w:rPr>
              <w:fldChar w:fldCharType="end"/>
            </w:r>
          </w:hyperlink>
        </w:p>
        <w:p w14:paraId="34C6FC22" w14:textId="48274ED3"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57" w:history="1">
            <w:r w:rsidR="001B7A1F" w:rsidRPr="000D06BF">
              <w:rPr>
                <w:rStyle w:val="Hyperlink"/>
                <w:noProof/>
              </w:rPr>
              <w:t>Major Events Occurred in the Years 2020-2024</w:t>
            </w:r>
            <w:r w:rsidR="001B7A1F">
              <w:rPr>
                <w:noProof/>
                <w:webHidden/>
              </w:rPr>
              <w:tab/>
            </w:r>
            <w:r w:rsidR="001B7A1F">
              <w:rPr>
                <w:noProof/>
                <w:webHidden/>
              </w:rPr>
              <w:fldChar w:fldCharType="begin"/>
            </w:r>
            <w:r w:rsidR="001B7A1F">
              <w:rPr>
                <w:noProof/>
                <w:webHidden/>
              </w:rPr>
              <w:instrText xml:space="preserve"> PAGEREF _Toc162218557 \h </w:instrText>
            </w:r>
            <w:r w:rsidR="001B7A1F">
              <w:rPr>
                <w:noProof/>
                <w:webHidden/>
              </w:rPr>
            </w:r>
            <w:r w:rsidR="001B7A1F">
              <w:rPr>
                <w:noProof/>
                <w:webHidden/>
              </w:rPr>
              <w:fldChar w:fldCharType="separate"/>
            </w:r>
            <w:r w:rsidR="00F33E90">
              <w:rPr>
                <w:noProof/>
                <w:webHidden/>
              </w:rPr>
              <w:t>5</w:t>
            </w:r>
            <w:r w:rsidR="001B7A1F">
              <w:rPr>
                <w:noProof/>
                <w:webHidden/>
              </w:rPr>
              <w:fldChar w:fldCharType="end"/>
            </w:r>
          </w:hyperlink>
        </w:p>
        <w:p w14:paraId="50C36490" w14:textId="743B6A67" w:rsidR="001B7A1F"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2218558" w:history="1">
            <w:r w:rsidR="001B7A1F" w:rsidRPr="000D06BF">
              <w:rPr>
                <w:rStyle w:val="Hyperlink"/>
                <w:noProof/>
              </w:rPr>
              <w:t>Financial Ratios</w:t>
            </w:r>
            <w:r w:rsidR="001B7A1F">
              <w:rPr>
                <w:noProof/>
                <w:webHidden/>
              </w:rPr>
              <w:tab/>
            </w:r>
            <w:r w:rsidR="001B7A1F">
              <w:rPr>
                <w:noProof/>
                <w:webHidden/>
              </w:rPr>
              <w:fldChar w:fldCharType="begin"/>
            </w:r>
            <w:r w:rsidR="001B7A1F">
              <w:rPr>
                <w:noProof/>
                <w:webHidden/>
              </w:rPr>
              <w:instrText xml:space="preserve"> PAGEREF _Toc162218558 \h </w:instrText>
            </w:r>
            <w:r w:rsidR="001B7A1F">
              <w:rPr>
                <w:noProof/>
                <w:webHidden/>
              </w:rPr>
            </w:r>
            <w:r w:rsidR="001B7A1F">
              <w:rPr>
                <w:noProof/>
                <w:webHidden/>
              </w:rPr>
              <w:fldChar w:fldCharType="separate"/>
            </w:r>
            <w:r w:rsidR="00F33E90">
              <w:rPr>
                <w:noProof/>
                <w:webHidden/>
              </w:rPr>
              <w:t>7</w:t>
            </w:r>
            <w:r w:rsidR="001B7A1F">
              <w:rPr>
                <w:noProof/>
                <w:webHidden/>
              </w:rPr>
              <w:fldChar w:fldCharType="end"/>
            </w:r>
          </w:hyperlink>
        </w:p>
        <w:p w14:paraId="72F5DBB3" w14:textId="640BE4CC"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59" w:history="1">
            <w:r w:rsidR="001B7A1F" w:rsidRPr="000D06BF">
              <w:rPr>
                <w:rStyle w:val="Hyperlink"/>
                <w:noProof/>
              </w:rPr>
              <w:t>Return on Assets</w:t>
            </w:r>
            <w:r w:rsidR="001B7A1F">
              <w:rPr>
                <w:noProof/>
                <w:webHidden/>
              </w:rPr>
              <w:tab/>
            </w:r>
            <w:r w:rsidR="001B7A1F">
              <w:rPr>
                <w:noProof/>
                <w:webHidden/>
              </w:rPr>
              <w:fldChar w:fldCharType="begin"/>
            </w:r>
            <w:r w:rsidR="001B7A1F">
              <w:rPr>
                <w:noProof/>
                <w:webHidden/>
              </w:rPr>
              <w:instrText xml:space="preserve"> PAGEREF _Toc162218559 \h </w:instrText>
            </w:r>
            <w:r w:rsidR="001B7A1F">
              <w:rPr>
                <w:noProof/>
                <w:webHidden/>
              </w:rPr>
            </w:r>
            <w:r w:rsidR="001B7A1F">
              <w:rPr>
                <w:noProof/>
                <w:webHidden/>
              </w:rPr>
              <w:fldChar w:fldCharType="separate"/>
            </w:r>
            <w:r w:rsidR="00F33E90">
              <w:rPr>
                <w:noProof/>
                <w:webHidden/>
              </w:rPr>
              <w:t>7</w:t>
            </w:r>
            <w:r w:rsidR="001B7A1F">
              <w:rPr>
                <w:noProof/>
                <w:webHidden/>
              </w:rPr>
              <w:fldChar w:fldCharType="end"/>
            </w:r>
          </w:hyperlink>
        </w:p>
        <w:p w14:paraId="5CFA57BD" w14:textId="6103CB16"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0" w:history="1">
            <w:r w:rsidR="001B7A1F" w:rsidRPr="000D06BF">
              <w:rPr>
                <w:rStyle w:val="Hyperlink"/>
                <w:noProof/>
              </w:rPr>
              <w:t>Current Ratio</w:t>
            </w:r>
            <w:r w:rsidR="001B7A1F">
              <w:rPr>
                <w:noProof/>
                <w:webHidden/>
              </w:rPr>
              <w:tab/>
            </w:r>
            <w:r w:rsidR="001B7A1F">
              <w:rPr>
                <w:noProof/>
                <w:webHidden/>
              </w:rPr>
              <w:fldChar w:fldCharType="begin"/>
            </w:r>
            <w:r w:rsidR="001B7A1F">
              <w:rPr>
                <w:noProof/>
                <w:webHidden/>
              </w:rPr>
              <w:instrText xml:space="preserve"> PAGEREF _Toc162218560 \h </w:instrText>
            </w:r>
            <w:r w:rsidR="001B7A1F">
              <w:rPr>
                <w:noProof/>
                <w:webHidden/>
              </w:rPr>
            </w:r>
            <w:r w:rsidR="001B7A1F">
              <w:rPr>
                <w:noProof/>
                <w:webHidden/>
              </w:rPr>
              <w:fldChar w:fldCharType="separate"/>
            </w:r>
            <w:r w:rsidR="00F33E90">
              <w:rPr>
                <w:noProof/>
                <w:webHidden/>
              </w:rPr>
              <w:t>8</w:t>
            </w:r>
            <w:r w:rsidR="001B7A1F">
              <w:rPr>
                <w:noProof/>
                <w:webHidden/>
              </w:rPr>
              <w:fldChar w:fldCharType="end"/>
            </w:r>
          </w:hyperlink>
        </w:p>
        <w:p w14:paraId="0B04D54A" w14:textId="489FF4A8"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1" w:history="1">
            <w:r w:rsidR="001B7A1F" w:rsidRPr="000D06BF">
              <w:rPr>
                <w:rStyle w:val="Hyperlink"/>
                <w:noProof/>
              </w:rPr>
              <w:t>Net Gearing Ratio</w:t>
            </w:r>
            <w:r w:rsidR="001B7A1F">
              <w:rPr>
                <w:noProof/>
                <w:webHidden/>
              </w:rPr>
              <w:tab/>
            </w:r>
            <w:r w:rsidR="001B7A1F">
              <w:rPr>
                <w:noProof/>
                <w:webHidden/>
              </w:rPr>
              <w:fldChar w:fldCharType="begin"/>
            </w:r>
            <w:r w:rsidR="001B7A1F">
              <w:rPr>
                <w:noProof/>
                <w:webHidden/>
              </w:rPr>
              <w:instrText xml:space="preserve"> PAGEREF _Toc162218561 \h </w:instrText>
            </w:r>
            <w:r w:rsidR="001B7A1F">
              <w:rPr>
                <w:noProof/>
                <w:webHidden/>
              </w:rPr>
            </w:r>
            <w:r w:rsidR="001B7A1F">
              <w:rPr>
                <w:noProof/>
                <w:webHidden/>
              </w:rPr>
              <w:fldChar w:fldCharType="separate"/>
            </w:r>
            <w:r w:rsidR="00F33E90">
              <w:rPr>
                <w:noProof/>
                <w:webHidden/>
              </w:rPr>
              <w:t>8</w:t>
            </w:r>
            <w:r w:rsidR="001B7A1F">
              <w:rPr>
                <w:noProof/>
                <w:webHidden/>
              </w:rPr>
              <w:fldChar w:fldCharType="end"/>
            </w:r>
          </w:hyperlink>
        </w:p>
        <w:p w14:paraId="53773360" w14:textId="44976A74"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2" w:history="1">
            <w:r w:rsidR="001B7A1F" w:rsidRPr="000D06BF">
              <w:rPr>
                <w:rStyle w:val="Hyperlink"/>
                <w:noProof/>
              </w:rPr>
              <w:t>Efficiency Ratio</w:t>
            </w:r>
            <w:r w:rsidR="001B7A1F">
              <w:rPr>
                <w:noProof/>
                <w:webHidden/>
              </w:rPr>
              <w:tab/>
            </w:r>
            <w:r w:rsidR="001B7A1F">
              <w:rPr>
                <w:noProof/>
                <w:webHidden/>
              </w:rPr>
              <w:fldChar w:fldCharType="begin"/>
            </w:r>
            <w:r w:rsidR="001B7A1F">
              <w:rPr>
                <w:noProof/>
                <w:webHidden/>
              </w:rPr>
              <w:instrText xml:space="preserve"> PAGEREF _Toc162218562 \h </w:instrText>
            </w:r>
            <w:r w:rsidR="001B7A1F">
              <w:rPr>
                <w:noProof/>
                <w:webHidden/>
              </w:rPr>
            </w:r>
            <w:r w:rsidR="001B7A1F">
              <w:rPr>
                <w:noProof/>
                <w:webHidden/>
              </w:rPr>
              <w:fldChar w:fldCharType="separate"/>
            </w:r>
            <w:r w:rsidR="00F33E90">
              <w:rPr>
                <w:noProof/>
                <w:webHidden/>
              </w:rPr>
              <w:t>8</w:t>
            </w:r>
            <w:r w:rsidR="001B7A1F">
              <w:rPr>
                <w:noProof/>
                <w:webHidden/>
              </w:rPr>
              <w:fldChar w:fldCharType="end"/>
            </w:r>
          </w:hyperlink>
        </w:p>
        <w:p w14:paraId="1EFACC42" w14:textId="2AB84781" w:rsidR="001B7A1F"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2218563" w:history="1">
            <w:r w:rsidR="001B7A1F" w:rsidRPr="000D06BF">
              <w:rPr>
                <w:rStyle w:val="Hyperlink"/>
                <w:noProof/>
              </w:rPr>
              <w:t>Comparison with the Bank of America</w:t>
            </w:r>
            <w:r w:rsidR="001B7A1F">
              <w:rPr>
                <w:noProof/>
                <w:webHidden/>
              </w:rPr>
              <w:tab/>
            </w:r>
            <w:r w:rsidR="001B7A1F">
              <w:rPr>
                <w:noProof/>
                <w:webHidden/>
              </w:rPr>
              <w:fldChar w:fldCharType="begin"/>
            </w:r>
            <w:r w:rsidR="001B7A1F">
              <w:rPr>
                <w:noProof/>
                <w:webHidden/>
              </w:rPr>
              <w:instrText xml:space="preserve"> PAGEREF _Toc162218563 \h </w:instrText>
            </w:r>
            <w:r w:rsidR="001B7A1F">
              <w:rPr>
                <w:noProof/>
                <w:webHidden/>
              </w:rPr>
            </w:r>
            <w:r w:rsidR="001B7A1F">
              <w:rPr>
                <w:noProof/>
                <w:webHidden/>
              </w:rPr>
              <w:fldChar w:fldCharType="separate"/>
            </w:r>
            <w:r w:rsidR="00F33E90">
              <w:rPr>
                <w:noProof/>
                <w:webHidden/>
              </w:rPr>
              <w:t>9</w:t>
            </w:r>
            <w:r w:rsidR="001B7A1F">
              <w:rPr>
                <w:noProof/>
                <w:webHidden/>
              </w:rPr>
              <w:fldChar w:fldCharType="end"/>
            </w:r>
          </w:hyperlink>
        </w:p>
        <w:p w14:paraId="167AC669" w14:textId="4CB600D7"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4" w:history="1">
            <w:r w:rsidR="001B7A1F" w:rsidRPr="000D06BF">
              <w:rPr>
                <w:rStyle w:val="Hyperlink"/>
                <w:noProof/>
              </w:rPr>
              <w:t>Return on Assets</w:t>
            </w:r>
            <w:r w:rsidR="001B7A1F">
              <w:rPr>
                <w:noProof/>
                <w:webHidden/>
              </w:rPr>
              <w:tab/>
            </w:r>
            <w:r w:rsidR="001B7A1F">
              <w:rPr>
                <w:noProof/>
                <w:webHidden/>
              </w:rPr>
              <w:fldChar w:fldCharType="begin"/>
            </w:r>
            <w:r w:rsidR="001B7A1F">
              <w:rPr>
                <w:noProof/>
                <w:webHidden/>
              </w:rPr>
              <w:instrText xml:space="preserve"> PAGEREF _Toc162218564 \h </w:instrText>
            </w:r>
            <w:r w:rsidR="001B7A1F">
              <w:rPr>
                <w:noProof/>
                <w:webHidden/>
              </w:rPr>
            </w:r>
            <w:r w:rsidR="001B7A1F">
              <w:rPr>
                <w:noProof/>
                <w:webHidden/>
              </w:rPr>
              <w:fldChar w:fldCharType="separate"/>
            </w:r>
            <w:r w:rsidR="00F33E90">
              <w:rPr>
                <w:noProof/>
                <w:webHidden/>
              </w:rPr>
              <w:t>9</w:t>
            </w:r>
            <w:r w:rsidR="001B7A1F">
              <w:rPr>
                <w:noProof/>
                <w:webHidden/>
              </w:rPr>
              <w:fldChar w:fldCharType="end"/>
            </w:r>
          </w:hyperlink>
        </w:p>
        <w:p w14:paraId="7F1A7A17" w14:textId="41DFDAE6"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5" w:history="1">
            <w:r w:rsidR="001B7A1F" w:rsidRPr="000D06BF">
              <w:rPr>
                <w:rStyle w:val="Hyperlink"/>
                <w:noProof/>
              </w:rPr>
              <w:t>Acid-Test Ratio</w:t>
            </w:r>
            <w:r w:rsidR="001B7A1F">
              <w:rPr>
                <w:noProof/>
                <w:webHidden/>
              </w:rPr>
              <w:tab/>
            </w:r>
            <w:r w:rsidR="001B7A1F">
              <w:rPr>
                <w:noProof/>
                <w:webHidden/>
              </w:rPr>
              <w:fldChar w:fldCharType="begin"/>
            </w:r>
            <w:r w:rsidR="001B7A1F">
              <w:rPr>
                <w:noProof/>
                <w:webHidden/>
              </w:rPr>
              <w:instrText xml:space="preserve"> PAGEREF _Toc162218565 \h </w:instrText>
            </w:r>
            <w:r w:rsidR="001B7A1F">
              <w:rPr>
                <w:noProof/>
                <w:webHidden/>
              </w:rPr>
            </w:r>
            <w:r w:rsidR="001B7A1F">
              <w:rPr>
                <w:noProof/>
                <w:webHidden/>
              </w:rPr>
              <w:fldChar w:fldCharType="separate"/>
            </w:r>
            <w:r w:rsidR="00F33E90">
              <w:rPr>
                <w:noProof/>
                <w:webHidden/>
              </w:rPr>
              <w:t>10</w:t>
            </w:r>
            <w:r w:rsidR="001B7A1F">
              <w:rPr>
                <w:noProof/>
                <w:webHidden/>
              </w:rPr>
              <w:fldChar w:fldCharType="end"/>
            </w:r>
          </w:hyperlink>
        </w:p>
        <w:p w14:paraId="35CABD4A" w14:textId="251A7EF3"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6" w:history="1">
            <w:r w:rsidR="001B7A1F" w:rsidRPr="000D06BF">
              <w:rPr>
                <w:rStyle w:val="Hyperlink"/>
                <w:noProof/>
              </w:rPr>
              <w:t>Net Gearing Ratio</w:t>
            </w:r>
            <w:r w:rsidR="001B7A1F">
              <w:rPr>
                <w:noProof/>
                <w:webHidden/>
              </w:rPr>
              <w:tab/>
            </w:r>
            <w:r w:rsidR="001B7A1F">
              <w:rPr>
                <w:noProof/>
                <w:webHidden/>
              </w:rPr>
              <w:fldChar w:fldCharType="begin"/>
            </w:r>
            <w:r w:rsidR="001B7A1F">
              <w:rPr>
                <w:noProof/>
                <w:webHidden/>
              </w:rPr>
              <w:instrText xml:space="preserve"> PAGEREF _Toc162218566 \h </w:instrText>
            </w:r>
            <w:r w:rsidR="001B7A1F">
              <w:rPr>
                <w:noProof/>
                <w:webHidden/>
              </w:rPr>
            </w:r>
            <w:r w:rsidR="001B7A1F">
              <w:rPr>
                <w:noProof/>
                <w:webHidden/>
              </w:rPr>
              <w:fldChar w:fldCharType="separate"/>
            </w:r>
            <w:r w:rsidR="00F33E90">
              <w:rPr>
                <w:noProof/>
                <w:webHidden/>
              </w:rPr>
              <w:t>11</w:t>
            </w:r>
            <w:r w:rsidR="001B7A1F">
              <w:rPr>
                <w:noProof/>
                <w:webHidden/>
              </w:rPr>
              <w:fldChar w:fldCharType="end"/>
            </w:r>
          </w:hyperlink>
        </w:p>
        <w:p w14:paraId="3DCCA051" w14:textId="7D04C809"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67" w:history="1">
            <w:r w:rsidR="001B7A1F" w:rsidRPr="000D06BF">
              <w:rPr>
                <w:rStyle w:val="Hyperlink"/>
                <w:noProof/>
              </w:rPr>
              <w:t>Efficiency Ratio</w:t>
            </w:r>
            <w:r w:rsidR="001B7A1F">
              <w:rPr>
                <w:noProof/>
                <w:webHidden/>
              </w:rPr>
              <w:tab/>
            </w:r>
            <w:r w:rsidR="001B7A1F">
              <w:rPr>
                <w:noProof/>
                <w:webHidden/>
              </w:rPr>
              <w:fldChar w:fldCharType="begin"/>
            </w:r>
            <w:r w:rsidR="001B7A1F">
              <w:rPr>
                <w:noProof/>
                <w:webHidden/>
              </w:rPr>
              <w:instrText xml:space="preserve"> PAGEREF _Toc162218567 \h </w:instrText>
            </w:r>
            <w:r w:rsidR="001B7A1F">
              <w:rPr>
                <w:noProof/>
                <w:webHidden/>
              </w:rPr>
            </w:r>
            <w:r w:rsidR="001B7A1F">
              <w:rPr>
                <w:noProof/>
                <w:webHidden/>
              </w:rPr>
              <w:fldChar w:fldCharType="separate"/>
            </w:r>
            <w:r w:rsidR="00F33E90">
              <w:rPr>
                <w:noProof/>
                <w:webHidden/>
              </w:rPr>
              <w:t>13</w:t>
            </w:r>
            <w:r w:rsidR="001B7A1F">
              <w:rPr>
                <w:noProof/>
                <w:webHidden/>
              </w:rPr>
              <w:fldChar w:fldCharType="end"/>
            </w:r>
          </w:hyperlink>
        </w:p>
        <w:p w14:paraId="6E2F147F" w14:textId="77EBDC99" w:rsidR="001B7A1F"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2218568" w:history="1">
            <w:r w:rsidR="001B7A1F" w:rsidRPr="000D06BF">
              <w:rPr>
                <w:rStyle w:val="Hyperlink"/>
                <w:noProof/>
              </w:rPr>
              <w:t>Recommendations for Improvement</w:t>
            </w:r>
            <w:r w:rsidR="001B7A1F">
              <w:rPr>
                <w:noProof/>
                <w:webHidden/>
              </w:rPr>
              <w:tab/>
            </w:r>
            <w:r w:rsidR="001B7A1F">
              <w:rPr>
                <w:noProof/>
                <w:webHidden/>
              </w:rPr>
              <w:fldChar w:fldCharType="begin"/>
            </w:r>
            <w:r w:rsidR="001B7A1F">
              <w:rPr>
                <w:noProof/>
                <w:webHidden/>
              </w:rPr>
              <w:instrText xml:space="preserve"> PAGEREF _Toc162218568 \h </w:instrText>
            </w:r>
            <w:r w:rsidR="001B7A1F">
              <w:rPr>
                <w:noProof/>
                <w:webHidden/>
              </w:rPr>
            </w:r>
            <w:r w:rsidR="001B7A1F">
              <w:rPr>
                <w:noProof/>
                <w:webHidden/>
              </w:rPr>
              <w:fldChar w:fldCharType="separate"/>
            </w:r>
            <w:r w:rsidR="00F33E90">
              <w:rPr>
                <w:noProof/>
                <w:webHidden/>
              </w:rPr>
              <w:t>14</w:t>
            </w:r>
            <w:r w:rsidR="001B7A1F">
              <w:rPr>
                <w:noProof/>
                <w:webHidden/>
              </w:rPr>
              <w:fldChar w:fldCharType="end"/>
            </w:r>
          </w:hyperlink>
        </w:p>
        <w:p w14:paraId="1F323A82" w14:textId="3A4F625A" w:rsidR="001B7A1F"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2218569" w:history="1">
            <w:r w:rsidR="001B7A1F" w:rsidRPr="000D06BF">
              <w:rPr>
                <w:rStyle w:val="Hyperlink"/>
                <w:noProof/>
              </w:rPr>
              <w:t>Evaluation of New Investment Opportunities</w:t>
            </w:r>
            <w:r w:rsidR="001B7A1F">
              <w:rPr>
                <w:noProof/>
                <w:webHidden/>
              </w:rPr>
              <w:tab/>
            </w:r>
            <w:r w:rsidR="001B7A1F">
              <w:rPr>
                <w:noProof/>
                <w:webHidden/>
              </w:rPr>
              <w:fldChar w:fldCharType="begin"/>
            </w:r>
            <w:r w:rsidR="001B7A1F">
              <w:rPr>
                <w:noProof/>
                <w:webHidden/>
              </w:rPr>
              <w:instrText xml:space="preserve"> PAGEREF _Toc162218569 \h </w:instrText>
            </w:r>
            <w:r w:rsidR="001B7A1F">
              <w:rPr>
                <w:noProof/>
                <w:webHidden/>
              </w:rPr>
            </w:r>
            <w:r w:rsidR="001B7A1F">
              <w:rPr>
                <w:noProof/>
                <w:webHidden/>
              </w:rPr>
              <w:fldChar w:fldCharType="separate"/>
            </w:r>
            <w:r w:rsidR="00F33E90">
              <w:rPr>
                <w:noProof/>
                <w:webHidden/>
              </w:rPr>
              <w:t>16</w:t>
            </w:r>
            <w:r w:rsidR="001B7A1F">
              <w:rPr>
                <w:noProof/>
                <w:webHidden/>
              </w:rPr>
              <w:fldChar w:fldCharType="end"/>
            </w:r>
          </w:hyperlink>
        </w:p>
        <w:p w14:paraId="64FB5621" w14:textId="5AFCCDC8"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70" w:history="1">
            <w:r w:rsidR="001B7A1F" w:rsidRPr="000D06BF">
              <w:rPr>
                <w:rStyle w:val="Hyperlink"/>
                <w:noProof/>
              </w:rPr>
              <w:t>Evaluation and Recommendation</w:t>
            </w:r>
            <w:r w:rsidR="001B7A1F">
              <w:rPr>
                <w:noProof/>
                <w:webHidden/>
              </w:rPr>
              <w:tab/>
            </w:r>
            <w:r w:rsidR="001B7A1F">
              <w:rPr>
                <w:noProof/>
                <w:webHidden/>
              </w:rPr>
              <w:fldChar w:fldCharType="begin"/>
            </w:r>
            <w:r w:rsidR="001B7A1F">
              <w:rPr>
                <w:noProof/>
                <w:webHidden/>
              </w:rPr>
              <w:instrText xml:space="preserve"> PAGEREF _Toc162218570 \h </w:instrText>
            </w:r>
            <w:r w:rsidR="001B7A1F">
              <w:rPr>
                <w:noProof/>
                <w:webHidden/>
              </w:rPr>
            </w:r>
            <w:r w:rsidR="001B7A1F">
              <w:rPr>
                <w:noProof/>
                <w:webHidden/>
              </w:rPr>
              <w:fldChar w:fldCharType="separate"/>
            </w:r>
            <w:r w:rsidR="00F33E90">
              <w:rPr>
                <w:noProof/>
                <w:webHidden/>
              </w:rPr>
              <w:t>16</w:t>
            </w:r>
            <w:r w:rsidR="001B7A1F">
              <w:rPr>
                <w:noProof/>
                <w:webHidden/>
              </w:rPr>
              <w:fldChar w:fldCharType="end"/>
            </w:r>
          </w:hyperlink>
        </w:p>
        <w:p w14:paraId="19242614" w14:textId="5CAFED4C"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71" w:history="1">
            <w:r w:rsidR="001B7A1F" w:rsidRPr="000D06BF">
              <w:rPr>
                <w:rStyle w:val="Hyperlink"/>
                <w:noProof/>
              </w:rPr>
              <w:t>Recalculation of NPV</w:t>
            </w:r>
            <w:r w:rsidR="001B7A1F">
              <w:rPr>
                <w:noProof/>
                <w:webHidden/>
              </w:rPr>
              <w:tab/>
            </w:r>
            <w:r w:rsidR="001B7A1F">
              <w:rPr>
                <w:noProof/>
                <w:webHidden/>
              </w:rPr>
              <w:fldChar w:fldCharType="begin"/>
            </w:r>
            <w:r w:rsidR="001B7A1F">
              <w:rPr>
                <w:noProof/>
                <w:webHidden/>
              </w:rPr>
              <w:instrText xml:space="preserve"> PAGEREF _Toc162218571 \h </w:instrText>
            </w:r>
            <w:r w:rsidR="001B7A1F">
              <w:rPr>
                <w:noProof/>
                <w:webHidden/>
              </w:rPr>
            </w:r>
            <w:r w:rsidR="001B7A1F">
              <w:rPr>
                <w:noProof/>
                <w:webHidden/>
              </w:rPr>
              <w:fldChar w:fldCharType="separate"/>
            </w:r>
            <w:r w:rsidR="00F33E90">
              <w:rPr>
                <w:noProof/>
                <w:webHidden/>
              </w:rPr>
              <w:t>17</w:t>
            </w:r>
            <w:r w:rsidR="001B7A1F">
              <w:rPr>
                <w:noProof/>
                <w:webHidden/>
              </w:rPr>
              <w:fldChar w:fldCharType="end"/>
            </w:r>
          </w:hyperlink>
        </w:p>
        <w:p w14:paraId="1AD58AEF" w14:textId="0989CF21"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72" w:history="1">
            <w:r w:rsidR="001B7A1F" w:rsidRPr="000D06BF">
              <w:rPr>
                <w:rStyle w:val="Hyperlink"/>
                <w:noProof/>
              </w:rPr>
              <w:t>Advantages and Disadvantages of Evaluation Techniques</w:t>
            </w:r>
            <w:r w:rsidR="001B7A1F">
              <w:rPr>
                <w:noProof/>
                <w:webHidden/>
              </w:rPr>
              <w:tab/>
            </w:r>
            <w:r w:rsidR="001B7A1F">
              <w:rPr>
                <w:noProof/>
                <w:webHidden/>
              </w:rPr>
              <w:fldChar w:fldCharType="begin"/>
            </w:r>
            <w:r w:rsidR="001B7A1F">
              <w:rPr>
                <w:noProof/>
                <w:webHidden/>
              </w:rPr>
              <w:instrText xml:space="preserve"> PAGEREF _Toc162218572 \h </w:instrText>
            </w:r>
            <w:r w:rsidR="001B7A1F">
              <w:rPr>
                <w:noProof/>
                <w:webHidden/>
              </w:rPr>
            </w:r>
            <w:r w:rsidR="001B7A1F">
              <w:rPr>
                <w:noProof/>
                <w:webHidden/>
              </w:rPr>
              <w:fldChar w:fldCharType="separate"/>
            </w:r>
            <w:r w:rsidR="00F33E90">
              <w:rPr>
                <w:noProof/>
                <w:webHidden/>
              </w:rPr>
              <w:t>18</w:t>
            </w:r>
            <w:r w:rsidR="001B7A1F">
              <w:rPr>
                <w:noProof/>
                <w:webHidden/>
              </w:rPr>
              <w:fldChar w:fldCharType="end"/>
            </w:r>
          </w:hyperlink>
        </w:p>
        <w:p w14:paraId="0D3FB91C" w14:textId="3DB56041" w:rsidR="001B7A1F"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62218573" w:history="1">
            <w:r w:rsidR="001B7A1F" w:rsidRPr="000D06BF">
              <w:rPr>
                <w:rStyle w:val="Hyperlink"/>
                <w:noProof/>
              </w:rPr>
              <w:t>Non-Financial Factors</w:t>
            </w:r>
            <w:r w:rsidR="001B7A1F">
              <w:rPr>
                <w:noProof/>
                <w:webHidden/>
              </w:rPr>
              <w:tab/>
            </w:r>
            <w:r w:rsidR="001B7A1F">
              <w:rPr>
                <w:noProof/>
                <w:webHidden/>
              </w:rPr>
              <w:fldChar w:fldCharType="begin"/>
            </w:r>
            <w:r w:rsidR="001B7A1F">
              <w:rPr>
                <w:noProof/>
                <w:webHidden/>
              </w:rPr>
              <w:instrText xml:space="preserve"> PAGEREF _Toc162218573 \h </w:instrText>
            </w:r>
            <w:r w:rsidR="001B7A1F">
              <w:rPr>
                <w:noProof/>
                <w:webHidden/>
              </w:rPr>
            </w:r>
            <w:r w:rsidR="001B7A1F">
              <w:rPr>
                <w:noProof/>
                <w:webHidden/>
              </w:rPr>
              <w:fldChar w:fldCharType="separate"/>
            </w:r>
            <w:r w:rsidR="00F33E90">
              <w:rPr>
                <w:noProof/>
                <w:webHidden/>
              </w:rPr>
              <w:t>21</w:t>
            </w:r>
            <w:r w:rsidR="001B7A1F">
              <w:rPr>
                <w:noProof/>
                <w:webHidden/>
              </w:rPr>
              <w:fldChar w:fldCharType="end"/>
            </w:r>
          </w:hyperlink>
        </w:p>
        <w:p w14:paraId="60AD292F" w14:textId="4550ADFB" w:rsidR="001B7A1F"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62218574" w:history="1">
            <w:r w:rsidR="001B7A1F" w:rsidRPr="000D06BF">
              <w:rPr>
                <w:rStyle w:val="Hyperlink"/>
                <w:noProof/>
              </w:rPr>
              <w:t>References</w:t>
            </w:r>
            <w:r w:rsidR="001B7A1F">
              <w:rPr>
                <w:noProof/>
                <w:webHidden/>
              </w:rPr>
              <w:tab/>
            </w:r>
            <w:r w:rsidR="001B7A1F">
              <w:rPr>
                <w:noProof/>
                <w:webHidden/>
              </w:rPr>
              <w:fldChar w:fldCharType="begin"/>
            </w:r>
            <w:r w:rsidR="001B7A1F">
              <w:rPr>
                <w:noProof/>
                <w:webHidden/>
              </w:rPr>
              <w:instrText xml:space="preserve"> PAGEREF _Toc162218574 \h </w:instrText>
            </w:r>
            <w:r w:rsidR="001B7A1F">
              <w:rPr>
                <w:noProof/>
                <w:webHidden/>
              </w:rPr>
            </w:r>
            <w:r w:rsidR="001B7A1F">
              <w:rPr>
                <w:noProof/>
                <w:webHidden/>
              </w:rPr>
              <w:fldChar w:fldCharType="separate"/>
            </w:r>
            <w:r w:rsidR="00F33E90">
              <w:rPr>
                <w:noProof/>
                <w:webHidden/>
              </w:rPr>
              <w:t>23</w:t>
            </w:r>
            <w:r w:rsidR="001B7A1F">
              <w:rPr>
                <w:noProof/>
                <w:webHidden/>
              </w:rPr>
              <w:fldChar w:fldCharType="end"/>
            </w:r>
          </w:hyperlink>
        </w:p>
        <w:p w14:paraId="0E179A7B" w14:textId="6E11CAE3" w:rsidR="001C5650" w:rsidRDefault="001C5650" w:rsidP="006818EA">
          <w:pPr>
            <w:spacing w:line="360" w:lineRule="auto"/>
          </w:pPr>
          <w:r>
            <w:rPr>
              <w:b/>
              <w:bCs/>
              <w:noProof/>
            </w:rPr>
            <w:fldChar w:fldCharType="end"/>
          </w:r>
        </w:p>
      </w:sdtContent>
    </w:sdt>
    <w:p w14:paraId="5964BC13" w14:textId="77777777" w:rsidR="00766F26" w:rsidRDefault="00766F26" w:rsidP="006818EA">
      <w:pPr>
        <w:spacing w:line="360" w:lineRule="auto"/>
      </w:pPr>
    </w:p>
    <w:p w14:paraId="307788C8" w14:textId="77777777" w:rsidR="00451250" w:rsidRDefault="00451250" w:rsidP="006818EA">
      <w:pPr>
        <w:spacing w:line="360" w:lineRule="auto"/>
      </w:pPr>
    </w:p>
    <w:p w14:paraId="537B35A7" w14:textId="77777777" w:rsidR="00451250" w:rsidRDefault="00451250" w:rsidP="006818EA">
      <w:pPr>
        <w:spacing w:line="360" w:lineRule="auto"/>
      </w:pPr>
    </w:p>
    <w:p w14:paraId="08901200" w14:textId="34F3F73A" w:rsidR="00FC48BE" w:rsidRDefault="00FB04AF" w:rsidP="007D4D6E">
      <w:pPr>
        <w:pStyle w:val="Heading1"/>
        <w:spacing w:after="240" w:line="360" w:lineRule="auto"/>
      </w:pPr>
      <w:bookmarkStart w:id="0" w:name="_Toc162218553"/>
      <w:r>
        <w:lastRenderedPageBreak/>
        <w:t xml:space="preserve">History of JP Morgan </w:t>
      </w:r>
      <w:r w:rsidR="00B84C0D" w:rsidRPr="00B84C0D">
        <w:t>(2020-2024)</w:t>
      </w:r>
      <w:bookmarkEnd w:id="0"/>
    </w:p>
    <w:p w14:paraId="1A0F4F76" w14:textId="77777777" w:rsidR="00B84C0D" w:rsidRDefault="00B84C0D" w:rsidP="007D4D6E">
      <w:pPr>
        <w:pStyle w:val="Heading2"/>
      </w:pPr>
      <w:bookmarkStart w:id="1" w:name="_Toc162218554"/>
      <w:r w:rsidRPr="00B84C0D">
        <w:t>History and Overview</w:t>
      </w:r>
      <w:bookmarkEnd w:id="1"/>
    </w:p>
    <w:p w14:paraId="39381376" w14:textId="739CC614" w:rsidR="00F25493" w:rsidRDefault="002579D9" w:rsidP="00FE625D">
      <w:pPr>
        <w:spacing w:line="360" w:lineRule="auto"/>
      </w:pPr>
      <w:r w:rsidRPr="002579D9">
        <w:t xml:space="preserve">JPMorgan Chase &amp; Co., the largest financial service provider in the world colloquially known as JPMorgan, is undoubtedly one of the financial giants in the present era. Upon tracing back, the roots to the 19th century as its primary foundation, we can see that its predecessor which was set up by the world-renowned financier, J.P. Morgan, known as J.P. Morgan &amp; Co., was set up in 1871 (Maher, 2024). J.P. Morgan was one of the crucial players in restructuring the American Economy during this particular era, </w:t>
      </w:r>
      <w:r w:rsidR="007B1F5D">
        <w:t>helping</w:t>
      </w:r>
      <w:r w:rsidRPr="002579D9">
        <w:t xml:space="preserve"> mainly in financing railroads, industrial giants and even the U.S. government.</w:t>
      </w:r>
      <w:r w:rsidR="00FE625D">
        <w:t xml:space="preserve"> </w:t>
      </w:r>
      <w:r w:rsidR="00F25493">
        <w:t>One of the pivotal entities that Chase Manhattan Corporation became was in the JPMorgan forebearers’ merger of Chase National Bank and The Manhattan Company in 1955 (Chestek’s, 2019). Chase National Bank was started in the early 1800s and furnished a considerable part of American businesses and infrastructure support.</w:t>
      </w:r>
    </w:p>
    <w:p w14:paraId="7F3230C4" w14:textId="745F22F9" w:rsidR="00F25493" w:rsidRDefault="007B1F5D" w:rsidP="00FE625D">
      <w:pPr>
        <w:spacing w:line="360" w:lineRule="auto"/>
      </w:pPr>
      <w:r>
        <w:t>The combination</w:t>
      </w:r>
      <w:r w:rsidR="00F25493">
        <w:t xml:space="preserve"> of Chase Manhattan Corporation and J.P. Morgan &amp; Co. in the year 2000 gave birth to JPMorgan Chase &amp; </w:t>
      </w:r>
      <w:r>
        <w:t>Co.</w:t>
      </w:r>
      <w:r w:rsidR="00F25493">
        <w:t xml:space="preserve"> (Morgan, 2017), which became a paramount event for the financial industry. Further to this merger, two very prominent institutions, J.P. Morgan's, which holds a wide array of financial capabilities, and Chase's, which has a vast network of retail banks, were brought under one roof.</w:t>
      </w:r>
      <w:r w:rsidR="00FE625D">
        <w:t xml:space="preserve"> </w:t>
      </w:r>
      <w:r w:rsidR="00F25493">
        <w:t xml:space="preserve">JPMorgan Chase &amp; Co. is one of the world's most diversified financial services firms operating as a multinational investment bank and financial services holding company with </w:t>
      </w:r>
      <w:r>
        <w:t>the</w:t>
      </w:r>
      <w:r w:rsidR="00F25493">
        <w:t xml:space="preserve"> primary purpose of offering a comprehensive line-up of asset management services, investment banking, commercial banking, as well as retail banking. The business on a global scale has </w:t>
      </w:r>
      <w:r>
        <w:t>become</w:t>
      </w:r>
      <w:r w:rsidR="00F25493">
        <w:t xml:space="preserve"> massive, and the company’s operations </w:t>
      </w:r>
      <w:r>
        <w:t>hold</w:t>
      </w:r>
      <w:r w:rsidR="00F25493">
        <w:t xml:space="preserve"> branches all around the continents which </w:t>
      </w:r>
      <w:r>
        <w:t>serve</w:t>
      </w:r>
      <w:r w:rsidR="00F25493">
        <w:t xml:space="preserve"> millions of customers all over the world (PARIHAR, 2022).</w:t>
      </w:r>
    </w:p>
    <w:p w14:paraId="4385C25E" w14:textId="55386923" w:rsidR="00F25493" w:rsidRDefault="00F25493" w:rsidP="00F25493">
      <w:pPr>
        <w:spacing w:line="360" w:lineRule="auto"/>
      </w:pPr>
      <w:r>
        <w:t xml:space="preserve">Through the years, during different economic cycles, JPMorgan has managed to stand strong and is now qualifying to be recognized among the influential players in the financial sector (Wójcik, 2018). </w:t>
      </w:r>
      <w:r w:rsidR="007B1F5D">
        <w:t>Its</w:t>
      </w:r>
      <w:r>
        <w:t xml:space="preserve"> innovative approach to banking, comprehensive risk management and </w:t>
      </w:r>
      <w:r w:rsidR="007B1F5D">
        <w:t>widespread</w:t>
      </w:r>
      <w:r>
        <w:t xml:space="preserve"> acquisitions </w:t>
      </w:r>
      <w:r w:rsidR="007B1F5D">
        <w:t>empower</w:t>
      </w:r>
      <w:r>
        <w:t xml:space="preserve"> the financial institution to take up the position of a top and significant global financial institution.</w:t>
      </w:r>
    </w:p>
    <w:p w14:paraId="25194E3B" w14:textId="76627140" w:rsidR="00B84C0D" w:rsidRPr="00B84C0D" w:rsidRDefault="00F25493" w:rsidP="00FE625D">
      <w:pPr>
        <w:spacing w:line="360" w:lineRule="auto"/>
      </w:pPr>
      <w:r>
        <w:lastRenderedPageBreak/>
        <w:t xml:space="preserve">Also, JPMorgan is the first </w:t>
      </w:r>
      <w:r w:rsidR="007B1F5D">
        <w:t>mover</w:t>
      </w:r>
      <w:r>
        <w:t xml:space="preserve"> in technological change in finance, it uses data analytics, </w:t>
      </w:r>
      <w:r w:rsidR="007B1F5D">
        <w:t xml:space="preserve">and </w:t>
      </w:r>
      <w:r>
        <w:t xml:space="preserve">artificial intelligence to </w:t>
      </w:r>
      <w:r w:rsidR="007B1F5D">
        <w:t>transform</w:t>
      </w:r>
      <w:r>
        <w:t xml:space="preserve"> its operations and </w:t>
      </w:r>
      <w:r w:rsidR="007B1F5D">
        <w:t>make</w:t>
      </w:r>
      <w:r>
        <w:t xml:space="preserve"> </w:t>
      </w:r>
      <w:r w:rsidR="007B1F5D">
        <w:t>its</w:t>
      </w:r>
      <w:r>
        <w:t xml:space="preserve"> </w:t>
      </w:r>
      <w:r w:rsidR="007B1F5D">
        <w:t>client's</w:t>
      </w:r>
      <w:r>
        <w:t xml:space="preserve"> services better (Arman, 2023).</w:t>
      </w:r>
      <w:r w:rsidR="00FE625D">
        <w:t xml:space="preserve"> </w:t>
      </w:r>
    </w:p>
    <w:p w14:paraId="54B4A89D" w14:textId="19283C7B" w:rsidR="00FB04AF" w:rsidRPr="00FB04AF" w:rsidRDefault="00B84C0D" w:rsidP="007D4D6E">
      <w:pPr>
        <w:pStyle w:val="Heading2"/>
      </w:pPr>
      <w:bookmarkStart w:id="2" w:name="_Toc162218555"/>
      <w:r w:rsidRPr="00B84C0D">
        <w:t>Business Model</w:t>
      </w:r>
      <w:r w:rsidR="00E33A76">
        <w:t xml:space="preserve"> of JP Morgan</w:t>
      </w:r>
      <w:bookmarkEnd w:id="2"/>
    </w:p>
    <w:p w14:paraId="04EDF41E" w14:textId="1D019ADC" w:rsidR="00716457" w:rsidRDefault="00716457" w:rsidP="00B41225">
      <w:pPr>
        <w:spacing w:line="360" w:lineRule="auto"/>
      </w:pPr>
      <w:r w:rsidRPr="00716457">
        <w:t xml:space="preserve">By assisting clients across a spectrum of industries in projects of all sizes involving corporations, governments, and institutional clients, JPMorgan's investment banking division </w:t>
      </w:r>
      <w:r w:rsidR="007B1F5D">
        <w:t>can</w:t>
      </w:r>
      <w:r w:rsidRPr="00716457">
        <w:t xml:space="preserve"> offer a diverse set of services. The service categories involve larger in-depth analysis of acquisitions and mergers dealings, fundraising for IPOs and bond offerings, advisory strategies and restructuring operations of enterprises (Ghuman, 2020). </w:t>
      </w:r>
      <w:r w:rsidR="00B41225">
        <w:t xml:space="preserve"> </w:t>
      </w:r>
      <w:r w:rsidRPr="00716457">
        <w:t xml:space="preserve">JPMorgan's asset management services cater to </w:t>
      </w:r>
      <w:r w:rsidR="007B1F5D">
        <w:t>wide-ranging clients</w:t>
      </w:r>
      <w:r w:rsidRPr="00716457">
        <w:t xml:space="preserve"> some of which include retail investors larger pension funds and sovereign investment funds (Gomber P. 2018).</w:t>
      </w:r>
      <w:r>
        <w:t xml:space="preserve"> </w:t>
      </w:r>
      <w:r w:rsidR="007B1F5D">
        <w:t>It</w:t>
      </w:r>
      <w:r w:rsidRPr="00716457">
        <w:t xml:space="preserve"> is no wonder that private banking is the second critical segment of JPMorgan’s portfolio that extends to multi-national clients that have tremendous asset value. JPMorgan Private Bank </w:t>
      </w:r>
      <w:r w:rsidR="007B1F5D">
        <w:t>provides</w:t>
      </w:r>
      <w:r w:rsidRPr="00716457">
        <w:t xml:space="preserve"> one-on-one relationship managers who help provide services for an array of private business and personal needs like investment management, trust and estate planning, lending and philanthropic advisory plans (Santacruz, 2017). </w:t>
      </w:r>
    </w:p>
    <w:p w14:paraId="2A00CDA2" w14:textId="02860409" w:rsidR="00B84C0D" w:rsidRPr="00716457" w:rsidRDefault="00716457" w:rsidP="00B41225">
      <w:pPr>
        <w:spacing w:line="360" w:lineRule="auto"/>
      </w:pPr>
      <w:r w:rsidRPr="00716457">
        <w:t xml:space="preserve">The commercial banking part of JPMorgan deals with the financial matters of small and medium enterprises, big </w:t>
      </w:r>
      <w:r w:rsidR="007B1F5D">
        <w:t>businesses</w:t>
      </w:r>
      <w:r w:rsidRPr="00716457">
        <w:t xml:space="preserve">, and course, multinational firms. It has three subsidiaries among which </w:t>
      </w:r>
      <w:r w:rsidR="007B1F5D">
        <w:t xml:space="preserve">the </w:t>
      </w:r>
      <w:r w:rsidRPr="00716457">
        <w:t xml:space="preserve">commercial banking division strives to serve the </w:t>
      </w:r>
      <w:r w:rsidR="00725040">
        <w:t>customised</w:t>
      </w:r>
      <w:r w:rsidRPr="00716457">
        <w:t xml:space="preserve"> needs of medium and large enterprises by the edge of its banking services such as cash management, credit and lending services, treasury services, trade finance, and advisory on corporate finance (McWaters, 2020).  JP Morgan Chase's bank division, retail banking, is </w:t>
      </w:r>
      <w:r w:rsidR="007B1F5D">
        <w:t>pursued</w:t>
      </w:r>
      <w:r w:rsidRPr="00716457">
        <w:t xml:space="preserve"> under the name of Chase </w:t>
      </w:r>
      <w:r w:rsidR="007B1F5D">
        <w:t xml:space="preserve">and </w:t>
      </w:r>
      <w:r w:rsidRPr="00716457">
        <w:t xml:space="preserve">serves a wide variety of consumer banking products which include checking and savings accounts, credit cards, mortgages, auto loans, personal loans and small business banking services </w:t>
      </w:r>
      <w:r w:rsidR="00A621C5">
        <w:t>(</w:t>
      </w:r>
      <w:r w:rsidRPr="00716457">
        <w:t>Wewege</w:t>
      </w:r>
      <w:r w:rsidR="00A621C5">
        <w:t>,</w:t>
      </w:r>
      <w:r w:rsidRPr="00716457">
        <w:t xml:space="preserve"> </w:t>
      </w:r>
      <w:r w:rsidR="00A621C5">
        <w:t>2020)</w:t>
      </w:r>
      <w:r w:rsidRPr="00716457">
        <w:t>. </w:t>
      </w:r>
    </w:p>
    <w:p w14:paraId="477D83A6" w14:textId="5E8CED1A" w:rsidR="002571A0" w:rsidRPr="002571A0" w:rsidRDefault="00B84C0D" w:rsidP="002571A0">
      <w:pPr>
        <w:pStyle w:val="Heading2"/>
      </w:pPr>
      <w:bookmarkStart w:id="3" w:name="_Toc162218556"/>
      <w:r w:rsidRPr="00B84C0D">
        <w:t>Major Competitors</w:t>
      </w:r>
      <w:r w:rsidR="00E33A76">
        <w:t xml:space="preserve"> of JP Morgan</w:t>
      </w:r>
      <w:bookmarkEnd w:id="3"/>
    </w:p>
    <w:p w14:paraId="42448727" w14:textId="0D3DEEA7" w:rsidR="00276A97" w:rsidRDefault="00276A97" w:rsidP="00276A97">
      <w:pPr>
        <w:spacing w:line="360" w:lineRule="auto"/>
      </w:pPr>
      <w:r>
        <w:t xml:space="preserve">Due to the highly pernicious contest in </w:t>
      </w:r>
      <w:r w:rsidR="007B1F5D">
        <w:t xml:space="preserve">the </w:t>
      </w:r>
      <w:r>
        <w:t xml:space="preserve">financial sector, JPMorgan Chase &amp; Co. sets controversial opponents who aim for the control of the market in diversified sectors. Moreover, Bank of America finds itself as one of the most important competitors as it covers a huge range of services from retail banking, </w:t>
      </w:r>
      <w:r w:rsidR="007B1F5D">
        <w:t xml:space="preserve">and </w:t>
      </w:r>
      <w:r>
        <w:t xml:space="preserve">wealth management to corporate banking (Rana, 2016). Also, </w:t>
      </w:r>
      <w:r>
        <w:lastRenderedPageBreak/>
        <w:t>like JP Morgan, Wells Fargo &amp; Company (WFC) is a major threat given its wide range of financial services covering commercial and retail banking, credit cards, merchant services, investment and asset management, auto and home lending, commercial banking, and through its subsidiaries such as Charles Schwab offering investment products and online banking to compete with JP Morgan (Hearit, 2018).</w:t>
      </w:r>
    </w:p>
    <w:p w14:paraId="20F5DBDF" w14:textId="2658F32C" w:rsidR="00FB04AF" w:rsidRDefault="00276A97" w:rsidP="00725040">
      <w:pPr>
        <w:spacing w:line="360" w:lineRule="auto"/>
      </w:pPr>
      <w:r>
        <w:t xml:space="preserve">Besides JP Morgan, Morgan Stanley also stands out as another key challenger of the same kind, competing with JP Morgan in essentially the same areas of investment banking, wealth management, and institutional securities, where it also offers financial advisory services to corporations and institutions. Barclays PLC of Britain with its strong roots in Europe and beyond, competes robustly against JP Morgan for a diversified customer base in the investment banking, </w:t>
      </w:r>
      <w:r w:rsidR="007B1F5D">
        <w:t>bank-to-corporate</w:t>
      </w:r>
      <w:r>
        <w:t xml:space="preserve"> and wealth segment, where its significant global presence played a role (Securities, B.M.L.C.M. and Stanley, M.).</w:t>
      </w:r>
      <w:r w:rsidR="00725040">
        <w:t xml:space="preserve"> </w:t>
      </w:r>
      <w:r>
        <w:t xml:space="preserve">In addition to that, UBS Group AG - which let's say, </w:t>
      </w:r>
      <w:r w:rsidR="007B1F5D">
        <w:t xml:space="preserve">is </w:t>
      </w:r>
      <w:r>
        <w:t xml:space="preserve">the undisputed leader in </w:t>
      </w:r>
      <w:r w:rsidR="007B1F5D">
        <w:t xml:space="preserve">the </w:t>
      </w:r>
      <w:r>
        <w:t xml:space="preserve">Swiss financial industry - might as well be a rival for JP Morgan in areas of investment banking, wealth management and asset management. Both organizations </w:t>
      </w:r>
      <w:r w:rsidR="007B1F5D">
        <w:t>endeavour</w:t>
      </w:r>
      <w:r>
        <w:t xml:space="preserve"> to hold the groundwater, the turnover bringing </w:t>
      </w:r>
      <w:r w:rsidR="007B1F5D">
        <w:t xml:space="preserve">a </w:t>
      </w:r>
      <w:r>
        <w:t xml:space="preserve">more competitive environment (Markham, 2017). </w:t>
      </w:r>
    </w:p>
    <w:p w14:paraId="2645FBD9" w14:textId="607148B9" w:rsidR="00B84C0D" w:rsidRDefault="00B84C0D" w:rsidP="007D4D6E">
      <w:pPr>
        <w:pStyle w:val="Heading2"/>
      </w:pPr>
      <w:bookmarkStart w:id="4" w:name="_Toc162218557"/>
      <w:r>
        <w:t xml:space="preserve">Major Events </w:t>
      </w:r>
      <w:r w:rsidR="00041195">
        <w:t xml:space="preserve">Occurred in the Years </w:t>
      </w:r>
      <w:r>
        <w:t>2020-2024</w:t>
      </w:r>
      <w:bookmarkEnd w:id="4"/>
    </w:p>
    <w:p w14:paraId="4AF6AAD8" w14:textId="1CD0DE8F" w:rsidR="0067243C" w:rsidRPr="0067243C" w:rsidRDefault="0067243C" w:rsidP="0067243C">
      <w:pPr>
        <w:spacing w:line="360" w:lineRule="auto"/>
      </w:pPr>
      <w:r w:rsidRPr="0067243C">
        <w:t xml:space="preserve">During the </w:t>
      </w:r>
      <w:r w:rsidR="007B1F5D">
        <w:t>COVID-19</w:t>
      </w:r>
      <w:r w:rsidRPr="0067243C">
        <w:t xml:space="preserve"> epidemic, JPMorgan, as well </w:t>
      </w:r>
      <w:r w:rsidR="007B1F5D">
        <w:t xml:space="preserve">as </w:t>
      </w:r>
      <w:r w:rsidRPr="0067243C">
        <w:t>many financial institutions, were presented with many different tasks. Economic turmoil brought on by the disaster forced the bank to enact provisions for credit losses, which were supposed to counter a surge in defaults that was likely due to generalized economic uncertainty (Barr, 2020). JPMorgan emphasized the necessity of supporting its employees’ health along with the necessity of keeping business running, and thus various remote work arrangements were implemented as well as strict protocols around the globe (O'Malley, 2022).</w:t>
      </w:r>
    </w:p>
    <w:p w14:paraId="0064DEF5" w14:textId="4BC00D90" w:rsidR="0067243C" w:rsidRPr="0067243C" w:rsidRDefault="0067243C" w:rsidP="009C6314">
      <w:pPr>
        <w:spacing w:line="360" w:lineRule="auto"/>
      </w:pPr>
      <w:r w:rsidRPr="0067243C">
        <w:t xml:space="preserve">Those were the days of JPMorgan 2021 when the firm saw a drastic shift in its leadership as it began the recruitment process. The appointment of the new CEO represented the culmination of a heading-changing role of James Dimon at the helm of the organization (HAMDANI,2022). This transition in leadership brought discussion of the shifts </w:t>
      </w:r>
      <w:r w:rsidR="007B1F5D">
        <w:t>in</w:t>
      </w:r>
      <w:r w:rsidRPr="0067243C">
        <w:t xml:space="preserve"> the vision and focal points of the company. </w:t>
      </w:r>
      <w:r w:rsidR="009C6314">
        <w:t xml:space="preserve"> </w:t>
      </w:r>
      <w:r w:rsidRPr="0067243C">
        <w:t>In 2022, JPMorgan saw a chance to develop long-term strategies</w:t>
      </w:r>
      <w:r w:rsidR="007B1F5D">
        <w:t>,</w:t>
      </w:r>
      <w:r w:rsidRPr="0067243C">
        <w:t xml:space="preserve"> especially in fintech, </w:t>
      </w:r>
      <w:r w:rsidRPr="0067243C">
        <w:lastRenderedPageBreak/>
        <w:t xml:space="preserve">a promising financial technology industry. Acknowledging that digital innovation is gaining traction in financial services, the organization embarked on investments and partnerships which were meant to not only retain current clients but also enable reaching a broader customer segment (Skinner, 2020). For this reason, one of the key strategic shifts moreover was </w:t>
      </w:r>
      <w:r w:rsidR="007B1F5D">
        <w:t xml:space="preserve">a </w:t>
      </w:r>
      <w:r w:rsidRPr="0067243C">
        <w:t>partnership with fintech startups, having digital banking platforms investment as well, and currently the invention of innovative financial technologies. However, JPMorgan made a technological breakthrough and tried to provide a better customer experience, streamlined operations, and a competitive edge in an environment where the digital world is the leading one (Kroeller, 2023).</w:t>
      </w:r>
    </w:p>
    <w:p w14:paraId="35457BE9" w14:textId="0C7612CE" w:rsidR="006818EA" w:rsidRPr="004955BD" w:rsidRDefault="0067243C" w:rsidP="009C6314">
      <w:pPr>
        <w:spacing w:line="360" w:lineRule="auto"/>
      </w:pPr>
      <w:r w:rsidRPr="0067243C">
        <w:t>Although its strategic attempts were made, last year JPMorgan faced a fundamental issue: non-compliance with the rules and regulations from the authorities and accusations of misconduct</w:t>
      </w:r>
      <w:r w:rsidR="009C6314">
        <w:t xml:space="preserve"> </w:t>
      </w:r>
      <w:r w:rsidR="009C6314" w:rsidRPr="0067243C">
        <w:t>(Ceppi, 2023)</w:t>
      </w:r>
      <w:r w:rsidRPr="0067243C">
        <w:t xml:space="preserve">. JPMorgan </w:t>
      </w:r>
      <w:r w:rsidR="007B1F5D">
        <w:t>has</w:t>
      </w:r>
      <w:r w:rsidRPr="0067243C">
        <w:t xml:space="preserve"> done this </w:t>
      </w:r>
      <w:r w:rsidR="007B1F5D">
        <w:t>to</w:t>
      </w:r>
      <w:r w:rsidRPr="0067243C">
        <w:t xml:space="preserve"> strengthen its market share and also diversify its revenue streams with the division through mergers and acquisitions in 2024</w:t>
      </w:r>
      <w:r w:rsidR="009C6314">
        <w:t xml:space="preserve"> </w:t>
      </w:r>
      <w:r w:rsidR="009C6314" w:rsidRPr="0067243C">
        <w:t>(Lyu, 2024)</w:t>
      </w:r>
      <w:r w:rsidRPr="0067243C">
        <w:t xml:space="preserve">. </w:t>
      </w:r>
    </w:p>
    <w:p w14:paraId="0D221B5D" w14:textId="1578164F" w:rsidR="00B84C0D" w:rsidRDefault="005948B3" w:rsidP="007D4D6E">
      <w:pPr>
        <w:pStyle w:val="Heading1"/>
        <w:spacing w:line="360" w:lineRule="auto"/>
      </w:pPr>
      <w:bookmarkStart w:id="5" w:name="_Toc162218558"/>
      <w:r>
        <w:t>Financial Ratios</w:t>
      </w:r>
      <w:bookmarkEnd w:id="5"/>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599"/>
        <w:gridCol w:w="5781"/>
      </w:tblGrid>
      <w:tr w:rsidR="00782E31" w:rsidRPr="00782E31" w14:paraId="672DA79A" w14:textId="77777777" w:rsidTr="00782E31">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5154979" w14:textId="77777777" w:rsidR="00782E31" w:rsidRPr="00782E31" w:rsidRDefault="00782E31" w:rsidP="00782E31">
            <w:pPr>
              <w:spacing w:line="360" w:lineRule="auto"/>
              <w:rPr>
                <w:b/>
                <w:bCs/>
              </w:rPr>
            </w:pPr>
            <w:r w:rsidRPr="00782E31">
              <w:rPr>
                <w:b/>
                <w:bCs/>
              </w:rPr>
              <w:t>Ratios</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0CB06C0B" w14:textId="77777777" w:rsidR="00782E31" w:rsidRPr="00782E31" w:rsidRDefault="00782E31" w:rsidP="00782E31">
            <w:pPr>
              <w:spacing w:line="360" w:lineRule="auto"/>
              <w:rPr>
                <w:b/>
                <w:bCs/>
              </w:rPr>
            </w:pPr>
            <w:r w:rsidRPr="00782E31">
              <w:rPr>
                <w:b/>
                <w:bCs/>
              </w:rPr>
              <w:t>Calculation</w:t>
            </w:r>
          </w:p>
        </w:tc>
      </w:tr>
      <w:tr w:rsidR="00782E31" w:rsidRPr="00782E31" w14:paraId="73B68008" w14:textId="77777777" w:rsidTr="00782E3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D83B555" w14:textId="77777777" w:rsidR="00782E31" w:rsidRPr="00782E31" w:rsidRDefault="00782E31" w:rsidP="00782E31">
            <w:pPr>
              <w:spacing w:line="360" w:lineRule="auto"/>
            </w:pPr>
            <w:r w:rsidRPr="00782E31">
              <w:t>ROA = Net Income / Average Total Assets x 100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0D0576C" w14:textId="77777777" w:rsidR="00782E31" w:rsidRPr="00782E31" w:rsidRDefault="00782E31" w:rsidP="00782E31">
            <w:pPr>
              <w:spacing w:line="360" w:lineRule="auto"/>
            </w:pPr>
            <w:r w:rsidRPr="00782E31">
              <w:t>= 37,676 million / ((3,665,743 million + 3,743,567 million) / 2) x 100 = 37,676 million / 3,704,655 million x 100 = 1.02%</w:t>
            </w:r>
          </w:p>
        </w:tc>
      </w:tr>
      <w:tr w:rsidR="00782E31" w:rsidRPr="00782E31" w14:paraId="36367650" w14:textId="77777777" w:rsidTr="00782E3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B5A9CC8" w14:textId="77777777" w:rsidR="00782E31" w:rsidRPr="00782E31" w:rsidRDefault="00782E31" w:rsidP="00782E31">
            <w:pPr>
              <w:spacing w:line="360" w:lineRule="auto"/>
            </w:pPr>
            <w:r w:rsidRPr="00782E31">
              <w:t>Current Ratio = Current Assets / Current Liabilities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1E3D7176" w14:textId="77777777" w:rsidR="00782E31" w:rsidRPr="00782E31" w:rsidRDefault="00782E31" w:rsidP="00782E31">
            <w:pPr>
              <w:spacing w:line="360" w:lineRule="auto"/>
            </w:pPr>
            <w:r w:rsidRPr="00782E31">
              <w:t>= 3,565,905 million / 3,065,936 million = 1.16</w:t>
            </w:r>
          </w:p>
        </w:tc>
      </w:tr>
      <w:tr w:rsidR="00782E31" w:rsidRPr="00782E31" w14:paraId="047B4B2E" w14:textId="77777777" w:rsidTr="00782E3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265A89D" w14:textId="77777777" w:rsidR="00782E31" w:rsidRPr="00782E31" w:rsidRDefault="00782E31" w:rsidP="00782E31">
            <w:pPr>
              <w:spacing w:line="360" w:lineRule="auto"/>
            </w:pPr>
            <w:r w:rsidRPr="00782E31">
              <w:t>Net Gearing Ratio = (Long-term Debt - Cash and Cash Equivalents) / (Total Equity)</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10268CC" w14:textId="77777777" w:rsidR="00782E31" w:rsidRPr="00782E31" w:rsidRDefault="00782E31" w:rsidP="00782E31">
            <w:pPr>
              <w:spacing w:line="360" w:lineRule="auto"/>
            </w:pPr>
            <w:r w:rsidRPr="00782E31">
              <w:t>= (295,865 million - 27,697 million) / 292,332 million = 0.89</w:t>
            </w:r>
          </w:p>
        </w:tc>
      </w:tr>
      <w:tr w:rsidR="00782E31" w:rsidRPr="00782E31" w14:paraId="4F23A018" w14:textId="77777777" w:rsidTr="00782E31">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8FFDAF0" w14:textId="77777777" w:rsidR="00782E31" w:rsidRPr="00782E31" w:rsidRDefault="00782E31" w:rsidP="00782E31">
            <w:pPr>
              <w:spacing w:line="360" w:lineRule="auto"/>
            </w:pPr>
            <w:r w:rsidRPr="00782E31">
              <w:t>Efficiency Ratio = Noninterest Expense / (Net Interest Income + Noninterest Revenue) x 100</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5A7ED7A4" w14:textId="77777777" w:rsidR="00782E31" w:rsidRPr="00782E31" w:rsidRDefault="00782E31" w:rsidP="00782E31">
            <w:pPr>
              <w:spacing w:line="360" w:lineRule="auto"/>
            </w:pPr>
            <w:r w:rsidRPr="00782E31">
              <w:t>= 76,140 million / (66,710 million + 61,985 million) x 100 = 0.77 x 100 = 77%</w:t>
            </w:r>
          </w:p>
        </w:tc>
      </w:tr>
    </w:tbl>
    <w:p w14:paraId="592D3016" w14:textId="7A4249CC" w:rsidR="009204E6" w:rsidRDefault="009204E6" w:rsidP="007D4D6E">
      <w:pPr>
        <w:spacing w:line="360" w:lineRule="auto"/>
      </w:pPr>
    </w:p>
    <w:p w14:paraId="1ABC044A" w14:textId="39FD5AFB" w:rsidR="006818EA" w:rsidRPr="006818EA" w:rsidRDefault="002515B8" w:rsidP="007D4D6E">
      <w:pPr>
        <w:pStyle w:val="Heading2"/>
      </w:pPr>
      <w:bookmarkStart w:id="6" w:name="_Toc162218559"/>
      <w:r>
        <w:lastRenderedPageBreak/>
        <w:t>Return on Assets</w:t>
      </w:r>
      <w:bookmarkEnd w:id="6"/>
    </w:p>
    <w:p w14:paraId="47EF1D14" w14:textId="5F60FC34" w:rsidR="00DC3E16" w:rsidRPr="003A441F" w:rsidRDefault="003E35EE" w:rsidP="00897820">
      <w:pPr>
        <w:spacing w:line="360" w:lineRule="auto"/>
      </w:pPr>
      <w:r w:rsidRPr="003E35EE">
        <w:t xml:space="preserve">ROA, as a measure, serves as an indicator of a company's efficiency in cash flow generation through </w:t>
      </w:r>
      <w:r w:rsidR="007B1F5D">
        <w:t>asset</w:t>
      </w:r>
      <w:r w:rsidRPr="003E35EE">
        <w:t xml:space="preserve"> mobilization (Kusuma, 2021). ROA of 1.02% denotes that the bank earned around 1.02 cents as a net profit by carrying assets of 1$ on its books.</w:t>
      </w:r>
      <w:r w:rsidR="00897820">
        <w:t xml:space="preserve"> </w:t>
      </w:r>
      <w:r w:rsidRPr="003E35EE">
        <w:t xml:space="preserve">ROA differs among industries. The difference is that comparisons between JPM's ROA with its peers in the financial services industry should be done to understand the performance accuracy better. It should be noted that a higher ROA is advantageous unless it's in the finance sector that might record less ROA, thanks to the characteristics of their assets and the type </w:t>
      </w:r>
      <w:r w:rsidR="007B1F5D">
        <w:t>of</w:t>
      </w:r>
      <w:r w:rsidRPr="003E35EE">
        <w:t xml:space="preserve"> business they operate on.</w:t>
      </w:r>
    </w:p>
    <w:p w14:paraId="3B3B6926" w14:textId="451DD4FE" w:rsidR="00DC3E16" w:rsidRPr="00DC3E16" w:rsidRDefault="003A441F" w:rsidP="007D4D6E">
      <w:pPr>
        <w:pStyle w:val="Heading2"/>
      </w:pPr>
      <w:bookmarkStart w:id="7" w:name="_Toc162218560"/>
      <w:r>
        <w:t>Current</w:t>
      </w:r>
      <w:r w:rsidR="00DC3E16" w:rsidRPr="00DC3E16">
        <w:t xml:space="preserve"> Ratio</w:t>
      </w:r>
      <w:bookmarkEnd w:id="7"/>
    </w:p>
    <w:p w14:paraId="713DAB52" w14:textId="1C0651D1" w:rsidR="00DC3E16" w:rsidRPr="003A441F" w:rsidRDefault="003E35EE" w:rsidP="00897820">
      <w:pPr>
        <w:spacing w:line="360" w:lineRule="auto"/>
      </w:pPr>
      <w:r w:rsidRPr="003E35EE">
        <w:t>The current ratio is a measure of how well a company can pay its cash-at-hand bills through its cash-at-hand resources (Rambe, 2021). Currently, the company's current ratio stands at 1.16, which means that JPMorgan holds 1.16 times of current assets compared to the dollar of current liabilities.</w:t>
      </w:r>
      <w:r w:rsidR="00897820">
        <w:t xml:space="preserve"> </w:t>
      </w:r>
      <w:r w:rsidRPr="003E35EE">
        <w:t>Usually</w:t>
      </w:r>
      <w:r w:rsidR="007B1F5D">
        <w:t>,</w:t>
      </w:r>
      <w:r w:rsidRPr="003E35EE">
        <w:t xml:space="preserve"> a current ratio higher than one signifies that the company has more than enough </w:t>
      </w:r>
      <w:r w:rsidR="007B1F5D">
        <w:t>short-term</w:t>
      </w:r>
      <w:r w:rsidRPr="003E35EE">
        <w:t xml:space="preserve"> assets to pay </w:t>
      </w:r>
      <w:r w:rsidR="007B1F5D">
        <w:t>its</w:t>
      </w:r>
      <w:r w:rsidRPr="003E35EE">
        <w:t xml:space="preserve"> </w:t>
      </w:r>
      <w:r w:rsidR="007B1F5D">
        <w:t>short-term</w:t>
      </w:r>
      <w:r w:rsidRPr="003E35EE">
        <w:t xml:space="preserve"> liabilities so long as it stays at </w:t>
      </w:r>
      <w:r w:rsidR="007B1F5D">
        <w:t>a</w:t>
      </w:r>
      <w:r w:rsidRPr="003E35EE">
        <w:t xml:space="preserve"> healthy level. Feasibly, a huge amount of </w:t>
      </w:r>
      <w:r w:rsidR="007B1F5D">
        <w:t xml:space="preserve">the </w:t>
      </w:r>
      <w:r w:rsidRPr="003E35EE">
        <w:t>current ratio could show the lack of usage of some assets which consequently brings a negative impact on the income.</w:t>
      </w:r>
    </w:p>
    <w:p w14:paraId="65E264CB" w14:textId="77777777" w:rsidR="00DC3E16" w:rsidRPr="00DC3E16" w:rsidRDefault="00DC3E16" w:rsidP="007D4D6E">
      <w:pPr>
        <w:pStyle w:val="Heading2"/>
      </w:pPr>
      <w:bookmarkStart w:id="8" w:name="_Toc162218561"/>
      <w:r w:rsidRPr="00DC3E16">
        <w:t>Net Gearing Ratio</w:t>
      </w:r>
      <w:bookmarkEnd w:id="8"/>
    </w:p>
    <w:p w14:paraId="3941B143" w14:textId="179B5EAD" w:rsidR="00DC3E16" w:rsidRDefault="003E35EE" w:rsidP="00897820">
      <w:pPr>
        <w:spacing w:line="360" w:lineRule="auto"/>
      </w:pPr>
      <w:r w:rsidRPr="003E35EE">
        <w:t>The ratio of the net gearing shows the proportion big by securing loans which is debt minus cash and other assets equivalent (Karmaśka, 2020). A strong net gearing ratio of 89% stands with normalized long-term debt, which is reviewed with cash, only 89% of the shareholder's equity.</w:t>
      </w:r>
      <w:r w:rsidR="00897820">
        <w:t xml:space="preserve"> </w:t>
      </w:r>
      <w:r w:rsidRPr="003E35EE">
        <w:t xml:space="preserve">A low gearing ratio is an indicator that the company is not too financially exposed to any outside debt financing stress, but is rather standing on its own feet. </w:t>
      </w:r>
      <w:r w:rsidR="007B1F5D">
        <w:t>However</w:t>
      </w:r>
      <w:r w:rsidRPr="003E35EE">
        <w:t xml:space="preserve">, </w:t>
      </w:r>
      <w:r w:rsidR="007B1F5D">
        <w:t>a too-large</w:t>
      </w:r>
      <w:r w:rsidRPr="003E35EE">
        <w:t xml:space="preserve"> gearing ratio is not a good sign and </w:t>
      </w:r>
      <w:r w:rsidR="007B1F5D">
        <w:t xml:space="preserve">is </w:t>
      </w:r>
      <w:r w:rsidRPr="003E35EE">
        <w:t xml:space="preserve">likely </w:t>
      </w:r>
      <w:r w:rsidR="007B1F5D">
        <w:t xml:space="preserve">to </w:t>
      </w:r>
      <w:r w:rsidRPr="003E35EE">
        <w:t xml:space="preserve">be interpreted as the use of debt mechanisms </w:t>
      </w:r>
      <w:r w:rsidR="007B1F5D">
        <w:t>so</w:t>
      </w:r>
      <w:r w:rsidRPr="003E35EE">
        <w:t xml:space="preserve"> much that without good returns, the profitability and even the shareholder returns will be hampered.</w:t>
      </w:r>
    </w:p>
    <w:p w14:paraId="283A384D" w14:textId="5B51CF8D" w:rsidR="00DC3E16" w:rsidRPr="00DC3E16" w:rsidRDefault="00F70A3D" w:rsidP="007D4D6E">
      <w:pPr>
        <w:pStyle w:val="Heading2"/>
      </w:pPr>
      <w:bookmarkStart w:id="9" w:name="_Toc162218562"/>
      <w:r>
        <w:lastRenderedPageBreak/>
        <w:t>Efficiency</w:t>
      </w:r>
      <w:r w:rsidR="00DC3E16" w:rsidRPr="00DC3E16">
        <w:t xml:space="preserve"> Ratio</w:t>
      </w:r>
      <w:bookmarkEnd w:id="9"/>
    </w:p>
    <w:p w14:paraId="03568F25" w14:textId="3B6503BA" w:rsidR="006818EA" w:rsidRPr="00DC3E16" w:rsidRDefault="00B76C43" w:rsidP="00897820">
      <w:pPr>
        <w:spacing w:line="360" w:lineRule="auto"/>
      </w:pPr>
      <w:r w:rsidRPr="00B76C43">
        <w:t xml:space="preserve">An efficiency ratio is an indicator of a company's ability to perform its operational expenses in parity with its revenue (Lee, 2023). The column for the undergoing ratio illustrates that JPMorgan had a ratio of 77%, </w:t>
      </w:r>
      <w:r w:rsidR="007B1F5D">
        <w:t>showing</w:t>
      </w:r>
      <w:r w:rsidRPr="00B76C43">
        <w:t xml:space="preserve"> that the bank spent 77 cents for every dollar of net interest earnings and non-interest revenue</w:t>
      </w:r>
      <w:r w:rsidR="00897820">
        <w:t xml:space="preserve">. </w:t>
      </w:r>
      <w:r w:rsidRPr="00B76C43">
        <w:t xml:space="preserve">By default, a low turnover ratio is preferred because that is how you find out that you are doing a better job in handling your expenses and you become more efficient in achieving profitability. </w:t>
      </w:r>
    </w:p>
    <w:p w14:paraId="65476B9A" w14:textId="451EAAD6" w:rsidR="009204E6" w:rsidRDefault="00CC5E22" w:rsidP="007D4D6E">
      <w:pPr>
        <w:pStyle w:val="Heading1"/>
        <w:spacing w:line="360" w:lineRule="auto"/>
      </w:pPr>
      <w:bookmarkStart w:id="10" w:name="_Toc162218563"/>
      <w:r>
        <w:t xml:space="preserve">Comparison with </w:t>
      </w:r>
      <w:r w:rsidR="006818EA">
        <w:t xml:space="preserve">the </w:t>
      </w:r>
      <w:r w:rsidR="00023804">
        <w:t>Bank of America</w:t>
      </w:r>
      <w:bookmarkEnd w:id="10"/>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540"/>
        <w:gridCol w:w="4219"/>
        <w:gridCol w:w="2621"/>
      </w:tblGrid>
      <w:tr w:rsidR="00E1669B" w:rsidRPr="00E1669B" w14:paraId="07ABAE41" w14:textId="77777777" w:rsidTr="00E1669B">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713EF1CE" w14:textId="77777777" w:rsidR="00E1669B" w:rsidRPr="00E1669B" w:rsidRDefault="00E1669B" w:rsidP="00E1669B">
            <w:pPr>
              <w:spacing w:after="0" w:line="240" w:lineRule="auto"/>
              <w:jc w:val="center"/>
              <w:rPr>
                <w:rFonts w:ascii="Segoe UI" w:eastAsia="Times New Roman" w:hAnsi="Segoe UI" w:cs="Segoe UI"/>
                <w:b/>
                <w:bCs/>
                <w:color w:val="0D0D0D"/>
                <w:sz w:val="21"/>
                <w:szCs w:val="21"/>
                <w:lang w:eastAsia="en-GB"/>
              </w:rPr>
            </w:pPr>
            <w:r w:rsidRPr="00E1669B">
              <w:rPr>
                <w:rFonts w:ascii="Segoe UI" w:eastAsia="Times New Roman" w:hAnsi="Segoe UI" w:cs="Segoe UI"/>
                <w:b/>
                <w:bCs/>
                <w:color w:val="0D0D0D"/>
                <w:sz w:val="21"/>
                <w:szCs w:val="21"/>
                <w:lang w:eastAsia="en-GB"/>
              </w:rPr>
              <w:t>Ratios</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16CF66CC" w14:textId="77777777" w:rsidR="00E1669B" w:rsidRPr="00E1669B" w:rsidRDefault="00E1669B" w:rsidP="00E1669B">
            <w:pPr>
              <w:spacing w:after="0" w:line="240" w:lineRule="auto"/>
              <w:jc w:val="center"/>
              <w:rPr>
                <w:rFonts w:ascii="Segoe UI" w:eastAsia="Times New Roman" w:hAnsi="Segoe UI" w:cs="Segoe UI"/>
                <w:b/>
                <w:bCs/>
                <w:color w:val="0D0D0D"/>
                <w:sz w:val="21"/>
                <w:szCs w:val="21"/>
                <w:lang w:eastAsia="en-GB"/>
              </w:rPr>
            </w:pPr>
            <w:r w:rsidRPr="00E1669B">
              <w:rPr>
                <w:rFonts w:ascii="Segoe UI" w:eastAsia="Times New Roman" w:hAnsi="Segoe UI" w:cs="Segoe UI"/>
                <w:b/>
                <w:bCs/>
                <w:color w:val="0D0D0D"/>
                <w:sz w:val="21"/>
                <w:szCs w:val="21"/>
                <w:lang w:eastAsia="en-GB"/>
              </w:rPr>
              <w:t>JP Morgan</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2DA7566F" w14:textId="77777777" w:rsidR="00E1669B" w:rsidRPr="00E1669B" w:rsidRDefault="00E1669B" w:rsidP="00E1669B">
            <w:pPr>
              <w:spacing w:after="0" w:line="240" w:lineRule="auto"/>
              <w:jc w:val="center"/>
              <w:rPr>
                <w:rFonts w:ascii="Segoe UI" w:eastAsia="Times New Roman" w:hAnsi="Segoe UI" w:cs="Segoe UI"/>
                <w:b/>
                <w:bCs/>
                <w:color w:val="0D0D0D"/>
                <w:sz w:val="21"/>
                <w:szCs w:val="21"/>
                <w:lang w:eastAsia="en-GB"/>
              </w:rPr>
            </w:pPr>
            <w:r w:rsidRPr="00E1669B">
              <w:rPr>
                <w:rFonts w:ascii="Segoe UI" w:eastAsia="Times New Roman" w:hAnsi="Segoe UI" w:cs="Segoe UI"/>
                <w:b/>
                <w:bCs/>
                <w:color w:val="0D0D0D"/>
                <w:sz w:val="21"/>
                <w:szCs w:val="21"/>
                <w:lang w:eastAsia="en-GB"/>
              </w:rPr>
              <w:t>Bank of America</w:t>
            </w:r>
          </w:p>
        </w:tc>
      </w:tr>
      <w:tr w:rsidR="00E1669B" w:rsidRPr="00E1669B" w14:paraId="27C86D52" w14:textId="77777777" w:rsidTr="00E1669B">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048A37E"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ROA = Net Income / Average Total Assets x 100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DB4F53C"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37,676 million / ((3,665,743 million + 3,743,567 million) / 2) x 100 = 37,676 million / 3,704,655 million x 100 = 1.02%</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230DE2F"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27,528 million / 3,051,375 million x 100 = 0.90%</w:t>
            </w:r>
          </w:p>
        </w:tc>
      </w:tr>
      <w:tr w:rsidR="00E1669B" w:rsidRPr="00E1669B" w14:paraId="11768B6C" w14:textId="77777777" w:rsidTr="00E1669B">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F1697C4"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Current Ratio = Current Assets / Current Liabilities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0C914CB"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3,565,905 million / 3,065,936 million = 1.16</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D2F7A60"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230,203 million / 36,447 million = 6.32</w:t>
            </w:r>
          </w:p>
        </w:tc>
      </w:tr>
      <w:tr w:rsidR="00E1669B" w:rsidRPr="00E1669B" w14:paraId="4C456EDD" w14:textId="77777777" w:rsidTr="00E1669B">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BCF59D9"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Net Gearing Ratio = (Long-term Debt - Cash and Cash Equivalents) / (Total Equity)</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CB6825F"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(295,865 million - 27,697 million) / 292,332 million = 0.89</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0B43440"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(302,204 million - 333,073 million) / 273,197 million = - 0.11</w:t>
            </w:r>
          </w:p>
        </w:tc>
      </w:tr>
      <w:tr w:rsidR="00E1669B" w:rsidRPr="00E1669B" w14:paraId="0BF8BE9E" w14:textId="77777777" w:rsidTr="00E1669B">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EBAF89E"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Efficiency Ratio = Noninterest Expense / (Net Interest Income + Noninterest Revenue) x 100</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5E08132"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76,140 million / (66,710 million + 61,985 million) x 100 = 0.77 x 100 = 77%</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10C90CB2" w14:textId="77777777" w:rsidR="00E1669B" w:rsidRPr="00E1669B" w:rsidRDefault="00E1669B" w:rsidP="00E1669B">
            <w:pPr>
              <w:spacing w:after="0" w:line="240" w:lineRule="auto"/>
              <w:jc w:val="left"/>
              <w:rPr>
                <w:rFonts w:ascii="Segoe UI" w:eastAsia="Times New Roman" w:hAnsi="Segoe UI" w:cs="Segoe UI"/>
                <w:color w:val="0D0D0D"/>
                <w:sz w:val="21"/>
                <w:szCs w:val="21"/>
                <w:lang w:eastAsia="en-GB"/>
              </w:rPr>
            </w:pPr>
            <w:r w:rsidRPr="00E1669B">
              <w:rPr>
                <w:rFonts w:ascii="Segoe UI" w:eastAsia="Times New Roman" w:hAnsi="Segoe UI" w:cs="Segoe UI"/>
                <w:color w:val="0D0D0D"/>
                <w:sz w:val="21"/>
                <w:szCs w:val="21"/>
                <w:lang w:eastAsia="en-GB"/>
              </w:rPr>
              <w:t>= 61,438 million / (52,462 million + 42,488 million) x 100 = 74.7%</w:t>
            </w:r>
          </w:p>
        </w:tc>
      </w:tr>
    </w:tbl>
    <w:p w14:paraId="61577878" w14:textId="224BD763" w:rsidR="00162599" w:rsidRPr="006818EA" w:rsidRDefault="00162599" w:rsidP="007D4D6E">
      <w:pPr>
        <w:spacing w:line="360" w:lineRule="auto"/>
      </w:pPr>
    </w:p>
    <w:p w14:paraId="181532CD" w14:textId="50DDEDFD" w:rsidR="000C06F0" w:rsidRPr="000C06F0" w:rsidRDefault="009106D8" w:rsidP="007D4D6E">
      <w:pPr>
        <w:pStyle w:val="Heading2"/>
      </w:pPr>
      <w:bookmarkStart w:id="11" w:name="_Toc162218564"/>
      <w:r>
        <w:t>Return on Assets</w:t>
      </w:r>
      <w:bookmarkEnd w:id="11"/>
    </w:p>
    <w:p w14:paraId="004AB007" w14:textId="19E3843F" w:rsidR="000C06F0" w:rsidRPr="000C06F0" w:rsidRDefault="009106D8" w:rsidP="007D4D6E">
      <w:pPr>
        <w:numPr>
          <w:ilvl w:val="0"/>
          <w:numId w:val="1"/>
        </w:numPr>
        <w:spacing w:line="360" w:lineRule="auto"/>
      </w:pPr>
      <w:r>
        <w:rPr>
          <w:b/>
          <w:bCs/>
        </w:rPr>
        <w:t>JP Morgan</w:t>
      </w:r>
      <w:r w:rsidR="000C06F0" w:rsidRPr="000C06F0">
        <w:rPr>
          <w:b/>
          <w:bCs/>
        </w:rPr>
        <w:t>:</w:t>
      </w:r>
      <w:r w:rsidR="000C06F0" w:rsidRPr="000C06F0">
        <w:t xml:space="preserve"> </w:t>
      </w:r>
      <w:r w:rsidRPr="009106D8">
        <w:t>1.02%</w:t>
      </w:r>
    </w:p>
    <w:p w14:paraId="4C4FAFF1" w14:textId="3E125D7A" w:rsidR="000C06F0" w:rsidRPr="000C06F0" w:rsidRDefault="009106D8" w:rsidP="007D4D6E">
      <w:pPr>
        <w:numPr>
          <w:ilvl w:val="0"/>
          <w:numId w:val="1"/>
        </w:numPr>
        <w:spacing w:line="360" w:lineRule="auto"/>
      </w:pPr>
      <w:r>
        <w:rPr>
          <w:b/>
          <w:bCs/>
        </w:rPr>
        <w:t>Bank of America</w:t>
      </w:r>
      <w:r w:rsidR="000C06F0" w:rsidRPr="000C06F0">
        <w:rPr>
          <w:b/>
          <w:bCs/>
        </w:rPr>
        <w:t>:</w:t>
      </w:r>
      <w:r w:rsidR="000C06F0" w:rsidRPr="000C06F0">
        <w:t xml:space="preserve"> </w:t>
      </w:r>
      <w:r w:rsidRPr="009106D8">
        <w:t>0.90%</w:t>
      </w:r>
    </w:p>
    <w:p w14:paraId="472116B5" w14:textId="04569806" w:rsidR="00B2075C" w:rsidRPr="00B2075C" w:rsidRDefault="00B2075C" w:rsidP="003579A1">
      <w:pPr>
        <w:tabs>
          <w:tab w:val="num" w:pos="1440"/>
        </w:tabs>
        <w:spacing w:line="360" w:lineRule="auto"/>
      </w:pPr>
      <w:r w:rsidRPr="00B2075C">
        <w:t xml:space="preserve">Return </w:t>
      </w:r>
      <w:r w:rsidR="007B1F5D">
        <w:t>on</w:t>
      </w:r>
      <w:r w:rsidRPr="00B2075C">
        <w:t xml:space="preserve"> Assets (ROA) is an important financial term used to rate how much profit a company generates per unit </w:t>
      </w:r>
      <w:r w:rsidR="007B1F5D">
        <w:t xml:space="preserve">of </w:t>
      </w:r>
      <w:r w:rsidRPr="00B2075C">
        <w:t>assets it has invested in. The ROA of JPMorgan measured and compared with Bank of America's RoA tell about their different operational performance and asset utilization.</w:t>
      </w:r>
      <w:r w:rsidR="003579A1">
        <w:t xml:space="preserve"> </w:t>
      </w:r>
      <w:r w:rsidRPr="00B2075C">
        <w:t xml:space="preserve">JPMorgan's ROA of 1.02% has a slightly higher level for bank efficiency in converting its assets into profits than that of Bank of America </w:t>
      </w:r>
      <w:r w:rsidR="007B1F5D">
        <w:t>which</w:t>
      </w:r>
      <w:r w:rsidRPr="00B2075C">
        <w:t xml:space="preserve"> has </w:t>
      </w:r>
      <w:r w:rsidR="007B1F5D">
        <w:t xml:space="preserve">a </w:t>
      </w:r>
      <w:r w:rsidRPr="00B2075C">
        <w:t>ROA of 0.90%</w:t>
      </w:r>
      <w:r w:rsidR="00AA34EB">
        <w:t xml:space="preserve"> </w:t>
      </w:r>
      <w:r w:rsidR="00AA34EB" w:rsidRPr="00B76C43">
        <w:t>(Lee., 2023)</w:t>
      </w:r>
      <w:r w:rsidRPr="00B2075C">
        <w:t xml:space="preserve">. Although the gap may seem minor, it demonstrates that JPMorgan can achieve greater profits off each dollar </w:t>
      </w:r>
      <w:r w:rsidRPr="00B2075C">
        <w:lastRenderedPageBreak/>
        <w:t>that goes through its assets.</w:t>
      </w:r>
      <w:r w:rsidR="009C6314">
        <w:t xml:space="preserve"> </w:t>
      </w:r>
      <w:r w:rsidRPr="00B2075C">
        <w:t xml:space="preserve">Such further research will trace the factors triggering such a variance in ROA for the two banks. JPMorgan could also have a higher ROA because of the potential of specialized asset management practices, the efficient usage of capital, and the possibility of </w:t>
      </w:r>
      <w:r w:rsidR="007B1F5D">
        <w:t xml:space="preserve">a </w:t>
      </w:r>
      <w:r w:rsidRPr="00B2075C">
        <w:t>more advantageous business mix. Not only will the company do business with a range of income-earning sources but also be more simplistic; some side of the business may be most profitable.</w:t>
      </w:r>
    </w:p>
    <w:p w14:paraId="5F851D09" w14:textId="604AA61A" w:rsidR="00A12E78" w:rsidRPr="00A12E78" w:rsidRDefault="00A12E78" w:rsidP="007D4D6E">
      <w:pPr>
        <w:pStyle w:val="Heading2"/>
      </w:pPr>
      <w:bookmarkStart w:id="12" w:name="_Toc162218565"/>
      <w:r w:rsidRPr="00A12E78">
        <w:t>Acid-Test Ratio</w:t>
      </w:r>
      <w:bookmarkEnd w:id="12"/>
    </w:p>
    <w:p w14:paraId="10B7B957" w14:textId="1F4FEF40" w:rsidR="00A12E78" w:rsidRPr="00A12E78" w:rsidRDefault="009106D8" w:rsidP="007D4D6E">
      <w:pPr>
        <w:numPr>
          <w:ilvl w:val="0"/>
          <w:numId w:val="3"/>
        </w:numPr>
        <w:tabs>
          <w:tab w:val="num" w:pos="1440"/>
        </w:tabs>
        <w:spacing w:line="360" w:lineRule="auto"/>
      </w:pPr>
      <w:r>
        <w:rPr>
          <w:b/>
          <w:bCs/>
        </w:rPr>
        <w:t>JP Morgan</w:t>
      </w:r>
      <w:r w:rsidR="00A12E78" w:rsidRPr="00A12E78">
        <w:rPr>
          <w:b/>
          <w:bCs/>
        </w:rPr>
        <w:t>:</w:t>
      </w:r>
      <w:r w:rsidR="00A12E78" w:rsidRPr="00A12E78">
        <w:t xml:space="preserve"> 1.1</w:t>
      </w:r>
      <w:r w:rsidR="00882234">
        <w:t>6</w:t>
      </w:r>
    </w:p>
    <w:p w14:paraId="1ED89D5D" w14:textId="7170514F" w:rsidR="00882234" w:rsidRPr="00882234" w:rsidRDefault="00882234" w:rsidP="007D4D6E">
      <w:pPr>
        <w:numPr>
          <w:ilvl w:val="0"/>
          <w:numId w:val="3"/>
        </w:numPr>
        <w:tabs>
          <w:tab w:val="num" w:pos="1440"/>
        </w:tabs>
        <w:spacing w:line="360" w:lineRule="auto"/>
      </w:pPr>
      <w:r>
        <w:rPr>
          <w:b/>
          <w:bCs/>
        </w:rPr>
        <w:t>Bank of America</w:t>
      </w:r>
      <w:r w:rsidR="00A12E78" w:rsidRPr="00A12E78">
        <w:rPr>
          <w:b/>
          <w:bCs/>
        </w:rPr>
        <w:t>:</w:t>
      </w:r>
      <w:r w:rsidR="00A12E78" w:rsidRPr="00A12E78">
        <w:t xml:space="preserve"> </w:t>
      </w:r>
      <w:r>
        <w:t>3.32</w:t>
      </w:r>
    </w:p>
    <w:p w14:paraId="2B3B755A" w14:textId="5CCA4AFF" w:rsidR="005C42A3" w:rsidRPr="005C42A3" w:rsidRDefault="005C42A3" w:rsidP="009C6314">
      <w:pPr>
        <w:tabs>
          <w:tab w:val="num" w:pos="1440"/>
        </w:tabs>
        <w:spacing w:line="360" w:lineRule="auto"/>
      </w:pPr>
      <w:r w:rsidRPr="005C42A3">
        <w:t>The current ratio is a fundamental indicator of the liquidity of a company that assesses whether its current assets meet the expectations for short-term liabilities. The JPMorgan and the Bank of America current ratios comparison deliver information on the banks’ liquidity and financial circumstances.</w:t>
      </w:r>
      <w:r w:rsidR="009C6314">
        <w:t xml:space="preserve"> </w:t>
      </w:r>
      <w:r w:rsidRPr="005C42A3">
        <w:t xml:space="preserve">Indicating that Bank of America has </w:t>
      </w:r>
      <w:r w:rsidR="007B1F5D">
        <w:t>a</w:t>
      </w:r>
      <w:r w:rsidRPr="005C42A3">
        <w:t xml:space="preserve"> current ratio of 6.32 </w:t>
      </w:r>
      <w:r w:rsidR="007B1F5D">
        <w:t>which</w:t>
      </w:r>
      <w:r w:rsidRPr="005C42A3">
        <w:t xml:space="preserve"> is a really large current assets proportion relative to the size of current liabilities the bank holds can also be argued</w:t>
      </w:r>
      <w:r w:rsidR="0041642D">
        <w:t xml:space="preserve"> </w:t>
      </w:r>
      <w:r w:rsidR="0041642D" w:rsidRPr="0067243C">
        <w:t>(O'Malley, 2022)</w:t>
      </w:r>
      <w:r w:rsidRPr="005C42A3">
        <w:t>. In plain English</w:t>
      </w:r>
      <w:r w:rsidR="007B1F5D">
        <w:t>,</w:t>
      </w:r>
      <w:r w:rsidRPr="005C42A3">
        <w:t xml:space="preserve"> this means that Bank of America's liquidity covers its short-term liabilities for 1.5 times and more. Thus, this liquidity amount may contribute to the capacity of the bank </w:t>
      </w:r>
      <w:r w:rsidR="007B1F5D">
        <w:t>to meet</w:t>
      </w:r>
      <w:r w:rsidRPr="005C42A3">
        <w:t xml:space="preserve"> sudden cash demands, </w:t>
      </w:r>
      <w:r w:rsidR="007B1F5D">
        <w:t>act</w:t>
      </w:r>
      <w:r w:rsidRPr="005C42A3">
        <w:t xml:space="preserve"> upon opportunities or </w:t>
      </w:r>
      <w:r w:rsidR="007B1F5D">
        <w:t>pursue</w:t>
      </w:r>
      <w:r w:rsidRPr="005C42A3">
        <w:t xml:space="preserve"> its business objectives with certainty even during changing markets.</w:t>
      </w:r>
    </w:p>
    <w:p w14:paraId="7A1FB2A3" w14:textId="7038C55F" w:rsidR="005C42A3" w:rsidRPr="005C42A3" w:rsidRDefault="005C42A3" w:rsidP="009C6314">
      <w:pPr>
        <w:tabs>
          <w:tab w:val="num" w:pos="1440"/>
        </w:tabs>
        <w:spacing w:line="360" w:lineRule="auto"/>
      </w:pPr>
      <w:r w:rsidRPr="005C42A3">
        <w:t>While Bank of America's quick ratio of 0.79 indicates an aggressive liquidity posture, the current ratio of 1.16 of JPMorgan can be interpreted as a cautious one in comparison. The current ratio of JPMorgan might prove itself to be safe enough, yet the ratio has a lower margin of safety in comparison to Bank of America. JPMorgan can have a lower to more flexible liquidity buffer that may necessitate a higher level of effectiveness in reducing working capital and monitoring existing liquidity risks.</w:t>
      </w:r>
      <w:r w:rsidR="009C6314">
        <w:t xml:space="preserve"> </w:t>
      </w:r>
      <w:r w:rsidRPr="005C42A3">
        <w:t xml:space="preserve">A thorough examination of current assets </w:t>
      </w:r>
      <w:r w:rsidR="007B1F5D">
        <w:t>and</w:t>
      </w:r>
      <w:r w:rsidRPr="005C42A3">
        <w:t xml:space="preserve"> liabilities' composition for each bank is performed as part of the asset analysis. </w:t>
      </w:r>
    </w:p>
    <w:p w14:paraId="1B2D6D21" w14:textId="77777777" w:rsidR="002A3A19" w:rsidRPr="002A3A19" w:rsidRDefault="002A3A19" w:rsidP="007D4D6E">
      <w:pPr>
        <w:pStyle w:val="Heading2"/>
      </w:pPr>
      <w:bookmarkStart w:id="13" w:name="_Toc162218566"/>
      <w:r w:rsidRPr="002A3A19">
        <w:t>Net Gearing Ratio</w:t>
      </w:r>
      <w:bookmarkEnd w:id="13"/>
    </w:p>
    <w:p w14:paraId="38C03B65" w14:textId="4A2A40DB" w:rsidR="002A3A19" w:rsidRPr="002A3A19" w:rsidRDefault="009106D8" w:rsidP="007D4D6E">
      <w:pPr>
        <w:numPr>
          <w:ilvl w:val="0"/>
          <w:numId w:val="5"/>
        </w:numPr>
        <w:tabs>
          <w:tab w:val="num" w:pos="1440"/>
        </w:tabs>
        <w:spacing w:line="360" w:lineRule="auto"/>
      </w:pPr>
      <w:r>
        <w:rPr>
          <w:b/>
          <w:bCs/>
        </w:rPr>
        <w:t>JP Morgan</w:t>
      </w:r>
      <w:r w:rsidR="002A3A19" w:rsidRPr="002A3A19">
        <w:rPr>
          <w:b/>
          <w:bCs/>
        </w:rPr>
        <w:t>:</w:t>
      </w:r>
      <w:r w:rsidR="002A3A19" w:rsidRPr="002A3A19">
        <w:t xml:space="preserve"> 0.</w:t>
      </w:r>
      <w:r w:rsidR="002715DA">
        <w:t>89</w:t>
      </w:r>
    </w:p>
    <w:p w14:paraId="44744DC7" w14:textId="26F5EBE7" w:rsidR="002715DA" w:rsidRPr="002715DA" w:rsidRDefault="00882234" w:rsidP="007D4D6E">
      <w:pPr>
        <w:numPr>
          <w:ilvl w:val="0"/>
          <w:numId w:val="5"/>
        </w:numPr>
        <w:tabs>
          <w:tab w:val="num" w:pos="1440"/>
        </w:tabs>
        <w:spacing w:line="360" w:lineRule="auto"/>
      </w:pPr>
      <w:r>
        <w:rPr>
          <w:b/>
          <w:bCs/>
        </w:rPr>
        <w:t>Bank of America</w:t>
      </w:r>
      <w:r w:rsidR="002A3A19" w:rsidRPr="002A3A19">
        <w:rPr>
          <w:b/>
          <w:bCs/>
        </w:rPr>
        <w:t>:</w:t>
      </w:r>
      <w:r w:rsidR="002A3A19" w:rsidRPr="002A3A19">
        <w:t xml:space="preserve"> -0.</w:t>
      </w:r>
      <w:r w:rsidR="002715DA">
        <w:t>11</w:t>
      </w:r>
      <w:r w:rsidR="002A3A19" w:rsidRPr="002A3A19">
        <w:t xml:space="preserve"> (negative value)</w:t>
      </w:r>
    </w:p>
    <w:p w14:paraId="2E96D23B" w14:textId="60103BB9" w:rsidR="005C42A3" w:rsidRPr="005C42A3" w:rsidRDefault="005C42A3" w:rsidP="005A0AB0">
      <w:pPr>
        <w:tabs>
          <w:tab w:val="num" w:pos="1440"/>
        </w:tabs>
        <w:spacing w:line="360" w:lineRule="auto"/>
        <w:rPr>
          <w:rFonts w:eastAsiaTheme="majorEastAsia" w:cstheme="majorBidi"/>
          <w:color w:val="000000" w:themeColor="text1"/>
        </w:rPr>
      </w:pPr>
      <w:r w:rsidRPr="005C42A3">
        <w:rPr>
          <w:rFonts w:eastAsiaTheme="majorEastAsia" w:cstheme="majorBidi"/>
          <w:color w:val="000000" w:themeColor="text1"/>
        </w:rPr>
        <w:lastRenderedPageBreak/>
        <w:t xml:space="preserve">The net borrowing gearing indicator is a financial metric that assesses the percentage of a company's long-term debt as compared to its equity, providing information </w:t>
      </w:r>
      <w:r w:rsidR="007B1F5D">
        <w:rPr>
          <w:rFonts w:eastAsiaTheme="majorEastAsia" w:cstheme="majorBidi"/>
          <w:color w:val="000000" w:themeColor="text1"/>
        </w:rPr>
        <w:t>on</w:t>
      </w:r>
      <w:r w:rsidRPr="005C42A3">
        <w:rPr>
          <w:rFonts w:eastAsiaTheme="majorEastAsia" w:cstheme="majorBidi"/>
          <w:color w:val="000000" w:themeColor="text1"/>
        </w:rPr>
        <w:t xml:space="preserve"> its capital structure and risk capability. The net gearing ratios also give us an insight into the levels of leverage and the risks for JPMorgan and Bank of America since there is a comparison of the two.</w:t>
      </w:r>
      <w:r w:rsidR="009C6314">
        <w:rPr>
          <w:rFonts w:eastAsiaTheme="majorEastAsia" w:cstheme="majorBidi"/>
          <w:color w:val="000000" w:themeColor="text1"/>
        </w:rPr>
        <w:t xml:space="preserve">  </w:t>
      </w:r>
      <w:r w:rsidRPr="005C42A3">
        <w:rPr>
          <w:rFonts w:eastAsiaTheme="majorEastAsia" w:cstheme="majorBidi"/>
          <w:color w:val="000000" w:themeColor="text1"/>
        </w:rPr>
        <w:t xml:space="preserve">JPMorgan's net gearing ratio of 8.9 represents </w:t>
      </w:r>
      <w:r w:rsidR="007B1F5D">
        <w:rPr>
          <w:rFonts w:eastAsiaTheme="majorEastAsia" w:cstheme="majorBidi"/>
          <w:color w:val="000000" w:themeColor="text1"/>
        </w:rPr>
        <w:t>a similar</w:t>
      </w:r>
      <w:r w:rsidRPr="005C42A3">
        <w:rPr>
          <w:rFonts w:eastAsiaTheme="majorEastAsia" w:cstheme="majorBidi"/>
          <w:color w:val="000000" w:themeColor="text1"/>
        </w:rPr>
        <w:t xml:space="preserve"> query, rather than short-term debt financing to an extent than equity</w:t>
      </w:r>
      <w:r w:rsidR="005A0AB0">
        <w:rPr>
          <w:rFonts w:eastAsiaTheme="majorEastAsia" w:cstheme="majorBidi"/>
          <w:color w:val="000000" w:themeColor="text1"/>
        </w:rPr>
        <w:t xml:space="preserve"> (</w:t>
      </w:r>
      <w:r w:rsidR="005A0AB0" w:rsidRPr="005A0AB0">
        <w:rPr>
          <w:rFonts w:eastAsiaTheme="majorEastAsia" w:cstheme="majorBidi"/>
          <w:color w:val="000000" w:themeColor="text1"/>
        </w:rPr>
        <w:t>Balyuk</w:t>
      </w:r>
      <w:r w:rsidR="005A0AB0">
        <w:rPr>
          <w:rFonts w:eastAsiaTheme="majorEastAsia" w:cstheme="majorBidi"/>
          <w:color w:val="000000" w:themeColor="text1"/>
        </w:rPr>
        <w:t>, 2016)</w:t>
      </w:r>
      <w:r w:rsidRPr="005C42A3">
        <w:rPr>
          <w:rFonts w:eastAsiaTheme="majorEastAsia" w:cstheme="majorBidi"/>
          <w:color w:val="000000" w:themeColor="text1"/>
        </w:rPr>
        <w:t xml:space="preserve">. This infers that JPMorgan has made use of debt financing to provide support to its operations and development so long as it measures up with the equity base. </w:t>
      </w:r>
      <w:r w:rsidR="007B1F5D">
        <w:rPr>
          <w:rFonts w:eastAsiaTheme="majorEastAsia" w:cstheme="majorBidi"/>
          <w:color w:val="000000" w:themeColor="text1"/>
        </w:rPr>
        <w:t>Slightly</w:t>
      </w:r>
      <w:r w:rsidRPr="005C42A3">
        <w:rPr>
          <w:rFonts w:eastAsiaTheme="majorEastAsia" w:cstheme="majorBidi"/>
          <w:color w:val="000000" w:themeColor="text1"/>
        </w:rPr>
        <w:t xml:space="preserve"> higher gearing with </w:t>
      </w:r>
      <w:r w:rsidR="007B1F5D">
        <w:rPr>
          <w:rFonts w:eastAsiaTheme="majorEastAsia" w:cstheme="majorBidi"/>
          <w:color w:val="000000" w:themeColor="text1"/>
        </w:rPr>
        <w:t xml:space="preserve">a </w:t>
      </w:r>
      <w:r w:rsidRPr="005C42A3">
        <w:rPr>
          <w:rFonts w:eastAsiaTheme="majorEastAsia" w:cstheme="majorBidi"/>
          <w:color w:val="000000" w:themeColor="text1"/>
        </w:rPr>
        <w:t xml:space="preserve">debt ratio </w:t>
      </w:r>
      <w:r w:rsidR="007B1F5D">
        <w:rPr>
          <w:rFonts w:eastAsiaTheme="majorEastAsia" w:cstheme="majorBidi"/>
          <w:color w:val="000000" w:themeColor="text1"/>
        </w:rPr>
        <w:t>in</w:t>
      </w:r>
      <w:r w:rsidRPr="005C42A3">
        <w:rPr>
          <w:rFonts w:eastAsiaTheme="majorEastAsia" w:cstheme="majorBidi"/>
          <w:color w:val="000000" w:themeColor="text1"/>
        </w:rPr>
        <w:t xml:space="preserve"> the capital structure of JPMorgan brings both advantages of tax breaks that Debt </w:t>
      </w:r>
      <w:r w:rsidR="007B1F5D">
        <w:rPr>
          <w:rFonts w:eastAsiaTheme="majorEastAsia" w:cstheme="majorBidi"/>
          <w:color w:val="000000" w:themeColor="text1"/>
        </w:rPr>
        <w:t>carries</w:t>
      </w:r>
      <w:r w:rsidRPr="005C42A3">
        <w:rPr>
          <w:rFonts w:eastAsiaTheme="majorEastAsia" w:cstheme="majorBidi"/>
          <w:color w:val="000000" w:themeColor="text1"/>
        </w:rPr>
        <w:t xml:space="preserve"> as well as </w:t>
      </w:r>
      <w:r w:rsidR="007B1F5D">
        <w:rPr>
          <w:rFonts w:eastAsiaTheme="majorEastAsia" w:cstheme="majorBidi"/>
          <w:color w:val="000000" w:themeColor="text1"/>
        </w:rPr>
        <w:t>managing</w:t>
      </w:r>
      <w:r w:rsidRPr="005C42A3">
        <w:rPr>
          <w:rFonts w:eastAsiaTheme="majorEastAsia" w:cstheme="majorBidi"/>
          <w:color w:val="000000" w:themeColor="text1"/>
        </w:rPr>
        <w:t xml:space="preserve"> the financial risk effectively.</w:t>
      </w:r>
    </w:p>
    <w:p w14:paraId="44045180" w14:textId="0C2E9EA2" w:rsidR="005C42A3" w:rsidRPr="005C42A3" w:rsidRDefault="007B1F5D" w:rsidP="009C6314">
      <w:pPr>
        <w:tabs>
          <w:tab w:val="num" w:pos="1440"/>
        </w:tabs>
        <w:spacing w:line="360" w:lineRule="auto"/>
        <w:rPr>
          <w:rFonts w:eastAsiaTheme="majorEastAsia" w:cstheme="majorBidi"/>
          <w:color w:val="000000" w:themeColor="text1"/>
        </w:rPr>
      </w:pPr>
      <w:r>
        <w:rPr>
          <w:rFonts w:eastAsiaTheme="majorEastAsia" w:cstheme="majorBidi"/>
          <w:color w:val="000000" w:themeColor="text1"/>
        </w:rPr>
        <w:t>In</w:t>
      </w:r>
      <w:r w:rsidR="005C42A3" w:rsidRPr="005C42A3">
        <w:rPr>
          <w:rFonts w:eastAsiaTheme="majorEastAsia" w:cstheme="majorBidi"/>
          <w:color w:val="000000" w:themeColor="text1"/>
        </w:rPr>
        <w:t xml:space="preserve"> the case of another big bank, Bank of America, the similar ratio of net gearing is -0.11 and it demonstrates the situation when the bank's cash and cash equivalents </w:t>
      </w:r>
      <w:r>
        <w:rPr>
          <w:rFonts w:eastAsiaTheme="majorEastAsia" w:cstheme="majorBidi"/>
          <w:color w:val="000000" w:themeColor="text1"/>
        </w:rPr>
        <w:t>exceed</w:t>
      </w:r>
      <w:r w:rsidR="005C42A3" w:rsidRPr="005C42A3">
        <w:rPr>
          <w:rFonts w:eastAsiaTheme="majorEastAsia" w:cstheme="majorBidi"/>
          <w:color w:val="000000" w:themeColor="text1"/>
        </w:rPr>
        <w:t xml:space="preserve"> its long-term debt. This uncommon situation signifies that B</w:t>
      </w:r>
      <w:r>
        <w:rPr>
          <w:rFonts w:eastAsiaTheme="majorEastAsia" w:cstheme="majorBidi"/>
          <w:color w:val="000000" w:themeColor="text1"/>
        </w:rPr>
        <w:t xml:space="preserve">ank </w:t>
      </w:r>
      <w:r w:rsidR="005C42A3" w:rsidRPr="005C42A3">
        <w:rPr>
          <w:rFonts w:eastAsiaTheme="majorEastAsia" w:cstheme="majorBidi"/>
          <w:color w:val="000000" w:themeColor="text1"/>
        </w:rPr>
        <w:t>of</w:t>
      </w:r>
      <w:r>
        <w:rPr>
          <w:rFonts w:eastAsiaTheme="majorEastAsia" w:cstheme="majorBidi"/>
          <w:color w:val="000000" w:themeColor="text1"/>
        </w:rPr>
        <w:t xml:space="preserve"> </w:t>
      </w:r>
      <w:r w:rsidR="005C42A3" w:rsidRPr="005C42A3">
        <w:rPr>
          <w:rFonts w:eastAsiaTheme="majorEastAsia" w:cstheme="majorBidi"/>
          <w:color w:val="000000" w:themeColor="text1"/>
        </w:rPr>
        <w:t>A</w:t>
      </w:r>
      <w:r>
        <w:rPr>
          <w:rFonts w:eastAsiaTheme="majorEastAsia" w:cstheme="majorBidi"/>
          <w:color w:val="000000" w:themeColor="text1"/>
        </w:rPr>
        <w:t>merica</w:t>
      </w:r>
      <w:r w:rsidR="005C42A3" w:rsidRPr="005C42A3">
        <w:rPr>
          <w:rFonts w:eastAsiaTheme="majorEastAsia" w:cstheme="majorBidi"/>
          <w:color w:val="000000" w:themeColor="text1"/>
        </w:rPr>
        <w:t xml:space="preserve"> possess a conservative capital design, which is also characterized by a considerable amount of liquidity since the bank cash holdings surpass their </w:t>
      </w:r>
      <w:r>
        <w:rPr>
          <w:rFonts w:eastAsiaTheme="majorEastAsia" w:cstheme="majorBidi"/>
          <w:color w:val="000000" w:themeColor="text1"/>
        </w:rPr>
        <w:t>long-term</w:t>
      </w:r>
      <w:r w:rsidR="005C42A3" w:rsidRPr="005C42A3">
        <w:rPr>
          <w:rFonts w:eastAsiaTheme="majorEastAsia" w:cstheme="majorBidi"/>
          <w:color w:val="000000" w:themeColor="text1"/>
        </w:rPr>
        <w:t xml:space="preserve"> maturity obligations.</w:t>
      </w:r>
      <w:r w:rsidR="009C6314">
        <w:rPr>
          <w:rFonts w:eastAsiaTheme="majorEastAsia" w:cstheme="majorBidi"/>
          <w:color w:val="000000" w:themeColor="text1"/>
        </w:rPr>
        <w:t xml:space="preserve"> </w:t>
      </w:r>
    </w:p>
    <w:p w14:paraId="4853ACB5" w14:textId="06E77C18" w:rsidR="00EA4BAE" w:rsidRPr="00EA4BAE" w:rsidRDefault="00077829" w:rsidP="007D4D6E">
      <w:pPr>
        <w:pStyle w:val="Heading2"/>
      </w:pPr>
      <w:bookmarkStart w:id="14" w:name="_Toc162218567"/>
      <w:r>
        <w:t>Efficiency</w:t>
      </w:r>
      <w:r w:rsidR="00EA4BAE" w:rsidRPr="00EA4BAE">
        <w:t xml:space="preserve"> Ratio</w:t>
      </w:r>
      <w:bookmarkEnd w:id="14"/>
    </w:p>
    <w:p w14:paraId="4D156B7A" w14:textId="28A296E4" w:rsidR="00EA4BAE" w:rsidRPr="00EA4BAE" w:rsidRDefault="009106D8" w:rsidP="007D4D6E">
      <w:pPr>
        <w:numPr>
          <w:ilvl w:val="0"/>
          <w:numId w:val="7"/>
        </w:numPr>
        <w:tabs>
          <w:tab w:val="num" w:pos="1440"/>
        </w:tabs>
        <w:spacing w:line="360" w:lineRule="auto"/>
      </w:pPr>
      <w:r>
        <w:rPr>
          <w:b/>
          <w:bCs/>
        </w:rPr>
        <w:t>JP Morgan</w:t>
      </w:r>
      <w:r w:rsidR="00EA4BAE" w:rsidRPr="00EA4BAE">
        <w:rPr>
          <w:b/>
          <w:bCs/>
        </w:rPr>
        <w:t>:</w:t>
      </w:r>
      <w:r w:rsidR="00EA4BAE" w:rsidRPr="00EA4BAE">
        <w:t xml:space="preserve"> </w:t>
      </w:r>
      <w:r w:rsidR="00077829">
        <w:t>77%</w:t>
      </w:r>
    </w:p>
    <w:p w14:paraId="49C90B59" w14:textId="4D187F5F" w:rsidR="00EA4BAE" w:rsidRPr="00EA4BAE" w:rsidRDefault="00882234" w:rsidP="007D4D6E">
      <w:pPr>
        <w:numPr>
          <w:ilvl w:val="0"/>
          <w:numId w:val="7"/>
        </w:numPr>
        <w:tabs>
          <w:tab w:val="num" w:pos="1440"/>
        </w:tabs>
        <w:spacing w:line="360" w:lineRule="auto"/>
      </w:pPr>
      <w:r>
        <w:rPr>
          <w:b/>
          <w:bCs/>
        </w:rPr>
        <w:t>Bank of America</w:t>
      </w:r>
      <w:r w:rsidR="00EA4BAE" w:rsidRPr="00EA4BAE">
        <w:rPr>
          <w:b/>
          <w:bCs/>
        </w:rPr>
        <w:t>:</w:t>
      </w:r>
      <w:r w:rsidR="00EA4BAE" w:rsidRPr="00EA4BAE">
        <w:t xml:space="preserve"> </w:t>
      </w:r>
      <w:r w:rsidR="00077829">
        <w:t>74.7%</w:t>
      </w:r>
    </w:p>
    <w:p w14:paraId="363E5142" w14:textId="2248B5B6" w:rsidR="005C42A3" w:rsidRPr="005C42A3" w:rsidRDefault="005C42A3" w:rsidP="009C6314">
      <w:pPr>
        <w:tabs>
          <w:tab w:val="num" w:pos="1440"/>
        </w:tabs>
        <w:spacing w:line="360" w:lineRule="auto"/>
        <w:rPr>
          <w:rFonts w:eastAsiaTheme="majorEastAsia" w:cstheme="majorBidi"/>
          <w:color w:val="000000" w:themeColor="text1"/>
        </w:rPr>
      </w:pPr>
      <w:r w:rsidRPr="005C42A3">
        <w:rPr>
          <w:rFonts w:eastAsiaTheme="majorEastAsia" w:cstheme="majorBidi"/>
          <w:color w:val="000000" w:themeColor="text1"/>
        </w:rPr>
        <w:t xml:space="preserve">Efficiency ratio is a </w:t>
      </w:r>
      <w:r w:rsidR="007B1F5D">
        <w:rPr>
          <w:rFonts w:eastAsiaTheme="majorEastAsia" w:cstheme="majorBidi"/>
          <w:color w:val="000000" w:themeColor="text1"/>
        </w:rPr>
        <w:t>vital</w:t>
      </w:r>
      <w:r w:rsidRPr="005C42A3">
        <w:rPr>
          <w:rFonts w:eastAsiaTheme="majorEastAsia" w:cstheme="majorBidi"/>
          <w:color w:val="000000" w:themeColor="text1"/>
        </w:rPr>
        <w:t xml:space="preserve"> component of financial analysis that evaluates the management of operating costs, concerning the revenue of a company. The calculated efficiency ratios for JPMorgan and Bank of America help </w:t>
      </w:r>
      <w:r w:rsidR="00A44E53">
        <w:rPr>
          <w:rFonts w:eastAsiaTheme="majorEastAsia" w:cstheme="majorBidi"/>
          <w:color w:val="000000" w:themeColor="text1"/>
        </w:rPr>
        <w:t>analyse</w:t>
      </w:r>
      <w:r w:rsidRPr="005C42A3">
        <w:rPr>
          <w:rFonts w:eastAsiaTheme="majorEastAsia" w:cstheme="majorBidi"/>
          <w:color w:val="000000" w:themeColor="text1"/>
        </w:rPr>
        <w:t xml:space="preserve"> the operations efficiency and cost control methods used by the banks.</w:t>
      </w:r>
      <w:r w:rsidR="009C6314">
        <w:rPr>
          <w:rFonts w:eastAsiaTheme="majorEastAsia" w:cstheme="majorBidi"/>
          <w:color w:val="000000" w:themeColor="text1"/>
        </w:rPr>
        <w:t xml:space="preserve"> </w:t>
      </w:r>
      <w:r w:rsidRPr="005C42A3">
        <w:rPr>
          <w:rFonts w:eastAsiaTheme="majorEastAsia" w:cstheme="majorBidi"/>
          <w:color w:val="000000" w:themeColor="text1"/>
        </w:rPr>
        <w:t>JPMorgan's efficiency ratio of 77% signifies that the firm uses a significant amount of money – around 77 cents of operating expenses for every dollar of sales it produces. Analogously, Bank of America's efficiency ratio of 74.7% implies that the sandbox bank sends about 74.7 cents on its spending towards operating expenses for every dollar of the income it makes</w:t>
      </w:r>
      <w:r w:rsidR="009309C1">
        <w:rPr>
          <w:rFonts w:eastAsiaTheme="majorEastAsia" w:cstheme="majorBidi"/>
          <w:color w:val="000000" w:themeColor="text1"/>
        </w:rPr>
        <w:t xml:space="preserve"> </w:t>
      </w:r>
      <w:r w:rsidR="009309C1" w:rsidRPr="009309C1">
        <w:rPr>
          <w:rFonts w:eastAsiaTheme="majorEastAsia" w:cstheme="majorBidi"/>
          <w:color w:val="000000" w:themeColor="text1"/>
        </w:rPr>
        <w:t>(Ghuman, D., 2020)</w:t>
      </w:r>
      <w:r w:rsidRPr="005C42A3">
        <w:rPr>
          <w:rFonts w:eastAsiaTheme="majorEastAsia" w:cstheme="majorBidi"/>
          <w:color w:val="000000" w:themeColor="text1"/>
        </w:rPr>
        <w:t xml:space="preserve">. On the one hand, these entities illustrate quite a high efficiency ratio which </w:t>
      </w:r>
      <w:r w:rsidR="007B1F5D">
        <w:rPr>
          <w:rFonts w:eastAsiaTheme="majorEastAsia" w:cstheme="majorBidi"/>
          <w:color w:val="000000" w:themeColor="text1"/>
        </w:rPr>
        <w:t>signifies</w:t>
      </w:r>
      <w:r w:rsidRPr="005C42A3">
        <w:rPr>
          <w:rFonts w:eastAsiaTheme="majorEastAsia" w:cstheme="majorBidi"/>
          <w:color w:val="000000" w:themeColor="text1"/>
        </w:rPr>
        <w:t xml:space="preserve"> a successful cost control method and management.</w:t>
      </w:r>
    </w:p>
    <w:p w14:paraId="6D2CBA53" w14:textId="330B4076" w:rsidR="005C42A3" w:rsidRPr="005C42A3" w:rsidRDefault="005C42A3" w:rsidP="009C6314">
      <w:pPr>
        <w:tabs>
          <w:tab w:val="num" w:pos="1440"/>
        </w:tabs>
        <w:spacing w:line="360" w:lineRule="auto"/>
        <w:rPr>
          <w:rFonts w:eastAsiaTheme="majorEastAsia" w:cstheme="majorBidi"/>
          <w:color w:val="000000" w:themeColor="text1"/>
        </w:rPr>
      </w:pPr>
      <w:r w:rsidRPr="005C42A3">
        <w:rPr>
          <w:rFonts w:eastAsiaTheme="majorEastAsia" w:cstheme="majorBidi"/>
          <w:color w:val="000000" w:themeColor="text1"/>
        </w:rPr>
        <w:t xml:space="preserve">Bank of America could </w:t>
      </w:r>
      <w:r w:rsidR="007B1F5D">
        <w:rPr>
          <w:rFonts w:eastAsiaTheme="majorEastAsia" w:cstheme="majorBidi"/>
          <w:color w:val="000000" w:themeColor="text1"/>
        </w:rPr>
        <w:t>have</w:t>
      </w:r>
      <w:r w:rsidRPr="005C42A3">
        <w:rPr>
          <w:rFonts w:eastAsiaTheme="majorEastAsia" w:cstheme="majorBidi"/>
          <w:color w:val="000000" w:themeColor="text1"/>
        </w:rPr>
        <w:t xml:space="preserve"> a lower efficiency </w:t>
      </w:r>
      <w:r w:rsidR="007B1F5D">
        <w:rPr>
          <w:rFonts w:eastAsiaTheme="majorEastAsia" w:cstheme="majorBidi"/>
          <w:color w:val="000000" w:themeColor="text1"/>
        </w:rPr>
        <w:t>ratio</w:t>
      </w:r>
      <w:r w:rsidRPr="005C42A3">
        <w:rPr>
          <w:rFonts w:eastAsiaTheme="majorEastAsia" w:cstheme="majorBidi"/>
          <w:color w:val="000000" w:themeColor="text1"/>
        </w:rPr>
        <w:t xml:space="preserve"> due to its focus </w:t>
      </w:r>
      <w:r w:rsidR="007B1F5D">
        <w:rPr>
          <w:rFonts w:eastAsiaTheme="majorEastAsia" w:cstheme="majorBidi"/>
          <w:color w:val="000000" w:themeColor="text1"/>
        </w:rPr>
        <w:t>on</w:t>
      </w:r>
      <w:r w:rsidRPr="005C42A3">
        <w:rPr>
          <w:rFonts w:eastAsiaTheme="majorEastAsia" w:cstheme="majorBidi"/>
          <w:color w:val="000000" w:themeColor="text1"/>
        </w:rPr>
        <w:t xml:space="preserve"> continuous improvement and cost control as organized in the entire venture. Through the practices the bank keeps </w:t>
      </w:r>
      <w:r w:rsidRPr="005C42A3">
        <w:rPr>
          <w:rFonts w:eastAsiaTheme="majorEastAsia" w:cstheme="majorBidi"/>
          <w:color w:val="000000" w:themeColor="text1"/>
        </w:rPr>
        <w:lastRenderedPageBreak/>
        <w:t xml:space="preserve">introducing, it has developed automated processes swiftly and maintains productivity </w:t>
      </w:r>
      <w:r w:rsidR="007B1F5D">
        <w:rPr>
          <w:rFonts w:eastAsiaTheme="majorEastAsia" w:cstheme="majorBidi"/>
          <w:color w:val="000000" w:themeColor="text1"/>
        </w:rPr>
        <w:t>levels</w:t>
      </w:r>
      <w:r w:rsidRPr="005C42A3">
        <w:rPr>
          <w:rFonts w:eastAsiaTheme="majorEastAsia" w:cstheme="majorBidi"/>
          <w:color w:val="000000" w:themeColor="text1"/>
        </w:rPr>
        <w:t xml:space="preserve"> simultaneously, thus bypassing system constraints to enlarge efficiency and </w:t>
      </w:r>
      <w:r w:rsidR="007B1F5D">
        <w:rPr>
          <w:rFonts w:eastAsiaTheme="majorEastAsia" w:cstheme="majorBidi"/>
          <w:color w:val="000000" w:themeColor="text1"/>
        </w:rPr>
        <w:t>cut</w:t>
      </w:r>
      <w:r w:rsidRPr="005C42A3">
        <w:rPr>
          <w:rFonts w:eastAsiaTheme="majorEastAsia" w:cstheme="majorBidi"/>
          <w:color w:val="000000" w:themeColor="text1"/>
        </w:rPr>
        <w:t xml:space="preserve"> down expenses. On top of that, Bank of America's scale and the ability to conduct operations simultaneously incorporating the principles of the economy of scales should lower </w:t>
      </w:r>
      <w:r w:rsidR="007B1F5D">
        <w:rPr>
          <w:rFonts w:eastAsiaTheme="majorEastAsia" w:cstheme="majorBidi"/>
          <w:color w:val="000000" w:themeColor="text1"/>
        </w:rPr>
        <w:t xml:space="preserve">the </w:t>
      </w:r>
      <w:r w:rsidRPr="005C42A3">
        <w:rPr>
          <w:rFonts w:eastAsiaTheme="majorEastAsia" w:cstheme="majorBidi"/>
          <w:color w:val="000000" w:themeColor="text1"/>
        </w:rPr>
        <w:t>efficiency ratio compared to JPMorgan.</w:t>
      </w:r>
      <w:r w:rsidR="009C6314">
        <w:rPr>
          <w:rFonts w:eastAsiaTheme="majorEastAsia" w:cstheme="majorBidi"/>
          <w:color w:val="000000" w:themeColor="text1"/>
        </w:rPr>
        <w:t xml:space="preserve"> </w:t>
      </w:r>
      <w:r w:rsidR="007B1F5D">
        <w:rPr>
          <w:rFonts w:eastAsiaTheme="majorEastAsia" w:cstheme="majorBidi"/>
          <w:color w:val="000000" w:themeColor="text1"/>
        </w:rPr>
        <w:t>On</w:t>
      </w:r>
      <w:r w:rsidRPr="005C42A3">
        <w:rPr>
          <w:rFonts w:eastAsiaTheme="majorEastAsia" w:cstheme="majorBidi"/>
          <w:color w:val="000000" w:themeColor="text1"/>
        </w:rPr>
        <w:t xml:space="preserve"> the contrary, despite the higher 52.8% efficiency ratio of JPMorgan, this bank still manages its costs quite effectively in comparison with its very high 2016 revenues. The firm might have </w:t>
      </w:r>
      <w:r w:rsidR="007B1F5D">
        <w:rPr>
          <w:rFonts w:eastAsiaTheme="majorEastAsia" w:cstheme="majorBidi"/>
          <w:color w:val="000000" w:themeColor="text1"/>
        </w:rPr>
        <w:t>a strategic</w:t>
      </w:r>
      <w:r w:rsidRPr="005C42A3">
        <w:rPr>
          <w:rFonts w:eastAsiaTheme="majorEastAsia" w:cstheme="majorBidi"/>
          <w:color w:val="000000" w:themeColor="text1"/>
        </w:rPr>
        <w:t xml:space="preserve"> drive via investing in areas like technology, talent development and customer service </w:t>
      </w:r>
      <w:r w:rsidR="007B1F5D">
        <w:rPr>
          <w:rFonts w:eastAsiaTheme="majorEastAsia" w:cstheme="majorBidi"/>
          <w:color w:val="000000" w:themeColor="text1"/>
        </w:rPr>
        <w:t>to</w:t>
      </w:r>
      <w:r w:rsidRPr="005C42A3">
        <w:rPr>
          <w:rFonts w:eastAsiaTheme="majorEastAsia" w:cstheme="majorBidi"/>
          <w:color w:val="000000" w:themeColor="text1"/>
        </w:rPr>
        <w:t xml:space="preserve"> result in long-term growth and operational performance improvement. </w:t>
      </w:r>
    </w:p>
    <w:p w14:paraId="6421FF3E" w14:textId="5032A4F2" w:rsidR="00667E02" w:rsidRPr="00667E02" w:rsidRDefault="00962E80" w:rsidP="007D4D6E">
      <w:pPr>
        <w:pStyle w:val="Heading1"/>
        <w:spacing w:line="360" w:lineRule="auto"/>
      </w:pPr>
      <w:bookmarkStart w:id="15" w:name="_Toc162218568"/>
      <w:r>
        <w:t>Recommendations for Improvement</w:t>
      </w:r>
      <w:bookmarkEnd w:id="15"/>
    </w:p>
    <w:p w14:paraId="4C657CAA" w14:textId="678B9455" w:rsidR="00962E80" w:rsidRPr="00962E80" w:rsidRDefault="00346F27" w:rsidP="007D4D6E">
      <w:pPr>
        <w:spacing w:line="360" w:lineRule="auto"/>
      </w:pPr>
      <w:r w:rsidRPr="00346F27">
        <w:t xml:space="preserve">JP Morgan's financial tasks can be upgraded through a few key drives. First, increasing overall efficiency can be achieved by increasing asset utilization by reallocating capital to high-yield strategies and disposing of underperforming assets. Besides, improving liquidity management through standard assessment of receivables and payables, combined with pressure testing and situation investigation, guarantees adequate liquidity and hazard alleviation. Financial flexibility can also be improved by optimizing the capital structure by analyzing the allocation of debt and equity and looking for favourable terms and refinancing opportunities. For long-term financial health, effective cost management, leveraging technology, operational enhancements, and securing cost-effective contracts with vendors </w:t>
      </w:r>
      <w:r w:rsidR="004A756F">
        <w:t>is</w:t>
      </w:r>
      <w:r w:rsidRPr="00346F27">
        <w:t xml:space="preserve"> essential. Potential risks can be reduced by strengthening risk management, diversifying revenue streams, and ensuring compliance with regulations. Putting resources into innovation and development, like </w:t>
      </w:r>
      <w:r w:rsidR="004A756F">
        <w:t>computer-based</w:t>
      </w:r>
      <w:r w:rsidRPr="00346F27">
        <w:t xml:space="preserve"> intelligence and blockchain, empowers JP Morgan to comprehend client needs and investigate new income streams. </w:t>
      </w:r>
    </w:p>
    <w:p w14:paraId="6C6C6BF5" w14:textId="77777777" w:rsidR="0013748C" w:rsidRDefault="004A185B" w:rsidP="007D4D6E">
      <w:pPr>
        <w:pStyle w:val="Heading1"/>
        <w:spacing w:line="360" w:lineRule="auto"/>
      </w:pPr>
      <w:bookmarkStart w:id="16" w:name="_Toc162218569"/>
      <w:r>
        <w:t>Evaluation of New Investment Opportunities</w:t>
      </w:r>
      <w:bookmarkEnd w:id="16"/>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65"/>
        <w:gridCol w:w="4928"/>
        <w:gridCol w:w="3787"/>
      </w:tblGrid>
      <w:tr w:rsidR="00157B93" w:rsidRPr="00157B93" w14:paraId="5A0CA176" w14:textId="77777777" w:rsidTr="00157B93">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74A9F029" w14:textId="77777777" w:rsidR="00157B93" w:rsidRPr="00157B93" w:rsidRDefault="00157B93" w:rsidP="00157B93">
            <w:pPr>
              <w:spacing w:after="0" w:line="240" w:lineRule="auto"/>
              <w:jc w:val="center"/>
              <w:rPr>
                <w:rFonts w:ascii="Segoe UI" w:eastAsia="Times New Roman" w:hAnsi="Segoe UI" w:cs="Segoe UI"/>
                <w:b/>
                <w:bCs/>
                <w:color w:val="0D0D0D"/>
                <w:sz w:val="21"/>
                <w:szCs w:val="21"/>
                <w:lang w:eastAsia="en-GB"/>
              </w:rPr>
            </w:pPr>
            <w:r w:rsidRPr="00157B93">
              <w:rPr>
                <w:rFonts w:ascii="Segoe UI" w:eastAsia="Times New Roman" w:hAnsi="Segoe UI" w:cs="Segoe UI"/>
                <w:b/>
                <w:bCs/>
                <w:color w:val="0D0D0D"/>
                <w:sz w:val="21"/>
                <w:szCs w:val="21"/>
                <w:lang w:eastAsia="en-GB"/>
              </w:rPr>
              <w:t>Metrics</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366F38DA" w14:textId="77777777" w:rsidR="00157B93" w:rsidRPr="00157B93" w:rsidRDefault="00157B93" w:rsidP="00157B93">
            <w:pPr>
              <w:spacing w:after="0" w:line="240" w:lineRule="auto"/>
              <w:jc w:val="center"/>
              <w:rPr>
                <w:rFonts w:ascii="Segoe UI" w:eastAsia="Times New Roman" w:hAnsi="Segoe UI" w:cs="Segoe UI"/>
                <w:b/>
                <w:bCs/>
                <w:color w:val="0D0D0D"/>
                <w:sz w:val="21"/>
                <w:szCs w:val="21"/>
                <w:lang w:eastAsia="en-GB"/>
              </w:rPr>
            </w:pPr>
            <w:r w:rsidRPr="00157B93">
              <w:rPr>
                <w:rFonts w:ascii="Segoe UI" w:eastAsia="Times New Roman" w:hAnsi="Segoe UI" w:cs="Segoe UI"/>
                <w:b/>
                <w:bCs/>
                <w:color w:val="0D0D0D"/>
                <w:sz w:val="21"/>
                <w:szCs w:val="21"/>
                <w:lang w:eastAsia="en-GB"/>
              </w:rPr>
              <w:t>Project A</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63E4C2A8" w14:textId="77777777" w:rsidR="00157B93" w:rsidRPr="00157B93" w:rsidRDefault="00157B93" w:rsidP="00157B93">
            <w:pPr>
              <w:spacing w:after="0" w:line="240" w:lineRule="auto"/>
              <w:jc w:val="center"/>
              <w:rPr>
                <w:rFonts w:ascii="Segoe UI" w:eastAsia="Times New Roman" w:hAnsi="Segoe UI" w:cs="Segoe UI"/>
                <w:b/>
                <w:bCs/>
                <w:color w:val="0D0D0D"/>
                <w:sz w:val="21"/>
                <w:szCs w:val="21"/>
                <w:lang w:eastAsia="en-GB"/>
              </w:rPr>
            </w:pPr>
            <w:r w:rsidRPr="00157B93">
              <w:rPr>
                <w:rFonts w:ascii="Segoe UI" w:eastAsia="Times New Roman" w:hAnsi="Segoe UI" w:cs="Segoe UI"/>
                <w:b/>
                <w:bCs/>
                <w:color w:val="0D0D0D"/>
                <w:sz w:val="21"/>
                <w:szCs w:val="21"/>
                <w:lang w:eastAsia="en-GB"/>
              </w:rPr>
              <w:t>Project B</w:t>
            </w:r>
          </w:p>
        </w:tc>
      </w:tr>
      <w:tr w:rsidR="00157B93" w:rsidRPr="00157B93" w14:paraId="63113345" w14:textId="77777777" w:rsidTr="00157B93">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19B246E"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Payback Period</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D14D67"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 3 years + (442 / 2000) years = 3.22 years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23934029"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 3 years + (470 / 1000) years = 3.47 years</w:t>
            </w:r>
          </w:p>
        </w:tc>
      </w:tr>
      <w:tr w:rsidR="00157B93" w:rsidRPr="00157B93" w14:paraId="510572CD" w14:textId="77777777" w:rsidTr="00157B93">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5E8B7C2"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Accounting Rate of Return (ARR)</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BDE5136"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Average Annual Profit = (2500 + 2000 + 1000 - 442) / 4 = 1,264.5 million ARR = (Average Annual Profit / Initial Investment) * 100% = (1,264.5 / 5000) * 100% = 25.29%</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4ADE6640" w14:textId="77777777" w:rsidR="00157B93" w:rsidRPr="00157B93" w:rsidRDefault="00157B93" w:rsidP="00157B93">
            <w:pPr>
              <w:spacing w:after="0" w:line="240" w:lineRule="auto"/>
              <w:jc w:val="left"/>
              <w:rPr>
                <w:rFonts w:ascii="Segoe UI" w:eastAsia="Times New Roman" w:hAnsi="Segoe UI" w:cs="Segoe UI"/>
                <w:color w:val="0D0D0D"/>
                <w:sz w:val="21"/>
                <w:szCs w:val="21"/>
                <w:lang w:eastAsia="en-GB"/>
              </w:rPr>
            </w:pPr>
            <w:r w:rsidRPr="00157B93">
              <w:rPr>
                <w:rFonts w:ascii="Segoe UI" w:eastAsia="Times New Roman" w:hAnsi="Segoe UI" w:cs="Segoe UI"/>
                <w:color w:val="0D0D0D"/>
                <w:sz w:val="21"/>
                <w:szCs w:val="21"/>
                <w:lang w:eastAsia="en-GB"/>
              </w:rPr>
              <w:t>Average Annual Profit = (1500 + 1000 + 1000 - 470) / 4 = 3,034 million ARR = (Average Annual Profit / Initial Investment</w:t>
            </w:r>
          </w:p>
        </w:tc>
      </w:tr>
    </w:tbl>
    <w:p w14:paraId="06B677AA" w14:textId="7CB5F7CA" w:rsidR="008B7C76" w:rsidRPr="00157B93" w:rsidRDefault="008B7C76" w:rsidP="007D4D6E">
      <w:pPr>
        <w:spacing w:line="360" w:lineRule="auto"/>
      </w:pP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61"/>
        <w:gridCol w:w="4698"/>
        <w:gridCol w:w="4721"/>
      </w:tblGrid>
      <w:tr w:rsidR="008221F6" w:rsidRPr="008221F6" w14:paraId="68C13610" w14:textId="77777777" w:rsidTr="008221F6">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41C60231" w14:textId="77777777" w:rsidR="008221F6" w:rsidRPr="008221F6" w:rsidRDefault="008221F6" w:rsidP="008221F6">
            <w:pPr>
              <w:spacing w:after="0" w:line="240" w:lineRule="auto"/>
              <w:jc w:val="center"/>
              <w:rPr>
                <w:rFonts w:ascii="Segoe UI" w:eastAsia="Times New Roman" w:hAnsi="Segoe UI" w:cs="Segoe UI"/>
                <w:b/>
                <w:bCs/>
                <w:color w:val="0D0D0D"/>
                <w:sz w:val="21"/>
                <w:szCs w:val="21"/>
                <w:lang w:eastAsia="en-GB"/>
              </w:rPr>
            </w:pPr>
            <w:r w:rsidRPr="008221F6">
              <w:rPr>
                <w:rFonts w:ascii="Segoe UI" w:eastAsia="Times New Roman" w:hAnsi="Segoe UI" w:cs="Segoe UI"/>
                <w:b/>
                <w:bCs/>
                <w:color w:val="0D0D0D"/>
                <w:sz w:val="21"/>
                <w:szCs w:val="21"/>
                <w:lang w:eastAsia="en-GB"/>
              </w:rPr>
              <w:lastRenderedPageBreak/>
              <w:t>Metric</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644EF441" w14:textId="77777777" w:rsidR="008221F6" w:rsidRPr="008221F6" w:rsidRDefault="008221F6" w:rsidP="008221F6">
            <w:pPr>
              <w:spacing w:after="0" w:line="240" w:lineRule="auto"/>
              <w:jc w:val="center"/>
              <w:rPr>
                <w:rFonts w:ascii="Segoe UI" w:eastAsia="Times New Roman" w:hAnsi="Segoe UI" w:cs="Segoe UI"/>
                <w:b/>
                <w:bCs/>
                <w:color w:val="0D0D0D"/>
                <w:sz w:val="21"/>
                <w:szCs w:val="21"/>
                <w:lang w:eastAsia="en-GB"/>
              </w:rPr>
            </w:pPr>
            <w:r w:rsidRPr="008221F6">
              <w:rPr>
                <w:rFonts w:ascii="Segoe UI" w:eastAsia="Times New Roman" w:hAnsi="Segoe UI" w:cs="Segoe UI"/>
                <w:b/>
                <w:bCs/>
                <w:color w:val="0D0D0D"/>
                <w:sz w:val="21"/>
                <w:szCs w:val="21"/>
                <w:lang w:eastAsia="en-GB"/>
              </w:rPr>
              <w:t>Project A</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43FD5561" w14:textId="77777777" w:rsidR="008221F6" w:rsidRPr="008221F6" w:rsidRDefault="008221F6" w:rsidP="008221F6">
            <w:pPr>
              <w:spacing w:after="0" w:line="240" w:lineRule="auto"/>
              <w:jc w:val="center"/>
              <w:rPr>
                <w:rFonts w:ascii="Segoe UI" w:eastAsia="Times New Roman" w:hAnsi="Segoe UI" w:cs="Segoe UI"/>
                <w:b/>
                <w:bCs/>
                <w:color w:val="0D0D0D"/>
                <w:sz w:val="21"/>
                <w:szCs w:val="21"/>
                <w:lang w:eastAsia="en-GB"/>
              </w:rPr>
            </w:pPr>
            <w:r w:rsidRPr="008221F6">
              <w:rPr>
                <w:rFonts w:ascii="Segoe UI" w:eastAsia="Times New Roman" w:hAnsi="Segoe UI" w:cs="Segoe UI"/>
                <w:b/>
                <w:bCs/>
                <w:color w:val="0D0D0D"/>
                <w:sz w:val="21"/>
                <w:szCs w:val="21"/>
                <w:lang w:eastAsia="en-GB"/>
              </w:rPr>
              <w:t>Project B</w:t>
            </w:r>
          </w:p>
        </w:tc>
      </w:tr>
      <w:tr w:rsidR="008221F6" w:rsidRPr="008221F6" w14:paraId="7D839D05" w14:textId="77777777" w:rsidTr="008221F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743FD1F" w14:textId="77777777" w:rsidR="008221F6" w:rsidRPr="008221F6" w:rsidRDefault="008221F6" w:rsidP="008221F6">
            <w:pPr>
              <w:spacing w:after="0" w:line="240" w:lineRule="auto"/>
              <w:jc w:val="left"/>
              <w:rPr>
                <w:rFonts w:ascii="Segoe UI" w:eastAsia="Times New Roman" w:hAnsi="Segoe UI" w:cs="Segoe UI"/>
                <w:color w:val="0D0D0D"/>
                <w:sz w:val="21"/>
                <w:szCs w:val="21"/>
                <w:lang w:eastAsia="en-GB"/>
              </w:rPr>
            </w:pPr>
            <w:r w:rsidRPr="008221F6">
              <w:rPr>
                <w:rFonts w:ascii="Segoe UI" w:eastAsia="Times New Roman" w:hAnsi="Segoe UI" w:cs="Segoe UI"/>
                <w:color w:val="0D0D0D"/>
                <w:sz w:val="21"/>
                <w:szCs w:val="21"/>
                <w:lang w:eastAsia="en-GB"/>
              </w:rPr>
              <w:t>Net Present Value (NPV)</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6526B05" w14:textId="77777777" w:rsidR="008221F6" w:rsidRPr="008221F6" w:rsidRDefault="008221F6" w:rsidP="008221F6">
            <w:pPr>
              <w:spacing w:after="0" w:line="240" w:lineRule="auto"/>
              <w:jc w:val="left"/>
              <w:rPr>
                <w:rFonts w:ascii="Segoe UI" w:eastAsia="Times New Roman" w:hAnsi="Segoe UI" w:cs="Segoe UI"/>
                <w:color w:val="0D0D0D"/>
                <w:sz w:val="21"/>
                <w:szCs w:val="21"/>
                <w:lang w:eastAsia="en-GB"/>
              </w:rPr>
            </w:pPr>
            <w:r w:rsidRPr="008221F6">
              <w:rPr>
                <w:rFonts w:ascii="Segoe UI" w:eastAsia="Times New Roman" w:hAnsi="Segoe UI" w:cs="Segoe UI"/>
                <w:color w:val="0D0D0D"/>
                <w:sz w:val="21"/>
                <w:szCs w:val="21"/>
                <w:lang w:eastAsia="en-GB"/>
              </w:rPr>
              <w:t>NPV = Σ (Cashflows / (1 + r)^n) - Initial Investment NPVₐ = -5000 / (1 + 0.0075)^0 + 2500 / (1 + 0.0075)^1 + 2000 / (1 + 0.0075)^2 + 1000 / (1 + 0.0075)^3 - 442 / (1 + 0.0075)^4 - 5000 NPVₐ = -5000 + 2500 / 1.0075 + 2000 / 1.015025 + 1000 / 1.02258844 - 442 / 1.030154439 - 5000 NPVₐ = -5000 + 2481.24 + 1972.85 + 975.06 - 429.12 - 5000 NPVₐ = 485.63 million</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02E09A14" w14:textId="77777777" w:rsidR="008221F6" w:rsidRPr="008221F6" w:rsidRDefault="008221F6" w:rsidP="008221F6">
            <w:pPr>
              <w:spacing w:after="0" w:line="240" w:lineRule="auto"/>
              <w:jc w:val="left"/>
              <w:rPr>
                <w:rFonts w:ascii="Segoe UI" w:eastAsia="Times New Roman" w:hAnsi="Segoe UI" w:cs="Segoe UI"/>
                <w:color w:val="0D0D0D"/>
                <w:sz w:val="21"/>
                <w:szCs w:val="21"/>
                <w:lang w:eastAsia="en-GB"/>
              </w:rPr>
            </w:pPr>
            <w:r w:rsidRPr="008221F6">
              <w:rPr>
                <w:rFonts w:ascii="Segoe UI" w:eastAsia="Times New Roman" w:hAnsi="Segoe UI" w:cs="Segoe UI"/>
                <w:color w:val="0D0D0D"/>
                <w:sz w:val="21"/>
                <w:szCs w:val="21"/>
                <w:lang w:eastAsia="en-GB"/>
              </w:rPr>
              <w:t>NPV = Σ (Cashflows / (1 + r)^n) - Initial Investment NPVₐ = -1000 / (1 + 0.0075)^0 + 1500 / (1 + 0.0075)^1 + 1000 / (1 + 0.0075)^2 + 1000 / (1 + 0.0075)^3 - 470 / (1 + 0.0075)^4 - 1000 NPVₐ = -1000 + 1500 / 1.0075 + 1000 / 1.015025 + 1000 / 1.02258844 - 470 / 1.030154439 - 1000 NPVₐ = -1000 + 1488.86 + 985.57 + 486.26 - 454.39 - 1000 NPVₐ = 640.29 million</w:t>
            </w:r>
          </w:p>
        </w:tc>
      </w:tr>
    </w:tbl>
    <w:p w14:paraId="2725E3B6" w14:textId="040607CC" w:rsidR="008B7C76" w:rsidRPr="008221F6" w:rsidRDefault="008B7C76" w:rsidP="007D4D6E">
      <w:pPr>
        <w:spacing w:line="360" w:lineRule="auto"/>
      </w:pPr>
    </w:p>
    <w:p w14:paraId="01F6CFF7" w14:textId="77777777" w:rsidR="007E3AC5" w:rsidRDefault="007E3AC5" w:rsidP="007D4D6E">
      <w:pPr>
        <w:pStyle w:val="Heading2"/>
      </w:pPr>
      <w:bookmarkStart w:id="17" w:name="_Toc162218570"/>
      <w:r>
        <w:t>Evaluation and Recommendation</w:t>
      </w:r>
      <w:bookmarkEnd w:id="17"/>
    </w:p>
    <w:p w14:paraId="78BC3931" w14:textId="74958821" w:rsidR="003E1E67" w:rsidRDefault="00346F27" w:rsidP="0000280D">
      <w:pPr>
        <w:spacing w:line="360" w:lineRule="auto"/>
      </w:pPr>
      <w:r w:rsidRPr="00346F27">
        <w:t>Assessing financial project instruments like PBP, ARR, and NPV gives significant bits of knowledge into benefit and practicality</w:t>
      </w:r>
      <w:r w:rsidR="0000280D">
        <w:t xml:space="preserve"> </w:t>
      </w:r>
      <w:r w:rsidR="0000280D" w:rsidRPr="0000280D">
        <w:t>(Sinaga et al. 2023)</w:t>
      </w:r>
      <w:r w:rsidRPr="00346F27">
        <w:t>. Project A has a more limited restitution period (3.22 years) contrasted with Task B (3.47 years), showing speedier returns. In any case, Task B gloats a higher ARR (303.4% versus Project A's NPV ($640,290,000 versus $485,630,000 for Project A) and 25.29%, respectively, pointing to increased profitability over time. Notwithstanding its more extended compensation period, Task B's higher ARR and NPV pursue it as the favoured decision for amplifying esteem creation and productivity. In this way, Venture B is prescribed for speculation to enhance esteem creation.</w:t>
      </w:r>
    </w:p>
    <w:p w14:paraId="11009863" w14:textId="77777777" w:rsidR="007E3AC5" w:rsidRDefault="007E3AC5" w:rsidP="007D4D6E">
      <w:pPr>
        <w:pStyle w:val="Heading2"/>
      </w:pPr>
      <w:bookmarkStart w:id="18" w:name="_Toc162218571"/>
      <w:r>
        <w:t>Recalculation of NPV</w:t>
      </w:r>
      <w:bookmarkEnd w:id="18"/>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78"/>
        <w:gridCol w:w="4736"/>
        <w:gridCol w:w="4666"/>
      </w:tblGrid>
      <w:tr w:rsidR="00C63336" w:rsidRPr="00C63336" w14:paraId="7F6D98AB" w14:textId="77777777" w:rsidTr="00C63336">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1317C6E6" w14:textId="77777777" w:rsidR="00C63336" w:rsidRPr="00C63336" w:rsidRDefault="00C63336" w:rsidP="00C63336">
            <w:pPr>
              <w:spacing w:after="0" w:line="240" w:lineRule="auto"/>
              <w:jc w:val="center"/>
              <w:rPr>
                <w:rFonts w:ascii="Segoe UI" w:eastAsia="Times New Roman" w:hAnsi="Segoe UI" w:cs="Segoe UI"/>
                <w:b/>
                <w:bCs/>
                <w:color w:val="0D0D0D"/>
                <w:sz w:val="21"/>
                <w:szCs w:val="21"/>
                <w:lang w:eastAsia="en-GB"/>
              </w:rPr>
            </w:pPr>
            <w:r w:rsidRPr="00C63336">
              <w:rPr>
                <w:rFonts w:ascii="Segoe UI" w:eastAsia="Times New Roman" w:hAnsi="Segoe UI" w:cs="Segoe UI"/>
                <w:b/>
                <w:bCs/>
                <w:color w:val="0D0D0D"/>
                <w:sz w:val="21"/>
                <w:szCs w:val="21"/>
                <w:lang w:eastAsia="en-GB"/>
              </w:rPr>
              <w:t>Metric</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1236174F" w14:textId="77777777" w:rsidR="00C63336" w:rsidRPr="00C63336" w:rsidRDefault="00C63336" w:rsidP="00C63336">
            <w:pPr>
              <w:spacing w:after="0" w:line="240" w:lineRule="auto"/>
              <w:jc w:val="center"/>
              <w:rPr>
                <w:rFonts w:ascii="Segoe UI" w:eastAsia="Times New Roman" w:hAnsi="Segoe UI" w:cs="Segoe UI"/>
                <w:b/>
                <w:bCs/>
                <w:color w:val="0D0D0D"/>
                <w:sz w:val="21"/>
                <w:szCs w:val="21"/>
                <w:lang w:eastAsia="en-GB"/>
              </w:rPr>
            </w:pPr>
            <w:r w:rsidRPr="00C63336">
              <w:rPr>
                <w:rFonts w:ascii="Segoe UI" w:eastAsia="Times New Roman" w:hAnsi="Segoe UI" w:cs="Segoe UI"/>
                <w:b/>
                <w:bCs/>
                <w:color w:val="0D0D0D"/>
                <w:sz w:val="21"/>
                <w:szCs w:val="21"/>
                <w:lang w:eastAsia="en-GB"/>
              </w:rPr>
              <w:t>Project A</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4028FC8E" w14:textId="77777777" w:rsidR="00C63336" w:rsidRPr="00C63336" w:rsidRDefault="00C63336" w:rsidP="00C63336">
            <w:pPr>
              <w:spacing w:after="0" w:line="240" w:lineRule="auto"/>
              <w:jc w:val="center"/>
              <w:rPr>
                <w:rFonts w:ascii="Segoe UI" w:eastAsia="Times New Roman" w:hAnsi="Segoe UI" w:cs="Segoe UI"/>
                <w:b/>
                <w:bCs/>
                <w:color w:val="0D0D0D"/>
                <w:sz w:val="21"/>
                <w:szCs w:val="21"/>
                <w:lang w:eastAsia="en-GB"/>
              </w:rPr>
            </w:pPr>
            <w:r w:rsidRPr="00C63336">
              <w:rPr>
                <w:rFonts w:ascii="Segoe UI" w:eastAsia="Times New Roman" w:hAnsi="Segoe UI" w:cs="Segoe UI"/>
                <w:b/>
                <w:bCs/>
                <w:color w:val="0D0D0D"/>
                <w:sz w:val="21"/>
                <w:szCs w:val="21"/>
                <w:lang w:eastAsia="en-GB"/>
              </w:rPr>
              <w:t>Project B</w:t>
            </w:r>
          </w:p>
        </w:tc>
      </w:tr>
      <w:tr w:rsidR="00C63336" w:rsidRPr="00C63336" w14:paraId="2803205E" w14:textId="77777777" w:rsidTr="00C63336">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A86C418" w14:textId="77777777" w:rsidR="00C63336" w:rsidRPr="00C63336" w:rsidRDefault="00C63336" w:rsidP="00C63336">
            <w:pPr>
              <w:spacing w:after="0" w:line="240" w:lineRule="auto"/>
              <w:jc w:val="left"/>
              <w:rPr>
                <w:rFonts w:ascii="Segoe UI" w:eastAsia="Times New Roman" w:hAnsi="Segoe UI" w:cs="Segoe UI"/>
                <w:color w:val="0D0D0D"/>
                <w:sz w:val="21"/>
                <w:szCs w:val="21"/>
                <w:lang w:eastAsia="en-GB"/>
              </w:rPr>
            </w:pPr>
            <w:r w:rsidRPr="00C63336">
              <w:rPr>
                <w:rFonts w:ascii="Segoe UI" w:eastAsia="Times New Roman" w:hAnsi="Segoe UI" w:cs="Segoe UI"/>
                <w:color w:val="0D0D0D"/>
                <w:sz w:val="21"/>
                <w:szCs w:val="21"/>
                <w:lang w:eastAsia="en-GB"/>
              </w:rPr>
              <w:t>Net Present Value (NPV)</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F1D9CD2" w14:textId="77777777" w:rsidR="00C63336" w:rsidRPr="00C63336" w:rsidRDefault="00C63336" w:rsidP="00C63336">
            <w:pPr>
              <w:spacing w:after="0" w:line="240" w:lineRule="auto"/>
              <w:jc w:val="left"/>
              <w:rPr>
                <w:rFonts w:ascii="Segoe UI" w:eastAsia="Times New Roman" w:hAnsi="Segoe UI" w:cs="Segoe UI"/>
                <w:color w:val="0D0D0D"/>
                <w:sz w:val="21"/>
                <w:szCs w:val="21"/>
                <w:lang w:eastAsia="en-GB"/>
              </w:rPr>
            </w:pPr>
            <w:r w:rsidRPr="00C63336">
              <w:rPr>
                <w:rFonts w:ascii="Segoe UI" w:eastAsia="Times New Roman" w:hAnsi="Segoe UI" w:cs="Segoe UI"/>
                <w:color w:val="0D0D0D"/>
                <w:sz w:val="21"/>
                <w:szCs w:val="21"/>
                <w:lang w:eastAsia="en-GB"/>
              </w:rPr>
              <w:t>NPV = Σ (Cashflows / (1 + r)^n) - Initial Investment NPVₐ = -4500 / (1 + 0.0075)^0 + 2250 / (1 + 0.0075)^1 + 1800 / (1 + 0.0075)^2 + 900 / (1 + 0.0075)^3 - 397.8 / (1 + 0.0075)^4 - 5500 NPVₐ = -4500 + 2250 / 1.0075 + 1800 / 1.015025 + 900 / 1.02258844 - 397.8 / 1.030154439 - 5500 NPVₐ = 503.76 million pounds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7E15DE6E" w14:textId="77777777" w:rsidR="00C63336" w:rsidRPr="00C63336" w:rsidRDefault="00C63336" w:rsidP="00C63336">
            <w:pPr>
              <w:spacing w:after="0" w:line="240" w:lineRule="auto"/>
              <w:jc w:val="left"/>
              <w:rPr>
                <w:rFonts w:ascii="Segoe UI" w:eastAsia="Times New Roman" w:hAnsi="Segoe UI" w:cs="Segoe UI"/>
                <w:color w:val="0D0D0D"/>
                <w:sz w:val="21"/>
                <w:szCs w:val="21"/>
                <w:lang w:eastAsia="en-GB"/>
              </w:rPr>
            </w:pPr>
            <w:r w:rsidRPr="00C63336">
              <w:rPr>
                <w:rFonts w:ascii="Segoe UI" w:eastAsia="Times New Roman" w:hAnsi="Segoe UI" w:cs="Segoe UI"/>
                <w:color w:val="0D0D0D"/>
                <w:sz w:val="21"/>
                <w:szCs w:val="21"/>
                <w:lang w:eastAsia="en-GB"/>
              </w:rPr>
              <w:t>NPV = Σ (Cashflows / (1 + r)^n) - Initial Investment NPVₐ = -900 / (1 + 0.0075)^0 + 1350 / (1 + 0.0075)^1 + 900 / (1 + 0.0075)^2 + 900 / (1 + 0.0075)^3 - 423 / (1 + 0.0075)^4 - 1100 NPVₐ = -900 + 1350 / 1.0075 + 900 / 1.015025 + 900 / 1.02258844 - 423 / 1.030154439 - 1100 NPVₐ = 799.05 million pounds</w:t>
            </w:r>
          </w:p>
        </w:tc>
      </w:tr>
    </w:tbl>
    <w:p w14:paraId="39808093" w14:textId="6D6A065C" w:rsidR="007E3AC5" w:rsidRPr="00C63336" w:rsidRDefault="007E3AC5" w:rsidP="007D4D6E">
      <w:pPr>
        <w:spacing w:line="360" w:lineRule="auto"/>
      </w:pPr>
    </w:p>
    <w:p w14:paraId="2F4DAE84" w14:textId="1BF3AAED" w:rsidR="007D4D6E" w:rsidRPr="006818EA" w:rsidRDefault="00346F27" w:rsidP="007D4D6E">
      <w:pPr>
        <w:spacing w:line="360" w:lineRule="auto"/>
      </w:pPr>
      <w:r w:rsidRPr="00346F27">
        <w:t xml:space="preserve">After a 10% change in project consumptions and incomes, both Undertaking An and Task B yield positive NPVs. Project A produces £503.76 million NPV, while Venture B's NPV is higher. This suggests that Project B may provide a higher ROI. The decision is based on changes to investments </w:t>
      </w:r>
      <w:r w:rsidRPr="00346F27">
        <w:lastRenderedPageBreak/>
        <w:t xml:space="preserve">and cash flow. Notwithstanding the two undertakings being productive long haul, Venture B's higher NPV shows it could expand returns and improve investor esteem, settling on it </w:t>
      </w:r>
      <w:r w:rsidR="00495FC6">
        <w:t xml:space="preserve">as </w:t>
      </w:r>
      <w:r w:rsidRPr="00346F27">
        <w:t xml:space="preserve">the </w:t>
      </w:r>
      <w:r w:rsidR="00495FC6">
        <w:t>favoured</w:t>
      </w:r>
      <w:r w:rsidRPr="00346F27">
        <w:t xml:space="preserve"> speculation decision </w:t>
      </w:r>
      <w:r w:rsidR="004A756F">
        <w:t>given</w:t>
      </w:r>
      <w:r w:rsidRPr="00346F27">
        <w:t xml:space="preserve"> refined NPV information.</w:t>
      </w:r>
    </w:p>
    <w:p w14:paraId="07E0B67F" w14:textId="77777777" w:rsidR="00F903A9" w:rsidRDefault="00F903A9" w:rsidP="007D4D6E">
      <w:pPr>
        <w:pStyle w:val="Heading2"/>
      </w:pPr>
      <w:bookmarkStart w:id="19" w:name="_Toc162218572"/>
      <w:r>
        <w:t>Advantages and Disadvantages of Evaluation Techniques</w:t>
      </w:r>
      <w:bookmarkEnd w:id="19"/>
    </w:p>
    <w:tbl>
      <w:tblPr>
        <w:tblStyle w:val="TableGrid"/>
        <w:tblW w:w="0" w:type="auto"/>
        <w:tblLook w:val="04A0" w:firstRow="1" w:lastRow="0" w:firstColumn="1" w:lastColumn="0" w:noHBand="0" w:noVBand="1"/>
      </w:tblPr>
      <w:tblGrid>
        <w:gridCol w:w="4675"/>
        <w:gridCol w:w="4675"/>
      </w:tblGrid>
      <w:tr w:rsidR="008B7C76" w14:paraId="3E474B93" w14:textId="77777777" w:rsidTr="008F6884">
        <w:tc>
          <w:tcPr>
            <w:tcW w:w="9350" w:type="dxa"/>
            <w:gridSpan w:val="2"/>
          </w:tcPr>
          <w:p w14:paraId="65887041" w14:textId="52E69C9A" w:rsidR="008B7C76" w:rsidRPr="008B7C76" w:rsidRDefault="008B7C76" w:rsidP="007D4D6E">
            <w:pPr>
              <w:spacing w:after="0" w:line="360" w:lineRule="auto"/>
              <w:jc w:val="center"/>
              <w:rPr>
                <w:b/>
                <w:bCs/>
              </w:rPr>
            </w:pPr>
            <w:r w:rsidRPr="008B7C76">
              <w:rPr>
                <w:b/>
                <w:bCs/>
              </w:rPr>
              <w:t>Payback Period</w:t>
            </w:r>
          </w:p>
        </w:tc>
      </w:tr>
      <w:tr w:rsidR="008B7C76" w14:paraId="47657C05" w14:textId="77777777" w:rsidTr="008B7C76">
        <w:tc>
          <w:tcPr>
            <w:tcW w:w="4675" w:type="dxa"/>
          </w:tcPr>
          <w:p w14:paraId="502B17B3" w14:textId="37F7A1FB" w:rsidR="008B7C76" w:rsidRPr="008B7C76" w:rsidRDefault="008B7C76" w:rsidP="007D4D6E">
            <w:pPr>
              <w:spacing w:after="0" w:line="360" w:lineRule="auto"/>
              <w:jc w:val="center"/>
              <w:rPr>
                <w:b/>
                <w:bCs/>
              </w:rPr>
            </w:pPr>
            <w:r w:rsidRPr="008B7C76">
              <w:rPr>
                <w:b/>
                <w:bCs/>
              </w:rPr>
              <w:t>Advantages</w:t>
            </w:r>
          </w:p>
        </w:tc>
        <w:tc>
          <w:tcPr>
            <w:tcW w:w="4675" w:type="dxa"/>
          </w:tcPr>
          <w:p w14:paraId="20390AF1" w14:textId="1EB200A4" w:rsidR="008B7C76" w:rsidRPr="008B7C76" w:rsidRDefault="008B7C76" w:rsidP="007D4D6E">
            <w:pPr>
              <w:spacing w:after="0" w:line="360" w:lineRule="auto"/>
              <w:jc w:val="center"/>
              <w:rPr>
                <w:b/>
                <w:bCs/>
              </w:rPr>
            </w:pPr>
            <w:r w:rsidRPr="008B7C76">
              <w:rPr>
                <w:b/>
                <w:bCs/>
              </w:rPr>
              <w:t>Shortcomings</w:t>
            </w:r>
          </w:p>
        </w:tc>
      </w:tr>
      <w:tr w:rsidR="008B7C76" w14:paraId="2B908B12" w14:textId="77777777" w:rsidTr="008B7C76">
        <w:tc>
          <w:tcPr>
            <w:tcW w:w="4675" w:type="dxa"/>
          </w:tcPr>
          <w:p w14:paraId="1B5395B3" w14:textId="279B85AA" w:rsidR="008B7C76" w:rsidRDefault="005C42A3" w:rsidP="00ED0930">
            <w:pPr>
              <w:spacing w:after="0" w:line="360" w:lineRule="auto"/>
            </w:pPr>
            <w:r w:rsidRPr="005C42A3">
              <w:t xml:space="preserve">The Payback Period (PBP) has several perks making it a helpful tool for calculating the viability of investment projects. Firstly, its simplicity is a function helpful to the managers and other shareholders even somebody with </w:t>
            </w:r>
            <w:r w:rsidR="00565057">
              <w:t>inadequate financial knowledge</w:t>
            </w:r>
            <w:r w:rsidRPr="005C42A3">
              <w:t>. The PBP gives the actual calculation of the period required to recover the initial investment that matters for investor purposes and simplifies comparisons between various projects</w:t>
            </w:r>
            <w:r w:rsidR="00ED0930">
              <w:t xml:space="preserve"> (</w:t>
            </w:r>
            <w:r w:rsidR="00ED0930" w:rsidRPr="00ED0930">
              <w:t>Mathew</w:t>
            </w:r>
            <w:r w:rsidR="00ED0930">
              <w:t>, 2024)</w:t>
            </w:r>
            <w:r w:rsidRPr="005C42A3">
              <w:t xml:space="preserve">. Moreover, PBP is an effective instrument </w:t>
            </w:r>
            <w:r w:rsidR="00565057">
              <w:t>for</w:t>
            </w:r>
            <w:r w:rsidRPr="005C42A3">
              <w:t xml:space="preserve"> the task of risk assessment as the payback period reveals when will the initial investment be recouped. Those projects that exhibit lower risk are typically those with greater uptime. </w:t>
            </w:r>
            <w:r w:rsidR="00565057">
              <w:t>The risk</w:t>
            </w:r>
            <w:r w:rsidRPr="005C42A3">
              <w:t xml:space="preserve"> associated with these is lower, as they </w:t>
            </w:r>
            <w:r w:rsidR="00565057">
              <w:t>may</w:t>
            </w:r>
            <w:r w:rsidRPr="005C42A3">
              <w:t xml:space="preserve"> lead to </w:t>
            </w:r>
            <w:r w:rsidR="00565057">
              <w:t>a quicker return</w:t>
            </w:r>
            <w:r w:rsidRPr="005C42A3">
              <w:t xml:space="preserve"> </w:t>
            </w:r>
            <w:r w:rsidR="00565057">
              <w:t>for</w:t>
            </w:r>
            <w:r w:rsidRPr="005C42A3">
              <w:t xml:space="preserve"> investors. Thus, they may give </w:t>
            </w:r>
            <w:r w:rsidR="00565057">
              <w:t>decision-makers</w:t>
            </w:r>
            <w:r w:rsidRPr="005C42A3">
              <w:t xml:space="preserve"> makers measure of reassurance.</w:t>
            </w:r>
          </w:p>
        </w:tc>
        <w:tc>
          <w:tcPr>
            <w:tcW w:w="4675" w:type="dxa"/>
          </w:tcPr>
          <w:p w14:paraId="70A2AB3F" w14:textId="105607F1" w:rsidR="008B7C76" w:rsidRDefault="005C42A3" w:rsidP="007D4D6E">
            <w:pPr>
              <w:spacing w:after="0" w:line="360" w:lineRule="auto"/>
            </w:pPr>
            <w:r w:rsidRPr="005C42A3">
              <w:t xml:space="preserve">The main drawback is time discounting, which means interest does not consider any time delays. With the PBP method not taking into account not only the time but also the amount of money won or lost after the payback period, it is easy for one to draw false conclusions, particularly for a project that would lose and win currency at different moments in time. In the same way, PBP has some </w:t>
            </w:r>
            <w:r w:rsidR="00565057">
              <w:t>limitations</w:t>
            </w:r>
            <w:r w:rsidRPr="005C42A3">
              <w:t xml:space="preserve"> that </w:t>
            </w:r>
            <w:r w:rsidR="00565057">
              <w:t>deal</w:t>
            </w:r>
            <w:r w:rsidRPr="005C42A3">
              <w:t xml:space="preserve"> with only </w:t>
            </w:r>
            <w:r w:rsidR="00565057">
              <w:t xml:space="preserve">the </w:t>
            </w:r>
            <w:r w:rsidRPr="005C42A3">
              <w:t xml:space="preserve">payback period and not with cash flows that exist in the period beyond the payback period. Such negligence may lead to the country choosing to build projects that will give them </w:t>
            </w:r>
            <w:r w:rsidR="00565057">
              <w:t xml:space="preserve">a </w:t>
            </w:r>
            <w:r w:rsidRPr="005C42A3">
              <w:t xml:space="preserve">smaller return on investment in the long run, as there is </w:t>
            </w:r>
            <w:r w:rsidR="00565057">
              <w:t>no</w:t>
            </w:r>
            <w:r w:rsidRPr="005C42A3">
              <w:t xml:space="preserve"> PBP which depicts a single dimension of a project over its entire lifecycle with possible future benefits. Consequently, PBP can represent the simplicity of cash flows and earnings, but as it doesn’t account for the time value of money and long-term cash flows it just can’t compete for the most sophisticated and comprehensive </w:t>
            </w:r>
            <w:r w:rsidRPr="005C42A3">
              <w:lastRenderedPageBreak/>
              <w:t xml:space="preserve">investment evaluation tool with </w:t>
            </w:r>
            <w:r w:rsidR="00565057">
              <w:t xml:space="preserve">the </w:t>
            </w:r>
            <w:r w:rsidRPr="005C42A3">
              <w:t>present value method.</w:t>
            </w:r>
          </w:p>
        </w:tc>
      </w:tr>
    </w:tbl>
    <w:p w14:paraId="19317FE2" w14:textId="77777777" w:rsidR="008B7C76" w:rsidRDefault="008B7C76" w:rsidP="007D4D6E">
      <w:pPr>
        <w:spacing w:line="360" w:lineRule="auto"/>
      </w:pPr>
    </w:p>
    <w:tbl>
      <w:tblPr>
        <w:tblStyle w:val="TableGrid"/>
        <w:tblW w:w="0" w:type="auto"/>
        <w:tblLook w:val="04A0" w:firstRow="1" w:lastRow="0" w:firstColumn="1" w:lastColumn="0" w:noHBand="0" w:noVBand="1"/>
      </w:tblPr>
      <w:tblGrid>
        <w:gridCol w:w="4675"/>
        <w:gridCol w:w="4675"/>
      </w:tblGrid>
      <w:tr w:rsidR="008B7C76" w:rsidRPr="008B7C76" w14:paraId="6DBCBEFB" w14:textId="77777777" w:rsidTr="00AA7449">
        <w:tc>
          <w:tcPr>
            <w:tcW w:w="9350" w:type="dxa"/>
            <w:gridSpan w:val="2"/>
          </w:tcPr>
          <w:p w14:paraId="627997AD" w14:textId="5137FB34" w:rsidR="008B7C76" w:rsidRPr="008B7C76" w:rsidRDefault="008B7C76" w:rsidP="007D4D6E">
            <w:pPr>
              <w:spacing w:after="0" w:line="360" w:lineRule="auto"/>
              <w:jc w:val="center"/>
              <w:rPr>
                <w:b/>
                <w:bCs/>
              </w:rPr>
            </w:pPr>
            <w:r>
              <w:rPr>
                <w:b/>
                <w:bCs/>
              </w:rPr>
              <w:t>Accounting Rate of Return</w:t>
            </w:r>
          </w:p>
        </w:tc>
      </w:tr>
      <w:tr w:rsidR="008B7C76" w:rsidRPr="008B7C76" w14:paraId="66CF4343" w14:textId="77777777" w:rsidTr="00AA7449">
        <w:tc>
          <w:tcPr>
            <w:tcW w:w="4675" w:type="dxa"/>
          </w:tcPr>
          <w:p w14:paraId="7CF79C0A" w14:textId="77777777" w:rsidR="008B7C76" w:rsidRPr="008B7C76" w:rsidRDefault="008B7C76" w:rsidP="007D4D6E">
            <w:pPr>
              <w:spacing w:after="0" w:line="360" w:lineRule="auto"/>
              <w:jc w:val="center"/>
              <w:rPr>
                <w:b/>
                <w:bCs/>
              </w:rPr>
            </w:pPr>
            <w:r w:rsidRPr="008B7C76">
              <w:rPr>
                <w:b/>
                <w:bCs/>
              </w:rPr>
              <w:t>Advantages</w:t>
            </w:r>
          </w:p>
        </w:tc>
        <w:tc>
          <w:tcPr>
            <w:tcW w:w="4675" w:type="dxa"/>
          </w:tcPr>
          <w:p w14:paraId="422A2B63" w14:textId="77777777" w:rsidR="008B7C76" w:rsidRPr="008B7C76" w:rsidRDefault="008B7C76" w:rsidP="007D4D6E">
            <w:pPr>
              <w:spacing w:after="0" w:line="360" w:lineRule="auto"/>
              <w:jc w:val="center"/>
              <w:rPr>
                <w:b/>
                <w:bCs/>
              </w:rPr>
            </w:pPr>
            <w:r w:rsidRPr="008B7C76">
              <w:rPr>
                <w:b/>
                <w:bCs/>
              </w:rPr>
              <w:t>Shortcomings</w:t>
            </w:r>
          </w:p>
        </w:tc>
      </w:tr>
      <w:tr w:rsidR="008B7C76" w14:paraId="6DAC7665" w14:textId="77777777" w:rsidTr="00AA7449">
        <w:tc>
          <w:tcPr>
            <w:tcW w:w="4675" w:type="dxa"/>
          </w:tcPr>
          <w:p w14:paraId="38545A6D" w14:textId="74763877" w:rsidR="008B7C76" w:rsidRPr="004B11B6" w:rsidRDefault="004B11B6" w:rsidP="00EC671A">
            <w:pPr>
              <w:spacing w:after="0" w:line="360" w:lineRule="auto"/>
            </w:pPr>
            <w:r w:rsidRPr="004B11B6">
              <w:t xml:space="preserve">Accounting Rate of Return (ARR), on the side of balances, has </w:t>
            </w:r>
            <w:r w:rsidR="00565057">
              <w:t>several</w:t>
            </w:r>
            <w:r w:rsidRPr="004B11B6">
              <w:t xml:space="preserve"> dignities in the project investment analysis. Moreover, similar to the PBP ARR is simple to compute and comprehend, thus non-financial professionals have the autonomy to calculate these variables easily</w:t>
            </w:r>
            <w:r w:rsidR="00EC671A">
              <w:t xml:space="preserve"> (</w:t>
            </w:r>
            <w:r w:rsidR="00EC671A" w:rsidRPr="00EC671A">
              <w:t>(Newell, Pizer &amp; Prest 2024)</w:t>
            </w:r>
            <w:r w:rsidRPr="004B11B6">
              <w:t xml:space="preserve">. Its simple formula makes it quite a straightforward task by looking at the accounting profits compared to the initial investment as a way of understanding whether the project is profitable or whether it is a cost </w:t>
            </w:r>
            <w:r w:rsidR="00565057">
              <w:t>known</w:t>
            </w:r>
            <w:r w:rsidRPr="004B11B6">
              <w:t xml:space="preserve"> for sure. Besides, ARR pertains to accounting profits that are written in a manner that is compatible with the common understanding of managers and other investors thus it becomes more applicable and meaningful.</w:t>
            </w:r>
          </w:p>
        </w:tc>
        <w:tc>
          <w:tcPr>
            <w:tcW w:w="4675" w:type="dxa"/>
          </w:tcPr>
          <w:p w14:paraId="171DCF75" w14:textId="63F3A886" w:rsidR="008B7C76" w:rsidRDefault="004B11B6" w:rsidP="008E2B1C">
            <w:pPr>
              <w:spacing w:after="0" w:line="360" w:lineRule="auto"/>
            </w:pPr>
            <w:r w:rsidRPr="004B11B6">
              <w:t xml:space="preserve">One pitfall of the method is the fact that it doesn't consider </w:t>
            </w:r>
            <w:r w:rsidR="00565057">
              <w:t xml:space="preserve">the </w:t>
            </w:r>
            <w:r w:rsidRPr="004B11B6">
              <w:t xml:space="preserve">time value of money, similar to the one of the Payback Period. ARR does not pay due attention to </w:t>
            </w:r>
            <w:r w:rsidR="00565057">
              <w:t xml:space="preserve">the </w:t>
            </w:r>
            <w:r w:rsidRPr="004B11B6">
              <w:t xml:space="preserve">timing and amount of cash flows and ignores them at financing costs. </w:t>
            </w:r>
            <w:r w:rsidR="00565057">
              <w:t>As</w:t>
            </w:r>
            <w:r w:rsidRPr="004B11B6">
              <w:t xml:space="preserve"> </w:t>
            </w:r>
            <w:r w:rsidR="00565057">
              <w:t xml:space="preserve">a </w:t>
            </w:r>
            <w:r w:rsidRPr="004B11B6">
              <w:t xml:space="preserve">result, ARR may bring about inaccurate assessments of the project’s profitability in the case of projects that have </w:t>
            </w:r>
            <w:r w:rsidR="00565057">
              <w:t xml:space="preserve">a </w:t>
            </w:r>
            <w:r w:rsidRPr="004B11B6">
              <w:t>long time duration or experience uneven flow of projects over time</w:t>
            </w:r>
            <w:r w:rsidR="008E2B1C">
              <w:t xml:space="preserve"> (</w:t>
            </w:r>
            <w:r w:rsidR="008E2B1C" w:rsidRPr="008E2B1C">
              <w:t>Rexhepi</w:t>
            </w:r>
            <w:r w:rsidR="008E2B1C">
              <w:t>, 2024)</w:t>
            </w:r>
            <w:r w:rsidRPr="004B11B6">
              <w:t xml:space="preserve">. On top of this, ARR </w:t>
            </w:r>
            <w:r w:rsidR="00565057">
              <w:t>employs</w:t>
            </w:r>
            <w:r w:rsidRPr="004B11B6">
              <w:t xml:space="preserve"> solely accounting profits that can be subject to accounting methods and assumptions reliance </w:t>
            </w:r>
            <w:r w:rsidR="00565057">
              <w:t>which</w:t>
            </w:r>
            <w:r w:rsidRPr="004B11B6">
              <w:t xml:space="preserve"> can affect the conclusions identification as misleading. Additionally, ARR is only about the question of revenue, whereas cash flows – which are the crux – of the activity are not included in the assessment. Hence, while ARR provides simplicity and profits in mind as </w:t>
            </w:r>
            <w:r w:rsidR="00565057">
              <w:t xml:space="preserve">the </w:t>
            </w:r>
            <w:r w:rsidRPr="004B11B6">
              <w:t xml:space="preserve">main elements of the investment valuation, the problem is the fact that </w:t>
            </w:r>
            <w:r w:rsidR="00565057">
              <w:t xml:space="preserve">the </w:t>
            </w:r>
            <w:r w:rsidRPr="004B11B6">
              <w:t>time value of money is ignored and the financial criteria applied according to accounting profits are slack in assessing profitability comprehensively.</w:t>
            </w:r>
          </w:p>
        </w:tc>
      </w:tr>
    </w:tbl>
    <w:p w14:paraId="1C905AF7" w14:textId="77777777" w:rsidR="007D4D6E" w:rsidRDefault="007D4D6E" w:rsidP="007D4D6E">
      <w:pPr>
        <w:spacing w:line="360" w:lineRule="auto"/>
      </w:pPr>
    </w:p>
    <w:tbl>
      <w:tblPr>
        <w:tblStyle w:val="TableGrid"/>
        <w:tblW w:w="0" w:type="auto"/>
        <w:tblLook w:val="04A0" w:firstRow="1" w:lastRow="0" w:firstColumn="1" w:lastColumn="0" w:noHBand="0" w:noVBand="1"/>
      </w:tblPr>
      <w:tblGrid>
        <w:gridCol w:w="4675"/>
        <w:gridCol w:w="4675"/>
      </w:tblGrid>
      <w:tr w:rsidR="008B7C76" w:rsidRPr="008B7C76" w14:paraId="7007D417" w14:textId="77777777" w:rsidTr="00AA7449">
        <w:tc>
          <w:tcPr>
            <w:tcW w:w="9350" w:type="dxa"/>
            <w:gridSpan w:val="2"/>
          </w:tcPr>
          <w:p w14:paraId="169F157B" w14:textId="3CA3EE55" w:rsidR="008B7C76" w:rsidRPr="008B7C76" w:rsidRDefault="008B7C76" w:rsidP="007D4D6E">
            <w:pPr>
              <w:spacing w:after="0" w:line="360" w:lineRule="auto"/>
              <w:jc w:val="center"/>
              <w:rPr>
                <w:b/>
                <w:bCs/>
              </w:rPr>
            </w:pPr>
            <w:r>
              <w:rPr>
                <w:b/>
                <w:bCs/>
              </w:rPr>
              <w:lastRenderedPageBreak/>
              <w:t>Net Present Value</w:t>
            </w:r>
          </w:p>
        </w:tc>
      </w:tr>
      <w:tr w:rsidR="008B7C76" w:rsidRPr="008B7C76" w14:paraId="46F5E14D" w14:textId="77777777" w:rsidTr="00AA7449">
        <w:tc>
          <w:tcPr>
            <w:tcW w:w="4675" w:type="dxa"/>
          </w:tcPr>
          <w:p w14:paraId="77607056" w14:textId="77777777" w:rsidR="008B7C76" w:rsidRPr="008B7C76" w:rsidRDefault="008B7C76" w:rsidP="007D4D6E">
            <w:pPr>
              <w:spacing w:after="0" w:line="360" w:lineRule="auto"/>
              <w:jc w:val="center"/>
              <w:rPr>
                <w:b/>
                <w:bCs/>
              </w:rPr>
            </w:pPr>
            <w:r w:rsidRPr="008B7C76">
              <w:rPr>
                <w:b/>
                <w:bCs/>
              </w:rPr>
              <w:t>Advantages</w:t>
            </w:r>
          </w:p>
        </w:tc>
        <w:tc>
          <w:tcPr>
            <w:tcW w:w="4675" w:type="dxa"/>
          </w:tcPr>
          <w:p w14:paraId="49C2885B" w14:textId="77777777" w:rsidR="008B7C76" w:rsidRPr="008B7C76" w:rsidRDefault="008B7C76" w:rsidP="007D4D6E">
            <w:pPr>
              <w:spacing w:after="0" w:line="360" w:lineRule="auto"/>
              <w:jc w:val="center"/>
              <w:rPr>
                <w:b/>
                <w:bCs/>
              </w:rPr>
            </w:pPr>
            <w:r w:rsidRPr="008B7C76">
              <w:rPr>
                <w:b/>
                <w:bCs/>
              </w:rPr>
              <w:t>Shortcomings</w:t>
            </w:r>
          </w:p>
        </w:tc>
      </w:tr>
      <w:tr w:rsidR="008B7C76" w14:paraId="27115A5D" w14:textId="77777777" w:rsidTr="00AA7449">
        <w:tc>
          <w:tcPr>
            <w:tcW w:w="4675" w:type="dxa"/>
          </w:tcPr>
          <w:p w14:paraId="61D1236F" w14:textId="3BAC8DB6" w:rsidR="008B7C76" w:rsidRDefault="004B11B6" w:rsidP="00EB7FBA">
            <w:pPr>
              <w:spacing w:after="0" w:line="360" w:lineRule="auto"/>
            </w:pPr>
            <w:r w:rsidRPr="004B11B6">
              <w:t xml:space="preserve">NPV has the merit of being among the simplest methods of project evaluation. Thus, NPV approaches the time value of money as a factor, by discounting future </w:t>
            </w:r>
            <w:r w:rsidR="00565057">
              <w:t>cash flows</w:t>
            </w:r>
            <w:r w:rsidRPr="004B11B6">
              <w:t xml:space="preserve"> to their present equivalent. The division of the risk-adjusted discounted concept into mutually exclusive pairs builds the basics of a more precise determination of a project's profitability over time, at the same time teaching investors to make decisions</w:t>
            </w:r>
            <w:r w:rsidR="00EB7FBA">
              <w:t xml:space="preserve"> </w:t>
            </w:r>
            <w:r w:rsidR="00EB7FBA" w:rsidRPr="00EB7FBA">
              <w:t>(Lapkhanov &amp; Kabachenko 2024)</w:t>
            </w:r>
            <w:r w:rsidRPr="004B11B6">
              <w:t xml:space="preserve">. In addition, NPV utilizes a </w:t>
            </w:r>
            <w:r w:rsidR="00565057">
              <w:t>totalling</w:t>
            </w:r>
            <w:r w:rsidRPr="004B11B6">
              <w:t xml:space="preserve"> approach through which it considers all the finances from the project both the income and the expense. With this comprehensive view, the </w:t>
            </w:r>
            <w:r w:rsidR="00565057">
              <w:t>decision-makers</w:t>
            </w:r>
            <w:r w:rsidRPr="004B11B6">
              <w:t xml:space="preserve"> grasp the full picture of the financial consequences and </w:t>
            </w:r>
            <w:r w:rsidR="00565057">
              <w:t>can</w:t>
            </w:r>
            <w:r w:rsidRPr="004B11B6">
              <w:t xml:space="preserve"> make more reasonable decisions about funding allocation and </w:t>
            </w:r>
            <w:r w:rsidR="00565057">
              <w:t>projects</w:t>
            </w:r>
            <w:r w:rsidRPr="004B11B6">
              <w:t>.</w:t>
            </w:r>
          </w:p>
        </w:tc>
        <w:tc>
          <w:tcPr>
            <w:tcW w:w="4675" w:type="dxa"/>
          </w:tcPr>
          <w:p w14:paraId="2F4938B6" w14:textId="5BEDDC09" w:rsidR="008B7C76" w:rsidRDefault="004B11B6" w:rsidP="00EB7FBA">
            <w:pPr>
              <w:spacing w:after="0" w:line="360" w:lineRule="auto"/>
            </w:pPr>
            <w:r w:rsidRPr="004B11B6">
              <w:t>Among the constraints it has, the main one is the fact that it brings with it the level of complicat</w:t>
            </w:r>
            <w:r>
              <w:t>ions</w:t>
            </w:r>
            <w:r w:rsidRPr="004B11B6">
              <w:t xml:space="preserve">, that involve fine discount rate calculations and cash flow projections. Such </w:t>
            </w:r>
            <w:r w:rsidR="00565057">
              <w:t>complications</w:t>
            </w:r>
            <w:r w:rsidRPr="004B11B6">
              <w:t xml:space="preserve"> might make NPV obscure to people who don</w:t>
            </w:r>
            <w:r>
              <w:t>’t</w:t>
            </w:r>
            <w:r w:rsidRPr="004B11B6">
              <w:t xml:space="preserve"> have financial qualifications, thereby lowering its usefulness to the decision-making process. Besides this, NPV is also highly subjective to the discount rate which is based on inception assumptions about the capital expense</w:t>
            </w:r>
            <w:r w:rsidR="00EB7FBA">
              <w:t xml:space="preserve"> </w:t>
            </w:r>
            <w:r w:rsidR="00EB7FBA" w:rsidRPr="00EB7FBA">
              <w:t>(Cho et al. 2024)</w:t>
            </w:r>
            <w:r w:rsidRPr="004B11B6">
              <w:t xml:space="preserve">. Minor tweaks in these assumptions can have a dramatic effect on the result NPV figures so the emphasis should be on the detailed analysis of them and the final decision should be well-grounded on the data obtained. Consequently, </w:t>
            </w:r>
            <w:r w:rsidR="00565057">
              <w:t>even though</w:t>
            </w:r>
            <w:r w:rsidRPr="004B11B6">
              <w:t xml:space="preserve"> </w:t>
            </w:r>
            <w:r w:rsidR="00565057">
              <w:t xml:space="preserve">the </w:t>
            </w:r>
            <w:r w:rsidRPr="004B11B6">
              <w:t xml:space="preserve">NPV framework is relatively comprehensive in figuring </w:t>
            </w:r>
            <w:r w:rsidR="00565057">
              <w:t>out</w:t>
            </w:r>
            <w:r w:rsidRPr="004B11B6">
              <w:t xml:space="preserve"> investment projects, it remains subject to complication because</w:t>
            </w:r>
            <w:r w:rsidR="00565057">
              <w:t>,</w:t>
            </w:r>
            <w:r w:rsidRPr="004B11B6">
              <w:t xml:space="preserve"> for a reliable result, assumptions should be observed.</w:t>
            </w:r>
          </w:p>
        </w:tc>
      </w:tr>
    </w:tbl>
    <w:p w14:paraId="70D48305" w14:textId="7F5559A3" w:rsidR="00F903A9" w:rsidRDefault="00AB63E2" w:rsidP="007D4D6E">
      <w:pPr>
        <w:pStyle w:val="Heading2"/>
      </w:pPr>
      <w:bookmarkStart w:id="20" w:name="_Toc162218573"/>
      <w:r>
        <w:t>Non-Financial Factors</w:t>
      </w:r>
      <w:bookmarkEnd w:id="20"/>
    </w:p>
    <w:p w14:paraId="50980B40" w14:textId="5E09B808" w:rsidR="00C235D5" w:rsidRPr="004B11B6" w:rsidRDefault="001D4943" w:rsidP="006818EA">
      <w:pPr>
        <w:spacing w:line="360" w:lineRule="auto"/>
      </w:pPr>
      <w:r w:rsidRPr="001D4943">
        <w:t xml:space="preserve">Managers today should consider both monetary measurements and non-monetary elements like ecological effect, local area commitment, and environmental change while assessing projects. Along with market requirements and competitive analysis, operational alignment with long-term objectives is essential. Consistency with regulations and guidelines is fundamental to keeping away from lawful issues and safeguarding notoriety. Throughout the project lifecycle, stakeholder management, efficient communication, and risk mitigation are crucial. Assessing ecological and </w:t>
      </w:r>
      <w:r w:rsidRPr="001D4943">
        <w:lastRenderedPageBreak/>
        <w:t>social effects guarantees moral direction and manageability. Lastly, long-term success is ensured by adapting to shifting circumstances and incorporating adaptable strategies.</w:t>
      </w:r>
    </w:p>
    <w:p w14:paraId="037A1429" w14:textId="77777777" w:rsidR="00C235D5" w:rsidRDefault="00C235D5" w:rsidP="006818EA">
      <w:pPr>
        <w:spacing w:line="360" w:lineRule="auto"/>
      </w:pPr>
    </w:p>
    <w:p w14:paraId="0530F3B9" w14:textId="77777777" w:rsidR="00C235D5" w:rsidRDefault="00C235D5" w:rsidP="006818EA">
      <w:pPr>
        <w:spacing w:line="360" w:lineRule="auto"/>
      </w:pPr>
    </w:p>
    <w:p w14:paraId="7A80AB97" w14:textId="77777777" w:rsidR="00C235D5" w:rsidRDefault="00C235D5" w:rsidP="006818EA">
      <w:pPr>
        <w:spacing w:line="360" w:lineRule="auto"/>
      </w:pPr>
    </w:p>
    <w:p w14:paraId="3020D2C9" w14:textId="77777777" w:rsidR="00C235D5" w:rsidRDefault="00C235D5" w:rsidP="006818EA">
      <w:pPr>
        <w:spacing w:line="360" w:lineRule="auto"/>
      </w:pPr>
    </w:p>
    <w:p w14:paraId="5833B84D" w14:textId="77777777" w:rsidR="004073A3" w:rsidRDefault="004073A3" w:rsidP="006818EA">
      <w:pPr>
        <w:spacing w:line="360" w:lineRule="auto"/>
      </w:pPr>
    </w:p>
    <w:p w14:paraId="4880F3FE" w14:textId="77777777" w:rsidR="004073A3" w:rsidRDefault="004073A3" w:rsidP="006818EA">
      <w:pPr>
        <w:spacing w:line="360" w:lineRule="auto"/>
      </w:pPr>
    </w:p>
    <w:p w14:paraId="1689B62A" w14:textId="77777777" w:rsidR="004073A3" w:rsidRDefault="004073A3" w:rsidP="006818EA">
      <w:pPr>
        <w:spacing w:line="360" w:lineRule="auto"/>
      </w:pPr>
    </w:p>
    <w:p w14:paraId="4A3A797A" w14:textId="77777777" w:rsidR="004073A3" w:rsidRDefault="004073A3" w:rsidP="006818EA">
      <w:pPr>
        <w:spacing w:line="360" w:lineRule="auto"/>
      </w:pPr>
    </w:p>
    <w:p w14:paraId="50A4B820" w14:textId="77777777" w:rsidR="001D4943" w:rsidRDefault="001D4943" w:rsidP="006818EA">
      <w:pPr>
        <w:spacing w:line="360" w:lineRule="auto"/>
      </w:pPr>
    </w:p>
    <w:p w14:paraId="459C3F9B" w14:textId="77777777" w:rsidR="001D4943" w:rsidRDefault="001D4943" w:rsidP="006818EA">
      <w:pPr>
        <w:spacing w:line="360" w:lineRule="auto"/>
      </w:pPr>
    </w:p>
    <w:p w14:paraId="5BDBA637" w14:textId="77777777" w:rsidR="004073A3" w:rsidRDefault="004073A3" w:rsidP="006818EA">
      <w:pPr>
        <w:spacing w:line="360" w:lineRule="auto"/>
        <w:rPr>
          <w:lang w:val="en-US"/>
        </w:rPr>
      </w:pPr>
    </w:p>
    <w:p w14:paraId="3B00D63E" w14:textId="77777777" w:rsidR="00CA3000" w:rsidRDefault="00CA3000" w:rsidP="006818EA">
      <w:pPr>
        <w:spacing w:line="360" w:lineRule="auto"/>
        <w:rPr>
          <w:lang w:val="en-US"/>
        </w:rPr>
      </w:pPr>
    </w:p>
    <w:p w14:paraId="53B16329" w14:textId="77777777" w:rsidR="00CA3000" w:rsidRDefault="00CA3000" w:rsidP="006818EA">
      <w:pPr>
        <w:spacing w:line="360" w:lineRule="auto"/>
        <w:rPr>
          <w:lang w:val="en-US"/>
        </w:rPr>
      </w:pPr>
    </w:p>
    <w:p w14:paraId="4BF0212B" w14:textId="77777777" w:rsidR="00CA3000" w:rsidRDefault="00CA3000" w:rsidP="006818EA">
      <w:pPr>
        <w:spacing w:line="360" w:lineRule="auto"/>
        <w:rPr>
          <w:lang w:val="en-US"/>
        </w:rPr>
      </w:pPr>
    </w:p>
    <w:p w14:paraId="541894D3" w14:textId="77777777" w:rsidR="00CA3000" w:rsidRDefault="00CA3000" w:rsidP="006818EA">
      <w:pPr>
        <w:spacing w:line="360" w:lineRule="auto"/>
        <w:rPr>
          <w:lang w:val="en-US"/>
        </w:rPr>
      </w:pPr>
    </w:p>
    <w:p w14:paraId="2DC412A5" w14:textId="77777777" w:rsidR="00CA3000" w:rsidRDefault="00CA3000" w:rsidP="006818EA">
      <w:pPr>
        <w:spacing w:line="360" w:lineRule="auto"/>
        <w:rPr>
          <w:lang w:val="en-US"/>
        </w:rPr>
      </w:pPr>
    </w:p>
    <w:p w14:paraId="2627DE23" w14:textId="77777777" w:rsidR="00CA3000" w:rsidRDefault="00CA3000" w:rsidP="006818EA">
      <w:pPr>
        <w:spacing w:line="360" w:lineRule="auto"/>
        <w:rPr>
          <w:lang w:val="en-US"/>
        </w:rPr>
      </w:pPr>
    </w:p>
    <w:p w14:paraId="1397162C" w14:textId="77777777" w:rsidR="004073A3" w:rsidRPr="009C6314" w:rsidRDefault="004073A3" w:rsidP="006818EA">
      <w:pPr>
        <w:spacing w:line="360" w:lineRule="auto"/>
      </w:pPr>
    </w:p>
    <w:p w14:paraId="566B7537" w14:textId="77777777" w:rsidR="004B11B6" w:rsidRDefault="004B11B6" w:rsidP="006818EA">
      <w:pPr>
        <w:spacing w:line="360" w:lineRule="auto"/>
      </w:pPr>
    </w:p>
    <w:p w14:paraId="38F46ED1" w14:textId="380A8E75" w:rsidR="00C235D5" w:rsidRDefault="00C235D5" w:rsidP="00D70B82">
      <w:pPr>
        <w:pStyle w:val="Heading1"/>
        <w:spacing w:line="360" w:lineRule="auto"/>
      </w:pPr>
      <w:bookmarkStart w:id="21" w:name="_Toc162218574"/>
      <w:r>
        <w:lastRenderedPageBreak/>
        <w:t>References</w:t>
      </w:r>
      <w:bookmarkEnd w:id="21"/>
    </w:p>
    <w:p w14:paraId="56780FEF" w14:textId="77777777" w:rsidR="00EB7FBA" w:rsidRDefault="00EB7FBA" w:rsidP="002579D9">
      <w:r w:rsidRPr="002579D9">
        <w:t>Arman, H., 2023. EMBRACING FINANCE 4.0: THE OPPORTUNITY FOR ARMENIAN BANKS TO TRANSFORM AND THRIVE. Вестник Армянского государственного экономического университета, (1), pp.19-25.</w:t>
      </w:r>
    </w:p>
    <w:p w14:paraId="57083650" w14:textId="77777777" w:rsidR="00EB7FBA" w:rsidRDefault="00EB7FBA" w:rsidP="005A0AB0">
      <w:bookmarkStart w:id="22" w:name="_Hlk165126112"/>
      <w:r w:rsidRPr="005A0AB0">
        <w:t>Balyuk</w:t>
      </w:r>
      <w:bookmarkEnd w:id="22"/>
      <w:r w:rsidRPr="005A0AB0">
        <w:t>, T., 2016. </w:t>
      </w:r>
      <w:r w:rsidRPr="005A0AB0">
        <w:rPr>
          <w:i/>
          <w:iCs/>
        </w:rPr>
        <w:t>Financial innovation and borrowers: Evidence from peer-to-peer lending</w:t>
      </w:r>
      <w:r w:rsidRPr="005A0AB0">
        <w:t>. Toronto, ON, Canada: University of Toronto-Rotman School of Management.</w:t>
      </w:r>
    </w:p>
    <w:p w14:paraId="711889E1" w14:textId="77777777" w:rsidR="00EB7FBA" w:rsidRPr="002579D9" w:rsidRDefault="00EB7FBA" w:rsidP="002579D9">
      <w:r w:rsidRPr="00FA6941">
        <w:t>Ceppi, J.P., 2023. Survey of the Banking Regulatory Agencies' Enforcement Actions against Individual Bankers between 2017 and 2022. Corp. &amp; Bus. LJ, 4, p.260.</w:t>
      </w:r>
    </w:p>
    <w:p w14:paraId="556E6F61" w14:textId="77777777" w:rsidR="00EB7FBA" w:rsidRDefault="00EB7FBA" w:rsidP="002579D9">
      <w:r w:rsidRPr="002579D9">
        <w:t>Chestek, K., 2019. Of Metaphors and Magic Wands: Are Corporations People</w:t>
      </w:r>
      <w:r>
        <w:t>?</w:t>
      </w:r>
      <w:r w:rsidRPr="002579D9">
        <w:t xml:space="preserve"> Miss. LJ, 89, p.1.</w:t>
      </w:r>
    </w:p>
    <w:p w14:paraId="08B3B2C9" w14:textId="77777777" w:rsidR="00EB7FBA" w:rsidRDefault="00EB7FBA" w:rsidP="00EB7FBA">
      <w:r w:rsidRPr="00EB7FBA">
        <w:t>Cho, T., Kremens, L., Lee, D. and Polk, C., 2024. Scale or yield? A present-value identity. </w:t>
      </w:r>
      <w:r w:rsidRPr="00EB7FBA">
        <w:rPr>
          <w:i/>
          <w:iCs/>
        </w:rPr>
        <w:t>The Review of Financial Studies</w:t>
      </w:r>
      <w:r w:rsidRPr="00EB7FBA">
        <w:t>, </w:t>
      </w:r>
      <w:r w:rsidRPr="00EB7FBA">
        <w:rPr>
          <w:i/>
          <w:iCs/>
        </w:rPr>
        <w:t>37</w:t>
      </w:r>
      <w:r w:rsidRPr="00EB7FBA">
        <w:t>(3), pp.950-988.</w:t>
      </w:r>
    </w:p>
    <w:p w14:paraId="70DE74A0" w14:textId="77777777" w:rsidR="00EB7FBA" w:rsidRDefault="00EB7FBA" w:rsidP="002579D9">
      <w:r w:rsidRPr="003C20E7">
        <w:t>Ghuman, D., 2020. Financial Analysis of Middle Market Banking &amp; Specialized Industries.</w:t>
      </w:r>
    </w:p>
    <w:p w14:paraId="212D1364" w14:textId="77777777" w:rsidR="00EB7FBA" w:rsidRDefault="00EB7FBA" w:rsidP="002579D9">
      <w:r w:rsidRPr="002F50CF">
        <w:t xml:space="preserve">Gomber, P., Kauffman, R.J., Parker, C. and Weber, B.W., 2018. On the fintech revolution: Interpreting the forces of innovation, disruption, and transformation in financial services. Journal of </w:t>
      </w:r>
      <w:r>
        <w:t>Management Information Systems</w:t>
      </w:r>
      <w:r w:rsidRPr="002F50CF">
        <w:t>, 35(1), pp.220-265.</w:t>
      </w:r>
    </w:p>
    <w:p w14:paraId="594DA125" w14:textId="77777777" w:rsidR="00EB7FBA" w:rsidRDefault="00EB7FBA" w:rsidP="002579D9">
      <w:r w:rsidRPr="00966A63">
        <w:t>Hamdani, A. and Kastiel, K., 2022. Superstar CEOs and Corporate Law. Wash. UL Rev., 100, p.1353.</w:t>
      </w:r>
    </w:p>
    <w:p w14:paraId="122BDCAA" w14:textId="77777777" w:rsidR="00EB7FBA" w:rsidRDefault="00EB7FBA" w:rsidP="002579D9">
      <w:r>
        <w:t>Heart</w:t>
      </w:r>
      <w:r w:rsidRPr="00201805">
        <w:t>, L.B., 2018. JPMorgan Chase, Bank of America, Wells Fargo, and the financial crisis of 2008. International Journal of Business Communication, 55(2), pp.237-260.</w:t>
      </w:r>
    </w:p>
    <w:p w14:paraId="37BD1F87" w14:textId="77777777" w:rsidR="00EB7FBA" w:rsidRDefault="00EB7FBA" w:rsidP="002579D9">
      <w:r w:rsidRPr="00CA36E8">
        <w:t xml:space="preserve">Karmańska, A. and Wiśniewska, D., 2020. The concept of a ratio analysis of consolidated financial statements applied to listed capital groups </w:t>
      </w:r>
      <w:r>
        <w:t>in</w:t>
      </w:r>
      <w:r w:rsidRPr="00CA36E8">
        <w:t xml:space="preserve"> the example of the Deutsche Börse Group. Zeszyty Teoretyczne Rachunkowości, (110 (166)), pp.155-180.</w:t>
      </w:r>
    </w:p>
    <w:p w14:paraId="6D6F599A" w14:textId="77777777" w:rsidR="00EB7FBA" w:rsidRDefault="00EB7FBA" w:rsidP="002579D9">
      <w:r w:rsidRPr="007905A4">
        <w:t>Kroeller, B.J., 2023. BEST PRACTICES TO CONSIDER WHEN BUILDING A NATIONAL CIVIL RESERVE CYBER FORCE (CRCF) FRAMEWORK.</w:t>
      </w:r>
    </w:p>
    <w:p w14:paraId="63CD67CC" w14:textId="77777777" w:rsidR="00EB7FBA" w:rsidRDefault="00EB7FBA" w:rsidP="002579D9">
      <w:r w:rsidRPr="00155C48">
        <w:t>Kusuma, M., 2021. Measurement of Return on Asset (ROA) based on Comprehensive Income and its Ability to Predict Investment Returns: Empirical Evidence on Go Public Companies in Indonesia before and during the Covid-19 Pandemic. Ekuilibrium: Jurnal Ilmiah Bidang Ilmu Ekonomi, 16(1), pp.94-106.</w:t>
      </w:r>
    </w:p>
    <w:p w14:paraId="5A13EAE1" w14:textId="77777777" w:rsidR="00EB7FBA" w:rsidRPr="007A46A2" w:rsidRDefault="00EB7FBA" w:rsidP="00EB7FBA">
      <w:r w:rsidRPr="00EB7FBA">
        <w:t>Lapkhanov, E. and Kabachenko, D., 2024. PECULIARITIES OF THE NET PRESENT VALUE AND PROFIT INDEX CALCULATIONS USING CONTINIOUS FUNCTIONS AND DIFFERENTIAL EQUATIONS MODELS. </w:t>
      </w:r>
      <w:r w:rsidRPr="00EB7FBA">
        <w:rPr>
          <w:i/>
          <w:iCs/>
        </w:rPr>
        <w:t>Publishing House “Baltija Publishing”</w:t>
      </w:r>
      <w:r w:rsidRPr="00EB7FBA">
        <w:t>.</w:t>
      </w:r>
    </w:p>
    <w:p w14:paraId="4926978C" w14:textId="77777777" w:rsidR="00EB7FBA" w:rsidRDefault="00EB7FBA" w:rsidP="002579D9">
      <w:r w:rsidRPr="00AF5539">
        <w:t>Lee, C.C., 2023. Analyses of the operating performance of information service companies based on indicators of financial statements. Asia Pacific Management Review, 28(4), pp.410-419.</w:t>
      </w:r>
    </w:p>
    <w:p w14:paraId="6890BF95" w14:textId="77777777" w:rsidR="00EB7FBA" w:rsidRDefault="00EB7FBA" w:rsidP="002579D9">
      <w:r w:rsidRPr="00161CF8">
        <w:t>Lyu, S., Lu, T., Sang, D. and Kang, S., 2024. The Effects of Collapsion of SVB on JP Morgan &amp; Signature Bank’s Stock. Finance &amp; Economics, 1(5).</w:t>
      </w:r>
    </w:p>
    <w:p w14:paraId="14129C49" w14:textId="77777777" w:rsidR="00EB7FBA" w:rsidRPr="002579D9" w:rsidRDefault="00EB7FBA" w:rsidP="002579D9">
      <w:r w:rsidRPr="005F3F93">
        <w:lastRenderedPageBreak/>
        <w:t>Macey, J.R. and O'Hara, M., 2016. Bank corporate governance: a proposal for the post-crisis world. Economic Policy Review, Issue Aug, pp.85-105.</w:t>
      </w:r>
    </w:p>
    <w:p w14:paraId="2902583D" w14:textId="77777777" w:rsidR="00EB7FBA" w:rsidRDefault="00EB7FBA" w:rsidP="007A46A2">
      <w:r w:rsidRPr="007A46A2">
        <w:t>Maher, S. and Aquanno, S., 2024. The Fall and Rise of American Finance: From JP Morgan to Blackrock. Verso Books.</w:t>
      </w:r>
    </w:p>
    <w:p w14:paraId="59FFED15" w14:textId="77777777" w:rsidR="00EB7FBA" w:rsidRDefault="00EB7FBA" w:rsidP="007A46A2">
      <w:r w:rsidRPr="00740C36">
        <w:t xml:space="preserve">Markham, J.W., 2017. Regulating the </w:t>
      </w:r>
      <w:r>
        <w:t>too-big to-jail</w:t>
      </w:r>
      <w:r w:rsidRPr="00740C36">
        <w:t xml:space="preserve"> financial institutions. Brook. L. Rev., 83, p.517.</w:t>
      </w:r>
    </w:p>
    <w:p w14:paraId="4A371F10" w14:textId="77777777" w:rsidR="00EB7FBA" w:rsidRDefault="00EB7FBA" w:rsidP="00ED0930">
      <w:r w:rsidRPr="00ED0930">
        <w:t>Mathew, S., 2024. An Overview on Capital Investment.</w:t>
      </w:r>
    </w:p>
    <w:p w14:paraId="3FAF79E3" w14:textId="77777777" w:rsidR="00EB7FBA" w:rsidRDefault="00EB7FBA" w:rsidP="007A46A2">
      <w:r w:rsidRPr="009C032D">
        <w:t>McWaters, R.J., 2020. Financial Technologies and the Disruption of Financial Services. The Technological Revolution in Financial Services: How Banks, FinTechs, and Customers Win Together, p.39.</w:t>
      </w:r>
    </w:p>
    <w:p w14:paraId="49E3C178" w14:textId="77777777" w:rsidR="00EB7FBA" w:rsidRDefault="00EB7FBA" w:rsidP="007A46A2">
      <w:r w:rsidRPr="002579D9">
        <w:t>Morgan, J.P., 2017. JP Morgan Chase &amp; Co. Annual Report.</w:t>
      </w:r>
    </w:p>
    <w:p w14:paraId="418207CA" w14:textId="77777777" w:rsidR="00EB7FBA" w:rsidRDefault="00EB7FBA" w:rsidP="00EC671A">
      <w:r w:rsidRPr="00EC671A">
        <w:t>Newell, R.G., Pizer, W.A. and Prest, B.C., 2024. The Shadow Price of Capital: Accounting for Capital Displacement in Benefit-Cost Analysis. </w:t>
      </w:r>
      <w:r w:rsidRPr="00EC671A">
        <w:rPr>
          <w:i/>
          <w:iCs/>
        </w:rPr>
        <w:t>Environmental and Energy Policy and the Economy</w:t>
      </w:r>
      <w:r w:rsidRPr="00EC671A">
        <w:t>, </w:t>
      </w:r>
      <w:r w:rsidRPr="00EC671A">
        <w:rPr>
          <w:i/>
          <w:iCs/>
        </w:rPr>
        <w:t>5</w:t>
      </w:r>
      <w:r w:rsidRPr="00EC671A">
        <w:t>(1), pp.49-69.</w:t>
      </w:r>
    </w:p>
    <w:p w14:paraId="34719924" w14:textId="77777777" w:rsidR="00EB7FBA" w:rsidRDefault="00EB7FBA" w:rsidP="007A46A2">
      <w:r w:rsidRPr="00A04FE1">
        <w:t>O'Malley, M.M., 2022. Taking Care of Business: An Empirical Examination of the Top S&amp;P 500 Companies and Their Role as Public Health Regulators During the COVID-19 Pandemic. U. Miami Bus. L. Rev., 31, p.1.</w:t>
      </w:r>
    </w:p>
    <w:p w14:paraId="050CBBDE" w14:textId="77777777" w:rsidR="00EB7FBA" w:rsidRDefault="00EB7FBA" w:rsidP="007A46A2">
      <w:r w:rsidRPr="002579D9">
        <w:t>PARIHAR, S.B., 2022. Investment Analysis of JP Morgan Chase &amp; Co (Doctoral dissertation, Rashtrasant Tukadoji Maharaj Nagpur University).</w:t>
      </w:r>
    </w:p>
    <w:p w14:paraId="548FF98E" w14:textId="77777777" w:rsidR="00EB7FBA" w:rsidRDefault="00EB7FBA" w:rsidP="007A46A2">
      <w:r w:rsidRPr="00AA5251">
        <w:t>Rambe, I. and Datuk, B., 2021. Return On Assets: Debt To Asset Ratio And Current Ratio In Companies Listed On The Indonesia Stock Exchange. International Journal of Economic, Technology and Social Sciences (Injects), 2(1), pp.274-288.</w:t>
      </w:r>
    </w:p>
    <w:p w14:paraId="3265A87C" w14:textId="77777777" w:rsidR="00EB7FBA" w:rsidRDefault="00EB7FBA" w:rsidP="007A46A2">
      <w:r w:rsidRPr="00201805">
        <w:t>Rana, R. and Ghildiyal, V., 2016. A Comparative Analysis of Credit Risk in Investment Banks: A Case Study of JP Morgan, Merrill Lynch And Bank Of America.</w:t>
      </w:r>
    </w:p>
    <w:p w14:paraId="00FD661B" w14:textId="77777777" w:rsidR="00EB7FBA" w:rsidRDefault="00EB7FBA" w:rsidP="008E2B1C">
      <w:r w:rsidRPr="008E2B1C">
        <w:t>Rexhepi, F.G., 2024. Interest Rates and Rates of Return. </w:t>
      </w:r>
      <w:r w:rsidRPr="008E2B1C">
        <w:rPr>
          <w:i/>
          <w:iCs/>
        </w:rPr>
        <w:t>Transnational Academic Journal of Economics</w:t>
      </w:r>
      <w:r w:rsidRPr="008E2B1C">
        <w:t>, </w:t>
      </w:r>
      <w:r w:rsidRPr="008E2B1C">
        <w:rPr>
          <w:i/>
          <w:iCs/>
        </w:rPr>
        <w:t>1</w:t>
      </w:r>
      <w:r w:rsidRPr="008E2B1C">
        <w:t>(2), pp.109-117.</w:t>
      </w:r>
    </w:p>
    <w:p w14:paraId="1442D11C" w14:textId="77777777" w:rsidR="00EB7FBA" w:rsidRDefault="00EB7FBA" w:rsidP="007A46A2">
      <w:r w:rsidRPr="00B570D6">
        <w:t>Santacruz, L., 2017, January. Wealth management and financial advisory services in the Asia-Pacific region. In 8th Global Business and Finance Research Conference. University of Southern Queensland.</w:t>
      </w:r>
    </w:p>
    <w:p w14:paraId="625CD498" w14:textId="77777777" w:rsidR="00EB7FBA" w:rsidRDefault="00EB7FBA" w:rsidP="007A46A2">
      <w:r w:rsidRPr="00582BEA">
        <w:t>Securities, B.M.L.C.M. and Stanley, M., Barclays JP Morgan MUFG.</w:t>
      </w:r>
    </w:p>
    <w:p w14:paraId="1E54C41E" w14:textId="77777777" w:rsidR="00EB7FBA" w:rsidRDefault="00EB7FBA" w:rsidP="00190F61">
      <w:r w:rsidRPr="00190F61">
        <w:t xml:space="preserve">Sinaga, A., Sari, M., Hutasuhut, A., Zahara, S., Amanda, A., Fitri, A. &amp; Caesario, M. 2023, 'Title of the Article', </w:t>
      </w:r>
      <w:r w:rsidRPr="00190F61">
        <w:rPr>
          <w:i/>
          <w:iCs/>
        </w:rPr>
        <w:t>Journal Name</w:t>
      </w:r>
      <w:r w:rsidRPr="00190F61">
        <w:t>, vol. 10, no. 2, pp. 123-134.</w:t>
      </w:r>
    </w:p>
    <w:p w14:paraId="34F47C7B" w14:textId="77777777" w:rsidR="00EB7FBA" w:rsidRDefault="00EB7FBA" w:rsidP="007A46A2">
      <w:r w:rsidRPr="00F33A35">
        <w:t>Skinner, C., 2020. Doing digital: Lessons from leaders. Marshall Cavendish International Asia Pte Ltd.</w:t>
      </w:r>
    </w:p>
    <w:p w14:paraId="22583C66" w14:textId="77777777" w:rsidR="00EB7FBA" w:rsidRDefault="00EB7FBA" w:rsidP="007A46A2">
      <w:r w:rsidRPr="0006036B">
        <w:lastRenderedPageBreak/>
        <w:t>Wewege, L., Lee, J. and Thomsett, M.C., 2020. Disruptions and digital banking trends. Journal of Applied Finance and Banking, 10(6), pp.15-56.</w:t>
      </w:r>
    </w:p>
    <w:p w14:paraId="2E11D3FF" w14:textId="77777777" w:rsidR="00EB7FBA" w:rsidRDefault="00EB7FBA" w:rsidP="007A46A2">
      <w:r w:rsidRPr="002579D9">
        <w:t xml:space="preserve">Wójcik, D. and Cojoianu, T.F., 2018. </w:t>
      </w:r>
      <w:r>
        <w:t>The resilience</w:t>
      </w:r>
      <w:r w:rsidRPr="002579D9">
        <w:t xml:space="preserve"> of the US securities industry to the global financial crisis. Geoforum, 91, pp.182-194.</w:t>
      </w:r>
    </w:p>
    <w:sectPr w:rsidR="00EB7FBA" w:rsidSect="00E33B9E">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F6ECC"/>
    <w:multiLevelType w:val="multilevel"/>
    <w:tmpl w:val="BED0E3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FE2A69"/>
    <w:multiLevelType w:val="multilevel"/>
    <w:tmpl w:val="4F4449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8A6E0A"/>
    <w:multiLevelType w:val="hybridMultilevel"/>
    <w:tmpl w:val="A2D0B0E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BC95A28"/>
    <w:multiLevelType w:val="multilevel"/>
    <w:tmpl w:val="F44C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5679F9"/>
    <w:multiLevelType w:val="multilevel"/>
    <w:tmpl w:val="50EE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233327"/>
    <w:multiLevelType w:val="hybridMultilevel"/>
    <w:tmpl w:val="21062A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ACA696B"/>
    <w:multiLevelType w:val="multilevel"/>
    <w:tmpl w:val="15D299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8F0EC6"/>
    <w:multiLevelType w:val="multilevel"/>
    <w:tmpl w:val="C4F0B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8D555B"/>
    <w:multiLevelType w:val="multilevel"/>
    <w:tmpl w:val="B9C8A4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BF2090"/>
    <w:multiLevelType w:val="multilevel"/>
    <w:tmpl w:val="FB28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B223A21"/>
    <w:multiLevelType w:val="multilevel"/>
    <w:tmpl w:val="986AC0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AA2075"/>
    <w:multiLevelType w:val="multilevel"/>
    <w:tmpl w:val="9EEA0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D1603C"/>
    <w:multiLevelType w:val="multilevel"/>
    <w:tmpl w:val="451EE6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0989192">
    <w:abstractNumId w:val="4"/>
  </w:num>
  <w:num w:numId="2" w16cid:durableId="1054742198">
    <w:abstractNumId w:val="10"/>
  </w:num>
  <w:num w:numId="3" w16cid:durableId="282226510">
    <w:abstractNumId w:val="3"/>
  </w:num>
  <w:num w:numId="4" w16cid:durableId="895895614">
    <w:abstractNumId w:val="6"/>
  </w:num>
  <w:num w:numId="5" w16cid:durableId="561403712">
    <w:abstractNumId w:val="9"/>
  </w:num>
  <w:num w:numId="6" w16cid:durableId="1627469139">
    <w:abstractNumId w:val="12"/>
  </w:num>
  <w:num w:numId="7" w16cid:durableId="56636357">
    <w:abstractNumId w:val="11"/>
  </w:num>
  <w:num w:numId="8" w16cid:durableId="1700349710">
    <w:abstractNumId w:val="8"/>
  </w:num>
  <w:num w:numId="9" w16cid:durableId="1342858951">
    <w:abstractNumId w:val="1"/>
  </w:num>
  <w:num w:numId="10" w16cid:durableId="2102526982">
    <w:abstractNumId w:val="7"/>
  </w:num>
  <w:num w:numId="11" w16cid:durableId="1984769183">
    <w:abstractNumId w:val="0"/>
  </w:num>
  <w:num w:numId="12" w16cid:durableId="1184321719">
    <w:abstractNumId w:val="5"/>
  </w:num>
  <w:num w:numId="13" w16cid:durableId="17941342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xsjA1M7Y0MjEyNjFR0lEKTi0uzszPAykwrgUAQdQx2ywAAAA="/>
  </w:docVars>
  <w:rsids>
    <w:rsidRoot w:val="00B84C0D"/>
    <w:rsid w:val="0000280D"/>
    <w:rsid w:val="000178CA"/>
    <w:rsid w:val="00020A41"/>
    <w:rsid w:val="00023026"/>
    <w:rsid w:val="0002346C"/>
    <w:rsid w:val="00023804"/>
    <w:rsid w:val="0002530B"/>
    <w:rsid w:val="000306CA"/>
    <w:rsid w:val="00033DFB"/>
    <w:rsid w:val="000369FD"/>
    <w:rsid w:val="00041195"/>
    <w:rsid w:val="0006036B"/>
    <w:rsid w:val="00077829"/>
    <w:rsid w:val="00077E91"/>
    <w:rsid w:val="000A2288"/>
    <w:rsid w:val="000C06F0"/>
    <w:rsid w:val="000C1C8C"/>
    <w:rsid w:val="000D67A8"/>
    <w:rsid w:val="001056DE"/>
    <w:rsid w:val="0013748C"/>
    <w:rsid w:val="00155C48"/>
    <w:rsid w:val="00157B93"/>
    <w:rsid w:val="00161CF8"/>
    <w:rsid w:val="00162599"/>
    <w:rsid w:val="00190F61"/>
    <w:rsid w:val="001921EA"/>
    <w:rsid w:val="001A58B5"/>
    <w:rsid w:val="001B66A6"/>
    <w:rsid w:val="001B7A1F"/>
    <w:rsid w:val="001C5650"/>
    <w:rsid w:val="001D4943"/>
    <w:rsid w:val="001F085D"/>
    <w:rsid w:val="001F3B58"/>
    <w:rsid w:val="00201805"/>
    <w:rsid w:val="00203A41"/>
    <w:rsid w:val="00206F99"/>
    <w:rsid w:val="00210CA0"/>
    <w:rsid w:val="00233BDF"/>
    <w:rsid w:val="002515B8"/>
    <w:rsid w:val="00251748"/>
    <w:rsid w:val="00256FE3"/>
    <w:rsid w:val="002571A0"/>
    <w:rsid w:val="002579D9"/>
    <w:rsid w:val="002715DA"/>
    <w:rsid w:val="002721AE"/>
    <w:rsid w:val="00276A97"/>
    <w:rsid w:val="002A3A19"/>
    <w:rsid w:val="002F50CF"/>
    <w:rsid w:val="00312521"/>
    <w:rsid w:val="00332061"/>
    <w:rsid w:val="0033363B"/>
    <w:rsid w:val="003361E5"/>
    <w:rsid w:val="00346F27"/>
    <w:rsid w:val="0035609F"/>
    <w:rsid w:val="003579A1"/>
    <w:rsid w:val="0036782A"/>
    <w:rsid w:val="00372DA0"/>
    <w:rsid w:val="003A441F"/>
    <w:rsid w:val="003B0CF1"/>
    <w:rsid w:val="003B6BA0"/>
    <w:rsid w:val="003C20E7"/>
    <w:rsid w:val="003D6E67"/>
    <w:rsid w:val="003E1E67"/>
    <w:rsid w:val="003E35EE"/>
    <w:rsid w:val="003F081C"/>
    <w:rsid w:val="004073A3"/>
    <w:rsid w:val="0041642D"/>
    <w:rsid w:val="004171C1"/>
    <w:rsid w:val="00441413"/>
    <w:rsid w:val="004451B3"/>
    <w:rsid w:val="00451250"/>
    <w:rsid w:val="00473BF0"/>
    <w:rsid w:val="0048333E"/>
    <w:rsid w:val="004850A0"/>
    <w:rsid w:val="004955BD"/>
    <w:rsid w:val="00495FC6"/>
    <w:rsid w:val="004A185B"/>
    <w:rsid w:val="004A756F"/>
    <w:rsid w:val="004B11B6"/>
    <w:rsid w:val="004D40CD"/>
    <w:rsid w:val="00541FBF"/>
    <w:rsid w:val="00565057"/>
    <w:rsid w:val="00582BEA"/>
    <w:rsid w:val="005948B3"/>
    <w:rsid w:val="005A0AB0"/>
    <w:rsid w:val="005B1ACC"/>
    <w:rsid w:val="005C42A3"/>
    <w:rsid w:val="005D33A7"/>
    <w:rsid w:val="005D766E"/>
    <w:rsid w:val="005F3F93"/>
    <w:rsid w:val="00627A6C"/>
    <w:rsid w:val="00667E02"/>
    <w:rsid w:val="0067243C"/>
    <w:rsid w:val="006818EA"/>
    <w:rsid w:val="006A018A"/>
    <w:rsid w:val="006B78EA"/>
    <w:rsid w:val="006F6A4A"/>
    <w:rsid w:val="00716457"/>
    <w:rsid w:val="00725040"/>
    <w:rsid w:val="00727CC3"/>
    <w:rsid w:val="00740C36"/>
    <w:rsid w:val="00765C13"/>
    <w:rsid w:val="00766F26"/>
    <w:rsid w:val="00782E31"/>
    <w:rsid w:val="007905A4"/>
    <w:rsid w:val="007955CE"/>
    <w:rsid w:val="007A46A2"/>
    <w:rsid w:val="007B1F5D"/>
    <w:rsid w:val="007D4D6E"/>
    <w:rsid w:val="007D537A"/>
    <w:rsid w:val="007E3AC5"/>
    <w:rsid w:val="007F0149"/>
    <w:rsid w:val="008221F6"/>
    <w:rsid w:val="0083751E"/>
    <w:rsid w:val="008527C5"/>
    <w:rsid w:val="00872530"/>
    <w:rsid w:val="00882234"/>
    <w:rsid w:val="0089432D"/>
    <w:rsid w:val="00897820"/>
    <w:rsid w:val="008B4048"/>
    <w:rsid w:val="008B55B3"/>
    <w:rsid w:val="008B7C76"/>
    <w:rsid w:val="008C4919"/>
    <w:rsid w:val="008D4C9B"/>
    <w:rsid w:val="008E2B1C"/>
    <w:rsid w:val="008F78A4"/>
    <w:rsid w:val="009106D8"/>
    <w:rsid w:val="009204E6"/>
    <w:rsid w:val="00920D05"/>
    <w:rsid w:val="00921281"/>
    <w:rsid w:val="009309C1"/>
    <w:rsid w:val="00944BFE"/>
    <w:rsid w:val="00962E80"/>
    <w:rsid w:val="00966A63"/>
    <w:rsid w:val="00973219"/>
    <w:rsid w:val="00980B59"/>
    <w:rsid w:val="00991ACC"/>
    <w:rsid w:val="009C032D"/>
    <w:rsid w:val="009C6314"/>
    <w:rsid w:val="009F2C2E"/>
    <w:rsid w:val="00A04FE1"/>
    <w:rsid w:val="00A12E78"/>
    <w:rsid w:val="00A3700F"/>
    <w:rsid w:val="00A44E53"/>
    <w:rsid w:val="00A525EE"/>
    <w:rsid w:val="00A621C5"/>
    <w:rsid w:val="00A645DC"/>
    <w:rsid w:val="00A71116"/>
    <w:rsid w:val="00AA34EB"/>
    <w:rsid w:val="00AA5251"/>
    <w:rsid w:val="00AB33D6"/>
    <w:rsid w:val="00AB63E2"/>
    <w:rsid w:val="00AB6609"/>
    <w:rsid w:val="00AC19D0"/>
    <w:rsid w:val="00AF5539"/>
    <w:rsid w:val="00B10921"/>
    <w:rsid w:val="00B2075C"/>
    <w:rsid w:val="00B21770"/>
    <w:rsid w:val="00B22F82"/>
    <w:rsid w:val="00B32DB5"/>
    <w:rsid w:val="00B36A59"/>
    <w:rsid w:val="00B41225"/>
    <w:rsid w:val="00B570D6"/>
    <w:rsid w:val="00B63AE0"/>
    <w:rsid w:val="00B734CD"/>
    <w:rsid w:val="00B760DB"/>
    <w:rsid w:val="00B76C43"/>
    <w:rsid w:val="00B84C0D"/>
    <w:rsid w:val="00BD4533"/>
    <w:rsid w:val="00BE51C5"/>
    <w:rsid w:val="00BF1DA5"/>
    <w:rsid w:val="00C1116E"/>
    <w:rsid w:val="00C235D5"/>
    <w:rsid w:val="00C24617"/>
    <w:rsid w:val="00C35BDB"/>
    <w:rsid w:val="00C4117B"/>
    <w:rsid w:val="00C60309"/>
    <w:rsid w:val="00C63336"/>
    <w:rsid w:val="00C64402"/>
    <w:rsid w:val="00C674A2"/>
    <w:rsid w:val="00C915F2"/>
    <w:rsid w:val="00C9268D"/>
    <w:rsid w:val="00C94D82"/>
    <w:rsid w:val="00CA037D"/>
    <w:rsid w:val="00CA3000"/>
    <w:rsid w:val="00CA36E8"/>
    <w:rsid w:val="00CA5DBB"/>
    <w:rsid w:val="00CC5E22"/>
    <w:rsid w:val="00CD45C0"/>
    <w:rsid w:val="00CD6567"/>
    <w:rsid w:val="00CE47CE"/>
    <w:rsid w:val="00CF487E"/>
    <w:rsid w:val="00CF4AF3"/>
    <w:rsid w:val="00D242E2"/>
    <w:rsid w:val="00D34604"/>
    <w:rsid w:val="00D346A8"/>
    <w:rsid w:val="00D452C8"/>
    <w:rsid w:val="00D46F40"/>
    <w:rsid w:val="00D5091E"/>
    <w:rsid w:val="00D56DCC"/>
    <w:rsid w:val="00D70B82"/>
    <w:rsid w:val="00DC187C"/>
    <w:rsid w:val="00DC3E16"/>
    <w:rsid w:val="00DD75FD"/>
    <w:rsid w:val="00DF7056"/>
    <w:rsid w:val="00E110B9"/>
    <w:rsid w:val="00E1669B"/>
    <w:rsid w:val="00E3265A"/>
    <w:rsid w:val="00E33A76"/>
    <w:rsid w:val="00E33B9E"/>
    <w:rsid w:val="00E50E11"/>
    <w:rsid w:val="00E5791A"/>
    <w:rsid w:val="00E96F8C"/>
    <w:rsid w:val="00EA4BAE"/>
    <w:rsid w:val="00EB7FBA"/>
    <w:rsid w:val="00EC4EA6"/>
    <w:rsid w:val="00EC671A"/>
    <w:rsid w:val="00ED0569"/>
    <w:rsid w:val="00ED0930"/>
    <w:rsid w:val="00ED5CBD"/>
    <w:rsid w:val="00EE19FA"/>
    <w:rsid w:val="00EF4B6F"/>
    <w:rsid w:val="00F21B23"/>
    <w:rsid w:val="00F25493"/>
    <w:rsid w:val="00F33A35"/>
    <w:rsid w:val="00F33E90"/>
    <w:rsid w:val="00F34088"/>
    <w:rsid w:val="00F5157F"/>
    <w:rsid w:val="00F56ABC"/>
    <w:rsid w:val="00F613BA"/>
    <w:rsid w:val="00F70A3D"/>
    <w:rsid w:val="00F903A9"/>
    <w:rsid w:val="00FA6941"/>
    <w:rsid w:val="00FB04AF"/>
    <w:rsid w:val="00FC2D43"/>
    <w:rsid w:val="00FC48BE"/>
    <w:rsid w:val="00FD2511"/>
    <w:rsid w:val="00FE03BF"/>
    <w:rsid w:val="00FE216C"/>
    <w:rsid w:val="00FE625D"/>
    <w:rsid w:val="00FF4A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E96772"/>
  <w15:chartTrackingRefBased/>
  <w15:docId w15:val="{A2F0E6E1-9005-49AA-AE07-B747C7A0D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81C"/>
    <w:pPr>
      <w:spacing w:after="160" w:line="259"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B84C0D"/>
    <w:pPr>
      <w:keepNext/>
      <w:keepLines/>
      <w:spacing w:after="0" w:line="48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7D4D6E"/>
    <w:pPr>
      <w:keepNext/>
      <w:keepLines/>
      <w:spacing w:before="240" w:after="240" w:line="360" w:lineRule="auto"/>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1C5650"/>
    <w:pPr>
      <w:keepNext/>
      <w:keepLines/>
      <w:spacing w:before="200" w:after="0" w:line="360" w:lineRule="auto"/>
      <w:outlineLvl w:val="2"/>
    </w:pPr>
    <w:rPr>
      <w:rFonts w:eastAsiaTheme="majorEastAsia" w:cstheme="majorBidi"/>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C0D"/>
    <w:rPr>
      <w:rFonts w:ascii="Times New Roman" w:eastAsiaTheme="majorEastAsia" w:hAnsi="Times New Roman" w:cstheme="majorBidi"/>
      <w:b/>
      <w:bCs/>
      <w:color w:val="000000" w:themeColor="text1"/>
      <w:kern w:val="0"/>
      <w:sz w:val="32"/>
      <w:szCs w:val="28"/>
      <w:lang w:val="en-GB"/>
      <w14:ligatures w14:val="none"/>
    </w:rPr>
  </w:style>
  <w:style w:type="character" w:customStyle="1" w:styleId="Heading2Char">
    <w:name w:val="Heading 2 Char"/>
    <w:basedOn w:val="DefaultParagraphFont"/>
    <w:link w:val="Heading2"/>
    <w:uiPriority w:val="9"/>
    <w:rsid w:val="007D4D6E"/>
    <w:rPr>
      <w:rFonts w:ascii="Times New Roman" w:eastAsiaTheme="majorEastAsia" w:hAnsi="Times New Roman" w:cstheme="majorBidi"/>
      <w:b/>
      <w:bCs/>
      <w:color w:val="000000" w:themeColor="text1"/>
      <w:kern w:val="0"/>
      <w:sz w:val="28"/>
      <w:szCs w:val="26"/>
      <w:lang w:val="en-GB"/>
      <w14:ligatures w14:val="none"/>
    </w:rPr>
  </w:style>
  <w:style w:type="character" w:customStyle="1" w:styleId="Heading3Char">
    <w:name w:val="Heading 3 Char"/>
    <w:basedOn w:val="DefaultParagraphFont"/>
    <w:link w:val="Heading3"/>
    <w:uiPriority w:val="9"/>
    <w:rsid w:val="001C5650"/>
    <w:rPr>
      <w:rFonts w:ascii="Times New Roman" w:eastAsiaTheme="majorEastAsia" w:hAnsi="Times New Roman" w:cstheme="majorBidi"/>
      <w:b/>
      <w:bCs/>
      <w:color w:val="000000" w:themeColor="text1"/>
      <w:kern w:val="0"/>
      <w:sz w:val="24"/>
      <w14:ligatures w14:val="none"/>
    </w:rPr>
  </w:style>
  <w:style w:type="table" w:styleId="TableGrid">
    <w:name w:val="Table Grid"/>
    <w:basedOn w:val="TableNormal"/>
    <w:uiPriority w:val="59"/>
    <w:rsid w:val="005948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2E80"/>
    <w:pPr>
      <w:ind w:left="720"/>
      <w:contextualSpacing/>
    </w:pPr>
  </w:style>
  <w:style w:type="paragraph" w:styleId="NoSpacing">
    <w:name w:val="No Spacing"/>
    <w:link w:val="NoSpacingChar"/>
    <w:uiPriority w:val="1"/>
    <w:qFormat/>
    <w:rsid w:val="00766F26"/>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66F26"/>
    <w:rPr>
      <w:rFonts w:eastAsiaTheme="minorEastAsia"/>
      <w:kern w:val="0"/>
      <w14:ligatures w14:val="none"/>
    </w:rPr>
  </w:style>
  <w:style w:type="paragraph" w:styleId="TOCHeading">
    <w:name w:val="TOC Heading"/>
    <w:basedOn w:val="Heading1"/>
    <w:next w:val="Normal"/>
    <w:uiPriority w:val="39"/>
    <w:unhideWhenUsed/>
    <w:qFormat/>
    <w:rsid w:val="001C5650"/>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1C5650"/>
    <w:pPr>
      <w:spacing w:after="100"/>
    </w:pPr>
  </w:style>
  <w:style w:type="paragraph" w:styleId="TOC2">
    <w:name w:val="toc 2"/>
    <w:basedOn w:val="Normal"/>
    <w:next w:val="Normal"/>
    <w:autoRedefine/>
    <w:uiPriority w:val="39"/>
    <w:unhideWhenUsed/>
    <w:rsid w:val="001C5650"/>
    <w:pPr>
      <w:spacing w:after="100"/>
      <w:ind w:left="240"/>
    </w:pPr>
  </w:style>
  <w:style w:type="paragraph" w:styleId="TOC3">
    <w:name w:val="toc 3"/>
    <w:basedOn w:val="Normal"/>
    <w:next w:val="Normal"/>
    <w:autoRedefine/>
    <w:uiPriority w:val="39"/>
    <w:unhideWhenUsed/>
    <w:rsid w:val="001C5650"/>
    <w:pPr>
      <w:spacing w:after="100"/>
      <w:ind w:left="480"/>
    </w:pPr>
  </w:style>
  <w:style w:type="character" w:styleId="Hyperlink">
    <w:name w:val="Hyperlink"/>
    <w:basedOn w:val="DefaultParagraphFont"/>
    <w:uiPriority w:val="99"/>
    <w:unhideWhenUsed/>
    <w:rsid w:val="001C56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194">
      <w:bodyDiv w:val="1"/>
      <w:marLeft w:val="0"/>
      <w:marRight w:val="0"/>
      <w:marTop w:val="0"/>
      <w:marBottom w:val="0"/>
      <w:divBdr>
        <w:top w:val="none" w:sz="0" w:space="0" w:color="auto"/>
        <w:left w:val="none" w:sz="0" w:space="0" w:color="auto"/>
        <w:bottom w:val="none" w:sz="0" w:space="0" w:color="auto"/>
        <w:right w:val="none" w:sz="0" w:space="0" w:color="auto"/>
      </w:divBdr>
    </w:div>
    <w:div w:id="48454928">
      <w:bodyDiv w:val="1"/>
      <w:marLeft w:val="0"/>
      <w:marRight w:val="0"/>
      <w:marTop w:val="0"/>
      <w:marBottom w:val="0"/>
      <w:divBdr>
        <w:top w:val="none" w:sz="0" w:space="0" w:color="auto"/>
        <w:left w:val="none" w:sz="0" w:space="0" w:color="auto"/>
        <w:bottom w:val="none" w:sz="0" w:space="0" w:color="auto"/>
        <w:right w:val="none" w:sz="0" w:space="0" w:color="auto"/>
      </w:divBdr>
    </w:div>
    <w:div w:id="64383389">
      <w:bodyDiv w:val="1"/>
      <w:marLeft w:val="0"/>
      <w:marRight w:val="0"/>
      <w:marTop w:val="0"/>
      <w:marBottom w:val="0"/>
      <w:divBdr>
        <w:top w:val="none" w:sz="0" w:space="0" w:color="auto"/>
        <w:left w:val="none" w:sz="0" w:space="0" w:color="auto"/>
        <w:bottom w:val="none" w:sz="0" w:space="0" w:color="auto"/>
        <w:right w:val="none" w:sz="0" w:space="0" w:color="auto"/>
      </w:divBdr>
    </w:div>
    <w:div w:id="65420979">
      <w:bodyDiv w:val="1"/>
      <w:marLeft w:val="0"/>
      <w:marRight w:val="0"/>
      <w:marTop w:val="0"/>
      <w:marBottom w:val="0"/>
      <w:divBdr>
        <w:top w:val="none" w:sz="0" w:space="0" w:color="auto"/>
        <w:left w:val="none" w:sz="0" w:space="0" w:color="auto"/>
        <w:bottom w:val="none" w:sz="0" w:space="0" w:color="auto"/>
        <w:right w:val="none" w:sz="0" w:space="0" w:color="auto"/>
      </w:divBdr>
    </w:div>
    <w:div w:id="110175828">
      <w:bodyDiv w:val="1"/>
      <w:marLeft w:val="0"/>
      <w:marRight w:val="0"/>
      <w:marTop w:val="0"/>
      <w:marBottom w:val="0"/>
      <w:divBdr>
        <w:top w:val="none" w:sz="0" w:space="0" w:color="auto"/>
        <w:left w:val="none" w:sz="0" w:space="0" w:color="auto"/>
        <w:bottom w:val="none" w:sz="0" w:space="0" w:color="auto"/>
        <w:right w:val="none" w:sz="0" w:space="0" w:color="auto"/>
      </w:divBdr>
    </w:div>
    <w:div w:id="142820570">
      <w:bodyDiv w:val="1"/>
      <w:marLeft w:val="0"/>
      <w:marRight w:val="0"/>
      <w:marTop w:val="0"/>
      <w:marBottom w:val="0"/>
      <w:divBdr>
        <w:top w:val="none" w:sz="0" w:space="0" w:color="auto"/>
        <w:left w:val="none" w:sz="0" w:space="0" w:color="auto"/>
        <w:bottom w:val="none" w:sz="0" w:space="0" w:color="auto"/>
        <w:right w:val="none" w:sz="0" w:space="0" w:color="auto"/>
      </w:divBdr>
    </w:div>
    <w:div w:id="150215963">
      <w:bodyDiv w:val="1"/>
      <w:marLeft w:val="0"/>
      <w:marRight w:val="0"/>
      <w:marTop w:val="0"/>
      <w:marBottom w:val="0"/>
      <w:divBdr>
        <w:top w:val="none" w:sz="0" w:space="0" w:color="auto"/>
        <w:left w:val="none" w:sz="0" w:space="0" w:color="auto"/>
        <w:bottom w:val="none" w:sz="0" w:space="0" w:color="auto"/>
        <w:right w:val="none" w:sz="0" w:space="0" w:color="auto"/>
      </w:divBdr>
    </w:div>
    <w:div w:id="186450541">
      <w:bodyDiv w:val="1"/>
      <w:marLeft w:val="0"/>
      <w:marRight w:val="0"/>
      <w:marTop w:val="0"/>
      <w:marBottom w:val="0"/>
      <w:divBdr>
        <w:top w:val="none" w:sz="0" w:space="0" w:color="auto"/>
        <w:left w:val="none" w:sz="0" w:space="0" w:color="auto"/>
        <w:bottom w:val="none" w:sz="0" w:space="0" w:color="auto"/>
        <w:right w:val="none" w:sz="0" w:space="0" w:color="auto"/>
      </w:divBdr>
      <w:divsChild>
        <w:div w:id="1484854063">
          <w:marLeft w:val="0"/>
          <w:marRight w:val="0"/>
          <w:marTop w:val="0"/>
          <w:marBottom w:val="0"/>
          <w:divBdr>
            <w:top w:val="single" w:sz="6" w:space="0" w:color="auto"/>
            <w:left w:val="single" w:sz="6" w:space="0" w:color="auto"/>
            <w:bottom w:val="single" w:sz="6" w:space="0" w:color="auto"/>
            <w:right w:val="single" w:sz="6" w:space="0" w:color="auto"/>
          </w:divBdr>
        </w:div>
      </w:divsChild>
    </w:div>
    <w:div w:id="224141923">
      <w:bodyDiv w:val="1"/>
      <w:marLeft w:val="0"/>
      <w:marRight w:val="0"/>
      <w:marTop w:val="0"/>
      <w:marBottom w:val="0"/>
      <w:divBdr>
        <w:top w:val="none" w:sz="0" w:space="0" w:color="auto"/>
        <w:left w:val="none" w:sz="0" w:space="0" w:color="auto"/>
        <w:bottom w:val="none" w:sz="0" w:space="0" w:color="auto"/>
        <w:right w:val="none" w:sz="0" w:space="0" w:color="auto"/>
      </w:divBdr>
    </w:div>
    <w:div w:id="268701771">
      <w:bodyDiv w:val="1"/>
      <w:marLeft w:val="0"/>
      <w:marRight w:val="0"/>
      <w:marTop w:val="0"/>
      <w:marBottom w:val="0"/>
      <w:divBdr>
        <w:top w:val="none" w:sz="0" w:space="0" w:color="auto"/>
        <w:left w:val="none" w:sz="0" w:space="0" w:color="auto"/>
        <w:bottom w:val="none" w:sz="0" w:space="0" w:color="auto"/>
        <w:right w:val="none" w:sz="0" w:space="0" w:color="auto"/>
      </w:divBdr>
    </w:div>
    <w:div w:id="288319510">
      <w:bodyDiv w:val="1"/>
      <w:marLeft w:val="0"/>
      <w:marRight w:val="0"/>
      <w:marTop w:val="0"/>
      <w:marBottom w:val="0"/>
      <w:divBdr>
        <w:top w:val="none" w:sz="0" w:space="0" w:color="auto"/>
        <w:left w:val="none" w:sz="0" w:space="0" w:color="auto"/>
        <w:bottom w:val="none" w:sz="0" w:space="0" w:color="auto"/>
        <w:right w:val="none" w:sz="0" w:space="0" w:color="auto"/>
      </w:divBdr>
    </w:div>
    <w:div w:id="336541387">
      <w:bodyDiv w:val="1"/>
      <w:marLeft w:val="0"/>
      <w:marRight w:val="0"/>
      <w:marTop w:val="0"/>
      <w:marBottom w:val="0"/>
      <w:divBdr>
        <w:top w:val="none" w:sz="0" w:space="0" w:color="auto"/>
        <w:left w:val="none" w:sz="0" w:space="0" w:color="auto"/>
        <w:bottom w:val="none" w:sz="0" w:space="0" w:color="auto"/>
        <w:right w:val="none" w:sz="0" w:space="0" w:color="auto"/>
      </w:divBdr>
    </w:div>
    <w:div w:id="351998418">
      <w:bodyDiv w:val="1"/>
      <w:marLeft w:val="0"/>
      <w:marRight w:val="0"/>
      <w:marTop w:val="0"/>
      <w:marBottom w:val="0"/>
      <w:divBdr>
        <w:top w:val="none" w:sz="0" w:space="0" w:color="auto"/>
        <w:left w:val="none" w:sz="0" w:space="0" w:color="auto"/>
        <w:bottom w:val="none" w:sz="0" w:space="0" w:color="auto"/>
        <w:right w:val="none" w:sz="0" w:space="0" w:color="auto"/>
      </w:divBdr>
      <w:divsChild>
        <w:div w:id="1903984016">
          <w:marLeft w:val="0"/>
          <w:marRight w:val="0"/>
          <w:marTop w:val="0"/>
          <w:marBottom w:val="0"/>
          <w:divBdr>
            <w:top w:val="single" w:sz="6" w:space="0" w:color="auto"/>
            <w:left w:val="single" w:sz="6" w:space="0" w:color="auto"/>
            <w:bottom w:val="single" w:sz="6" w:space="0" w:color="auto"/>
            <w:right w:val="single" w:sz="6" w:space="0" w:color="auto"/>
          </w:divBdr>
        </w:div>
      </w:divsChild>
    </w:div>
    <w:div w:id="355810106">
      <w:bodyDiv w:val="1"/>
      <w:marLeft w:val="0"/>
      <w:marRight w:val="0"/>
      <w:marTop w:val="0"/>
      <w:marBottom w:val="0"/>
      <w:divBdr>
        <w:top w:val="none" w:sz="0" w:space="0" w:color="auto"/>
        <w:left w:val="none" w:sz="0" w:space="0" w:color="auto"/>
        <w:bottom w:val="none" w:sz="0" w:space="0" w:color="auto"/>
        <w:right w:val="none" w:sz="0" w:space="0" w:color="auto"/>
      </w:divBdr>
    </w:div>
    <w:div w:id="459107940">
      <w:bodyDiv w:val="1"/>
      <w:marLeft w:val="0"/>
      <w:marRight w:val="0"/>
      <w:marTop w:val="0"/>
      <w:marBottom w:val="0"/>
      <w:divBdr>
        <w:top w:val="none" w:sz="0" w:space="0" w:color="auto"/>
        <w:left w:val="none" w:sz="0" w:space="0" w:color="auto"/>
        <w:bottom w:val="none" w:sz="0" w:space="0" w:color="auto"/>
        <w:right w:val="none" w:sz="0" w:space="0" w:color="auto"/>
      </w:divBdr>
    </w:div>
    <w:div w:id="515389183">
      <w:bodyDiv w:val="1"/>
      <w:marLeft w:val="0"/>
      <w:marRight w:val="0"/>
      <w:marTop w:val="0"/>
      <w:marBottom w:val="0"/>
      <w:divBdr>
        <w:top w:val="none" w:sz="0" w:space="0" w:color="auto"/>
        <w:left w:val="none" w:sz="0" w:space="0" w:color="auto"/>
        <w:bottom w:val="none" w:sz="0" w:space="0" w:color="auto"/>
        <w:right w:val="none" w:sz="0" w:space="0" w:color="auto"/>
      </w:divBdr>
    </w:div>
    <w:div w:id="546452341">
      <w:bodyDiv w:val="1"/>
      <w:marLeft w:val="0"/>
      <w:marRight w:val="0"/>
      <w:marTop w:val="0"/>
      <w:marBottom w:val="0"/>
      <w:divBdr>
        <w:top w:val="none" w:sz="0" w:space="0" w:color="auto"/>
        <w:left w:val="none" w:sz="0" w:space="0" w:color="auto"/>
        <w:bottom w:val="none" w:sz="0" w:space="0" w:color="auto"/>
        <w:right w:val="none" w:sz="0" w:space="0" w:color="auto"/>
      </w:divBdr>
    </w:div>
    <w:div w:id="584146476">
      <w:bodyDiv w:val="1"/>
      <w:marLeft w:val="0"/>
      <w:marRight w:val="0"/>
      <w:marTop w:val="0"/>
      <w:marBottom w:val="0"/>
      <w:divBdr>
        <w:top w:val="none" w:sz="0" w:space="0" w:color="auto"/>
        <w:left w:val="none" w:sz="0" w:space="0" w:color="auto"/>
        <w:bottom w:val="none" w:sz="0" w:space="0" w:color="auto"/>
        <w:right w:val="none" w:sz="0" w:space="0" w:color="auto"/>
      </w:divBdr>
      <w:divsChild>
        <w:div w:id="1014380573">
          <w:marLeft w:val="0"/>
          <w:marRight w:val="0"/>
          <w:marTop w:val="0"/>
          <w:marBottom w:val="0"/>
          <w:divBdr>
            <w:top w:val="single" w:sz="6" w:space="0" w:color="auto"/>
            <w:left w:val="single" w:sz="6" w:space="0" w:color="auto"/>
            <w:bottom w:val="single" w:sz="6" w:space="0" w:color="auto"/>
            <w:right w:val="single" w:sz="6" w:space="0" w:color="auto"/>
          </w:divBdr>
        </w:div>
      </w:divsChild>
    </w:div>
    <w:div w:id="595867425">
      <w:bodyDiv w:val="1"/>
      <w:marLeft w:val="0"/>
      <w:marRight w:val="0"/>
      <w:marTop w:val="0"/>
      <w:marBottom w:val="0"/>
      <w:divBdr>
        <w:top w:val="none" w:sz="0" w:space="0" w:color="auto"/>
        <w:left w:val="none" w:sz="0" w:space="0" w:color="auto"/>
        <w:bottom w:val="none" w:sz="0" w:space="0" w:color="auto"/>
        <w:right w:val="none" w:sz="0" w:space="0" w:color="auto"/>
      </w:divBdr>
      <w:divsChild>
        <w:div w:id="954794418">
          <w:marLeft w:val="0"/>
          <w:marRight w:val="0"/>
          <w:marTop w:val="0"/>
          <w:marBottom w:val="0"/>
          <w:divBdr>
            <w:top w:val="single" w:sz="6" w:space="0" w:color="auto"/>
            <w:left w:val="single" w:sz="6" w:space="0" w:color="auto"/>
            <w:bottom w:val="single" w:sz="6" w:space="0" w:color="auto"/>
            <w:right w:val="single" w:sz="6" w:space="0" w:color="auto"/>
          </w:divBdr>
        </w:div>
      </w:divsChild>
    </w:div>
    <w:div w:id="644435129">
      <w:bodyDiv w:val="1"/>
      <w:marLeft w:val="0"/>
      <w:marRight w:val="0"/>
      <w:marTop w:val="0"/>
      <w:marBottom w:val="0"/>
      <w:divBdr>
        <w:top w:val="none" w:sz="0" w:space="0" w:color="auto"/>
        <w:left w:val="none" w:sz="0" w:space="0" w:color="auto"/>
        <w:bottom w:val="none" w:sz="0" w:space="0" w:color="auto"/>
        <w:right w:val="none" w:sz="0" w:space="0" w:color="auto"/>
      </w:divBdr>
      <w:divsChild>
        <w:div w:id="620693481">
          <w:marLeft w:val="0"/>
          <w:marRight w:val="0"/>
          <w:marTop w:val="0"/>
          <w:marBottom w:val="0"/>
          <w:divBdr>
            <w:top w:val="single" w:sz="6" w:space="0" w:color="auto"/>
            <w:left w:val="single" w:sz="6" w:space="0" w:color="auto"/>
            <w:bottom w:val="single" w:sz="6" w:space="0" w:color="auto"/>
            <w:right w:val="single" w:sz="6" w:space="0" w:color="auto"/>
          </w:divBdr>
        </w:div>
      </w:divsChild>
    </w:div>
    <w:div w:id="770322044">
      <w:bodyDiv w:val="1"/>
      <w:marLeft w:val="0"/>
      <w:marRight w:val="0"/>
      <w:marTop w:val="0"/>
      <w:marBottom w:val="0"/>
      <w:divBdr>
        <w:top w:val="none" w:sz="0" w:space="0" w:color="auto"/>
        <w:left w:val="none" w:sz="0" w:space="0" w:color="auto"/>
        <w:bottom w:val="none" w:sz="0" w:space="0" w:color="auto"/>
        <w:right w:val="none" w:sz="0" w:space="0" w:color="auto"/>
      </w:divBdr>
    </w:div>
    <w:div w:id="826625892">
      <w:bodyDiv w:val="1"/>
      <w:marLeft w:val="0"/>
      <w:marRight w:val="0"/>
      <w:marTop w:val="0"/>
      <w:marBottom w:val="0"/>
      <w:divBdr>
        <w:top w:val="none" w:sz="0" w:space="0" w:color="auto"/>
        <w:left w:val="none" w:sz="0" w:space="0" w:color="auto"/>
        <w:bottom w:val="none" w:sz="0" w:space="0" w:color="auto"/>
        <w:right w:val="none" w:sz="0" w:space="0" w:color="auto"/>
      </w:divBdr>
      <w:divsChild>
        <w:div w:id="1423062510">
          <w:marLeft w:val="0"/>
          <w:marRight w:val="0"/>
          <w:marTop w:val="0"/>
          <w:marBottom w:val="0"/>
          <w:divBdr>
            <w:top w:val="single" w:sz="6" w:space="0" w:color="auto"/>
            <w:left w:val="single" w:sz="6" w:space="0" w:color="auto"/>
            <w:bottom w:val="single" w:sz="6" w:space="0" w:color="auto"/>
            <w:right w:val="single" w:sz="6" w:space="0" w:color="auto"/>
          </w:divBdr>
        </w:div>
      </w:divsChild>
    </w:div>
    <w:div w:id="827750826">
      <w:bodyDiv w:val="1"/>
      <w:marLeft w:val="0"/>
      <w:marRight w:val="0"/>
      <w:marTop w:val="0"/>
      <w:marBottom w:val="0"/>
      <w:divBdr>
        <w:top w:val="none" w:sz="0" w:space="0" w:color="auto"/>
        <w:left w:val="none" w:sz="0" w:space="0" w:color="auto"/>
        <w:bottom w:val="none" w:sz="0" w:space="0" w:color="auto"/>
        <w:right w:val="none" w:sz="0" w:space="0" w:color="auto"/>
      </w:divBdr>
    </w:div>
    <w:div w:id="864632522">
      <w:bodyDiv w:val="1"/>
      <w:marLeft w:val="0"/>
      <w:marRight w:val="0"/>
      <w:marTop w:val="0"/>
      <w:marBottom w:val="0"/>
      <w:divBdr>
        <w:top w:val="none" w:sz="0" w:space="0" w:color="auto"/>
        <w:left w:val="none" w:sz="0" w:space="0" w:color="auto"/>
        <w:bottom w:val="none" w:sz="0" w:space="0" w:color="auto"/>
        <w:right w:val="none" w:sz="0" w:space="0" w:color="auto"/>
      </w:divBdr>
      <w:divsChild>
        <w:div w:id="1769037100">
          <w:marLeft w:val="0"/>
          <w:marRight w:val="0"/>
          <w:marTop w:val="0"/>
          <w:marBottom w:val="0"/>
          <w:divBdr>
            <w:top w:val="single" w:sz="6" w:space="0" w:color="auto"/>
            <w:left w:val="single" w:sz="6" w:space="0" w:color="auto"/>
            <w:bottom w:val="single" w:sz="6" w:space="0" w:color="auto"/>
            <w:right w:val="single" w:sz="6" w:space="0" w:color="auto"/>
          </w:divBdr>
        </w:div>
      </w:divsChild>
    </w:div>
    <w:div w:id="870000397">
      <w:bodyDiv w:val="1"/>
      <w:marLeft w:val="0"/>
      <w:marRight w:val="0"/>
      <w:marTop w:val="0"/>
      <w:marBottom w:val="0"/>
      <w:divBdr>
        <w:top w:val="none" w:sz="0" w:space="0" w:color="auto"/>
        <w:left w:val="none" w:sz="0" w:space="0" w:color="auto"/>
        <w:bottom w:val="none" w:sz="0" w:space="0" w:color="auto"/>
        <w:right w:val="none" w:sz="0" w:space="0" w:color="auto"/>
      </w:divBdr>
      <w:divsChild>
        <w:div w:id="1644312277">
          <w:marLeft w:val="0"/>
          <w:marRight w:val="0"/>
          <w:marTop w:val="0"/>
          <w:marBottom w:val="0"/>
          <w:divBdr>
            <w:top w:val="single" w:sz="6" w:space="0" w:color="auto"/>
            <w:left w:val="single" w:sz="6" w:space="0" w:color="auto"/>
            <w:bottom w:val="single" w:sz="6" w:space="0" w:color="auto"/>
            <w:right w:val="single" w:sz="6" w:space="0" w:color="auto"/>
          </w:divBdr>
        </w:div>
      </w:divsChild>
    </w:div>
    <w:div w:id="882861733">
      <w:bodyDiv w:val="1"/>
      <w:marLeft w:val="0"/>
      <w:marRight w:val="0"/>
      <w:marTop w:val="0"/>
      <w:marBottom w:val="0"/>
      <w:divBdr>
        <w:top w:val="none" w:sz="0" w:space="0" w:color="auto"/>
        <w:left w:val="none" w:sz="0" w:space="0" w:color="auto"/>
        <w:bottom w:val="none" w:sz="0" w:space="0" w:color="auto"/>
        <w:right w:val="none" w:sz="0" w:space="0" w:color="auto"/>
      </w:divBdr>
    </w:div>
    <w:div w:id="944310302">
      <w:bodyDiv w:val="1"/>
      <w:marLeft w:val="0"/>
      <w:marRight w:val="0"/>
      <w:marTop w:val="0"/>
      <w:marBottom w:val="0"/>
      <w:divBdr>
        <w:top w:val="none" w:sz="0" w:space="0" w:color="auto"/>
        <w:left w:val="none" w:sz="0" w:space="0" w:color="auto"/>
        <w:bottom w:val="none" w:sz="0" w:space="0" w:color="auto"/>
        <w:right w:val="none" w:sz="0" w:space="0" w:color="auto"/>
      </w:divBdr>
    </w:div>
    <w:div w:id="973870223">
      <w:bodyDiv w:val="1"/>
      <w:marLeft w:val="0"/>
      <w:marRight w:val="0"/>
      <w:marTop w:val="0"/>
      <w:marBottom w:val="0"/>
      <w:divBdr>
        <w:top w:val="none" w:sz="0" w:space="0" w:color="auto"/>
        <w:left w:val="none" w:sz="0" w:space="0" w:color="auto"/>
        <w:bottom w:val="none" w:sz="0" w:space="0" w:color="auto"/>
        <w:right w:val="none" w:sz="0" w:space="0" w:color="auto"/>
      </w:divBdr>
    </w:div>
    <w:div w:id="1014455484">
      <w:bodyDiv w:val="1"/>
      <w:marLeft w:val="0"/>
      <w:marRight w:val="0"/>
      <w:marTop w:val="0"/>
      <w:marBottom w:val="0"/>
      <w:divBdr>
        <w:top w:val="none" w:sz="0" w:space="0" w:color="auto"/>
        <w:left w:val="none" w:sz="0" w:space="0" w:color="auto"/>
        <w:bottom w:val="none" w:sz="0" w:space="0" w:color="auto"/>
        <w:right w:val="none" w:sz="0" w:space="0" w:color="auto"/>
      </w:divBdr>
    </w:div>
    <w:div w:id="1037049016">
      <w:bodyDiv w:val="1"/>
      <w:marLeft w:val="0"/>
      <w:marRight w:val="0"/>
      <w:marTop w:val="0"/>
      <w:marBottom w:val="0"/>
      <w:divBdr>
        <w:top w:val="none" w:sz="0" w:space="0" w:color="auto"/>
        <w:left w:val="none" w:sz="0" w:space="0" w:color="auto"/>
        <w:bottom w:val="none" w:sz="0" w:space="0" w:color="auto"/>
        <w:right w:val="none" w:sz="0" w:space="0" w:color="auto"/>
      </w:divBdr>
    </w:div>
    <w:div w:id="1098452101">
      <w:bodyDiv w:val="1"/>
      <w:marLeft w:val="0"/>
      <w:marRight w:val="0"/>
      <w:marTop w:val="0"/>
      <w:marBottom w:val="0"/>
      <w:divBdr>
        <w:top w:val="none" w:sz="0" w:space="0" w:color="auto"/>
        <w:left w:val="none" w:sz="0" w:space="0" w:color="auto"/>
        <w:bottom w:val="none" w:sz="0" w:space="0" w:color="auto"/>
        <w:right w:val="none" w:sz="0" w:space="0" w:color="auto"/>
      </w:divBdr>
      <w:divsChild>
        <w:div w:id="1922399999">
          <w:marLeft w:val="0"/>
          <w:marRight w:val="0"/>
          <w:marTop w:val="0"/>
          <w:marBottom w:val="0"/>
          <w:divBdr>
            <w:top w:val="single" w:sz="6" w:space="0" w:color="auto"/>
            <w:left w:val="single" w:sz="6" w:space="0" w:color="auto"/>
            <w:bottom w:val="single" w:sz="6" w:space="0" w:color="auto"/>
            <w:right w:val="single" w:sz="6" w:space="0" w:color="auto"/>
          </w:divBdr>
        </w:div>
      </w:divsChild>
    </w:div>
    <w:div w:id="1159998731">
      <w:bodyDiv w:val="1"/>
      <w:marLeft w:val="0"/>
      <w:marRight w:val="0"/>
      <w:marTop w:val="0"/>
      <w:marBottom w:val="0"/>
      <w:divBdr>
        <w:top w:val="none" w:sz="0" w:space="0" w:color="auto"/>
        <w:left w:val="none" w:sz="0" w:space="0" w:color="auto"/>
        <w:bottom w:val="none" w:sz="0" w:space="0" w:color="auto"/>
        <w:right w:val="none" w:sz="0" w:space="0" w:color="auto"/>
      </w:divBdr>
    </w:div>
    <w:div w:id="1166899406">
      <w:bodyDiv w:val="1"/>
      <w:marLeft w:val="0"/>
      <w:marRight w:val="0"/>
      <w:marTop w:val="0"/>
      <w:marBottom w:val="0"/>
      <w:divBdr>
        <w:top w:val="none" w:sz="0" w:space="0" w:color="auto"/>
        <w:left w:val="none" w:sz="0" w:space="0" w:color="auto"/>
        <w:bottom w:val="none" w:sz="0" w:space="0" w:color="auto"/>
        <w:right w:val="none" w:sz="0" w:space="0" w:color="auto"/>
      </w:divBdr>
    </w:div>
    <w:div w:id="1220440141">
      <w:bodyDiv w:val="1"/>
      <w:marLeft w:val="0"/>
      <w:marRight w:val="0"/>
      <w:marTop w:val="0"/>
      <w:marBottom w:val="0"/>
      <w:divBdr>
        <w:top w:val="none" w:sz="0" w:space="0" w:color="auto"/>
        <w:left w:val="none" w:sz="0" w:space="0" w:color="auto"/>
        <w:bottom w:val="none" w:sz="0" w:space="0" w:color="auto"/>
        <w:right w:val="none" w:sz="0" w:space="0" w:color="auto"/>
      </w:divBdr>
      <w:divsChild>
        <w:div w:id="759258021">
          <w:marLeft w:val="0"/>
          <w:marRight w:val="0"/>
          <w:marTop w:val="0"/>
          <w:marBottom w:val="0"/>
          <w:divBdr>
            <w:top w:val="single" w:sz="6" w:space="0" w:color="auto"/>
            <w:left w:val="single" w:sz="6" w:space="0" w:color="auto"/>
            <w:bottom w:val="single" w:sz="6" w:space="0" w:color="auto"/>
            <w:right w:val="single" w:sz="6" w:space="0" w:color="auto"/>
          </w:divBdr>
        </w:div>
      </w:divsChild>
    </w:div>
    <w:div w:id="1252658997">
      <w:bodyDiv w:val="1"/>
      <w:marLeft w:val="0"/>
      <w:marRight w:val="0"/>
      <w:marTop w:val="0"/>
      <w:marBottom w:val="0"/>
      <w:divBdr>
        <w:top w:val="none" w:sz="0" w:space="0" w:color="auto"/>
        <w:left w:val="none" w:sz="0" w:space="0" w:color="auto"/>
        <w:bottom w:val="none" w:sz="0" w:space="0" w:color="auto"/>
        <w:right w:val="none" w:sz="0" w:space="0" w:color="auto"/>
      </w:divBdr>
    </w:div>
    <w:div w:id="1420252664">
      <w:bodyDiv w:val="1"/>
      <w:marLeft w:val="0"/>
      <w:marRight w:val="0"/>
      <w:marTop w:val="0"/>
      <w:marBottom w:val="0"/>
      <w:divBdr>
        <w:top w:val="none" w:sz="0" w:space="0" w:color="auto"/>
        <w:left w:val="none" w:sz="0" w:space="0" w:color="auto"/>
        <w:bottom w:val="none" w:sz="0" w:space="0" w:color="auto"/>
        <w:right w:val="none" w:sz="0" w:space="0" w:color="auto"/>
      </w:divBdr>
      <w:divsChild>
        <w:div w:id="1301420295">
          <w:marLeft w:val="0"/>
          <w:marRight w:val="0"/>
          <w:marTop w:val="0"/>
          <w:marBottom w:val="0"/>
          <w:divBdr>
            <w:top w:val="single" w:sz="6" w:space="0" w:color="auto"/>
            <w:left w:val="single" w:sz="6" w:space="0" w:color="auto"/>
            <w:bottom w:val="single" w:sz="6" w:space="0" w:color="auto"/>
            <w:right w:val="single" w:sz="6" w:space="0" w:color="auto"/>
          </w:divBdr>
        </w:div>
      </w:divsChild>
    </w:div>
    <w:div w:id="1441292682">
      <w:bodyDiv w:val="1"/>
      <w:marLeft w:val="0"/>
      <w:marRight w:val="0"/>
      <w:marTop w:val="0"/>
      <w:marBottom w:val="0"/>
      <w:divBdr>
        <w:top w:val="none" w:sz="0" w:space="0" w:color="auto"/>
        <w:left w:val="none" w:sz="0" w:space="0" w:color="auto"/>
        <w:bottom w:val="none" w:sz="0" w:space="0" w:color="auto"/>
        <w:right w:val="none" w:sz="0" w:space="0" w:color="auto"/>
      </w:divBdr>
    </w:div>
    <w:div w:id="1512063608">
      <w:bodyDiv w:val="1"/>
      <w:marLeft w:val="0"/>
      <w:marRight w:val="0"/>
      <w:marTop w:val="0"/>
      <w:marBottom w:val="0"/>
      <w:divBdr>
        <w:top w:val="none" w:sz="0" w:space="0" w:color="auto"/>
        <w:left w:val="none" w:sz="0" w:space="0" w:color="auto"/>
        <w:bottom w:val="none" w:sz="0" w:space="0" w:color="auto"/>
        <w:right w:val="none" w:sz="0" w:space="0" w:color="auto"/>
      </w:divBdr>
    </w:div>
    <w:div w:id="1565405692">
      <w:bodyDiv w:val="1"/>
      <w:marLeft w:val="0"/>
      <w:marRight w:val="0"/>
      <w:marTop w:val="0"/>
      <w:marBottom w:val="0"/>
      <w:divBdr>
        <w:top w:val="none" w:sz="0" w:space="0" w:color="auto"/>
        <w:left w:val="none" w:sz="0" w:space="0" w:color="auto"/>
        <w:bottom w:val="none" w:sz="0" w:space="0" w:color="auto"/>
        <w:right w:val="none" w:sz="0" w:space="0" w:color="auto"/>
      </w:divBdr>
      <w:divsChild>
        <w:div w:id="618295443">
          <w:marLeft w:val="0"/>
          <w:marRight w:val="0"/>
          <w:marTop w:val="0"/>
          <w:marBottom w:val="0"/>
          <w:divBdr>
            <w:top w:val="single" w:sz="6" w:space="0" w:color="auto"/>
            <w:left w:val="single" w:sz="6" w:space="0" w:color="auto"/>
            <w:bottom w:val="single" w:sz="6" w:space="0" w:color="auto"/>
            <w:right w:val="single" w:sz="6" w:space="0" w:color="auto"/>
          </w:divBdr>
        </w:div>
      </w:divsChild>
    </w:div>
    <w:div w:id="1567571193">
      <w:bodyDiv w:val="1"/>
      <w:marLeft w:val="0"/>
      <w:marRight w:val="0"/>
      <w:marTop w:val="0"/>
      <w:marBottom w:val="0"/>
      <w:divBdr>
        <w:top w:val="none" w:sz="0" w:space="0" w:color="auto"/>
        <w:left w:val="none" w:sz="0" w:space="0" w:color="auto"/>
        <w:bottom w:val="none" w:sz="0" w:space="0" w:color="auto"/>
        <w:right w:val="none" w:sz="0" w:space="0" w:color="auto"/>
      </w:divBdr>
    </w:div>
    <w:div w:id="1572041403">
      <w:bodyDiv w:val="1"/>
      <w:marLeft w:val="0"/>
      <w:marRight w:val="0"/>
      <w:marTop w:val="0"/>
      <w:marBottom w:val="0"/>
      <w:divBdr>
        <w:top w:val="none" w:sz="0" w:space="0" w:color="auto"/>
        <w:left w:val="none" w:sz="0" w:space="0" w:color="auto"/>
        <w:bottom w:val="none" w:sz="0" w:space="0" w:color="auto"/>
        <w:right w:val="none" w:sz="0" w:space="0" w:color="auto"/>
      </w:divBdr>
    </w:div>
    <w:div w:id="1598246618">
      <w:bodyDiv w:val="1"/>
      <w:marLeft w:val="0"/>
      <w:marRight w:val="0"/>
      <w:marTop w:val="0"/>
      <w:marBottom w:val="0"/>
      <w:divBdr>
        <w:top w:val="none" w:sz="0" w:space="0" w:color="auto"/>
        <w:left w:val="none" w:sz="0" w:space="0" w:color="auto"/>
        <w:bottom w:val="none" w:sz="0" w:space="0" w:color="auto"/>
        <w:right w:val="none" w:sz="0" w:space="0" w:color="auto"/>
      </w:divBdr>
    </w:div>
    <w:div w:id="1636984445">
      <w:bodyDiv w:val="1"/>
      <w:marLeft w:val="0"/>
      <w:marRight w:val="0"/>
      <w:marTop w:val="0"/>
      <w:marBottom w:val="0"/>
      <w:divBdr>
        <w:top w:val="none" w:sz="0" w:space="0" w:color="auto"/>
        <w:left w:val="none" w:sz="0" w:space="0" w:color="auto"/>
        <w:bottom w:val="none" w:sz="0" w:space="0" w:color="auto"/>
        <w:right w:val="none" w:sz="0" w:space="0" w:color="auto"/>
      </w:divBdr>
    </w:div>
    <w:div w:id="1683514147">
      <w:bodyDiv w:val="1"/>
      <w:marLeft w:val="0"/>
      <w:marRight w:val="0"/>
      <w:marTop w:val="0"/>
      <w:marBottom w:val="0"/>
      <w:divBdr>
        <w:top w:val="none" w:sz="0" w:space="0" w:color="auto"/>
        <w:left w:val="none" w:sz="0" w:space="0" w:color="auto"/>
        <w:bottom w:val="none" w:sz="0" w:space="0" w:color="auto"/>
        <w:right w:val="none" w:sz="0" w:space="0" w:color="auto"/>
      </w:divBdr>
    </w:div>
    <w:div w:id="1717509122">
      <w:bodyDiv w:val="1"/>
      <w:marLeft w:val="0"/>
      <w:marRight w:val="0"/>
      <w:marTop w:val="0"/>
      <w:marBottom w:val="0"/>
      <w:divBdr>
        <w:top w:val="none" w:sz="0" w:space="0" w:color="auto"/>
        <w:left w:val="none" w:sz="0" w:space="0" w:color="auto"/>
        <w:bottom w:val="none" w:sz="0" w:space="0" w:color="auto"/>
        <w:right w:val="none" w:sz="0" w:space="0" w:color="auto"/>
      </w:divBdr>
      <w:divsChild>
        <w:div w:id="415248543">
          <w:marLeft w:val="0"/>
          <w:marRight w:val="0"/>
          <w:marTop w:val="0"/>
          <w:marBottom w:val="0"/>
          <w:divBdr>
            <w:top w:val="single" w:sz="6" w:space="0" w:color="auto"/>
            <w:left w:val="single" w:sz="6" w:space="0" w:color="auto"/>
            <w:bottom w:val="single" w:sz="6" w:space="0" w:color="auto"/>
            <w:right w:val="single" w:sz="6" w:space="0" w:color="auto"/>
          </w:divBdr>
        </w:div>
      </w:divsChild>
    </w:div>
    <w:div w:id="1773744992">
      <w:bodyDiv w:val="1"/>
      <w:marLeft w:val="0"/>
      <w:marRight w:val="0"/>
      <w:marTop w:val="0"/>
      <w:marBottom w:val="0"/>
      <w:divBdr>
        <w:top w:val="none" w:sz="0" w:space="0" w:color="auto"/>
        <w:left w:val="none" w:sz="0" w:space="0" w:color="auto"/>
        <w:bottom w:val="none" w:sz="0" w:space="0" w:color="auto"/>
        <w:right w:val="none" w:sz="0" w:space="0" w:color="auto"/>
      </w:divBdr>
      <w:divsChild>
        <w:div w:id="666713803">
          <w:marLeft w:val="0"/>
          <w:marRight w:val="0"/>
          <w:marTop w:val="0"/>
          <w:marBottom w:val="0"/>
          <w:divBdr>
            <w:top w:val="single" w:sz="6" w:space="0" w:color="auto"/>
            <w:left w:val="single" w:sz="6" w:space="0" w:color="auto"/>
            <w:bottom w:val="single" w:sz="6" w:space="0" w:color="auto"/>
            <w:right w:val="single" w:sz="6" w:space="0" w:color="auto"/>
          </w:divBdr>
        </w:div>
      </w:divsChild>
    </w:div>
    <w:div w:id="1775202969">
      <w:bodyDiv w:val="1"/>
      <w:marLeft w:val="0"/>
      <w:marRight w:val="0"/>
      <w:marTop w:val="0"/>
      <w:marBottom w:val="0"/>
      <w:divBdr>
        <w:top w:val="none" w:sz="0" w:space="0" w:color="auto"/>
        <w:left w:val="none" w:sz="0" w:space="0" w:color="auto"/>
        <w:bottom w:val="none" w:sz="0" w:space="0" w:color="auto"/>
        <w:right w:val="none" w:sz="0" w:space="0" w:color="auto"/>
      </w:divBdr>
      <w:divsChild>
        <w:div w:id="480272102">
          <w:marLeft w:val="0"/>
          <w:marRight w:val="0"/>
          <w:marTop w:val="0"/>
          <w:marBottom w:val="0"/>
          <w:divBdr>
            <w:top w:val="single" w:sz="6" w:space="0" w:color="auto"/>
            <w:left w:val="single" w:sz="6" w:space="0" w:color="auto"/>
            <w:bottom w:val="single" w:sz="6" w:space="0" w:color="auto"/>
            <w:right w:val="single" w:sz="6" w:space="0" w:color="auto"/>
          </w:divBdr>
        </w:div>
      </w:divsChild>
    </w:div>
    <w:div w:id="1857033947">
      <w:bodyDiv w:val="1"/>
      <w:marLeft w:val="0"/>
      <w:marRight w:val="0"/>
      <w:marTop w:val="0"/>
      <w:marBottom w:val="0"/>
      <w:divBdr>
        <w:top w:val="none" w:sz="0" w:space="0" w:color="auto"/>
        <w:left w:val="none" w:sz="0" w:space="0" w:color="auto"/>
        <w:bottom w:val="none" w:sz="0" w:space="0" w:color="auto"/>
        <w:right w:val="none" w:sz="0" w:space="0" w:color="auto"/>
      </w:divBdr>
      <w:divsChild>
        <w:div w:id="1938832656">
          <w:marLeft w:val="0"/>
          <w:marRight w:val="0"/>
          <w:marTop w:val="0"/>
          <w:marBottom w:val="0"/>
          <w:divBdr>
            <w:top w:val="single" w:sz="6" w:space="0" w:color="auto"/>
            <w:left w:val="single" w:sz="6" w:space="0" w:color="auto"/>
            <w:bottom w:val="single" w:sz="6" w:space="0" w:color="auto"/>
            <w:right w:val="single" w:sz="6" w:space="0" w:color="auto"/>
          </w:divBdr>
        </w:div>
      </w:divsChild>
    </w:div>
    <w:div w:id="1984116873">
      <w:bodyDiv w:val="1"/>
      <w:marLeft w:val="0"/>
      <w:marRight w:val="0"/>
      <w:marTop w:val="0"/>
      <w:marBottom w:val="0"/>
      <w:divBdr>
        <w:top w:val="none" w:sz="0" w:space="0" w:color="auto"/>
        <w:left w:val="none" w:sz="0" w:space="0" w:color="auto"/>
        <w:bottom w:val="none" w:sz="0" w:space="0" w:color="auto"/>
        <w:right w:val="none" w:sz="0" w:space="0" w:color="auto"/>
      </w:divBdr>
    </w:div>
    <w:div w:id="2021472406">
      <w:bodyDiv w:val="1"/>
      <w:marLeft w:val="0"/>
      <w:marRight w:val="0"/>
      <w:marTop w:val="0"/>
      <w:marBottom w:val="0"/>
      <w:divBdr>
        <w:top w:val="none" w:sz="0" w:space="0" w:color="auto"/>
        <w:left w:val="none" w:sz="0" w:space="0" w:color="auto"/>
        <w:bottom w:val="none" w:sz="0" w:space="0" w:color="auto"/>
        <w:right w:val="none" w:sz="0" w:space="0" w:color="auto"/>
      </w:divBdr>
    </w:div>
    <w:div w:id="2030717530">
      <w:bodyDiv w:val="1"/>
      <w:marLeft w:val="0"/>
      <w:marRight w:val="0"/>
      <w:marTop w:val="0"/>
      <w:marBottom w:val="0"/>
      <w:divBdr>
        <w:top w:val="none" w:sz="0" w:space="0" w:color="auto"/>
        <w:left w:val="none" w:sz="0" w:space="0" w:color="auto"/>
        <w:bottom w:val="none" w:sz="0" w:space="0" w:color="auto"/>
        <w:right w:val="none" w:sz="0" w:space="0" w:color="auto"/>
      </w:divBdr>
    </w:div>
    <w:div w:id="2038193710">
      <w:bodyDiv w:val="1"/>
      <w:marLeft w:val="0"/>
      <w:marRight w:val="0"/>
      <w:marTop w:val="0"/>
      <w:marBottom w:val="0"/>
      <w:divBdr>
        <w:top w:val="none" w:sz="0" w:space="0" w:color="auto"/>
        <w:left w:val="none" w:sz="0" w:space="0" w:color="auto"/>
        <w:bottom w:val="none" w:sz="0" w:space="0" w:color="auto"/>
        <w:right w:val="none" w:sz="0" w:space="0" w:color="auto"/>
      </w:divBdr>
    </w:div>
    <w:div w:id="206275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1EEFF6C5744A6894E7CC4278FC1666"/>
        <w:category>
          <w:name w:val="General"/>
          <w:gallery w:val="placeholder"/>
        </w:category>
        <w:types>
          <w:type w:val="bbPlcHdr"/>
        </w:types>
        <w:behaviors>
          <w:behavior w:val="content"/>
        </w:behaviors>
        <w:guid w:val="{5B1551FC-96EC-4EF9-A451-B83F411C4075}"/>
      </w:docPartPr>
      <w:docPartBody>
        <w:p w:rsidR="00E24ECE" w:rsidRDefault="00BD7F72" w:rsidP="00BD7F72">
          <w:pPr>
            <w:pStyle w:val="F31EEFF6C5744A6894E7CC4278FC1666"/>
          </w:pPr>
          <w:r>
            <w:rPr>
              <w:rFonts w:asciiTheme="majorHAnsi" w:eastAsiaTheme="majorEastAsia" w:hAnsiTheme="majorHAnsi" w:cstheme="majorBidi"/>
              <w:caps/>
              <w:color w:val="4472C4" w:themeColor="accent1"/>
              <w:sz w:val="80"/>
              <w:szCs w:val="80"/>
            </w:rPr>
            <w:t>[Document title]</w:t>
          </w:r>
        </w:p>
      </w:docPartBody>
    </w:docPart>
    <w:docPart>
      <w:docPartPr>
        <w:name w:val="0E4C749C5B12475EB9ACD645A4FF979D"/>
        <w:category>
          <w:name w:val="General"/>
          <w:gallery w:val="placeholder"/>
        </w:category>
        <w:types>
          <w:type w:val="bbPlcHdr"/>
        </w:types>
        <w:behaviors>
          <w:behavior w:val="content"/>
        </w:behaviors>
        <w:guid w:val="{D96030C5-60D0-4014-9E7B-FD044F4CD85E}"/>
      </w:docPartPr>
      <w:docPartBody>
        <w:p w:rsidR="00E24ECE" w:rsidRDefault="00BD7F72" w:rsidP="00BD7F72">
          <w:pPr>
            <w:pStyle w:val="0E4C749C5B12475EB9ACD645A4FF979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F72"/>
    <w:rsid w:val="0008208F"/>
    <w:rsid w:val="001056DE"/>
    <w:rsid w:val="00375241"/>
    <w:rsid w:val="004027A8"/>
    <w:rsid w:val="0055325E"/>
    <w:rsid w:val="007C581A"/>
    <w:rsid w:val="008B4048"/>
    <w:rsid w:val="0090573C"/>
    <w:rsid w:val="00B25368"/>
    <w:rsid w:val="00B36A59"/>
    <w:rsid w:val="00BD7F72"/>
    <w:rsid w:val="00D55CBE"/>
    <w:rsid w:val="00E24ECE"/>
    <w:rsid w:val="00F56ABC"/>
    <w:rsid w:val="00FE11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1EEFF6C5744A6894E7CC4278FC1666">
    <w:name w:val="F31EEFF6C5744A6894E7CC4278FC1666"/>
    <w:rsid w:val="00BD7F72"/>
  </w:style>
  <w:style w:type="paragraph" w:customStyle="1" w:styleId="0E4C749C5B12475EB9ACD645A4FF979D">
    <w:name w:val="0E4C749C5B12475EB9ACD645A4FF979D"/>
    <w:rsid w:val="00BD7F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89ACF-2E39-4529-968A-1F804BB0F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1084</TotalTime>
  <Pages>19</Pages>
  <Words>5432</Words>
  <Characters>29127</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Financial Management</vt:lpstr>
    </vt:vector>
  </TitlesOfParts>
  <Company>Student Name: Ankit</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dc:title>
  <dc:subject>LCMB7002</dc:subject>
  <dc:creator>DELL</dc:creator>
  <cp:keywords/>
  <dc:description/>
  <cp:lastModifiedBy>Farwa Bashir</cp:lastModifiedBy>
  <cp:revision>250</cp:revision>
  <dcterms:created xsi:type="dcterms:W3CDTF">2024-03-23T08:16:00Z</dcterms:created>
  <dcterms:modified xsi:type="dcterms:W3CDTF">2024-04-27T11:30:00Z</dcterms:modified>
  <cp:category>Student ID: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f0ae6001-f52e-4bda-b75c-d778e244d361</vt:lpwstr>
  </property>
</Properties>
</file>