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auto" w:space="6" w:sz="0" w:val="none"/>
          <w:left w:color="auto" w:space="0" w:sz="0" w:val="none"/>
          <w:bottom w:color="auto" w:space="6" w:sz="0" w:val="none"/>
          <w:right w:color="auto" w:space="0" w:sz="0" w:val="none"/>
          <w:between w:color="auto" w:space="6" w:sz="0" w:val="none"/>
        </w:pBdr>
        <w:jc w:val="center"/>
        <w:rPr>
          <w:sz w:val="34"/>
          <w:szCs w:val="34"/>
        </w:rPr>
      </w:pPr>
      <w:r w:rsidDel="00000000" w:rsidR="00000000" w:rsidRPr="00000000">
        <w:rPr>
          <w:sz w:val="34"/>
          <w:szCs w:val="34"/>
          <w:rtl w:val="0"/>
        </w:rPr>
        <w:t xml:space="preserve">Vulnerability, Welfare, and Risk</w:t>
      </w:r>
    </w:p>
    <w:p w:rsidR="00000000" w:rsidDel="00000000" w:rsidP="00000000" w:rsidRDefault="00000000" w:rsidRPr="00000000" w14:paraId="00000002">
      <w:pPr>
        <w:pBdr>
          <w:top w:color="auto" w:space="6" w:sz="0" w:val="none"/>
          <w:left w:color="auto" w:space="0" w:sz="0" w:val="none"/>
          <w:bottom w:color="auto" w:space="6" w:sz="0" w:val="none"/>
          <w:right w:color="auto" w:space="0" w:sz="0" w:val="none"/>
          <w:between w:color="auto" w:space="6" w:sz="0" w:val="none"/>
        </w:pBdr>
        <w:jc w:val="center"/>
        <w:rPr>
          <w:sz w:val="34"/>
          <w:szCs w:val="34"/>
        </w:rPr>
      </w:pPr>
      <w:r w:rsidDel="00000000" w:rsidR="00000000" w:rsidRPr="00000000">
        <w:rPr>
          <w:sz w:val="34"/>
          <w:szCs w:val="34"/>
          <w:rtl w:val="0"/>
        </w:rPr>
        <w:t xml:space="preserve">Assignment 2</w:t>
      </w:r>
    </w:p>
    <w:p w:rsidR="00000000" w:rsidDel="00000000" w:rsidP="00000000" w:rsidRDefault="00000000" w:rsidRPr="00000000" w14:paraId="00000003">
      <w:pPr>
        <w:pBdr>
          <w:top w:color="auto" w:space="6" w:sz="0" w:val="none"/>
          <w:left w:color="auto" w:space="0" w:sz="0" w:val="none"/>
          <w:bottom w:color="auto" w:space="6" w:sz="0" w:val="none"/>
          <w:right w:color="auto" w:space="0" w:sz="0" w:val="none"/>
          <w:between w:color="auto" w:space="6" w:sz="0" w:val="none"/>
        </w:pBdr>
        <w:jc w:val="center"/>
        <w:rPr>
          <w:sz w:val="30"/>
          <w:szCs w:val="30"/>
          <w:highlight w:val="white"/>
        </w:rPr>
      </w:pPr>
      <w:r w:rsidDel="00000000" w:rsidR="00000000" w:rsidRPr="00000000">
        <w:rPr>
          <w:sz w:val="30"/>
          <w:szCs w:val="30"/>
          <w:highlight w:val="white"/>
          <w:rtl w:val="0"/>
        </w:rPr>
        <w:t xml:space="preserve">Evaluate the key entitlements for victims as outlined in the Victims’ Code 2015 and discuss how effective are the special measures designed to help vulnerable people as victims? </w:t>
      </w:r>
    </w:p>
    <w:p w:rsidR="00000000" w:rsidDel="00000000" w:rsidP="00000000" w:rsidRDefault="00000000" w:rsidRPr="00000000" w14:paraId="00000004">
      <w:pPr>
        <w:pBdr>
          <w:top w:color="auto" w:space="6" w:sz="0" w:val="none"/>
          <w:left w:color="auto" w:space="0" w:sz="0" w:val="none"/>
          <w:bottom w:color="auto" w:space="6" w:sz="0" w:val="none"/>
          <w:right w:color="auto" w:space="0" w:sz="0" w:val="none"/>
          <w:between w:color="auto" w:space="6" w:sz="0" w:val="none"/>
        </w:pBdr>
        <w:jc w:val="center"/>
        <w:rPr>
          <w:sz w:val="30"/>
          <w:szCs w:val="30"/>
          <w:highlight w:val="white"/>
        </w:rPr>
      </w:pPr>
      <w:r w:rsidDel="00000000" w:rsidR="00000000" w:rsidRPr="00000000">
        <w:rPr>
          <w:rtl w:val="0"/>
        </w:rPr>
      </w:r>
    </w:p>
    <w:p w:rsidR="00000000" w:rsidDel="00000000" w:rsidP="00000000" w:rsidRDefault="00000000" w:rsidRPr="00000000" w14:paraId="00000005">
      <w:pPr>
        <w:pBdr>
          <w:top w:color="auto" w:space="6" w:sz="0" w:val="none"/>
          <w:left w:color="auto" w:space="0" w:sz="0" w:val="none"/>
          <w:bottom w:color="auto" w:space="6" w:sz="0" w:val="none"/>
          <w:right w:color="auto" w:space="0" w:sz="0" w:val="none"/>
          <w:between w:color="auto" w:space="6" w:sz="0" w:val="none"/>
        </w:pBdr>
        <w:jc w:val="center"/>
        <w:rPr>
          <w:sz w:val="30"/>
          <w:szCs w:val="30"/>
          <w:highlight w:val="white"/>
        </w:rPr>
      </w:pPr>
      <w:r w:rsidDel="00000000" w:rsidR="00000000" w:rsidRPr="00000000">
        <w:rPr>
          <w:sz w:val="30"/>
          <w:szCs w:val="30"/>
          <w:highlight w:val="white"/>
          <w:rtl w:val="0"/>
        </w:rPr>
        <w:t xml:space="preserve">Maximillian Roe - 1901211</w:t>
      </w:r>
    </w:p>
    <w:p w:rsidR="00000000" w:rsidDel="00000000" w:rsidP="00000000" w:rsidRDefault="00000000" w:rsidRPr="00000000" w14:paraId="00000006">
      <w:pPr>
        <w:pBdr>
          <w:top w:color="auto" w:space="6" w:sz="0" w:val="none"/>
          <w:left w:color="auto" w:space="0" w:sz="0" w:val="none"/>
          <w:bottom w:color="auto" w:space="6" w:sz="0" w:val="none"/>
          <w:right w:color="auto" w:space="0" w:sz="0" w:val="none"/>
          <w:between w:color="auto" w:space="6" w:sz="0" w:val="none"/>
        </w:pBdr>
        <w:jc w:val="center"/>
        <w:rPr>
          <w:sz w:val="30"/>
          <w:szCs w:val="30"/>
          <w:highlight w:val="white"/>
        </w:rPr>
      </w:pPr>
      <w:r w:rsidDel="00000000" w:rsidR="00000000" w:rsidRPr="00000000">
        <w:rPr>
          <w:rtl w:val="0"/>
        </w:rPr>
      </w:r>
    </w:p>
    <w:p w:rsidR="00000000" w:rsidDel="00000000" w:rsidP="00000000" w:rsidRDefault="00000000" w:rsidRPr="00000000" w14:paraId="00000007">
      <w:pPr>
        <w:pBdr>
          <w:top w:color="auto" w:space="6" w:sz="0" w:val="none"/>
          <w:left w:color="auto" w:space="0" w:sz="0" w:val="none"/>
          <w:bottom w:color="auto" w:space="6" w:sz="0" w:val="none"/>
          <w:right w:color="auto" w:space="0" w:sz="0" w:val="none"/>
          <w:between w:color="auto" w:space="6" w:sz="0" w:val="none"/>
        </w:pBdr>
        <w:jc w:val="center"/>
        <w:rPr>
          <w:sz w:val="30"/>
          <w:szCs w:val="30"/>
          <w:highlight w:val="white"/>
        </w:rPr>
      </w:pPr>
      <w:r w:rsidDel="00000000" w:rsidR="00000000" w:rsidRPr="00000000">
        <w:rPr>
          <w:rtl w:val="0"/>
        </w:rPr>
      </w:r>
    </w:p>
    <w:p w:rsidR="00000000" w:rsidDel="00000000" w:rsidP="00000000" w:rsidRDefault="00000000" w:rsidRPr="00000000" w14:paraId="00000008">
      <w:pPr>
        <w:pBdr>
          <w:top w:color="auto" w:space="6" w:sz="0" w:val="none"/>
          <w:left w:color="auto" w:space="0" w:sz="0" w:val="none"/>
          <w:bottom w:color="auto" w:space="6" w:sz="0" w:val="none"/>
          <w:right w:color="auto" w:space="0" w:sz="0" w:val="none"/>
          <w:between w:color="auto" w:space="6" w:sz="0" w:val="none"/>
        </w:pBdr>
        <w:jc w:val="center"/>
        <w:rPr>
          <w:sz w:val="30"/>
          <w:szCs w:val="30"/>
          <w:highlight w:val="white"/>
        </w:rPr>
      </w:pPr>
      <w:r w:rsidDel="00000000" w:rsidR="00000000" w:rsidRPr="00000000">
        <w:rPr>
          <w:rtl w:val="0"/>
        </w:rPr>
      </w:r>
    </w:p>
    <w:p w:rsidR="00000000" w:rsidDel="00000000" w:rsidP="00000000" w:rsidRDefault="00000000" w:rsidRPr="00000000" w14:paraId="00000009">
      <w:pPr>
        <w:pBdr>
          <w:top w:color="auto" w:space="6" w:sz="0" w:val="none"/>
          <w:left w:color="auto" w:space="0" w:sz="0" w:val="none"/>
          <w:bottom w:color="auto" w:space="6" w:sz="0" w:val="none"/>
          <w:right w:color="auto" w:space="0" w:sz="0" w:val="none"/>
          <w:between w:color="auto" w:space="6" w:sz="0" w:val="none"/>
        </w:pBdr>
        <w:jc w:val="center"/>
        <w:rPr>
          <w:sz w:val="30"/>
          <w:szCs w:val="30"/>
          <w:highlight w:val="white"/>
        </w:rPr>
      </w:pPr>
      <w:r w:rsidDel="00000000" w:rsidR="00000000" w:rsidRPr="00000000">
        <w:rPr>
          <w:rtl w:val="0"/>
        </w:rPr>
      </w:r>
    </w:p>
    <w:p w:rsidR="00000000" w:rsidDel="00000000" w:rsidP="00000000" w:rsidRDefault="00000000" w:rsidRPr="00000000" w14:paraId="0000000A">
      <w:pPr>
        <w:pBdr>
          <w:top w:color="auto" w:space="6" w:sz="0" w:val="none"/>
          <w:left w:color="auto" w:space="0" w:sz="0" w:val="none"/>
          <w:bottom w:color="auto" w:space="6" w:sz="0" w:val="none"/>
          <w:right w:color="auto" w:space="0" w:sz="0" w:val="none"/>
          <w:between w:color="auto" w:space="6" w:sz="0" w:val="none"/>
        </w:pBdr>
        <w:jc w:val="center"/>
        <w:rPr>
          <w:sz w:val="30"/>
          <w:szCs w:val="30"/>
          <w:highlight w:val="white"/>
        </w:rPr>
      </w:pPr>
      <w:r w:rsidDel="00000000" w:rsidR="00000000" w:rsidRPr="00000000">
        <w:rPr>
          <w:rtl w:val="0"/>
        </w:rPr>
      </w:r>
    </w:p>
    <w:p w:rsidR="00000000" w:rsidDel="00000000" w:rsidP="00000000" w:rsidRDefault="00000000" w:rsidRPr="00000000" w14:paraId="0000000B">
      <w:pPr>
        <w:pBdr>
          <w:top w:color="auto" w:space="6" w:sz="0" w:val="none"/>
          <w:left w:color="auto" w:space="0" w:sz="0" w:val="none"/>
          <w:bottom w:color="auto" w:space="6" w:sz="0" w:val="none"/>
          <w:right w:color="auto" w:space="0" w:sz="0" w:val="none"/>
          <w:between w:color="auto" w:space="6" w:sz="0" w:val="none"/>
        </w:pBdr>
        <w:jc w:val="center"/>
        <w:rPr>
          <w:sz w:val="30"/>
          <w:szCs w:val="30"/>
          <w:highlight w:val="white"/>
        </w:rPr>
      </w:pPr>
      <w:r w:rsidDel="00000000" w:rsidR="00000000" w:rsidRPr="00000000">
        <w:rPr>
          <w:rtl w:val="0"/>
        </w:rPr>
      </w:r>
    </w:p>
    <w:p w:rsidR="00000000" w:rsidDel="00000000" w:rsidP="00000000" w:rsidRDefault="00000000" w:rsidRPr="00000000" w14:paraId="0000000C">
      <w:pPr>
        <w:pBdr>
          <w:top w:color="auto" w:space="6" w:sz="0" w:val="none"/>
          <w:left w:color="auto" w:space="0" w:sz="0" w:val="none"/>
          <w:bottom w:color="auto" w:space="6" w:sz="0" w:val="none"/>
          <w:right w:color="auto" w:space="0" w:sz="0" w:val="none"/>
          <w:between w:color="auto" w:space="6" w:sz="0" w:val="none"/>
        </w:pBdr>
        <w:jc w:val="center"/>
        <w:rPr>
          <w:sz w:val="30"/>
          <w:szCs w:val="30"/>
          <w:highlight w:val="white"/>
        </w:rPr>
      </w:pPr>
      <w:r w:rsidDel="00000000" w:rsidR="00000000" w:rsidRPr="00000000">
        <w:rPr>
          <w:rtl w:val="0"/>
        </w:rPr>
      </w:r>
    </w:p>
    <w:p w:rsidR="00000000" w:rsidDel="00000000" w:rsidP="00000000" w:rsidRDefault="00000000" w:rsidRPr="00000000" w14:paraId="0000000D">
      <w:pPr>
        <w:pBdr>
          <w:top w:color="auto" w:space="6" w:sz="0" w:val="none"/>
          <w:left w:color="auto" w:space="0" w:sz="0" w:val="none"/>
          <w:bottom w:color="auto" w:space="6" w:sz="0" w:val="none"/>
          <w:right w:color="auto" w:space="0" w:sz="0" w:val="none"/>
          <w:between w:color="auto" w:space="6" w:sz="0" w:val="none"/>
        </w:pBdr>
        <w:jc w:val="center"/>
        <w:rPr>
          <w:sz w:val="30"/>
          <w:szCs w:val="30"/>
          <w:highlight w:val="white"/>
        </w:rPr>
      </w:pPr>
      <w:r w:rsidDel="00000000" w:rsidR="00000000" w:rsidRPr="00000000">
        <w:rPr>
          <w:rtl w:val="0"/>
        </w:rPr>
      </w:r>
    </w:p>
    <w:p w:rsidR="00000000" w:rsidDel="00000000" w:rsidP="00000000" w:rsidRDefault="00000000" w:rsidRPr="00000000" w14:paraId="0000000E">
      <w:pPr>
        <w:pBdr>
          <w:top w:color="auto" w:space="6" w:sz="0" w:val="none"/>
          <w:left w:color="auto" w:space="0" w:sz="0" w:val="none"/>
          <w:bottom w:color="auto" w:space="6" w:sz="0" w:val="none"/>
          <w:right w:color="auto" w:space="0" w:sz="0" w:val="none"/>
          <w:between w:color="auto" w:space="6" w:sz="0" w:val="none"/>
        </w:pBdr>
        <w:jc w:val="center"/>
        <w:rPr>
          <w:sz w:val="30"/>
          <w:szCs w:val="30"/>
          <w:highlight w:val="white"/>
        </w:rPr>
      </w:pPr>
      <w:r w:rsidDel="00000000" w:rsidR="00000000" w:rsidRPr="00000000">
        <w:rPr>
          <w:rtl w:val="0"/>
        </w:rPr>
      </w:r>
    </w:p>
    <w:p w:rsidR="00000000" w:rsidDel="00000000" w:rsidP="00000000" w:rsidRDefault="00000000" w:rsidRPr="00000000" w14:paraId="0000000F">
      <w:pPr>
        <w:pBdr>
          <w:top w:color="auto" w:space="6" w:sz="0" w:val="none"/>
          <w:left w:color="auto" w:space="0" w:sz="0" w:val="none"/>
          <w:bottom w:color="auto" w:space="6" w:sz="0" w:val="none"/>
          <w:right w:color="auto" w:space="0" w:sz="0" w:val="none"/>
          <w:between w:color="auto" w:space="6" w:sz="0" w:val="none"/>
        </w:pBdr>
        <w:jc w:val="center"/>
        <w:rPr>
          <w:sz w:val="30"/>
          <w:szCs w:val="30"/>
          <w:highlight w:val="white"/>
        </w:rPr>
      </w:pPr>
      <w:r w:rsidDel="00000000" w:rsidR="00000000" w:rsidRPr="00000000">
        <w:rPr>
          <w:rtl w:val="0"/>
        </w:rPr>
      </w:r>
    </w:p>
    <w:p w:rsidR="00000000" w:rsidDel="00000000" w:rsidP="00000000" w:rsidRDefault="00000000" w:rsidRPr="00000000" w14:paraId="00000010">
      <w:pPr>
        <w:pBdr>
          <w:top w:color="auto" w:space="6" w:sz="0" w:val="none"/>
          <w:left w:color="auto" w:space="0" w:sz="0" w:val="none"/>
          <w:bottom w:color="auto" w:space="6" w:sz="0" w:val="none"/>
          <w:right w:color="auto" w:space="0" w:sz="0" w:val="none"/>
          <w:between w:color="auto" w:space="6" w:sz="0" w:val="none"/>
        </w:pBdr>
        <w:jc w:val="center"/>
        <w:rPr>
          <w:sz w:val="30"/>
          <w:szCs w:val="30"/>
          <w:highlight w:val="white"/>
        </w:rPr>
      </w:pPr>
      <w:r w:rsidDel="00000000" w:rsidR="00000000" w:rsidRPr="00000000">
        <w:rPr>
          <w:rtl w:val="0"/>
        </w:rPr>
      </w:r>
    </w:p>
    <w:p w:rsidR="00000000" w:rsidDel="00000000" w:rsidP="00000000" w:rsidRDefault="00000000" w:rsidRPr="00000000" w14:paraId="00000011">
      <w:pPr>
        <w:pBdr>
          <w:top w:color="auto" w:space="6" w:sz="0" w:val="none"/>
          <w:left w:color="auto" w:space="0" w:sz="0" w:val="none"/>
          <w:bottom w:color="auto" w:space="6" w:sz="0" w:val="none"/>
          <w:right w:color="auto" w:space="0" w:sz="0" w:val="none"/>
          <w:between w:color="auto" w:space="6" w:sz="0" w:val="none"/>
        </w:pBdr>
        <w:jc w:val="center"/>
        <w:rPr>
          <w:sz w:val="30"/>
          <w:szCs w:val="30"/>
          <w:highlight w:val="white"/>
        </w:rPr>
      </w:pPr>
      <w:r w:rsidDel="00000000" w:rsidR="00000000" w:rsidRPr="00000000">
        <w:rPr>
          <w:rtl w:val="0"/>
        </w:rPr>
      </w:r>
    </w:p>
    <w:p w:rsidR="00000000" w:rsidDel="00000000" w:rsidP="00000000" w:rsidRDefault="00000000" w:rsidRPr="00000000" w14:paraId="00000012">
      <w:pPr>
        <w:pBdr>
          <w:top w:color="auto" w:space="6" w:sz="0" w:val="none"/>
          <w:left w:color="auto" w:space="0" w:sz="0" w:val="none"/>
          <w:bottom w:color="auto" w:space="6" w:sz="0" w:val="none"/>
          <w:right w:color="auto" w:space="0" w:sz="0" w:val="none"/>
          <w:between w:color="auto" w:space="6" w:sz="0" w:val="none"/>
        </w:pBdr>
        <w:jc w:val="center"/>
        <w:rPr>
          <w:sz w:val="30"/>
          <w:szCs w:val="30"/>
          <w:highlight w:val="white"/>
        </w:rPr>
      </w:pPr>
      <w:r w:rsidDel="00000000" w:rsidR="00000000" w:rsidRPr="00000000">
        <w:rPr>
          <w:rtl w:val="0"/>
        </w:rPr>
      </w:r>
    </w:p>
    <w:p w:rsidR="00000000" w:rsidDel="00000000" w:rsidP="00000000" w:rsidRDefault="00000000" w:rsidRPr="00000000" w14:paraId="00000013">
      <w:pPr>
        <w:pBdr>
          <w:top w:color="auto" w:space="6" w:sz="0" w:val="none"/>
          <w:left w:color="auto" w:space="0" w:sz="0" w:val="none"/>
          <w:bottom w:color="auto" w:space="6" w:sz="0" w:val="none"/>
          <w:right w:color="auto" w:space="0" w:sz="0" w:val="none"/>
          <w:between w:color="auto" w:space="6" w:sz="0" w:val="none"/>
        </w:pBdr>
        <w:spacing w:after="0" w:line="480" w:lineRule="auto"/>
        <w:jc w:val="left"/>
        <w:rPr>
          <w:highlight w:val="white"/>
        </w:rPr>
      </w:pPr>
      <w:r w:rsidDel="00000000" w:rsidR="00000000" w:rsidRPr="00000000">
        <w:rPr>
          <w:rtl w:val="0"/>
        </w:rPr>
      </w:r>
    </w:p>
    <w:p w:rsidR="00000000" w:rsidDel="00000000" w:rsidP="00000000" w:rsidRDefault="00000000" w:rsidRPr="00000000" w14:paraId="00000014">
      <w:pPr>
        <w:pBdr>
          <w:top w:color="auto" w:space="6" w:sz="0" w:val="none"/>
          <w:left w:color="auto" w:space="0" w:sz="0" w:val="none"/>
          <w:bottom w:color="auto" w:space="6" w:sz="0" w:val="none"/>
          <w:right w:color="auto" w:space="0" w:sz="0" w:val="none"/>
          <w:between w:color="auto" w:space="6" w:sz="0" w:val="none"/>
        </w:pBdr>
        <w:spacing w:after="0" w:line="480" w:lineRule="auto"/>
        <w:jc w:val="left"/>
        <w:rPr>
          <w:highlight w:val="white"/>
        </w:rPr>
      </w:pPr>
      <w:r w:rsidDel="00000000" w:rsidR="00000000" w:rsidRPr="00000000">
        <w:rPr>
          <w:highlight w:val="white"/>
          <w:rtl w:val="0"/>
        </w:rPr>
        <w:t xml:space="preserve">In this essay, I will be carrying out extensive research around the area of the measurements that are put in place to improve the safety of vulnerable people as victims as well as evaluating the entitlements victims have because of the Victims Code 2015. To do this I will use a variety of resources to gather reliable and relevant information around the subject area to develop a greater understanding to be able to evaluate if society is moving in the right direction in regards to victims of crimes and also for victims who are seen as being vulnerable people. I will be evaluating the need for the entitlements that are available for victims and assess their effectiveness, as well as developing an awareness of how effective these entitlements are in regards to how well they can be used by vulnerable people as victims of crimes. </w:t>
      </w:r>
      <w:r w:rsidDel="00000000" w:rsidR="00000000" w:rsidRPr="00000000">
        <w:rPr>
          <w:highlight w:val="white"/>
          <w:rtl w:val="0"/>
        </w:rPr>
        <w:t xml:space="preserve">The field of victimology has explored identity construction associated with 'victims of crime' for many years, as well as why some groups in society are more viewed as 'deserving' of victim status than others. There is a legislative bricolage that is characterized by disjunction, in which anti-discrimination measures rooted in people's right to equal access to justice work alongside those that construct them based on incapacity. People with disabilities are overwhelmingly pathologized as victims of crime in criminal law, with impairments dominating their victim status. People who are seen as being vulnerable often need more help than others, especially when becoming a victim of a crime (Edwards 2014). In this essay, I will uncover how the criminal justice system has evolved to be best suited to helping victims and most importantly how special measures have been put into place to provide further help and services to vulnerable people. </w:t>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hd w:fill="fefefe" w:val="clear"/>
        <w:spacing w:after="0" w:line="480" w:lineRule="auto"/>
        <w:rPr>
          <w:highlight w:val="white"/>
        </w:rPr>
      </w:pPr>
      <w:r w:rsidDel="00000000" w:rsidR="00000000" w:rsidRPr="00000000">
        <w:rPr>
          <w:highlight w:val="white"/>
          <w:rtl w:val="0"/>
        </w:rPr>
        <w:t xml:space="preserve">In case of a crime, you are entitled to a certain level of information and support to assist you in dealing with your trauma and navigating the criminal justice system.</w:t>
      </w:r>
      <w:r w:rsidDel="00000000" w:rsidR="00000000" w:rsidRPr="00000000">
        <w:rPr>
          <w:highlight w:val="white"/>
          <w:rtl w:val="0"/>
        </w:rPr>
        <w:t xml:space="preserve"> Victims should be at the center of the criminal justice system when the Code of Practice for Victims of Crime is followed. The Code is designed to make it easier for victims to understand and access their rights. Additionally, there is a Witness Charter which outlines how witnesses to crimes and incidents in England and Wales will be treated. (Gill 2018)</w:t>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hd w:fill="fefefe" w:val="clear"/>
        <w:spacing w:after="0" w:line="480" w:lineRule="auto"/>
        <w:rPr>
          <w:highlight w:val="white"/>
        </w:rPr>
      </w:pPr>
      <w:r w:rsidDel="00000000" w:rsidR="00000000" w:rsidRPr="00000000">
        <w:rPr>
          <w:highlight w:val="white"/>
          <w:rtl w:val="0"/>
        </w:rPr>
        <w:t xml:space="preserve">A victim may be eligible for services under this code if they have made a complaint to the police alleging that they have suffered emotional, physical, or mental harm or economic loss directly caused by a criminal offense, or if such a complaint was made on their behalf, or if they are contacted as a victim during the investigation. You may access services through the Witness Charter, rather than this Code if you have witnessed a criminal offense and are not a victim. You are permitted to use victim support services at any time, whether you have registered a crime or not, and after the conclusion of the investigation and prosecution. It is important that everyone who is affected by a crime is able to receive help as their lives may become more difficult as a result of the crime that was committed against them. (Svensson 2007)</w:t>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hd w:fill="fefefe" w:val="clear"/>
        <w:spacing w:after="0" w:line="480" w:lineRule="auto"/>
        <w:rPr>
          <w:highlight w:val="white"/>
        </w:rPr>
      </w:pPr>
      <w:r w:rsidDel="00000000" w:rsidR="00000000" w:rsidRPr="00000000">
        <w:rPr>
          <w:shd w:fill="fefefe" w:val="clear"/>
          <w:rtl w:val="0"/>
        </w:rPr>
        <w:t xml:space="preserve">Individual criminal justice agencies are required to comply with the Code.</w:t>
      </w:r>
      <w:r w:rsidDel="00000000" w:rsidR="00000000" w:rsidRPr="00000000">
        <w:rPr>
          <w:shd w:fill="fefefe" w:val="clear"/>
          <w:rtl w:val="0"/>
        </w:rPr>
        <w:t xml:space="preserve"> The law specifies what must be done for victims and by when. Providing information about how they can hold the criminal justice system accountable when they are unsatisfied or do not receive what they are entitled to, the program guides victims through their criminal justice system journey. (Rossetti 2017)</w:t>
      </w:r>
      <w:r w:rsidDel="00000000" w:rsidR="00000000" w:rsidRPr="00000000">
        <w:rPr>
          <w:rtl w:val="0"/>
        </w:rPr>
      </w:r>
    </w:p>
    <w:p w:rsidR="00000000" w:rsidDel="00000000" w:rsidP="00000000" w:rsidRDefault="00000000" w:rsidRPr="00000000" w14:paraId="00000018">
      <w:pPr>
        <w:keepNext w:val="0"/>
        <w:pBdr>
          <w:top w:color="auto" w:space="6" w:sz="0" w:val="none"/>
          <w:left w:color="auto" w:space="0" w:sz="0" w:val="none"/>
          <w:bottom w:color="auto" w:space="6" w:sz="0" w:val="none"/>
          <w:right w:color="auto" w:space="0" w:sz="0" w:val="none"/>
          <w:between w:color="auto" w:space="6" w:sz="0" w:val="none"/>
        </w:pBdr>
        <w:spacing w:after="0" w:line="480" w:lineRule="auto"/>
        <w:jc w:val="left"/>
        <w:rPr>
          <w:highlight w:val="white"/>
        </w:rPr>
      </w:pPr>
      <w:r w:rsidDel="00000000" w:rsidR="00000000" w:rsidRPr="00000000">
        <w:rPr>
          <w:highlight w:val="white"/>
          <w:rtl w:val="0"/>
        </w:rPr>
        <w:t xml:space="preserve">(Mistry of justice 2015) Every year in the UK thousands of people become victims of crime and in many cases, many people may need help or treatment to regain normality in their lives again. This is extremely important for all victims and in particularly vulnerable people who become victims as they may need extra support and attention as it can be more difficult for them to regain a sense of normality as they can be increasingly more affected by becoming a victim and are not always able to help themselves. Because of this, in October 2015 a victims code was produced to give victims of a crimes entitlements to help, some of these entitlements would include; </w:t>
      </w:r>
    </w:p>
    <w:p w:rsidR="00000000" w:rsidDel="00000000" w:rsidP="00000000" w:rsidRDefault="00000000" w:rsidRPr="00000000" w14:paraId="00000019">
      <w:pPr>
        <w:keepNext w:val="0"/>
        <w:pBdr>
          <w:top w:color="auto" w:space="6" w:sz="0" w:val="none"/>
          <w:left w:color="auto" w:space="0" w:sz="0" w:val="none"/>
          <w:bottom w:color="auto" w:space="6" w:sz="0" w:val="none"/>
          <w:right w:color="auto" w:space="0" w:sz="0" w:val="none"/>
          <w:between w:color="auto" w:space="6" w:sz="0" w:val="none"/>
        </w:pBdr>
        <w:spacing w:after="0" w:line="480" w:lineRule="auto"/>
        <w:jc w:val="left"/>
        <w:rPr>
          <w:highlight w:val="white"/>
        </w:rPr>
      </w:pPr>
      <w:r w:rsidDel="00000000" w:rsidR="00000000" w:rsidRPr="00000000">
        <w:rPr>
          <w:highlight w:val="white"/>
          <w:rtl w:val="0"/>
        </w:rPr>
        <w:t xml:space="preserve">The victim will be informed of all locations, dates, and times as well as the outcome of all court hearings regarding their case, this helps the victims acquire knowledge of what will happen to their offender and may help them find some sort of peace. (Kellyt 1983) this entitlement would help vulnerable people as some may not have a stable mind after becoming a victim, so having the information about the court dates and times would allow them to attend the trials and find out the results. Although the result may not always be the one that the victim wants, the justice system tries to find the best course of action during all criminal cases and should be trusted to work as they were intended to, to stop crimes and bring criminals to justice.</w:t>
      </w:r>
    </w:p>
    <w:p w:rsidR="00000000" w:rsidDel="00000000" w:rsidP="00000000" w:rsidRDefault="00000000" w:rsidRPr="00000000" w14:paraId="0000001A">
      <w:pPr>
        <w:keepNext w:val="0"/>
        <w:pBdr>
          <w:top w:color="auto" w:space="6" w:sz="0" w:val="none"/>
          <w:left w:color="auto" w:space="0" w:sz="0" w:val="none"/>
          <w:bottom w:color="auto" w:space="6" w:sz="0" w:val="none"/>
          <w:right w:color="auto" w:space="0" w:sz="0" w:val="none"/>
          <w:between w:color="auto" w:space="6" w:sz="0" w:val="none"/>
        </w:pBdr>
        <w:spacing w:after="0" w:line="480" w:lineRule="auto"/>
        <w:jc w:val="left"/>
        <w:rPr>
          <w:highlight w:val="white"/>
        </w:rPr>
      </w:pPr>
      <w:r w:rsidDel="00000000" w:rsidR="00000000" w:rsidRPr="00000000">
        <w:rPr>
          <w:highlight w:val="white"/>
          <w:rtl w:val="0"/>
        </w:rPr>
        <w:t xml:space="preserve">The victim is able to apply for compensation under the Criminal Injuries Compensation Scheme, this is where the victim of the crime can be considered for payment as they may have suffered an injury during the crime that was committed against them if it interferes with their life especially in regards to their ability to work, this provides a tremendous amount of support for many families as if a victim is unable to work and make money the government will provide a sustainable amount of income for certain individuals as they are no longer able to produce money for necessities as basic as food for their family. (Shapland 1985) This would be a further benefit for vulnerable people as victims because in some situations a vulnerable person may already be struggling with producing a sustainable income to satisfy their ‘special’ needs before a crime is committed against them. Furthermore, as a vulnerable person, the effect of becoming a victim might take a greater impact on the individual, leading them to need even more help/ compensation than others.</w:t>
      </w:r>
    </w:p>
    <w:p w:rsidR="00000000" w:rsidDel="00000000" w:rsidP="00000000" w:rsidRDefault="00000000" w:rsidRPr="00000000" w14:paraId="0000001B">
      <w:pPr>
        <w:keepNext w:val="0"/>
        <w:pBdr>
          <w:top w:color="auto" w:space="6" w:sz="0" w:val="none"/>
          <w:left w:color="auto" w:space="0" w:sz="0" w:val="none"/>
          <w:bottom w:color="auto" w:space="6" w:sz="0" w:val="none"/>
          <w:right w:color="auto" w:space="0" w:sz="0" w:val="none"/>
          <w:between w:color="auto" w:space="6" w:sz="0" w:val="none"/>
        </w:pBdr>
        <w:spacing w:after="0" w:line="480" w:lineRule="auto"/>
        <w:jc w:val="left"/>
        <w:rPr>
          <w:highlight w:val="white"/>
        </w:rPr>
      </w:pPr>
      <w:r w:rsidDel="00000000" w:rsidR="00000000" w:rsidRPr="00000000">
        <w:rPr>
          <w:highlight w:val="white"/>
          <w:rtl w:val="0"/>
        </w:rPr>
        <w:t xml:space="preserve">Upon reporting a crime, </w:t>
      </w:r>
      <w:r w:rsidDel="00000000" w:rsidR="00000000" w:rsidRPr="00000000">
        <w:rPr>
          <w:highlight w:val="white"/>
          <w:rtl w:val="0"/>
        </w:rPr>
        <w:t xml:space="preserve">the victim must receive </w:t>
      </w:r>
      <w:r w:rsidDel="00000000" w:rsidR="00000000" w:rsidRPr="00000000">
        <w:rPr>
          <w:highlight w:val="white"/>
          <w:rtl w:val="0"/>
        </w:rPr>
        <w:t xml:space="preserve">an</w:t>
      </w:r>
      <w:r w:rsidDel="00000000" w:rsidR="00000000" w:rsidRPr="00000000">
        <w:rPr>
          <w:highlight w:val="white"/>
          <w:rtl w:val="0"/>
        </w:rPr>
        <w:t xml:space="preserve"> acknowledgment </w:t>
      </w:r>
      <w:r w:rsidDel="00000000" w:rsidR="00000000" w:rsidRPr="00000000">
        <w:rPr>
          <w:highlight w:val="white"/>
          <w:rtl w:val="0"/>
        </w:rPr>
        <w:t xml:space="preserve">in</w:t>
      </w:r>
      <w:r w:rsidDel="00000000" w:rsidR="00000000" w:rsidRPr="00000000">
        <w:rPr>
          <w:highlight w:val="white"/>
          <w:rtl w:val="0"/>
        </w:rPr>
        <w:t xml:space="preserve"> </w:t>
      </w:r>
      <w:r w:rsidDel="00000000" w:rsidR="00000000" w:rsidRPr="00000000">
        <w:rPr>
          <w:highlight w:val="white"/>
          <w:rtl w:val="0"/>
        </w:rPr>
        <w:t xml:space="preserve">writing</w:t>
      </w:r>
      <w:r w:rsidDel="00000000" w:rsidR="00000000" w:rsidRPr="00000000">
        <w:rPr>
          <w:highlight w:val="white"/>
          <w:rtl w:val="0"/>
        </w:rPr>
        <w:t xml:space="preserve"> </w:t>
      </w:r>
      <w:r w:rsidDel="00000000" w:rsidR="00000000" w:rsidRPr="00000000">
        <w:rPr>
          <w:highlight w:val="white"/>
          <w:rtl w:val="0"/>
        </w:rPr>
        <w:t xml:space="preserve">that</w:t>
      </w:r>
      <w:r w:rsidDel="00000000" w:rsidR="00000000" w:rsidRPr="00000000">
        <w:rPr>
          <w:highlight w:val="white"/>
          <w:rtl w:val="0"/>
        </w:rPr>
        <w:t xml:space="preserve"> </w:t>
      </w:r>
      <w:r w:rsidDel="00000000" w:rsidR="00000000" w:rsidRPr="00000000">
        <w:rPr>
          <w:highlight w:val="white"/>
          <w:rtl w:val="0"/>
        </w:rPr>
        <w:t xml:space="preserve">includes</w:t>
      </w:r>
      <w:r w:rsidDel="00000000" w:rsidR="00000000" w:rsidRPr="00000000">
        <w:rPr>
          <w:highlight w:val="white"/>
          <w:rtl w:val="0"/>
        </w:rPr>
        <w:t xml:space="preserve"> basic </w:t>
      </w:r>
      <w:r w:rsidDel="00000000" w:rsidR="00000000" w:rsidRPr="00000000">
        <w:rPr>
          <w:highlight w:val="white"/>
          <w:rtl w:val="0"/>
        </w:rPr>
        <w:t xml:space="preserve">information</w:t>
      </w:r>
      <w:r w:rsidDel="00000000" w:rsidR="00000000" w:rsidRPr="00000000">
        <w:rPr>
          <w:highlight w:val="white"/>
          <w:rtl w:val="0"/>
        </w:rPr>
        <w:t xml:space="preserve"> </w:t>
      </w:r>
      <w:r w:rsidDel="00000000" w:rsidR="00000000" w:rsidRPr="00000000">
        <w:rPr>
          <w:highlight w:val="white"/>
          <w:rtl w:val="0"/>
        </w:rPr>
        <w:t xml:space="preserve">about</w:t>
      </w:r>
      <w:r w:rsidDel="00000000" w:rsidR="00000000" w:rsidRPr="00000000">
        <w:rPr>
          <w:highlight w:val="white"/>
          <w:rtl w:val="0"/>
        </w:rPr>
        <w:t xml:space="preserve"> the </w:t>
      </w:r>
      <w:r w:rsidDel="00000000" w:rsidR="00000000" w:rsidRPr="00000000">
        <w:rPr>
          <w:highlight w:val="white"/>
          <w:rtl w:val="0"/>
        </w:rPr>
        <w:t xml:space="preserve">crime. (Reid 2015) Although this may seem to be a simple entitlement for a victim, it is very important. Making sure that the voice of a victim is heard is a crucial part of the criminal justice system. A victim’s mind can be put slightly at ease when they receive information telling them that the crime they were affected by has been reported and the criminal justice system is hard at work to make sure they receive justice for the injustice that has affected their lives. </w:t>
      </w:r>
    </w:p>
    <w:p w:rsidR="00000000" w:rsidDel="00000000" w:rsidP="00000000" w:rsidRDefault="00000000" w:rsidRPr="00000000" w14:paraId="0000001C">
      <w:pPr>
        <w:keepNext w:val="0"/>
        <w:pBdr>
          <w:top w:color="auto" w:space="6" w:sz="0" w:val="none"/>
          <w:left w:color="auto" w:space="0" w:sz="0" w:val="none"/>
          <w:bottom w:color="auto" w:space="6" w:sz="0" w:val="none"/>
          <w:right w:color="auto" w:space="0" w:sz="0" w:val="none"/>
          <w:between w:color="auto" w:space="6" w:sz="0" w:val="none"/>
        </w:pBdr>
        <w:spacing w:after="0" w:line="480" w:lineRule="auto"/>
        <w:jc w:val="left"/>
        <w:rPr>
          <w:highlight w:val="white"/>
        </w:rPr>
      </w:pPr>
      <w:r w:rsidDel="00000000" w:rsidR="00000000" w:rsidRPr="00000000">
        <w:rPr>
          <w:highlight w:val="white"/>
          <w:rtl w:val="0"/>
        </w:rPr>
        <w:t xml:space="preserve">(Sherman 2015)</w:t>
      </w:r>
      <w:r w:rsidDel="00000000" w:rsidR="00000000" w:rsidRPr="00000000">
        <w:rPr>
          <w:highlight w:val="white"/>
          <w:rtl w:val="0"/>
        </w:rPr>
        <w:t xml:space="preserve">Individuals </w:t>
      </w:r>
      <w:r w:rsidDel="00000000" w:rsidR="00000000" w:rsidRPr="00000000">
        <w:rPr>
          <w:highlight w:val="white"/>
          <w:rtl w:val="0"/>
        </w:rPr>
        <w:t xml:space="preserve">who</w:t>
      </w:r>
      <w:r w:rsidDel="00000000" w:rsidR="00000000" w:rsidRPr="00000000">
        <w:rPr>
          <w:highlight w:val="white"/>
          <w:rtl w:val="0"/>
        </w:rPr>
        <w:t xml:space="preserve"> are </w:t>
      </w:r>
      <w:r w:rsidDel="00000000" w:rsidR="00000000" w:rsidRPr="00000000">
        <w:rPr>
          <w:highlight w:val="white"/>
          <w:rtl w:val="0"/>
        </w:rPr>
        <w:t xml:space="preserve">victims</w:t>
      </w:r>
      <w:r w:rsidDel="00000000" w:rsidR="00000000" w:rsidRPr="00000000">
        <w:rPr>
          <w:highlight w:val="white"/>
          <w:rtl w:val="0"/>
        </w:rPr>
        <w:t xml:space="preserve"> of serious crime, </w:t>
      </w:r>
      <w:r w:rsidDel="00000000" w:rsidR="00000000" w:rsidRPr="00000000">
        <w:rPr>
          <w:highlight w:val="white"/>
          <w:rtl w:val="0"/>
        </w:rPr>
        <w:t xml:space="preserve">who</w:t>
      </w:r>
      <w:r w:rsidDel="00000000" w:rsidR="00000000" w:rsidRPr="00000000">
        <w:rPr>
          <w:highlight w:val="white"/>
          <w:rtl w:val="0"/>
        </w:rPr>
        <w:t xml:space="preserve"> </w:t>
      </w:r>
      <w:r w:rsidDel="00000000" w:rsidR="00000000" w:rsidRPr="00000000">
        <w:rPr>
          <w:highlight w:val="white"/>
          <w:rtl w:val="0"/>
        </w:rPr>
        <w:t xml:space="preserve">are </w:t>
      </w:r>
      <w:r w:rsidDel="00000000" w:rsidR="00000000" w:rsidRPr="00000000">
        <w:rPr>
          <w:highlight w:val="white"/>
          <w:rtl w:val="0"/>
        </w:rPr>
        <w:t xml:space="preserve">persistently targeted</w:t>
      </w:r>
      <w:r w:rsidDel="00000000" w:rsidR="00000000" w:rsidRPr="00000000">
        <w:rPr>
          <w:highlight w:val="white"/>
          <w:rtl w:val="0"/>
        </w:rPr>
        <w:t xml:space="preserve">,</w:t>
      </w:r>
      <w:r w:rsidDel="00000000" w:rsidR="00000000" w:rsidRPr="00000000">
        <w:rPr>
          <w:highlight w:val="white"/>
          <w:rtl w:val="0"/>
        </w:rPr>
        <w:t xml:space="preserve"> or </w:t>
      </w:r>
      <w:r w:rsidDel="00000000" w:rsidR="00000000" w:rsidRPr="00000000">
        <w:rPr>
          <w:highlight w:val="white"/>
          <w:rtl w:val="0"/>
        </w:rPr>
        <w:t xml:space="preserve">who</w:t>
      </w:r>
      <w:r w:rsidDel="00000000" w:rsidR="00000000" w:rsidRPr="00000000">
        <w:rPr>
          <w:highlight w:val="white"/>
          <w:rtl w:val="0"/>
        </w:rPr>
        <w:t xml:space="preserve"> </w:t>
      </w:r>
      <w:r w:rsidDel="00000000" w:rsidR="00000000" w:rsidRPr="00000000">
        <w:rPr>
          <w:highlight w:val="white"/>
          <w:rtl w:val="0"/>
        </w:rPr>
        <w:t xml:space="preserve">are </w:t>
      </w:r>
      <w:r w:rsidDel="00000000" w:rsidR="00000000" w:rsidRPr="00000000">
        <w:rPr>
          <w:highlight w:val="white"/>
          <w:rtl w:val="0"/>
        </w:rPr>
        <w:t xml:space="preserve">vulnerable or intimidated </w:t>
      </w:r>
      <w:r w:rsidDel="00000000" w:rsidR="00000000" w:rsidRPr="00000000">
        <w:rPr>
          <w:highlight w:val="white"/>
          <w:rtl w:val="0"/>
        </w:rPr>
        <w:t xml:space="preserve">will receive enhanced service to help maintain their safety and stop more dangerous criminals from committing further crimes. (Kaukinen 2004) Providing more help to people who have been affected by crimes that appear to be more serious is a crucial part of the justice system and is a key entitlement for many victims. For obvious reasons people who are affected by crimes that are more serious will need more help and services available to them as their lives may be completely changed because of the crime and more than most, vulnerable people could be impacted a whole lot more as they are already in a vulnerable state before the crime has even been committed. Providing extra support to vulnerable people as victims is extremely important to help get their lives back on track as being involved in a serious crime could have a detrimental effect on them not only physically but mentally and emotionally as well especially in some cases where the effect of becoming a victim could be long lasting.</w:t>
      </w:r>
    </w:p>
    <w:p w:rsidR="00000000" w:rsidDel="00000000" w:rsidP="00000000" w:rsidRDefault="00000000" w:rsidRPr="00000000" w14:paraId="0000001D">
      <w:pPr>
        <w:keepNext w:val="0"/>
        <w:pBdr>
          <w:top w:color="auto" w:space="6" w:sz="0" w:val="none"/>
          <w:left w:color="auto" w:space="0" w:sz="0" w:val="none"/>
          <w:bottom w:color="auto" w:space="6" w:sz="0" w:val="none"/>
          <w:right w:color="auto" w:space="0" w:sz="0" w:val="none"/>
          <w:between w:color="auto" w:space="6" w:sz="0" w:val="none"/>
        </w:pBdr>
        <w:spacing w:after="0" w:line="480" w:lineRule="auto"/>
        <w:jc w:val="left"/>
        <w:rPr>
          <w:highlight w:val="white"/>
        </w:rPr>
      </w:pPr>
      <w:r w:rsidDel="00000000" w:rsidR="00000000" w:rsidRPr="00000000">
        <w:rPr>
          <w:highlight w:val="white"/>
          <w:rtl w:val="0"/>
        </w:rPr>
        <w:t xml:space="preserve">To</w:t>
      </w:r>
      <w:r w:rsidDel="00000000" w:rsidR="00000000" w:rsidRPr="00000000">
        <w:rPr>
          <w:highlight w:val="white"/>
          <w:rtl w:val="0"/>
        </w:rPr>
        <w:t xml:space="preserve"> </w:t>
      </w:r>
      <w:r w:rsidDel="00000000" w:rsidR="00000000" w:rsidRPr="00000000">
        <w:rPr>
          <w:highlight w:val="white"/>
          <w:rtl w:val="0"/>
        </w:rPr>
        <w:t xml:space="preserve">determine</w:t>
      </w:r>
      <w:r w:rsidDel="00000000" w:rsidR="00000000" w:rsidRPr="00000000">
        <w:rPr>
          <w:highlight w:val="white"/>
          <w:rtl w:val="0"/>
        </w:rPr>
        <w:t xml:space="preserve"> </w:t>
      </w:r>
      <w:r w:rsidDel="00000000" w:rsidR="00000000" w:rsidRPr="00000000">
        <w:rPr>
          <w:highlight w:val="white"/>
          <w:rtl w:val="0"/>
        </w:rPr>
        <w:t xml:space="preserve">what</w:t>
      </w:r>
      <w:r w:rsidDel="00000000" w:rsidR="00000000" w:rsidRPr="00000000">
        <w:rPr>
          <w:highlight w:val="white"/>
          <w:rtl w:val="0"/>
        </w:rPr>
        <w:t xml:space="preserve"> </w:t>
      </w:r>
      <w:r w:rsidDel="00000000" w:rsidR="00000000" w:rsidRPr="00000000">
        <w:rPr>
          <w:highlight w:val="white"/>
          <w:rtl w:val="0"/>
        </w:rPr>
        <w:t xml:space="preserve">kind</w:t>
      </w:r>
      <w:r w:rsidDel="00000000" w:rsidR="00000000" w:rsidRPr="00000000">
        <w:rPr>
          <w:highlight w:val="white"/>
          <w:rtl w:val="0"/>
        </w:rPr>
        <w:t xml:space="preserve"> </w:t>
      </w:r>
      <w:r w:rsidDel="00000000" w:rsidR="00000000" w:rsidRPr="00000000">
        <w:rPr>
          <w:highlight w:val="white"/>
          <w:rtl w:val="0"/>
        </w:rPr>
        <w:t xml:space="preserve">of</w:t>
      </w:r>
      <w:r w:rsidDel="00000000" w:rsidR="00000000" w:rsidRPr="00000000">
        <w:rPr>
          <w:highlight w:val="white"/>
          <w:rtl w:val="0"/>
        </w:rPr>
        <w:t xml:space="preserve"> </w:t>
      </w:r>
      <w:r w:rsidDel="00000000" w:rsidR="00000000" w:rsidRPr="00000000">
        <w:rPr>
          <w:highlight w:val="white"/>
          <w:rtl w:val="0"/>
        </w:rPr>
        <w:t xml:space="preserve">support</w:t>
      </w:r>
      <w:r w:rsidDel="00000000" w:rsidR="00000000" w:rsidRPr="00000000">
        <w:rPr>
          <w:highlight w:val="white"/>
          <w:rtl w:val="0"/>
        </w:rPr>
        <w:t xml:space="preserve"> </w:t>
      </w:r>
      <w:r w:rsidDel="00000000" w:rsidR="00000000" w:rsidRPr="00000000">
        <w:rPr>
          <w:highlight w:val="white"/>
          <w:rtl w:val="0"/>
        </w:rPr>
        <w:t xml:space="preserve">an individual</w:t>
      </w:r>
      <w:r w:rsidDel="00000000" w:rsidR="00000000" w:rsidRPr="00000000">
        <w:rPr>
          <w:highlight w:val="white"/>
          <w:rtl w:val="0"/>
        </w:rPr>
        <w:t xml:space="preserve"> </w:t>
      </w:r>
      <w:r w:rsidDel="00000000" w:rsidR="00000000" w:rsidRPr="00000000">
        <w:rPr>
          <w:highlight w:val="white"/>
          <w:rtl w:val="0"/>
        </w:rPr>
        <w:t xml:space="preserve">needs,</w:t>
      </w:r>
      <w:r w:rsidDel="00000000" w:rsidR="00000000" w:rsidRPr="00000000">
        <w:rPr>
          <w:highlight w:val="white"/>
          <w:rtl w:val="0"/>
        </w:rPr>
        <w:t xml:space="preserve"> </w:t>
      </w:r>
      <w:r w:rsidDel="00000000" w:rsidR="00000000" w:rsidRPr="00000000">
        <w:rPr>
          <w:highlight w:val="white"/>
          <w:rtl w:val="0"/>
        </w:rPr>
        <w:t xml:space="preserve">they</w:t>
      </w:r>
      <w:r w:rsidDel="00000000" w:rsidR="00000000" w:rsidRPr="00000000">
        <w:rPr>
          <w:highlight w:val="white"/>
          <w:rtl w:val="0"/>
        </w:rPr>
        <w:t xml:space="preserve"> </w:t>
      </w:r>
      <w:r w:rsidDel="00000000" w:rsidR="00000000" w:rsidRPr="00000000">
        <w:rPr>
          <w:highlight w:val="white"/>
          <w:rtl w:val="0"/>
        </w:rPr>
        <w:t xml:space="preserve">will</w:t>
      </w:r>
      <w:r w:rsidDel="00000000" w:rsidR="00000000" w:rsidRPr="00000000">
        <w:rPr>
          <w:highlight w:val="white"/>
          <w:rtl w:val="0"/>
        </w:rPr>
        <w:t xml:space="preserve"> </w:t>
      </w:r>
      <w:r w:rsidDel="00000000" w:rsidR="00000000" w:rsidRPr="00000000">
        <w:rPr>
          <w:highlight w:val="white"/>
          <w:rtl w:val="0"/>
        </w:rPr>
        <w:t xml:space="preserve">receive</w:t>
      </w:r>
      <w:r w:rsidDel="00000000" w:rsidR="00000000" w:rsidRPr="00000000">
        <w:rPr>
          <w:highlight w:val="white"/>
          <w:rtl w:val="0"/>
        </w:rPr>
        <w:t xml:space="preserve"> </w:t>
      </w:r>
      <w:r w:rsidDel="00000000" w:rsidR="00000000" w:rsidRPr="00000000">
        <w:rPr>
          <w:highlight w:val="white"/>
          <w:rtl w:val="0"/>
        </w:rPr>
        <w:t xml:space="preserve">a</w:t>
      </w:r>
      <w:r w:rsidDel="00000000" w:rsidR="00000000" w:rsidRPr="00000000">
        <w:rPr>
          <w:highlight w:val="white"/>
          <w:rtl w:val="0"/>
        </w:rPr>
        <w:t xml:space="preserve"> </w:t>
      </w:r>
      <w:r w:rsidDel="00000000" w:rsidR="00000000" w:rsidRPr="00000000">
        <w:rPr>
          <w:highlight w:val="white"/>
          <w:rtl w:val="0"/>
        </w:rPr>
        <w:t xml:space="preserve">needs</w:t>
      </w:r>
      <w:r w:rsidDel="00000000" w:rsidR="00000000" w:rsidRPr="00000000">
        <w:rPr>
          <w:highlight w:val="white"/>
          <w:rtl w:val="0"/>
        </w:rPr>
        <w:t xml:space="preserve"> </w:t>
      </w:r>
      <w:r w:rsidDel="00000000" w:rsidR="00000000" w:rsidRPr="00000000">
        <w:rPr>
          <w:highlight w:val="white"/>
          <w:rtl w:val="0"/>
        </w:rPr>
        <w:t xml:space="preserve">assessment to determine the support they will acquire, this will analyze the crime that has been committed against them and provide the optimal amount of support that the victim needs. </w:t>
      </w:r>
      <w:r w:rsidDel="00000000" w:rsidR="00000000" w:rsidRPr="00000000">
        <w:rPr>
          <w:highlight w:val="white"/>
          <w:rtl w:val="0"/>
        </w:rPr>
        <w:t xml:space="preserve">victims will be informed about what to expect from the criminal justice system and be referred to organisations supporting victims of crime, there are many organisations that will provide services and care where needed when someone is the victim of a crime. (True Vision 2021)Some of these may include The Criminal Cases Review Commission, The Criminal Injuries Compensation Authority, The Crown Prosecution Service (CPS), The First-tier Tribunal (Criminal Injuries Compensation), Her Majesty’s Courts and Tribunals Service (HMCTS), Her Majesty’s Prison Service, National Offender Management Service (NOMS), The Parole Board, Police and Crime Commissioners, All police forces in England and Wales, the British Transport Police and the Ministry of Defence Police, The National Probation Service, The UK Supreme Court, Witness Care Units, Youth Offending Teams along with many more. Each of these organizations has there own unique abilities when helping victims and the organizations that will get involved in cases will all depend on the crime or the needs of the victim. The justice system has done extremely well to be able to have connections will all these organizations as each one is important to help maintain the well-being of victims in a vast amount of different types of crimes. (Buczma 2013)This entitlement has been proven to be immensely important especially when it comes to incidents where a vulnerable person has been affected by a crime. The ability to be able to review an individual’s needs after being affected by a crime has been improved greatly over many years and the need for it now more than ever is important particularly for vulnerable people as victims as they would need more help than most because the effect a crime would have on them could be more significant and have a greater impact on their day to day life.</w:t>
      </w:r>
    </w:p>
    <w:p w:rsidR="00000000" w:rsidDel="00000000" w:rsidP="00000000" w:rsidRDefault="00000000" w:rsidRPr="00000000" w14:paraId="0000001E">
      <w:pPr>
        <w:keepNext w:val="0"/>
        <w:pBdr>
          <w:top w:color="auto" w:space="6" w:sz="0" w:val="none"/>
          <w:left w:color="auto" w:space="0" w:sz="0" w:val="none"/>
          <w:bottom w:color="auto" w:space="6" w:sz="0" w:val="none"/>
          <w:right w:color="auto" w:space="0" w:sz="0" w:val="none"/>
          <w:between w:color="auto" w:space="6" w:sz="0" w:val="none"/>
        </w:pBdr>
        <w:spacing w:after="0" w:line="480" w:lineRule="auto"/>
        <w:jc w:val="left"/>
        <w:rPr>
          <w:highlight w:val="white"/>
        </w:rPr>
      </w:pPr>
      <w:r w:rsidDel="00000000" w:rsidR="00000000" w:rsidRPr="00000000">
        <w:rPr>
          <w:highlight w:val="white"/>
          <w:rtl w:val="0"/>
        </w:rPr>
        <w:t xml:space="preserve">After becoming a victim of a crime, an entitlement that is given is one where the victim can make a Victim Personal Statement (VPS) to describe how the crime impacted them. A victim who makes a VPS has the option of reading it aloud or having it read aloud on their behalf, subject to the views of the court if the defendant is convicted. (Roberts 2011 )This can be seen as a crucial part of the justice system as the victim’s voice can be heard by the court who can take into consideration how the crime that has occurred has affected the victim. As stated before, having the voice of a victim being heard should be a priority within the criminal justice system, as the victim is the one who had a first-hand experience of the crime and they are the ones who are the most affected by it. </w:t>
      </w:r>
      <w:r w:rsidDel="00000000" w:rsidR="00000000" w:rsidRPr="00000000">
        <w:rPr>
          <w:highlight w:val="white"/>
          <w:rtl w:val="0"/>
        </w:rPr>
        <w:t xml:space="preserve">An independent study by (Van Camp 2016) has revealed that when done correctly, restorative justice (RJ) techniques exceed criminal justice proceedings in meeting victims’ concerns for insight, voice, and fairness and, as a result, can have therapeutic value. However, referrals to RJ are rare, and most RJs are initiated by the victim. Although not all victims are interested in RJ, many are unaware of its potential benefits and miss out on them. It is important to understand how and if victims of crime want to be informed about RJ so that introductions can be done in a responsible manner. 34 Belgian and Canadian victims of serious crime were interviewed about their experience participating in RJ. In turn, their experiences were categorized as "protective" or "proactive" approaches. A protective approach involves an individualized proposal and a lack of comprehensive information about RJ, whereas a proactive approach involves an informed offer and systematic disclosures. As long as certain conditions are respected, victims of violent crime prefer to be informed proactively about their restorative options. These contain a confirmation of voluntary participation and RJ that is a complementary technique to criminal justice proceedings.</w:t>
      </w:r>
      <w:r w:rsidDel="00000000" w:rsidR="00000000" w:rsidRPr="00000000">
        <w:rPr>
          <w:rtl w:val="0"/>
        </w:rPr>
      </w:r>
    </w:p>
    <w:p w:rsidR="00000000" w:rsidDel="00000000" w:rsidP="00000000" w:rsidRDefault="00000000" w:rsidRPr="00000000" w14:paraId="0000001F">
      <w:pPr>
        <w:keepNext w:val="0"/>
        <w:pBdr>
          <w:top w:color="auto" w:space="6" w:sz="0" w:val="none"/>
          <w:left w:color="auto" w:space="0" w:sz="0" w:val="none"/>
          <w:bottom w:color="auto" w:space="6" w:sz="0" w:val="none"/>
          <w:right w:color="auto" w:space="0" w:sz="0" w:val="none"/>
          <w:between w:color="auto" w:space="6" w:sz="0" w:val="none"/>
        </w:pBdr>
        <w:spacing w:after="0" w:line="480" w:lineRule="auto"/>
        <w:jc w:val="left"/>
        <w:rPr>
          <w:highlight w:val="white"/>
        </w:rPr>
      </w:pPr>
      <w:r w:rsidDel="00000000" w:rsidR="00000000" w:rsidRPr="00000000">
        <w:rPr>
          <w:highlight w:val="white"/>
          <w:rtl w:val="0"/>
        </w:rPr>
        <w:t xml:space="preserve">Another entitlement for victims would be that if a suspect is arrested and charged, as well as any bail conditions imposed, the victims will be kept informed about the police investigation. (Stephens 2000) This entitlement is set in place to keep victims informed on what is currently occurring in regards to their case, this will help to put the mind of the victim at ease in most cases as they will be informed of the whereabouts of the suspect that may have been involved in the crime which led to the individual becoming a victim. This could be helpful for vulnerable person especially if they suffer from mental health issues. People with mental health issues may worry more about being a victim of a crime again after already being victimized once before. The knowledge of if a suspect has been arrested and charged could serve as a great relief to many people and can help prevent them spiraling out of control because of fear. Having the information given out about any bail conditions is also important as the victim can have knowledge of when to seek help if the suspect of the case is a potential threat to them. And can inquire for police help or services to make them feel safe once again.</w:t>
      </w:r>
    </w:p>
    <w:p w:rsidR="00000000" w:rsidDel="00000000" w:rsidP="00000000" w:rsidRDefault="00000000" w:rsidRPr="00000000" w14:paraId="00000020">
      <w:pPr>
        <w:keepNext w:val="0"/>
        <w:pBdr>
          <w:top w:color="auto" w:space="6" w:sz="0" w:val="none"/>
          <w:left w:color="auto" w:space="0" w:sz="0" w:val="none"/>
          <w:bottom w:color="auto" w:space="6" w:sz="0" w:val="none"/>
          <w:right w:color="auto" w:space="0" w:sz="0" w:val="none"/>
          <w:between w:color="auto" w:space="6" w:sz="0" w:val="none"/>
        </w:pBdr>
        <w:spacing w:after="0" w:line="480" w:lineRule="auto"/>
        <w:jc w:val="left"/>
        <w:rPr>
          <w:highlight w:val="white"/>
        </w:rPr>
      </w:pPr>
      <w:r w:rsidDel="00000000" w:rsidR="00000000" w:rsidRPr="00000000">
        <w:rPr>
          <w:highlight w:val="white"/>
          <w:rtl w:val="0"/>
        </w:rPr>
        <w:t xml:space="preserve">Under the National Police Chiefs Council and Crown Prosecution Service (CPS) Victims' Right to Review schemes, a victim has the right to appeal a decision not to prosecute by the police or the court. (Lliadis 2018) This entitlement is extremely important for victims as it allows them to receive another opinion on their case, this can help make sure the justice system is working in full force as they need to make sure that they make the right decisions when it comes to criminals. Whether or not the decision is overturned in their case, the victim would have done everything they could to make sure they get the correct result. This should lead a victim of a crime to have complete faith in the criminal justice system as they are allowed to have multiple opinions on their case and should trust that the overall outcome is the best it can be.</w:t>
      </w:r>
    </w:p>
    <w:p w:rsidR="00000000" w:rsidDel="00000000" w:rsidP="00000000" w:rsidRDefault="00000000" w:rsidRPr="00000000" w14:paraId="00000021">
      <w:pPr>
        <w:keepNext w:val="0"/>
        <w:pBdr>
          <w:top w:color="auto" w:space="6" w:sz="0" w:val="none"/>
          <w:left w:color="auto" w:space="0" w:sz="0" w:val="none"/>
          <w:bottom w:color="auto" w:space="6" w:sz="0" w:val="none"/>
          <w:right w:color="auto" w:space="0" w:sz="0" w:val="none"/>
          <w:between w:color="auto" w:space="6" w:sz="0" w:val="none"/>
        </w:pBdr>
        <w:spacing w:after="0" w:line="480" w:lineRule="auto"/>
        <w:jc w:val="left"/>
        <w:rPr>
          <w:highlight w:val="white"/>
        </w:rPr>
      </w:pPr>
      <w:r w:rsidDel="00000000" w:rsidR="00000000" w:rsidRPr="00000000">
        <w:rPr>
          <w:highlight w:val="white"/>
          <w:rtl w:val="0"/>
        </w:rPr>
        <w:t xml:space="preserve">A victim is entitled to all of these as well as others. All of these entitlements are in place to help protect victims of crimes and find them some clarity to put their minds at ease as they try to return to normality. If victims do not receive the information and services they are entitled to, they can file a complaint and receive a complete response from the relevant service provider. (Voinea 2015)Looking at what is available to victims in the victim code 2015 I am able to see that the criminal justice system has made great strides in the right direction with regards to the support that is offered to victims of crimes as it can be of major help to many people. This Code of Practice for Victims of Crime is an important tool in helping the justice system to be responsive and more user-friendly by putting victims first. Crime victims should be treated with respect, sensitivity, tailored care, and professionalism without discrimination of any kind. Support should be provided to help them cope and recover and to prevent re-victimization as much as possible. Crime victims need to know what resources and support are available to them from the time they report a crime onward, as well as where to seek help if they are not receiving it. </w:t>
      </w:r>
    </w:p>
    <w:p w:rsidR="00000000" w:rsidDel="00000000" w:rsidP="00000000" w:rsidRDefault="00000000" w:rsidRPr="00000000" w14:paraId="00000022">
      <w:pPr>
        <w:keepNext w:val="0"/>
        <w:pBdr>
          <w:top w:color="auto" w:space="6" w:sz="0" w:val="none"/>
          <w:left w:color="auto" w:space="0" w:sz="0" w:val="none"/>
          <w:bottom w:color="auto" w:space="6" w:sz="0" w:val="none"/>
          <w:right w:color="auto" w:space="0" w:sz="0" w:val="none"/>
          <w:between w:color="auto" w:space="6" w:sz="0" w:val="none"/>
        </w:pBdr>
        <w:spacing w:after="0" w:line="480" w:lineRule="auto"/>
        <w:jc w:val="left"/>
        <w:rPr>
          <w:highlight w:val="white"/>
        </w:rPr>
      </w:pPr>
      <w:r w:rsidDel="00000000" w:rsidR="00000000" w:rsidRPr="00000000">
        <w:rPr>
          <w:highlight w:val="white"/>
          <w:rtl w:val="0"/>
        </w:rPr>
        <w:t xml:space="preserve">After researching and evaluating many of the entitlements given to victims as a result of the victims’ code 2015. It is clear to see that the improvements that have been made are extraordinary as victims are able to seek significant help after a crime is committed against them and the support that is provided to not only bring justice upon the criminal but to help the victims gain normality in their lives. Not only has the victim’s code been a detrimental help towards all victims it has also served the purpose of being a great resource for vulnerable people as victims as there are now a wide variety of services that can help vulnerable people adapt to life after becoming a victim and even further to strive to help normalize their lives once again. Although after the introduction of the code victims has found it easier to cope, there is still many more way that the criminal justice system can improve when it comes to dealing with victims. And I believe that more consideration should be shown toward victims as they may have been through a life-changing experience and may need more help at that time than ever before in their lives.</w:t>
      </w:r>
    </w:p>
    <w:p w:rsidR="00000000" w:rsidDel="00000000" w:rsidP="00000000" w:rsidRDefault="00000000" w:rsidRPr="00000000" w14:paraId="00000023">
      <w:pPr>
        <w:spacing w:after="0" w:line="480" w:lineRule="auto"/>
        <w:jc w:val="center"/>
        <w:rPr>
          <w:b w:val="1"/>
        </w:rPr>
      </w:pPr>
      <w:r w:rsidDel="00000000" w:rsidR="00000000" w:rsidRPr="00000000">
        <w:rPr>
          <w:rtl w:val="0"/>
        </w:rPr>
      </w:r>
    </w:p>
    <w:p w:rsidR="00000000" w:rsidDel="00000000" w:rsidP="00000000" w:rsidRDefault="00000000" w:rsidRPr="00000000" w14:paraId="00000024">
      <w:pPr>
        <w:jc w:val="center"/>
        <w:rPr>
          <w:sz w:val="36"/>
          <w:szCs w:val="36"/>
        </w:rPr>
      </w:pPr>
      <w:r w:rsidDel="00000000" w:rsidR="00000000" w:rsidRPr="00000000">
        <w:rPr>
          <w:rtl w:val="0"/>
        </w:rPr>
      </w:r>
    </w:p>
    <w:p w:rsidR="00000000" w:rsidDel="00000000" w:rsidP="00000000" w:rsidRDefault="00000000" w:rsidRPr="00000000" w14:paraId="00000025">
      <w:pPr>
        <w:jc w:val="center"/>
        <w:rPr>
          <w:sz w:val="36"/>
          <w:szCs w:val="36"/>
        </w:rPr>
      </w:pPr>
      <w:r w:rsidDel="00000000" w:rsidR="00000000" w:rsidRPr="00000000">
        <w:rPr>
          <w:rtl w:val="0"/>
        </w:rPr>
      </w:r>
    </w:p>
    <w:p w:rsidR="00000000" w:rsidDel="00000000" w:rsidP="00000000" w:rsidRDefault="00000000" w:rsidRPr="00000000" w14:paraId="00000026">
      <w:pPr>
        <w:jc w:val="center"/>
        <w:rPr>
          <w:sz w:val="36"/>
          <w:szCs w:val="36"/>
        </w:rPr>
      </w:pPr>
      <w:r w:rsidDel="00000000" w:rsidR="00000000" w:rsidRPr="00000000">
        <w:rPr>
          <w:rtl w:val="0"/>
        </w:rPr>
      </w:r>
    </w:p>
    <w:p w:rsidR="00000000" w:rsidDel="00000000" w:rsidP="00000000" w:rsidRDefault="00000000" w:rsidRPr="00000000" w14:paraId="00000027">
      <w:pPr>
        <w:jc w:val="center"/>
        <w:rPr>
          <w:sz w:val="36"/>
          <w:szCs w:val="36"/>
        </w:rPr>
      </w:pPr>
      <w:r w:rsidDel="00000000" w:rsidR="00000000" w:rsidRPr="00000000">
        <w:rPr>
          <w:rtl w:val="0"/>
        </w:rPr>
      </w:r>
    </w:p>
    <w:p w:rsidR="00000000" w:rsidDel="00000000" w:rsidP="00000000" w:rsidRDefault="00000000" w:rsidRPr="00000000" w14:paraId="00000028">
      <w:pPr>
        <w:jc w:val="center"/>
        <w:rPr>
          <w:sz w:val="36"/>
          <w:szCs w:val="36"/>
        </w:rPr>
      </w:pPr>
      <w:r w:rsidDel="00000000" w:rsidR="00000000" w:rsidRPr="00000000">
        <w:rPr>
          <w:rtl w:val="0"/>
        </w:rPr>
      </w:r>
    </w:p>
    <w:p w:rsidR="00000000" w:rsidDel="00000000" w:rsidP="00000000" w:rsidRDefault="00000000" w:rsidRPr="00000000" w14:paraId="00000029">
      <w:pPr>
        <w:jc w:val="center"/>
        <w:rPr>
          <w:sz w:val="36"/>
          <w:szCs w:val="36"/>
        </w:rPr>
      </w:pPr>
      <w:r w:rsidDel="00000000" w:rsidR="00000000" w:rsidRPr="00000000">
        <w:rPr>
          <w:rtl w:val="0"/>
        </w:rPr>
      </w:r>
    </w:p>
    <w:p w:rsidR="00000000" w:rsidDel="00000000" w:rsidP="00000000" w:rsidRDefault="00000000" w:rsidRPr="00000000" w14:paraId="0000002A">
      <w:pPr>
        <w:jc w:val="center"/>
        <w:rPr>
          <w:sz w:val="36"/>
          <w:szCs w:val="36"/>
        </w:rPr>
      </w:pPr>
      <w:r w:rsidDel="00000000" w:rsidR="00000000" w:rsidRPr="00000000">
        <w:rPr>
          <w:rtl w:val="0"/>
        </w:rPr>
      </w:r>
    </w:p>
    <w:p w:rsidR="00000000" w:rsidDel="00000000" w:rsidP="00000000" w:rsidRDefault="00000000" w:rsidRPr="00000000" w14:paraId="0000002B">
      <w:pPr>
        <w:jc w:val="center"/>
        <w:rPr>
          <w:sz w:val="36"/>
          <w:szCs w:val="36"/>
        </w:rPr>
      </w:pPr>
      <w:r w:rsidDel="00000000" w:rsidR="00000000" w:rsidRPr="00000000">
        <w:rPr>
          <w:rtl w:val="0"/>
        </w:rPr>
      </w:r>
    </w:p>
    <w:p w:rsidR="00000000" w:rsidDel="00000000" w:rsidP="00000000" w:rsidRDefault="00000000" w:rsidRPr="00000000" w14:paraId="0000002C">
      <w:pPr>
        <w:jc w:val="center"/>
        <w:rPr>
          <w:sz w:val="36"/>
          <w:szCs w:val="36"/>
        </w:rPr>
      </w:pPr>
      <w:r w:rsidDel="00000000" w:rsidR="00000000" w:rsidRPr="00000000">
        <w:rPr>
          <w:rtl w:val="0"/>
        </w:rPr>
      </w:r>
    </w:p>
    <w:p w:rsidR="00000000" w:rsidDel="00000000" w:rsidP="00000000" w:rsidRDefault="00000000" w:rsidRPr="00000000" w14:paraId="0000002D">
      <w:pPr>
        <w:jc w:val="center"/>
        <w:rPr>
          <w:sz w:val="36"/>
          <w:szCs w:val="36"/>
        </w:rPr>
      </w:pPr>
      <w:r w:rsidDel="00000000" w:rsidR="00000000" w:rsidRPr="00000000">
        <w:rPr>
          <w:rtl w:val="0"/>
        </w:rPr>
      </w:r>
    </w:p>
    <w:p w:rsidR="00000000" w:rsidDel="00000000" w:rsidP="00000000" w:rsidRDefault="00000000" w:rsidRPr="00000000" w14:paraId="0000002E">
      <w:pPr>
        <w:jc w:val="left"/>
        <w:rPr>
          <w:sz w:val="36"/>
          <w:szCs w:val="36"/>
        </w:rPr>
      </w:pPr>
      <w:r w:rsidDel="00000000" w:rsidR="00000000" w:rsidRPr="00000000">
        <w:rPr>
          <w:rtl w:val="0"/>
        </w:rPr>
      </w:r>
    </w:p>
    <w:p w:rsidR="00000000" w:rsidDel="00000000" w:rsidP="00000000" w:rsidRDefault="00000000" w:rsidRPr="00000000" w14:paraId="0000002F">
      <w:pPr>
        <w:jc w:val="left"/>
        <w:rPr>
          <w:sz w:val="28"/>
          <w:szCs w:val="28"/>
          <w:u w:val="single"/>
        </w:rPr>
      </w:pPr>
      <w:r w:rsidDel="00000000" w:rsidR="00000000" w:rsidRPr="00000000">
        <w:rPr>
          <w:rtl w:val="0"/>
        </w:rPr>
      </w:r>
    </w:p>
    <w:p w:rsidR="00000000" w:rsidDel="00000000" w:rsidP="00000000" w:rsidRDefault="00000000" w:rsidRPr="00000000" w14:paraId="00000030">
      <w:pPr>
        <w:jc w:val="left"/>
        <w:rPr>
          <w:sz w:val="28"/>
          <w:szCs w:val="28"/>
          <w:u w:val="single"/>
        </w:rPr>
      </w:pPr>
      <w:r w:rsidDel="00000000" w:rsidR="00000000" w:rsidRPr="00000000">
        <w:rPr>
          <w:sz w:val="28"/>
          <w:szCs w:val="28"/>
          <w:u w:val="single"/>
          <w:rtl w:val="0"/>
        </w:rPr>
        <w:t xml:space="preserve">References</w:t>
      </w:r>
    </w:p>
    <w:p w:rsidR="00000000" w:rsidDel="00000000" w:rsidP="00000000" w:rsidRDefault="00000000" w:rsidRPr="00000000" w14:paraId="00000031">
      <w:pPr>
        <w:jc w:val="left"/>
        <w:rPr>
          <w:sz w:val="28"/>
          <w:szCs w:val="28"/>
        </w:rPr>
      </w:pPr>
      <w:r w:rsidDel="00000000" w:rsidR="00000000" w:rsidRPr="00000000">
        <w:rPr>
          <w:rtl w:val="0"/>
        </w:rPr>
      </w:r>
    </w:p>
    <w:p w:rsidR="00000000" w:rsidDel="00000000" w:rsidP="00000000" w:rsidRDefault="00000000" w:rsidRPr="00000000" w14:paraId="00000032">
      <w:pPr>
        <w:pBdr>
          <w:top w:color="auto" w:space="6" w:sz="0" w:val="none"/>
          <w:left w:color="auto" w:space="0" w:sz="0" w:val="none"/>
          <w:bottom w:color="auto" w:space="6" w:sz="0" w:val="none"/>
          <w:right w:color="auto" w:space="0" w:sz="0" w:val="none"/>
          <w:between w:color="auto" w:space="6" w:sz="0" w:val="none"/>
        </w:pBdr>
        <w:spacing w:line="480" w:lineRule="auto"/>
        <w:rPr>
          <w:highlight w:val="white"/>
        </w:rPr>
      </w:pPr>
      <w:r w:rsidDel="00000000" w:rsidR="00000000" w:rsidRPr="00000000">
        <w:rPr>
          <w:highlight w:val="white"/>
          <w:rtl w:val="0"/>
        </w:rPr>
        <w:t xml:space="preserve">Buczma, S.R., 2013, September. An overview of the law concerning protection of victims of crime in the view of the adoption of the Directive 2012/29/EU establishing minimum standards on the rights, support, and protection of victims of crime in the European Union. In ERA Forum (Vol. 14, No. 2, pp. 235-250). Springer Berlin Heidelberg.</w:t>
      </w:r>
    </w:p>
    <w:p w:rsidR="00000000" w:rsidDel="00000000" w:rsidP="00000000" w:rsidRDefault="00000000" w:rsidRPr="00000000" w14:paraId="00000033">
      <w:pPr>
        <w:pBdr>
          <w:top w:color="auto" w:space="6" w:sz="0" w:val="none"/>
          <w:left w:color="auto" w:space="0" w:sz="0" w:val="none"/>
          <w:bottom w:color="auto" w:space="6" w:sz="0" w:val="none"/>
          <w:right w:color="auto" w:space="0" w:sz="0" w:val="none"/>
          <w:between w:color="auto" w:space="6" w:sz="0" w:val="none"/>
        </w:pBdr>
        <w:spacing w:line="480" w:lineRule="auto"/>
        <w:rPr>
          <w:highlight w:val="white"/>
        </w:rPr>
      </w:pPr>
      <w:r w:rsidDel="00000000" w:rsidR="00000000" w:rsidRPr="00000000">
        <w:rPr>
          <w:highlight w:val="white"/>
          <w:rtl w:val="0"/>
        </w:rPr>
        <w:t xml:space="preserve">Edwards, C., 2014. Pathologising the victim: law and the construction of people with disabilities as victims of crime in Ireland. Disability &amp; Society, 29(5), pp.685-698.</w:t>
      </w:r>
    </w:p>
    <w:p w:rsidR="00000000" w:rsidDel="00000000" w:rsidP="00000000" w:rsidRDefault="00000000" w:rsidRPr="00000000" w14:paraId="00000034">
      <w:pPr>
        <w:pBdr>
          <w:top w:color="auto" w:space="6" w:sz="0" w:val="none"/>
          <w:left w:color="auto" w:space="0" w:sz="0" w:val="none"/>
          <w:bottom w:color="auto" w:space="6" w:sz="0" w:val="none"/>
          <w:right w:color="auto" w:space="0" w:sz="0" w:val="none"/>
          <w:between w:color="auto" w:space="6" w:sz="0" w:val="none"/>
        </w:pBdr>
        <w:spacing w:line="480" w:lineRule="auto"/>
        <w:rPr>
          <w:highlight w:val="white"/>
        </w:rPr>
      </w:pPr>
      <w:r w:rsidDel="00000000" w:rsidR="00000000" w:rsidRPr="00000000">
        <w:rPr>
          <w:highlight w:val="white"/>
          <w:rtl w:val="0"/>
        </w:rPr>
        <w:t xml:space="preserve">Gill, A.K., Cox, P. and Weir, R., 2018. Shaping Priority Services for UK Victims of Honour‐Based Violence/Abuse, Forced Marriage, and Female Genital Mutilation. The Howard Journal of Crime and Justice, 57(4), pp.576-595.</w:t>
      </w:r>
    </w:p>
    <w:p w:rsidR="00000000" w:rsidDel="00000000" w:rsidP="00000000" w:rsidRDefault="00000000" w:rsidRPr="00000000" w14:paraId="00000035">
      <w:pPr>
        <w:pBdr>
          <w:top w:color="auto" w:space="6" w:sz="0" w:val="none"/>
          <w:left w:color="auto" w:space="0" w:sz="0" w:val="none"/>
          <w:bottom w:color="auto" w:space="6" w:sz="0" w:val="none"/>
          <w:right w:color="auto" w:space="0" w:sz="0" w:val="none"/>
          <w:between w:color="auto" w:space="6" w:sz="0" w:val="none"/>
        </w:pBdr>
        <w:spacing w:line="480" w:lineRule="auto"/>
        <w:rPr>
          <w:highlight w:val="white"/>
        </w:rPr>
      </w:pPr>
      <w:r w:rsidDel="00000000" w:rsidR="00000000" w:rsidRPr="00000000">
        <w:rPr>
          <w:highlight w:val="white"/>
          <w:rtl w:val="0"/>
        </w:rPr>
        <w:t xml:space="preserve">Kaukinen, C., 2004. The help-seeking strategies of female violent-crime victims: The direct and conditional effects of race and the victim-offender relationship. Journal of interpersonal violence, 19(9), pp.967-990.</w:t>
      </w:r>
    </w:p>
    <w:p w:rsidR="00000000" w:rsidDel="00000000" w:rsidP="00000000" w:rsidRDefault="00000000" w:rsidRPr="00000000" w14:paraId="00000036">
      <w:pPr>
        <w:pBdr>
          <w:top w:color="auto" w:space="6" w:sz="0" w:val="none"/>
          <w:left w:color="auto" w:space="0" w:sz="0" w:val="none"/>
          <w:bottom w:color="auto" w:space="6" w:sz="0" w:val="none"/>
          <w:right w:color="auto" w:space="0" w:sz="0" w:val="none"/>
          <w:between w:color="auto" w:space="6" w:sz="0" w:val="none"/>
        </w:pBdr>
        <w:spacing w:line="480" w:lineRule="auto"/>
        <w:rPr>
          <w:highlight w:val="white"/>
        </w:rPr>
      </w:pPr>
      <w:r w:rsidDel="00000000" w:rsidR="00000000" w:rsidRPr="00000000">
        <w:rPr>
          <w:highlight w:val="white"/>
          <w:rtl w:val="0"/>
        </w:rPr>
        <w:t xml:space="preserve">Kelly, D.P., 1983. Victims' perceptions of criminal justice. Pepp. L. Rev., 11, p.15.</w:t>
      </w:r>
    </w:p>
    <w:p w:rsidR="00000000" w:rsidDel="00000000" w:rsidP="00000000" w:rsidRDefault="00000000" w:rsidRPr="00000000" w14:paraId="00000037">
      <w:pPr>
        <w:pBdr>
          <w:top w:color="auto" w:space="6" w:sz="0" w:val="none"/>
          <w:left w:color="auto" w:space="0" w:sz="0" w:val="none"/>
          <w:bottom w:color="auto" w:space="6" w:sz="0" w:val="none"/>
          <w:right w:color="auto" w:space="0" w:sz="0" w:val="none"/>
          <w:between w:color="auto" w:space="6" w:sz="0" w:val="none"/>
        </w:pBdr>
        <w:spacing w:line="480" w:lineRule="auto"/>
        <w:rPr>
          <w:highlight w:val="white"/>
        </w:rPr>
      </w:pPr>
      <w:r w:rsidDel="00000000" w:rsidR="00000000" w:rsidRPr="00000000">
        <w:rPr>
          <w:highlight w:val="white"/>
          <w:rtl w:val="0"/>
        </w:rPr>
        <w:t xml:space="preserve">Iliadis, M. and Flynn, A., 2018. Providing a check on prosecutorial decision-making: An analysis of the victims’ right to review reform. The British Journal of Criminology, 58(3), pp.550-568.</w:t>
      </w:r>
    </w:p>
    <w:p w:rsidR="00000000" w:rsidDel="00000000" w:rsidP="00000000" w:rsidRDefault="00000000" w:rsidRPr="00000000" w14:paraId="00000038">
      <w:pPr>
        <w:pBdr>
          <w:top w:color="auto" w:space="6" w:sz="0" w:val="none"/>
          <w:left w:color="auto" w:space="0" w:sz="0" w:val="none"/>
          <w:bottom w:color="auto" w:space="6" w:sz="0" w:val="none"/>
          <w:right w:color="auto" w:space="0" w:sz="0" w:val="none"/>
          <w:between w:color="auto" w:space="6" w:sz="0" w:val="none"/>
        </w:pBdr>
        <w:spacing w:line="480" w:lineRule="auto"/>
        <w:rPr>
          <w:highlight w:val="white"/>
        </w:rPr>
      </w:pPr>
      <w:r w:rsidDel="00000000" w:rsidR="00000000" w:rsidRPr="00000000">
        <w:rPr>
          <w:highlight w:val="white"/>
          <w:rtl w:val="0"/>
        </w:rPr>
        <w:t xml:space="preserve">Mistry of justice, 2015, ‘Code of Practice for Victims of Crime’, (online), available at: https://www.cps.gov.uk/sites/default/files/documents/legal_guidance/OD_000049.pdf</w:t>
      </w:r>
    </w:p>
    <w:p w:rsidR="00000000" w:rsidDel="00000000" w:rsidP="00000000" w:rsidRDefault="00000000" w:rsidRPr="00000000" w14:paraId="00000039">
      <w:pPr>
        <w:pBdr>
          <w:top w:color="auto" w:space="6" w:sz="0" w:val="none"/>
          <w:left w:color="auto" w:space="0" w:sz="0" w:val="none"/>
          <w:bottom w:color="auto" w:space="6" w:sz="0" w:val="none"/>
          <w:right w:color="auto" w:space="0" w:sz="0" w:val="none"/>
          <w:between w:color="auto" w:space="6" w:sz="0" w:val="none"/>
        </w:pBdr>
        <w:spacing w:line="480" w:lineRule="auto"/>
        <w:rPr>
          <w:highlight w:val="white"/>
        </w:rPr>
      </w:pPr>
      <w:r w:rsidDel="00000000" w:rsidR="00000000" w:rsidRPr="00000000">
        <w:rPr>
          <w:highlight w:val="white"/>
          <w:rtl w:val="0"/>
        </w:rPr>
        <w:t xml:space="preserve">Reid, S.T., 2015. Crime and criminology. Wolters Kluwer.</w:t>
      </w:r>
    </w:p>
    <w:p w:rsidR="00000000" w:rsidDel="00000000" w:rsidP="00000000" w:rsidRDefault="00000000" w:rsidRPr="00000000" w14:paraId="0000003A">
      <w:pPr>
        <w:pBdr>
          <w:top w:color="auto" w:space="6" w:sz="0" w:val="none"/>
          <w:left w:color="auto" w:space="0" w:sz="0" w:val="none"/>
          <w:bottom w:color="auto" w:space="6" w:sz="0" w:val="none"/>
          <w:right w:color="auto" w:space="0" w:sz="0" w:val="none"/>
          <w:between w:color="auto" w:space="6" w:sz="0" w:val="none"/>
        </w:pBdr>
        <w:spacing w:line="480" w:lineRule="auto"/>
        <w:rPr>
          <w:highlight w:val="white"/>
        </w:rPr>
      </w:pPr>
      <w:r w:rsidDel="00000000" w:rsidR="00000000" w:rsidRPr="00000000">
        <w:rPr>
          <w:highlight w:val="white"/>
          <w:rtl w:val="0"/>
        </w:rPr>
        <w:t xml:space="preserve">Roberts, J.V. and Manikis, M., 2011. Victim personal statements: A review of empirical research. Victim Personal Statements at Sentencing: A Review of the Empirical Research (London: Office of the Commissioner for Victims and Witnesses of England and Wales, 2011).</w:t>
      </w:r>
    </w:p>
    <w:p w:rsidR="00000000" w:rsidDel="00000000" w:rsidP="00000000" w:rsidRDefault="00000000" w:rsidRPr="00000000" w14:paraId="0000003B">
      <w:pPr>
        <w:pBdr>
          <w:top w:color="auto" w:space="6" w:sz="0" w:val="none"/>
          <w:left w:color="auto" w:space="0" w:sz="0" w:val="none"/>
          <w:bottom w:color="auto" w:space="6" w:sz="0" w:val="none"/>
          <w:right w:color="auto" w:space="0" w:sz="0" w:val="none"/>
          <w:between w:color="auto" w:space="6" w:sz="0" w:val="none"/>
        </w:pBdr>
        <w:spacing w:line="480" w:lineRule="auto"/>
        <w:rPr>
          <w:highlight w:val="white"/>
        </w:rPr>
      </w:pPr>
      <w:r w:rsidDel="00000000" w:rsidR="00000000" w:rsidRPr="00000000">
        <w:rPr>
          <w:highlight w:val="white"/>
          <w:rtl w:val="0"/>
        </w:rPr>
        <w:t xml:space="preserve">Rossetti, P., Mayes, A. and Moroz, A., 2017. Victim of the system.</w:t>
      </w:r>
    </w:p>
    <w:p w:rsidR="00000000" w:rsidDel="00000000" w:rsidP="00000000" w:rsidRDefault="00000000" w:rsidRPr="00000000" w14:paraId="0000003C">
      <w:pPr>
        <w:pBdr>
          <w:top w:color="auto" w:space="6" w:sz="0" w:val="none"/>
          <w:left w:color="auto" w:space="0" w:sz="0" w:val="none"/>
          <w:bottom w:color="auto" w:space="6" w:sz="0" w:val="none"/>
          <w:right w:color="auto" w:space="0" w:sz="0" w:val="none"/>
          <w:between w:color="auto" w:space="6" w:sz="0" w:val="none"/>
        </w:pBdr>
        <w:spacing w:line="480" w:lineRule="auto"/>
        <w:rPr>
          <w:highlight w:val="white"/>
        </w:rPr>
      </w:pPr>
      <w:r w:rsidDel="00000000" w:rsidR="00000000" w:rsidRPr="00000000">
        <w:rPr>
          <w:highlight w:val="white"/>
          <w:rtl w:val="0"/>
        </w:rPr>
        <w:t xml:space="preserve">Shapland, J., Willmore, J., and Duff, P., 1985. Victims in the criminal justice system (pp. 176-78). Aldershot: Gower.</w:t>
      </w:r>
    </w:p>
    <w:p w:rsidR="00000000" w:rsidDel="00000000" w:rsidP="00000000" w:rsidRDefault="00000000" w:rsidRPr="00000000" w14:paraId="0000003D">
      <w:pPr>
        <w:pBdr>
          <w:top w:color="auto" w:space="6" w:sz="0" w:val="none"/>
          <w:left w:color="auto" w:space="0" w:sz="0" w:val="none"/>
          <w:bottom w:color="auto" w:space="6" w:sz="0" w:val="none"/>
          <w:right w:color="auto" w:space="0" w:sz="0" w:val="none"/>
          <w:between w:color="auto" w:space="6" w:sz="0" w:val="none"/>
        </w:pBdr>
        <w:spacing w:line="480" w:lineRule="auto"/>
        <w:rPr>
          <w:highlight w:val="white"/>
        </w:rPr>
      </w:pPr>
      <w:r w:rsidDel="00000000" w:rsidR="00000000" w:rsidRPr="00000000">
        <w:rPr>
          <w:highlight w:val="white"/>
          <w:rtl w:val="0"/>
        </w:rPr>
        <w:t xml:space="preserve">Sherman, L.W, 2015. Increased death rates of domestic violence victims from arresting vs. warning suspects in the Milwaukee Domestic Violence Experiment (MilDVE). Journal of experimental criminology, 11(1), pp.1-20.</w:t>
      </w:r>
    </w:p>
    <w:p w:rsidR="00000000" w:rsidDel="00000000" w:rsidP="00000000" w:rsidRDefault="00000000" w:rsidRPr="00000000" w14:paraId="0000003E">
      <w:pPr>
        <w:pBdr>
          <w:top w:color="auto" w:space="6" w:sz="0" w:val="none"/>
          <w:left w:color="auto" w:space="0" w:sz="0" w:val="none"/>
          <w:bottom w:color="auto" w:space="6" w:sz="0" w:val="none"/>
          <w:right w:color="auto" w:space="0" w:sz="0" w:val="none"/>
          <w:between w:color="auto" w:space="6" w:sz="0" w:val="none"/>
        </w:pBdr>
        <w:spacing w:line="480" w:lineRule="auto"/>
        <w:rPr>
          <w:highlight w:val="white"/>
        </w:rPr>
      </w:pPr>
      <w:r w:rsidDel="00000000" w:rsidR="00000000" w:rsidRPr="00000000">
        <w:rPr>
          <w:highlight w:val="white"/>
          <w:rtl w:val="0"/>
        </w:rPr>
        <w:t xml:space="preserve">Svensson, K., 2007. Victim Support in a changing welfare state. Social Work &amp; Society, 5(2), pp.123-134.</w:t>
      </w:r>
    </w:p>
    <w:p w:rsidR="00000000" w:rsidDel="00000000" w:rsidP="00000000" w:rsidRDefault="00000000" w:rsidRPr="00000000" w14:paraId="0000003F">
      <w:pPr>
        <w:pBdr>
          <w:top w:color="auto" w:space="6" w:sz="0" w:val="none"/>
          <w:left w:color="auto" w:space="0" w:sz="0" w:val="none"/>
          <w:bottom w:color="auto" w:space="6" w:sz="0" w:val="none"/>
          <w:right w:color="auto" w:space="0" w:sz="0" w:val="none"/>
          <w:between w:color="auto" w:space="6" w:sz="0" w:val="none"/>
        </w:pBdr>
        <w:spacing w:line="480" w:lineRule="auto"/>
        <w:rPr>
          <w:highlight w:val="white"/>
        </w:rPr>
      </w:pPr>
      <w:r w:rsidDel="00000000" w:rsidR="00000000" w:rsidRPr="00000000">
        <w:rPr>
          <w:highlight w:val="white"/>
          <w:rtl w:val="0"/>
        </w:rPr>
        <w:t xml:space="preserve">Stephens, B.J. and Sinden, P.G., 2000. Victims' voices: Domestic assault victims' perceptions of police demeanor. Journal of Interpersonal Violence, 15(5), pp.534-547.</w:t>
      </w:r>
    </w:p>
    <w:p w:rsidR="00000000" w:rsidDel="00000000" w:rsidP="00000000" w:rsidRDefault="00000000" w:rsidRPr="00000000" w14:paraId="00000040">
      <w:pPr>
        <w:pBdr>
          <w:top w:color="auto" w:space="6" w:sz="0" w:val="none"/>
          <w:left w:color="auto" w:space="0" w:sz="0" w:val="none"/>
          <w:bottom w:color="auto" w:space="6" w:sz="0" w:val="none"/>
          <w:right w:color="auto" w:space="0" w:sz="0" w:val="none"/>
          <w:between w:color="auto" w:space="6" w:sz="0" w:val="none"/>
        </w:pBdr>
        <w:spacing w:line="480" w:lineRule="auto"/>
        <w:rPr>
          <w:highlight w:val="white"/>
        </w:rPr>
      </w:pPr>
      <w:r w:rsidDel="00000000" w:rsidR="00000000" w:rsidRPr="00000000">
        <w:rPr>
          <w:highlight w:val="white"/>
          <w:rtl w:val="0"/>
        </w:rPr>
        <w:t xml:space="preserve">True Vision, 2021, ‘stop hate crimes’, ‘Organisations That Can Help’, (online), available at: https://www.report-it.org.uk/organisations_that_can_help</w:t>
      </w:r>
    </w:p>
    <w:p w:rsidR="00000000" w:rsidDel="00000000" w:rsidP="00000000" w:rsidRDefault="00000000" w:rsidRPr="00000000" w14:paraId="00000041">
      <w:pPr>
        <w:pBdr>
          <w:top w:color="auto" w:space="6" w:sz="0" w:val="none"/>
          <w:left w:color="auto" w:space="0" w:sz="0" w:val="none"/>
          <w:bottom w:color="auto" w:space="6" w:sz="0" w:val="none"/>
          <w:right w:color="auto" w:space="0" w:sz="0" w:val="none"/>
          <w:between w:color="auto" w:space="6" w:sz="0" w:val="none"/>
        </w:pBdr>
        <w:spacing w:line="480" w:lineRule="auto"/>
        <w:rPr>
          <w:highlight w:val="white"/>
        </w:rPr>
      </w:pPr>
      <w:r w:rsidDel="00000000" w:rsidR="00000000" w:rsidRPr="00000000">
        <w:rPr>
          <w:highlight w:val="white"/>
          <w:rtl w:val="0"/>
        </w:rPr>
        <w:t xml:space="preserve">Van Camp, T. and Wemmers, J.A., 2016. Victims’ reflections on the protective and proactive approaches to the offer of restorative justice: The importance of information. Canadian Journal of Criminology and Criminal Justice, 58(3), pp.415-442.</w:t>
      </w:r>
    </w:p>
    <w:p w:rsidR="00000000" w:rsidDel="00000000" w:rsidP="00000000" w:rsidRDefault="00000000" w:rsidRPr="00000000" w14:paraId="00000042">
      <w:pPr>
        <w:pBdr>
          <w:top w:color="auto" w:space="6" w:sz="0" w:val="none"/>
          <w:left w:color="auto" w:space="0" w:sz="0" w:val="none"/>
          <w:bottom w:color="auto" w:space="6" w:sz="0" w:val="none"/>
          <w:right w:color="auto" w:space="0" w:sz="0" w:val="none"/>
          <w:between w:color="auto" w:space="6" w:sz="0" w:val="none"/>
        </w:pBdr>
        <w:spacing w:line="480" w:lineRule="auto"/>
        <w:rPr>
          <w:highlight w:val="white"/>
        </w:rPr>
      </w:pPr>
      <w:r w:rsidDel="00000000" w:rsidR="00000000" w:rsidRPr="00000000">
        <w:rPr>
          <w:highlight w:val="white"/>
          <w:rtl w:val="0"/>
        </w:rPr>
        <w:t xml:space="preserve">Voinea, D.V., 2015. The journalists’ obligation of protecting the victims of sexual assault. Social Sciences and Education Research Review, 2(1), pp.101-109.</w:t>
      </w:r>
    </w:p>
    <w:p w:rsidR="00000000" w:rsidDel="00000000" w:rsidP="00000000" w:rsidRDefault="00000000" w:rsidRPr="00000000" w14:paraId="00000043">
      <w:pPr>
        <w:jc w:val="left"/>
        <w:rPr>
          <w:sz w:val="28"/>
          <w:szCs w:val="28"/>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