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56175316" w14:textId="635F20D5" w:rsidR="00391D90" w:rsidRDefault="00391D90" w:rsidP="00391D90">
      <w:pPr>
        <w:pStyle w:val="NormalWeb"/>
        <w:spacing w:before="0" w:beforeAutospacing="0" w:after="0" w:afterAutospacing="0"/>
        <w:ind w:left="-180" w:right="-334"/>
      </w:pPr>
      <w:r>
        <w:rPr>
          <w:noProof/>
          <w:lang w:eastAsia="en-GB"/>
        </w:rPr>
        <w:drawing>
          <wp:inline distT="0" distB="0" distL="0" distR="0" wp14:anchorId="73E93EB3" wp14:editId="4A3160E5">
            <wp:extent cx="2057400" cy="861695"/>
            <wp:effectExtent l="0" t="0" r="0" b="0"/>
            <wp:docPr id="1" name="Picture 1" descr="UWTSD Logo"/>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UWTSD Logo"/>
                    <pic:cNvPicPr>
                      <a:picLocks noChangeAspect="1" noChangeArrowheads="1"/>
                    </pic:cNvPicPr>
                  </pic:nvPicPr>
                  <pic:blipFill>
                    <a:blip r:embed="rId7" cstate="print">
                      <a:extLst>
                        <a:ext uri="{28A0092B-C50C-407E-A947-70E740481C1C}">
                          <a14:useLocalDpi xmlns:a14="http://schemas.microsoft.com/office/drawing/2010/main" val="0"/>
                        </a:ext>
                      </a:extLst>
                    </a:blip>
                    <a:srcRect/>
                    <a:stretch>
                      <a:fillRect/>
                    </a:stretch>
                  </pic:blipFill>
                  <pic:spPr bwMode="auto">
                    <a:xfrm>
                      <a:off x="0" y="0"/>
                      <a:ext cx="2057400" cy="861695"/>
                    </a:xfrm>
                    <a:prstGeom prst="rect">
                      <a:avLst/>
                    </a:prstGeom>
                    <a:noFill/>
                    <a:ln>
                      <a:noFill/>
                    </a:ln>
                  </pic:spPr>
                </pic:pic>
              </a:graphicData>
            </a:graphic>
          </wp:inline>
        </w:drawing>
      </w:r>
    </w:p>
    <w:p w14:paraId="57DB48C9" w14:textId="77777777" w:rsidR="00391D90" w:rsidRDefault="00391D90" w:rsidP="00391D90">
      <w:pPr>
        <w:pStyle w:val="NormalWeb"/>
        <w:spacing w:before="0" w:beforeAutospacing="0" w:after="0" w:afterAutospacing="0"/>
        <w:ind w:left="-180" w:right="-334"/>
      </w:pPr>
    </w:p>
    <w:p w14:paraId="1284200A" w14:textId="77777777" w:rsidR="00391D90" w:rsidRDefault="00391D90" w:rsidP="00391D90">
      <w:pPr>
        <w:pStyle w:val="NormalWeb"/>
        <w:spacing w:before="0" w:beforeAutospacing="0" w:after="0" w:afterAutospacing="0"/>
        <w:ind w:left="-180" w:right="-334"/>
      </w:pPr>
    </w:p>
    <w:p w14:paraId="71CDCB03" w14:textId="77777777" w:rsidR="00391D90" w:rsidRDefault="00391D90" w:rsidP="00391D90">
      <w:pPr>
        <w:pStyle w:val="NormalWeb"/>
        <w:spacing w:before="0" w:beforeAutospacing="0" w:after="0" w:afterAutospacing="0"/>
        <w:ind w:left="-180" w:right="-334"/>
        <w:jc w:val="center"/>
        <w:rPr>
          <w:rFonts w:ascii="Arial" w:hAnsi="Arial" w:cs="Arial"/>
          <w:b/>
          <w:sz w:val="28"/>
          <w:szCs w:val="28"/>
          <w:lang w:val="cy-GB"/>
        </w:rPr>
      </w:pPr>
      <w:r>
        <w:rPr>
          <w:rFonts w:ascii="Arial" w:hAnsi="Arial" w:cs="Arial"/>
          <w:b/>
          <w:sz w:val="28"/>
          <w:szCs w:val="28"/>
          <w:lang w:val="cy-GB"/>
        </w:rPr>
        <w:t xml:space="preserve">Postgraduate/Distance Learning </w:t>
      </w:r>
    </w:p>
    <w:p w14:paraId="7EF238CF" w14:textId="77777777" w:rsidR="00391D90" w:rsidRDefault="00391D90" w:rsidP="00391D90">
      <w:pPr>
        <w:pStyle w:val="NormalWeb"/>
        <w:spacing w:before="0" w:beforeAutospacing="0" w:after="0" w:afterAutospacing="0"/>
        <w:ind w:left="-180" w:right="-334"/>
        <w:jc w:val="center"/>
        <w:rPr>
          <w:rFonts w:ascii="Arial" w:hAnsi="Arial" w:cs="Arial"/>
          <w:b/>
          <w:sz w:val="28"/>
          <w:szCs w:val="28"/>
        </w:rPr>
      </w:pPr>
      <w:r>
        <w:rPr>
          <w:rFonts w:ascii="Arial" w:hAnsi="Arial" w:cs="Arial"/>
          <w:b/>
          <w:sz w:val="28"/>
          <w:szCs w:val="28"/>
          <w:lang w:val="cy-GB"/>
        </w:rPr>
        <w:t>Assignment coversheet &amp; feedback form</w:t>
      </w:r>
    </w:p>
    <w:p w14:paraId="2D7A4DD1" w14:textId="77777777" w:rsidR="00391D90" w:rsidRDefault="00391D90" w:rsidP="00391D90">
      <w:pPr>
        <w:rPr>
          <w:rFonts w:ascii="Arial" w:hAnsi="Arial" w:cs="Arial"/>
          <w:sz w:val="28"/>
          <w:szCs w:val="28"/>
          <w:lang w:val="cy-GB"/>
        </w:rPr>
      </w:pPr>
    </w:p>
    <w:p w14:paraId="48082510" w14:textId="77777777" w:rsidR="00391D90" w:rsidRDefault="00391D90" w:rsidP="00391D90">
      <w:pPr>
        <w:pStyle w:val="Heading3"/>
        <w:jc w:val="center"/>
        <w:rPr>
          <w:rFonts w:eastAsia="SimSun"/>
          <w:lang w:val="cy-GB"/>
        </w:rPr>
      </w:pPr>
      <w:r>
        <w:rPr>
          <w:rFonts w:eastAsia="SimSun"/>
          <w:lang w:val="cy-GB"/>
        </w:rPr>
        <w:t>THIS SHEET MUST BE THE FIRST PAGE OF THE ASSIGNMENT YOU ARE SUBMITTING  (DO NOT SEND AS A SEPARATE FILE)</w:t>
      </w:r>
    </w:p>
    <w:p w14:paraId="7B82C45B" w14:textId="77777777" w:rsidR="00391D90" w:rsidRDefault="00391D90" w:rsidP="00391D90">
      <w:pPr>
        <w:pStyle w:val="Heading3"/>
        <w:jc w:val="center"/>
        <w:rPr>
          <w:rFonts w:ascii="Trebuchet MS" w:eastAsia="SimSun" w:hAnsi="Trebuchet MS"/>
        </w:rPr>
      </w:pPr>
    </w:p>
    <w:tbl>
      <w:tblPr>
        <w:tblW w:w="0" w:type="auto"/>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4A0" w:firstRow="1" w:lastRow="0" w:firstColumn="1" w:lastColumn="0" w:noHBand="0" w:noVBand="1"/>
      </w:tblPr>
      <w:tblGrid>
        <w:gridCol w:w="4788"/>
        <w:gridCol w:w="423"/>
        <w:gridCol w:w="1557"/>
        <w:gridCol w:w="286"/>
        <w:gridCol w:w="1802"/>
      </w:tblGrid>
      <w:tr w:rsidR="00391D90" w14:paraId="25CC5451" w14:textId="77777777" w:rsidTr="00391D90">
        <w:trPr>
          <w:trHeight w:val="614"/>
        </w:trPr>
        <w:tc>
          <w:tcPr>
            <w:tcW w:w="8856" w:type="dxa"/>
            <w:gridSpan w:val="5"/>
            <w:tcBorders>
              <w:top w:val="single" w:sz="4" w:space="0" w:color="000000"/>
              <w:left w:val="single" w:sz="4" w:space="0" w:color="000000"/>
              <w:bottom w:val="single" w:sz="4" w:space="0" w:color="000000"/>
              <w:right w:val="single" w:sz="4" w:space="0" w:color="000000"/>
            </w:tcBorders>
            <w:hideMark/>
          </w:tcPr>
          <w:p w14:paraId="62B3C653" w14:textId="77777777" w:rsidR="00391D90" w:rsidRDefault="00391D90">
            <w:pPr>
              <w:pStyle w:val="NormalWeb"/>
              <w:spacing w:before="0" w:beforeAutospacing="0" w:after="0" w:afterAutospacing="0"/>
              <w:ind w:right="34"/>
              <w:rPr>
                <w:rFonts w:ascii="Arial" w:hAnsi="Arial" w:cs="Arial"/>
                <w:sz w:val="22"/>
                <w:szCs w:val="22"/>
              </w:rPr>
            </w:pPr>
            <w:r>
              <w:rPr>
                <w:rFonts w:ascii="Arial" w:hAnsi="Arial" w:cs="Arial"/>
                <w:b/>
                <w:sz w:val="22"/>
                <w:szCs w:val="22"/>
              </w:rPr>
              <w:t>For completion by the student</w:t>
            </w:r>
            <w:r>
              <w:rPr>
                <w:rFonts w:ascii="Arial" w:hAnsi="Arial" w:cs="Arial"/>
                <w:sz w:val="22"/>
                <w:szCs w:val="22"/>
              </w:rPr>
              <w:t>:</w:t>
            </w:r>
          </w:p>
        </w:tc>
      </w:tr>
      <w:tr w:rsidR="00391D90" w14:paraId="0BF13036" w14:textId="77777777" w:rsidTr="00391D90">
        <w:trPr>
          <w:trHeight w:val="718"/>
        </w:trPr>
        <w:tc>
          <w:tcPr>
            <w:tcW w:w="8856" w:type="dxa"/>
            <w:gridSpan w:val="5"/>
            <w:tcBorders>
              <w:top w:val="single" w:sz="4" w:space="0" w:color="000000"/>
              <w:left w:val="single" w:sz="4" w:space="0" w:color="000000"/>
              <w:bottom w:val="single" w:sz="4" w:space="0" w:color="000000"/>
              <w:right w:val="single" w:sz="4" w:space="0" w:color="000000"/>
            </w:tcBorders>
          </w:tcPr>
          <w:p w14:paraId="2ACB6C10" w14:textId="7863F43E" w:rsidR="00391D90" w:rsidRDefault="00391D90">
            <w:pPr>
              <w:pStyle w:val="NormalWeb"/>
              <w:spacing w:before="0" w:beforeAutospacing="0" w:after="0" w:afterAutospacing="0"/>
              <w:ind w:right="34"/>
              <w:rPr>
                <w:rFonts w:ascii="Arial" w:hAnsi="Arial" w:cs="Arial"/>
                <w:sz w:val="22"/>
                <w:szCs w:val="22"/>
              </w:rPr>
            </w:pPr>
            <w:r>
              <w:rPr>
                <w:rFonts w:ascii="Arial" w:hAnsi="Arial" w:cs="Arial"/>
                <w:sz w:val="22"/>
                <w:szCs w:val="22"/>
              </w:rPr>
              <w:t>Student Name:</w:t>
            </w:r>
            <w:r>
              <w:rPr>
                <w:rFonts w:ascii="Arial" w:hAnsi="Arial" w:cs="Arial"/>
                <w:sz w:val="22"/>
                <w:szCs w:val="22"/>
              </w:rPr>
              <w:t xml:space="preserve"> Marah Hager</w:t>
            </w:r>
          </w:p>
          <w:p w14:paraId="58FD63F9" w14:textId="77777777" w:rsidR="00391D90" w:rsidRDefault="00391D90">
            <w:pPr>
              <w:pStyle w:val="NormalWeb"/>
              <w:spacing w:before="0" w:beforeAutospacing="0" w:after="0" w:afterAutospacing="0"/>
              <w:ind w:right="34"/>
              <w:rPr>
                <w:rFonts w:ascii="Arial" w:hAnsi="Arial" w:cs="Arial"/>
                <w:sz w:val="22"/>
                <w:szCs w:val="22"/>
              </w:rPr>
            </w:pPr>
          </w:p>
        </w:tc>
      </w:tr>
      <w:tr w:rsidR="00391D90" w14:paraId="650CF998" w14:textId="77777777" w:rsidTr="00391D90">
        <w:trPr>
          <w:trHeight w:val="849"/>
        </w:trPr>
        <w:tc>
          <w:tcPr>
            <w:tcW w:w="4788" w:type="dxa"/>
            <w:tcBorders>
              <w:top w:val="single" w:sz="4" w:space="0" w:color="000000"/>
              <w:left w:val="single" w:sz="4" w:space="0" w:color="000000"/>
              <w:bottom w:val="single" w:sz="4" w:space="0" w:color="000000"/>
              <w:right w:val="single" w:sz="4" w:space="0" w:color="000000"/>
            </w:tcBorders>
          </w:tcPr>
          <w:p w14:paraId="3ED3388C" w14:textId="65A7FDDB" w:rsidR="00391D90" w:rsidRDefault="00391D90">
            <w:pPr>
              <w:pStyle w:val="NormalWeb"/>
              <w:spacing w:before="0" w:beforeAutospacing="0" w:after="0" w:afterAutospacing="0"/>
              <w:ind w:right="34"/>
              <w:rPr>
                <w:rFonts w:ascii="Arial" w:hAnsi="Arial" w:cs="Arial"/>
                <w:sz w:val="22"/>
                <w:szCs w:val="22"/>
              </w:rPr>
            </w:pPr>
            <w:r>
              <w:rPr>
                <w:rFonts w:ascii="Arial" w:hAnsi="Arial" w:cs="Arial"/>
                <w:sz w:val="22"/>
                <w:szCs w:val="22"/>
              </w:rPr>
              <w:t>Module code:</w:t>
            </w:r>
            <w:r w:rsidR="005229FB">
              <w:rPr>
                <w:rFonts w:ascii="Arial" w:hAnsi="Arial" w:cs="Arial"/>
                <w:sz w:val="22"/>
                <w:szCs w:val="22"/>
              </w:rPr>
              <w:t xml:space="preserve"> CSEN7037</w:t>
            </w:r>
          </w:p>
          <w:p w14:paraId="482D1DCA" w14:textId="77777777" w:rsidR="00391D90" w:rsidRDefault="00391D90">
            <w:pPr>
              <w:pStyle w:val="NormalWeb"/>
              <w:spacing w:before="0" w:beforeAutospacing="0" w:after="0" w:afterAutospacing="0"/>
              <w:ind w:right="34"/>
              <w:rPr>
                <w:rFonts w:ascii="Arial" w:hAnsi="Arial" w:cs="Arial"/>
                <w:sz w:val="22"/>
                <w:szCs w:val="22"/>
              </w:rPr>
            </w:pPr>
          </w:p>
          <w:p w14:paraId="05DC9A70" w14:textId="77777777" w:rsidR="00391D90" w:rsidRDefault="00391D90">
            <w:pPr>
              <w:pStyle w:val="NormalWeb"/>
              <w:spacing w:before="0" w:beforeAutospacing="0" w:after="0" w:afterAutospacing="0"/>
              <w:ind w:right="34"/>
              <w:rPr>
                <w:rFonts w:ascii="Arial" w:hAnsi="Arial" w:cs="Arial"/>
                <w:sz w:val="22"/>
                <w:szCs w:val="22"/>
              </w:rPr>
            </w:pPr>
            <w:r>
              <w:rPr>
                <w:rFonts w:ascii="Arial" w:hAnsi="Arial" w:cs="Arial"/>
                <w:sz w:val="22"/>
                <w:szCs w:val="22"/>
              </w:rPr>
              <w:t>Module title:</w:t>
            </w:r>
          </w:p>
          <w:p w14:paraId="7B1D7C2C" w14:textId="560C5158" w:rsidR="00391D90" w:rsidRDefault="005229FB">
            <w:pPr>
              <w:pStyle w:val="NormalWeb"/>
              <w:spacing w:before="0" w:beforeAutospacing="0" w:after="0" w:afterAutospacing="0"/>
              <w:ind w:right="34"/>
              <w:rPr>
                <w:rFonts w:ascii="Arial" w:hAnsi="Arial" w:cs="Arial"/>
                <w:sz w:val="22"/>
                <w:szCs w:val="22"/>
              </w:rPr>
            </w:pPr>
            <w:r>
              <w:rPr>
                <w:rFonts w:ascii="Arial" w:hAnsi="Arial" w:cs="Arial"/>
                <w:sz w:val="22"/>
                <w:szCs w:val="22"/>
              </w:rPr>
              <w:t>Critical Theory</w:t>
            </w:r>
          </w:p>
          <w:p w14:paraId="35319ABF" w14:textId="77777777" w:rsidR="00391D90" w:rsidRDefault="00391D90">
            <w:pPr>
              <w:pStyle w:val="NormalWeb"/>
              <w:spacing w:before="0" w:beforeAutospacing="0" w:after="0" w:afterAutospacing="0"/>
              <w:ind w:right="34"/>
              <w:rPr>
                <w:rFonts w:ascii="Arial" w:hAnsi="Arial" w:cs="Arial"/>
                <w:sz w:val="22"/>
                <w:szCs w:val="22"/>
              </w:rPr>
            </w:pPr>
          </w:p>
        </w:tc>
        <w:tc>
          <w:tcPr>
            <w:tcW w:w="2266" w:type="dxa"/>
            <w:gridSpan w:val="3"/>
            <w:tcBorders>
              <w:top w:val="single" w:sz="4" w:space="0" w:color="000000"/>
              <w:left w:val="single" w:sz="4" w:space="0" w:color="000000"/>
              <w:bottom w:val="single" w:sz="4" w:space="0" w:color="000000"/>
              <w:right w:val="single" w:sz="4" w:space="0" w:color="000000"/>
            </w:tcBorders>
            <w:hideMark/>
          </w:tcPr>
          <w:p w14:paraId="4B0A677B" w14:textId="5F29038A" w:rsidR="00391D90" w:rsidRDefault="00391D90">
            <w:pPr>
              <w:pStyle w:val="NormalWeb"/>
              <w:spacing w:before="0" w:beforeAutospacing="0" w:after="0" w:afterAutospacing="0"/>
              <w:ind w:right="34"/>
              <w:rPr>
                <w:rFonts w:ascii="Arial" w:hAnsi="Arial" w:cs="Arial"/>
                <w:sz w:val="22"/>
                <w:szCs w:val="22"/>
              </w:rPr>
            </w:pPr>
            <w:r>
              <w:rPr>
                <w:rFonts w:ascii="Arial" w:hAnsi="Arial" w:cs="Arial"/>
                <w:sz w:val="22"/>
                <w:szCs w:val="22"/>
              </w:rPr>
              <w:t>Student ID number:</w:t>
            </w:r>
            <w:r w:rsidR="005229FB">
              <w:rPr>
                <w:rFonts w:ascii="Arial" w:hAnsi="Arial" w:cs="Arial"/>
                <w:sz w:val="22"/>
                <w:szCs w:val="22"/>
              </w:rPr>
              <w:t xml:space="preserve"> 1601644</w:t>
            </w:r>
          </w:p>
        </w:tc>
        <w:tc>
          <w:tcPr>
            <w:tcW w:w="1802" w:type="dxa"/>
            <w:tcBorders>
              <w:top w:val="single" w:sz="4" w:space="0" w:color="000000"/>
              <w:left w:val="single" w:sz="4" w:space="0" w:color="000000"/>
              <w:bottom w:val="single" w:sz="4" w:space="0" w:color="000000"/>
              <w:right w:val="single" w:sz="4" w:space="0" w:color="000000"/>
            </w:tcBorders>
            <w:hideMark/>
          </w:tcPr>
          <w:p w14:paraId="6930A835" w14:textId="77777777" w:rsidR="00391D90" w:rsidRDefault="00391D90">
            <w:pPr>
              <w:pStyle w:val="NormalWeb"/>
              <w:spacing w:before="0" w:beforeAutospacing="0" w:after="0" w:afterAutospacing="0"/>
              <w:ind w:right="34"/>
              <w:rPr>
                <w:rFonts w:ascii="Arial" w:hAnsi="Arial" w:cs="Arial"/>
                <w:sz w:val="22"/>
                <w:szCs w:val="22"/>
              </w:rPr>
            </w:pPr>
            <w:r>
              <w:rPr>
                <w:rFonts w:ascii="Arial" w:hAnsi="Arial" w:cs="Arial"/>
                <w:sz w:val="22"/>
                <w:szCs w:val="22"/>
              </w:rPr>
              <w:t>Educational support needs:</w:t>
            </w:r>
          </w:p>
          <w:p w14:paraId="0AB1E0E2" w14:textId="41C10BE2" w:rsidR="00391D90" w:rsidRDefault="00391D90">
            <w:pPr>
              <w:pStyle w:val="NormalWeb"/>
              <w:spacing w:before="0" w:beforeAutospacing="0" w:after="0" w:afterAutospacing="0"/>
              <w:ind w:right="34"/>
              <w:rPr>
                <w:rFonts w:ascii="Arial" w:hAnsi="Arial" w:cs="Arial"/>
                <w:sz w:val="22"/>
                <w:szCs w:val="22"/>
              </w:rPr>
            </w:pPr>
            <w:r>
              <w:rPr>
                <w:rFonts w:ascii="Arial" w:hAnsi="Arial" w:cs="Arial"/>
                <w:sz w:val="22"/>
                <w:szCs w:val="22"/>
              </w:rPr>
              <w:t>No</w:t>
            </w:r>
          </w:p>
        </w:tc>
      </w:tr>
      <w:tr w:rsidR="00391D90" w14:paraId="751921E1" w14:textId="77777777" w:rsidTr="00391D90">
        <w:trPr>
          <w:trHeight w:val="1139"/>
        </w:trPr>
        <w:tc>
          <w:tcPr>
            <w:tcW w:w="8856" w:type="dxa"/>
            <w:gridSpan w:val="5"/>
            <w:tcBorders>
              <w:top w:val="single" w:sz="4" w:space="0" w:color="000000"/>
              <w:left w:val="single" w:sz="4" w:space="0" w:color="000000"/>
              <w:bottom w:val="single" w:sz="4" w:space="0" w:color="000000"/>
              <w:right w:val="single" w:sz="4" w:space="0" w:color="000000"/>
            </w:tcBorders>
          </w:tcPr>
          <w:p w14:paraId="3DD01E9A" w14:textId="77777777" w:rsidR="00391D90" w:rsidRDefault="00391D90">
            <w:pPr>
              <w:pStyle w:val="NormalWeb"/>
              <w:spacing w:before="0" w:beforeAutospacing="0" w:after="0" w:afterAutospacing="0"/>
              <w:ind w:right="34"/>
              <w:rPr>
                <w:rFonts w:ascii="Arial" w:hAnsi="Arial" w:cs="Arial"/>
                <w:sz w:val="22"/>
                <w:szCs w:val="22"/>
              </w:rPr>
            </w:pPr>
            <w:r>
              <w:rPr>
                <w:rFonts w:ascii="Arial" w:hAnsi="Arial" w:cs="Arial"/>
                <w:sz w:val="22"/>
                <w:szCs w:val="22"/>
              </w:rPr>
              <w:t>Module tutor:</w:t>
            </w:r>
          </w:p>
          <w:p w14:paraId="7432C060" w14:textId="590A7D8C" w:rsidR="00391D90" w:rsidRDefault="005229FB">
            <w:pPr>
              <w:pStyle w:val="NormalWeb"/>
              <w:spacing w:before="0" w:beforeAutospacing="0" w:after="0" w:afterAutospacing="0"/>
              <w:ind w:right="34"/>
              <w:rPr>
                <w:rFonts w:ascii="Arial" w:hAnsi="Arial" w:cs="Arial"/>
                <w:sz w:val="22"/>
                <w:szCs w:val="22"/>
              </w:rPr>
            </w:pPr>
            <w:proofErr w:type="spellStart"/>
            <w:r>
              <w:rPr>
                <w:rFonts w:ascii="Arial" w:hAnsi="Arial" w:cs="Arial"/>
                <w:sz w:val="22"/>
                <w:szCs w:val="22"/>
              </w:rPr>
              <w:t>Dr.</w:t>
            </w:r>
            <w:proofErr w:type="spellEnd"/>
            <w:r>
              <w:rPr>
                <w:rFonts w:ascii="Arial" w:hAnsi="Arial" w:cs="Arial"/>
                <w:sz w:val="22"/>
                <w:szCs w:val="22"/>
              </w:rPr>
              <w:t xml:space="preserve"> Peter Mitchell</w:t>
            </w:r>
          </w:p>
          <w:p w14:paraId="5A0B192F" w14:textId="77777777" w:rsidR="00391D90" w:rsidRDefault="00391D90">
            <w:pPr>
              <w:pStyle w:val="NormalWeb"/>
              <w:spacing w:before="0" w:beforeAutospacing="0" w:after="0" w:afterAutospacing="0"/>
              <w:ind w:right="34"/>
              <w:rPr>
                <w:rFonts w:ascii="Arial" w:hAnsi="Arial" w:cs="Arial"/>
                <w:sz w:val="22"/>
                <w:szCs w:val="22"/>
              </w:rPr>
            </w:pPr>
          </w:p>
          <w:p w14:paraId="76D21915" w14:textId="3722BA3B" w:rsidR="00391D90" w:rsidRDefault="00391D90">
            <w:pPr>
              <w:pStyle w:val="NormalWeb"/>
              <w:spacing w:before="0" w:beforeAutospacing="0" w:after="0" w:afterAutospacing="0"/>
              <w:ind w:right="34"/>
              <w:rPr>
                <w:rFonts w:ascii="Arial" w:hAnsi="Arial" w:cs="Arial"/>
                <w:sz w:val="22"/>
                <w:szCs w:val="22"/>
              </w:rPr>
            </w:pPr>
            <w:r>
              <w:rPr>
                <w:rFonts w:ascii="Arial" w:hAnsi="Arial" w:cs="Arial"/>
                <w:sz w:val="22"/>
                <w:szCs w:val="22"/>
              </w:rPr>
              <w:t>Assignment due date:</w:t>
            </w:r>
            <w:r w:rsidR="005229FB">
              <w:rPr>
                <w:rFonts w:ascii="Arial" w:hAnsi="Arial" w:cs="Arial"/>
                <w:sz w:val="22"/>
                <w:szCs w:val="22"/>
              </w:rPr>
              <w:t xml:space="preserve"> 31</w:t>
            </w:r>
            <w:r w:rsidR="005229FB" w:rsidRPr="005229FB">
              <w:rPr>
                <w:rFonts w:ascii="Arial" w:hAnsi="Arial" w:cs="Arial"/>
                <w:sz w:val="22"/>
                <w:szCs w:val="22"/>
                <w:vertAlign w:val="superscript"/>
              </w:rPr>
              <w:t>st</w:t>
            </w:r>
            <w:r w:rsidR="005229FB">
              <w:rPr>
                <w:rFonts w:ascii="Arial" w:hAnsi="Arial" w:cs="Arial"/>
                <w:sz w:val="22"/>
                <w:szCs w:val="22"/>
              </w:rPr>
              <w:t xml:space="preserve"> March 2019</w:t>
            </w:r>
          </w:p>
        </w:tc>
      </w:tr>
      <w:tr w:rsidR="00391D90" w14:paraId="735FEE03" w14:textId="77777777" w:rsidTr="00391D90">
        <w:trPr>
          <w:trHeight w:val="978"/>
        </w:trPr>
        <w:tc>
          <w:tcPr>
            <w:tcW w:w="8856" w:type="dxa"/>
            <w:gridSpan w:val="5"/>
            <w:tcBorders>
              <w:top w:val="single" w:sz="4" w:space="0" w:color="000000"/>
              <w:left w:val="single" w:sz="4" w:space="0" w:color="000000"/>
              <w:bottom w:val="single" w:sz="4" w:space="0" w:color="000000"/>
              <w:right w:val="single" w:sz="4" w:space="0" w:color="000000"/>
            </w:tcBorders>
          </w:tcPr>
          <w:p w14:paraId="60359A44" w14:textId="77777777" w:rsidR="00391D90" w:rsidRDefault="00391D90">
            <w:pPr>
              <w:rPr>
                <w:rFonts w:ascii="Arial" w:hAnsi="Arial" w:cs="Arial"/>
                <w:sz w:val="22"/>
              </w:rPr>
            </w:pPr>
            <w:r>
              <w:rPr>
                <w:rFonts w:ascii="Arial" w:hAnsi="Arial" w:cs="Arial"/>
                <w:sz w:val="22"/>
              </w:rPr>
              <w:t>If your module has multiple submissions please indicate which piece of work this is.</w:t>
            </w:r>
          </w:p>
          <w:p w14:paraId="036C0157" w14:textId="77777777" w:rsidR="00391D90" w:rsidRDefault="00391D90">
            <w:pPr>
              <w:rPr>
                <w:rFonts w:ascii="Arial" w:hAnsi="Arial" w:cs="Arial"/>
                <w:sz w:val="22"/>
              </w:rPr>
            </w:pPr>
          </w:p>
          <w:p w14:paraId="617C29E4" w14:textId="77777777" w:rsidR="00391D90" w:rsidRDefault="00391D90">
            <w:pPr>
              <w:rPr>
                <w:rFonts w:ascii="Arial" w:hAnsi="Arial" w:cs="Arial"/>
                <w:sz w:val="22"/>
              </w:rPr>
            </w:pPr>
            <w:r>
              <w:rPr>
                <w:rFonts w:ascii="Arial" w:hAnsi="Arial" w:cs="Arial"/>
                <w:sz w:val="22"/>
              </w:rPr>
              <w:t>1</w:t>
            </w:r>
            <w:r>
              <w:rPr>
                <w:rFonts w:ascii="Arial" w:hAnsi="Arial" w:cs="Arial"/>
                <w:sz w:val="22"/>
                <w:vertAlign w:val="superscript"/>
              </w:rPr>
              <w:t xml:space="preserve">st </w:t>
            </w:r>
            <w:r>
              <w:rPr>
                <w:rFonts w:ascii="Arial" w:hAnsi="Arial" w:cs="Arial"/>
                <w:sz w:val="22"/>
              </w:rPr>
              <w:fldChar w:fldCharType="begin">
                <w:ffData>
                  <w:name w:val="Check13"/>
                  <w:enabled/>
                  <w:calcOnExit w:val="0"/>
                  <w:checkBox>
                    <w:sizeAuto/>
                    <w:default w:val="0"/>
                  </w:checkBox>
                </w:ffData>
              </w:fldChar>
            </w:r>
            <w:bookmarkStart w:id="0" w:name="Check13"/>
            <w:r>
              <w:rPr>
                <w:rFonts w:ascii="Arial" w:hAnsi="Arial" w:cs="Arial"/>
                <w:sz w:val="22"/>
              </w:rPr>
              <w:instrText xml:space="preserve"> FORMCHECKBOX </w:instrText>
            </w:r>
            <w:r>
              <w:rPr>
                <w:rFonts w:cs="Times New Roman"/>
                <w:szCs w:val="24"/>
              </w:rPr>
              <w:fldChar w:fldCharType="end"/>
            </w:r>
            <w:bookmarkEnd w:id="0"/>
            <w:r>
              <w:rPr>
                <w:rFonts w:ascii="Arial" w:hAnsi="Arial" w:cs="Arial"/>
                <w:sz w:val="22"/>
              </w:rPr>
              <w:t xml:space="preserve">    2</w:t>
            </w:r>
            <w:r>
              <w:rPr>
                <w:rFonts w:ascii="Arial" w:hAnsi="Arial" w:cs="Arial"/>
                <w:sz w:val="22"/>
                <w:vertAlign w:val="superscript"/>
              </w:rPr>
              <w:t>nd</w:t>
            </w:r>
            <w:r>
              <w:rPr>
                <w:rFonts w:ascii="Arial" w:hAnsi="Arial" w:cs="Arial"/>
                <w:sz w:val="22"/>
              </w:rPr>
              <w:t xml:space="preserve">  </w:t>
            </w:r>
            <w:r>
              <w:rPr>
                <w:rFonts w:ascii="Arial" w:hAnsi="Arial" w:cs="Arial"/>
                <w:sz w:val="22"/>
              </w:rPr>
              <w:fldChar w:fldCharType="begin">
                <w:ffData>
                  <w:name w:val="Check14"/>
                  <w:enabled/>
                  <w:calcOnExit w:val="0"/>
                  <w:checkBox>
                    <w:sizeAuto/>
                    <w:default w:val="0"/>
                  </w:checkBox>
                </w:ffData>
              </w:fldChar>
            </w:r>
            <w:bookmarkStart w:id="1" w:name="Check14"/>
            <w:r>
              <w:rPr>
                <w:rFonts w:ascii="Arial" w:hAnsi="Arial" w:cs="Arial"/>
                <w:sz w:val="22"/>
              </w:rPr>
              <w:instrText xml:space="preserve"> FORMCHECKBOX </w:instrText>
            </w:r>
            <w:r>
              <w:rPr>
                <w:rFonts w:cs="Times New Roman"/>
                <w:szCs w:val="24"/>
              </w:rPr>
              <w:fldChar w:fldCharType="end"/>
            </w:r>
            <w:bookmarkEnd w:id="1"/>
            <w:r>
              <w:rPr>
                <w:rFonts w:ascii="Arial" w:hAnsi="Arial" w:cs="Arial"/>
                <w:sz w:val="22"/>
              </w:rPr>
              <w:t xml:space="preserve">     3</w:t>
            </w:r>
            <w:r>
              <w:rPr>
                <w:rFonts w:ascii="Arial" w:hAnsi="Arial" w:cs="Arial"/>
                <w:sz w:val="22"/>
                <w:vertAlign w:val="superscript"/>
              </w:rPr>
              <w:t>rd</w:t>
            </w:r>
            <w:r>
              <w:rPr>
                <w:rFonts w:ascii="Arial" w:hAnsi="Arial" w:cs="Arial"/>
                <w:sz w:val="22"/>
              </w:rPr>
              <w:t xml:space="preserve">  </w:t>
            </w:r>
            <w:r>
              <w:rPr>
                <w:rFonts w:ascii="Arial" w:hAnsi="Arial" w:cs="Arial"/>
                <w:sz w:val="22"/>
              </w:rPr>
              <w:fldChar w:fldCharType="begin">
                <w:ffData>
                  <w:name w:val="Check15"/>
                  <w:enabled/>
                  <w:calcOnExit w:val="0"/>
                  <w:checkBox>
                    <w:sizeAuto/>
                    <w:default w:val="0"/>
                  </w:checkBox>
                </w:ffData>
              </w:fldChar>
            </w:r>
            <w:bookmarkStart w:id="2" w:name="Check15"/>
            <w:r>
              <w:rPr>
                <w:rFonts w:ascii="Arial" w:hAnsi="Arial" w:cs="Arial"/>
                <w:sz w:val="22"/>
              </w:rPr>
              <w:instrText xml:space="preserve"> FORMCHECKBOX </w:instrText>
            </w:r>
            <w:r>
              <w:rPr>
                <w:rFonts w:cs="Times New Roman"/>
                <w:szCs w:val="24"/>
              </w:rPr>
              <w:fldChar w:fldCharType="end"/>
            </w:r>
            <w:bookmarkEnd w:id="2"/>
            <w:r>
              <w:rPr>
                <w:rFonts w:ascii="Arial" w:hAnsi="Arial" w:cs="Arial"/>
                <w:sz w:val="22"/>
              </w:rPr>
              <w:t xml:space="preserve">      4</w:t>
            </w:r>
            <w:r>
              <w:rPr>
                <w:rFonts w:ascii="Arial" w:hAnsi="Arial" w:cs="Arial"/>
                <w:sz w:val="22"/>
                <w:vertAlign w:val="superscript"/>
              </w:rPr>
              <w:t>th</w:t>
            </w:r>
            <w:r>
              <w:rPr>
                <w:rFonts w:ascii="Arial" w:hAnsi="Arial" w:cs="Arial"/>
                <w:sz w:val="22"/>
              </w:rPr>
              <w:t xml:space="preserve"> </w:t>
            </w:r>
            <w:r>
              <w:rPr>
                <w:rFonts w:ascii="Arial" w:hAnsi="Arial" w:cs="Arial"/>
                <w:sz w:val="22"/>
              </w:rPr>
              <w:fldChar w:fldCharType="begin">
                <w:ffData>
                  <w:name w:val="Check16"/>
                  <w:enabled/>
                  <w:calcOnExit w:val="0"/>
                  <w:checkBox>
                    <w:sizeAuto/>
                    <w:default w:val="0"/>
                  </w:checkBox>
                </w:ffData>
              </w:fldChar>
            </w:r>
            <w:bookmarkStart w:id="3" w:name="Check16"/>
            <w:r>
              <w:rPr>
                <w:rFonts w:ascii="Arial" w:hAnsi="Arial" w:cs="Arial"/>
                <w:sz w:val="22"/>
              </w:rPr>
              <w:instrText xml:space="preserve"> FORMCHECKBOX </w:instrText>
            </w:r>
            <w:r>
              <w:rPr>
                <w:rFonts w:cs="Times New Roman"/>
                <w:szCs w:val="24"/>
              </w:rPr>
              <w:fldChar w:fldCharType="end"/>
            </w:r>
            <w:bookmarkEnd w:id="3"/>
            <w:r>
              <w:rPr>
                <w:rFonts w:ascii="Arial" w:hAnsi="Arial" w:cs="Arial"/>
                <w:sz w:val="22"/>
              </w:rPr>
              <w:t xml:space="preserve">      5</w:t>
            </w:r>
            <w:r>
              <w:rPr>
                <w:rFonts w:ascii="Arial" w:hAnsi="Arial" w:cs="Arial"/>
                <w:sz w:val="22"/>
                <w:vertAlign w:val="superscript"/>
              </w:rPr>
              <w:t>th</w:t>
            </w:r>
            <w:r>
              <w:rPr>
                <w:rFonts w:ascii="Arial" w:hAnsi="Arial" w:cs="Arial"/>
                <w:sz w:val="22"/>
              </w:rPr>
              <w:t xml:space="preserve"> </w:t>
            </w:r>
            <w:r>
              <w:rPr>
                <w:rFonts w:ascii="Arial" w:hAnsi="Arial" w:cs="Arial"/>
                <w:sz w:val="22"/>
              </w:rPr>
              <w:fldChar w:fldCharType="begin">
                <w:ffData>
                  <w:name w:val="Check17"/>
                  <w:enabled/>
                  <w:calcOnExit w:val="0"/>
                  <w:checkBox>
                    <w:sizeAuto/>
                    <w:default w:val="0"/>
                  </w:checkBox>
                </w:ffData>
              </w:fldChar>
            </w:r>
            <w:bookmarkStart w:id="4" w:name="Check17"/>
            <w:r>
              <w:rPr>
                <w:rFonts w:ascii="Arial" w:hAnsi="Arial" w:cs="Arial"/>
                <w:sz w:val="22"/>
              </w:rPr>
              <w:instrText xml:space="preserve"> FORMCHECKBOX </w:instrText>
            </w:r>
            <w:r>
              <w:rPr>
                <w:rFonts w:cs="Times New Roman"/>
                <w:szCs w:val="24"/>
              </w:rPr>
              <w:fldChar w:fldCharType="end"/>
            </w:r>
            <w:bookmarkEnd w:id="4"/>
            <w:r>
              <w:rPr>
                <w:rFonts w:ascii="Arial" w:hAnsi="Arial" w:cs="Arial"/>
                <w:sz w:val="22"/>
              </w:rPr>
              <w:t xml:space="preserve">      6</w:t>
            </w:r>
            <w:r>
              <w:rPr>
                <w:rFonts w:ascii="Arial" w:hAnsi="Arial" w:cs="Arial"/>
                <w:sz w:val="22"/>
                <w:vertAlign w:val="superscript"/>
              </w:rPr>
              <w:t>th</w:t>
            </w:r>
            <w:r>
              <w:rPr>
                <w:rFonts w:ascii="Arial" w:hAnsi="Arial" w:cs="Arial"/>
                <w:sz w:val="22"/>
              </w:rPr>
              <w:t xml:space="preserve"> </w:t>
            </w:r>
            <w:r>
              <w:rPr>
                <w:rFonts w:ascii="Arial" w:hAnsi="Arial" w:cs="Arial"/>
                <w:sz w:val="22"/>
              </w:rPr>
              <w:fldChar w:fldCharType="begin">
                <w:ffData>
                  <w:name w:val="Check18"/>
                  <w:enabled/>
                  <w:calcOnExit w:val="0"/>
                  <w:checkBox>
                    <w:sizeAuto/>
                    <w:default w:val="0"/>
                  </w:checkBox>
                </w:ffData>
              </w:fldChar>
            </w:r>
            <w:bookmarkStart w:id="5" w:name="Check18"/>
            <w:r>
              <w:rPr>
                <w:rFonts w:ascii="Arial" w:hAnsi="Arial" w:cs="Arial"/>
                <w:sz w:val="22"/>
              </w:rPr>
              <w:instrText xml:space="preserve"> FORMCHECKBOX </w:instrText>
            </w:r>
            <w:r>
              <w:rPr>
                <w:rFonts w:cs="Times New Roman"/>
                <w:szCs w:val="24"/>
              </w:rPr>
              <w:fldChar w:fldCharType="end"/>
            </w:r>
            <w:bookmarkEnd w:id="5"/>
          </w:p>
        </w:tc>
      </w:tr>
      <w:tr w:rsidR="00391D90" w14:paraId="412604E3" w14:textId="77777777" w:rsidTr="00391D90">
        <w:trPr>
          <w:trHeight w:val="978"/>
        </w:trPr>
        <w:tc>
          <w:tcPr>
            <w:tcW w:w="8856" w:type="dxa"/>
            <w:gridSpan w:val="5"/>
            <w:tcBorders>
              <w:top w:val="single" w:sz="4" w:space="0" w:color="000000"/>
              <w:left w:val="single" w:sz="4" w:space="0" w:color="000000"/>
              <w:bottom w:val="single" w:sz="4" w:space="0" w:color="000000"/>
              <w:right w:val="single" w:sz="4" w:space="0" w:color="000000"/>
            </w:tcBorders>
            <w:shd w:val="clear" w:color="auto" w:fill="D9D9D9"/>
            <w:hideMark/>
          </w:tcPr>
          <w:p w14:paraId="423ACF4B" w14:textId="77777777" w:rsidR="00391D90" w:rsidRDefault="00391D90">
            <w:pPr>
              <w:pStyle w:val="NormalWeb"/>
              <w:spacing w:before="0" w:beforeAutospacing="0" w:after="0" w:afterAutospacing="0"/>
              <w:ind w:right="34"/>
              <w:rPr>
                <w:rFonts w:ascii="Arial" w:hAnsi="Arial" w:cs="Arial"/>
                <w:sz w:val="22"/>
                <w:szCs w:val="22"/>
              </w:rPr>
            </w:pPr>
            <w:r>
              <w:rPr>
                <w:rFonts w:ascii="Arial" w:hAnsi="Arial" w:cs="Arial"/>
                <w:sz w:val="22"/>
                <w:szCs w:val="22"/>
              </w:rPr>
              <w:t>I confirm that this is my original work and that I have adhered to the University policy on plagiarism.</w:t>
            </w:r>
          </w:p>
          <w:p w14:paraId="652F40CB" w14:textId="6DDF8F5A" w:rsidR="00391D90" w:rsidRDefault="00391D90">
            <w:pPr>
              <w:pStyle w:val="NormalWeb"/>
              <w:spacing w:before="0" w:beforeAutospacing="0" w:after="0" w:afterAutospacing="0"/>
              <w:ind w:right="34"/>
              <w:rPr>
                <w:rFonts w:ascii="Arial" w:hAnsi="Arial" w:cs="Arial"/>
                <w:sz w:val="22"/>
                <w:szCs w:val="22"/>
              </w:rPr>
            </w:pPr>
            <w:r>
              <w:rPr>
                <w:rFonts w:ascii="Arial" w:hAnsi="Arial" w:cs="Arial"/>
                <w:sz w:val="22"/>
                <w:szCs w:val="22"/>
              </w:rPr>
              <w:t xml:space="preserve">Signed </w:t>
            </w:r>
            <w:r w:rsidR="00E10423">
              <w:rPr>
                <w:noProof/>
              </w:rPr>
              <w:drawing>
                <wp:inline distT="0" distB="0" distL="0" distR="0" wp14:anchorId="593CB25E" wp14:editId="0893B2B8">
                  <wp:extent cx="2235835" cy="349250"/>
                  <wp:effectExtent l="0" t="0" r="0" b="0"/>
                  <wp:docPr id="2" name="Picture 2"/>
                  <wp:cNvGraphicFramePr/>
                  <a:graphic xmlns:a="http://schemas.openxmlformats.org/drawingml/2006/main">
                    <a:graphicData uri="http://schemas.openxmlformats.org/drawingml/2006/picture">
                      <pic:pic xmlns:pic="http://schemas.openxmlformats.org/drawingml/2006/picture">
                        <pic:nvPicPr>
                          <pic:cNvPr id="2" name="Picture 2"/>
                          <pic:cNvPicPr/>
                        </pic:nvPicPr>
                        <pic:blipFill>
                          <a:blip r:embed="rId8">
                            <a:extLst>
                              <a:ext uri="{28A0092B-C50C-407E-A947-70E740481C1C}">
                                <a14:useLocalDpi xmlns:a14="http://schemas.microsoft.com/office/drawing/2010/main" val="0"/>
                              </a:ext>
                            </a:extLst>
                          </a:blip>
                          <a:stretch>
                            <a:fillRect/>
                          </a:stretch>
                        </pic:blipFill>
                        <pic:spPr>
                          <a:xfrm>
                            <a:off x="0" y="0"/>
                            <a:ext cx="2235835" cy="349250"/>
                          </a:xfrm>
                          <a:prstGeom prst="rect">
                            <a:avLst/>
                          </a:prstGeom>
                        </pic:spPr>
                      </pic:pic>
                    </a:graphicData>
                  </a:graphic>
                </wp:inline>
              </w:drawing>
            </w:r>
            <w:r>
              <w:rPr>
                <w:rFonts w:ascii="Arial" w:hAnsi="Arial" w:cs="Arial"/>
                <w:sz w:val="22"/>
                <w:szCs w:val="22"/>
              </w:rPr>
              <w:t>………………………………………………</w:t>
            </w:r>
          </w:p>
          <w:p w14:paraId="60D58FB3" w14:textId="77777777" w:rsidR="00391D90" w:rsidRDefault="00391D90">
            <w:pPr>
              <w:pStyle w:val="NormalWeb"/>
              <w:spacing w:before="0" w:beforeAutospacing="0" w:after="0" w:afterAutospacing="0"/>
              <w:ind w:right="34"/>
              <w:rPr>
                <w:rFonts w:ascii="Calibri" w:hAnsi="Calibri" w:cs="Calibri"/>
                <w:b/>
                <w:sz w:val="44"/>
                <w:szCs w:val="44"/>
              </w:rPr>
            </w:pPr>
            <w:r>
              <w:rPr>
                <w:rFonts w:ascii="Calibri" w:hAnsi="Calibri" w:cs="Tahoma"/>
                <w:b/>
                <w:sz w:val="24"/>
                <w:szCs w:val="24"/>
              </w:rPr>
              <w:t xml:space="preserve">Email submission: if you are submitting this form via email, please tick this box </w:t>
            </w:r>
            <w:r>
              <w:rPr>
                <w:rFonts w:ascii="Calibri" w:hAnsi="Calibri" w:cs="Calibri"/>
                <w:b/>
                <w:sz w:val="44"/>
                <w:szCs w:val="44"/>
              </w:rPr>
              <w:t>□</w:t>
            </w:r>
          </w:p>
          <w:p w14:paraId="7BF6ABB4" w14:textId="77777777" w:rsidR="00391D90" w:rsidRDefault="00391D90">
            <w:pPr>
              <w:pStyle w:val="NormalWeb"/>
              <w:spacing w:before="0" w:beforeAutospacing="0" w:after="0" w:afterAutospacing="0"/>
              <w:ind w:right="34"/>
              <w:rPr>
                <w:rFonts w:ascii="Arial" w:hAnsi="Arial" w:cs="Arial"/>
                <w:sz w:val="22"/>
                <w:szCs w:val="22"/>
              </w:rPr>
            </w:pPr>
            <w:r>
              <w:rPr>
                <w:rFonts w:ascii="Calibri" w:hAnsi="Calibri" w:cs="Tahoma"/>
                <w:b/>
                <w:sz w:val="24"/>
                <w:szCs w:val="24"/>
              </w:rPr>
              <w:t>(as a substitute for your signature) to confirm that you agree to the above declaration.</w:t>
            </w:r>
          </w:p>
        </w:tc>
      </w:tr>
      <w:tr w:rsidR="00391D90" w14:paraId="2B029BA6" w14:textId="77777777" w:rsidTr="00391D90">
        <w:trPr>
          <w:trHeight w:val="3972"/>
        </w:trPr>
        <w:tc>
          <w:tcPr>
            <w:tcW w:w="8856" w:type="dxa"/>
            <w:gridSpan w:val="5"/>
            <w:tcBorders>
              <w:top w:val="single" w:sz="4" w:space="0" w:color="000000"/>
              <w:left w:val="single" w:sz="4" w:space="0" w:color="000000"/>
              <w:bottom w:val="single" w:sz="4" w:space="0" w:color="000000"/>
              <w:right w:val="single" w:sz="4" w:space="0" w:color="000000"/>
            </w:tcBorders>
          </w:tcPr>
          <w:p w14:paraId="6A9652E7" w14:textId="77777777" w:rsidR="00391D90" w:rsidRDefault="00391D90">
            <w:pPr>
              <w:rPr>
                <w:rFonts w:ascii="Arial" w:hAnsi="Arial" w:cs="Times New Roman"/>
                <w:b/>
                <w:szCs w:val="24"/>
              </w:rPr>
            </w:pPr>
          </w:p>
          <w:p w14:paraId="23F74AFA" w14:textId="77777777" w:rsidR="00391D90" w:rsidRDefault="00391D90">
            <w:pPr>
              <w:rPr>
                <w:rFonts w:ascii="Arial" w:hAnsi="Arial"/>
              </w:rPr>
            </w:pPr>
            <w:r>
              <w:rPr>
                <w:rFonts w:ascii="Arial" w:hAnsi="Arial"/>
                <w:b/>
              </w:rPr>
              <w:t>Assignment Mark</w:t>
            </w: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6970"/>
              <w:gridCol w:w="1660"/>
            </w:tblGrid>
            <w:tr w:rsidR="00391D90" w14:paraId="712D868A" w14:textId="77777777">
              <w:tc>
                <w:tcPr>
                  <w:tcW w:w="6970" w:type="dxa"/>
                  <w:tcBorders>
                    <w:top w:val="single" w:sz="4" w:space="0" w:color="auto"/>
                    <w:left w:val="single" w:sz="4" w:space="0" w:color="auto"/>
                    <w:bottom w:val="single" w:sz="4" w:space="0" w:color="auto"/>
                    <w:right w:val="single" w:sz="4" w:space="0" w:color="auto"/>
                  </w:tcBorders>
                </w:tcPr>
                <w:p w14:paraId="6104113D" w14:textId="77777777" w:rsidR="00391D90" w:rsidRDefault="00391D90">
                  <w:pPr>
                    <w:rPr>
                      <w:rFonts w:ascii="Arial" w:hAnsi="Arial"/>
                      <w:sz w:val="20"/>
                      <w:szCs w:val="20"/>
                    </w:rPr>
                  </w:pPr>
                </w:p>
                <w:p w14:paraId="741648BE" w14:textId="77777777" w:rsidR="00391D90" w:rsidRDefault="00391D90">
                  <w:pPr>
                    <w:rPr>
                      <w:rFonts w:ascii="Arial" w:hAnsi="Arial"/>
                      <w:sz w:val="20"/>
                      <w:szCs w:val="20"/>
                    </w:rPr>
                  </w:pPr>
                  <w:r>
                    <w:rPr>
                      <w:rFonts w:ascii="Arial" w:hAnsi="Arial"/>
                      <w:sz w:val="20"/>
                      <w:szCs w:val="20"/>
                    </w:rPr>
                    <w:t>1</w:t>
                  </w:r>
                  <w:r>
                    <w:rPr>
                      <w:rFonts w:ascii="Arial" w:hAnsi="Arial"/>
                      <w:sz w:val="20"/>
                      <w:szCs w:val="20"/>
                      <w:vertAlign w:val="superscript"/>
                    </w:rPr>
                    <w:t>st</w:t>
                  </w:r>
                  <w:r>
                    <w:rPr>
                      <w:rFonts w:ascii="Arial" w:hAnsi="Arial"/>
                      <w:sz w:val="20"/>
                      <w:szCs w:val="20"/>
                    </w:rPr>
                    <w:t xml:space="preserve"> Marker’s Provisional mark</w:t>
                  </w:r>
                </w:p>
              </w:tc>
              <w:tc>
                <w:tcPr>
                  <w:tcW w:w="1660" w:type="dxa"/>
                  <w:tcBorders>
                    <w:top w:val="single" w:sz="4" w:space="0" w:color="auto"/>
                    <w:left w:val="single" w:sz="4" w:space="0" w:color="auto"/>
                    <w:bottom w:val="single" w:sz="4" w:space="0" w:color="auto"/>
                    <w:right w:val="single" w:sz="4" w:space="0" w:color="auto"/>
                  </w:tcBorders>
                </w:tcPr>
                <w:p w14:paraId="15F19D55" w14:textId="77777777" w:rsidR="00391D90" w:rsidRDefault="00391D90">
                  <w:pPr>
                    <w:rPr>
                      <w:rFonts w:ascii="Arial" w:hAnsi="Arial"/>
                      <w:sz w:val="20"/>
                      <w:szCs w:val="20"/>
                    </w:rPr>
                  </w:pPr>
                </w:p>
              </w:tc>
            </w:tr>
            <w:tr w:rsidR="00391D90" w14:paraId="1E4BC397" w14:textId="77777777">
              <w:tc>
                <w:tcPr>
                  <w:tcW w:w="6970" w:type="dxa"/>
                  <w:tcBorders>
                    <w:top w:val="single" w:sz="4" w:space="0" w:color="auto"/>
                    <w:left w:val="single" w:sz="4" w:space="0" w:color="auto"/>
                    <w:bottom w:val="single" w:sz="4" w:space="0" w:color="auto"/>
                    <w:right w:val="single" w:sz="4" w:space="0" w:color="auto"/>
                  </w:tcBorders>
                </w:tcPr>
                <w:p w14:paraId="7A8F52F7" w14:textId="77777777" w:rsidR="00391D90" w:rsidRDefault="00391D90">
                  <w:pPr>
                    <w:rPr>
                      <w:rFonts w:ascii="Arial" w:hAnsi="Arial"/>
                      <w:sz w:val="20"/>
                      <w:szCs w:val="20"/>
                    </w:rPr>
                  </w:pPr>
                </w:p>
                <w:p w14:paraId="676ED13A" w14:textId="77777777" w:rsidR="00391D90" w:rsidRDefault="00391D90">
                  <w:pPr>
                    <w:rPr>
                      <w:rFonts w:ascii="Arial" w:hAnsi="Arial"/>
                      <w:sz w:val="20"/>
                      <w:szCs w:val="20"/>
                    </w:rPr>
                  </w:pPr>
                  <w:r>
                    <w:rPr>
                      <w:rFonts w:ascii="Arial" w:hAnsi="Arial"/>
                      <w:sz w:val="20"/>
                      <w:szCs w:val="20"/>
                    </w:rPr>
                    <w:t>2</w:t>
                  </w:r>
                  <w:r>
                    <w:rPr>
                      <w:rFonts w:ascii="Arial" w:hAnsi="Arial"/>
                      <w:sz w:val="20"/>
                      <w:szCs w:val="20"/>
                      <w:vertAlign w:val="superscript"/>
                    </w:rPr>
                    <w:t>nd</w:t>
                  </w:r>
                  <w:r>
                    <w:rPr>
                      <w:rFonts w:ascii="Arial" w:hAnsi="Arial"/>
                      <w:sz w:val="20"/>
                      <w:szCs w:val="20"/>
                    </w:rPr>
                    <w:t xml:space="preserve"> Marker’s/Moderator’s provisional mark</w:t>
                  </w:r>
                </w:p>
              </w:tc>
              <w:tc>
                <w:tcPr>
                  <w:tcW w:w="1660" w:type="dxa"/>
                  <w:tcBorders>
                    <w:top w:val="single" w:sz="4" w:space="0" w:color="auto"/>
                    <w:left w:val="single" w:sz="4" w:space="0" w:color="auto"/>
                    <w:bottom w:val="single" w:sz="4" w:space="0" w:color="auto"/>
                    <w:right w:val="single" w:sz="4" w:space="0" w:color="auto"/>
                  </w:tcBorders>
                </w:tcPr>
                <w:p w14:paraId="215D95E2" w14:textId="77777777" w:rsidR="00391D90" w:rsidRDefault="00391D90">
                  <w:pPr>
                    <w:rPr>
                      <w:rFonts w:ascii="Arial" w:hAnsi="Arial"/>
                      <w:sz w:val="20"/>
                      <w:szCs w:val="20"/>
                    </w:rPr>
                  </w:pPr>
                </w:p>
              </w:tc>
            </w:tr>
            <w:tr w:rsidR="00391D90" w14:paraId="2E199E5D" w14:textId="77777777">
              <w:tc>
                <w:tcPr>
                  <w:tcW w:w="6970" w:type="dxa"/>
                  <w:tcBorders>
                    <w:top w:val="single" w:sz="4" w:space="0" w:color="auto"/>
                    <w:left w:val="single" w:sz="4" w:space="0" w:color="auto"/>
                    <w:bottom w:val="single" w:sz="4" w:space="0" w:color="auto"/>
                    <w:right w:val="single" w:sz="4" w:space="0" w:color="auto"/>
                  </w:tcBorders>
                </w:tcPr>
                <w:p w14:paraId="5B9B2C14" w14:textId="77777777" w:rsidR="00391D90" w:rsidRDefault="00391D90">
                  <w:pPr>
                    <w:rPr>
                      <w:rFonts w:ascii="Arial" w:hAnsi="Arial"/>
                      <w:sz w:val="20"/>
                      <w:szCs w:val="20"/>
                    </w:rPr>
                  </w:pPr>
                  <w:r>
                    <w:rPr>
                      <w:rFonts w:ascii="Arial" w:hAnsi="Arial"/>
                      <w:sz w:val="20"/>
                      <w:szCs w:val="20"/>
                    </w:rPr>
                    <w:t xml:space="preserve">Agreed Internal Mark: </w:t>
                  </w:r>
                </w:p>
                <w:p w14:paraId="6AF6EC41" w14:textId="77777777" w:rsidR="00391D90" w:rsidRDefault="00391D90">
                  <w:pPr>
                    <w:rPr>
                      <w:rFonts w:ascii="Arial" w:hAnsi="Arial"/>
                      <w:sz w:val="20"/>
                      <w:szCs w:val="20"/>
                      <w:highlight w:val="yellow"/>
                    </w:rPr>
                  </w:pPr>
                </w:p>
              </w:tc>
              <w:tc>
                <w:tcPr>
                  <w:tcW w:w="1660" w:type="dxa"/>
                  <w:tcBorders>
                    <w:top w:val="single" w:sz="4" w:space="0" w:color="auto"/>
                    <w:left w:val="single" w:sz="4" w:space="0" w:color="auto"/>
                    <w:bottom w:val="single" w:sz="4" w:space="0" w:color="auto"/>
                    <w:right w:val="single" w:sz="4" w:space="0" w:color="auto"/>
                  </w:tcBorders>
                </w:tcPr>
                <w:p w14:paraId="1DD27685" w14:textId="77777777" w:rsidR="00391D90" w:rsidRDefault="00391D90">
                  <w:pPr>
                    <w:rPr>
                      <w:rFonts w:ascii="Arial" w:hAnsi="Arial"/>
                      <w:sz w:val="20"/>
                      <w:szCs w:val="20"/>
                      <w:highlight w:val="yellow"/>
                    </w:rPr>
                  </w:pPr>
                </w:p>
              </w:tc>
            </w:tr>
            <w:tr w:rsidR="00391D90" w14:paraId="7CC78EFA" w14:textId="77777777">
              <w:tc>
                <w:tcPr>
                  <w:tcW w:w="6970" w:type="dxa"/>
                  <w:tcBorders>
                    <w:top w:val="single" w:sz="4" w:space="0" w:color="auto"/>
                    <w:left w:val="single" w:sz="4" w:space="0" w:color="auto"/>
                    <w:bottom w:val="single" w:sz="4" w:space="0" w:color="auto"/>
                    <w:right w:val="single" w:sz="4" w:space="0" w:color="auto"/>
                  </w:tcBorders>
                </w:tcPr>
                <w:p w14:paraId="27DD2BA8" w14:textId="77777777" w:rsidR="00391D90" w:rsidRDefault="00391D90">
                  <w:pPr>
                    <w:rPr>
                      <w:rFonts w:ascii="Arial" w:hAnsi="Arial"/>
                      <w:sz w:val="20"/>
                      <w:szCs w:val="20"/>
                    </w:rPr>
                  </w:pPr>
                </w:p>
                <w:p w14:paraId="6AE085A6" w14:textId="77777777" w:rsidR="00391D90" w:rsidRDefault="00391D90">
                  <w:pPr>
                    <w:rPr>
                      <w:rFonts w:ascii="Arial" w:hAnsi="Arial"/>
                      <w:sz w:val="20"/>
                      <w:szCs w:val="20"/>
                    </w:rPr>
                  </w:pPr>
                  <w:r>
                    <w:rPr>
                      <w:rFonts w:ascii="Arial" w:hAnsi="Arial"/>
                      <w:sz w:val="20"/>
                      <w:szCs w:val="20"/>
                    </w:rPr>
                    <w:t>External Examiner’s mark (if relevant)</w:t>
                  </w:r>
                </w:p>
              </w:tc>
              <w:tc>
                <w:tcPr>
                  <w:tcW w:w="1660" w:type="dxa"/>
                  <w:tcBorders>
                    <w:top w:val="single" w:sz="4" w:space="0" w:color="auto"/>
                    <w:left w:val="single" w:sz="4" w:space="0" w:color="auto"/>
                    <w:bottom w:val="single" w:sz="4" w:space="0" w:color="auto"/>
                    <w:right w:val="single" w:sz="4" w:space="0" w:color="auto"/>
                  </w:tcBorders>
                </w:tcPr>
                <w:p w14:paraId="4274254B" w14:textId="77777777" w:rsidR="00391D90" w:rsidRDefault="00391D90">
                  <w:pPr>
                    <w:rPr>
                      <w:rFonts w:ascii="Arial" w:hAnsi="Arial"/>
                      <w:sz w:val="20"/>
                      <w:szCs w:val="20"/>
                    </w:rPr>
                  </w:pPr>
                </w:p>
              </w:tc>
            </w:tr>
            <w:tr w:rsidR="00391D90" w14:paraId="0A51C52C" w14:textId="77777777">
              <w:tc>
                <w:tcPr>
                  <w:tcW w:w="6970" w:type="dxa"/>
                  <w:tcBorders>
                    <w:top w:val="single" w:sz="4" w:space="0" w:color="auto"/>
                    <w:left w:val="single" w:sz="4" w:space="0" w:color="auto"/>
                    <w:bottom w:val="single" w:sz="4" w:space="0" w:color="auto"/>
                    <w:right w:val="single" w:sz="4" w:space="0" w:color="auto"/>
                  </w:tcBorders>
                </w:tcPr>
                <w:p w14:paraId="0EC4F9C5" w14:textId="77777777" w:rsidR="00391D90" w:rsidRDefault="00391D90">
                  <w:pPr>
                    <w:rPr>
                      <w:rFonts w:ascii="Arial" w:hAnsi="Arial"/>
                      <w:sz w:val="20"/>
                      <w:szCs w:val="20"/>
                    </w:rPr>
                  </w:pPr>
                </w:p>
                <w:p w14:paraId="35AEB23D" w14:textId="77777777" w:rsidR="00391D90" w:rsidRDefault="00391D90">
                  <w:pPr>
                    <w:rPr>
                      <w:rFonts w:ascii="Arial" w:hAnsi="Arial"/>
                      <w:b/>
                      <w:sz w:val="20"/>
                      <w:szCs w:val="20"/>
                    </w:rPr>
                  </w:pPr>
                  <w:r>
                    <w:rPr>
                      <w:rFonts w:ascii="Arial" w:hAnsi="Arial"/>
                      <w:b/>
                      <w:sz w:val="20"/>
                      <w:szCs w:val="20"/>
                    </w:rPr>
                    <w:t>Final Mark</w:t>
                  </w:r>
                </w:p>
                <w:p w14:paraId="09F8A66E" w14:textId="77777777" w:rsidR="00391D90" w:rsidRDefault="00391D90">
                  <w:pPr>
                    <w:rPr>
                      <w:rFonts w:ascii="Arial" w:hAnsi="Arial"/>
                      <w:sz w:val="20"/>
                      <w:szCs w:val="20"/>
                    </w:rPr>
                  </w:pPr>
                </w:p>
              </w:tc>
              <w:tc>
                <w:tcPr>
                  <w:tcW w:w="1660" w:type="dxa"/>
                  <w:tcBorders>
                    <w:top w:val="single" w:sz="4" w:space="0" w:color="auto"/>
                    <w:left w:val="single" w:sz="4" w:space="0" w:color="auto"/>
                    <w:bottom w:val="single" w:sz="4" w:space="0" w:color="auto"/>
                    <w:right w:val="single" w:sz="4" w:space="0" w:color="auto"/>
                  </w:tcBorders>
                </w:tcPr>
                <w:p w14:paraId="23157C64" w14:textId="77777777" w:rsidR="00391D90" w:rsidRDefault="00391D90">
                  <w:pPr>
                    <w:rPr>
                      <w:rFonts w:ascii="Arial" w:hAnsi="Arial"/>
                      <w:sz w:val="20"/>
                      <w:szCs w:val="20"/>
                    </w:rPr>
                  </w:pPr>
                </w:p>
              </w:tc>
            </w:tr>
          </w:tbl>
          <w:p w14:paraId="7E05EF57" w14:textId="77777777" w:rsidR="00391D90" w:rsidRDefault="00391D90">
            <w:pPr>
              <w:pStyle w:val="NormalWeb"/>
              <w:spacing w:before="0" w:beforeAutospacing="0" w:after="0" w:afterAutospacing="0"/>
              <w:ind w:left="142" w:right="34"/>
              <w:rPr>
                <w:rFonts w:ascii="Arial" w:hAnsi="Arial" w:cs="Arial"/>
                <w:b/>
                <w:sz w:val="22"/>
                <w:szCs w:val="22"/>
              </w:rPr>
            </w:pPr>
          </w:p>
          <w:p w14:paraId="44BBCBF3" w14:textId="77777777" w:rsidR="00391D90" w:rsidRDefault="00391D90">
            <w:pPr>
              <w:pStyle w:val="NormalWeb"/>
              <w:spacing w:before="0" w:beforeAutospacing="0" w:after="0" w:afterAutospacing="0"/>
              <w:ind w:left="142" w:right="34"/>
              <w:rPr>
                <w:rFonts w:ascii="Arial" w:hAnsi="Arial" w:cs="Arial"/>
                <w:sz w:val="22"/>
                <w:szCs w:val="22"/>
              </w:rPr>
            </w:pPr>
            <w:r>
              <w:rPr>
                <w:rFonts w:ascii="Arial" w:hAnsi="Arial" w:cs="Arial"/>
                <w:b/>
                <w:sz w:val="22"/>
                <w:szCs w:val="22"/>
              </w:rPr>
              <w:t>NB.</w:t>
            </w:r>
            <w:r>
              <w:rPr>
                <w:rFonts w:ascii="Arial" w:hAnsi="Arial" w:cs="Arial"/>
                <w:sz w:val="22"/>
                <w:szCs w:val="22"/>
              </w:rPr>
              <w:t xml:space="preserve">  All marks are provisional until confirmed by the Final Examination Board.</w:t>
            </w:r>
          </w:p>
          <w:p w14:paraId="738C001E" w14:textId="77777777" w:rsidR="00391D90" w:rsidRDefault="00391D90">
            <w:pPr>
              <w:pStyle w:val="NormalWeb"/>
              <w:spacing w:before="0" w:beforeAutospacing="0" w:after="0" w:afterAutospacing="0"/>
              <w:rPr>
                <w:rFonts w:ascii="Arial" w:hAnsi="Arial" w:cs="Arial"/>
                <w:b/>
                <w:sz w:val="22"/>
                <w:szCs w:val="22"/>
              </w:rPr>
            </w:pPr>
          </w:p>
          <w:p w14:paraId="5CED6CBE" w14:textId="77777777" w:rsidR="00391D90" w:rsidRDefault="00391D90">
            <w:pPr>
              <w:pStyle w:val="NormalWeb"/>
              <w:spacing w:before="0" w:beforeAutospacing="0" w:after="0" w:afterAutospacing="0"/>
              <w:rPr>
                <w:rFonts w:ascii="Arial" w:hAnsi="Arial" w:cs="Arial"/>
                <w:b/>
                <w:sz w:val="22"/>
                <w:szCs w:val="22"/>
              </w:rPr>
            </w:pPr>
          </w:p>
          <w:p w14:paraId="1B7199F4" w14:textId="77777777" w:rsidR="00391D90" w:rsidRDefault="00391D90">
            <w:pPr>
              <w:pStyle w:val="NormalWeb"/>
              <w:spacing w:before="0" w:beforeAutospacing="0" w:after="0" w:afterAutospacing="0"/>
              <w:rPr>
                <w:rFonts w:ascii="Arial" w:hAnsi="Arial" w:cs="Arial"/>
                <w:b/>
                <w:sz w:val="22"/>
                <w:szCs w:val="22"/>
              </w:rPr>
            </w:pPr>
          </w:p>
          <w:p w14:paraId="702BF2D0" w14:textId="77777777" w:rsidR="00391D90" w:rsidRDefault="00391D90">
            <w:pPr>
              <w:pStyle w:val="NormalWeb"/>
              <w:spacing w:before="0" w:beforeAutospacing="0" w:after="0" w:afterAutospacing="0"/>
              <w:rPr>
                <w:rFonts w:ascii="Arial" w:hAnsi="Arial" w:cs="Arial"/>
                <w:b/>
                <w:sz w:val="22"/>
                <w:szCs w:val="22"/>
              </w:rPr>
            </w:pPr>
          </w:p>
          <w:p w14:paraId="610F1936" w14:textId="77777777" w:rsidR="00391D90" w:rsidRDefault="00391D90">
            <w:pPr>
              <w:pStyle w:val="NormalWeb"/>
              <w:spacing w:before="0" w:beforeAutospacing="0" w:after="0" w:afterAutospacing="0"/>
              <w:rPr>
                <w:rFonts w:ascii="Arial" w:hAnsi="Arial" w:cs="Arial"/>
                <w:b/>
                <w:sz w:val="22"/>
                <w:szCs w:val="22"/>
              </w:rPr>
            </w:pPr>
            <w:r>
              <w:rPr>
                <w:rFonts w:ascii="Arial" w:hAnsi="Arial" w:cs="Arial"/>
                <w:b/>
                <w:sz w:val="22"/>
                <w:szCs w:val="22"/>
              </w:rPr>
              <w:t>For completion by Marker 1 :</w:t>
            </w:r>
          </w:p>
          <w:p w14:paraId="1B470C01" w14:textId="77777777" w:rsidR="00391D90" w:rsidRDefault="00391D90">
            <w:pPr>
              <w:pStyle w:val="NormalWeb"/>
              <w:rPr>
                <w:rFonts w:ascii="Arial" w:hAnsi="Arial" w:cs="Arial"/>
                <w:sz w:val="22"/>
                <w:szCs w:val="22"/>
              </w:rPr>
            </w:pPr>
            <w:r>
              <w:rPr>
                <w:rFonts w:ascii="Arial" w:hAnsi="Arial" w:cs="Arial"/>
                <w:sz w:val="22"/>
                <w:szCs w:val="22"/>
              </w:rPr>
              <w:t>Comments:</w:t>
            </w:r>
          </w:p>
          <w:p w14:paraId="0FA43E9C" w14:textId="77777777" w:rsidR="00391D90" w:rsidRDefault="00391D90">
            <w:pPr>
              <w:pStyle w:val="NormalWeb"/>
              <w:rPr>
                <w:rFonts w:ascii="Arial" w:hAnsi="Arial" w:cs="Arial"/>
                <w:sz w:val="22"/>
                <w:szCs w:val="22"/>
              </w:rPr>
            </w:pPr>
          </w:p>
        </w:tc>
      </w:tr>
      <w:tr w:rsidR="00391D90" w14:paraId="4CF03266" w14:textId="77777777" w:rsidTr="00391D90">
        <w:trPr>
          <w:trHeight w:val="492"/>
        </w:trPr>
        <w:tc>
          <w:tcPr>
            <w:tcW w:w="6768" w:type="dxa"/>
            <w:gridSpan w:val="3"/>
            <w:tcBorders>
              <w:top w:val="single" w:sz="4" w:space="0" w:color="000000"/>
              <w:left w:val="single" w:sz="4" w:space="0" w:color="000000"/>
              <w:bottom w:val="single" w:sz="4" w:space="0" w:color="000000"/>
              <w:right w:val="single" w:sz="4" w:space="0" w:color="000000"/>
            </w:tcBorders>
            <w:hideMark/>
          </w:tcPr>
          <w:p w14:paraId="1E19F2E4" w14:textId="77777777" w:rsidR="00391D90" w:rsidRDefault="00391D90">
            <w:pPr>
              <w:pStyle w:val="NormalWeb"/>
              <w:spacing w:beforeAutospacing="0" w:afterAutospacing="0"/>
              <w:ind w:left="142" w:right="34"/>
              <w:rPr>
                <w:rFonts w:ascii="Arial" w:hAnsi="Arial" w:cs="Arial"/>
                <w:sz w:val="22"/>
                <w:szCs w:val="22"/>
              </w:rPr>
            </w:pPr>
            <w:r>
              <w:rPr>
                <w:rFonts w:ascii="Arial" w:hAnsi="Arial" w:cs="Arial"/>
                <w:sz w:val="22"/>
                <w:szCs w:val="22"/>
              </w:rPr>
              <w:t>Marker’s signature:</w:t>
            </w:r>
          </w:p>
        </w:tc>
        <w:tc>
          <w:tcPr>
            <w:tcW w:w="2088" w:type="dxa"/>
            <w:gridSpan w:val="2"/>
            <w:tcBorders>
              <w:top w:val="single" w:sz="4" w:space="0" w:color="000000"/>
              <w:left w:val="single" w:sz="4" w:space="0" w:color="000000"/>
              <w:bottom w:val="single" w:sz="4" w:space="0" w:color="000000"/>
              <w:right w:val="single" w:sz="4" w:space="0" w:color="000000"/>
            </w:tcBorders>
            <w:hideMark/>
          </w:tcPr>
          <w:p w14:paraId="6487E885" w14:textId="77777777" w:rsidR="00391D90" w:rsidRDefault="00391D90">
            <w:pPr>
              <w:pStyle w:val="NormalWeb"/>
              <w:spacing w:beforeAutospacing="0" w:after="0" w:afterAutospacing="0"/>
              <w:ind w:left="142" w:right="34"/>
              <w:rPr>
                <w:rFonts w:ascii="Arial" w:hAnsi="Arial" w:cs="Arial"/>
                <w:sz w:val="22"/>
                <w:szCs w:val="22"/>
              </w:rPr>
            </w:pPr>
            <w:r>
              <w:rPr>
                <w:rFonts w:ascii="Arial" w:hAnsi="Arial" w:cs="Arial"/>
                <w:sz w:val="22"/>
                <w:szCs w:val="22"/>
              </w:rPr>
              <w:t>Date:</w:t>
            </w:r>
          </w:p>
        </w:tc>
      </w:tr>
      <w:tr w:rsidR="00391D90" w14:paraId="5264E730" w14:textId="77777777" w:rsidTr="00391D90">
        <w:tc>
          <w:tcPr>
            <w:tcW w:w="8856" w:type="dxa"/>
            <w:gridSpan w:val="5"/>
            <w:tcBorders>
              <w:top w:val="single" w:sz="4" w:space="0" w:color="000000"/>
              <w:left w:val="single" w:sz="4" w:space="0" w:color="000000"/>
              <w:bottom w:val="single" w:sz="4" w:space="0" w:color="000000"/>
              <w:right w:val="single" w:sz="4" w:space="0" w:color="000000"/>
            </w:tcBorders>
          </w:tcPr>
          <w:p w14:paraId="35CA451A" w14:textId="77777777" w:rsidR="00391D90" w:rsidRDefault="00391D90">
            <w:pPr>
              <w:pStyle w:val="NormalWeb"/>
              <w:spacing w:before="0" w:beforeAutospacing="0" w:after="0" w:afterAutospacing="0"/>
              <w:ind w:right="-334"/>
              <w:rPr>
                <w:rFonts w:ascii="Arial" w:hAnsi="Arial" w:cs="Arial"/>
                <w:bCs/>
                <w:i/>
                <w:sz w:val="22"/>
                <w:szCs w:val="22"/>
              </w:rPr>
            </w:pPr>
          </w:p>
          <w:p w14:paraId="2BC9CC51" w14:textId="77777777" w:rsidR="00391D90" w:rsidRDefault="00391D90">
            <w:pPr>
              <w:pStyle w:val="NormalWeb"/>
              <w:spacing w:before="0" w:beforeAutospacing="0" w:after="0" w:afterAutospacing="0"/>
              <w:ind w:right="-334"/>
              <w:rPr>
                <w:rFonts w:ascii="Arial" w:hAnsi="Arial" w:cs="Arial"/>
                <w:b/>
                <w:bCs/>
                <w:sz w:val="22"/>
                <w:szCs w:val="22"/>
              </w:rPr>
            </w:pPr>
            <w:r>
              <w:rPr>
                <w:rFonts w:ascii="Arial" w:hAnsi="Arial" w:cs="Arial"/>
                <w:b/>
                <w:bCs/>
                <w:sz w:val="22"/>
                <w:szCs w:val="22"/>
              </w:rPr>
              <w:t>For completion by Marker 2/Moderator:</w:t>
            </w:r>
          </w:p>
          <w:p w14:paraId="77AFF90B" w14:textId="77777777" w:rsidR="00391D90" w:rsidRDefault="00391D90">
            <w:pPr>
              <w:pStyle w:val="NormalWeb"/>
              <w:spacing w:before="0" w:beforeAutospacing="0" w:after="0" w:afterAutospacing="0"/>
              <w:ind w:right="-334"/>
              <w:rPr>
                <w:rFonts w:ascii="Arial" w:hAnsi="Arial" w:cs="Arial"/>
                <w:b/>
                <w:bCs/>
                <w:sz w:val="22"/>
                <w:szCs w:val="22"/>
              </w:rPr>
            </w:pPr>
          </w:p>
          <w:p w14:paraId="34F20EFC" w14:textId="77777777" w:rsidR="00391D90" w:rsidRDefault="00391D90">
            <w:pPr>
              <w:pStyle w:val="NormalWeb"/>
              <w:spacing w:before="0" w:beforeAutospacing="0" w:after="0" w:afterAutospacing="0"/>
              <w:ind w:right="-334"/>
              <w:rPr>
                <w:rFonts w:ascii="Arial" w:hAnsi="Arial" w:cs="Arial"/>
                <w:bCs/>
                <w:sz w:val="22"/>
                <w:szCs w:val="22"/>
              </w:rPr>
            </w:pPr>
            <w:r>
              <w:rPr>
                <w:rFonts w:ascii="Arial" w:hAnsi="Arial" w:cs="Arial"/>
                <w:bCs/>
                <w:sz w:val="22"/>
                <w:szCs w:val="22"/>
              </w:rPr>
              <w:t>Comments:</w:t>
            </w:r>
          </w:p>
          <w:p w14:paraId="4535BA48" w14:textId="77777777" w:rsidR="00391D90" w:rsidRDefault="00391D90">
            <w:pPr>
              <w:pStyle w:val="NormalWeb"/>
              <w:spacing w:before="0" w:beforeAutospacing="0" w:after="0" w:afterAutospacing="0"/>
              <w:ind w:right="-334"/>
              <w:rPr>
                <w:rFonts w:ascii="Arial" w:hAnsi="Arial" w:cs="Arial"/>
                <w:bCs/>
                <w:sz w:val="22"/>
                <w:szCs w:val="22"/>
              </w:rPr>
            </w:pPr>
          </w:p>
          <w:p w14:paraId="393822BD" w14:textId="77777777" w:rsidR="00391D90" w:rsidRDefault="00391D90">
            <w:pPr>
              <w:pStyle w:val="NormalWeb"/>
              <w:spacing w:before="0" w:beforeAutospacing="0" w:after="0" w:afterAutospacing="0"/>
              <w:ind w:right="-334"/>
              <w:rPr>
                <w:rFonts w:ascii="Arial" w:hAnsi="Arial" w:cs="Arial"/>
                <w:bCs/>
                <w:sz w:val="22"/>
                <w:szCs w:val="22"/>
              </w:rPr>
            </w:pPr>
          </w:p>
          <w:p w14:paraId="39998A8C" w14:textId="77777777" w:rsidR="00391D90" w:rsidRDefault="00391D90">
            <w:pPr>
              <w:pStyle w:val="NormalWeb"/>
              <w:spacing w:before="0" w:beforeAutospacing="0" w:after="0" w:afterAutospacing="0"/>
              <w:ind w:right="-334"/>
              <w:rPr>
                <w:rFonts w:ascii="Arial" w:hAnsi="Arial" w:cs="Arial"/>
                <w:bCs/>
                <w:sz w:val="22"/>
                <w:szCs w:val="22"/>
              </w:rPr>
            </w:pPr>
          </w:p>
        </w:tc>
      </w:tr>
      <w:tr w:rsidR="00391D90" w14:paraId="61B60B1F" w14:textId="77777777" w:rsidTr="00391D90">
        <w:trPr>
          <w:trHeight w:val="720"/>
        </w:trPr>
        <w:tc>
          <w:tcPr>
            <w:tcW w:w="5211" w:type="dxa"/>
            <w:gridSpan w:val="2"/>
            <w:tcBorders>
              <w:top w:val="single" w:sz="4" w:space="0" w:color="000000"/>
              <w:left w:val="single" w:sz="4" w:space="0" w:color="000000"/>
              <w:bottom w:val="single" w:sz="4" w:space="0" w:color="000000"/>
              <w:right w:val="single" w:sz="4" w:space="0" w:color="000000"/>
            </w:tcBorders>
            <w:hideMark/>
          </w:tcPr>
          <w:p w14:paraId="0405FD79" w14:textId="77777777" w:rsidR="00391D90" w:rsidRDefault="00391D90">
            <w:pPr>
              <w:pStyle w:val="NormalWeb"/>
              <w:spacing w:before="0" w:beforeAutospacing="0" w:after="0" w:afterAutospacing="0"/>
              <w:ind w:right="-334"/>
              <w:rPr>
                <w:rFonts w:ascii="Arial" w:hAnsi="Arial" w:cs="Arial"/>
                <w:bCs/>
                <w:sz w:val="22"/>
                <w:szCs w:val="22"/>
              </w:rPr>
            </w:pPr>
            <w:r>
              <w:rPr>
                <w:rFonts w:ascii="Arial" w:hAnsi="Arial" w:cs="Arial"/>
                <w:bCs/>
                <w:sz w:val="22"/>
                <w:szCs w:val="22"/>
              </w:rPr>
              <w:t>Marker’s Signature:</w:t>
            </w:r>
          </w:p>
        </w:tc>
        <w:tc>
          <w:tcPr>
            <w:tcW w:w="3645" w:type="dxa"/>
            <w:gridSpan w:val="3"/>
            <w:tcBorders>
              <w:top w:val="single" w:sz="4" w:space="0" w:color="000000"/>
              <w:left w:val="single" w:sz="4" w:space="0" w:color="000000"/>
              <w:bottom w:val="single" w:sz="4" w:space="0" w:color="000000"/>
              <w:right w:val="single" w:sz="4" w:space="0" w:color="000000"/>
            </w:tcBorders>
            <w:hideMark/>
          </w:tcPr>
          <w:p w14:paraId="74D9C70C" w14:textId="77777777" w:rsidR="00391D90" w:rsidRDefault="00391D90">
            <w:pPr>
              <w:pStyle w:val="NormalWeb"/>
              <w:spacing w:before="0" w:beforeAutospacing="0" w:after="0" w:afterAutospacing="0"/>
              <w:ind w:right="-334"/>
              <w:rPr>
                <w:rFonts w:ascii="Arial" w:hAnsi="Arial" w:cs="Arial"/>
                <w:bCs/>
                <w:sz w:val="22"/>
                <w:szCs w:val="22"/>
              </w:rPr>
            </w:pPr>
            <w:r>
              <w:rPr>
                <w:rFonts w:ascii="Arial" w:hAnsi="Arial" w:cs="Arial"/>
                <w:bCs/>
                <w:sz w:val="22"/>
                <w:szCs w:val="22"/>
              </w:rPr>
              <w:t>Date:</w:t>
            </w:r>
          </w:p>
        </w:tc>
      </w:tr>
      <w:tr w:rsidR="00391D90" w14:paraId="2087BE51" w14:textId="77777777" w:rsidTr="00391D90">
        <w:trPr>
          <w:trHeight w:val="720"/>
        </w:trPr>
        <w:tc>
          <w:tcPr>
            <w:tcW w:w="8856" w:type="dxa"/>
            <w:gridSpan w:val="5"/>
            <w:tcBorders>
              <w:top w:val="single" w:sz="4" w:space="0" w:color="000000"/>
              <w:left w:val="single" w:sz="4" w:space="0" w:color="000000"/>
              <w:bottom w:val="single" w:sz="4" w:space="0" w:color="000000"/>
              <w:right w:val="single" w:sz="4" w:space="0" w:color="000000"/>
            </w:tcBorders>
          </w:tcPr>
          <w:p w14:paraId="1FD59688" w14:textId="77777777" w:rsidR="00391D90" w:rsidRDefault="00391D90">
            <w:pPr>
              <w:rPr>
                <w:rFonts w:ascii="Arial" w:hAnsi="Arial" w:cs="Arial"/>
                <w:b/>
                <w:sz w:val="22"/>
              </w:rPr>
            </w:pPr>
            <w:r>
              <w:rPr>
                <w:rFonts w:ascii="Arial" w:hAnsi="Arial" w:cs="Arial"/>
                <w:b/>
                <w:sz w:val="22"/>
              </w:rPr>
              <w:t>AGREED INTERNAL MARK (where necessary):</w:t>
            </w:r>
          </w:p>
          <w:p w14:paraId="5FFC92F5" w14:textId="77777777" w:rsidR="00391D90" w:rsidRDefault="00391D90">
            <w:pPr>
              <w:rPr>
                <w:rFonts w:ascii="Arial" w:hAnsi="Arial" w:cs="Arial"/>
                <w:b/>
                <w:sz w:val="22"/>
              </w:rPr>
            </w:pPr>
          </w:p>
          <w:p w14:paraId="779E99A4" w14:textId="77777777" w:rsidR="00391D90" w:rsidRDefault="00391D90">
            <w:pPr>
              <w:rPr>
                <w:rFonts w:ascii="Arial" w:hAnsi="Arial" w:cs="Arial"/>
                <w:b/>
                <w:sz w:val="22"/>
              </w:rPr>
            </w:pPr>
            <w:r>
              <w:rPr>
                <w:rFonts w:ascii="Arial" w:hAnsi="Arial" w:cs="Arial"/>
                <w:b/>
                <w:sz w:val="22"/>
              </w:rPr>
              <w:t>Comment on process on arriving at agreed mark:</w:t>
            </w:r>
          </w:p>
          <w:p w14:paraId="1A792436" w14:textId="77777777" w:rsidR="00391D90" w:rsidRDefault="00391D90">
            <w:pPr>
              <w:rPr>
                <w:rFonts w:ascii="Arial" w:hAnsi="Arial" w:cs="Arial"/>
                <w:b/>
                <w:sz w:val="22"/>
              </w:rPr>
            </w:pPr>
          </w:p>
          <w:p w14:paraId="346EFA5E" w14:textId="77777777" w:rsidR="00391D90" w:rsidRDefault="00391D90">
            <w:pPr>
              <w:rPr>
                <w:rFonts w:ascii="Arial" w:hAnsi="Arial" w:cs="Arial"/>
                <w:b/>
                <w:sz w:val="22"/>
              </w:rPr>
            </w:pPr>
          </w:p>
        </w:tc>
        <w:bookmarkStart w:id="6" w:name="_GoBack"/>
        <w:bookmarkEnd w:id="6"/>
      </w:tr>
      <w:tr w:rsidR="00391D90" w14:paraId="68E389CF" w14:textId="77777777" w:rsidTr="00391D90">
        <w:trPr>
          <w:trHeight w:val="720"/>
        </w:trPr>
        <w:tc>
          <w:tcPr>
            <w:tcW w:w="8856" w:type="dxa"/>
            <w:gridSpan w:val="5"/>
            <w:tcBorders>
              <w:top w:val="single" w:sz="4" w:space="0" w:color="000000"/>
              <w:left w:val="single" w:sz="4" w:space="0" w:color="000000"/>
              <w:bottom w:val="single" w:sz="4" w:space="0" w:color="000000"/>
              <w:right w:val="single" w:sz="4" w:space="0" w:color="000000"/>
            </w:tcBorders>
          </w:tcPr>
          <w:p w14:paraId="129CFEEC" w14:textId="77777777" w:rsidR="00391D90" w:rsidRDefault="00391D90">
            <w:pPr>
              <w:rPr>
                <w:rFonts w:ascii="Arial" w:hAnsi="Arial" w:cs="Arial"/>
                <w:b/>
                <w:sz w:val="22"/>
              </w:rPr>
            </w:pPr>
            <w:r>
              <w:rPr>
                <w:rFonts w:ascii="Arial" w:hAnsi="Arial" w:cs="Arial"/>
                <w:b/>
                <w:sz w:val="22"/>
              </w:rPr>
              <w:lastRenderedPageBreak/>
              <w:t>External Examiner’s comments (if relevant)</w:t>
            </w:r>
          </w:p>
          <w:p w14:paraId="2BEC60E1" w14:textId="77777777" w:rsidR="00391D90" w:rsidRDefault="00391D90">
            <w:pPr>
              <w:pStyle w:val="NormalWeb"/>
              <w:spacing w:before="0" w:beforeAutospacing="0" w:after="0" w:afterAutospacing="0"/>
              <w:ind w:right="-334"/>
              <w:rPr>
                <w:rFonts w:ascii="Arial" w:hAnsi="Arial" w:cs="Arial"/>
                <w:bCs/>
                <w:sz w:val="22"/>
                <w:szCs w:val="22"/>
              </w:rPr>
            </w:pPr>
          </w:p>
          <w:p w14:paraId="264D539C" w14:textId="77777777" w:rsidR="00391D90" w:rsidRDefault="00391D90">
            <w:pPr>
              <w:pStyle w:val="NormalWeb"/>
              <w:spacing w:before="0" w:beforeAutospacing="0" w:after="0" w:afterAutospacing="0"/>
              <w:ind w:right="-334"/>
              <w:rPr>
                <w:rFonts w:ascii="Arial" w:hAnsi="Arial" w:cs="Arial"/>
                <w:bCs/>
                <w:sz w:val="22"/>
                <w:szCs w:val="22"/>
              </w:rPr>
            </w:pPr>
          </w:p>
          <w:p w14:paraId="7F8D402A" w14:textId="77777777" w:rsidR="00391D90" w:rsidRDefault="00391D90">
            <w:pPr>
              <w:pStyle w:val="NormalWeb"/>
              <w:spacing w:before="0" w:beforeAutospacing="0" w:after="0" w:afterAutospacing="0"/>
              <w:ind w:right="-334"/>
              <w:rPr>
                <w:rFonts w:ascii="Arial" w:hAnsi="Arial" w:cs="Arial"/>
                <w:bCs/>
                <w:sz w:val="22"/>
                <w:szCs w:val="22"/>
              </w:rPr>
            </w:pPr>
          </w:p>
        </w:tc>
      </w:tr>
      <w:tr w:rsidR="00391D90" w14:paraId="478CAA56" w14:textId="77777777" w:rsidTr="00391D90">
        <w:trPr>
          <w:trHeight w:val="720"/>
        </w:trPr>
        <w:tc>
          <w:tcPr>
            <w:tcW w:w="5211" w:type="dxa"/>
            <w:gridSpan w:val="2"/>
            <w:tcBorders>
              <w:top w:val="single" w:sz="4" w:space="0" w:color="000000"/>
              <w:left w:val="single" w:sz="4" w:space="0" w:color="000000"/>
              <w:bottom w:val="single" w:sz="4" w:space="0" w:color="000000"/>
              <w:right w:val="single" w:sz="4" w:space="0" w:color="000000"/>
            </w:tcBorders>
            <w:hideMark/>
          </w:tcPr>
          <w:p w14:paraId="7C2AC275" w14:textId="77777777" w:rsidR="00391D90" w:rsidRDefault="00391D90">
            <w:pPr>
              <w:rPr>
                <w:rFonts w:ascii="Arial" w:hAnsi="Arial" w:cs="Arial"/>
                <w:sz w:val="22"/>
              </w:rPr>
            </w:pPr>
            <w:r>
              <w:rPr>
                <w:rFonts w:ascii="Arial" w:hAnsi="Arial" w:cs="Arial"/>
                <w:sz w:val="22"/>
              </w:rPr>
              <w:t>External Examiner’s Signature:</w:t>
            </w:r>
          </w:p>
        </w:tc>
        <w:tc>
          <w:tcPr>
            <w:tcW w:w="3645" w:type="dxa"/>
            <w:gridSpan w:val="3"/>
            <w:tcBorders>
              <w:top w:val="single" w:sz="4" w:space="0" w:color="000000"/>
              <w:left w:val="single" w:sz="4" w:space="0" w:color="000000"/>
              <w:bottom w:val="single" w:sz="4" w:space="0" w:color="000000"/>
              <w:right w:val="single" w:sz="4" w:space="0" w:color="000000"/>
            </w:tcBorders>
            <w:hideMark/>
          </w:tcPr>
          <w:p w14:paraId="0F72F0CD" w14:textId="77777777" w:rsidR="00391D90" w:rsidRDefault="00391D90">
            <w:pPr>
              <w:rPr>
                <w:rFonts w:ascii="Arial" w:hAnsi="Arial" w:cs="Arial"/>
                <w:sz w:val="22"/>
              </w:rPr>
            </w:pPr>
            <w:r>
              <w:rPr>
                <w:rFonts w:ascii="Arial" w:hAnsi="Arial" w:cs="Arial"/>
                <w:sz w:val="22"/>
              </w:rPr>
              <w:t>Date:</w:t>
            </w:r>
          </w:p>
        </w:tc>
      </w:tr>
    </w:tbl>
    <w:p w14:paraId="7A6F721E" w14:textId="77777777" w:rsidR="00391D90" w:rsidRDefault="00391D90" w:rsidP="00391D90">
      <w:pPr>
        <w:pStyle w:val="NormalWeb"/>
        <w:spacing w:before="0" w:beforeAutospacing="0" w:after="0" w:afterAutospacing="0"/>
        <w:ind w:right="-334"/>
        <w:rPr>
          <w:rFonts w:ascii="Trebuchet MS" w:hAnsi="Trebuchet MS" w:cs="Tahoma"/>
          <w:bCs/>
          <w:sz w:val="24"/>
          <w:szCs w:val="24"/>
        </w:rPr>
      </w:pPr>
    </w:p>
    <w:p w14:paraId="439B7C57" w14:textId="59EB23CF" w:rsidR="008319D9" w:rsidRDefault="00391D90">
      <w:pPr>
        <w:spacing w:after="160" w:line="259" w:lineRule="auto"/>
      </w:pPr>
      <w:r>
        <w:br w:type="page"/>
      </w:r>
    </w:p>
    <w:p w14:paraId="2AE2407E" w14:textId="77777777" w:rsidR="008319D9" w:rsidRDefault="008319D9" w:rsidP="008319D9">
      <w:pPr>
        <w:widowControl w:val="0"/>
        <w:tabs>
          <w:tab w:val="left" w:pos="720"/>
          <w:tab w:val="left" w:pos="1620"/>
          <w:tab w:val="left" w:pos="3240"/>
        </w:tabs>
        <w:rPr>
          <w:rFonts w:cs="Times New Roman"/>
          <w:color w:val="000000" w:themeColor="text1"/>
        </w:rPr>
      </w:pPr>
    </w:p>
    <w:p w14:paraId="44D0FD7C" w14:textId="77777777" w:rsidR="008319D9" w:rsidRDefault="008319D9" w:rsidP="008319D9">
      <w:pPr>
        <w:spacing w:after="160" w:line="256" w:lineRule="auto"/>
        <w:rPr>
          <w:rFonts w:cs="Times New Roman"/>
          <w:color w:val="000000" w:themeColor="text1"/>
        </w:rPr>
      </w:pPr>
    </w:p>
    <w:p w14:paraId="2099647A" w14:textId="77777777" w:rsidR="008319D9" w:rsidRDefault="008319D9" w:rsidP="008319D9">
      <w:pPr>
        <w:spacing w:after="160" w:line="256" w:lineRule="auto"/>
        <w:rPr>
          <w:rFonts w:cs="Times New Roman"/>
          <w:color w:val="000000" w:themeColor="text1"/>
        </w:rPr>
      </w:pPr>
    </w:p>
    <w:p w14:paraId="03AFA2BD" w14:textId="4F3EE98F" w:rsidR="008319D9" w:rsidRPr="008319D9" w:rsidRDefault="008319D9" w:rsidP="008319D9">
      <w:pPr>
        <w:jc w:val="center"/>
      </w:pPr>
      <w:r>
        <w:t>Structuralists and Characters</w:t>
      </w:r>
    </w:p>
    <w:p w14:paraId="0402ED1A" w14:textId="77777777" w:rsidR="008319D9" w:rsidRDefault="008319D9" w:rsidP="008319D9">
      <w:pPr>
        <w:spacing w:after="160" w:line="256" w:lineRule="auto"/>
        <w:jc w:val="center"/>
        <w:rPr>
          <w:rFonts w:cs="Times New Roman"/>
          <w:color w:val="000000" w:themeColor="text1"/>
        </w:rPr>
      </w:pPr>
      <w:r>
        <w:rPr>
          <w:rFonts w:cs="Times New Roman"/>
          <w:color w:val="000000" w:themeColor="text1"/>
        </w:rPr>
        <w:t>Marah Hager</w:t>
      </w:r>
    </w:p>
    <w:p w14:paraId="7F4EBA03" w14:textId="77777777" w:rsidR="008319D9" w:rsidRDefault="008319D9" w:rsidP="008319D9">
      <w:pPr>
        <w:spacing w:after="160" w:line="256" w:lineRule="auto"/>
        <w:jc w:val="center"/>
        <w:rPr>
          <w:rFonts w:cs="Times New Roman"/>
          <w:color w:val="000000" w:themeColor="text1"/>
        </w:rPr>
      </w:pPr>
    </w:p>
    <w:p w14:paraId="0A42EE71" w14:textId="77777777" w:rsidR="008319D9" w:rsidRDefault="008319D9" w:rsidP="008319D9">
      <w:pPr>
        <w:spacing w:after="160" w:line="256" w:lineRule="auto"/>
        <w:jc w:val="center"/>
        <w:rPr>
          <w:rFonts w:cs="Times New Roman"/>
          <w:color w:val="000000" w:themeColor="text1"/>
        </w:rPr>
      </w:pPr>
    </w:p>
    <w:p w14:paraId="44C22783" w14:textId="77777777" w:rsidR="008319D9" w:rsidRDefault="008319D9" w:rsidP="008319D9">
      <w:pPr>
        <w:spacing w:after="160" w:line="256" w:lineRule="auto"/>
        <w:jc w:val="center"/>
        <w:rPr>
          <w:rFonts w:cs="Times New Roman"/>
          <w:color w:val="000000" w:themeColor="text1"/>
        </w:rPr>
      </w:pPr>
    </w:p>
    <w:p w14:paraId="6772AAD9" w14:textId="77777777" w:rsidR="008319D9" w:rsidRDefault="008319D9" w:rsidP="008319D9">
      <w:pPr>
        <w:spacing w:after="160" w:line="256" w:lineRule="auto"/>
        <w:jc w:val="center"/>
        <w:rPr>
          <w:rFonts w:cs="Times New Roman"/>
          <w:color w:val="000000" w:themeColor="text1"/>
        </w:rPr>
      </w:pPr>
    </w:p>
    <w:p w14:paraId="35113401" w14:textId="77777777" w:rsidR="008319D9" w:rsidRDefault="008319D9" w:rsidP="008319D9">
      <w:pPr>
        <w:spacing w:after="160" w:line="256" w:lineRule="auto"/>
        <w:jc w:val="center"/>
        <w:rPr>
          <w:rFonts w:cs="Times New Roman"/>
          <w:color w:val="000000" w:themeColor="text1"/>
        </w:rPr>
      </w:pPr>
    </w:p>
    <w:p w14:paraId="7004D6CA" w14:textId="77777777" w:rsidR="008319D9" w:rsidRDefault="008319D9" w:rsidP="008319D9">
      <w:pPr>
        <w:spacing w:after="160" w:line="256" w:lineRule="auto"/>
        <w:jc w:val="center"/>
        <w:rPr>
          <w:rFonts w:cs="Times New Roman"/>
          <w:color w:val="000000" w:themeColor="text1"/>
        </w:rPr>
      </w:pPr>
    </w:p>
    <w:p w14:paraId="04B0E7B7" w14:textId="77777777" w:rsidR="008319D9" w:rsidRDefault="008319D9" w:rsidP="008319D9">
      <w:pPr>
        <w:spacing w:after="160" w:line="256" w:lineRule="auto"/>
        <w:jc w:val="center"/>
        <w:rPr>
          <w:rFonts w:cs="Times New Roman"/>
          <w:color w:val="000000" w:themeColor="text1"/>
        </w:rPr>
      </w:pPr>
    </w:p>
    <w:p w14:paraId="11B6135A" w14:textId="77777777" w:rsidR="008319D9" w:rsidRDefault="008319D9" w:rsidP="008319D9">
      <w:pPr>
        <w:spacing w:after="160" w:line="256" w:lineRule="auto"/>
        <w:jc w:val="center"/>
        <w:rPr>
          <w:rFonts w:cs="Times New Roman"/>
          <w:color w:val="000000" w:themeColor="text1"/>
        </w:rPr>
      </w:pPr>
    </w:p>
    <w:p w14:paraId="11111C32" w14:textId="77777777" w:rsidR="008319D9" w:rsidRDefault="008319D9" w:rsidP="008319D9">
      <w:pPr>
        <w:spacing w:after="160" w:line="256" w:lineRule="auto"/>
        <w:jc w:val="center"/>
        <w:rPr>
          <w:rFonts w:cs="Times New Roman"/>
          <w:color w:val="000000" w:themeColor="text1"/>
        </w:rPr>
      </w:pPr>
    </w:p>
    <w:p w14:paraId="58735BFD" w14:textId="77777777" w:rsidR="008319D9" w:rsidRDefault="008319D9" w:rsidP="008319D9">
      <w:pPr>
        <w:spacing w:after="160" w:line="256" w:lineRule="auto"/>
        <w:jc w:val="center"/>
        <w:rPr>
          <w:rFonts w:cs="Times New Roman"/>
          <w:color w:val="000000" w:themeColor="text1"/>
        </w:rPr>
      </w:pPr>
    </w:p>
    <w:p w14:paraId="5C9CF118" w14:textId="77777777" w:rsidR="008319D9" w:rsidRDefault="008319D9" w:rsidP="008319D9">
      <w:pPr>
        <w:spacing w:after="160" w:line="256" w:lineRule="auto"/>
        <w:jc w:val="center"/>
        <w:rPr>
          <w:rFonts w:cs="Times New Roman"/>
          <w:color w:val="000000" w:themeColor="text1"/>
        </w:rPr>
      </w:pPr>
    </w:p>
    <w:p w14:paraId="0BDA0D0C" w14:textId="77777777" w:rsidR="008319D9" w:rsidRDefault="008319D9" w:rsidP="008319D9">
      <w:pPr>
        <w:spacing w:after="160" w:line="256" w:lineRule="auto"/>
        <w:jc w:val="center"/>
        <w:rPr>
          <w:rFonts w:cs="Times New Roman"/>
          <w:color w:val="000000" w:themeColor="text1"/>
        </w:rPr>
      </w:pPr>
    </w:p>
    <w:p w14:paraId="47334B58" w14:textId="77777777" w:rsidR="008319D9" w:rsidRDefault="008319D9" w:rsidP="008319D9">
      <w:pPr>
        <w:spacing w:after="160" w:line="256" w:lineRule="auto"/>
        <w:jc w:val="center"/>
        <w:rPr>
          <w:rFonts w:cs="Times New Roman"/>
          <w:color w:val="000000" w:themeColor="text1"/>
        </w:rPr>
      </w:pPr>
    </w:p>
    <w:p w14:paraId="15DE3B79" w14:textId="55813C17" w:rsidR="008319D9" w:rsidRDefault="008319D9" w:rsidP="008319D9">
      <w:pPr>
        <w:spacing w:after="160" w:line="256" w:lineRule="auto"/>
        <w:jc w:val="center"/>
        <w:rPr>
          <w:rFonts w:cs="Times New Roman"/>
          <w:color w:val="000000" w:themeColor="text1"/>
        </w:rPr>
      </w:pPr>
      <w:r>
        <w:rPr>
          <w:rFonts w:cs="Times New Roman"/>
          <w:color w:val="000000" w:themeColor="text1"/>
        </w:rPr>
        <w:t>Critical Theory</w:t>
      </w:r>
      <w:r>
        <w:rPr>
          <w:rFonts w:cs="Times New Roman"/>
          <w:color w:val="000000" w:themeColor="text1"/>
        </w:rPr>
        <w:t xml:space="preserve"> (</w:t>
      </w:r>
      <w:r>
        <w:rPr>
          <w:rFonts w:cs="Times New Roman"/>
          <w:color w:val="000000" w:themeColor="text1"/>
        </w:rPr>
        <w:t>CSEN</w:t>
      </w:r>
      <w:r>
        <w:rPr>
          <w:rFonts w:cs="Times New Roman"/>
          <w:color w:val="000000" w:themeColor="text1"/>
        </w:rPr>
        <w:t>70</w:t>
      </w:r>
      <w:r>
        <w:rPr>
          <w:rFonts w:cs="Times New Roman"/>
          <w:color w:val="000000" w:themeColor="text1"/>
        </w:rPr>
        <w:t>37</w:t>
      </w:r>
      <w:r>
        <w:rPr>
          <w:rFonts w:cs="Times New Roman"/>
          <w:color w:val="000000" w:themeColor="text1"/>
        </w:rPr>
        <w:t>)</w:t>
      </w:r>
    </w:p>
    <w:p w14:paraId="099C55E5" w14:textId="165F198C" w:rsidR="008319D9" w:rsidRDefault="008319D9" w:rsidP="008319D9">
      <w:pPr>
        <w:spacing w:after="160" w:line="256" w:lineRule="auto"/>
        <w:jc w:val="center"/>
        <w:rPr>
          <w:rFonts w:cs="Times New Roman"/>
          <w:color w:val="000000" w:themeColor="text1"/>
        </w:rPr>
      </w:pPr>
      <w:proofErr w:type="spellStart"/>
      <w:r>
        <w:rPr>
          <w:rFonts w:cs="Times New Roman"/>
          <w:color w:val="000000" w:themeColor="text1"/>
        </w:rPr>
        <w:t>Dr.</w:t>
      </w:r>
      <w:proofErr w:type="spellEnd"/>
      <w:r>
        <w:rPr>
          <w:rFonts w:cs="Times New Roman"/>
          <w:color w:val="000000" w:themeColor="text1"/>
        </w:rPr>
        <w:t xml:space="preserve"> Peter Mitchell</w:t>
      </w:r>
    </w:p>
    <w:p w14:paraId="13C915DC" w14:textId="06F4BEB9" w:rsidR="00391D90" w:rsidRDefault="008319D9" w:rsidP="008319D9">
      <w:pPr>
        <w:spacing w:after="160" w:line="259" w:lineRule="auto"/>
        <w:jc w:val="center"/>
      </w:pPr>
      <w:r>
        <w:rPr>
          <w:rFonts w:cs="Times New Roman"/>
          <w:color w:val="000000" w:themeColor="text1"/>
        </w:rPr>
        <w:t>31st</w:t>
      </w:r>
      <w:r>
        <w:rPr>
          <w:rFonts w:cs="Times New Roman"/>
          <w:color w:val="000000" w:themeColor="text1"/>
        </w:rPr>
        <w:t xml:space="preserve"> </w:t>
      </w:r>
      <w:r>
        <w:rPr>
          <w:rFonts w:cs="Times New Roman"/>
          <w:color w:val="000000" w:themeColor="text1"/>
        </w:rPr>
        <w:t>March</w:t>
      </w:r>
      <w:r>
        <w:rPr>
          <w:rFonts w:cs="Times New Roman"/>
          <w:color w:val="000000" w:themeColor="text1"/>
        </w:rPr>
        <w:t xml:space="preserve"> 2019</w:t>
      </w:r>
    </w:p>
    <w:p w14:paraId="37A34903" w14:textId="77777777" w:rsidR="008319D9" w:rsidRDefault="008319D9">
      <w:pPr>
        <w:spacing w:after="160" w:line="259" w:lineRule="auto"/>
      </w:pPr>
      <w:r>
        <w:br w:type="page"/>
      </w:r>
    </w:p>
    <w:p w14:paraId="73A28E66" w14:textId="57F39B8D" w:rsidR="00587D05" w:rsidRDefault="000D55DB" w:rsidP="00B52DB6">
      <w:pPr>
        <w:ind w:firstLine="720"/>
      </w:pPr>
      <w:r>
        <w:lastRenderedPageBreak/>
        <w:t>Ferdinand de Saussure’s work on the structural theory of linguistics changed the way in language was viewed and studied</w:t>
      </w:r>
      <w:r w:rsidR="00BE4D19">
        <w:t>.</w:t>
      </w:r>
      <w:r w:rsidR="00BA5038">
        <w:rPr>
          <w:vertAlign w:val="superscript"/>
        </w:rPr>
        <w:t>1</w:t>
      </w:r>
      <w:r w:rsidR="00BE4D19">
        <w:t xml:space="preserve"> </w:t>
      </w:r>
      <w:r>
        <w:t xml:space="preserve">Building upon Saussure’s work, linguistic scholars referred to as ‘structuralists’ began to analyse narrative through a structural lens. </w:t>
      </w:r>
      <w:r w:rsidR="006963B5">
        <w:t>Roland Barthes in the essay ‘An Introduction to the Structural Analysis of Narrative’ emphasizes how narrative is found within all human life; it is a univers</w:t>
      </w:r>
      <w:r w:rsidR="000A08EF">
        <w:t>al</w:t>
      </w:r>
      <w:r w:rsidR="006963B5">
        <w:t xml:space="preserve"> presence.</w:t>
      </w:r>
      <w:r w:rsidR="00BA5038">
        <w:rPr>
          <w:vertAlign w:val="superscript"/>
        </w:rPr>
        <w:t>2</w:t>
      </w:r>
      <w:r w:rsidR="006963B5">
        <w:t xml:space="preserve"> However, when studying the structure of narrative, linguist</w:t>
      </w:r>
      <w:r w:rsidR="00BA5038">
        <w:t xml:space="preserve">s </w:t>
      </w:r>
      <w:r w:rsidR="006963B5">
        <w:t xml:space="preserve">break down the </w:t>
      </w:r>
      <w:r w:rsidR="000A08EF">
        <w:t xml:space="preserve">overall </w:t>
      </w:r>
      <w:r w:rsidR="006963B5">
        <w:t xml:space="preserve">narrative </w:t>
      </w:r>
      <w:r w:rsidR="000A08EF">
        <w:t>in</w:t>
      </w:r>
      <w:r w:rsidR="006963B5">
        <w:t xml:space="preserve">to smaller sequences in order to discover what makes narratives alike. </w:t>
      </w:r>
      <w:r w:rsidR="00D457FA">
        <w:t xml:space="preserve">During this structural analysis of narrative, linguists disregards the importance of characters, often referred to as ‘participants’, in order to focus on the </w:t>
      </w:r>
      <w:r w:rsidR="000A08EF">
        <w:t>specific</w:t>
      </w:r>
      <w:r w:rsidR="00D457FA">
        <w:t xml:space="preserve"> events of the narrative. An action or movement a character or ‘participant’ makes </w:t>
      </w:r>
      <w:r w:rsidR="000A08EF">
        <w:t>that</w:t>
      </w:r>
      <w:r w:rsidR="00D457FA">
        <w:t xml:space="preserve"> does not present an opportunity for the narrative is unnecessary to the analysis. Vladimir Propp, in his exploration of folk narratives,</w:t>
      </w:r>
      <w:r w:rsidR="00BA5038">
        <w:rPr>
          <w:vertAlign w:val="superscript"/>
        </w:rPr>
        <w:t>3</w:t>
      </w:r>
      <w:r w:rsidR="00D457FA">
        <w:t xml:space="preserve"> suggests that who does what should be disregarded in order to better analyse </w:t>
      </w:r>
      <w:r w:rsidR="00D457FA">
        <w:rPr>
          <w:i/>
        </w:rPr>
        <w:t>what</w:t>
      </w:r>
      <w:r w:rsidR="00D457FA">
        <w:t xml:space="preserve"> is done and how that </w:t>
      </w:r>
      <w:r w:rsidR="00D457FA">
        <w:rPr>
          <w:i/>
        </w:rPr>
        <w:t>what</w:t>
      </w:r>
      <w:r w:rsidR="00D457FA">
        <w:t xml:space="preserve"> may be found within other narratives.</w:t>
      </w:r>
      <w:r w:rsidR="00BA5038">
        <w:rPr>
          <w:vertAlign w:val="superscript"/>
        </w:rPr>
        <w:t>4</w:t>
      </w:r>
      <w:r w:rsidR="00D457FA">
        <w:t xml:space="preserve"> However, Barthes carefully imparts how every aspect of a piece of literature is meaningful, seeming to adopt the ‘all or nothing’ approach.</w:t>
      </w:r>
      <w:r w:rsidR="00BA5038">
        <w:rPr>
          <w:vertAlign w:val="superscript"/>
        </w:rPr>
        <w:t>5</w:t>
      </w:r>
      <w:r w:rsidR="00D457FA">
        <w:t xml:space="preserve"> Yet,</w:t>
      </w:r>
      <w:r w:rsidR="00EF622A">
        <w:t xml:space="preserve"> still</w:t>
      </w:r>
      <w:r w:rsidR="00D457FA">
        <w:t xml:space="preserve"> the analysis of characters as individual essences beyond the confines of the narrative is ignored in the structural approa</w:t>
      </w:r>
      <w:r w:rsidR="00737A7A">
        <w:t>ch</w:t>
      </w:r>
      <w:r w:rsidR="00D457FA">
        <w:t>. Shlomith</w:t>
      </w:r>
      <w:r w:rsidR="00D457FA" w:rsidRPr="00D457FA">
        <w:t xml:space="preserve"> </w:t>
      </w:r>
      <w:r w:rsidR="00D457FA">
        <w:t xml:space="preserve">Rimmon-Kenan writes in </w:t>
      </w:r>
      <w:r w:rsidR="00D457FA">
        <w:rPr>
          <w:i/>
        </w:rPr>
        <w:t>Narrative Fiction: Contemporary Poetics</w:t>
      </w:r>
      <w:r w:rsidR="00D457FA">
        <w:t xml:space="preserve"> that </w:t>
      </w:r>
      <w:r w:rsidR="00AD37A3">
        <w:t>‘Structuralists can hardly accommodate character within their theories, because of their commitment to an ideology which “decentres” man and runs counter to the notions of individuality and psychological depth.’</w:t>
      </w:r>
      <w:r w:rsidR="00BA5038">
        <w:rPr>
          <w:vertAlign w:val="superscript"/>
        </w:rPr>
        <w:t>6</w:t>
      </w:r>
      <w:r w:rsidR="00EF622A">
        <w:t xml:space="preserve"> This structural commitment to viewing characters as convivences to the narrative may be acceptable when analysing action-driv</w:t>
      </w:r>
      <w:r w:rsidR="000A08EF">
        <w:t>en</w:t>
      </w:r>
      <w:r w:rsidR="00EF622A">
        <w:t xml:space="preserve"> literature, particularly the heroic and romantic tales of the medieval era, but it is lacking when analysing character-centred literature of the twentieth and twenty-first centuries. </w:t>
      </w:r>
    </w:p>
    <w:p w14:paraId="467039C5" w14:textId="5DA9C9CD" w:rsidR="00BE4D19" w:rsidRPr="005155B2" w:rsidRDefault="00BE4D19" w:rsidP="00B52DB6">
      <w:pPr>
        <w:ind w:firstLine="720"/>
      </w:pPr>
      <w:r>
        <w:lastRenderedPageBreak/>
        <w:t>It is accepted that every narrative must</w:t>
      </w:r>
      <w:r w:rsidR="000A08EF">
        <w:t xml:space="preserve"> sustain</w:t>
      </w:r>
      <w:r>
        <w:t xml:space="preserve"> some type of character. </w:t>
      </w:r>
      <w:r w:rsidR="00F5290F">
        <w:t xml:space="preserve">The current mainstream perspective of what classifies as </w:t>
      </w:r>
      <w:r w:rsidR="00383AFC">
        <w:t>‘</w:t>
      </w:r>
      <w:r w:rsidR="00F5290F">
        <w:t>good</w:t>
      </w:r>
      <w:r w:rsidR="00383AFC">
        <w:t>’</w:t>
      </w:r>
      <w:r w:rsidR="00F5290F">
        <w:t xml:space="preserve"> writing includes well-developed characters, with psychological and physiological depth </w:t>
      </w:r>
      <w:r w:rsidR="000A08EF">
        <w:t>to which</w:t>
      </w:r>
      <w:r w:rsidR="00F5290F">
        <w:t xml:space="preserve"> individuals may relate</w:t>
      </w:r>
      <w:r w:rsidR="000A08EF">
        <w:t>.</w:t>
      </w:r>
      <w:r w:rsidR="00D37C72">
        <w:t xml:space="preserve"> </w:t>
      </w:r>
      <w:r w:rsidR="00D96BB9">
        <w:t>Stephanie Downs and Rebecca F. McNamara suggest in the article ‘The History of Emotions and Middle English Literature’</w:t>
      </w:r>
      <w:r w:rsidR="00D37C72">
        <w:t xml:space="preserve"> the idea </w:t>
      </w:r>
      <w:r w:rsidR="000A08EF">
        <w:t xml:space="preserve">that </w:t>
      </w:r>
      <w:r w:rsidR="00D37C72">
        <w:t>emotional expression in literature has become a prominent focus of the twenty-first century.</w:t>
      </w:r>
      <w:r w:rsidR="00E1263D">
        <w:rPr>
          <w:vertAlign w:val="superscript"/>
        </w:rPr>
        <w:t>7</w:t>
      </w:r>
      <w:r w:rsidR="00F5290F">
        <w:t xml:space="preserve"> When structuralists take apart a narrative to study the events and ignore the psychological and physiological subtext given to the characters within the narrative, </w:t>
      </w:r>
      <w:r w:rsidR="00383AFC">
        <w:t xml:space="preserve">important realisations may be missed </w:t>
      </w:r>
      <w:r w:rsidR="000A08EF">
        <w:t>as to</w:t>
      </w:r>
      <w:r w:rsidR="00383AFC">
        <w:t xml:space="preserve"> how one is guided to interpret the events within a particular narrative. However, scholars such as Propp </w:t>
      </w:r>
      <w:r w:rsidR="00AA09AB">
        <w:t xml:space="preserve">strive to show how there are a finite amount of narratives </w:t>
      </w:r>
      <w:r w:rsidR="000A08EF">
        <w:t xml:space="preserve">that </w:t>
      </w:r>
      <w:r w:rsidR="00AA09AB">
        <w:t>exist in the world, grossly more concerned</w:t>
      </w:r>
      <w:r w:rsidR="00383AFC">
        <w:t xml:space="preserve"> with connecting events between narratives rather than analysing how the meanings and reactions between similar events differentiate. </w:t>
      </w:r>
      <w:r w:rsidR="00AA09AB">
        <w:t>Joseph Campbell, too, identifies a fi</w:t>
      </w:r>
      <w:r w:rsidR="000A08EF">
        <w:t>xed</w:t>
      </w:r>
      <w:r w:rsidR="00AA09AB">
        <w:t xml:space="preserve"> set of narrative structures, reducing characters to mere mechanisms of the narrative</w:t>
      </w:r>
      <w:r w:rsidR="00EF1F9E">
        <w:t xml:space="preserve">, </w:t>
      </w:r>
      <w:r w:rsidR="00AA09AB">
        <w:t>develop</w:t>
      </w:r>
      <w:r w:rsidR="00EF1F9E">
        <w:t>ing</w:t>
      </w:r>
      <w:r w:rsidR="00AA09AB">
        <w:t xml:space="preserve"> the idea of a character archetype, suggesting every character can fit within a particular set of guidelines, </w:t>
      </w:r>
      <w:r w:rsidR="00737A7A">
        <w:t xml:space="preserve">leading to the assumption that </w:t>
      </w:r>
      <w:r w:rsidR="00AA09AB">
        <w:t>no writer has the ability to create a purely unique character.</w:t>
      </w:r>
      <w:r w:rsidR="00234E36">
        <w:rPr>
          <w:vertAlign w:val="superscript"/>
        </w:rPr>
        <w:t>8</w:t>
      </w:r>
      <w:r w:rsidR="00AA09AB">
        <w:t xml:space="preserve"> Although Propp</w:t>
      </w:r>
      <w:r w:rsidR="00EF1F9E">
        <w:t xml:space="preserve"> and Campbell</w:t>
      </w:r>
      <w:r w:rsidR="00AA09AB">
        <w:t xml:space="preserve"> may not</w:t>
      </w:r>
      <w:r w:rsidR="00EF1F9E">
        <w:t xml:space="preserve"> clearly</w:t>
      </w:r>
      <w:r w:rsidR="00AA09AB">
        <w:t xml:space="preserve"> identify themselves as structuralists, the</w:t>
      </w:r>
      <w:r w:rsidR="005155B2">
        <w:t>se basic perspectives towards the role of characters support the perspective of structuralism.</w:t>
      </w:r>
      <w:r w:rsidR="00AA09AB">
        <w:t xml:space="preserve"> Yet, if one merely focuses on the bare bones of each event</w:t>
      </w:r>
      <w:r w:rsidR="005155B2">
        <w:t xml:space="preserve"> or each character</w:t>
      </w:r>
      <w:r w:rsidR="00AA09AB">
        <w:t xml:space="preserve"> within a narrative rather than the subte</w:t>
      </w:r>
      <w:r w:rsidR="005155B2">
        <w:t>xt surrounding an event or character</w:t>
      </w:r>
      <w:r w:rsidR="00AA09AB">
        <w:t xml:space="preserve">, there would be no point to </w:t>
      </w:r>
      <w:r w:rsidR="005155B2">
        <w:t xml:space="preserve">writing or </w:t>
      </w:r>
      <w:r w:rsidR="00AA09AB">
        <w:t>rea</w:t>
      </w:r>
      <w:r w:rsidR="005155B2">
        <w:t xml:space="preserve">ding more than a few stories. Of course, characters </w:t>
      </w:r>
      <w:r w:rsidR="005155B2">
        <w:rPr>
          <w:i/>
        </w:rPr>
        <w:t>do</w:t>
      </w:r>
      <w:r w:rsidR="005155B2">
        <w:t xml:space="preserve"> drive the narrative, but the truthfulness and relatability given to characters go beyond what is simply necessary to the narrative. </w:t>
      </w:r>
    </w:p>
    <w:p w14:paraId="5F30C1D2" w14:textId="2FECBD9D" w:rsidR="009C05E1" w:rsidRDefault="00BD746C" w:rsidP="00B52DB6">
      <w:pPr>
        <w:ind w:firstLine="720"/>
      </w:pPr>
      <w:r>
        <w:rPr>
          <w:i/>
        </w:rPr>
        <w:t>Sir Orfeo</w:t>
      </w:r>
      <w:r w:rsidR="00234E36">
        <w:rPr>
          <w:vertAlign w:val="superscript"/>
        </w:rPr>
        <w:t>9</w:t>
      </w:r>
      <w:r>
        <w:t xml:space="preserve"> is a medieval romance </w:t>
      </w:r>
      <w:r w:rsidR="009C05E1">
        <w:t xml:space="preserve">that </w:t>
      </w:r>
      <w:r>
        <w:t xml:space="preserve">is an apt example of characters </w:t>
      </w:r>
      <w:r w:rsidR="008A5AA0">
        <w:t xml:space="preserve">merely </w:t>
      </w:r>
      <w:r>
        <w:t xml:space="preserve">fulfilling the expectations of </w:t>
      </w:r>
      <w:r w:rsidR="008A5AA0">
        <w:t xml:space="preserve">the </w:t>
      </w:r>
      <w:r>
        <w:t xml:space="preserve">narrative. Characters immediately </w:t>
      </w:r>
      <w:r w:rsidR="000A08EF">
        <w:t xml:space="preserve">identify </w:t>
      </w:r>
      <w:r>
        <w:t>the conflic</w:t>
      </w:r>
      <w:r w:rsidR="000A08EF">
        <w:t>t</w:t>
      </w:r>
      <w:r>
        <w:t xml:space="preserve">, vocally express the </w:t>
      </w:r>
      <w:r>
        <w:lastRenderedPageBreak/>
        <w:t>ways the conflict will affect</w:t>
      </w:r>
      <w:r w:rsidR="000A08EF">
        <w:t xml:space="preserve"> one another </w:t>
      </w:r>
      <w:r>
        <w:t>and the kingdom, and debate on the most probable avenue toward a solution.</w:t>
      </w:r>
      <w:r w:rsidR="00CA3165">
        <w:t xml:space="preserve"> The majority of the knowledge obtained about each character is directly told, either by the narrator or the character, rather than gained through an observant reading.</w:t>
      </w:r>
      <w:r w:rsidR="001E6871">
        <w:t xml:space="preserve"> </w:t>
      </w:r>
      <w:r w:rsidR="00382763">
        <w:t>However, as the realist movement took hold of literature, it became more about representing the true architecture of humanity within a narrative which required more focus on characters themselves</w:t>
      </w:r>
      <w:r w:rsidR="001E6871">
        <w:t>, rather than the</w:t>
      </w:r>
      <w:r w:rsidR="007E663A">
        <w:t xml:space="preserve"> romantic and heroic wonder of the medieval period</w:t>
      </w:r>
      <w:r w:rsidR="00382763">
        <w:t xml:space="preserve">. </w:t>
      </w:r>
      <w:r w:rsidR="00737A7A">
        <w:t xml:space="preserve">Written many years after </w:t>
      </w:r>
      <w:r w:rsidR="00737A7A">
        <w:rPr>
          <w:i/>
        </w:rPr>
        <w:t>Sir Orfeo,</w:t>
      </w:r>
      <w:r w:rsidR="00737A7A" w:rsidRPr="00737A7A">
        <w:rPr>
          <w:i/>
        </w:rPr>
        <w:t xml:space="preserve"> </w:t>
      </w:r>
      <w:r w:rsidRPr="00737A7A">
        <w:rPr>
          <w:i/>
        </w:rPr>
        <w:t>The</w:t>
      </w:r>
      <w:r>
        <w:rPr>
          <w:i/>
        </w:rPr>
        <w:t xml:space="preserve"> Awakening </w:t>
      </w:r>
      <w:r>
        <w:t>by Kate Chopin</w:t>
      </w:r>
      <w:r w:rsidR="00E1263D">
        <w:rPr>
          <w:vertAlign w:val="superscript"/>
        </w:rPr>
        <w:t>1</w:t>
      </w:r>
      <w:r w:rsidR="00234E36">
        <w:rPr>
          <w:vertAlign w:val="superscript"/>
        </w:rPr>
        <w:t>0</w:t>
      </w:r>
      <w:r>
        <w:t xml:space="preserve"> is a realist novel which reflects the way in which the structural role given to characters is short-sighted. </w:t>
      </w:r>
      <w:r w:rsidR="005C2560">
        <w:t xml:space="preserve">Psychologically driven, full of motivation but </w:t>
      </w:r>
      <w:r w:rsidR="009C05E1">
        <w:t>determined</w:t>
      </w:r>
      <w:r w:rsidR="005C2560">
        <w:t xml:space="preserve"> to remain inactive, Edna is a character rounded with humanity in way in no character from </w:t>
      </w:r>
      <w:r w:rsidR="005C2560">
        <w:rPr>
          <w:i/>
        </w:rPr>
        <w:t>Sir Orfeo</w:t>
      </w:r>
      <w:r w:rsidR="005C2560">
        <w:t xml:space="preserve"> </w:t>
      </w:r>
      <w:r w:rsidR="00A61A7B">
        <w:t>compares</w:t>
      </w:r>
      <w:r w:rsidR="005579BA">
        <w:t xml:space="preserve">. </w:t>
      </w:r>
      <w:r w:rsidR="00B147DC">
        <w:t xml:space="preserve">Although, </w:t>
      </w:r>
      <w:r w:rsidR="00737A7A">
        <w:t xml:space="preserve">Edna and Orfeo are </w:t>
      </w:r>
      <w:r w:rsidR="00A25B90">
        <w:t xml:space="preserve">both </w:t>
      </w:r>
      <w:r w:rsidR="00737A7A">
        <w:t xml:space="preserve">presented with internal struggles </w:t>
      </w:r>
      <w:r w:rsidR="00A25B90">
        <w:t>and</w:t>
      </w:r>
      <w:r w:rsidR="00737A7A">
        <w:t xml:space="preserve"> griefs</w:t>
      </w:r>
      <w:r w:rsidR="00B147DC">
        <w:t>, there is a stark contrast to how those griefs are handled and processed</w:t>
      </w:r>
      <w:r w:rsidR="009C05E1">
        <w:t xml:space="preserve">, representing how the two characters claim a slightly different role in the individual narratives. </w:t>
      </w:r>
    </w:p>
    <w:p w14:paraId="6EFA1DBB" w14:textId="5F98F88E" w:rsidR="00D7427E" w:rsidRDefault="009A783A" w:rsidP="00B52DB6">
      <w:pPr>
        <w:ind w:firstLine="720"/>
      </w:pPr>
      <w:r>
        <w:t xml:space="preserve">In </w:t>
      </w:r>
      <w:r>
        <w:rPr>
          <w:i/>
        </w:rPr>
        <w:t xml:space="preserve">Sir Orfeo, </w:t>
      </w:r>
      <w:r>
        <w:t xml:space="preserve">Orfeo is confronted with his grief </w:t>
      </w:r>
      <w:r w:rsidR="00A61A7B">
        <w:t>over</w:t>
      </w:r>
      <w:r>
        <w:t xml:space="preserve"> his inability to protect his queen and his subsequent loss of her to the fa</w:t>
      </w:r>
      <w:r w:rsidR="00A25B90">
        <w:t>iry</w:t>
      </w:r>
      <w:r>
        <w:t xml:space="preserve"> world. Informing his kingdom that he can no longer live a full li</w:t>
      </w:r>
      <w:r w:rsidR="00A61A7B">
        <w:t>f</w:t>
      </w:r>
      <w:r>
        <w:t>e without his queen, Orfeo retreats into the wilderness and gives up all of the fortunes he possesses as king. He is described to have lived in the wilderness for many years, feeding upon only what is available to him in the woods, with his only joy coming from the action of playing his harp for the animals around him.</w:t>
      </w:r>
      <w:r w:rsidR="00E1263D">
        <w:rPr>
          <w:vertAlign w:val="superscript"/>
        </w:rPr>
        <w:t>1</w:t>
      </w:r>
      <w:r w:rsidR="00234E36">
        <w:rPr>
          <w:vertAlign w:val="superscript"/>
        </w:rPr>
        <w:t>1</w:t>
      </w:r>
      <w:r>
        <w:t xml:space="preserve"> Yet, for even as Orfeo retreats to the wilderness, he does not have any profound realizations or experiences which suggest any change in his ideology or psychological state of mind. </w:t>
      </w:r>
      <w:r w:rsidR="000425A0">
        <w:t xml:space="preserve">Downs and McNamara state </w:t>
      </w:r>
      <w:r w:rsidR="00D96BB9">
        <w:t>that ‘Critics have interpreted Orfeo’s grief as the catalyst for the cyclical plot of the poem’</w:t>
      </w:r>
      <w:r w:rsidR="00A25B90">
        <w:t>,</w:t>
      </w:r>
      <w:r w:rsidR="00E1263D">
        <w:rPr>
          <w:vertAlign w:val="superscript"/>
        </w:rPr>
        <w:t>1</w:t>
      </w:r>
      <w:r w:rsidR="00234E36">
        <w:rPr>
          <w:vertAlign w:val="superscript"/>
        </w:rPr>
        <w:t>2</w:t>
      </w:r>
      <w:r w:rsidR="00A25B90">
        <w:t xml:space="preserve"> leading to the conclusion that if Orfeo had not been grie</w:t>
      </w:r>
      <w:r w:rsidR="00EA22D2">
        <w:t>ved at the loss of his love, there would be no narrative</w:t>
      </w:r>
      <w:r w:rsidR="00D96BB9">
        <w:t xml:space="preserve">. </w:t>
      </w:r>
      <w:r>
        <w:t xml:space="preserve">There is no extra </w:t>
      </w:r>
      <w:r>
        <w:lastRenderedPageBreak/>
        <w:t xml:space="preserve">information given upon Orfeo’s state of mind or the way in which he is processing the changes in his life than what is necessary for a reader to understand in order to move the narrative along. In fact, Orfeo seems to be the same at the end of the tale as he was at the beginning, suggesting that now that the conflict has been resolved—his </w:t>
      </w:r>
      <w:r w:rsidR="00EA22D2">
        <w:t>q</w:t>
      </w:r>
      <w:r>
        <w:t>ueen returned to his side—there was no lasting effects of his years living in the wilderness. Once he is shaved and bathed, he returns to the image of king he possessed at the beginning of the narrative.</w:t>
      </w:r>
      <w:r w:rsidR="00E1263D">
        <w:rPr>
          <w:vertAlign w:val="superscript"/>
        </w:rPr>
        <w:t>1</w:t>
      </w:r>
      <w:r w:rsidR="00234E36">
        <w:rPr>
          <w:vertAlign w:val="superscript"/>
        </w:rPr>
        <w:t>3</w:t>
      </w:r>
      <w:r w:rsidRPr="009A783A">
        <w:t xml:space="preserve"> </w:t>
      </w:r>
    </w:p>
    <w:p w14:paraId="2800FBB7" w14:textId="7B5D550F" w:rsidR="009A783A" w:rsidRDefault="009A783A" w:rsidP="00B52DB6">
      <w:pPr>
        <w:ind w:firstLine="720"/>
      </w:pPr>
      <w:r>
        <w:t xml:space="preserve">In </w:t>
      </w:r>
      <w:proofErr w:type="gramStart"/>
      <w:r>
        <w:rPr>
          <w:i/>
        </w:rPr>
        <w:t>The</w:t>
      </w:r>
      <w:proofErr w:type="gramEnd"/>
      <w:r>
        <w:rPr>
          <w:i/>
        </w:rPr>
        <w:t xml:space="preserve"> Awakening, </w:t>
      </w:r>
      <w:r w:rsidRPr="009C05E1">
        <w:t xml:space="preserve">Edna </w:t>
      </w:r>
      <w:r>
        <w:t>is grieved over her inability to connect to her family as expected of her and struggles to re</w:t>
      </w:r>
      <w:r w:rsidR="00E01E0B">
        <w:t>main</w:t>
      </w:r>
      <w:r>
        <w:t xml:space="preserve"> inside the lines of her position. Edna spends the majority of the novel fantasizing about having an affair</w:t>
      </w:r>
      <w:r w:rsidR="00E01E0B">
        <w:t xml:space="preserve"> </w:t>
      </w:r>
      <w:r>
        <w:t>yet endeavouring to re</w:t>
      </w:r>
      <w:r w:rsidR="00E01E0B">
        <w:t>s</w:t>
      </w:r>
      <w:r>
        <w:t>t</w:t>
      </w:r>
      <w:r w:rsidR="00E01E0B">
        <w:t>r</w:t>
      </w:r>
      <w:r>
        <w:t>ain herself to the subservient role of housewife and mother.</w:t>
      </w:r>
      <w:r w:rsidR="00E1263D">
        <w:rPr>
          <w:vertAlign w:val="superscript"/>
        </w:rPr>
        <w:t>1</w:t>
      </w:r>
      <w:r w:rsidR="00234E36">
        <w:rPr>
          <w:vertAlign w:val="superscript"/>
        </w:rPr>
        <w:t>4</w:t>
      </w:r>
      <w:r>
        <w:t xml:space="preserve"> Eventually, as the novel progresses, her internal struggle is defeated as she falls into the perceived </w:t>
      </w:r>
      <w:r w:rsidR="00384F2F">
        <w:t>‘</w:t>
      </w:r>
      <w:r>
        <w:t>trap</w:t>
      </w:r>
      <w:r w:rsidR="00384F2F">
        <w:t>’</w:t>
      </w:r>
      <w:r>
        <w:t xml:space="preserve"> of what many critics view as the </w:t>
      </w:r>
      <w:r w:rsidR="00384F2F">
        <w:t>‘</w:t>
      </w:r>
      <w:r>
        <w:t>Modern Woman,</w:t>
      </w:r>
      <w:r w:rsidR="00384F2F">
        <w:t>’</w:t>
      </w:r>
      <w:r w:rsidR="00E1263D">
        <w:rPr>
          <w:vertAlign w:val="superscript"/>
        </w:rPr>
        <w:t>1</w:t>
      </w:r>
      <w:r w:rsidR="00234E36">
        <w:rPr>
          <w:vertAlign w:val="superscript"/>
        </w:rPr>
        <w:t>5</w:t>
      </w:r>
      <w:r>
        <w:t xml:space="preserve"> separating herself more fully from her husband and children and acting upon her lustful desires. The way in which Edna’s mentality and ideology is altered by her negative state is referenced to and developed throughout the narrative of </w:t>
      </w:r>
      <w:r>
        <w:rPr>
          <w:i/>
        </w:rPr>
        <w:t>The Awakening</w:t>
      </w:r>
      <w:r>
        <w:t>. Instead of just shortly describing her struggles and suggesting those struggles as her motivation for her actions—leaving her husband and having an affair—her struggles are seen throughout her every moment within the narrative. Edna is a changed person nearing the end of the novel, guilted by her actions and wised by her discover</w:t>
      </w:r>
      <w:r w:rsidR="00E01E0B">
        <w:t>ies</w:t>
      </w:r>
      <w:r>
        <w:t xml:space="preserve">. Although </w:t>
      </w:r>
      <w:proofErr w:type="gramStart"/>
      <w:r>
        <w:rPr>
          <w:i/>
        </w:rPr>
        <w:t>The</w:t>
      </w:r>
      <w:proofErr w:type="gramEnd"/>
      <w:r>
        <w:rPr>
          <w:i/>
        </w:rPr>
        <w:t xml:space="preserve"> Awakening</w:t>
      </w:r>
      <w:r>
        <w:t xml:space="preserve"> concludes with Edna physically at the same place the novel began, </w:t>
      </w:r>
      <w:r w:rsidRPr="009A783A">
        <w:t>she</w:t>
      </w:r>
      <w:r>
        <w:t xml:space="preserve"> is fundamentally different</w:t>
      </w:r>
      <w:r w:rsidR="00E01E0B" w:rsidRPr="00E01E0B">
        <w:t xml:space="preserve"> </w:t>
      </w:r>
      <w:r w:rsidR="00E01E0B">
        <w:t xml:space="preserve">as a </w:t>
      </w:r>
      <w:r w:rsidR="00E01E0B" w:rsidRPr="009A783A">
        <w:rPr>
          <w:i/>
        </w:rPr>
        <w:t>person</w:t>
      </w:r>
      <w:r>
        <w:t>.</w:t>
      </w:r>
    </w:p>
    <w:p w14:paraId="30C8B17F" w14:textId="7BDE3FCA" w:rsidR="00D7427E" w:rsidRDefault="005579BA" w:rsidP="00B52DB6">
      <w:pPr>
        <w:ind w:firstLine="720"/>
      </w:pPr>
      <w:r>
        <w:t xml:space="preserve">It is necessary to recognize that the writing styles of </w:t>
      </w:r>
      <w:r>
        <w:rPr>
          <w:i/>
        </w:rPr>
        <w:t xml:space="preserve">Sir Orfeo </w:t>
      </w:r>
      <w:r>
        <w:t xml:space="preserve">and </w:t>
      </w:r>
      <w:r>
        <w:rPr>
          <w:i/>
        </w:rPr>
        <w:t>The Awakening</w:t>
      </w:r>
      <w:r>
        <w:t xml:space="preserve"> are fundamentally different and have different intentions. However, if one is only striving to analyse the basic structure of characters within the narrative structure, these two works represent how although characters’ actions are, structurally, about carrying the narrative, the decision to </w:t>
      </w:r>
      <w:r>
        <w:lastRenderedPageBreak/>
        <w:t xml:space="preserve">develop a character to a more connectable, human-like entity deserves a position within the analysis of narrative. </w:t>
      </w:r>
      <w:r w:rsidR="0041176F">
        <w:t>Structuralis</w:t>
      </w:r>
      <w:r w:rsidR="00E01E0B">
        <w:t>ts</w:t>
      </w:r>
      <w:r w:rsidR="0041176F">
        <w:t xml:space="preserve"> may view characters based on what the character ‘is’ or ‘does’ rather than how the character ‘feels’,</w:t>
      </w:r>
      <w:r w:rsidR="00E1263D">
        <w:rPr>
          <w:vertAlign w:val="superscript"/>
        </w:rPr>
        <w:t>1</w:t>
      </w:r>
      <w:r w:rsidR="00234E36">
        <w:rPr>
          <w:vertAlign w:val="superscript"/>
        </w:rPr>
        <w:t>6</w:t>
      </w:r>
      <w:r w:rsidR="0041176F">
        <w:t xml:space="preserve"> but the emotional undertones have a profound effect on what a character ‘is’ and ‘does’ and may be too interlinked to ignore. </w:t>
      </w:r>
      <w:r>
        <w:t>The decision by a writer to give relatable and unique identities to characters beyond what is merely needed to tell the story is what makes stories s</w:t>
      </w:r>
      <w:r w:rsidR="00053C63">
        <w:t>o popular despite the fact that the structure of narrative is simply a repetitive sequence identifiable in every work of literature</w:t>
      </w:r>
      <w:r>
        <w:t xml:space="preserve">. </w:t>
      </w:r>
    </w:p>
    <w:p w14:paraId="0B6903A6" w14:textId="77777777" w:rsidR="00D7427E" w:rsidRDefault="00D7427E" w:rsidP="00B52DB6">
      <w:pPr>
        <w:spacing w:line="259" w:lineRule="auto"/>
      </w:pPr>
      <w:r>
        <w:br w:type="page"/>
      </w:r>
    </w:p>
    <w:p w14:paraId="66C4563E" w14:textId="77777777" w:rsidR="00B52DB6" w:rsidRDefault="00D7427E" w:rsidP="008319D9">
      <w:pPr>
        <w:jc w:val="center"/>
      </w:pPr>
      <w:r>
        <w:lastRenderedPageBreak/>
        <w:t>Endnotes</w:t>
      </w:r>
    </w:p>
    <w:p w14:paraId="59DB963B" w14:textId="23057FF5" w:rsidR="00792CA4" w:rsidRPr="00EF1F9E" w:rsidRDefault="00E1263D" w:rsidP="00B52DB6">
      <w:r>
        <w:rPr>
          <w:vertAlign w:val="superscript"/>
        </w:rPr>
        <w:t>1</w:t>
      </w:r>
      <w:r w:rsidR="00B52DB6">
        <w:t>Ferdinand de</w:t>
      </w:r>
      <w:r w:rsidR="00B52DB6">
        <w:t xml:space="preserve"> </w:t>
      </w:r>
      <w:r w:rsidR="00792CA4">
        <w:t>Saussure,</w:t>
      </w:r>
      <w:r w:rsidR="00B52DB6">
        <w:t xml:space="preserve"> </w:t>
      </w:r>
      <w:r w:rsidR="00792CA4">
        <w:t xml:space="preserve">‘The Object of Study’, from </w:t>
      </w:r>
      <w:r w:rsidR="00792CA4">
        <w:rPr>
          <w:i/>
        </w:rPr>
        <w:t xml:space="preserve">Course in General Linguistics </w:t>
      </w:r>
      <w:r w:rsidR="00792CA4">
        <w:t xml:space="preserve">(Paris, 1915), trans. Roy Harris (c. 1983), </w:t>
      </w:r>
      <w:proofErr w:type="spellStart"/>
      <w:r w:rsidR="00792CA4">
        <w:t>repr</w:t>
      </w:r>
      <w:proofErr w:type="spellEnd"/>
      <w:r w:rsidR="00792CA4">
        <w:t xml:space="preserve">. In </w:t>
      </w:r>
      <w:r w:rsidR="00792CA4">
        <w:rPr>
          <w:i/>
        </w:rPr>
        <w:t>Modern Criticism and Theory: A Reader</w:t>
      </w:r>
      <w:r w:rsidR="00792CA4">
        <w:t>, 3</w:t>
      </w:r>
      <w:r w:rsidR="00792CA4" w:rsidRPr="00EF1F9E">
        <w:rPr>
          <w:vertAlign w:val="superscript"/>
        </w:rPr>
        <w:t>rd</w:t>
      </w:r>
      <w:r w:rsidR="00792CA4">
        <w:t xml:space="preserve"> </w:t>
      </w:r>
      <w:proofErr w:type="spellStart"/>
      <w:r w:rsidR="00792CA4">
        <w:t>edn</w:t>
      </w:r>
      <w:proofErr w:type="spellEnd"/>
      <w:r w:rsidR="00792CA4">
        <w:t xml:space="preserve">, ed. by David Lodge and Nigel Wood (London and New York: Routledge, 2008). </w:t>
      </w:r>
    </w:p>
    <w:p w14:paraId="11D1F5EB" w14:textId="4FBC9267" w:rsidR="00792CA4" w:rsidRDefault="00E1263D" w:rsidP="00B52DB6">
      <w:r>
        <w:rPr>
          <w:vertAlign w:val="superscript"/>
        </w:rPr>
        <w:t>2</w:t>
      </w:r>
      <w:r w:rsidR="00792CA4" w:rsidRPr="00792CA4">
        <w:t xml:space="preserve"> </w:t>
      </w:r>
      <w:r w:rsidR="00B52DB6">
        <w:t>Roland</w:t>
      </w:r>
      <w:r w:rsidR="00B52DB6">
        <w:t xml:space="preserve"> </w:t>
      </w:r>
      <w:r w:rsidR="00792CA4">
        <w:t xml:space="preserve">Barthes, ‘An Introduction to the Structural Analysis of Narrative’, trans. by Lionel </w:t>
      </w:r>
      <w:proofErr w:type="spellStart"/>
      <w:r w:rsidR="00792CA4">
        <w:t>Duisit</w:t>
      </w:r>
      <w:proofErr w:type="spellEnd"/>
      <w:r w:rsidR="00792CA4">
        <w:t xml:space="preserve">, </w:t>
      </w:r>
      <w:r w:rsidR="00792CA4">
        <w:rPr>
          <w:i/>
        </w:rPr>
        <w:t>New Literary History</w:t>
      </w:r>
      <w:r w:rsidR="00792CA4">
        <w:t>, Vol. 6, No. 2, On Narrative and Narratives (Winter, 1975), p</w:t>
      </w:r>
      <w:r w:rsidR="00F80871">
        <w:t>. 237.</w:t>
      </w:r>
    </w:p>
    <w:p w14:paraId="7A7FE399" w14:textId="7EB50E69" w:rsidR="00792CA4" w:rsidRDefault="00E1263D" w:rsidP="00B52DB6">
      <w:r>
        <w:rPr>
          <w:vertAlign w:val="superscript"/>
        </w:rPr>
        <w:t>3</w:t>
      </w:r>
      <w:r w:rsidR="00792CA4">
        <w:t>Vladimir</w:t>
      </w:r>
      <w:r w:rsidR="00B52DB6" w:rsidRPr="00B52DB6">
        <w:t xml:space="preserve"> </w:t>
      </w:r>
      <w:r w:rsidR="00B52DB6">
        <w:t>Propp</w:t>
      </w:r>
      <w:r w:rsidR="00792CA4">
        <w:t xml:space="preserve">, </w:t>
      </w:r>
      <w:r w:rsidR="00792CA4">
        <w:rPr>
          <w:i/>
        </w:rPr>
        <w:t>Morphology of the Folktale</w:t>
      </w:r>
      <w:r w:rsidR="00792CA4">
        <w:t xml:space="preserve"> (Austin &amp; London: University of Texas Press, 1968). </w:t>
      </w:r>
    </w:p>
    <w:p w14:paraId="649AC4B9" w14:textId="6053496A" w:rsidR="001A217C" w:rsidRDefault="00E1263D" w:rsidP="00B52DB6">
      <w:r>
        <w:rPr>
          <w:vertAlign w:val="superscript"/>
        </w:rPr>
        <w:t>4</w:t>
      </w:r>
      <w:r w:rsidR="001A217C" w:rsidRPr="001A217C">
        <w:t xml:space="preserve"> </w:t>
      </w:r>
      <w:proofErr w:type="spellStart"/>
      <w:r w:rsidR="00B52DB6">
        <w:t>Shlomith</w:t>
      </w:r>
      <w:proofErr w:type="spellEnd"/>
      <w:r w:rsidR="00B52DB6">
        <w:t xml:space="preserve"> </w:t>
      </w:r>
      <w:proofErr w:type="spellStart"/>
      <w:r w:rsidR="001A217C">
        <w:t>Rimmon</w:t>
      </w:r>
      <w:proofErr w:type="spellEnd"/>
      <w:r w:rsidR="001A217C">
        <w:t xml:space="preserve">-Kenan, </w:t>
      </w:r>
      <w:r w:rsidR="001A217C">
        <w:rPr>
          <w:i/>
        </w:rPr>
        <w:t xml:space="preserve">Narrative Fiction: Contemporary Poetics </w:t>
      </w:r>
      <w:r w:rsidR="001A217C">
        <w:t xml:space="preserve">(London: Routledge, 1989). </w:t>
      </w:r>
    </w:p>
    <w:p w14:paraId="145F6E85" w14:textId="734868A4" w:rsidR="00E1263D" w:rsidRPr="001A217C" w:rsidRDefault="00E1263D" w:rsidP="00B52DB6">
      <w:r>
        <w:rPr>
          <w:vertAlign w:val="superscript"/>
        </w:rPr>
        <w:t>5</w:t>
      </w:r>
      <w:r w:rsidR="001A217C">
        <w:t xml:space="preserve">Barthes, p. </w:t>
      </w:r>
      <w:r w:rsidR="00F80871">
        <w:t>245.</w:t>
      </w:r>
    </w:p>
    <w:p w14:paraId="3F8D945A" w14:textId="40F0FAF1" w:rsidR="00E1263D" w:rsidRPr="00B52DB6" w:rsidRDefault="00E1263D" w:rsidP="00B52DB6">
      <w:r>
        <w:rPr>
          <w:vertAlign w:val="superscript"/>
        </w:rPr>
        <w:t>6</w:t>
      </w:r>
      <w:r w:rsidR="00B52DB6">
        <w:t>Rimmon-Kenan, p.</w:t>
      </w:r>
      <w:r w:rsidR="00F80871">
        <w:t xml:space="preserve"> 32.</w:t>
      </w:r>
    </w:p>
    <w:p w14:paraId="3090D41F" w14:textId="367D8DA9" w:rsidR="00B52DB6" w:rsidRPr="00A81E38" w:rsidRDefault="00E1263D" w:rsidP="00B52DB6">
      <w:r>
        <w:rPr>
          <w:vertAlign w:val="superscript"/>
        </w:rPr>
        <w:t>7</w:t>
      </w:r>
      <w:r w:rsidR="00B52DB6" w:rsidRPr="00B52DB6">
        <w:t xml:space="preserve"> </w:t>
      </w:r>
      <w:r w:rsidR="00B52DB6">
        <w:t xml:space="preserve">Stephanie Downs and Rebecca F. McNamara, ‘The History of Emotions and Middle English Literature’, </w:t>
      </w:r>
      <w:r w:rsidR="00B52DB6">
        <w:rPr>
          <w:i/>
        </w:rPr>
        <w:t>Literature Compass</w:t>
      </w:r>
      <w:r w:rsidR="00B52DB6">
        <w:t>, Vol. 13, No. 6 (2016), 44</w:t>
      </w:r>
      <w:r w:rsidR="00F80871">
        <w:t>6.</w:t>
      </w:r>
    </w:p>
    <w:p w14:paraId="4713C7E7" w14:textId="430C3A11" w:rsidR="00B52DB6" w:rsidRPr="0071109E" w:rsidRDefault="00F80871" w:rsidP="00B52DB6">
      <w:r>
        <w:rPr>
          <w:vertAlign w:val="superscript"/>
        </w:rPr>
        <w:t>8</w:t>
      </w:r>
      <w:r w:rsidR="00B52DB6">
        <w:t>Joseph</w:t>
      </w:r>
      <w:r w:rsidR="00B52DB6">
        <w:t xml:space="preserve"> </w:t>
      </w:r>
      <w:r w:rsidR="00B52DB6">
        <w:t>Campbell,</w:t>
      </w:r>
      <w:r w:rsidR="00DD2BDB">
        <w:t xml:space="preserve"> </w:t>
      </w:r>
      <w:r w:rsidR="00B52DB6">
        <w:rPr>
          <w:i/>
        </w:rPr>
        <w:t xml:space="preserve">The Hero with a Thousand Faces </w:t>
      </w:r>
      <w:r w:rsidR="00B52DB6">
        <w:t>(New Jersey: Princeton University Press, 1973).</w:t>
      </w:r>
    </w:p>
    <w:p w14:paraId="7293B013" w14:textId="48E98B71" w:rsidR="00B52DB6" w:rsidRDefault="00F80871" w:rsidP="00B52DB6">
      <w:r>
        <w:rPr>
          <w:vertAlign w:val="superscript"/>
        </w:rPr>
        <w:t>9</w:t>
      </w:r>
      <w:r w:rsidR="00B52DB6" w:rsidRPr="00B52DB6">
        <w:t xml:space="preserve"> </w:t>
      </w:r>
      <w:r w:rsidR="003A492B">
        <w:t>Anonymous</w:t>
      </w:r>
      <w:r w:rsidR="00B52DB6">
        <w:t xml:space="preserve">, </w:t>
      </w:r>
      <w:r w:rsidR="00B52DB6">
        <w:rPr>
          <w:i/>
        </w:rPr>
        <w:t>Sir Orfeo</w:t>
      </w:r>
      <w:r w:rsidR="00B52DB6">
        <w:t xml:space="preserve"> in </w:t>
      </w:r>
      <w:r w:rsidR="00B52DB6">
        <w:rPr>
          <w:i/>
        </w:rPr>
        <w:t>Medieval Romances</w:t>
      </w:r>
      <w:r w:rsidR="00B52DB6">
        <w:t xml:space="preserve">, ed. by Roger Sherman Loomis (New York: Random House, 1957). </w:t>
      </w:r>
    </w:p>
    <w:p w14:paraId="6D71AF58" w14:textId="17EC09DE" w:rsidR="00B52DB6" w:rsidRDefault="00E1263D" w:rsidP="00B52DB6">
      <w:r>
        <w:rPr>
          <w:vertAlign w:val="superscript"/>
        </w:rPr>
        <w:t>1</w:t>
      </w:r>
      <w:r w:rsidR="00F80871">
        <w:rPr>
          <w:vertAlign w:val="superscript"/>
        </w:rPr>
        <w:t>0</w:t>
      </w:r>
      <w:r w:rsidR="00B52DB6">
        <w:t>Kate</w:t>
      </w:r>
      <w:r w:rsidR="00DD2BDB" w:rsidRPr="00DD2BDB">
        <w:t xml:space="preserve"> </w:t>
      </w:r>
      <w:r w:rsidR="00DD2BDB">
        <w:t>Chopin</w:t>
      </w:r>
      <w:r w:rsidR="00B52DB6">
        <w:t xml:space="preserve">, </w:t>
      </w:r>
      <w:r w:rsidR="00B52DB6">
        <w:rPr>
          <w:i/>
        </w:rPr>
        <w:t xml:space="preserve">The Awakening </w:t>
      </w:r>
      <w:r w:rsidR="00B52DB6">
        <w:t xml:space="preserve">(New York: Dover Publications, 1993). </w:t>
      </w:r>
    </w:p>
    <w:p w14:paraId="2968BD5A" w14:textId="41860A6E" w:rsidR="00E1263D" w:rsidRPr="00B52DB6" w:rsidRDefault="00E1263D" w:rsidP="00B52DB6">
      <w:r>
        <w:rPr>
          <w:vertAlign w:val="superscript"/>
        </w:rPr>
        <w:t>1</w:t>
      </w:r>
      <w:r w:rsidR="00F80871">
        <w:rPr>
          <w:vertAlign w:val="superscript"/>
        </w:rPr>
        <w:t>1</w:t>
      </w:r>
      <w:r w:rsidR="003A492B">
        <w:t>Anonymous</w:t>
      </w:r>
      <w:r w:rsidR="00B52DB6">
        <w:t>, p.</w:t>
      </w:r>
      <w:r w:rsidR="00A36D54">
        <w:t xml:space="preserve"> 318.</w:t>
      </w:r>
    </w:p>
    <w:p w14:paraId="4BBF3365" w14:textId="1B8C1F84" w:rsidR="00E1263D" w:rsidRPr="00B52DB6" w:rsidRDefault="00E1263D" w:rsidP="00B52DB6">
      <w:r>
        <w:rPr>
          <w:vertAlign w:val="superscript"/>
        </w:rPr>
        <w:t>1</w:t>
      </w:r>
      <w:r w:rsidR="00F80871">
        <w:rPr>
          <w:vertAlign w:val="superscript"/>
        </w:rPr>
        <w:t>2</w:t>
      </w:r>
      <w:r w:rsidR="00B52DB6">
        <w:t>Downs and McNamara, p. 448.</w:t>
      </w:r>
    </w:p>
    <w:p w14:paraId="474AB6B6" w14:textId="4BC2502D" w:rsidR="00E1263D" w:rsidRPr="00B52DB6" w:rsidRDefault="00E1263D" w:rsidP="00B52DB6">
      <w:r>
        <w:rPr>
          <w:vertAlign w:val="superscript"/>
        </w:rPr>
        <w:t>1</w:t>
      </w:r>
      <w:r w:rsidR="00F80871">
        <w:rPr>
          <w:vertAlign w:val="superscript"/>
        </w:rPr>
        <w:t>3</w:t>
      </w:r>
      <w:r w:rsidR="003A492B">
        <w:t>Anonymous</w:t>
      </w:r>
      <w:r w:rsidR="00B52DB6">
        <w:t>, p.</w:t>
      </w:r>
      <w:r w:rsidR="00A36D54">
        <w:t xml:space="preserve"> 322.</w:t>
      </w:r>
    </w:p>
    <w:p w14:paraId="2B63E31F" w14:textId="1FB5A2E2" w:rsidR="00E1263D" w:rsidRPr="00B52DB6" w:rsidRDefault="00E1263D" w:rsidP="00B52DB6">
      <w:r>
        <w:rPr>
          <w:vertAlign w:val="superscript"/>
        </w:rPr>
        <w:t>1</w:t>
      </w:r>
      <w:r w:rsidR="00F80871">
        <w:rPr>
          <w:vertAlign w:val="superscript"/>
        </w:rPr>
        <w:t>4</w:t>
      </w:r>
      <w:r w:rsidR="00B52DB6">
        <w:t>Chopin, p.</w:t>
      </w:r>
      <w:r w:rsidR="00D95B13">
        <w:t xml:space="preserve"> 18-</w:t>
      </w:r>
      <w:r w:rsidR="00A36D54">
        <w:t>30.</w:t>
      </w:r>
    </w:p>
    <w:p w14:paraId="5B205DF0" w14:textId="444956E9" w:rsidR="00B52DB6" w:rsidRDefault="00E1263D" w:rsidP="00B52DB6">
      <w:r>
        <w:rPr>
          <w:vertAlign w:val="superscript"/>
        </w:rPr>
        <w:lastRenderedPageBreak/>
        <w:t>1</w:t>
      </w:r>
      <w:r w:rsidR="00F80871">
        <w:rPr>
          <w:vertAlign w:val="superscript"/>
        </w:rPr>
        <w:t>5</w:t>
      </w:r>
      <w:r w:rsidR="00B52DB6">
        <w:t>Charlotte J</w:t>
      </w:r>
      <w:r w:rsidR="00B52DB6">
        <w:t xml:space="preserve"> </w:t>
      </w:r>
      <w:r w:rsidR="00B52DB6">
        <w:t xml:space="preserve">Rich, </w:t>
      </w:r>
      <w:r w:rsidR="00B52DB6" w:rsidRPr="00A81E38">
        <w:t>‘Transgression and Convention: The New Woman and the Fiction of Kate Chopin, Edith Wharton, and Charlotte Perkins Gilman</w:t>
      </w:r>
      <w:r w:rsidR="00B52DB6">
        <w:t xml:space="preserve">’, </w:t>
      </w:r>
      <w:r w:rsidR="00B52DB6">
        <w:rPr>
          <w:i/>
        </w:rPr>
        <w:t xml:space="preserve">Dissertation Abstracts International </w:t>
      </w:r>
      <w:r w:rsidR="00B52DB6">
        <w:t xml:space="preserve">59, Vol. 59, No. 6 (1998), pp. 2026-360. </w:t>
      </w:r>
    </w:p>
    <w:p w14:paraId="6D021893" w14:textId="6BCD7689" w:rsidR="00D7427E" w:rsidRPr="005579BA" w:rsidRDefault="00E1263D" w:rsidP="00B52DB6">
      <w:r>
        <w:rPr>
          <w:vertAlign w:val="superscript"/>
        </w:rPr>
        <w:t>1</w:t>
      </w:r>
      <w:r w:rsidR="00F80871">
        <w:rPr>
          <w:vertAlign w:val="superscript"/>
        </w:rPr>
        <w:t>6</w:t>
      </w:r>
      <w:r w:rsidR="00B52DB6">
        <w:t>Rimmon-Kenan, p.</w:t>
      </w:r>
      <w:r w:rsidR="00B52DB6">
        <w:t xml:space="preserve"> 33.</w:t>
      </w:r>
    </w:p>
    <w:p w14:paraId="03726B61" w14:textId="77777777" w:rsidR="00382763" w:rsidRDefault="00382763" w:rsidP="00B52DB6"/>
    <w:p w14:paraId="2842270B" w14:textId="04835743" w:rsidR="00587D05" w:rsidRDefault="00587D05" w:rsidP="00B52DB6">
      <w:pPr>
        <w:spacing w:line="259" w:lineRule="auto"/>
      </w:pPr>
      <w:r>
        <w:br w:type="page"/>
      </w:r>
    </w:p>
    <w:p w14:paraId="5F972339" w14:textId="66C4D592" w:rsidR="006963B5" w:rsidRDefault="000E20AF" w:rsidP="00B52DB6">
      <w:pPr>
        <w:jc w:val="center"/>
      </w:pPr>
      <w:r>
        <w:lastRenderedPageBreak/>
        <w:t>Bibliography</w:t>
      </w:r>
    </w:p>
    <w:p w14:paraId="72919535" w14:textId="77777777" w:rsidR="003A492B" w:rsidRDefault="003A492B" w:rsidP="003A492B">
      <w:pPr>
        <w:ind w:left="720" w:hanging="720"/>
      </w:pPr>
      <w:r>
        <w:t xml:space="preserve">Anonymous, </w:t>
      </w:r>
      <w:r>
        <w:rPr>
          <w:i/>
        </w:rPr>
        <w:t>Sir Orfeo</w:t>
      </w:r>
      <w:r>
        <w:t xml:space="preserve"> in </w:t>
      </w:r>
      <w:r>
        <w:rPr>
          <w:i/>
        </w:rPr>
        <w:t>Medieval Romances</w:t>
      </w:r>
      <w:r>
        <w:t xml:space="preserve">, ed. by Roger Sherman Loomis (New York: Random House, 1957). </w:t>
      </w:r>
    </w:p>
    <w:p w14:paraId="4B8F9892" w14:textId="3321740F" w:rsidR="000E20AF" w:rsidRDefault="006E316F" w:rsidP="00B52DB6">
      <w:pPr>
        <w:ind w:left="720" w:hanging="720"/>
      </w:pPr>
      <w:r>
        <w:t xml:space="preserve">Barthes, Roland, ‘An Introduction to the Structural Analysis of Narrative’, trans. by Lionel Duisit, </w:t>
      </w:r>
      <w:r>
        <w:rPr>
          <w:i/>
        </w:rPr>
        <w:t>New Literary History</w:t>
      </w:r>
      <w:r>
        <w:t xml:space="preserve">, Vol. 6, No. 2, On Narrative and Narratives (Winter, 1975), pp.237-72. </w:t>
      </w:r>
    </w:p>
    <w:p w14:paraId="0849D6CC" w14:textId="77777777" w:rsidR="003A492B" w:rsidRPr="0071109E" w:rsidRDefault="003A492B" w:rsidP="003A492B">
      <w:pPr>
        <w:ind w:left="720" w:hanging="720"/>
      </w:pPr>
      <w:r>
        <w:t xml:space="preserve">Campbell, Joseph, </w:t>
      </w:r>
      <w:r>
        <w:rPr>
          <w:i/>
        </w:rPr>
        <w:t xml:space="preserve">The Hero with a Thousand Faces </w:t>
      </w:r>
      <w:r>
        <w:t>(New Jersey: Princeton University Press, 1973).</w:t>
      </w:r>
    </w:p>
    <w:p w14:paraId="79AB0FD7" w14:textId="77777777" w:rsidR="007B3186" w:rsidRDefault="007B3186" w:rsidP="00B52DB6">
      <w:pPr>
        <w:ind w:left="720" w:hanging="720"/>
      </w:pPr>
      <w:r>
        <w:t xml:space="preserve">Chopin, Kate, </w:t>
      </w:r>
      <w:r>
        <w:rPr>
          <w:i/>
        </w:rPr>
        <w:t xml:space="preserve">The Awakening </w:t>
      </w:r>
      <w:r>
        <w:t xml:space="preserve">(New York: Dover Publications, 1993). </w:t>
      </w:r>
    </w:p>
    <w:p w14:paraId="7B199A27" w14:textId="77777777" w:rsidR="003A492B" w:rsidRPr="00A81E38" w:rsidRDefault="003A492B" w:rsidP="003A492B">
      <w:pPr>
        <w:ind w:left="720" w:hanging="720"/>
      </w:pPr>
      <w:r>
        <w:t xml:space="preserve">Downs, Stephanie and Rebecca F. McNamara, ‘The History of Emotions and Middle English Literature’, </w:t>
      </w:r>
      <w:r>
        <w:rPr>
          <w:i/>
        </w:rPr>
        <w:t>Literature Compass</w:t>
      </w:r>
      <w:r>
        <w:t xml:space="preserve">, Vol. 13, No. 6 (2016), 444-56. </w:t>
      </w:r>
    </w:p>
    <w:p w14:paraId="6CED84A5" w14:textId="77777777" w:rsidR="003A492B" w:rsidRDefault="003A492B" w:rsidP="003A492B">
      <w:pPr>
        <w:ind w:left="720" w:hanging="720"/>
      </w:pPr>
      <w:r>
        <w:t xml:space="preserve">Propp, Vladimir, </w:t>
      </w:r>
      <w:r>
        <w:rPr>
          <w:i/>
        </w:rPr>
        <w:t>Morphology of the Folktale</w:t>
      </w:r>
      <w:r>
        <w:t xml:space="preserve"> (Austin &amp; London: University of Texas Press, 1968). </w:t>
      </w:r>
    </w:p>
    <w:p w14:paraId="0F6DD27B" w14:textId="77777777" w:rsidR="003A492B" w:rsidRDefault="003A492B" w:rsidP="003A492B">
      <w:pPr>
        <w:ind w:left="720" w:hanging="720"/>
      </w:pPr>
      <w:r>
        <w:t xml:space="preserve">Rich, Charlotte J., </w:t>
      </w:r>
      <w:r w:rsidRPr="00A81E38">
        <w:t>‘Transgression and Convention: The New Woman and the Fiction of Kate Chopin, Edith Wharton, and Charlotte Perkins Gilman</w:t>
      </w:r>
      <w:r>
        <w:t xml:space="preserve">’, </w:t>
      </w:r>
      <w:r>
        <w:rPr>
          <w:i/>
        </w:rPr>
        <w:t xml:space="preserve">Dissertation Abstracts International </w:t>
      </w:r>
      <w:r>
        <w:t xml:space="preserve">59, Vol. 59, No. 6 (1998), pp. 2026-360. </w:t>
      </w:r>
    </w:p>
    <w:p w14:paraId="256E27DC" w14:textId="1B361E81" w:rsidR="006E316F" w:rsidRDefault="006E316F" w:rsidP="00B52DB6">
      <w:pPr>
        <w:ind w:left="720" w:hanging="720"/>
      </w:pPr>
      <w:proofErr w:type="spellStart"/>
      <w:r>
        <w:t>Rimmon</w:t>
      </w:r>
      <w:proofErr w:type="spellEnd"/>
      <w:r>
        <w:t xml:space="preserve">-Kenan, </w:t>
      </w:r>
      <w:proofErr w:type="spellStart"/>
      <w:r>
        <w:t>Shlomith</w:t>
      </w:r>
      <w:proofErr w:type="spellEnd"/>
      <w:r>
        <w:t xml:space="preserve">, </w:t>
      </w:r>
      <w:r>
        <w:rPr>
          <w:i/>
        </w:rPr>
        <w:t xml:space="preserve">Narrative Fiction: Contemporary Poetics </w:t>
      </w:r>
      <w:r>
        <w:t xml:space="preserve">(London: Routledge, 1989). </w:t>
      </w:r>
    </w:p>
    <w:p w14:paraId="53071D54" w14:textId="73B1BBCB" w:rsidR="00D7427E" w:rsidRPr="00EF1F9E" w:rsidRDefault="00D7427E" w:rsidP="00B52DB6">
      <w:pPr>
        <w:ind w:left="720" w:hanging="720"/>
      </w:pPr>
      <w:r>
        <w:t xml:space="preserve">Saussure, Ferdinand de, ‘The Object of Study’, </w:t>
      </w:r>
      <w:r w:rsidR="00EF1F9E">
        <w:t xml:space="preserve">from </w:t>
      </w:r>
      <w:r w:rsidR="00EF1F9E">
        <w:rPr>
          <w:i/>
        </w:rPr>
        <w:t xml:space="preserve">Course in General Linguistics </w:t>
      </w:r>
      <w:r w:rsidR="00EF1F9E">
        <w:t xml:space="preserve">(Paris, 1915), trans. Roy Harris (c. 1983), </w:t>
      </w:r>
      <w:proofErr w:type="spellStart"/>
      <w:r w:rsidR="00EF1F9E">
        <w:t>repr</w:t>
      </w:r>
      <w:proofErr w:type="spellEnd"/>
      <w:r w:rsidR="00EF1F9E">
        <w:t xml:space="preserve">. In </w:t>
      </w:r>
      <w:r w:rsidR="00EF1F9E">
        <w:rPr>
          <w:i/>
        </w:rPr>
        <w:t>Modern Criticism and Theory: A Reader</w:t>
      </w:r>
      <w:r w:rsidR="00EF1F9E">
        <w:t>, 3</w:t>
      </w:r>
      <w:r w:rsidR="00EF1F9E" w:rsidRPr="00EF1F9E">
        <w:rPr>
          <w:vertAlign w:val="superscript"/>
        </w:rPr>
        <w:t>rd</w:t>
      </w:r>
      <w:r w:rsidR="00EF1F9E">
        <w:t xml:space="preserve"> </w:t>
      </w:r>
      <w:proofErr w:type="spellStart"/>
      <w:r w:rsidR="00EF1F9E">
        <w:t>edn</w:t>
      </w:r>
      <w:proofErr w:type="spellEnd"/>
      <w:r w:rsidR="00EF1F9E">
        <w:t xml:space="preserve">, ed. by David Lodge and Nigel Wood (London and New York: Routledge, 2008). </w:t>
      </w:r>
    </w:p>
    <w:p w14:paraId="13C1F93F" w14:textId="77777777" w:rsidR="003A492B" w:rsidRPr="00A81E38" w:rsidRDefault="003A492B">
      <w:pPr>
        <w:ind w:left="720" w:hanging="720"/>
      </w:pPr>
    </w:p>
    <w:sectPr w:rsidR="003A492B" w:rsidRPr="00A81E38">
      <w:headerReference w:type="default" r:id="rId9"/>
      <w:pgSz w:w="12240" w:h="15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745D210A" w14:textId="77777777" w:rsidR="00E940C3" w:rsidRDefault="00E940C3" w:rsidP="008319D9">
      <w:pPr>
        <w:spacing w:line="240" w:lineRule="auto"/>
      </w:pPr>
      <w:r>
        <w:separator/>
      </w:r>
    </w:p>
  </w:endnote>
  <w:endnote w:type="continuationSeparator" w:id="0">
    <w:p w14:paraId="4F886060" w14:textId="77777777" w:rsidR="00E940C3" w:rsidRDefault="00E940C3" w:rsidP="008319D9">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2AFF" w:usb1="C000247B" w:usb2="00000009" w:usb3="00000000" w:csb0="000001FF" w:csb1="00000000"/>
  </w:font>
  <w:font w:name="Tahoma">
    <w:panose1 w:val="020B0604030504040204"/>
    <w:charset w:val="00"/>
    <w:family w:val="swiss"/>
    <w:pitch w:val="variable"/>
    <w:sig w:usb0="E1002EFF" w:usb1="C000605B" w:usb2="00000029" w:usb3="00000000" w:csb0="000101FF" w:csb1="00000000"/>
  </w:font>
  <w:font w:name="Segoe UI">
    <w:panose1 w:val="020B0502040204020203"/>
    <w:charset w:val="00"/>
    <w:family w:val="swiss"/>
    <w:pitch w:val="variable"/>
    <w:sig w:usb0="E4002EFF" w:usb1="C000E47F" w:usb2="00000009" w:usb3="00000000" w:csb0="000001FF" w:csb1="00000000"/>
  </w:font>
  <w:font w:name="Georgia">
    <w:panose1 w:val="02040502050405020303"/>
    <w:charset w:val="00"/>
    <w:family w:val="roman"/>
    <w:pitch w:val="variable"/>
    <w:sig w:usb0="00000287" w:usb1="00000000" w:usb2="00000000" w:usb3="00000000" w:csb0="0000009F" w:csb1="00000000"/>
  </w:font>
  <w:font w:name="SimSun">
    <w:altName w:val="宋体"/>
    <w:panose1 w:val="02010600030101010101"/>
    <w:charset w:val="86"/>
    <w:family w:val="auto"/>
    <w:pitch w:val="variable"/>
    <w:sig w:usb0="00000003" w:usb1="288F0000" w:usb2="00000016" w:usb3="00000000" w:csb0="00040001" w:csb1="00000000"/>
  </w:font>
  <w:font w:name="Arial">
    <w:panose1 w:val="020B0604020202020204"/>
    <w:charset w:val="00"/>
    <w:family w:val="swiss"/>
    <w:pitch w:val="variable"/>
    <w:sig w:usb0="E0002EFF" w:usb1="C000785B" w:usb2="00000009" w:usb3="00000000" w:csb0="000001FF" w:csb1="00000000"/>
  </w:font>
  <w:font w:name="Trebuchet MS">
    <w:panose1 w:val="020B0603020202020204"/>
    <w:charset w:val="00"/>
    <w:family w:val="swiss"/>
    <w:pitch w:val="variable"/>
    <w:sig w:usb0="00000687" w:usb1="00000000" w:usb2="00000000" w:usb3="00000000" w:csb0="0000009F" w:csb1="00000000"/>
  </w:font>
  <w:font w:name="Calibri Light">
    <w:panose1 w:val="020F0302020204030204"/>
    <w:charset w:val="00"/>
    <w:family w:val="swiss"/>
    <w:pitch w:val="variable"/>
    <w:sig w:usb0="E0002AFF" w:usb1="C0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319D3FD1" w14:textId="77777777" w:rsidR="00E940C3" w:rsidRDefault="00E940C3" w:rsidP="008319D9">
      <w:pPr>
        <w:spacing w:line="240" w:lineRule="auto"/>
      </w:pPr>
      <w:r>
        <w:separator/>
      </w:r>
    </w:p>
  </w:footnote>
  <w:footnote w:type="continuationSeparator" w:id="0">
    <w:p w14:paraId="11CB7255" w14:textId="77777777" w:rsidR="00E940C3" w:rsidRDefault="00E940C3" w:rsidP="008319D9">
      <w:pPr>
        <w:spacing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id w:val="26913530"/>
      <w:docPartObj>
        <w:docPartGallery w:val="Page Numbers (Top of Page)"/>
        <w:docPartUnique/>
      </w:docPartObj>
    </w:sdtPr>
    <w:sdtEndPr>
      <w:rPr>
        <w:noProof/>
      </w:rPr>
    </w:sdtEndPr>
    <w:sdtContent>
      <w:p w14:paraId="7274D35E" w14:textId="02854528" w:rsidR="008319D9" w:rsidRDefault="008319D9">
        <w:pPr>
          <w:pStyle w:val="Header"/>
          <w:jc w:val="right"/>
        </w:pPr>
        <w:r>
          <w:fldChar w:fldCharType="begin"/>
        </w:r>
        <w:r>
          <w:instrText xml:space="preserve"> PAGE   \* MERGEFORMAT </w:instrText>
        </w:r>
        <w:r>
          <w:fldChar w:fldCharType="separate"/>
        </w:r>
        <w:r>
          <w:rPr>
            <w:noProof/>
          </w:rPr>
          <w:t>2</w:t>
        </w:r>
        <w:r>
          <w:rPr>
            <w:noProof/>
          </w:rPr>
          <w:fldChar w:fldCharType="end"/>
        </w:r>
      </w:p>
    </w:sdtContent>
  </w:sdt>
  <w:p w14:paraId="1E2B23FD" w14:textId="77777777" w:rsidR="008319D9" w:rsidRDefault="008319D9">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11407B19"/>
    <w:multiLevelType w:val="hybridMultilevel"/>
    <w:tmpl w:val="8774E026"/>
    <w:lvl w:ilvl="0" w:tplc="04090001">
      <w:start w:val="1"/>
      <w:numFmt w:val="bullet"/>
      <w:lvlText w:val=""/>
      <w:lvlJc w:val="left"/>
      <w:pPr>
        <w:ind w:left="1440" w:hanging="360"/>
      </w:pPr>
      <w:rPr>
        <w:rFonts w:ascii="Symbol" w:hAnsi="Symbol" w:hint="default"/>
      </w:rPr>
    </w:lvl>
    <w:lvl w:ilvl="1" w:tplc="04090003" w:tentative="1">
      <w:start w:val="1"/>
      <w:numFmt w:val="bullet"/>
      <w:lvlText w:val="o"/>
      <w:lvlJc w:val="left"/>
      <w:pPr>
        <w:ind w:left="2160" w:hanging="360"/>
      </w:pPr>
      <w:rPr>
        <w:rFonts w:ascii="Courier New" w:hAnsi="Courier New" w:cs="Courier New" w:hint="default"/>
      </w:rPr>
    </w:lvl>
    <w:lvl w:ilvl="2" w:tplc="04090005" w:tentative="1">
      <w:start w:val="1"/>
      <w:numFmt w:val="bullet"/>
      <w:lvlText w:val=""/>
      <w:lvlJc w:val="left"/>
      <w:pPr>
        <w:ind w:left="2880" w:hanging="360"/>
      </w:pPr>
      <w:rPr>
        <w:rFonts w:ascii="Wingdings" w:hAnsi="Wingdings" w:hint="default"/>
      </w:rPr>
    </w:lvl>
    <w:lvl w:ilvl="3" w:tplc="04090001" w:tentative="1">
      <w:start w:val="1"/>
      <w:numFmt w:val="bullet"/>
      <w:lvlText w:val=""/>
      <w:lvlJc w:val="left"/>
      <w:pPr>
        <w:ind w:left="3600" w:hanging="360"/>
      </w:pPr>
      <w:rPr>
        <w:rFonts w:ascii="Symbol" w:hAnsi="Symbol" w:hint="default"/>
      </w:rPr>
    </w:lvl>
    <w:lvl w:ilvl="4" w:tplc="04090003" w:tentative="1">
      <w:start w:val="1"/>
      <w:numFmt w:val="bullet"/>
      <w:lvlText w:val="o"/>
      <w:lvlJc w:val="left"/>
      <w:pPr>
        <w:ind w:left="4320" w:hanging="360"/>
      </w:pPr>
      <w:rPr>
        <w:rFonts w:ascii="Courier New" w:hAnsi="Courier New" w:cs="Courier New" w:hint="default"/>
      </w:rPr>
    </w:lvl>
    <w:lvl w:ilvl="5" w:tplc="04090005" w:tentative="1">
      <w:start w:val="1"/>
      <w:numFmt w:val="bullet"/>
      <w:lvlText w:val=""/>
      <w:lvlJc w:val="left"/>
      <w:pPr>
        <w:ind w:left="5040" w:hanging="360"/>
      </w:pPr>
      <w:rPr>
        <w:rFonts w:ascii="Wingdings" w:hAnsi="Wingdings" w:hint="default"/>
      </w:rPr>
    </w:lvl>
    <w:lvl w:ilvl="6" w:tplc="04090001" w:tentative="1">
      <w:start w:val="1"/>
      <w:numFmt w:val="bullet"/>
      <w:lvlText w:val=""/>
      <w:lvlJc w:val="left"/>
      <w:pPr>
        <w:ind w:left="5760" w:hanging="360"/>
      </w:pPr>
      <w:rPr>
        <w:rFonts w:ascii="Symbol" w:hAnsi="Symbol" w:hint="default"/>
      </w:rPr>
    </w:lvl>
    <w:lvl w:ilvl="7" w:tplc="04090003" w:tentative="1">
      <w:start w:val="1"/>
      <w:numFmt w:val="bullet"/>
      <w:lvlText w:val="o"/>
      <w:lvlJc w:val="left"/>
      <w:pPr>
        <w:ind w:left="6480" w:hanging="360"/>
      </w:pPr>
      <w:rPr>
        <w:rFonts w:ascii="Courier New" w:hAnsi="Courier New" w:cs="Courier New" w:hint="default"/>
      </w:rPr>
    </w:lvl>
    <w:lvl w:ilvl="8" w:tplc="04090005" w:tentative="1">
      <w:start w:val="1"/>
      <w:numFmt w:val="bullet"/>
      <w:lvlText w:val=""/>
      <w:lvlJc w:val="left"/>
      <w:pPr>
        <w:ind w:left="7200" w:hanging="360"/>
      </w:pPr>
      <w:rPr>
        <w:rFonts w:ascii="Wingdings" w:hAnsi="Wingdings" w:hint="default"/>
      </w:r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8"/>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0D55DB"/>
    <w:rsid w:val="000425A0"/>
    <w:rsid w:val="00053C63"/>
    <w:rsid w:val="000A08EF"/>
    <w:rsid w:val="000D55DB"/>
    <w:rsid w:val="000E20AF"/>
    <w:rsid w:val="001A217C"/>
    <w:rsid w:val="001E6871"/>
    <w:rsid w:val="001F5BBE"/>
    <w:rsid w:val="00234E36"/>
    <w:rsid w:val="00382763"/>
    <w:rsid w:val="00383AFC"/>
    <w:rsid w:val="00384F2F"/>
    <w:rsid w:val="00391D90"/>
    <w:rsid w:val="003A492B"/>
    <w:rsid w:val="0041176F"/>
    <w:rsid w:val="0046625E"/>
    <w:rsid w:val="005155B2"/>
    <w:rsid w:val="005229FB"/>
    <w:rsid w:val="005579BA"/>
    <w:rsid w:val="00587D05"/>
    <w:rsid w:val="005A66A0"/>
    <w:rsid w:val="005C2560"/>
    <w:rsid w:val="006963B5"/>
    <w:rsid w:val="006E316F"/>
    <w:rsid w:val="006E7CB8"/>
    <w:rsid w:val="0071109E"/>
    <w:rsid w:val="00737A7A"/>
    <w:rsid w:val="00756831"/>
    <w:rsid w:val="00792CA4"/>
    <w:rsid w:val="007B3186"/>
    <w:rsid w:val="007B5F96"/>
    <w:rsid w:val="007E663A"/>
    <w:rsid w:val="008207C7"/>
    <w:rsid w:val="008319D9"/>
    <w:rsid w:val="0084649B"/>
    <w:rsid w:val="00857160"/>
    <w:rsid w:val="008725AB"/>
    <w:rsid w:val="008A5AA0"/>
    <w:rsid w:val="009A783A"/>
    <w:rsid w:val="009C05E1"/>
    <w:rsid w:val="00A25B90"/>
    <w:rsid w:val="00A36D54"/>
    <w:rsid w:val="00A44041"/>
    <w:rsid w:val="00A61A7B"/>
    <w:rsid w:val="00A81E38"/>
    <w:rsid w:val="00AA09AB"/>
    <w:rsid w:val="00AA5B51"/>
    <w:rsid w:val="00AD37A3"/>
    <w:rsid w:val="00B147DC"/>
    <w:rsid w:val="00B52DB6"/>
    <w:rsid w:val="00BA27FD"/>
    <w:rsid w:val="00BA5038"/>
    <w:rsid w:val="00BD746C"/>
    <w:rsid w:val="00BE4D19"/>
    <w:rsid w:val="00C6350A"/>
    <w:rsid w:val="00C91A98"/>
    <w:rsid w:val="00CA3165"/>
    <w:rsid w:val="00CB54F6"/>
    <w:rsid w:val="00D37C72"/>
    <w:rsid w:val="00D457FA"/>
    <w:rsid w:val="00D7427E"/>
    <w:rsid w:val="00D930D3"/>
    <w:rsid w:val="00D95B13"/>
    <w:rsid w:val="00D96BB9"/>
    <w:rsid w:val="00DD2BDB"/>
    <w:rsid w:val="00E01E0B"/>
    <w:rsid w:val="00E10423"/>
    <w:rsid w:val="00E1263D"/>
    <w:rsid w:val="00E879B6"/>
    <w:rsid w:val="00E940C3"/>
    <w:rsid w:val="00EA22D2"/>
    <w:rsid w:val="00EB6CA3"/>
    <w:rsid w:val="00EF1F9E"/>
    <w:rsid w:val="00EF622A"/>
    <w:rsid w:val="00F5290F"/>
    <w:rsid w:val="00F80871"/>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08C590A"/>
  <w15:chartTrackingRefBased/>
  <w15:docId w15:val="{D44FE984-19EC-4AC2-AAE3-5577FDEB3B2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0"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iPriority="0"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rsid w:val="006E7CB8"/>
    <w:pPr>
      <w:spacing w:after="0" w:line="480" w:lineRule="auto"/>
    </w:pPr>
    <w:rPr>
      <w:rFonts w:ascii="Times New Roman" w:hAnsi="Times New Roman"/>
      <w:sz w:val="24"/>
      <w:lang w:val="en-GB"/>
    </w:rPr>
  </w:style>
  <w:style w:type="paragraph" w:styleId="Heading3">
    <w:name w:val="heading 3"/>
    <w:basedOn w:val="Normal"/>
    <w:link w:val="Heading3Char"/>
    <w:semiHidden/>
    <w:unhideWhenUsed/>
    <w:qFormat/>
    <w:rsid w:val="00391D90"/>
    <w:pPr>
      <w:keepNext/>
      <w:spacing w:line="240" w:lineRule="auto"/>
      <w:ind w:left="720"/>
      <w:jc w:val="both"/>
      <w:outlineLvl w:val="2"/>
    </w:pPr>
    <w:rPr>
      <w:rFonts w:ascii="Tahoma" w:eastAsia="Times New Roman" w:hAnsi="Tahoma" w:cs="Tahoma"/>
      <w:b/>
      <w:bCs/>
      <w:sz w:val="20"/>
      <w:szCs w:val="20"/>
      <w:lang w:eastAsia="zh-CN"/>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AD37A3"/>
    <w:pPr>
      <w:ind w:left="720"/>
      <w:contextualSpacing/>
    </w:pPr>
  </w:style>
  <w:style w:type="paragraph" w:styleId="BalloonText">
    <w:name w:val="Balloon Text"/>
    <w:basedOn w:val="Normal"/>
    <w:link w:val="BalloonTextChar"/>
    <w:uiPriority w:val="99"/>
    <w:semiHidden/>
    <w:unhideWhenUsed/>
    <w:rsid w:val="00EF1F9E"/>
    <w:pPr>
      <w:spacing w:line="240" w:lineRule="auto"/>
    </w:pPr>
    <w:rPr>
      <w:rFonts w:ascii="Segoe UI" w:hAnsi="Segoe UI" w:cs="Segoe UI"/>
      <w:sz w:val="18"/>
      <w:szCs w:val="18"/>
    </w:rPr>
  </w:style>
  <w:style w:type="character" w:customStyle="1" w:styleId="BalloonTextChar">
    <w:name w:val="Balloon Text Char"/>
    <w:basedOn w:val="DefaultParagraphFont"/>
    <w:link w:val="BalloonText"/>
    <w:uiPriority w:val="99"/>
    <w:semiHidden/>
    <w:rsid w:val="00EF1F9E"/>
    <w:rPr>
      <w:rFonts w:ascii="Segoe UI" w:hAnsi="Segoe UI" w:cs="Segoe UI"/>
      <w:sz w:val="18"/>
      <w:szCs w:val="18"/>
      <w:lang w:val="en-GB"/>
    </w:rPr>
  </w:style>
  <w:style w:type="character" w:customStyle="1" w:styleId="Heading3Char">
    <w:name w:val="Heading 3 Char"/>
    <w:basedOn w:val="DefaultParagraphFont"/>
    <w:link w:val="Heading3"/>
    <w:semiHidden/>
    <w:rsid w:val="00391D90"/>
    <w:rPr>
      <w:rFonts w:ascii="Tahoma" w:eastAsia="Times New Roman" w:hAnsi="Tahoma" w:cs="Tahoma"/>
      <w:b/>
      <w:bCs/>
      <w:sz w:val="20"/>
      <w:szCs w:val="20"/>
      <w:lang w:val="en-GB" w:eastAsia="zh-CN"/>
    </w:rPr>
  </w:style>
  <w:style w:type="paragraph" w:styleId="NormalWeb">
    <w:name w:val="Normal (Web)"/>
    <w:basedOn w:val="Normal"/>
    <w:semiHidden/>
    <w:unhideWhenUsed/>
    <w:rsid w:val="00391D90"/>
    <w:pPr>
      <w:spacing w:before="100" w:beforeAutospacing="1" w:after="100" w:afterAutospacing="1" w:line="240" w:lineRule="auto"/>
    </w:pPr>
    <w:rPr>
      <w:rFonts w:ascii="Georgia" w:eastAsia="SimSun" w:hAnsi="Georgia" w:cs="Times New Roman"/>
      <w:color w:val="000000"/>
      <w:sz w:val="21"/>
      <w:szCs w:val="21"/>
      <w:lang w:eastAsia="zh-CN"/>
    </w:rPr>
  </w:style>
  <w:style w:type="paragraph" w:styleId="Header">
    <w:name w:val="header"/>
    <w:basedOn w:val="Normal"/>
    <w:link w:val="HeaderChar"/>
    <w:uiPriority w:val="99"/>
    <w:unhideWhenUsed/>
    <w:rsid w:val="008319D9"/>
    <w:pPr>
      <w:tabs>
        <w:tab w:val="center" w:pos="4680"/>
        <w:tab w:val="right" w:pos="9360"/>
      </w:tabs>
      <w:spacing w:line="240" w:lineRule="auto"/>
    </w:pPr>
  </w:style>
  <w:style w:type="character" w:customStyle="1" w:styleId="HeaderChar">
    <w:name w:val="Header Char"/>
    <w:basedOn w:val="DefaultParagraphFont"/>
    <w:link w:val="Header"/>
    <w:uiPriority w:val="99"/>
    <w:rsid w:val="008319D9"/>
    <w:rPr>
      <w:rFonts w:ascii="Times New Roman" w:hAnsi="Times New Roman"/>
      <w:sz w:val="24"/>
      <w:lang w:val="en-GB"/>
    </w:rPr>
  </w:style>
  <w:style w:type="paragraph" w:styleId="Footer">
    <w:name w:val="footer"/>
    <w:basedOn w:val="Normal"/>
    <w:link w:val="FooterChar"/>
    <w:uiPriority w:val="99"/>
    <w:unhideWhenUsed/>
    <w:rsid w:val="008319D9"/>
    <w:pPr>
      <w:tabs>
        <w:tab w:val="center" w:pos="4680"/>
        <w:tab w:val="right" w:pos="9360"/>
      </w:tabs>
      <w:spacing w:line="240" w:lineRule="auto"/>
    </w:pPr>
  </w:style>
  <w:style w:type="character" w:customStyle="1" w:styleId="FooterChar">
    <w:name w:val="Footer Char"/>
    <w:basedOn w:val="DefaultParagraphFont"/>
    <w:link w:val="Footer"/>
    <w:uiPriority w:val="99"/>
    <w:rsid w:val="008319D9"/>
    <w:rPr>
      <w:rFonts w:ascii="Times New Roman" w:hAnsi="Times New Roman"/>
      <w:sz w:val="24"/>
      <w:lang w:val="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1465199073">
      <w:bodyDiv w:val="1"/>
      <w:marLeft w:val="0"/>
      <w:marRight w:val="0"/>
      <w:marTop w:val="0"/>
      <w:marBottom w:val="0"/>
      <w:divBdr>
        <w:top w:val="none" w:sz="0" w:space="0" w:color="auto"/>
        <w:left w:val="none" w:sz="0" w:space="0" w:color="auto"/>
        <w:bottom w:val="none" w:sz="0" w:space="0" w:color="auto"/>
        <w:right w:val="none" w:sz="0" w:space="0" w:color="auto"/>
      </w:divBdr>
    </w:div>
    <w:div w:id="1881671091">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2.png"/><Relationship Id="rId3" Type="http://schemas.openxmlformats.org/officeDocument/2006/relationships/settings" Target="settings.xml"/><Relationship Id="rId7" Type="http://schemas.openxmlformats.org/officeDocument/2006/relationships/image" Target="media/image1.jpeg"/><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theme" Target="theme/theme1.xml"/><Relationship Id="rId5" Type="http://schemas.openxmlformats.org/officeDocument/2006/relationships/footnotes" Target="footnotes.xml"/><Relationship Id="rId10" Type="http://schemas.openxmlformats.org/officeDocument/2006/relationships/fontTable" Target="fontTable.xml"/><Relationship Id="rId4" Type="http://schemas.openxmlformats.org/officeDocument/2006/relationships/webSettings" Target="webSettings.xml"/><Relationship Id="rId9" Type="http://schemas.openxmlformats.org/officeDocument/2006/relationships/header" Target="head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708</TotalTime>
  <Pages>12</Pages>
  <Words>2007</Words>
  <Characters>11445</Characters>
  <Application>Microsoft Office Word</Application>
  <DocSecurity>0</DocSecurity>
  <Lines>95</Lines>
  <Paragraphs>26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13426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Marah Hager</dc:creator>
  <cp:keywords/>
  <dc:description/>
  <cp:lastModifiedBy>Marah Hager</cp:lastModifiedBy>
  <cp:revision>47</cp:revision>
  <cp:lastPrinted>2019-03-30T20:30:00Z</cp:lastPrinted>
  <dcterms:created xsi:type="dcterms:W3CDTF">2019-03-26T19:53:00Z</dcterms:created>
  <dcterms:modified xsi:type="dcterms:W3CDTF">2019-03-31T02:23:00Z</dcterms:modified>
</cp:coreProperties>
</file>