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A68DDDA" w14:textId="26367060" w:rsidR="009714F5" w:rsidRPr="00B41829" w:rsidRDefault="00B41829" w:rsidP="00AD57F4">
      <w:pPr>
        <w:rPr>
          <w:b/>
          <w:bCs/>
        </w:rPr>
      </w:pPr>
      <w:r>
        <w:rPr>
          <w:b/>
          <w:bCs/>
          <w:noProof/>
          <w:lang w:eastAsia="en-GB"/>
        </w:rPr>
        <w:drawing>
          <wp:inline distT="0" distB="0" distL="0" distR="0" wp14:anchorId="394464FB" wp14:editId="1FB60DA7">
            <wp:extent cx="5731510" cy="2393950"/>
            <wp:effectExtent l="0" t="0" r="889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50B00C7-6D28-4675-BBCC5435147EF6A2_carouselimage.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2393950"/>
                    </a:xfrm>
                    <a:prstGeom prst="rect">
                      <a:avLst/>
                    </a:prstGeom>
                  </pic:spPr>
                </pic:pic>
              </a:graphicData>
            </a:graphic>
          </wp:inline>
        </w:drawing>
      </w:r>
    </w:p>
    <w:p w14:paraId="5E58901C" w14:textId="1181C8E7" w:rsidR="00F272D9" w:rsidRDefault="00544787" w:rsidP="00B41829">
      <w:pPr>
        <w:jc w:val="center"/>
        <w:rPr>
          <w:b/>
          <w:bCs/>
          <w:sz w:val="28"/>
          <w:szCs w:val="28"/>
        </w:rPr>
      </w:pPr>
      <w:r w:rsidRPr="009714F5">
        <w:rPr>
          <w:b/>
          <w:bCs/>
          <w:sz w:val="28"/>
          <w:szCs w:val="28"/>
        </w:rPr>
        <w:t>Marketing Environment Analysis: Technological and Environmental Factors in the Electric Vehicle Industry</w:t>
      </w:r>
      <w:r w:rsidR="009714F5">
        <w:rPr>
          <w:b/>
          <w:bCs/>
          <w:sz w:val="28"/>
          <w:szCs w:val="28"/>
        </w:rPr>
        <w:t>.</w:t>
      </w:r>
    </w:p>
    <w:p w14:paraId="6115CBC6" w14:textId="77777777" w:rsidR="00F272D9" w:rsidRDefault="00F272D9" w:rsidP="009714F5">
      <w:pPr>
        <w:jc w:val="center"/>
        <w:rPr>
          <w:b/>
          <w:bCs/>
          <w:sz w:val="28"/>
          <w:szCs w:val="28"/>
        </w:rPr>
      </w:pPr>
    </w:p>
    <w:p w14:paraId="21C963F9" w14:textId="7592649F" w:rsidR="009714F5" w:rsidRPr="00F272D9" w:rsidRDefault="00F70B86" w:rsidP="009714F5">
      <w:pPr>
        <w:jc w:val="center"/>
        <w:rPr>
          <w:b/>
          <w:bCs/>
        </w:rPr>
      </w:pPr>
      <w:r w:rsidRPr="00F272D9">
        <w:rPr>
          <w:b/>
          <w:bCs/>
        </w:rPr>
        <w:t>Module: Marketing Management</w:t>
      </w:r>
    </w:p>
    <w:p w14:paraId="7F78A126" w14:textId="3AB03974" w:rsidR="009714F5" w:rsidRPr="00F272D9" w:rsidRDefault="004016CA" w:rsidP="009714F5">
      <w:pPr>
        <w:jc w:val="center"/>
        <w:rPr>
          <w:b/>
          <w:bCs/>
        </w:rPr>
      </w:pPr>
      <w:r w:rsidRPr="00F272D9">
        <w:rPr>
          <w:b/>
          <w:bCs/>
        </w:rPr>
        <w:t>Module Code: LCMB7024</w:t>
      </w:r>
    </w:p>
    <w:p w14:paraId="7CCE3AEA" w14:textId="1F393525" w:rsidR="009714F5" w:rsidRPr="00F272D9" w:rsidRDefault="004016CA" w:rsidP="009714F5">
      <w:pPr>
        <w:jc w:val="center"/>
        <w:rPr>
          <w:b/>
          <w:bCs/>
        </w:rPr>
      </w:pPr>
      <w:r w:rsidRPr="00F272D9">
        <w:rPr>
          <w:b/>
          <w:bCs/>
        </w:rPr>
        <w:t xml:space="preserve">Lecturer: Dian </w:t>
      </w:r>
      <w:proofErr w:type="spellStart"/>
      <w:r w:rsidRPr="00F272D9">
        <w:rPr>
          <w:b/>
          <w:bCs/>
        </w:rPr>
        <w:t>Mayasari</w:t>
      </w:r>
      <w:proofErr w:type="spellEnd"/>
      <w:r w:rsidRPr="00F272D9">
        <w:rPr>
          <w:b/>
          <w:bCs/>
        </w:rPr>
        <w:t xml:space="preserve"> (Birmingham)</w:t>
      </w:r>
    </w:p>
    <w:p w14:paraId="203C5E0F" w14:textId="709E2B5E" w:rsidR="009714F5" w:rsidRPr="00F272D9" w:rsidRDefault="00F272D9" w:rsidP="009714F5">
      <w:pPr>
        <w:jc w:val="center"/>
        <w:rPr>
          <w:b/>
          <w:bCs/>
        </w:rPr>
      </w:pPr>
      <w:r w:rsidRPr="00F272D9">
        <w:rPr>
          <w:b/>
          <w:bCs/>
        </w:rPr>
        <w:t>Programme: Master of Business Administration</w:t>
      </w:r>
    </w:p>
    <w:p w14:paraId="2EF88A32" w14:textId="77777777" w:rsidR="009714F5" w:rsidRDefault="009714F5" w:rsidP="009714F5">
      <w:pPr>
        <w:jc w:val="center"/>
        <w:rPr>
          <w:b/>
          <w:bCs/>
          <w:sz w:val="28"/>
          <w:szCs w:val="28"/>
        </w:rPr>
      </w:pPr>
    </w:p>
    <w:p w14:paraId="0D72FDFF" w14:textId="3B209D0A" w:rsidR="00CC7837" w:rsidRPr="001849F3" w:rsidRDefault="00617A34" w:rsidP="009714F5">
      <w:pPr>
        <w:jc w:val="center"/>
        <w:rPr>
          <w:b/>
          <w:bCs/>
        </w:rPr>
      </w:pPr>
      <w:r w:rsidRPr="001849F3">
        <w:rPr>
          <w:b/>
          <w:bCs/>
        </w:rPr>
        <w:t>Word Count: 2749</w:t>
      </w:r>
    </w:p>
    <w:p w14:paraId="4A147AB8" w14:textId="77777777" w:rsidR="009714F5" w:rsidRDefault="009714F5" w:rsidP="00AD57F4">
      <w:pPr>
        <w:rPr>
          <w:b/>
          <w:bCs/>
          <w:sz w:val="28"/>
          <w:szCs w:val="28"/>
        </w:rPr>
      </w:pPr>
    </w:p>
    <w:p w14:paraId="18ADDB03" w14:textId="04C7FF77" w:rsidR="004016CA" w:rsidRDefault="004016CA" w:rsidP="004016CA">
      <w:pPr>
        <w:spacing w:after="160" w:line="278" w:lineRule="auto"/>
        <w:jc w:val="center"/>
        <w:rPr>
          <w:b/>
          <w:bCs/>
        </w:rPr>
      </w:pPr>
      <w:r w:rsidRPr="00F272D9">
        <w:rPr>
          <w:b/>
          <w:bCs/>
        </w:rPr>
        <w:t xml:space="preserve">Student Name: </w:t>
      </w:r>
      <w:proofErr w:type="spellStart"/>
      <w:r w:rsidR="00A219E4">
        <w:rPr>
          <w:b/>
          <w:bCs/>
        </w:rPr>
        <w:t>Alima</w:t>
      </w:r>
      <w:proofErr w:type="spellEnd"/>
      <w:r w:rsidR="00A219E4">
        <w:rPr>
          <w:b/>
          <w:bCs/>
        </w:rPr>
        <w:t xml:space="preserve"> </w:t>
      </w:r>
      <w:proofErr w:type="spellStart"/>
      <w:r w:rsidR="00A219E4">
        <w:rPr>
          <w:b/>
          <w:bCs/>
        </w:rPr>
        <w:t>Niva</w:t>
      </w:r>
      <w:proofErr w:type="spellEnd"/>
      <w:r w:rsidRPr="00F272D9">
        <w:rPr>
          <w:b/>
          <w:bCs/>
        </w:rPr>
        <w:br/>
        <w:t xml:space="preserve">Student ID: </w:t>
      </w:r>
      <w:r w:rsidR="00A219E4">
        <w:rPr>
          <w:b/>
          <w:bCs/>
        </w:rPr>
        <w:t>2431109</w:t>
      </w:r>
    </w:p>
    <w:p w14:paraId="3B04F7F8" w14:textId="77777777" w:rsidR="00B41829" w:rsidRPr="00F272D9" w:rsidRDefault="00B41829" w:rsidP="004016CA">
      <w:pPr>
        <w:spacing w:after="160" w:line="278" w:lineRule="auto"/>
        <w:jc w:val="center"/>
        <w:rPr>
          <w:b/>
          <w:bCs/>
        </w:rPr>
      </w:pPr>
    </w:p>
    <w:p w14:paraId="1ED8BCF2" w14:textId="5F7DDDF7" w:rsidR="009714F5" w:rsidRDefault="004016CA" w:rsidP="004016CA">
      <w:pPr>
        <w:spacing w:after="160" w:line="278" w:lineRule="auto"/>
        <w:jc w:val="center"/>
      </w:pPr>
      <w:r w:rsidRPr="00F272D9">
        <w:rPr>
          <w:b/>
          <w:bCs/>
        </w:rPr>
        <w:t>Submission Date:</w:t>
      </w:r>
      <w:r w:rsidRPr="00F272D9">
        <w:t xml:space="preserve"> 24 October 2025</w:t>
      </w:r>
      <w:bookmarkStart w:id="0" w:name="_GoBack"/>
      <w:bookmarkEnd w:id="0"/>
      <w:r w:rsidR="009714F5">
        <w:br w:type="page"/>
      </w:r>
    </w:p>
    <w:sdt>
      <w:sdtPr>
        <w:rPr>
          <w:rFonts w:ascii="Times New Roman" w:eastAsiaTheme="minorEastAsia" w:hAnsi="Times New Roman" w:cstheme="minorBidi"/>
          <w:color w:val="auto"/>
          <w:kern w:val="2"/>
          <w:sz w:val="24"/>
          <w:szCs w:val="24"/>
          <w:lang w:val="en-GB" w:eastAsia="zh-CN"/>
          <w14:ligatures w14:val="standardContextual"/>
        </w:rPr>
        <w:id w:val="-1700456203"/>
        <w:docPartObj>
          <w:docPartGallery w:val="Table of Contents"/>
          <w:docPartUnique/>
        </w:docPartObj>
      </w:sdtPr>
      <w:sdtEndPr>
        <w:rPr>
          <w:b/>
          <w:bCs/>
          <w:noProof/>
        </w:rPr>
      </w:sdtEndPr>
      <w:sdtContent>
        <w:p w14:paraId="335969BD" w14:textId="742BBF35" w:rsidR="00A82A8E" w:rsidRPr="0077195E" w:rsidRDefault="00A82A8E" w:rsidP="0077195E">
          <w:pPr>
            <w:pStyle w:val="TOCHeading"/>
            <w:jc w:val="center"/>
            <w:rPr>
              <w:rFonts w:ascii="Times New Roman" w:hAnsi="Times New Roman" w:cs="Times New Roman"/>
              <w:b/>
              <w:bCs/>
              <w:color w:val="000000" w:themeColor="text1"/>
            </w:rPr>
          </w:pPr>
          <w:r w:rsidRPr="0077195E">
            <w:rPr>
              <w:rFonts w:ascii="Times New Roman" w:hAnsi="Times New Roman" w:cs="Times New Roman"/>
              <w:b/>
              <w:bCs/>
              <w:color w:val="000000" w:themeColor="text1"/>
            </w:rPr>
            <w:t>Table of Contents</w:t>
          </w:r>
        </w:p>
        <w:p w14:paraId="3AABDF8B" w14:textId="6F1E0EA0" w:rsidR="00CA2210" w:rsidRDefault="00A82A8E">
          <w:pPr>
            <w:pStyle w:val="TOC1"/>
            <w:tabs>
              <w:tab w:val="right" w:leader="dot" w:pos="9016"/>
            </w:tabs>
            <w:rPr>
              <w:rFonts w:asciiTheme="minorHAnsi" w:hAnsiTheme="minorHAnsi"/>
              <w:noProof/>
            </w:rPr>
          </w:pPr>
          <w:r>
            <w:fldChar w:fldCharType="begin"/>
          </w:r>
          <w:r>
            <w:instrText xml:space="preserve"> TOC \o "1-3" \h \z \u </w:instrText>
          </w:r>
          <w:r>
            <w:fldChar w:fldCharType="separate"/>
          </w:r>
          <w:hyperlink w:anchor="_Toc212193693" w:history="1">
            <w:r w:rsidR="00CA2210" w:rsidRPr="00A12E2F">
              <w:rPr>
                <w:rStyle w:val="Hyperlink"/>
                <w:noProof/>
              </w:rPr>
              <w:t>1. Introduction</w:t>
            </w:r>
            <w:r w:rsidR="00CA2210">
              <w:rPr>
                <w:noProof/>
                <w:webHidden/>
              </w:rPr>
              <w:tab/>
            </w:r>
            <w:r w:rsidR="00CA2210">
              <w:rPr>
                <w:noProof/>
                <w:webHidden/>
              </w:rPr>
              <w:fldChar w:fldCharType="begin"/>
            </w:r>
            <w:r w:rsidR="00CA2210">
              <w:rPr>
                <w:noProof/>
                <w:webHidden/>
              </w:rPr>
              <w:instrText xml:space="preserve"> PAGEREF _Toc212193693 \h </w:instrText>
            </w:r>
            <w:r w:rsidR="00CA2210">
              <w:rPr>
                <w:noProof/>
                <w:webHidden/>
              </w:rPr>
            </w:r>
            <w:r w:rsidR="00CA2210">
              <w:rPr>
                <w:noProof/>
                <w:webHidden/>
              </w:rPr>
              <w:fldChar w:fldCharType="separate"/>
            </w:r>
            <w:r w:rsidR="00CA2210">
              <w:rPr>
                <w:noProof/>
                <w:webHidden/>
              </w:rPr>
              <w:t>3</w:t>
            </w:r>
            <w:r w:rsidR="00CA2210">
              <w:rPr>
                <w:noProof/>
                <w:webHidden/>
              </w:rPr>
              <w:fldChar w:fldCharType="end"/>
            </w:r>
          </w:hyperlink>
        </w:p>
        <w:p w14:paraId="6EABA8CA" w14:textId="50BF2FDF" w:rsidR="00CA2210" w:rsidRDefault="002B64DF">
          <w:pPr>
            <w:pStyle w:val="TOC1"/>
            <w:tabs>
              <w:tab w:val="right" w:leader="dot" w:pos="9016"/>
            </w:tabs>
            <w:rPr>
              <w:rFonts w:asciiTheme="minorHAnsi" w:hAnsiTheme="minorHAnsi"/>
              <w:noProof/>
            </w:rPr>
          </w:pPr>
          <w:hyperlink w:anchor="_Toc212193694" w:history="1">
            <w:r w:rsidR="00CA2210" w:rsidRPr="00A12E2F">
              <w:rPr>
                <w:rStyle w:val="Hyperlink"/>
                <w:noProof/>
              </w:rPr>
              <w:t>2. Theoretical Framework</w:t>
            </w:r>
            <w:r w:rsidR="00CA2210">
              <w:rPr>
                <w:noProof/>
                <w:webHidden/>
              </w:rPr>
              <w:tab/>
            </w:r>
            <w:r w:rsidR="00CA2210">
              <w:rPr>
                <w:noProof/>
                <w:webHidden/>
              </w:rPr>
              <w:fldChar w:fldCharType="begin"/>
            </w:r>
            <w:r w:rsidR="00CA2210">
              <w:rPr>
                <w:noProof/>
                <w:webHidden/>
              </w:rPr>
              <w:instrText xml:space="preserve"> PAGEREF _Toc212193694 \h </w:instrText>
            </w:r>
            <w:r w:rsidR="00CA2210">
              <w:rPr>
                <w:noProof/>
                <w:webHidden/>
              </w:rPr>
            </w:r>
            <w:r w:rsidR="00CA2210">
              <w:rPr>
                <w:noProof/>
                <w:webHidden/>
              </w:rPr>
              <w:fldChar w:fldCharType="separate"/>
            </w:r>
            <w:r w:rsidR="00CA2210">
              <w:rPr>
                <w:noProof/>
                <w:webHidden/>
              </w:rPr>
              <w:t>4</w:t>
            </w:r>
            <w:r w:rsidR="00CA2210">
              <w:rPr>
                <w:noProof/>
                <w:webHidden/>
              </w:rPr>
              <w:fldChar w:fldCharType="end"/>
            </w:r>
          </w:hyperlink>
        </w:p>
        <w:p w14:paraId="4A7750A8" w14:textId="77F9BFCF" w:rsidR="00CA2210" w:rsidRDefault="002B64DF">
          <w:pPr>
            <w:pStyle w:val="TOC2"/>
            <w:tabs>
              <w:tab w:val="right" w:leader="dot" w:pos="9016"/>
            </w:tabs>
            <w:rPr>
              <w:rFonts w:asciiTheme="minorHAnsi" w:hAnsiTheme="minorHAnsi"/>
              <w:noProof/>
            </w:rPr>
          </w:pPr>
          <w:hyperlink w:anchor="_Toc212193695" w:history="1">
            <w:r w:rsidR="00CA2210" w:rsidRPr="00A12E2F">
              <w:rPr>
                <w:rStyle w:val="Hyperlink"/>
                <w:noProof/>
              </w:rPr>
              <w:t>2.1 Understanding the Marketing Environment</w:t>
            </w:r>
            <w:r w:rsidR="00CA2210">
              <w:rPr>
                <w:noProof/>
                <w:webHidden/>
              </w:rPr>
              <w:tab/>
            </w:r>
            <w:r w:rsidR="00CA2210">
              <w:rPr>
                <w:noProof/>
                <w:webHidden/>
              </w:rPr>
              <w:fldChar w:fldCharType="begin"/>
            </w:r>
            <w:r w:rsidR="00CA2210">
              <w:rPr>
                <w:noProof/>
                <w:webHidden/>
              </w:rPr>
              <w:instrText xml:space="preserve"> PAGEREF _Toc212193695 \h </w:instrText>
            </w:r>
            <w:r w:rsidR="00CA2210">
              <w:rPr>
                <w:noProof/>
                <w:webHidden/>
              </w:rPr>
            </w:r>
            <w:r w:rsidR="00CA2210">
              <w:rPr>
                <w:noProof/>
                <w:webHidden/>
              </w:rPr>
              <w:fldChar w:fldCharType="separate"/>
            </w:r>
            <w:r w:rsidR="00CA2210">
              <w:rPr>
                <w:noProof/>
                <w:webHidden/>
              </w:rPr>
              <w:t>4</w:t>
            </w:r>
            <w:r w:rsidR="00CA2210">
              <w:rPr>
                <w:noProof/>
                <w:webHidden/>
              </w:rPr>
              <w:fldChar w:fldCharType="end"/>
            </w:r>
          </w:hyperlink>
        </w:p>
        <w:p w14:paraId="5E5E1FDC" w14:textId="18FD88A6" w:rsidR="00CA2210" w:rsidRDefault="002B64DF">
          <w:pPr>
            <w:pStyle w:val="TOC2"/>
            <w:tabs>
              <w:tab w:val="right" w:leader="dot" w:pos="9016"/>
            </w:tabs>
            <w:rPr>
              <w:rFonts w:asciiTheme="minorHAnsi" w:hAnsiTheme="minorHAnsi"/>
              <w:noProof/>
            </w:rPr>
          </w:pPr>
          <w:hyperlink w:anchor="_Toc212193696" w:history="1">
            <w:r w:rsidR="00CA2210" w:rsidRPr="00A12E2F">
              <w:rPr>
                <w:rStyle w:val="Hyperlink"/>
                <w:noProof/>
              </w:rPr>
              <w:t>2.2 Pioneer and Follower Strategy</w:t>
            </w:r>
            <w:r w:rsidR="00CA2210">
              <w:rPr>
                <w:noProof/>
                <w:webHidden/>
              </w:rPr>
              <w:tab/>
            </w:r>
            <w:r w:rsidR="00CA2210">
              <w:rPr>
                <w:noProof/>
                <w:webHidden/>
              </w:rPr>
              <w:fldChar w:fldCharType="begin"/>
            </w:r>
            <w:r w:rsidR="00CA2210">
              <w:rPr>
                <w:noProof/>
                <w:webHidden/>
              </w:rPr>
              <w:instrText xml:space="preserve"> PAGEREF _Toc212193696 \h </w:instrText>
            </w:r>
            <w:r w:rsidR="00CA2210">
              <w:rPr>
                <w:noProof/>
                <w:webHidden/>
              </w:rPr>
            </w:r>
            <w:r w:rsidR="00CA2210">
              <w:rPr>
                <w:noProof/>
                <w:webHidden/>
              </w:rPr>
              <w:fldChar w:fldCharType="separate"/>
            </w:r>
            <w:r w:rsidR="00CA2210">
              <w:rPr>
                <w:noProof/>
                <w:webHidden/>
              </w:rPr>
              <w:t>4</w:t>
            </w:r>
            <w:r w:rsidR="00CA2210">
              <w:rPr>
                <w:noProof/>
                <w:webHidden/>
              </w:rPr>
              <w:fldChar w:fldCharType="end"/>
            </w:r>
          </w:hyperlink>
        </w:p>
        <w:p w14:paraId="5BF92B2A" w14:textId="545C6850" w:rsidR="00CA2210" w:rsidRDefault="002B64DF">
          <w:pPr>
            <w:pStyle w:val="TOC2"/>
            <w:tabs>
              <w:tab w:val="right" w:leader="dot" w:pos="9016"/>
            </w:tabs>
            <w:rPr>
              <w:rFonts w:asciiTheme="minorHAnsi" w:hAnsiTheme="minorHAnsi"/>
              <w:noProof/>
            </w:rPr>
          </w:pPr>
          <w:hyperlink w:anchor="_Toc212193697" w:history="1">
            <w:r w:rsidR="00CA2210" w:rsidRPr="00A12E2F">
              <w:rPr>
                <w:rStyle w:val="Hyperlink"/>
                <w:noProof/>
              </w:rPr>
              <w:t>2.3 Strategic Marketing Frameworks</w:t>
            </w:r>
            <w:r w:rsidR="00CA2210">
              <w:rPr>
                <w:noProof/>
                <w:webHidden/>
              </w:rPr>
              <w:tab/>
            </w:r>
            <w:r w:rsidR="00CA2210">
              <w:rPr>
                <w:noProof/>
                <w:webHidden/>
              </w:rPr>
              <w:fldChar w:fldCharType="begin"/>
            </w:r>
            <w:r w:rsidR="00CA2210">
              <w:rPr>
                <w:noProof/>
                <w:webHidden/>
              </w:rPr>
              <w:instrText xml:space="preserve"> PAGEREF _Toc212193697 \h </w:instrText>
            </w:r>
            <w:r w:rsidR="00CA2210">
              <w:rPr>
                <w:noProof/>
                <w:webHidden/>
              </w:rPr>
            </w:r>
            <w:r w:rsidR="00CA2210">
              <w:rPr>
                <w:noProof/>
                <w:webHidden/>
              </w:rPr>
              <w:fldChar w:fldCharType="separate"/>
            </w:r>
            <w:r w:rsidR="00CA2210">
              <w:rPr>
                <w:noProof/>
                <w:webHidden/>
              </w:rPr>
              <w:t>4</w:t>
            </w:r>
            <w:r w:rsidR="00CA2210">
              <w:rPr>
                <w:noProof/>
                <w:webHidden/>
              </w:rPr>
              <w:fldChar w:fldCharType="end"/>
            </w:r>
          </w:hyperlink>
        </w:p>
        <w:p w14:paraId="00F9C7D9" w14:textId="31E4235B" w:rsidR="00CA2210" w:rsidRDefault="002B64DF">
          <w:pPr>
            <w:pStyle w:val="TOC1"/>
            <w:tabs>
              <w:tab w:val="right" w:leader="dot" w:pos="9016"/>
            </w:tabs>
            <w:rPr>
              <w:rFonts w:asciiTheme="minorHAnsi" w:hAnsiTheme="minorHAnsi"/>
              <w:noProof/>
            </w:rPr>
          </w:pPr>
          <w:hyperlink w:anchor="_Toc212193698" w:history="1">
            <w:r w:rsidR="00CA2210" w:rsidRPr="00A12E2F">
              <w:rPr>
                <w:rStyle w:val="Hyperlink"/>
                <w:noProof/>
              </w:rPr>
              <w:t>3. Task 1: Analysis of Technological and Environmental Factors</w:t>
            </w:r>
            <w:r w:rsidR="00CA2210">
              <w:rPr>
                <w:noProof/>
                <w:webHidden/>
              </w:rPr>
              <w:tab/>
            </w:r>
            <w:r w:rsidR="00CA2210">
              <w:rPr>
                <w:noProof/>
                <w:webHidden/>
              </w:rPr>
              <w:fldChar w:fldCharType="begin"/>
            </w:r>
            <w:r w:rsidR="00CA2210">
              <w:rPr>
                <w:noProof/>
                <w:webHidden/>
              </w:rPr>
              <w:instrText xml:space="preserve"> PAGEREF _Toc212193698 \h </w:instrText>
            </w:r>
            <w:r w:rsidR="00CA2210">
              <w:rPr>
                <w:noProof/>
                <w:webHidden/>
              </w:rPr>
            </w:r>
            <w:r w:rsidR="00CA2210">
              <w:rPr>
                <w:noProof/>
                <w:webHidden/>
              </w:rPr>
              <w:fldChar w:fldCharType="separate"/>
            </w:r>
            <w:r w:rsidR="00CA2210">
              <w:rPr>
                <w:noProof/>
                <w:webHidden/>
              </w:rPr>
              <w:t>5</w:t>
            </w:r>
            <w:r w:rsidR="00CA2210">
              <w:rPr>
                <w:noProof/>
                <w:webHidden/>
              </w:rPr>
              <w:fldChar w:fldCharType="end"/>
            </w:r>
          </w:hyperlink>
        </w:p>
        <w:p w14:paraId="09747E4B" w14:textId="1846DA93" w:rsidR="00CA2210" w:rsidRDefault="002B64DF">
          <w:pPr>
            <w:pStyle w:val="TOC2"/>
            <w:tabs>
              <w:tab w:val="right" w:leader="dot" w:pos="9016"/>
            </w:tabs>
            <w:rPr>
              <w:rFonts w:asciiTheme="minorHAnsi" w:hAnsiTheme="minorHAnsi"/>
              <w:noProof/>
            </w:rPr>
          </w:pPr>
          <w:hyperlink w:anchor="_Toc212193699" w:history="1">
            <w:r w:rsidR="00CA2210" w:rsidRPr="00A12E2F">
              <w:rPr>
                <w:rStyle w:val="Hyperlink"/>
                <w:noProof/>
              </w:rPr>
              <w:t>3.1 Technological Factors</w:t>
            </w:r>
            <w:r w:rsidR="00CA2210">
              <w:rPr>
                <w:noProof/>
                <w:webHidden/>
              </w:rPr>
              <w:tab/>
            </w:r>
            <w:r w:rsidR="00CA2210">
              <w:rPr>
                <w:noProof/>
                <w:webHidden/>
              </w:rPr>
              <w:fldChar w:fldCharType="begin"/>
            </w:r>
            <w:r w:rsidR="00CA2210">
              <w:rPr>
                <w:noProof/>
                <w:webHidden/>
              </w:rPr>
              <w:instrText xml:space="preserve"> PAGEREF _Toc212193699 \h </w:instrText>
            </w:r>
            <w:r w:rsidR="00CA2210">
              <w:rPr>
                <w:noProof/>
                <w:webHidden/>
              </w:rPr>
            </w:r>
            <w:r w:rsidR="00CA2210">
              <w:rPr>
                <w:noProof/>
                <w:webHidden/>
              </w:rPr>
              <w:fldChar w:fldCharType="separate"/>
            </w:r>
            <w:r w:rsidR="00CA2210">
              <w:rPr>
                <w:noProof/>
                <w:webHidden/>
              </w:rPr>
              <w:t>5</w:t>
            </w:r>
            <w:r w:rsidR="00CA2210">
              <w:rPr>
                <w:noProof/>
                <w:webHidden/>
              </w:rPr>
              <w:fldChar w:fldCharType="end"/>
            </w:r>
          </w:hyperlink>
        </w:p>
        <w:p w14:paraId="551DA809" w14:textId="2653DEDF" w:rsidR="00CA2210" w:rsidRDefault="002B64DF">
          <w:pPr>
            <w:pStyle w:val="TOC3"/>
            <w:tabs>
              <w:tab w:val="right" w:leader="dot" w:pos="9016"/>
            </w:tabs>
            <w:rPr>
              <w:rFonts w:asciiTheme="minorHAnsi" w:hAnsiTheme="minorHAnsi"/>
              <w:noProof/>
            </w:rPr>
          </w:pPr>
          <w:hyperlink w:anchor="_Toc212193700" w:history="1">
            <w:r w:rsidR="00CA2210" w:rsidRPr="00A12E2F">
              <w:rPr>
                <w:rStyle w:val="Hyperlink"/>
                <w:noProof/>
              </w:rPr>
              <w:t>3.1.1 Global Technological Transformation in the EV Sector</w:t>
            </w:r>
            <w:r w:rsidR="00CA2210">
              <w:rPr>
                <w:noProof/>
                <w:webHidden/>
              </w:rPr>
              <w:tab/>
            </w:r>
            <w:r w:rsidR="00CA2210">
              <w:rPr>
                <w:noProof/>
                <w:webHidden/>
              </w:rPr>
              <w:fldChar w:fldCharType="begin"/>
            </w:r>
            <w:r w:rsidR="00CA2210">
              <w:rPr>
                <w:noProof/>
                <w:webHidden/>
              </w:rPr>
              <w:instrText xml:space="preserve"> PAGEREF _Toc212193700 \h </w:instrText>
            </w:r>
            <w:r w:rsidR="00CA2210">
              <w:rPr>
                <w:noProof/>
                <w:webHidden/>
              </w:rPr>
            </w:r>
            <w:r w:rsidR="00CA2210">
              <w:rPr>
                <w:noProof/>
                <w:webHidden/>
              </w:rPr>
              <w:fldChar w:fldCharType="separate"/>
            </w:r>
            <w:r w:rsidR="00CA2210">
              <w:rPr>
                <w:noProof/>
                <w:webHidden/>
              </w:rPr>
              <w:t>5</w:t>
            </w:r>
            <w:r w:rsidR="00CA2210">
              <w:rPr>
                <w:noProof/>
                <w:webHidden/>
              </w:rPr>
              <w:fldChar w:fldCharType="end"/>
            </w:r>
          </w:hyperlink>
        </w:p>
        <w:p w14:paraId="6DC44DBA" w14:textId="7DB1006A" w:rsidR="00CA2210" w:rsidRDefault="002B64DF">
          <w:pPr>
            <w:pStyle w:val="TOC3"/>
            <w:tabs>
              <w:tab w:val="right" w:leader="dot" w:pos="9016"/>
            </w:tabs>
            <w:rPr>
              <w:rFonts w:asciiTheme="minorHAnsi" w:hAnsiTheme="minorHAnsi"/>
              <w:noProof/>
            </w:rPr>
          </w:pPr>
          <w:hyperlink w:anchor="_Toc212193701" w:history="1">
            <w:r w:rsidR="00CA2210" w:rsidRPr="00A12E2F">
              <w:rPr>
                <w:rStyle w:val="Hyperlink"/>
                <w:noProof/>
              </w:rPr>
              <w:t>3.1.2 Opportunities and Threats for Pioneers (Tesla)</w:t>
            </w:r>
            <w:r w:rsidR="00CA2210">
              <w:rPr>
                <w:noProof/>
                <w:webHidden/>
              </w:rPr>
              <w:tab/>
            </w:r>
            <w:r w:rsidR="00CA2210">
              <w:rPr>
                <w:noProof/>
                <w:webHidden/>
              </w:rPr>
              <w:fldChar w:fldCharType="begin"/>
            </w:r>
            <w:r w:rsidR="00CA2210">
              <w:rPr>
                <w:noProof/>
                <w:webHidden/>
              </w:rPr>
              <w:instrText xml:space="preserve"> PAGEREF _Toc212193701 \h </w:instrText>
            </w:r>
            <w:r w:rsidR="00CA2210">
              <w:rPr>
                <w:noProof/>
                <w:webHidden/>
              </w:rPr>
            </w:r>
            <w:r w:rsidR="00CA2210">
              <w:rPr>
                <w:noProof/>
                <w:webHidden/>
              </w:rPr>
              <w:fldChar w:fldCharType="separate"/>
            </w:r>
            <w:r w:rsidR="00CA2210">
              <w:rPr>
                <w:noProof/>
                <w:webHidden/>
              </w:rPr>
              <w:t>5</w:t>
            </w:r>
            <w:r w:rsidR="00CA2210">
              <w:rPr>
                <w:noProof/>
                <w:webHidden/>
              </w:rPr>
              <w:fldChar w:fldCharType="end"/>
            </w:r>
          </w:hyperlink>
        </w:p>
        <w:p w14:paraId="1EE6C2AC" w14:textId="1CC91F3E" w:rsidR="00CA2210" w:rsidRDefault="002B64DF">
          <w:pPr>
            <w:pStyle w:val="TOC3"/>
            <w:tabs>
              <w:tab w:val="right" w:leader="dot" w:pos="9016"/>
            </w:tabs>
            <w:rPr>
              <w:rFonts w:asciiTheme="minorHAnsi" w:hAnsiTheme="minorHAnsi"/>
              <w:noProof/>
            </w:rPr>
          </w:pPr>
          <w:hyperlink w:anchor="_Toc212193702" w:history="1">
            <w:r w:rsidR="00CA2210" w:rsidRPr="00A12E2F">
              <w:rPr>
                <w:rStyle w:val="Hyperlink"/>
                <w:noProof/>
              </w:rPr>
              <w:t>3.1.3 Opportunities and Threats for Followers (BMW)</w:t>
            </w:r>
            <w:r w:rsidR="00CA2210">
              <w:rPr>
                <w:noProof/>
                <w:webHidden/>
              </w:rPr>
              <w:tab/>
            </w:r>
            <w:r w:rsidR="00CA2210">
              <w:rPr>
                <w:noProof/>
                <w:webHidden/>
              </w:rPr>
              <w:fldChar w:fldCharType="begin"/>
            </w:r>
            <w:r w:rsidR="00CA2210">
              <w:rPr>
                <w:noProof/>
                <w:webHidden/>
              </w:rPr>
              <w:instrText xml:space="preserve"> PAGEREF _Toc212193702 \h </w:instrText>
            </w:r>
            <w:r w:rsidR="00CA2210">
              <w:rPr>
                <w:noProof/>
                <w:webHidden/>
              </w:rPr>
            </w:r>
            <w:r w:rsidR="00CA2210">
              <w:rPr>
                <w:noProof/>
                <w:webHidden/>
              </w:rPr>
              <w:fldChar w:fldCharType="separate"/>
            </w:r>
            <w:r w:rsidR="00CA2210">
              <w:rPr>
                <w:noProof/>
                <w:webHidden/>
              </w:rPr>
              <w:t>6</w:t>
            </w:r>
            <w:r w:rsidR="00CA2210">
              <w:rPr>
                <w:noProof/>
                <w:webHidden/>
              </w:rPr>
              <w:fldChar w:fldCharType="end"/>
            </w:r>
          </w:hyperlink>
        </w:p>
        <w:p w14:paraId="15C6FBC1" w14:textId="7092603E" w:rsidR="00CA2210" w:rsidRDefault="002B64DF">
          <w:pPr>
            <w:pStyle w:val="TOC2"/>
            <w:tabs>
              <w:tab w:val="right" w:leader="dot" w:pos="9016"/>
            </w:tabs>
            <w:rPr>
              <w:rFonts w:asciiTheme="minorHAnsi" w:hAnsiTheme="minorHAnsi"/>
              <w:noProof/>
            </w:rPr>
          </w:pPr>
          <w:hyperlink w:anchor="_Toc212193703" w:history="1">
            <w:r w:rsidR="00CA2210" w:rsidRPr="00A12E2F">
              <w:rPr>
                <w:rStyle w:val="Hyperlink"/>
                <w:noProof/>
              </w:rPr>
              <w:t>3.2 Environmental Factors</w:t>
            </w:r>
            <w:r w:rsidR="00CA2210">
              <w:rPr>
                <w:noProof/>
                <w:webHidden/>
              </w:rPr>
              <w:tab/>
            </w:r>
            <w:r w:rsidR="00CA2210">
              <w:rPr>
                <w:noProof/>
                <w:webHidden/>
              </w:rPr>
              <w:fldChar w:fldCharType="begin"/>
            </w:r>
            <w:r w:rsidR="00CA2210">
              <w:rPr>
                <w:noProof/>
                <w:webHidden/>
              </w:rPr>
              <w:instrText xml:space="preserve"> PAGEREF _Toc212193703 \h </w:instrText>
            </w:r>
            <w:r w:rsidR="00CA2210">
              <w:rPr>
                <w:noProof/>
                <w:webHidden/>
              </w:rPr>
            </w:r>
            <w:r w:rsidR="00CA2210">
              <w:rPr>
                <w:noProof/>
                <w:webHidden/>
              </w:rPr>
              <w:fldChar w:fldCharType="separate"/>
            </w:r>
            <w:r w:rsidR="00CA2210">
              <w:rPr>
                <w:noProof/>
                <w:webHidden/>
              </w:rPr>
              <w:t>7</w:t>
            </w:r>
            <w:r w:rsidR="00CA2210">
              <w:rPr>
                <w:noProof/>
                <w:webHidden/>
              </w:rPr>
              <w:fldChar w:fldCharType="end"/>
            </w:r>
          </w:hyperlink>
        </w:p>
        <w:p w14:paraId="0DB4E898" w14:textId="51BAF964" w:rsidR="00CA2210" w:rsidRDefault="002B64DF">
          <w:pPr>
            <w:pStyle w:val="TOC3"/>
            <w:tabs>
              <w:tab w:val="right" w:leader="dot" w:pos="9016"/>
            </w:tabs>
            <w:rPr>
              <w:rFonts w:asciiTheme="minorHAnsi" w:hAnsiTheme="minorHAnsi"/>
              <w:noProof/>
            </w:rPr>
          </w:pPr>
          <w:hyperlink w:anchor="_Toc212193704" w:history="1">
            <w:r w:rsidR="00CA2210" w:rsidRPr="00A12E2F">
              <w:rPr>
                <w:rStyle w:val="Hyperlink"/>
                <w:noProof/>
              </w:rPr>
              <w:t>3.2.1 Global Environmental Dynamics</w:t>
            </w:r>
            <w:r w:rsidR="00CA2210">
              <w:rPr>
                <w:noProof/>
                <w:webHidden/>
              </w:rPr>
              <w:tab/>
            </w:r>
            <w:r w:rsidR="00CA2210">
              <w:rPr>
                <w:noProof/>
                <w:webHidden/>
              </w:rPr>
              <w:fldChar w:fldCharType="begin"/>
            </w:r>
            <w:r w:rsidR="00CA2210">
              <w:rPr>
                <w:noProof/>
                <w:webHidden/>
              </w:rPr>
              <w:instrText xml:space="preserve"> PAGEREF _Toc212193704 \h </w:instrText>
            </w:r>
            <w:r w:rsidR="00CA2210">
              <w:rPr>
                <w:noProof/>
                <w:webHidden/>
              </w:rPr>
            </w:r>
            <w:r w:rsidR="00CA2210">
              <w:rPr>
                <w:noProof/>
                <w:webHidden/>
              </w:rPr>
              <w:fldChar w:fldCharType="separate"/>
            </w:r>
            <w:r w:rsidR="00CA2210">
              <w:rPr>
                <w:noProof/>
                <w:webHidden/>
              </w:rPr>
              <w:t>7</w:t>
            </w:r>
            <w:r w:rsidR="00CA2210">
              <w:rPr>
                <w:noProof/>
                <w:webHidden/>
              </w:rPr>
              <w:fldChar w:fldCharType="end"/>
            </w:r>
          </w:hyperlink>
        </w:p>
        <w:p w14:paraId="704BBBA6" w14:textId="167BF56B" w:rsidR="00CA2210" w:rsidRDefault="002B64DF">
          <w:pPr>
            <w:pStyle w:val="TOC3"/>
            <w:tabs>
              <w:tab w:val="right" w:leader="dot" w:pos="9016"/>
            </w:tabs>
            <w:rPr>
              <w:rFonts w:asciiTheme="minorHAnsi" w:hAnsiTheme="minorHAnsi"/>
              <w:noProof/>
            </w:rPr>
          </w:pPr>
          <w:hyperlink w:anchor="_Toc212193705" w:history="1">
            <w:r w:rsidR="00CA2210" w:rsidRPr="00A12E2F">
              <w:rPr>
                <w:rStyle w:val="Hyperlink"/>
                <w:noProof/>
              </w:rPr>
              <w:t>3.2.2 Opportunities and Threats for Pioneers (Tesla)</w:t>
            </w:r>
            <w:r w:rsidR="00CA2210">
              <w:rPr>
                <w:noProof/>
                <w:webHidden/>
              </w:rPr>
              <w:tab/>
            </w:r>
            <w:r w:rsidR="00CA2210">
              <w:rPr>
                <w:noProof/>
                <w:webHidden/>
              </w:rPr>
              <w:fldChar w:fldCharType="begin"/>
            </w:r>
            <w:r w:rsidR="00CA2210">
              <w:rPr>
                <w:noProof/>
                <w:webHidden/>
              </w:rPr>
              <w:instrText xml:space="preserve"> PAGEREF _Toc212193705 \h </w:instrText>
            </w:r>
            <w:r w:rsidR="00CA2210">
              <w:rPr>
                <w:noProof/>
                <w:webHidden/>
              </w:rPr>
            </w:r>
            <w:r w:rsidR="00CA2210">
              <w:rPr>
                <w:noProof/>
                <w:webHidden/>
              </w:rPr>
              <w:fldChar w:fldCharType="separate"/>
            </w:r>
            <w:r w:rsidR="00CA2210">
              <w:rPr>
                <w:noProof/>
                <w:webHidden/>
              </w:rPr>
              <w:t>7</w:t>
            </w:r>
            <w:r w:rsidR="00CA2210">
              <w:rPr>
                <w:noProof/>
                <w:webHidden/>
              </w:rPr>
              <w:fldChar w:fldCharType="end"/>
            </w:r>
          </w:hyperlink>
        </w:p>
        <w:p w14:paraId="246AC47F" w14:textId="32C001CD" w:rsidR="00CA2210" w:rsidRDefault="002B64DF">
          <w:pPr>
            <w:pStyle w:val="TOC3"/>
            <w:tabs>
              <w:tab w:val="right" w:leader="dot" w:pos="9016"/>
            </w:tabs>
            <w:rPr>
              <w:rFonts w:asciiTheme="minorHAnsi" w:hAnsiTheme="minorHAnsi"/>
              <w:noProof/>
            </w:rPr>
          </w:pPr>
          <w:hyperlink w:anchor="_Toc212193706" w:history="1">
            <w:r w:rsidR="00CA2210" w:rsidRPr="00A12E2F">
              <w:rPr>
                <w:rStyle w:val="Hyperlink"/>
                <w:noProof/>
              </w:rPr>
              <w:t>3.2.3 Opportunities and Threats for Followers (BMW)</w:t>
            </w:r>
            <w:r w:rsidR="00CA2210">
              <w:rPr>
                <w:noProof/>
                <w:webHidden/>
              </w:rPr>
              <w:tab/>
            </w:r>
            <w:r w:rsidR="00CA2210">
              <w:rPr>
                <w:noProof/>
                <w:webHidden/>
              </w:rPr>
              <w:fldChar w:fldCharType="begin"/>
            </w:r>
            <w:r w:rsidR="00CA2210">
              <w:rPr>
                <w:noProof/>
                <w:webHidden/>
              </w:rPr>
              <w:instrText xml:space="preserve"> PAGEREF _Toc212193706 \h </w:instrText>
            </w:r>
            <w:r w:rsidR="00CA2210">
              <w:rPr>
                <w:noProof/>
                <w:webHidden/>
              </w:rPr>
            </w:r>
            <w:r w:rsidR="00CA2210">
              <w:rPr>
                <w:noProof/>
                <w:webHidden/>
              </w:rPr>
              <w:fldChar w:fldCharType="separate"/>
            </w:r>
            <w:r w:rsidR="00CA2210">
              <w:rPr>
                <w:noProof/>
                <w:webHidden/>
              </w:rPr>
              <w:t>8</w:t>
            </w:r>
            <w:r w:rsidR="00CA2210">
              <w:rPr>
                <w:noProof/>
                <w:webHidden/>
              </w:rPr>
              <w:fldChar w:fldCharType="end"/>
            </w:r>
          </w:hyperlink>
        </w:p>
        <w:p w14:paraId="2F00F2E9" w14:textId="48D1D059" w:rsidR="00CA2210" w:rsidRDefault="002B64DF">
          <w:pPr>
            <w:pStyle w:val="TOC1"/>
            <w:tabs>
              <w:tab w:val="right" w:leader="dot" w:pos="9016"/>
            </w:tabs>
            <w:rPr>
              <w:rFonts w:asciiTheme="minorHAnsi" w:hAnsiTheme="minorHAnsi"/>
              <w:noProof/>
            </w:rPr>
          </w:pPr>
          <w:hyperlink w:anchor="_Toc212193707" w:history="1">
            <w:r w:rsidR="00CA2210" w:rsidRPr="00A12E2F">
              <w:rPr>
                <w:rStyle w:val="Hyperlink"/>
                <w:noProof/>
              </w:rPr>
              <w:t>4. Task 2: Strategic Responses of Pioneers and Followers</w:t>
            </w:r>
            <w:r w:rsidR="00CA2210">
              <w:rPr>
                <w:noProof/>
                <w:webHidden/>
              </w:rPr>
              <w:tab/>
            </w:r>
            <w:r w:rsidR="00CA2210">
              <w:rPr>
                <w:noProof/>
                <w:webHidden/>
              </w:rPr>
              <w:fldChar w:fldCharType="begin"/>
            </w:r>
            <w:r w:rsidR="00CA2210">
              <w:rPr>
                <w:noProof/>
                <w:webHidden/>
              </w:rPr>
              <w:instrText xml:space="preserve"> PAGEREF _Toc212193707 \h </w:instrText>
            </w:r>
            <w:r w:rsidR="00CA2210">
              <w:rPr>
                <w:noProof/>
                <w:webHidden/>
              </w:rPr>
            </w:r>
            <w:r w:rsidR="00CA2210">
              <w:rPr>
                <w:noProof/>
                <w:webHidden/>
              </w:rPr>
              <w:fldChar w:fldCharType="separate"/>
            </w:r>
            <w:r w:rsidR="00CA2210">
              <w:rPr>
                <w:noProof/>
                <w:webHidden/>
              </w:rPr>
              <w:t>9</w:t>
            </w:r>
            <w:r w:rsidR="00CA2210">
              <w:rPr>
                <w:noProof/>
                <w:webHidden/>
              </w:rPr>
              <w:fldChar w:fldCharType="end"/>
            </w:r>
          </w:hyperlink>
        </w:p>
        <w:p w14:paraId="5273A604" w14:textId="1ABE0141" w:rsidR="00CA2210" w:rsidRDefault="002B64DF">
          <w:pPr>
            <w:pStyle w:val="TOC2"/>
            <w:tabs>
              <w:tab w:val="right" w:leader="dot" w:pos="9016"/>
            </w:tabs>
            <w:rPr>
              <w:rFonts w:asciiTheme="minorHAnsi" w:hAnsiTheme="minorHAnsi"/>
              <w:noProof/>
            </w:rPr>
          </w:pPr>
          <w:hyperlink w:anchor="_Toc212193708" w:history="1">
            <w:r w:rsidR="00CA2210" w:rsidRPr="00A12E2F">
              <w:rPr>
                <w:rStyle w:val="Hyperlink"/>
                <w:noProof/>
              </w:rPr>
              <w:t>4.1 Tesla’s Strategic Response</w:t>
            </w:r>
            <w:r w:rsidR="00CA2210">
              <w:rPr>
                <w:noProof/>
                <w:webHidden/>
              </w:rPr>
              <w:tab/>
            </w:r>
            <w:r w:rsidR="00CA2210">
              <w:rPr>
                <w:noProof/>
                <w:webHidden/>
              </w:rPr>
              <w:fldChar w:fldCharType="begin"/>
            </w:r>
            <w:r w:rsidR="00CA2210">
              <w:rPr>
                <w:noProof/>
                <w:webHidden/>
              </w:rPr>
              <w:instrText xml:space="preserve"> PAGEREF _Toc212193708 \h </w:instrText>
            </w:r>
            <w:r w:rsidR="00CA2210">
              <w:rPr>
                <w:noProof/>
                <w:webHidden/>
              </w:rPr>
            </w:r>
            <w:r w:rsidR="00CA2210">
              <w:rPr>
                <w:noProof/>
                <w:webHidden/>
              </w:rPr>
              <w:fldChar w:fldCharType="separate"/>
            </w:r>
            <w:r w:rsidR="00CA2210">
              <w:rPr>
                <w:noProof/>
                <w:webHidden/>
              </w:rPr>
              <w:t>9</w:t>
            </w:r>
            <w:r w:rsidR="00CA2210">
              <w:rPr>
                <w:noProof/>
                <w:webHidden/>
              </w:rPr>
              <w:fldChar w:fldCharType="end"/>
            </w:r>
          </w:hyperlink>
        </w:p>
        <w:p w14:paraId="39B4CB55" w14:textId="4BF1B9A4" w:rsidR="00CA2210" w:rsidRDefault="002B64DF">
          <w:pPr>
            <w:pStyle w:val="TOC3"/>
            <w:tabs>
              <w:tab w:val="right" w:leader="dot" w:pos="9016"/>
            </w:tabs>
            <w:rPr>
              <w:rFonts w:asciiTheme="minorHAnsi" w:hAnsiTheme="minorHAnsi"/>
              <w:noProof/>
            </w:rPr>
          </w:pPr>
          <w:hyperlink w:anchor="_Toc212193709" w:history="1">
            <w:r w:rsidR="00CA2210" w:rsidRPr="00A12E2F">
              <w:rPr>
                <w:rStyle w:val="Hyperlink"/>
                <w:noProof/>
              </w:rPr>
              <w:t>4.1.1 Technological Strategy</w:t>
            </w:r>
            <w:r w:rsidR="00CA2210">
              <w:rPr>
                <w:noProof/>
                <w:webHidden/>
              </w:rPr>
              <w:tab/>
            </w:r>
            <w:r w:rsidR="00CA2210">
              <w:rPr>
                <w:noProof/>
                <w:webHidden/>
              </w:rPr>
              <w:fldChar w:fldCharType="begin"/>
            </w:r>
            <w:r w:rsidR="00CA2210">
              <w:rPr>
                <w:noProof/>
                <w:webHidden/>
              </w:rPr>
              <w:instrText xml:space="preserve"> PAGEREF _Toc212193709 \h </w:instrText>
            </w:r>
            <w:r w:rsidR="00CA2210">
              <w:rPr>
                <w:noProof/>
                <w:webHidden/>
              </w:rPr>
            </w:r>
            <w:r w:rsidR="00CA2210">
              <w:rPr>
                <w:noProof/>
                <w:webHidden/>
              </w:rPr>
              <w:fldChar w:fldCharType="separate"/>
            </w:r>
            <w:r w:rsidR="00CA2210">
              <w:rPr>
                <w:noProof/>
                <w:webHidden/>
              </w:rPr>
              <w:t>9</w:t>
            </w:r>
            <w:r w:rsidR="00CA2210">
              <w:rPr>
                <w:noProof/>
                <w:webHidden/>
              </w:rPr>
              <w:fldChar w:fldCharType="end"/>
            </w:r>
          </w:hyperlink>
        </w:p>
        <w:p w14:paraId="67E95A96" w14:textId="21572AA9" w:rsidR="00CA2210" w:rsidRDefault="002B64DF">
          <w:pPr>
            <w:pStyle w:val="TOC3"/>
            <w:tabs>
              <w:tab w:val="right" w:leader="dot" w:pos="9016"/>
            </w:tabs>
            <w:rPr>
              <w:rFonts w:asciiTheme="minorHAnsi" w:hAnsiTheme="minorHAnsi"/>
              <w:noProof/>
            </w:rPr>
          </w:pPr>
          <w:hyperlink w:anchor="_Toc212193710" w:history="1">
            <w:r w:rsidR="00CA2210" w:rsidRPr="00A12E2F">
              <w:rPr>
                <w:rStyle w:val="Hyperlink"/>
                <w:noProof/>
              </w:rPr>
              <w:t>4.1.2 Environmental and Marketing Strategy</w:t>
            </w:r>
            <w:r w:rsidR="00CA2210">
              <w:rPr>
                <w:noProof/>
                <w:webHidden/>
              </w:rPr>
              <w:tab/>
            </w:r>
            <w:r w:rsidR="00CA2210">
              <w:rPr>
                <w:noProof/>
                <w:webHidden/>
              </w:rPr>
              <w:fldChar w:fldCharType="begin"/>
            </w:r>
            <w:r w:rsidR="00CA2210">
              <w:rPr>
                <w:noProof/>
                <w:webHidden/>
              </w:rPr>
              <w:instrText xml:space="preserve"> PAGEREF _Toc212193710 \h </w:instrText>
            </w:r>
            <w:r w:rsidR="00CA2210">
              <w:rPr>
                <w:noProof/>
                <w:webHidden/>
              </w:rPr>
            </w:r>
            <w:r w:rsidR="00CA2210">
              <w:rPr>
                <w:noProof/>
                <w:webHidden/>
              </w:rPr>
              <w:fldChar w:fldCharType="separate"/>
            </w:r>
            <w:r w:rsidR="00CA2210">
              <w:rPr>
                <w:noProof/>
                <w:webHidden/>
              </w:rPr>
              <w:t>10</w:t>
            </w:r>
            <w:r w:rsidR="00CA2210">
              <w:rPr>
                <w:noProof/>
                <w:webHidden/>
              </w:rPr>
              <w:fldChar w:fldCharType="end"/>
            </w:r>
          </w:hyperlink>
        </w:p>
        <w:p w14:paraId="7E451D1B" w14:textId="7C626D03" w:rsidR="00CA2210" w:rsidRDefault="002B64DF">
          <w:pPr>
            <w:pStyle w:val="TOC2"/>
            <w:tabs>
              <w:tab w:val="right" w:leader="dot" w:pos="9016"/>
            </w:tabs>
            <w:rPr>
              <w:rFonts w:asciiTheme="minorHAnsi" w:hAnsiTheme="minorHAnsi"/>
              <w:noProof/>
            </w:rPr>
          </w:pPr>
          <w:hyperlink w:anchor="_Toc212193711" w:history="1">
            <w:r w:rsidR="00CA2210" w:rsidRPr="00A12E2F">
              <w:rPr>
                <w:rStyle w:val="Hyperlink"/>
                <w:noProof/>
              </w:rPr>
              <w:t>4.2 BMW’s Strategic Response</w:t>
            </w:r>
            <w:r w:rsidR="00CA2210">
              <w:rPr>
                <w:noProof/>
                <w:webHidden/>
              </w:rPr>
              <w:tab/>
            </w:r>
            <w:r w:rsidR="00CA2210">
              <w:rPr>
                <w:noProof/>
                <w:webHidden/>
              </w:rPr>
              <w:fldChar w:fldCharType="begin"/>
            </w:r>
            <w:r w:rsidR="00CA2210">
              <w:rPr>
                <w:noProof/>
                <w:webHidden/>
              </w:rPr>
              <w:instrText xml:space="preserve"> PAGEREF _Toc212193711 \h </w:instrText>
            </w:r>
            <w:r w:rsidR="00CA2210">
              <w:rPr>
                <w:noProof/>
                <w:webHidden/>
              </w:rPr>
            </w:r>
            <w:r w:rsidR="00CA2210">
              <w:rPr>
                <w:noProof/>
                <w:webHidden/>
              </w:rPr>
              <w:fldChar w:fldCharType="separate"/>
            </w:r>
            <w:r w:rsidR="00CA2210">
              <w:rPr>
                <w:noProof/>
                <w:webHidden/>
              </w:rPr>
              <w:t>10</w:t>
            </w:r>
            <w:r w:rsidR="00CA2210">
              <w:rPr>
                <w:noProof/>
                <w:webHidden/>
              </w:rPr>
              <w:fldChar w:fldCharType="end"/>
            </w:r>
          </w:hyperlink>
        </w:p>
        <w:p w14:paraId="3C7A953C" w14:textId="16B33511" w:rsidR="00CA2210" w:rsidRDefault="002B64DF">
          <w:pPr>
            <w:pStyle w:val="TOC3"/>
            <w:tabs>
              <w:tab w:val="right" w:leader="dot" w:pos="9016"/>
            </w:tabs>
            <w:rPr>
              <w:rFonts w:asciiTheme="minorHAnsi" w:hAnsiTheme="minorHAnsi"/>
              <w:noProof/>
            </w:rPr>
          </w:pPr>
          <w:hyperlink w:anchor="_Toc212193712" w:history="1">
            <w:r w:rsidR="00CA2210" w:rsidRPr="00A12E2F">
              <w:rPr>
                <w:rStyle w:val="Hyperlink"/>
                <w:noProof/>
              </w:rPr>
              <w:t>4.2.1 Technological Strategy</w:t>
            </w:r>
            <w:r w:rsidR="00CA2210">
              <w:rPr>
                <w:noProof/>
                <w:webHidden/>
              </w:rPr>
              <w:tab/>
            </w:r>
            <w:r w:rsidR="00CA2210">
              <w:rPr>
                <w:noProof/>
                <w:webHidden/>
              </w:rPr>
              <w:fldChar w:fldCharType="begin"/>
            </w:r>
            <w:r w:rsidR="00CA2210">
              <w:rPr>
                <w:noProof/>
                <w:webHidden/>
              </w:rPr>
              <w:instrText xml:space="preserve"> PAGEREF _Toc212193712 \h </w:instrText>
            </w:r>
            <w:r w:rsidR="00CA2210">
              <w:rPr>
                <w:noProof/>
                <w:webHidden/>
              </w:rPr>
            </w:r>
            <w:r w:rsidR="00CA2210">
              <w:rPr>
                <w:noProof/>
                <w:webHidden/>
              </w:rPr>
              <w:fldChar w:fldCharType="separate"/>
            </w:r>
            <w:r w:rsidR="00CA2210">
              <w:rPr>
                <w:noProof/>
                <w:webHidden/>
              </w:rPr>
              <w:t>10</w:t>
            </w:r>
            <w:r w:rsidR="00CA2210">
              <w:rPr>
                <w:noProof/>
                <w:webHidden/>
              </w:rPr>
              <w:fldChar w:fldCharType="end"/>
            </w:r>
          </w:hyperlink>
        </w:p>
        <w:p w14:paraId="45BC0586" w14:textId="5DEB0355" w:rsidR="00CA2210" w:rsidRDefault="002B64DF">
          <w:pPr>
            <w:pStyle w:val="TOC3"/>
            <w:tabs>
              <w:tab w:val="right" w:leader="dot" w:pos="9016"/>
            </w:tabs>
            <w:rPr>
              <w:rFonts w:asciiTheme="minorHAnsi" w:hAnsiTheme="minorHAnsi"/>
              <w:noProof/>
            </w:rPr>
          </w:pPr>
          <w:hyperlink w:anchor="_Toc212193713" w:history="1">
            <w:r w:rsidR="00CA2210" w:rsidRPr="00A12E2F">
              <w:rPr>
                <w:rStyle w:val="Hyperlink"/>
                <w:noProof/>
              </w:rPr>
              <w:t>4.2.2 Environmental and Marketing Strategy</w:t>
            </w:r>
            <w:r w:rsidR="00CA2210">
              <w:rPr>
                <w:noProof/>
                <w:webHidden/>
              </w:rPr>
              <w:tab/>
            </w:r>
            <w:r w:rsidR="00CA2210">
              <w:rPr>
                <w:noProof/>
                <w:webHidden/>
              </w:rPr>
              <w:fldChar w:fldCharType="begin"/>
            </w:r>
            <w:r w:rsidR="00CA2210">
              <w:rPr>
                <w:noProof/>
                <w:webHidden/>
              </w:rPr>
              <w:instrText xml:space="preserve"> PAGEREF _Toc212193713 \h </w:instrText>
            </w:r>
            <w:r w:rsidR="00CA2210">
              <w:rPr>
                <w:noProof/>
                <w:webHidden/>
              </w:rPr>
            </w:r>
            <w:r w:rsidR="00CA2210">
              <w:rPr>
                <w:noProof/>
                <w:webHidden/>
              </w:rPr>
              <w:fldChar w:fldCharType="separate"/>
            </w:r>
            <w:r w:rsidR="00CA2210">
              <w:rPr>
                <w:noProof/>
                <w:webHidden/>
              </w:rPr>
              <w:t>11</w:t>
            </w:r>
            <w:r w:rsidR="00CA2210">
              <w:rPr>
                <w:noProof/>
                <w:webHidden/>
              </w:rPr>
              <w:fldChar w:fldCharType="end"/>
            </w:r>
          </w:hyperlink>
        </w:p>
        <w:p w14:paraId="592CC0A4" w14:textId="3C26757F" w:rsidR="00CA2210" w:rsidRDefault="002B64DF">
          <w:pPr>
            <w:pStyle w:val="TOC1"/>
            <w:tabs>
              <w:tab w:val="right" w:leader="dot" w:pos="9016"/>
            </w:tabs>
            <w:rPr>
              <w:rFonts w:asciiTheme="minorHAnsi" w:hAnsiTheme="minorHAnsi"/>
              <w:noProof/>
            </w:rPr>
          </w:pPr>
          <w:hyperlink w:anchor="_Toc212193714" w:history="1">
            <w:r w:rsidR="00CA2210" w:rsidRPr="00A12E2F">
              <w:rPr>
                <w:rStyle w:val="Hyperlink"/>
                <w:noProof/>
              </w:rPr>
              <w:t>5. Discussion</w:t>
            </w:r>
            <w:r w:rsidR="00CA2210">
              <w:rPr>
                <w:noProof/>
                <w:webHidden/>
              </w:rPr>
              <w:tab/>
            </w:r>
            <w:r w:rsidR="00CA2210">
              <w:rPr>
                <w:noProof/>
                <w:webHidden/>
              </w:rPr>
              <w:fldChar w:fldCharType="begin"/>
            </w:r>
            <w:r w:rsidR="00CA2210">
              <w:rPr>
                <w:noProof/>
                <w:webHidden/>
              </w:rPr>
              <w:instrText xml:space="preserve"> PAGEREF _Toc212193714 \h </w:instrText>
            </w:r>
            <w:r w:rsidR="00CA2210">
              <w:rPr>
                <w:noProof/>
                <w:webHidden/>
              </w:rPr>
            </w:r>
            <w:r w:rsidR="00CA2210">
              <w:rPr>
                <w:noProof/>
                <w:webHidden/>
              </w:rPr>
              <w:fldChar w:fldCharType="separate"/>
            </w:r>
            <w:r w:rsidR="00CA2210">
              <w:rPr>
                <w:noProof/>
                <w:webHidden/>
              </w:rPr>
              <w:t>12</w:t>
            </w:r>
            <w:r w:rsidR="00CA2210">
              <w:rPr>
                <w:noProof/>
                <w:webHidden/>
              </w:rPr>
              <w:fldChar w:fldCharType="end"/>
            </w:r>
          </w:hyperlink>
        </w:p>
        <w:p w14:paraId="24E7410D" w14:textId="1CA2CCC5" w:rsidR="00CA2210" w:rsidRDefault="002B64DF">
          <w:pPr>
            <w:pStyle w:val="TOC1"/>
            <w:tabs>
              <w:tab w:val="right" w:leader="dot" w:pos="9016"/>
            </w:tabs>
            <w:rPr>
              <w:rFonts w:asciiTheme="minorHAnsi" w:hAnsiTheme="minorHAnsi"/>
              <w:noProof/>
            </w:rPr>
          </w:pPr>
          <w:hyperlink w:anchor="_Toc212193715" w:history="1">
            <w:r w:rsidR="00CA2210" w:rsidRPr="00A12E2F">
              <w:rPr>
                <w:rStyle w:val="Hyperlink"/>
                <w:noProof/>
              </w:rPr>
              <w:t>6. Conclusion</w:t>
            </w:r>
            <w:r w:rsidR="00CA2210">
              <w:rPr>
                <w:noProof/>
                <w:webHidden/>
              </w:rPr>
              <w:tab/>
            </w:r>
            <w:r w:rsidR="00CA2210">
              <w:rPr>
                <w:noProof/>
                <w:webHidden/>
              </w:rPr>
              <w:fldChar w:fldCharType="begin"/>
            </w:r>
            <w:r w:rsidR="00CA2210">
              <w:rPr>
                <w:noProof/>
                <w:webHidden/>
              </w:rPr>
              <w:instrText xml:space="preserve"> PAGEREF _Toc212193715 \h </w:instrText>
            </w:r>
            <w:r w:rsidR="00CA2210">
              <w:rPr>
                <w:noProof/>
                <w:webHidden/>
              </w:rPr>
            </w:r>
            <w:r w:rsidR="00CA2210">
              <w:rPr>
                <w:noProof/>
                <w:webHidden/>
              </w:rPr>
              <w:fldChar w:fldCharType="separate"/>
            </w:r>
            <w:r w:rsidR="00CA2210">
              <w:rPr>
                <w:noProof/>
                <w:webHidden/>
              </w:rPr>
              <w:t>13</w:t>
            </w:r>
            <w:r w:rsidR="00CA2210">
              <w:rPr>
                <w:noProof/>
                <w:webHidden/>
              </w:rPr>
              <w:fldChar w:fldCharType="end"/>
            </w:r>
          </w:hyperlink>
        </w:p>
        <w:p w14:paraId="56B751A9" w14:textId="1DF31C8D" w:rsidR="00CA2210" w:rsidRDefault="002B64DF">
          <w:pPr>
            <w:pStyle w:val="TOC1"/>
            <w:tabs>
              <w:tab w:val="right" w:leader="dot" w:pos="9016"/>
            </w:tabs>
            <w:rPr>
              <w:rFonts w:asciiTheme="minorHAnsi" w:hAnsiTheme="minorHAnsi"/>
              <w:noProof/>
            </w:rPr>
          </w:pPr>
          <w:hyperlink w:anchor="_Toc212193716" w:history="1">
            <w:r w:rsidR="00CA2210" w:rsidRPr="00A12E2F">
              <w:rPr>
                <w:rStyle w:val="Hyperlink"/>
                <w:noProof/>
              </w:rPr>
              <w:t>References</w:t>
            </w:r>
            <w:r w:rsidR="00CA2210">
              <w:rPr>
                <w:noProof/>
                <w:webHidden/>
              </w:rPr>
              <w:tab/>
            </w:r>
            <w:r w:rsidR="00CA2210">
              <w:rPr>
                <w:noProof/>
                <w:webHidden/>
              </w:rPr>
              <w:fldChar w:fldCharType="begin"/>
            </w:r>
            <w:r w:rsidR="00CA2210">
              <w:rPr>
                <w:noProof/>
                <w:webHidden/>
              </w:rPr>
              <w:instrText xml:space="preserve"> PAGEREF _Toc212193716 \h </w:instrText>
            </w:r>
            <w:r w:rsidR="00CA2210">
              <w:rPr>
                <w:noProof/>
                <w:webHidden/>
              </w:rPr>
            </w:r>
            <w:r w:rsidR="00CA2210">
              <w:rPr>
                <w:noProof/>
                <w:webHidden/>
              </w:rPr>
              <w:fldChar w:fldCharType="separate"/>
            </w:r>
            <w:r w:rsidR="00CA2210">
              <w:rPr>
                <w:noProof/>
                <w:webHidden/>
              </w:rPr>
              <w:t>14</w:t>
            </w:r>
            <w:r w:rsidR="00CA2210">
              <w:rPr>
                <w:noProof/>
                <w:webHidden/>
              </w:rPr>
              <w:fldChar w:fldCharType="end"/>
            </w:r>
          </w:hyperlink>
        </w:p>
        <w:p w14:paraId="51C4943D" w14:textId="60AD16BB" w:rsidR="00CA2210" w:rsidRDefault="002B64DF">
          <w:pPr>
            <w:pStyle w:val="TOC1"/>
            <w:tabs>
              <w:tab w:val="right" w:leader="dot" w:pos="9016"/>
            </w:tabs>
            <w:rPr>
              <w:rFonts w:asciiTheme="minorHAnsi" w:hAnsiTheme="minorHAnsi"/>
              <w:noProof/>
            </w:rPr>
          </w:pPr>
          <w:hyperlink w:anchor="_Toc212193717" w:history="1">
            <w:r w:rsidR="00CA2210" w:rsidRPr="00A12E2F">
              <w:rPr>
                <w:rStyle w:val="Hyperlink"/>
                <w:noProof/>
              </w:rPr>
              <w:t>Appendices</w:t>
            </w:r>
            <w:r w:rsidR="00CA2210">
              <w:rPr>
                <w:noProof/>
                <w:webHidden/>
              </w:rPr>
              <w:tab/>
            </w:r>
            <w:r w:rsidR="00CA2210">
              <w:rPr>
                <w:noProof/>
                <w:webHidden/>
              </w:rPr>
              <w:fldChar w:fldCharType="begin"/>
            </w:r>
            <w:r w:rsidR="00CA2210">
              <w:rPr>
                <w:noProof/>
                <w:webHidden/>
              </w:rPr>
              <w:instrText xml:space="preserve"> PAGEREF _Toc212193717 \h </w:instrText>
            </w:r>
            <w:r w:rsidR="00CA2210">
              <w:rPr>
                <w:noProof/>
                <w:webHidden/>
              </w:rPr>
            </w:r>
            <w:r w:rsidR="00CA2210">
              <w:rPr>
                <w:noProof/>
                <w:webHidden/>
              </w:rPr>
              <w:fldChar w:fldCharType="separate"/>
            </w:r>
            <w:r w:rsidR="00CA2210">
              <w:rPr>
                <w:noProof/>
                <w:webHidden/>
              </w:rPr>
              <w:t>17</w:t>
            </w:r>
            <w:r w:rsidR="00CA2210">
              <w:rPr>
                <w:noProof/>
                <w:webHidden/>
              </w:rPr>
              <w:fldChar w:fldCharType="end"/>
            </w:r>
          </w:hyperlink>
        </w:p>
        <w:p w14:paraId="512D9E28" w14:textId="7D77CBD0" w:rsidR="00A82A8E" w:rsidRDefault="00A82A8E" w:rsidP="00A82A8E">
          <w:pPr>
            <w:rPr>
              <w:b/>
              <w:bCs/>
              <w:noProof/>
            </w:rPr>
          </w:pPr>
          <w:r>
            <w:rPr>
              <w:b/>
              <w:bCs/>
              <w:noProof/>
            </w:rPr>
            <w:fldChar w:fldCharType="end"/>
          </w:r>
        </w:p>
      </w:sdtContent>
    </w:sdt>
    <w:p w14:paraId="2E5DED00" w14:textId="7CE3FB53" w:rsidR="009714F5" w:rsidRPr="00A82A8E" w:rsidRDefault="009714F5" w:rsidP="00A82A8E">
      <w:r>
        <w:rPr>
          <w:b/>
          <w:bCs/>
        </w:rPr>
        <w:br w:type="page"/>
      </w:r>
    </w:p>
    <w:p w14:paraId="1E8ED132" w14:textId="7A5BC9E9" w:rsidR="00544787" w:rsidRPr="00544787" w:rsidRDefault="00544787" w:rsidP="009714F5">
      <w:pPr>
        <w:pStyle w:val="Heading1"/>
      </w:pPr>
      <w:bookmarkStart w:id="1" w:name="_Toc212193693"/>
      <w:r w:rsidRPr="00544787">
        <w:lastRenderedPageBreak/>
        <w:t>1. Introduction</w:t>
      </w:r>
      <w:bookmarkEnd w:id="1"/>
    </w:p>
    <w:p w14:paraId="7BE53085" w14:textId="7E5BA365" w:rsidR="00D41D30" w:rsidRDefault="009A1C00" w:rsidP="00D41D30">
      <w:r w:rsidRPr="009A1C00">
        <w:t>The automobile industry has undergone a significant change in the twenty first century, as influenced by the twin requirements of technological advancement and environmental sustainability.</w:t>
      </w:r>
      <w:r w:rsidR="00D41D30">
        <w:t xml:space="preserve"> The concerns of climate change, the rising prices of oil, and advancements in battery technology have led to an accelerated adoption in the use of electric vehicles (EVs) from all over the world. The EV industry, once thought to be a niche market, is now at the forefront of the global push towards cleaner and more efficient mobility solutions. According to the International Energy Agency (IEA, 2024), there were around 14 million EV sales in 2023, an increase of 40% year-on-year, and EVs are expected to account for 60% of global vehicle sales by 2035.</w:t>
      </w:r>
    </w:p>
    <w:p w14:paraId="529FB82A" w14:textId="63EC0E12" w:rsidR="00544787" w:rsidRPr="00544787" w:rsidRDefault="00D41D30" w:rsidP="00D41D30">
      <w:r>
        <w:t xml:space="preserve">This report has critically analysed two important macro-environmental factors namely technological and environmental factors that influence the marketing environment of electric vehicle industry. </w:t>
      </w:r>
      <w:r w:rsidR="009A1C00" w:rsidRPr="009A1C00">
        <w:t>The discussion is a comparative study of strategic responses of the two organisations, Tesla as an innovative organization and BMW as a follower organization in the same industry.</w:t>
      </w:r>
      <w:r>
        <w:t xml:space="preserve"> Tesla has changed the automotive landscape using innovation and sustainability whereas BMW, as a more traditional manufacturer, has moved towards electrification more slowly. This analysis will evaluate how the changes in these macro factors pose an opportunity and threat to these companies and how each of these companies has strategically responded in order to remain competitive in a changing market.</w:t>
      </w:r>
    </w:p>
    <w:p w14:paraId="76F933D5" w14:textId="77777777" w:rsidR="001A0EBF" w:rsidRDefault="001A0EBF">
      <w:pPr>
        <w:spacing w:after="160" w:line="278" w:lineRule="auto"/>
        <w:jc w:val="left"/>
      </w:pPr>
      <w:r>
        <w:br w:type="page"/>
      </w:r>
    </w:p>
    <w:p w14:paraId="5DF5B4E5" w14:textId="5848ABF1" w:rsidR="00544787" w:rsidRPr="00544787" w:rsidRDefault="00544787" w:rsidP="009714F5">
      <w:pPr>
        <w:pStyle w:val="Heading1"/>
      </w:pPr>
      <w:bookmarkStart w:id="2" w:name="_Toc212193694"/>
      <w:r w:rsidRPr="00544787">
        <w:lastRenderedPageBreak/>
        <w:t>2. Theoretical Framework</w:t>
      </w:r>
      <w:bookmarkEnd w:id="2"/>
    </w:p>
    <w:p w14:paraId="36299D58" w14:textId="77777777" w:rsidR="00544787" w:rsidRPr="00544787" w:rsidRDefault="00544787" w:rsidP="009714F5">
      <w:pPr>
        <w:pStyle w:val="Heading2"/>
      </w:pPr>
      <w:bookmarkStart w:id="3" w:name="_Toc212193695"/>
      <w:r w:rsidRPr="00544787">
        <w:t>2.1 Understanding the Marketing Environment</w:t>
      </w:r>
      <w:bookmarkEnd w:id="3"/>
    </w:p>
    <w:p w14:paraId="7585FEE0" w14:textId="7FAD34D3" w:rsidR="00544787" w:rsidRPr="00544787" w:rsidRDefault="00584F12" w:rsidP="00544787">
      <w:r w:rsidRPr="00584F12">
        <w:t xml:space="preserve">The marketing environment consists of environmental factors that affect an organization's capability to form and maintain the relationships with customers (Kotler, Keller and Chernev, 2022). </w:t>
      </w:r>
      <w:r w:rsidR="00DD49E8" w:rsidRPr="00DD49E8">
        <w:t>The macro-environmental analysis is carried out through PESTEL Analysis, which is a tool that involves examination of the macro-environmental factors and consists of six broad categories: Political, Economic, Social, Technological, Environmental, and Legal factors (Johnson et al., 2020). Among them, the technological and environmental issues are at the centre of determining the speed and course of innovation, consumer adoption, and corporate responsibility in the EV industry.</w:t>
      </w:r>
    </w:p>
    <w:p w14:paraId="308FC346" w14:textId="77777777" w:rsidR="00544787" w:rsidRPr="00544787" w:rsidRDefault="00544787" w:rsidP="009714F5">
      <w:pPr>
        <w:pStyle w:val="Heading2"/>
      </w:pPr>
      <w:bookmarkStart w:id="4" w:name="_Toc212193696"/>
      <w:r w:rsidRPr="00544787">
        <w:t>2.2 Pioneer and Follower Strategy</w:t>
      </w:r>
      <w:bookmarkEnd w:id="4"/>
    </w:p>
    <w:p w14:paraId="16431D7D" w14:textId="07E5EB78" w:rsidR="00544787" w:rsidRPr="00544787" w:rsidRDefault="002B2E9C" w:rsidP="00544787">
      <w:r w:rsidRPr="002B2E9C">
        <w:t>The distinction between pioneer and follower organisations is an important insight into competitive behaviour. Pioneers</w:t>
      </w:r>
      <w:r w:rsidR="00826C2A">
        <w:t>,</w:t>
      </w:r>
      <w:r w:rsidRPr="002B2E9C">
        <w:t xml:space="preserve"> as defined by Lieberman and Montgomery (1988)</w:t>
      </w:r>
      <w:r w:rsidR="00826C2A">
        <w:t>,</w:t>
      </w:r>
      <w:r w:rsidRPr="002B2E9C">
        <w:t xml:space="preserve"> are the first to introduce a new product or technology into a market and </w:t>
      </w:r>
      <w:r w:rsidR="00826C2A">
        <w:t>can</w:t>
      </w:r>
      <w:r w:rsidRPr="002B2E9C">
        <w:t xml:space="preserve"> achieve early market dominance and customer loyalty. Followers, on the other hand, come later and learn from the pioneer's successes and failures. According to Suarez and </w:t>
      </w:r>
      <w:proofErr w:type="spellStart"/>
      <w:r w:rsidRPr="002B2E9C">
        <w:t>Lanzolla</w:t>
      </w:r>
      <w:proofErr w:type="spellEnd"/>
      <w:r w:rsidRPr="002B2E9C">
        <w:t xml:space="preserve"> (2007), pioneers benefit from first-mover advantages from brand leadership and from accumulated experience</w:t>
      </w:r>
      <w:r w:rsidR="00826C2A">
        <w:t>,</w:t>
      </w:r>
      <w:r w:rsidRPr="002B2E9C">
        <w:t xml:space="preserve"> but also experience high costs and risks with innovation. Followers have the advantage of watching the pioneers, adopting better technologies and focusing on better market segments. In the case of the EV industry, Tesla is the first-mover, while BMW is the follower, transitioning towards electrification by becoming incremental and hybridised.</w:t>
      </w:r>
    </w:p>
    <w:p w14:paraId="27CEFBB6" w14:textId="77777777" w:rsidR="00544787" w:rsidRPr="00544787" w:rsidRDefault="00544787" w:rsidP="009714F5">
      <w:pPr>
        <w:pStyle w:val="Heading2"/>
      </w:pPr>
      <w:bookmarkStart w:id="5" w:name="_Toc212193697"/>
      <w:r w:rsidRPr="00544787">
        <w:t>2.3 Strategic Marketing Frameworks</w:t>
      </w:r>
      <w:bookmarkEnd w:id="5"/>
    </w:p>
    <w:p w14:paraId="751CDBE3" w14:textId="3E2700F0" w:rsidR="0007239E" w:rsidRDefault="002B2E9C" w:rsidP="002B2E9C">
      <w:r w:rsidRPr="002B2E9C">
        <w:t xml:space="preserve">Porter's Generic Strategies, Ansoff's Growth Matrix and Blue Ocean Strategy are all used as structural models to assess how well an </w:t>
      </w:r>
      <w:r w:rsidR="00826C2A">
        <w:t>organisation</w:t>
      </w:r>
      <w:r w:rsidRPr="002B2E9C">
        <w:t xml:space="preserve"> is responding to environmental and technological change. Porter (1985) and Ansoff (1988) stress differentiation as one of the primary competitive advantage routes for the firm and market and product development as one of the growth dimensions. Kim and Mauborgne (2015) suggest that through innovation</w:t>
      </w:r>
      <w:r w:rsidR="00826C2A">
        <w:t>,</w:t>
      </w:r>
      <w:r w:rsidRPr="002B2E9C">
        <w:t xml:space="preserve"> firms can generate uncontested market space rather than competing in contested markets. These models are used to develop a comparative analysis of the strategic orientation of the Tesla and BMW companies.</w:t>
      </w:r>
      <w:r w:rsidR="0007239E">
        <w:br w:type="page"/>
      </w:r>
    </w:p>
    <w:p w14:paraId="6B2E655F" w14:textId="7DC12106" w:rsidR="00544787" w:rsidRPr="00544787" w:rsidRDefault="00544787" w:rsidP="009714F5">
      <w:pPr>
        <w:pStyle w:val="Heading1"/>
      </w:pPr>
      <w:bookmarkStart w:id="6" w:name="_Toc212193698"/>
      <w:r w:rsidRPr="00544787">
        <w:lastRenderedPageBreak/>
        <w:t>3. Task 1: Analysis of Technological and Environmental Factors</w:t>
      </w:r>
      <w:bookmarkEnd w:id="6"/>
    </w:p>
    <w:p w14:paraId="6DF3EBD7" w14:textId="77777777" w:rsidR="00544787" w:rsidRPr="00544787" w:rsidRDefault="00544787" w:rsidP="009714F5">
      <w:pPr>
        <w:pStyle w:val="Heading2"/>
      </w:pPr>
      <w:bookmarkStart w:id="7" w:name="_Toc212193699"/>
      <w:r w:rsidRPr="00544787">
        <w:t>3.1 Technological Factors</w:t>
      </w:r>
      <w:bookmarkEnd w:id="7"/>
    </w:p>
    <w:p w14:paraId="41AB7A89" w14:textId="64DE6534" w:rsidR="00544787" w:rsidRPr="00544787" w:rsidRDefault="00544787" w:rsidP="009714F5">
      <w:pPr>
        <w:pStyle w:val="Heading3"/>
      </w:pPr>
      <w:bookmarkStart w:id="8" w:name="_Toc212193700"/>
      <w:r w:rsidRPr="00544787">
        <w:t xml:space="preserve">3.1.1 </w:t>
      </w:r>
      <w:r w:rsidR="009714F5" w:rsidRPr="009714F5">
        <w:t>Global Technological Transformation in the EV Sector</w:t>
      </w:r>
      <w:bookmarkEnd w:id="8"/>
    </w:p>
    <w:p w14:paraId="6A88B51B" w14:textId="1E6CC7D1" w:rsidR="00544787" w:rsidRPr="00544787" w:rsidRDefault="00395EAA" w:rsidP="00544787">
      <w:r w:rsidRPr="00395EAA">
        <w:t>The development of electric vehicle technology has been the main driver of the change in the world's automotive scene. Since 2010, the price of lithium-ion batteries, which are the most expensive components of EVs, has fallen by more than 90% from US$1,200 per kWh to US$139 per kWh in 2023 (</w:t>
      </w:r>
      <w:proofErr w:type="spellStart"/>
      <w:r w:rsidRPr="00395EAA">
        <w:t>BloombergNEF</w:t>
      </w:r>
      <w:proofErr w:type="spellEnd"/>
      <w:r w:rsidRPr="00395EAA">
        <w:t xml:space="preserve">, 2023). This </w:t>
      </w:r>
      <w:r w:rsidR="00826C2A">
        <w:t>cost reduction</w:t>
      </w:r>
      <w:r w:rsidRPr="00395EAA">
        <w:t xml:space="preserve"> has allowed for </w:t>
      </w:r>
      <w:r w:rsidR="00EF0522">
        <w:t xml:space="preserve">the </w:t>
      </w:r>
      <w:r w:rsidR="00826C2A">
        <w:t>large-scale</w:t>
      </w:r>
      <w:r w:rsidRPr="00395EAA">
        <w:t xml:space="preserve"> commercialisation of EVs. Furthermore, advances in autonomous driving, vehicle connectivity and solid-state batteries have revolutionised both the performance of vehicles and the user experience.</w:t>
      </w:r>
    </w:p>
    <w:p w14:paraId="1998B6C3" w14:textId="77777777" w:rsidR="00544787" w:rsidRPr="00544787" w:rsidRDefault="00544787" w:rsidP="009714F5">
      <w:pPr>
        <w:pStyle w:val="Heading3"/>
      </w:pPr>
      <w:bookmarkStart w:id="9" w:name="_Toc212193701"/>
      <w:r w:rsidRPr="00544787">
        <w:t>3.1.2 Opportunities and Threats for Pioneers (Tesla)</w:t>
      </w:r>
      <w:bookmarkEnd w:id="9"/>
    </w:p>
    <w:p w14:paraId="6E38E29C" w14:textId="6BB3408E" w:rsidR="00D43939" w:rsidRDefault="005A3B19" w:rsidP="00D43939">
      <w:r>
        <w:t>For the pioneers such as Tesla, the advancement of technology offers an endless array of possibilities to innovate and lead the markets. Tesla's proprietary technologies, such as its 4680 battery cells</w:t>
      </w:r>
      <w:r w:rsidR="00826C2A">
        <w:t>,</w:t>
      </w:r>
      <w:r>
        <w:t xml:space="preserve"> have improved energy density by 16% while reducing production costs by 14% (Tesla Annual Report, 2023). The company has Gigafactories in Nevada, Shanghai and Berlin producing millions of cells per year and assuring vertical integration and cost efficiency (Stringham, Miller and Clark, 2015). </w:t>
      </w:r>
      <w:r w:rsidR="00D43939">
        <w:t xml:space="preserve">Tesla's software system, such as Autopilot and OTA, </w:t>
      </w:r>
      <w:r w:rsidR="00826C2A">
        <w:t>allows</w:t>
      </w:r>
      <w:r w:rsidR="00D43939">
        <w:t xml:space="preserve"> vehicles to be modified after a purchase, increasing customer loyalty and brand differentiation (Zhou et al., 2022).</w:t>
      </w:r>
    </w:p>
    <w:p w14:paraId="230592B7" w14:textId="77777777" w:rsidR="00962806" w:rsidRDefault="00962806" w:rsidP="00962806">
      <w:pPr>
        <w:keepNext/>
        <w:jc w:val="center"/>
      </w:pPr>
      <w:r>
        <w:rPr>
          <w:noProof/>
          <w:lang w:eastAsia="en-GB"/>
        </w:rPr>
        <w:drawing>
          <wp:inline distT="0" distB="0" distL="0" distR="0" wp14:anchorId="56BF861F" wp14:editId="7D23FF9C">
            <wp:extent cx="5731510" cy="2676525"/>
            <wp:effectExtent l="0" t="0" r="2540" b="9525"/>
            <wp:docPr id="583306782" name="Picture 1" descr="Tesla Business Strategy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sla Business Strategy Analysis"/>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27761" b="10326"/>
                    <a:stretch>
                      <a:fillRect/>
                    </a:stretch>
                  </pic:blipFill>
                  <pic:spPr bwMode="auto">
                    <a:xfrm>
                      <a:off x="0" y="0"/>
                      <a:ext cx="5731510" cy="2676525"/>
                    </a:xfrm>
                    <a:prstGeom prst="rect">
                      <a:avLst/>
                    </a:prstGeom>
                    <a:noFill/>
                    <a:ln>
                      <a:noFill/>
                    </a:ln>
                    <a:extLst>
                      <a:ext uri="{53640926-AAD7-44D8-BBD7-CCE9431645EC}">
                        <a14:shadowObscured xmlns:a14="http://schemas.microsoft.com/office/drawing/2010/main"/>
                      </a:ext>
                    </a:extLst>
                  </pic:spPr>
                </pic:pic>
              </a:graphicData>
            </a:graphic>
          </wp:inline>
        </w:drawing>
      </w:r>
    </w:p>
    <w:p w14:paraId="2F20ECBF" w14:textId="1D272318" w:rsidR="00FE1434" w:rsidRPr="00FE1434" w:rsidRDefault="00962806" w:rsidP="00FE1434">
      <w:pPr>
        <w:spacing w:after="0" w:line="240" w:lineRule="auto"/>
        <w:jc w:val="center"/>
        <w:rPr>
          <w:rFonts w:eastAsia="Times New Roman" w:cs="Times New Roman"/>
          <w:i/>
          <w:kern w:val="0"/>
          <w:sz w:val="18"/>
          <w:szCs w:val="18"/>
          <w:lang w:eastAsia="en-GB"/>
          <w14:ligatures w14:val="none"/>
        </w:rPr>
      </w:pPr>
      <w:r w:rsidRPr="00FE1434">
        <w:rPr>
          <w:i/>
          <w:sz w:val="18"/>
          <w:szCs w:val="18"/>
        </w:rPr>
        <w:t xml:space="preserve">Figure </w:t>
      </w:r>
      <w:r w:rsidR="002B64DF" w:rsidRPr="00FE1434">
        <w:rPr>
          <w:i/>
          <w:sz w:val="18"/>
          <w:szCs w:val="18"/>
        </w:rPr>
        <w:fldChar w:fldCharType="begin"/>
      </w:r>
      <w:r w:rsidR="002B64DF" w:rsidRPr="00FE1434">
        <w:rPr>
          <w:i/>
          <w:sz w:val="18"/>
          <w:szCs w:val="18"/>
        </w:rPr>
        <w:instrText xml:space="preserve"> SEQ Figure \* ARABIC </w:instrText>
      </w:r>
      <w:r w:rsidR="002B64DF" w:rsidRPr="00FE1434">
        <w:rPr>
          <w:i/>
          <w:sz w:val="18"/>
          <w:szCs w:val="18"/>
        </w:rPr>
        <w:fldChar w:fldCharType="separate"/>
      </w:r>
      <w:r w:rsidR="009B5A38" w:rsidRPr="00FE1434">
        <w:rPr>
          <w:i/>
          <w:noProof/>
          <w:sz w:val="18"/>
          <w:szCs w:val="18"/>
        </w:rPr>
        <w:t>1</w:t>
      </w:r>
      <w:r w:rsidR="002B64DF" w:rsidRPr="00FE1434">
        <w:rPr>
          <w:i/>
          <w:noProof/>
          <w:sz w:val="18"/>
          <w:szCs w:val="18"/>
        </w:rPr>
        <w:fldChar w:fldCharType="end"/>
      </w:r>
      <w:r w:rsidRPr="00FE1434">
        <w:rPr>
          <w:i/>
          <w:sz w:val="18"/>
          <w:szCs w:val="18"/>
        </w:rPr>
        <w:t xml:space="preserve">: </w:t>
      </w:r>
      <w:r w:rsidR="00FE1434" w:rsidRPr="00FE1434">
        <w:rPr>
          <w:rFonts w:eastAsia="Times New Roman" w:cs="Times New Roman"/>
          <w:i/>
          <w:kern w:val="0"/>
          <w:sz w:val="18"/>
          <w:szCs w:val="18"/>
          <w:lang w:eastAsia="en-GB"/>
          <w14:ligatures w14:val="none"/>
        </w:rPr>
        <w:t>Tesla Business Strategy Overview (</w:t>
      </w:r>
      <w:proofErr w:type="spellStart"/>
      <w:r w:rsidR="00FE1434" w:rsidRPr="00FE1434">
        <w:rPr>
          <w:rFonts w:eastAsia="Times New Roman" w:cs="Times New Roman"/>
          <w:i/>
          <w:kern w:val="0"/>
          <w:sz w:val="18"/>
          <w:szCs w:val="18"/>
          <w:lang w:eastAsia="en-GB"/>
          <w14:ligatures w14:val="none"/>
        </w:rPr>
        <w:t>Cuofano</w:t>
      </w:r>
      <w:proofErr w:type="spellEnd"/>
      <w:r w:rsidR="00FE1434" w:rsidRPr="00FE1434">
        <w:rPr>
          <w:rFonts w:eastAsia="Times New Roman" w:cs="Times New Roman"/>
          <w:i/>
          <w:kern w:val="0"/>
          <w:sz w:val="18"/>
          <w:szCs w:val="18"/>
          <w:lang w:eastAsia="en-GB"/>
          <w14:ligatures w14:val="none"/>
        </w:rPr>
        <w:t>, 2024)</w:t>
      </w:r>
    </w:p>
    <w:p w14:paraId="4D909409" w14:textId="5110D82F" w:rsidR="00962806" w:rsidRDefault="00962806" w:rsidP="00962806">
      <w:pPr>
        <w:pStyle w:val="Caption"/>
        <w:jc w:val="center"/>
      </w:pPr>
    </w:p>
    <w:p w14:paraId="52B4E1B4" w14:textId="56C07E45" w:rsidR="00544787" w:rsidRPr="00544787" w:rsidRDefault="00D43939" w:rsidP="00D43939">
      <w:r>
        <w:lastRenderedPageBreak/>
        <w:t xml:space="preserve">However, technological advancement also carries threats, especially if that advancement is fast. Tesla's heavy investment in R&amp;D </w:t>
      </w:r>
      <w:r w:rsidR="00826C2A">
        <w:t xml:space="preserve">of </w:t>
      </w:r>
      <w:r>
        <w:t xml:space="preserve">about US$3.1 billion each year is a source of financial vulnerability </w:t>
      </w:r>
      <w:r w:rsidRPr="00D43939">
        <w:t>(Macrotrends, 2024)</w:t>
      </w:r>
      <w:r>
        <w:t>. Moreover, fast-moving cycles of innovation add to the risk of technological obsolescence, while upstart competitors such as BYD, Rivian and Lucid Motors add to market rivalry.</w:t>
      </w:r>
    </w:p>
    <w:p w14:paraId="00438871" w14:textId="77777777" w:rsidR="00544787" w:rsidRPr="00544787" w:rsidRDefault="00544787" w:rsidP="009714F5">
      <w:pPr>
        <w:pStyle w:val="Heading3"/>
      </w:pPr>
      <w:bookmarkStart w:id="10" w:name="_Toc212193702"/>
      <w:r w:rsidRPr="00544787">
        <w:t>3.1.3 Opportunities and Threats for Followers (BMW)</w:t>
      </w:r>
      <w:bookmarkEnd w:id="10"/>
    </w:p>
    <w:p w14:paraId="1D9832ED" w14:textId="324D2180" w:rsidR="0093475E" w:rsidRDefault="0093475E" w:rsidP="0093475E">
      <w:r>
        <w:t>For followers such as BMW, technological change presents possibilities for adaptation and strategic learning. BMW released its first EV (Electric Vehicle)</w:t>
      </w:r>
      <w:r w:rsidR="00826C2A">
        <w:t>,</w:t>
      </w:r>
      <w:r>
        <w:t xml:space="preserve"> i.e. BMW i3</w:t>
      </w:r>
      <w:r w:rsidR="00826C2A">
        <w:t>,</w:t>
      </w:r>
      <w:r>
        <w:t xml:space="preserve"> followed by BMW i4 and BMW </w:t>
      </w:r>
      <w:proofErr w:type="spellStart"/>
      <w:r>
        <w:t>iX</w:t>
      </w:r>
      <w:proofErr w:type="spellEnd"/>
      <w:r>
        <w:t xml:space="preserve"> in 2013</w:t>
      </w:r>
      <w:r w:rsidR="00826C2A">
        <w:t>,</w:t>
      </w:r>
      <w:r>
        <w:t xml:space="preserve"> and in 2022-23 saw its EV sales increase by 74% (BMW Group, 2023). The company's modular platform strategy allows </w:t>
      </w:r>
      <w:r w:rsidR="00EF0522">
        <w:t>to produce</w:t>
      </w:r>
      <w:r>
        <w:t xml:space="preserve"> electric, hybrid and combustion models to be produced at the same time, which enhances operational flexibility.</w:t>
      </w:r>
    </w:p>
    <w:p w14:paraId="350EE993" w14:textId="77777777" w:rsidR="00041933" w:rsidRDefault="00F0280E" w:rsidP="00041933">
      <w:pPr>
        <w:keepNext/>
        <w:jc w:val="center"/>
      </w:pPr>
      <w:r>
        <w:rPr>
          <w:noProof/>
          <w:lang w:eastAsia="en-GB"/>
        </w:rPr>
        <w:drawing>
          <wp:inline distT="0" distB="0" distL="0" distR="0" wp14:anchorId="4BFE0BBE" wp14:editId="709027C2">
            <wp:extent cx="5731510" cy="3095625"/>
            <wp:effectExtent l="0" t="0" r="2540" b="9525"/>
            <wp:docPr id="687441966" name="Picture 2" descr="BMW Passes Tesla and Tops Europe's EV Sales Rankings for th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MW Passes Tesla and Tops Europe's EV Sales Rankings for th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095625"/>
                    </a:xfrm>
                    <a:prstGeom prst="rect">
                      <a:avLst/>
                    </a:prstGeom>
                    <a:noFill/>
                    <a:ln>
                      <a:noFill/>
                    </a:ln>
                  </pic:spPr>
                </pic:pic>
              </a:graphicData>
            </a:graphic>
          </wp:inline>
        </w:drawing>
      </w:r>
    </w:p>
    <w:p w14:paraId="63ACE80E" w14:textId="5D501BE1" w:rsidR="00F0280E" w:rsidRDefault="00041933" w:rsidP="0025150C">
      <w:pPr>
        <w:spacing w:after="0" w:line="240" w:lineRule="auto"/>
        <w:jc w:val="center"/>
        <w:rPr>
          <w:rFonts w:eastAsia="Times New Roman" w:cs="Times New Roman"/>
          <w:i/>
          <w:kern w:val="0"/>
          <w:sz w:val="18"/>
          <w:szCs w:val="18"/>
          <w:lang w:eastAsia="en-GB"/>
          <w14:ligatures w14:val="none"/>
        </w:rPr>
      </w:pPr>
      <w:r w:rsidRPr="0025150C">
        <w:rPr>
          <w:i/>
          <w:sz w:val="18"/>
          <w:szCs w:val="18"/>
        </w:rPr>
        <w:t xml:space="preserve">Figure </w:t>
      </w:r>
      <w:r w:rsidR="002B64DF" w:rsidRPr="0025150C">
        <w:rPr>
          <w:i/>
          <w:sz w:val="18"/>
          <w:szCs w:val="18"/>
        </w:rPr>
        <w:fldChar w:fldCharType="begin"/>
      </w:r>
      <w:r w:rsidR="002B64DF" w:rsidRPr="0025150C">
        <w:rPr>
          <w:i/>
          <w:sz w:val="18"/>
          <w:szCs w:val="18"/>
        </w:rPr>
        <w:instrText xml:space="preserve"> SEQ Figure \* ARABIC </w:instrText>
      </w:r>
      <w:r w:rsidR="002B64DF" w:rsidRPr="0025150C">
        <w:rPr>
          <w:i/>
          <w:sz w:val="18"/>
          <w:szCs w:val="18"/>
        </w:rPr>
        <w:fldChar w:fldCharType="separate"/>
      </w:r>
      <w:r w:rsidR="009B5A38" w:rsidRPr="0025150C">
        <w:rPr>
          <w:i/>
          <w:noProof/>
          <w:sz w:val="18"/>
          <w:szCs w:val="18"/>
        </w:rPr>
        <w:t>2</w:t>
      </w:r>
      <w:r w:rsidR="002B64DF" w:rsidRPr="0025150C">
        <w:rPr>
          <w:i/>
          <w:noProof/>
          <w:sz w:val="18"/>
          <w:szCs w:val="18"/>
        </w:rPr>
        <w:fldChar w:fldCharType="end"/>
      </w:r>
      <w:r w:rsidRPr="0025150C">
        <w:rPr>
          <w:i/>
          <w:sz w:val="18"/>
          <w:szCs w:val="18"/>
        </w:rPr>
        <w:t xml:space="preserve">: </w:t>
      </w:r>
      <w:r w:rsidR="0025150C" w:rsidRPr="0025150C">
        <w:rPr>
          <w:rFonts w:eastAsia="Times New Roman" w:cs="Times New Roman"/>
          <w:i/>
          <w:kern w:val="0"/>
          <w:sz w:val="18"/>
          <w:szCs w:val="18"/>
          <w:lang w:eastAsia="en-GB"/>
          <w14:ligatures w14:val="none"/>
        </w:rPr>
        <w:t>BMW Passed Up Tesla Last Month in Europe (Bloomberg, 2023)</w:t>
      </w:r>
    </w:p>
    <w:p w14:paraId="654A69CB" w14:textId="77777777" w:rsidR="0025150C" w:rsidRPr="0025150C" w:rsidRDefault="0025150C" w:rsidP="0025150C">
      <w:pPr>
        <w:spacing w:after="0" w:line="240" w:lineRule="auto"/>
        <w:jc w:val="center"/>
        <w:rPr>
          <w:rFonts w:eastAsia="Times New Roman" w:cs="Times New Roman"/>
          <w:i/>
          <w:kern w:val="0"/>
          <w:sz w:val="18"/>
          <w:szCs w:val="18"/>
          <w:lang w:eastAsia="en-GB"/>
          <w14:ligatures w14:val="none"/>
        </w:rPr>
      </w:pPr>
    </w:p>
    <w:p w14:paraId="62C65592" w14:textId="3BE2D1E5" w:rsidR="00544787" w:rsidRPr="00544787" w:rsidRDefault="0093475E" w:rsidP="0093475E">
      <w:r>
        <w:t xml:space="preserve">However, it is limited by the fact that BMW relies on third-party software suppliers and battery suppliers. Unlike Tesla's integrated model of innovation, BMW's response to incremental innovation is slow to react. Despite all these challenges, BMW's partnerships with companies such as Solid Power for </w:t>
      </w:r>
      <w:r w:rsidR="00826C2A">
        <w:t>solid-state</w:t>
      </w:r>
      <w:r>
        <w:t xml:space="preserve"> battery development are expected to help batteries become 50% more efficient by 2027 (BMW Sustainability Report, 2023).</w:t>
      </w:r>
    </w:p>
    <w:p w14:paraId="043534AA" w14:textId="77777777" w:rsidR="00544787" w:rsidRPr="00544787" w:rsidRDefault="00544787" w:rsidP="009714F5">
      <w:pPr>
        <w:pStyle w:val="Heading2"/>
      </w:pPr>
      <w:bookmarkStart w:id="11" w:name="_Toc212193703"/>
      <w:r w:rsidRPr="00544787">
        <w:lastRenderedPageBreak/>
        <w:t>3.2 Environmental Factors</w:t>
      </w:r>
      <w:bookmarkEnd w:id="11"/>
    </w:p>
    <w:p w14:paraId="08320C71" w14:textId="77777777" w:rsidR="00544787" w:rsidRPr="00544787" w:rsidRDefault="00544787" w:rsidP="009714F5">
      <w:pPr>
        <w:pStyle w:val="Heading3"/>
      </w:pPr>
      <w:bookmarkStart w:id="12" w:name="_Toc212193704"/>
      <w:r w:rsidRPr="00544787">
        <w:t>3.2.1 Global Environmental Dynamics</w:t>
      </w:r>
      <w:bookmarkEnd w:id="12"/>
    </w:p>
    <w:p w14:paraId="031404C0" w14:textId="67D4FD28" w:rsidR="00544787" w:rsidRPr="00544787" w:rsidRDefault="00836F9C" w:rsidP="00544787">
      <w:r w:rsidRPr="00836F9C">
        <w:t xml:space="preserve">The growing need to combat climate change has caused environmental factors to be a dominant force in the EV industry. The transport sector produces approximately 25% of the entire carbon dioxide in the world, with road vehicles contributing to nearly </w:t>
      </w:r>
      <w:r w:rsidR="00826C2A">
        <w:t>three-quarters</w:t>
      </w:r>
      <w:r w:rsidRPr="00836F9C">
        <w:t xml:space="preserve"> of this figure (IEA, 2023). To mitigate these impacts to </w:t>
      </w:r>
      <w:r w:rsidR="00826C2A">
        <w:t>a</w:t>
      </w:r>
      <w:r w:rsidRPr="00836F9C">
        <w:t xml:space="preserve"> minimum, governments have made stringent emission standards and incentives for adopting EVs. The European Union's 2035 </w:t>
      </w:r>
      <w:r w:rsidR="00826C2A">
        <w:t>zero-emission</w:t>
      </w:r>
      <w:r w:rsidRPr="00836F9C">
        <w:t xml:space="preserve"> vehicle mandate and the US Inflation Reduction Act (2022) are two examples of regulatory changes that are driving market change.</w:t>
      </w:r>
    </w:p>
    <w:p w14:paraId="3206E7FB" w14:textId="77777777" w:rsidR="00544787" w:rsidRPr="00544787" w:rsidRDefault="00544787" w:rsidP="009714F5">
      <w:pPr>
        <w:pStyle w:val="Heading3"/>
      </w:pPr>
      <w:bookmarkStart w:id="13" w:name="_Toc212193705"/>
      <w:r w:rsidRPr="00544787">
        <w:t>3.2.2 Opportunities and Threats for Pioneers (Tesla)</w:t>
      </w:r>
      <w:bookmarkEnd w:id="13"/>
    </w:p>
    <w:p w14:paraId="24931F97" w14:textId="04EC1861" w:rsidR="0087652F" w:rsidRDefault="00A52313" w:rsidP="0087652F">
      <w:r w:rsidRPr="00A52313">
        <w:t>In the case of Tesla, the brand identity was based on the environment. The company is a global leader in eco-innovation as its mission is to increase the process of switching to sustainable energy.</w:t>
      </w:r>
      <w:r w:rsidR="006308E1" w:rsidRPr="006308E1">
        <w:t xml:space="preserve"> Tesla's </w:t>
      </w:r>
      <w:r w:rsidR="00826C2A">
        <w:t>zero-emission</w:t>
      </w:r>
      <w:r w:rsidR="006308E1" w:rsidRPr="006308E1">
        <w:t xml:space="preserve"> cars and renewable energy</w:t>
      </w:r>
      <w:r w:rsidR="00826C2A">
        <w:t>,</w:t>
      </w:r>
      <w:r w:rsidR="006308E1" w:rsidRPr="006308E1">
        <w:t xml:space="preserve"> such as solar panels and batteries (Powerwall)</w:t>
      </w:r>
      <w:r w:rsidR="00826C2A">
        <w:t>,</w:t>
      </w:r>
      <w:r w:rsidR="006308E1" w:rsidRPr="006308E1">
        <w:t xml:space="preserve"> reinforce the sustainability credentials (Hardman et al., 2017).</w:t>
      </w:r>
      <w:r w:rsidR="0087652F">
        <w:t xml:space="preserve"> In 2023, Tesla sold 1.8 million electric vehicles (</w:t>
      </w:r>
      <w:r w:rsidR="00826C2A">
        <w:t>EVs</w:t>
      </w:r>
      <w:r w:rsidR="0087652F">
        <w:t xml:space="preserve">), which represents 17% of the </w:t>
      </w:r>
      <w:r w:rsidR="00826C2A">
        <w:t>global</w:t>
      </w:r>
      <w:r w:rsidR="0087652F">
        <w:t xml:space="preserve"> EV market share (IEA, 2024).</w:t>
      </w:r>
    </w:p>
    <w:p w14:paraId="7E29B808" w14:textId="77777777" w:rsidR="00277014" w:rsidRDefault="00277014" w:rsidP="00277014">
      <w:pPr>
        <w:keepNext/>
        <w:jc w:val="center"/>
      </w:pPr>
      <w:r>
        <w:rPr>
          <w:noProof/>
          <w:lang w:eastAsia="en-GB"/>
        </w:rPr>
        <w:drawing>
          <wp:inline distT="0" distB="0" distL="0" distR="0" wp14:anchorId="2D4153AA" wp14:editId="63C8FE42">
            <wp:extent cx="5731510" cy="3276600"/>
            <wp:effectExtent l="0" t="0" r="2540" b="0"/>
            <wp:docPr id="1432901402" name="Picture 3" descr="Is Tesla Really Doing More Harm than Good to the Environ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s Tesla Really Doing More Harm than Good to the Environment?"/>
                    <pic:cNvPicPr>
                      <a:picLocks noChangeAspect="1" noChangeArrowheads="1"/>
                    </pic:cNvPicPr>
                  </pic:nvPicPr>
                  <pic:blipFill rotWithShape="1">
                    <a:blip r:embed="rId10">
                      <a:extLst>
                        <a:ext uri="{28A0092B-C50C-407E-A947-70E740481C1C}">
                          <a14:useLocalDpi xmlns:a14="http://schemas.microsoft.com/office/drawing/2010/main" val="0"/>
                        </a:ext>
                      </a:extLst>
                    </a:blip>
                    <a:srcRect b="19963"/>
                    <a:stretch>
                      <a:fillRect/>
                    </a:stretch>
                  </pic:blipFill>
                  <pic:spPr bwMode="auto">
                    <a:xfrm>
                      <a:off x="0" y="0"/>
                      <a:ext cx="5731510" cy="3276600"/>
                    </a:xfrm>
                    <a:prstGeom prst="rect">
                      <a:avLst/>
                    </a:prstGeom>
                    <a:noFill/>
                    <a:ln>
                      <a:noFill/>
                    </a:ln>
                    <a:extLst>
                      <a:ext uri="{53640926-AAD7-44D8-BBD7-CCE9431645EC}">
                        <a14:shadowObscured xmlns:a14="http://schemas.microsoft.com/office/drawing/2010/main"/>
                      </a:ext>
                    </a:extLst>
                  </pic:spPr>
                </pic:pic>
              </a:graphicData>
            </a:graphic>
          </wp:inline>
        </w:drawing>
      </w:r>
    </w:p>
    <w:p w14:paraId="06552B09" w14:textId="6578FBA7" w:rsidR="00277014" w:rsidRPr="0025150C" w:rsidRDefault="00277014" w:rsidP="007D7BC2">
      <w:pPr>
        <w:spacing w:after="0" w:line="240" w:lineRule="auto"/>
        <w:jc w:val="center"/>
        <w:rPr>
          <w:rFonts w:eastAsia="Times New Roman" w:cs="Times New Roman"/>
          <w:i/>
          <w:kern w:val="0"/>
          <w:sz w:val="18"/>
          <w:szCs w:val="18"/>
          <w:lang w:eastAsia="en-GB"/>
          <w14:ligatures w14:val="none"/>
        </w:rPr>
      </w:pPr>
      <w:r w:rsidRPr="0025150C">
        <w:rPr>
          <w:i/>
          <w:sz w:val="18"/>
          <w:szCs w:val="18"/>
        </w:rPr>
        <w:t xml:space="preserve">Figure </w:t>
      </w:r>
      <w:r w:rsidR="002B64DF" w:rsidRPr="0025150C">
        <w:rPr>
          <w:i/>
          <w:sz w:val="18"/>
          <w:szCs w:val="18"/>
        </w:rPr>
        <w:fldChar w:fldCharType="begin"/>
      </w:r>
      <w:r w:rsidR="002B64DF" w:rsidRPr="0025150C">
        <w:rPr>
          <w:i/>
          <w:sz w:val="18"/>
          <w:szCs w:val="18"/>
        </w:rPr>
        <w:instrText xml:space="preserve"> SEQ Figure \* ARABIC </w:instrText>
      </w:r>
      <w:r w:rsidR="002B64DF" w:rsidRPr="0025150C">
        <w:rPr>
          <w:i/>
          <w:sz w:val="18"/>
          <w:szCs w:val="18"/>
        </w:rPr>
        <w:fldChar w:fldCharType="separate"/>
      </w:r>
      <w:r w:rsidR="009B5A38" w:rsidRPr="0025150C">
        <w:rPr>
          <w:i/>
          <w:noProof/>
          <w:sz w:val="18"/>
          <w:szCs w:val="18"/>
        </w:rPr>
        <w:t>3</w:t>
      </w:r>
      <w:r w:rsidR="002B64DF" w:rsidRPr="0025150C">
        <w:rPr>
          <w:i/>
          <w:noProof/>
          <w:sz w:val="18"/>
          <w:szCs w:val="18"/>
        </w:rPr>
        <w:fldChar w:fldCharType="end"/>
      </w:r>
      <w:r w:rsidRPr="0025150C">
        <w:rPr>
          <w:i/>
          <w:sz w:val="18"/>
          <w:szCs w:val="18"/>
        </w:rPr>
        <w:t>:</w:t>
      </w:r>
      <w:r w:rsidR="007D7BC2" w:rsidRPr="0025150C">
        <w:rPr>
          <w:i/>
          <w:sz w:val="18"/>
          <w:szCs w:val="18"/>
        </w:rPr>
        <w:t xml:space="preserve">Co2 Emissions by Car Types  </w:t>
      </w:r>
      <w:r w:rsidR="007D7BC2" w:rsidRPr="0025150C">
        <w:rPr>
          <w:rFonts w:eastAsia="Times New Roman" w:cs="Times New Roman"/>
          <w:i/>
          <w:kern w:val="0"/>
          <w:sz w:val="18"/>
          <w:szCs w:val="18"/>
          <w:lang w:eastAsia="en-GB"/>
          <w14:ligatures w14:val="none"/>
        </w:rPr>
        <w:t>(Market Realist, 2019)</w:t>
      </w:r>
    </w:p>
    <w:p w14:paraId="5CEF978C" w14:textId="77777777" w:rsidR="007D7BC2" w:rsidRPr="007D7BC2" w:rsidRDefault="007D7BC2" w:rsidP="007D7BC2">
      <w:pPr>
        <w:spacing w:after="0" w:line="240" w:lineRule="auto"/>
        <w:jc w:val="center"/>
        <w:rPr>
          <w:rFonts w:eastAsia="Times New Roman" w:cs="Times New Roman"/>
          <w:kern w:val="0"/>
          <w:sz w:val="18"/>
          <w:szCs w:val="18"/>
          <w:lang w:eastAsia="en-GB"/>
          <w14:ligatures w14:val="none"/>
        </w:rPr>
      </w:pPr>
    </w:p>
    <w:p w14:paraId="336DC412" w14:textId="42B9903B" w:rsidR="00544787" w:rsidRPr="00544787" w:rsidRDefault="0087652F" w:rsidP="0087652F">
      <w:r>
        <w:t xml:space="preserve">Nevertheless, Tesla is exposed to environmental threats, specifically </w:t>
      </w:r>
      <w:r w:rsidR="00826C2A">
        <w:t>in</w:t>
      </w:r>
      <w:r>
        <w:t xml:space="preserve"> the disposal of batteries and the mining of raw materials. Lithium and cobalt mining, which are important </w:t>
      </w:r>
      <w:r w:rsidR="00EF0522">
        <w:t>to produce</w:t>
      </w:r>
      <w:r>
        <w:t xml:space="preserve"> </w:t>
      </w:r>
      <w:r>
        <w:lastRenderedPageBreak/>
        <w:t xml:space="preserve">EVs, have raised concerns about ecological damage and unethical labour practices (Vikström, Davidsson and Höök, 2013). As a result, Tesla has invested in battery recycling via Redwood Materials </w:t>
      </w:r>
      <w:r w:rsidR="00826C2A">
        <w:t>to recycle</w:t>
      </w:r>
      <w:r>
        <w:t xml:space="preserve"> 95% of critical metals by 2030.</w:t>
      </w:r>
    </w:p>
    <w:p w14:paraId="1507B7D7" w14:textId="77777777" w:rsidR="00544787" w:rsidRPr="00544787" w:rsidRDefault="00544787" w:rsidP="009714F5">
      <w:pPr>
        <w:pStyle w:val="Heading3"/>
      </w:pPr>
      <w:bookmarkStart w:id="14" w:name="_Toc212193706"/>
      <w:r w:rsidRPr="00544787">
        <w:t>3.2.3 Opportunities and Threats for Followers (BMW)</w:t>
      </w:r>
      <w:bookmarkEnd w:id="14"/>
    </w:p>
    <w:p w14:paraId="346BF7C2" w14:textId="58463630" w:rsidR="0087652F" w:rsidRDefault="0087652F" w:rsidP="0087652F">
      <w:r>
        <w:t>BMW</w:t>
      </w:r>
      <w:r w:rsidR="00826C2A">
        <w:t>,</w:t>
      </w:r>
      <w:r>
        <w:t xml:space="preserve"> as a traditional automaker</w:t>
      </w:r>
      <w:r w:rsidR="00826C2A">
        <w:t>,</w:t>
      </w:r>
      <w:r>
        <w:t xml:space="preserve"> first saw environmental regulation as a matter of compliance but later as an opportunity for strategic change. Its "Circular Economy Strategy" aims to ensure the use of recycled materials of up to 50% in vehicle production and to achieve carbon neutrality in 2050 (BMW Sustainability Report, 2023). Between 2019 and 2023, BMW succeeded in a 22% reduction in its per-vehicle CO2 emissions, which </w:t>
      </w:r>
      <w:r w:rsidR="00826C2A">
        <w:t>is</w:t>
      </w:r>
      <w:r>
        <w:t xml:space="preserve"> concrete evidence of environmental improvements (BMW Group, 2023).</w:t>
      </w:r>
    </w:p>
    <w:p w14:paraId="34E0CFF0" w14:textId="77777777" w:rsidR="009B5A38" w:rsidRDefault="004E2E61" w:rsidP="009B5A38">
      <w:pPr>
        <w:keepNext/>
        <w:jc w:val="center"/>
      </w:pPr>
      <w:r>
        <w:rPr>
          <w:noProof/>
          <w:lang w:eastAsia="en-GB"/>
        </w:rPr>
        <w:drawing>
          <wp:inline distT="0" distB="0" distL="0" distR="0" wp14:anchorId="434285E5" wp14:editId="110EF110">
            <wp:extent cx="5731510" cy="2999740"/>
            <wp:effectExtent l="0" t="0" r="2540" b="0"/>
            <wp:docPr id="1516077338" name="Picture 4" descr="Life Cycle Emissions: EVs vs. Combustion Engine Vehic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Life Cycle Emissions: EVs vs. Combustion Engine Vehicl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999740"/>
                    </a:xfrm>
                    <a:prstGeom prst="rect">
                      <a:avLst/>
                    </a:prstGeom>
                    <a:noFill/>
                    <a:ln>
                      <a:noFill/>
                    </a:ln>
                  </pic:spPr>
                </pic:pic>
              </a:graphicData>
            </a:graphic>
          </wp:inline>
        </w:drawing>
      </w:r>
    </w:p>
    <w:p w14:paraId="242BE4EB" w14:textId="1F1773D4" w:rsidR="004E2E61" w:rsidRPr="007D7BC2" w:rsidRDefault="009B5A38" w:rsidP="00E41485">
      <w:pPr>
        <w:spacing w:after="0" w:line="240" w:lineRule="auto"/>
        <w:jc w:val="center"/>
        <w:rPr>
          <w:rFonts w:eastAsia="Times New Roman" w:cs="Times New Roman"/>
          <w:i/>
          <w:kern w:val="0"/>
          <w:sz w:val="18"/>
          <w:szCs w:val="18"/>
          <w:lang w:eastAsia="en-GB"/>
          <w14:ligatures w14:val="none"/>
        </w:rPr>
      </w:pPr>
      <w:r w:rsidRPr="007D7BC2">
        <w:rPr>
          <w:i/>
          <w:sz w:val="18"/>
          <w:szCs w:val="18"/>
        </w:rPr>
        <w:t xml:space="preserve">Figure </w:t>
      </w:r>
      <w:r w:rsidR="002B64DF" w:rsidRPr="007D7BC2">
        <w:rPr>
          <w:i/>
          <w:sz w:val="18"/>
          <w:szCs w:val="18"/>
        </w:rPr>
        <w:fldChar w:fldCharType="begin"/>
      </w:r>
      <w:r w:rsidR="002B64DF" w:rsidRPr="007D7BC2">
        <w:rPr>
          <w:i/>
          <w:sz w:val="18"/>
          <w:szCs w:val="18"/>
        </w:rPr>
        <w:instrText xml:space="preserve"> SEQ Figure \* ARABIC </w:instrText>
      </w:r>
      <w:r w:rsidR="002B64DF" w:rsidRPr="007D7BC2">
        <w:rPr>
          <w:i/>
          <w:sz w:val="18"/>
          <w:szCs w:val="18"/>
        </w:rPr>
        <w:fldChar w:fldCharType="separate"/>
      </w:r>
      <w:r w:rsidRPr="007D7BC2">
        <w:rPr>
          <w:i/>
          <w:noProof/>
          <w:sz w:val="18"/>
          <w:szCs w:val="18"/>
        </w:rPr>
        <w:t>4</w:t>
      </w:r>
      <w:r w:rsidR="002B64DF" w:rsidRPr="007D7BC2">
        <w:rPr>
          <w:i/>
          <w:noProof/>
          <w:sz w:val="18"/>
          <w:szCs w:val="18"/>
        </w:rPr>
        <w:fldChar w:fldCharType="end"/>
      </w:r>
      <w:r w:rsidRPr="007D7BC2">
        <w:rPr>
          <w:i/>
          <w:sz w:val="18"/>
          <w:szCs w:val="18"/>
        </w:rPr>
        <w:t xml:space="preserve">: </w:t>
      </w:r>
      <w:r w:rsidR="00E41485" w:rsidRPr="007D7BC2">
        <w:rPr>
          <w:i/>
          <w:sz w:val="18"/>
          <w:szCs w:val="18"/>
        </w:rPr>
        <w:t xml:space="preserve">Life Cycle Emissions </w:t>
      </w:r>
      <w:r w:rsidR="00E41485" w:rsidRPr="007D7BC2">
        <w:rPr>
          <w:rFonts w:eastAsia="Times New Roman" w:cs="Times New Roman"/>
          <w:i/>
          <w:kern w:val="0"/>
          <w:sz w:val="18"/>
          <w:szCs w:val="18"/>
          <w:lang w:eastAsia="en-GB"/>
          <w14:ligatures w14:val="none"/>
        </w:rPr>
        <w:t>(Visual Capitalist, 2023)</w:t>
      </w:r>
    </w:p>
    <w:p w14:paraId="61C357B1" w14:textId="6D5B26E2" w:rsidR="00E41485" w:rsidRPr="00E41485" w:rsidRDefault="007D7BC2" w:rsidP="007D7BC2">
      <w:pPr>
        <w:tabs>
          <w:tab w:val="left" w:pos="5048"/>
        </w:tabs>
        <w:spacing w:after="0" w:line="240" w:lineRule="auto"/>
        <w:jc w:val="left"/>
        <w:rPr>
          <w:rFonts w:eastAsia="Times New Roman" w:cs="Times New Roman"/>
          <w:kern w:val="0"/>
          <w:lang w:eastAsia="en-GB"/>
          <w14:ligatures w14:val="none"/>
        </w:rPr>
      </w:pPr>
      <w:r>
        <w:rPr>
          <w:rFonts w:eastAsia="Times New Roman" w:cs="Times New Roman"/>
          <w:kern w:val="0"/>
          <w:lang w:eastAsia="en-GB"/>
          <w14:ligatures w14:val="none"/>
        </w:rPr>
        <w:tab/>
      </w:r>
    </w:p>
    <w:p w14:paraId="63F60E7F" w14:textId="1899A23C" w:rsidR="00544787" w:rsidRPr="00544787" w:rsidRDefault="0087652F" w:rsidP="0087652F">
      <w:r>
        <w:t>However, adaptation to the environment has a high transition cost. Between 2020 and 2024, BMW invested EUR 35 billion into electrification and green manufacturing. Furthermore, the maintenance of both combustion and electric product lines makes operations complex and provides a higher level of regulatory pressure. Environmental expectations thus present an opportunity for brand renewals</w:t>
      </w:r>
      <w:r w:rsidR="00826C2A">
        <w:t>,</w:t>
      </w:r>
      <w:r>
        <w:t xml:space="preserve"> but at the same time, they expose the vulnerability of legacy manufacturers, both structurally and in terms of cost.</w:t>
      </w:r>
    </w:p>
    <w:p w14:paraId="0C8737DA" w14:textId="77777777" w:rsidR="0007239E" w:rsidRDefault="0007239E">
      <w:pPr>
        <w:spacing w:after="160" w:line="278" w:lineRule="auto"/>
        <w:jc w:val="left"/>
      </w:pPr>
      <w:r>
        <w:br w:type="page"/>
      </w:r>
    </w:p>
    <w:p w14:paraId="07C07F96" w14:textId="77777777" w:rsidR="009242F9" w:rsidRPr="009242F9" w:rsidRDefault="009242F9" w:rsidP="009714F5">
      <w:pPr>
        <w:pStyle w:val="Heading1"/>
      </w:pPr>
      <w:bookmarkStart w:id="15" w:name="_Toc212193707"/>
      <w:r w:rsidRPr="009242F9">
        <w:lastRenderedPageBreak/>
        <w:t>4. Task 2: Strategic Responses of Pioneers and Followers</w:t>
      </w:r>
      <w:bookmarkEnd w:id="15"/>
    </w:p>
    <w:p w14:paraId="7EEB5D41" w14:textId="77777777" w:rsidR="009242F9" w:rsidRPr="009242F9" w:rsidRDefault="009242F9" w:rsidP="002E71D5">
      <w:pPr>
        <w:pStyle w:val="Heading2"/>
      </w:pPr>
      <w:bookmarkStart w:id="16" w:name="_Toc212193708"/>
      <w:r w:rsidRPr="009242F9">
        <w:t>4.1 Tesla’s Strategic Response</w:t>
      </w:r>
      <w:bookmarkEnd w:id="16"/>
    </w:p>
    <w:p w14:paraId="2665768F" w14:textId="77777777" w:rsidR="009242F9" w:rsidRPr="009242F9" w:rsidRDefault="009242F9" w:rsidP="002E71D5">
      <w:pPr>
        <w:pStyle w:val="Heading3"/>
      </w:pPr>
      <w:bookmarkStart w:id="17" w:name="_Toc212193709"/>
      <w:r w:rsidRPr="009242F9">
        <w:t>4.1.1 Technological Strategy</w:t>
      </w:r>
      <w:bookmarkEnd w:id="17"/>
    </w:p>
    <w:p w14:paraId="2A9EAA1C" w14:textId="2C2D5B9A" w:rsidR="00036E2B" w:rsidRDefault="00A52313" w:rsidP="00036E2B">
      <w:r w:rsidRPr="00A52313">
        <w:t>The reaction of Tesla to this dynamical technical truth is a culture of ingrained innovativeness and dexterity. The company is inspired by the Porters Differentiation Strategy (1985) which focuses on the differentiation of variables of technological and experience values which can make the business stand out against the competition group. Long-term commitment to further innovation can be evidenced by heavy investment in R&amp;D, which exceeds the US$3 billion per year (Macrotrends, 2024). The vertically integrated production model of Tesla enables it to exercise control over nearly all the areas of its value chain using raw materials to customer service.</w:t>
      </w:r>
    </w:p>
    <w:p w14:paraId="23F0CF36" w14:textId="3C99C7EE" w:rsidR="00036E2B" w:rsidRDefault="00036E2B" w:rsidP="00036E2B">
      <w:r>
        <w:t>The Gigafactory model is the ultimate embodiment of Tesla's technological vision. These plants are situated around the world</w:t>
      </w:r>
      <w:r w:rsidR="00826C2A">
        <w:t>,</w:t>
      </w:r>
      <w:r>
        <w:t xml:space="preserve"> such as in the United States, Germany and China and </w:t>
      </w:r>
      <w:r w:rsidR="00826C2A">
        <w:t>can</w:t>
      </w:r>
      <w:r>
        <w:t xml:space="preserve"> manufacture batteries and vehicles at a large scale</w:t>
      </w:r>
      <w:r w:rsidR="00826C2A">
        <w:t>,</w:t>
      </w:r>
      <w:r>
        <w:t xml:space="preserve"> which cuts down on costs through economies of scale and supply chain efficiency (Stringham, Miller and Clark, 2015). Tesla's 4680 battery technology increases range and lifespan while decreasing the manufacturing cost - making it affordable to </w:t>
      </w:r>
      <w:r w:rsidR="009B5A38">
        <w:t xml:space="preserve">the </w:t>
      </w:r>
      <w:r>
        <w:t>mass market.</w:t>
      </w:r>
    </w:p>
    <w:p w14:paraId="684A18B1" w14:textId="2D518F1B" w:rsidR="00036E2B" w:rsidRDefault="00036E2B" w:rsidP="00036E2B">
      <w:r>
        <w:t xml:space="preserve">Furthermore, Tesla's software approach, which underpins its Autopilot and Full Self-Driving (FSD) functions, gives a long-term competitive advantage in terms of data. Tesla vehicles can use machine learning algorithms and over-the-air updates to continuously improve their functionality after the sale (Zhou et al., 2022). This example of the integration between technology and customer experience is an example of the Resource-Based View (Barney, 1991) wherein proprietary software, </w:t>
      </w:r>
      <w:r w:rsidR="00826C2A">
        <w:t>patents</w:t>
      </w:r>
      <w:r>
        <w:t xml:space="preserve"> and real-time data are strategic resources that are unique and difficult for competitors to imitate.</w:t>
      </w:r>
    </w:p>
    <w:p w14:paraId="155787AA" w14:textId="1538285F" w:rsidR="009242F9" w:rsidRPr="009242F9" w:rsidRDefault="00036E2B" w:rsidP="00036E2B">
      <w:r>
        <w:t xml:space="preserve">However, Tesla's innovation-driven model has its challenges, including the cost of research and development increasing and the increasing </w:t>
      </w:r>
      <w:r w:rsidR="00826C2A">
        <w:t>regulatory</w:t>
      </w:r>
      <w:r>
        <w:t xml:space="preserve"> scrutiny towards autonomous driving systems. It is globally interconnected and</w:t>
      </w:r>
      <w:r w:rsidR="00826C2A">
        <w:t>,</w:t>
      </w:r>
      <w:r>
        <w:t xml:space="preserve"> therefore</w:t>
      </w:r>
      <w:r w:rsidR="00826C2A">
        <w:t>,</w:t>
      </w:r>
      <w:r>
        <w:t xml:space="preserve"> vulnerable to geopolitical risks, including the supply of raw materials. Despite these limitations, Tesla's high brand association with innovation helps lead the EV market.</w:t>
      </w:r>
    </w:p>
    <w:p w14:paraId="59FC3888" w14:textId="77777777" w:rsidR="009242F9" w:rsidRPr="009242F9" w:rsidRDefault="009242F9" w:rsidP="002E71D5">
      <w:pPr>
        <w:pStyle w:val="Heading3"/>
      </w:pPr>
      <w:bookmarkStart w:id="18" w:name="_Toc212193710"/>
      <w:r w:rsidRPr="009242F9">
        <w:lastRenderedPageBreak/>
        <w:t>4.1.2 Environmental and Marketing Strategy</w:t>
      </w:r>
      <w:bookmarkEnd w:id="18"/>
    </w:p>
    <w:p w14:paraId="006CA185" w14:textId="77777777" w:rsidR="00640146" w:rsidRDefault="00640146" w:rsidP="00640146">
      <w:r>
        <w:t>Tesla's branding goes hand-in-hand with the company's mission to benefit the environment. The brand is synonymous with sustainable and technological disruption. Using the Blue Ocean Strategy concepts (Kim and Mauborgne, 2015), Tesla redefined the automobile as a product not for transportation but rather more like an aspirational and sustainable lifestyle product. As well, the company's marketing has been based on digital platforms and word-of-mouth promotion rather than traditional advertising which saves around US$2 billion per year in promotional spending (Mangram, 2012).</w:t>
      </w:r>
    </w:p>
    <w:p w14:paraId="627D1FEA" w14:textId="77777777" w:rsidR="00640146" w:rsidRDefault="00640146" w:rsidP="00640146">
      <w:r>
        <w:t>Besides the positive impacts on the environment, the Tesla approach also provides real financial gains. In 2023, Tesla generated sales from regulatory carbon credits of US$1.79 billion (Tesla Annual Report 2023), highlighting the potential value in creating a market for environmental compliance. Furthermore, Tesla incorporates sustainability throughout its production process through investing in battery recycling and renewable manufacturing processes. Its work with Redwood Materials is geared towards the recovery of 95% critical minerals to establish a closed loop supply system by 2030.</w:t>
      </w:r>
    </w:p>
    <w:p w14:paraId="5AAE7595" w14:textId="753E417A" w:rsidR="009242F9" w:rsidRPr="009242F9" w:rsidRDefault="00640146" w:rsidP="00640146">
      <w:r>
        <w:t>However, Tesla's leadership in the field of environmentalism is not without controversy. Analysts raise doubts on the sustainability of lithium mining and environmental impact of battery production. Despite these challenges, the company's forward-thinking approach in regards to green technologies is a key factor in its status as a leader in sustainable innovation.</w:t>
      </w:r>
    </w:p>
    <w:p w14:paraId="7B89202D" w14:textId="77777777" w:rsidR="009242F9" w:rsidRPr="009242F9" w:rsidRDefault="009242F9" w:rsidP="002E71D5">
      <w:pPr>
        <w:pStyle w:val="Heading2"/>
      </w:pPr>
      <w:bookmarkStart w:id="19" w:name="_Toc212193711"/>
      <w:r w:rsidRPr="009242F9">
        <w:t>4.2 BMW’s Strategic Response</w:t>
      </w:r>
      <w:bookmarkEnd w:id="19"/>
    </w:p>
    <w:p w14:paraId="56A446DF" w14:textId="77777777" w:rsidR="009242F9" w:rsidRPr="009242F9" w:rsidRDefault="009242F9" w:rsidP="00F77E31">
      <w:pPr>
        <w:pStyle w:val="Heading3"/>
      </w:pPr>
      <w:bookmarkStart w:id="20" w:name="_Toc212193712"/>
      <w:r w:rsidRPr="009242F9">
        <w:t>4.2.1 Technological Strategy</w:t>
      </w:r>
      <w:bookmarkEnd w:id="20"/>
    </w:p>
    <w:p w14:paraId="4C098F68" w14:textId="77777777" w:rsidR="00447ADD" w:rsidRDefault="00447ADD" w:rsidP="00447ADD">
      <w:r>
        <w:t>BMW's adaptation response to technological change is a follower adaptation model and is typified by risk aversion and incremental change. The company combines electrification with its traditional core competencies and implements the electrification in an existing premium vehicle architecture. The Neue Klasse platform, which is due for launch in 2025, will unify electric, hybrid and combustion production lines, which are expected to lower production costs by 30% (BMW Group, 2023).</w:t>
      </w:r>
    </w:p>
    <w:p w14:paraId="25CF7342" w14:textId="5AB21649" w:rsidR="00447ADD" w:rsidRDefault="00447ADD" w:rsidP="00447ADD">
      <w:r>
        <w:t xml:space="preserve">Collaboration is one of BMW's key strategies. BMW is also working on autonomous driving technologies with partners like Intel and Mobileye, and on solid-state battery technologies with Solid Power. This approach is consistent with the theory of open innovation, which enables </w:t>
      </w:r>
      <w:r>
        <w:lastRenderedPageBreak/>
        <w:t xml:space="preserve">BMW to utilise external knowledge and share the financial risks of making </w:t>
      </w:r>
      <w:r w:rsidR="00826C2A">
        <w:t>large-scale</w:t>
      </w:r>
      <w:r>
        <w:t xml:space="preserve"> technological changes (Shinkle and Suchard, 2019).</w:t>
      </w:r>
    </w:p>
    <w:p w14:paraId="578BA652" w14:textId="228562BA" w:rsidR="009242F9" w:rsidRPr="009242F9" w:rsidRDefault="00447ADD" w:rsidP="00447ADD">
      <w:r>
        <w:t>Although this is a strength, BMW is also challenged intrinsically by having to maintain a dual-technology portfolio. Producing combustion engine vehicles at the same time is inefficient and delays the comprehensive change. While incremental innovation offers BMW stability, it can make it seem less agile than the fully electric leaders like Tesla and BYD.</w:t>
      </w:r>
    </w:p>
    <w:p w14:paraId="23787228" w14:textId="77777777" w:rsidR="009242F9" w:rsidRPr="009242F9" w:rsidRDefault="009242F9" w:rsidP="00F77E31">
      <w:pPr>
        <w:pStyle w:val="Heading3"/>
      </w:pPr>
      <w:bookmarkStart w:id="21" w:name="_Toc212193713"/>
      <w:r w:rsidRPr="009242F9">
        <w:t>4.2.2 Environmental and Marketing Strategy</w:t>
      </w:r>
      <w:bookmarkEnd w:id="21"/>
    </w:p>
    <w:p w14:paraId="32166781" w14:textId="77777777" w:rsidR="00056B44" w:rsidRDefault="00B406BB" w:rsidP="00056B44">
      <w:r>
        <w:t xml:space="preserve">BMW's approach to the environment is well underpinned </w:t>
      </w:r>
      <w:r w:rsidR="00826C2A">
        <w:t>by</w:t>
      </w:r>
      <w:r>
        <w:t xml:space="preserve"> </w:t>
      </w:r>
      <w:r w:rsidR="00826C2A">
        <w:t>its</w:t>
      </w:r>
      <w:r>
        <w:t xml:space="preserve"> Corporate Social Responsibility (CSR) and Circular Economy principles. The company's RE:</w:t>
      </w:r>
      <w:r w:rsidR="00826C2A">
        <w:t xml:space="preserve"> </w:t>
      </w:r>
      <w:r>
        <w:t>THINK, RE:</w:t>
      </w:r>
      <w:r w:rsidR="00826C2A">
        <w:t xml:space="preserve"> </w:t>
      </w:r>
      <w:r>
        <w:t>DUCE, RE:</w:t>
      </w:r>
      <w:r w:rsidR="00826C2A">
        <w:t xml:space="preserve"> </w:t>
      </w:r>
      <w:r>
        <w:t>USE, RE:</w:t>
      </w:r>
      <w:r w:rsidR="00826C2A">
        <w:t xml:space="preserve"> </w:t>
      </w:r>
      <w:r>
        <w:t xml:space="preserve">CYCLE framework is a summary of its big-picture sustainability philosophy (BMW Sustainability Report, 2023). </w:t>
      </w:r>
      <w:r w:rsidR="00260A2F">
        <w:t xml:space="preserve">BMW has a vision to be carbon neutral throughout its value chain by 2050 and to reduce vehicle life cycle emissions by 40 </w:t>
      </w:r>
      <w:r w:rsidR="00826C2A">
        <w:t>per cent</w:t>
      </w:r>
      <w:r w:rsidR="00260A2F">
        <w:t xml:space="preserve"> by 2030. </w:t>
      </w:r>
      <w:r w:rsidR="00056B44">
        <w:t xml:space="preserve">This is supported by innovative projects such as the BMW </w:t>
      </w:r>
      <w:proofErr w:type="spellStart"/>
      <w:r w:rsidR="00056B44">
        <w:t>i</w:t>
      </w:r>
      <w:proofErr w:type="spellEnd"/>
      <w:r w:rsidR="00056B44">
        <w:t xml:space="preserve"> Vision Circular, a concept car, designed entirely out of recycled materials.</w:t>
      </w:r>
    </w:p>
    <w:p w14:paraId="208D91B0" w14:textId="77777777" w:rsidR="00056B44" w:rsidRDefault="00056B44" w:rsidP="00056B44">
      <w:r>
        <w:t>From a marketing standpoint, it is notable that BMW was able to put sustainability in its premium identity in a strategic way. Campaigns like "Born Electric" highlight the brand's focus on luxury and sustainability. BMW's focus on eco-performance appeals to rich consumers who wish to have status and sustainability on the same time.</w:t>
      </w:r>
    </w:p>
    <w:p w14:paraId="6B166D29" w14:textId="32D07A17" w:rsidR="009242F9" w:rsidRPr="009242F9" w:rsidRDefault="00056B44" w:rsidP="00056B44">
      <w:r>
        <w:t>However, due to BMW's traditional dealer-based sales model, the level of interaction between the customers and the company is less than that of Tesla's online model. This restricts the firm from collecting behavioural data and tailoring their marketing experiences. However, the way taken by BMW is a balanced approach between heritage and innovation in line with long-term sustainability goals, without compromising brand prestige.</w:t>
      </w:r>
    </w:p>
    <w:p w14:paraId="149C7B59" w14:textId="77777777" w:rsidR="00907B72" w:rsidRDefault="00907B72">
      <w:pPr>
        <w:spacing w:after="160" w:line="278" w:lineRule="auto"/>
        <w:jc w:val="left"/>
      </w:pPr>
      <w:r>
        <w:br w:type="page"/>
      </w:r>
    </w:p>
    <w:p w14:paraId="3E89378D" w14:textId="30C51AA8" w:rsidR="009242F9" w:rsidRPr="009242F9" w:rsidRDefault="009242F9" w:rsidP="00F77E31">
      <w:pPr>
        <w:pStyle w:val="Heading1"/>
      </w:pPr>
      <w:bookmarkStart w:id="22" w:name="_Toc212193714"/>
      <w:r w:rsidRPr="009242F9">
        <w:lastRenderedPageBreak/>
        <w:t>5. Discussion</w:t>
      </w:r>
      <w:bookmarkEnd w:id="22"/>
    </w:p>
    <w:p w14:paraId="05BCF332" w14:textId="77777777" w:rsidR="00DB63EC" w:rsidRDefault="00DB63EC" w:rsidP="00DB63EC">
      <w:r>
        <w:t>The comparison and contrast strategy between Tesla and BMW illustrates two different reactions to the macro issues of technology, law and the environment. As a pioneer, Tesla has agility and innovation-led disruption, using vertical integration, proprietary technologies, and software ecosystems to generate competitive advantages that are sustainable (Barney, 1991). Its strategy is similar to the Blue Ocean strategy, which targets uncontested areas in the market by innovation breakthroughs and sustainability-based goods (Kim and Mauborgne, 2015). Instead, BMW is a stable, conservative strategy based on the traditions of engineering superiority and cooperation. Its alliances with Intel and Solid Power (Shinkle and Suchard, 2019) and its adherence to the requirements of the EU sustainability frameworks makes it a systematic follower that gradually responds to the changing environmental and regulatory challenges.</w:t>
      </w:r>
    </w:p>
    <w:p w14:paraId="3384B9A9" w14:textId="3CCA7F3C" w:rsidR="00907B72" w:rsidRDefault="00DB63EC" w:rsidP="00DB63EC">
      <w:r>
        <w:t xml:space="preserve">Both companies fit into </w:t>
      </w:r>
      <w:proofErr w:type="spellStart"/>
      <w:r>
        <w:t>Belz</w:t>
      </w:r>
      <w:proofErr w:type="spellEnd"/>
      <w:r>
        <w:t xml:space="preserve"> and </w:t>
      </w:r>
      <w:proofErr w:type="spellStart"/>
      <w:r>
        <w:t>Peatties</w:t>
      </w:r>
      <w:proofErr w:type="spellEnd"/>
      <w:r>
        <w:t xml:space="preserve"> (2012) framework of sustainability marketing and make business strategy incorporate environmental stewardship. The success of Tesla can be attributed to how it has adopted sustainability as brand innovation, as opposed to BMW that is doing it as corporate transformation. Tesla has a market share of 17 percent and BMW has a market share of 4.5 percent, with EV sales quantitative increasing to 14 million in 2023, compared to 3 million in 2020 (IEA, 2024; </w:t>
      </w:r>
      <w:proofErr w:type="spellStart"/>
      <w:r>
        <w:t>BloombergNEF</w:t>
      </w:r>
      <w:proofErr w:type="spellEnd"/>
      <w:r>
        <w:t>, 2023). With the regulation becoming stricter, the challenge Tesla faces is the need to keep innovative with the increasing competition, and BMW needs to speed up its transition to technology without losing its brand equity and high image.</w:t>
      </w:r>
      <w:r w:rsidR="00907B72">
        <w:br w:type="page"/>
      </w:r>
    </w:p>
    <w:p w14:paraId="7425654C" w14:textId="71430787" w:rsidR="00907B72" w:rsidRPr="00907B72" w:rsidRDefault="00907B72" w:rsidP="00F77E31">
      <w:pPr>
        <w:pStyle w:val="Heading1"/>
      </w:pPr>
      <w:bookmarkStart w:id="23" w:name="_Toc212193715"/>
      <w:r w:rsidRPr="00907B72">
        <w:lastRenderedPageBreak/>
        <w:t>6. Conclusion</w:t>
      </w:r>
      <w:bookmarkEnd w:id="23"/>
    </w:p>
    <w:p w14:paraId="6245D194" w14:textId="6080614B" w:rsidR="00F425C5" w:rsidRDefault="00F425C5" w:rsidP="00F425C5">
      <w:r>
        <w:t xml:space="preserve">This report has been critical in the analysis of effects of technological and environmental macro-environmental factors on the electric vehicle industry, and Tesla as a pioneer and BMW as a follower companies. </w:t>
      </w:r>
      <w:r w:rsidR="00FE1434">
        <w:t>S</w:t>
      </w:r>
      <w:r>
        <w:t>trategy priorities and consumer behaviour has been transformed by environmental concerns.</w:t>
      </w:r>
    </w:p>
    <w:p w14:paraId="2B85FBB9" w14:textId="7335FE19" w:rsidR="00F425C5" w:rsidRDefault="00F425C5" w:rsidP="00F425C5">
      <w:r>
        <w:t>The innovative style that Tesla practices demonstrates the strength of first mover innovation and sustainability-oriented marketing in disruption of old industries. The adaptive strategy of BMW is a practical approach to transforming systems in the long run, but it is slower and strikes a balance between the old system.</w:t>
      </w:r>
    </w:p>
    <w:p w14:paraId="0E31A33D" w14:textId="4E16C3B2" w:rsidR="00907B72" w:rsidRPr="00907B72" w:rsidRDefault="00F425C5" w:rsidP="00F425C5">
      <w:r>
        <w:t>Finally, to succeed in the EV sector sustainably, the company has to be agile in strategy, technologically at the forefront, and with an actual interest in being environmentally responsible. The companies that will include these dimensions will be the second chapter of automotive marketing and international mobility.</w:t>
      </w:r>
    </w:p>
    <w:p w14:paraId="505D3EA9" w14:textId="77777777" w:rsidR="00A82A8E" w:rsidRDefault="00A82A8E">
      <w:pPr>
        <w:spacing w:after="160" w:line="278" w:lineRule="auto"/>
        <w:jc w:val="left"/>
      </w:pPr>
      <w:r>
        <w:br w:type="page"/>
      </w:r>
    </w:p>
    <w:p w14:paraId="5CE3201E" w14:textId="501551E0" w:rsidR="00A82A8E" w:rsidRDefault="00A82A8E" w:rsidP="00A82A8E">
      <w:pPr>
        <w:pStyle w:val="Heading1"/>
      </w:pPr>
      <w:bookmarkStart w:id="24" w:name="_Toc212193716"/>
      <w:r>
        <w:lastRenderedPageBreak/>
        <w:t>References</w:t>
      </w:r>
      <w:bookmarkEnd w:id="24"/>
    </w:p>
    <w:p w14:paraId="570D21C8" w14:textId="77777777" w:rsidR="008A41BE" w:rsidRPr="004B6ACD" w:rsidRDefault="008A41BE" w:rsidP="004B6ACD">
      <w:pPr>
        <w:ind w:left="720" w:hanging="720"/>
      </w:pPr>
      <w:r w:rsidRPr="004B6ACD">
        <w:t>Ansoff, H.I. (1988)</w:t>
      </w:r>
      <w:r>
        <w:t>.</w:t>
      </w:r>
      <w:r w:rsidRPr="004B6ACD">
        <w:t xml:space="preserve"> </w:t>
      </w:r>
      <w:r w:rsidRPr="004B6ACD">
        <w:rPr>
          <w:i/>
          <w:iCs/>
        </w:rPr>
        <w:t>The New Corporate Strategy</w:t>
      </w:r>
      <w:r w:rsidRPr="004B6ACD">
        <w:t>. New York: Wiley.</w:t>
      </w:r>
    </w:p>
    <w:p w14:paraId="2DD5DF15" w14:textId="77777777" w:rsidR="008A41BE" w:rsidRPr="004B6ACD" w:rsidRDefault="008A41BE" w:rsidP="004B6ACD">
      <w:pPr>
        <w:ind w:left="720" w:hanging="720"/>
      </w:pPr>
      <w:r w:rsidRPr="004B6ACD">
        <w:t xml:space="preserve">Barney, J. (1991) ‘Firm resources and sustained competitive advantage’, </w:t>
      </w:r>
      <w:r w:rsidRPr="004B6ACD">
        <w:rPr>
          <w:i/>
          <w:iCs/>
        </w:rPr>
        <w:t>Journal of Management</w:t>
      </w:r>
      <w:r w:rsidRPr="004B6ACD">
        <w:t>, 17(1), pp. 99–120.</w:t>
      </w:r>
    </w:p>
    <w:p w14:paraId="00DBF1EA" w14:textId="77777777" w:rsidR="008A41BE" w:rsidRPr="004B6ACD" w:rsidRDefault="008A41BE" w:rsidP="004B6ACD">
      <w:pPr>
        <w:ind w:left="720" w:hanging="720"/>
      </w:pPr>
      <w:r w:rsidRPr="004B6ACD">
        <w:t>Belz, F.-M. and Peattie, K. (2012)</w:t>
      </w:r>
      <w:r>
        <w:t>.</w:t>
      </w:r>
      <w:r w:rsidRPr="004B6ACD">
        <w:t xml:space="preserve"> </w:t>
      </w:r>
      <w:r w:rsidRPr="004B6ACD">
        <w:rPr>
          <w:i/>
          <w:iCs/>
        </w:rPr>
        <w:t>Sustainability Marketing: A Global Perspective</w:t>
      </w:r>
      <w:r w:rsidRPr="004B6ACD">
        <w:t xml:space="preserve">. 2nd </w:t>
      </w:r>
      <w:proofErr w:type="spellStart"/>
      <w:r w:rsidRPr="004B6ACD">
        <w:t>edn</w:t>
      </w:r>
      <w:proofErr w:type="spellEnd"/>
      <w:r w:rsidRPr="004B6ACD">
        <w:t>. Chichester: Wiley.</w:t>
      </w:r>
    </w:p>
    <w:p w14:paraId="7B5D274B" w14:textId="7E3B44EA" w:rsidR="0025150C" w:rsidRDefault="008A41BE" w:rsidP="0025150C">
      <w:pPr>
        <w:ind w:left="720" w:hanging="720"/>
      </w:pPr>
      <w:proofErr w:type="spellStart"/>
      <w:r w:rsidRPr="004B6ACD">
        <w:t>BloombergNEF</w:t>
      </w:r>
      <w:proofErr w:type="spellEnd"/>
      <w:r w:rsidRPr="004B6ACD">
        <w:t xml:space="preserve"> (2023) </w:t>
      </w:r>
      <w:r w:rsidRPr="004B6ACD">
        <w:rPr>
          <w:i/>
          <w:iCs/>
        </w:rPr>
        <w:t>Battery Price Survey 2023</w:t>
      </w:r>
      <w:r w:rsidRPr="004B6ACD">
        <w:t xml:space="preserve">. Available at: </w:t>
      </w:r>
      <w:hyperlink r:id="rId12" w:history="1">
        <w:r w:rsidRPr="008825D2">
          <w:rPr>
            <w:rStyle w:val="Hyperlink"/>
          </w:rPr>
          <w:t>https://about.bnef.com/insights/clean-energy/lithium-ion-battery-pack-prices-hit-record-low-of-139-kwh/</w:t>
        </w:r>
      </w:hyperlink>
      <w:r>
        <w:t xml:space="preserve"> </w:t>
      </w:r>
    </w:p>
    <w:p w14:paraId="1764CAA3" w14:textId="4D1B97E2" w:rsidR="0025150C" w:rsidRPr="004B6ACD" w:rsidRDefault="0025150C" w:rsidP="0025150C">
      <w:pPr>
        <w:ind w:left="720" w:hanging="720"/>
      </w:pPr>
      <w:r w:rsidRPr="0025150C">
        <w:rPr>
          <w:rFonts w:eastAsia="Times New Roman" w:cs="Times New Roman"/>
          <w:kern w:val="0"/>
          <w:lang w:eastAsia="en-GB"/>
          <w14:ligatures w14:val="none"/>
        </w:rPr>
        <w:t xml:space="preserve">Bloomberg (2023) </w:t>
      </w:r>
      <w:r w:rsidRPr="0025150C">
        <w:rPr>
          <w:rFonts w:eastAsia="Times New Roman" w:cs="Times New Roman"/>
          <w:i/>
          <w:iCs/>
          <w:kern w:val="0"/>
          <w:lang w:eastAsia="en-GB"/>
          <w14:ligatures w14:val="none"/>
        </w:rPr>
        <w:t>BMW Passed Up Tesla Last Month in Europe: US brand still leads in EV sales on year-to-date basis</w:t>
      </w:r>
      <w:r w:rsidRPr="0025150C">
        <w:rPr>
          <w:rFonts w:eastAsia="Times New Roman" w:cs="Times New Roman"/>
          <w:kern w:val="0"/>
          <w:lang w:eastAsia="en-GB"/>
          <w14:ligatures w14:val="none"/>
        </w:rPr>
        <w:t xml:space="preserve">. Data source: </w:t>
      </w:r>
      <w:proofErr w:type="spellStart"/>
      <w:r w:rsidRPr="0025150C">
        <w:rPr>
          <w:rFonts w:eastAsia="Times New Roman" w:cs="Times New Roman"/>
          <w:kern w:val="0"/>
          <w:lang w:eastAsia="en-GB"/>
          <w14:ligatures w14:val="none"/>
        </w:rPr>
        <w:t>Jato</w:t>
      </w:r>
      <w:proofErr w:type="spellEnd"/>
      <w:r w:rsidRPr="0025150C">
        <w:rPr>
          <w:rFonts w:eastAsia="Times New Roman" w:cs="Times New Roman"/>
          <w:kern w:val="0"/>
          <w:lang w:eastAsia="en-GB"/>
          <w14:ligatures w14:val="none"/>
        </w:rPr>
        <w:t xml:space="preserve"> Dynamics. Available at: https://www.bloomberg.com/ </w:t>
      </w:r>
    </w:p>
    <w:p w14:paraId="6D23AB41" w14:textId="42CFC9EE" w:rsidR="008A41BE" w:rsidRPr="004B6ACD" w:rsidRDefault="008A41BE" w:rsidP="004B6ACD">
      <w:pPr>
        <w:ind w:left="720" w:hanging="720"/>
      </w:pPr>
      <w:r w:rsidRPr="004B6ACD">
        <w:t xml:space="preserve">BMW Group (2023) </w:t>
      </w:r>
      <w:r w:rsidRPr="004B6ACD">
        <w:rPr>
          <w:i/>
          <w:iCs/>
        </w:rPr>
        <w:t>BMW Group Report 2023 (Sustainability and Innovation)</w:t>
      </w:r>
      <w:r w:rsidRPr="004B6ACD">
        <w:t xml:space="preserve">. Munich: BMW AG. Available at: </w:t>
      </w:r>
      <w:hyperlink r:id="rId13" w:history="1">
        <w:r w:rsidRPr="008825D2">
          <w:rPr>
            <w:rStyle w:val="Hyperlink"/>
          </w:rPr>
          <w:t>https://www.bmw.nl/content/dam/bmw/common/topics/fascination-bmw/electromobility2020-new/sustainability-new/BMW-Group-Report-2023-en.pdf.asset.1718789075868.pdf</w:t>
        </w:r>
      </w:hyperlink>
      <w:r>
        <w:t xml:space="preserve">  </w:t>
      </w:r>
    </w:p>
    <w:p w14:paraId="24B6A1E2" w14:textId="77777777" w:rsidR="00FE1434" w:rsidRDefault="008A41BE" w:rsidP="00FE1434">
      <w:pPr>
        <w:ind w:left="720" w:hanging="720"/>
      </w:pPr>
      <w:r w:rsidRPr="004B6ACD">
        <w:t xml:space="preserve">BMW Group (2023) </w:t>
      </w:r>
      <w:r w:rsidRPr="004B6ACD">
        <w:rPr>
          <w:i/>
          <w:iCs/>
        </w:rPr>
        <w:t>BMW Group Sustainability Report 2023</w:t>
      </w:r>
      <w:r w:rsidRPr="004B6ACD">
        <w:t xml:space="preserve">. Munich: BMW AG. Available at: </w:t>
      </w:r>
      <w:hyperlink r:id="rId14" w:history="1">
        <w:r w:rsidRPr="008825D2">
          <w:rPr>
            <w:rStyle w:val="Hyperlink"/>
          </w:rPr>
          <w:t>https://www.bmwgroup.com/en/report/2023/downloads/BMW-Group-Report-2023-en.pdf</w:t>
        </w:r>
      </w:hyperlink>
      <w:r>
        <w:t xml:space="preserve"> </w:t>
      </w:r>
    </w:p>
    <w:p w14:paraId="017A230B" w14:textId="4158CAFC" w:rsidR="00FE1434" w:rsidRPr="004B6ACD" w:rsidRDefault="00FE1434" w:rsidP="00FE1434">
      <w:pPr>
        <w:ind w:left="720" w:hanging="720"/>
      </w:pPr>
      <w:proofErr w:type="spellStart"/>
      <w:r>
        <w:rPr>
          <w:rFonts w:eastAsia="Times New Roman"/>
        </w:rPr>
        <w:t>Cuofano</w:t>
      </w:r>
      <w:proofErr w:type="spellEnd"/>
      <w:r>
        <w:rPr>
          <w:rFonts w:eastAsia="Times New Roman"/>
        </w:rPr>
        <w:t xml:space="preserve">, G. (2024) </w:t>
      </w:r>
      <w:r>
        <w:rPr>
          <w:rStyle w:val="Emphasis"/>
          <w:rFonts w:eastAsia="Times New Roman"/>
        </w:rPr>
        <w:t>Tesla Business Strategy Analysis</w:t>
      </w:r>
      <w:r>
        <w:rPr>
          <w:rFonts w:eastAsia="Times New Roman"/>
        </w:rPr>
        <w:t xml:space="preserve">. </w:t>
      </w:r>
      <w:proofErr w:type="spellStart"/>
      <w:r>
        <w:rPr>
          <w:rFonts w:eastAsia="Times New Roman"/>
        </w:rPr>
        <w:t>FourWeekMBA</w:t>
      </w:r>
      <w:proofErr w:type="spellEnd"/>
      <w:r>
        <w:rPr>
          <w:rFonts w:eastAsia="Times New Roman"/>
        </w:rPr>
        <w:t xml:space="preserve">. Available at: </w:t>
      </w:r>
      <w:hyperlink r:id="rId15" w:tgtFrame="_new" w:history="1">
        <w:r>
          <w:rPr>
            <w:rStyle w:val="Hyperlink"/>
            <w:rFonts w:eastAsia="Times New Roman"/>
          </w:rPr>
          <w:t>https://fourweekmba.com/tesla-business-strategy/</w:t>
        </w:r>
      </w:hyperlink>
      <w:r>
        <w:rPr>
          <w:rFonts w:eastAsia="Times New Roman"/>
        </w:rPr>
        <w:t xml:space="preserve"> </w:t>
      </w:r>
      <w:r>
        <w:rPr>
          <w:rFonts w:eastAsia="Times New Roman"/>
        </w:rPr>
        <w:t xml:space="preserve"> </w:t>
      </w:r>
    </w:p>
    <w:p w14:paraId="6CCFEA61" w14:textId="77777777" w:rsidR="008A41BE" w:rsidRPr="004B6ACD" w:rsidRDefault="008A41BE" w:rsidP="004B6ACD">
      <w:pPr>
        <w:ind w:left="720" w:hanging="720"/>
      </w:pPr>
      <w:r w:rsidRPr="004B6ACD">
        <w:t xml:space="preserve">Hardman, S., Shiu, E. and Steinberger-Wilckens, R. (2017) ‘Comparing high-end and low-end early adopters of battery electric vehicles’, </w:t>
      </w:r>
      <w:r w:rsidRPr="004B6ACD">
        <w:rPr>
          <w:i/>
          <w:iCs/>
        </w:rPr>
        <w:t>Transportation Research Part A: Policy and Practice</w:t>
      </w:r>
      <w:r w:rsidRPr="004B6ACD">
        <w:t>, 88, pp. 40–57.</w:t>
      </w:r>
    </w:p>
    <w:p w14:paraId="7F5F69CB" w14:textId="77777777" w:rsidR="008A41BE" w:rsidRPr="004B6ACD" w:rsidRDefault="008A41BE" w:rsidP="004B6ACD">
      <w:pPr>
        <w:ind w:left="720" w:hanging="720"/>
      </w:pPr>
      <w:r w:rsidRPr="004B6ACD">
        <w:t xml:space="preserve">International Energy Agency (IEA) (2023) </w:t>
      </w:r>
      <w:r w:rsidRPr="004B6ACD">
        <w:rPr>
          <w:i/>
          <w:iCs/>
        </w:rPr>
        <w:t>Global EV Outlook 2023</w:t>
      </w:r>
      <w:r w:rsidRPr="004B6ACD">
        <w:t xml:space="preserve">. Paris: IEA. Available at: </w:t>
      </w:r>
      <w:hyperlink r:id="rId16" w:history="1">
        <w:r w:rsidRPr="008825D2">
          <w:rPr>
            <w:rStyle w:val="Hyperlink"/>
          </w:rPr>
          <w:t>https://www.iea.org/reports/global-ev-outlook-2023</w:t>
        </w:r>
      </w:hyperlink>
      <w:r>
        <w:t xml:space="preserve"> </w:t>
      </w:r>
      <w:r w:rsidRPr="004B6ACD">
        <w:t>(Accessed: 22 October 2025).</w:t>
      </w:r>
    </w:p>
    <w:p w14:paraId="0A6A99F2" w14:textId="5E708020" w:rsidR="008A41BE" w:rsidRPr="004B6ACD" w:rsidRDefault="008A41BE" w:rsidP="004B6ACD">
      <w:pPr>
        <w:ind w:left="720" w:hanging="720"/>
      </w:pPr>
      <w:r w:rsidRPr="004B6ACD">
        <w:t xml:space="preserve">International Energy Agency (IEA) (2024) </w:t>
      </w:r>
      <w:r w:rsidRPr="004B6ACD">
        <w:rPr>
          <w:i/>
          <w:iCs/>
        </w:rPr>
        <w:t>Global EV Outlook 2024</w:t>
      </w:r>
      <w:r w:rsidRPr="004B6ACD">
        <w:t xml:space="preserve"> (and associated market updates). Paris: IEA. Available at: </w:t>
      </w:r>
      <w:hyperlink r:id="rId17" w:history="1">
        <w:r w:rsidRPr="008825D2">
          <w:rPr>
            <w:rStyle w:val="Hyperlink"/>
          </w:rPr>
          <w:t>https://www.iiea.com/energy/?gad_source=1&amp;gad_campaignid=1065244934&amp;gclid=</w:t>
        </w:r>
        <w:r w:rsidRPr="008825D2">
          <w:rPr>
            <w:rStyle w:val="Hyperlink"/>
          </w:rPr>
          <w:lastRenderedPageBreak/>
          <w:t>CjwKCAjwpOfHBhAxEiwAm1SwEmO2E9yKHYl3o2qc0JR1YqO0Cb-FWHk-Ofps08Qd4QjH967vtxBbYRoCNpIQAvD_BwE</w:t>
        </w:r>
      </w:hyperlink>
      <w:r>
        <w:t xml:space="preserve"> </w:t>
      </w:r>
    </w:p>
    <w:p w14:paraId="36A07C82" w14:textId="77777777" w:rsidR="008A41BE" w:rsidRPr="004B6ACD" w:rsidRDefault="008A41BE" w:rsidP="004B6ACD">
      <w:pPr>
        <w:ind w:left="720" w:hanging="720"/>
      </w:pPr>
      <w:r w:rsidRPr="004B6ACD">
        <w:t xml:space="preserve">Johnson, G., Whittington, R., Scholes, K., Angwin, D. and </w:t>
      </w:r>
      <w:proofErr w:type="spellStart"/>
      <w:r w:rsidRPr="004B6ACD">
        <w:t>Regnér</w:t>
      </w:r>
      <w:proofErr w:type="spellEnd"/>
      <w:r w:rsidRPr="004B6ACD">
        <w:t>, P. (2020)</w:t>
      </w:r>
      <w:r>
        <w:t>.</w:t>
      </w:r>
      <w:r w:rsidRPr="004B6ACD">
        <w:t xml:space="preserve"> </w:t>
      </w:r>
      <w:r w:rsidRPr="004B6ACD">
        <w:rPr>
          <w:i/>
          <w:iCs/>
        </w:rPr>
        <w:t>Exploring Strategy: Text and Cases</w:t>
      </w:r>
      <w:r w:rsidRPr="004B6ACD">
        <w:t xml:space="preserve">. 12th </w:t>
      </w:r>
      <w:proofErr w:type="spellStart"/>
      <w:r w:rsidRPr="004B6ACD">
        <w:t>edn</w:t>
      </w:r>
      <w:proofErr w:type="spellEnd"/>
      <w:r w:rsidRPr="004B6ACD">
        <w:t>. Harlow: Pearson.</w:t>
      </w:r>
    </w:p>
    <w:p w14:paraId="45D5456B" w14:textId="77777777" w:rsidR="008A41BE" w:rsidRPr="004B6ACD" w:rsidRDefault="008A41BE" w:rsidP="004B6ACD">
      <w:pPr>
        <w:ind w:left="720" w:hanging="720"/>
      </w:pPr>
      <w:r w:rsidRPr="004B6ACD">
        <w:t xml:space="preserve">Kim, W.C. and Mauborgne, R. (2015) </w:t>
      </w:r>
      <w:r w:rsidRPr="004B6ACD">
        <w:rPr>
          <w:i/>
          <w:iCs/>
        </w:rPr>
        <w:t>Blue Ocean Strategy: How to Create Uncontested Market Space and Make the Competition Irrelevant</w:t>
      </w:r>
      <w:r w:rsidRPr="004B6ACD">
        <w:t xml:space="preserve">. 2nd </w:t>
      </w:r>
      <w:proofErr w:type="spellStart"/>
      <w:r w:rsidRPr="004B6ACD">
        <w:t>edn</w:t>
      </w:r>
      <w:proofErr w:type="spellEnd"/>
      <w:r w:rsidRPr="004B6ACD">
        <w:t>. Boston, MA: Harvard Business Review Press.</w:t>
      </w:r>
    </w:p>
    <w:p w14:paraId="21D4EA92" w14:textId="77777777" w:rsidR="008A41BE" w:rsidRPr="004B6ACD" w:rsidRDefault="008A41BE" w:rsidP="004B6ACD">
      <w:pPr>
        <w:ind w:left="720" w:hanging="720"/>
      </w:pPr>
      <w:r w:rsidRPr="004B6ACD">
        <w:t>Kotler, P., Keller, K.L. and Chernev, A. (2022)</w:t>
      </w:r>
      <w:r>
        <w:t>.</w:t>
      </w:r>
      <w:r w:rsidRPr="004B6ACD">
        <w:t xml:space="preserve"> </w:t>
      </w:r>
      <w:r w:rsidRPr="004B6ACD">
        <w:rPr>
          <w:i/>
          <w:iCs/>
        </w:rPr>
        <w:t>Marketing Management</w:t>
      </w:r>
      <w:r w:rsidRPr="004B6ACD">
        <w:t xml:space="preserve">. 16th </w:t>
      </w:r>
      <w:proofErr w:type="spellStart"/>
      <w:r w:rsidRPr="004B6ACD">
        <w:t>edn</w:t>
      </w:r>
      <w:proofErr w:type="spellEnd"/>
      <w:r w:rsidRPr="004B6ACD">
        <w:t>. Harlow: Pearson.</w:t>
      </w:r>
    </w:p>
    <w:p w14:paraId="0037AE92" w14:textId="77777777" w:rsidR="008A41BE" w:rsidRPr="004B6ACD" w:rsidRDefault="008A41BE" w:rsidP="004B6ACD">
      <w:pPr>
        <w:ind w:left="720" w:hanging="720"/>
      </w:pPr>
      <w:r w:rsidRPr="004B6ACD">
        <w:t xml:space="preserve">Lieberman, M.B. and Montgomery, D.B. (1988) ‘First-mover advantages’, </w:t>
      </w:r>
      <w:r w:rsidRPr="004B6ACD">
        <w:rPr>
          <w:i/>
          <w:iCs/>
        </w:rPr>
        <w:t>Strategic Management Journal</w:t>
      </w:r>
      <w:r w:rsidRPr="004B6ACD">
        <w:t>, 9(S1), pp. 41–58.</w:t>
      </w:r>
    </w:p>
    <w:p w14:paraId="7330CE1C" w14:textId="1CF02F5B" w:rsidR="008A41BE" w:rsidRPr="004B6ACD" w:rsidRDefault="008A41BE" w:rsidP="004B6ACD">
      <w:pPr>
        <w:ind w:left="720" w:hanging="720"/>
      </w:pPr>
      <w:r w:rsidRPr="004B6ACD">
        <w:t xml:space="preserve">Macrotrends (2024) </w:t>
      </w:r>
      <w:r w:rsidRPr="004B6ACD">
        <w:rPr>
          <w:i/>
          <w:iCs/>
        </w:rPr>
        <w:t>Tesla Research and Development Expenses 2010–2024</w:t>
      </w:r>
      <w:r w:rsidRPr="004B6ACD">
        <w:t xml:space="preserve">. Available at: </w:t>
      </w:r>
      <w:hyperlink r:id="rId18" w:history="1">
        <w:r w:rsidRPr="008825D2">
          <w:rPr>
            <w:rStyle w:val="Hyperlink"/>
          </w:rPr>
          <w:t>https://www.macrotrends.net/stocks/charts/TSLA/tesla/research-development-expenses</w:t>
        </w:r>
      </w:hyperlink>
      <w:r>
        <w:t xml:space="preserve"> </w:t>
      </w:r>
    </w:p>
    <w:p w14:paraId="2A3F1943" w14:textId="77777777" w:rsidR="007D7BC2" w:rsidRDefault="008A41BE" w:rsidP="007D7BC2">
      <w:pPr>
        <w:ind w:left="720" w:hanging="720"/>
      </w:pPr>
      <w:r w:rsidRPr="004B6ACD">
        <w:t xml:space="preserve">Mangram, M.E. (2012) ‘The </w:t>
      </w:r>
      <w:r>
        <w:t>globalisation</w:t>
      </w:r>
      <w:r w:rsidRPr="004B6ACD">
        <w:t xml:space="preserve"> of Tesla Motors: A strategic marketing plan analysis’, </w:t>
      </w:r>
      <w:r w:rsidRPr="004B6ACD">
        <w:rPr>
          <w:i/>
          <w:iCs/>
        </w:rPr>
        <w:t>Journal of Strategic Marketing</w:t>
      </w:r>
      <w:r w:rsidRPr="004B6ACD">
        <w:t>, 20(4), pp. 289–312.</w:t>
      </w:r>
    </w:p>
    <w:p w14:paraId="6E95C1FA" w14:textId="6808CA87" w:rsidR="007D7BC2" w:rsidRPr="004B6ACD" w:rsidRDefault="007D7BC2" w:rsidP="007D7BC2">
      <w:pPr>
        <w:ind w:left="720" w:hanging="720"/>
      </w:pPr>
      <w:r>
        <w:rPr>
          <w:rFonts w:eastAsia="Times New Roman"/>
        </w:rPr>
        <w:t xml:space="preserve">Market Realist (2019) </w:t>
      </w:r>
      <w:r>
        <w:rPr>
          <w:rStyle w:val="Emphasis"/>
          <w:rFonts w:eastAsia="Times New Roman"/>
        </w:rPr>
        <w:t>Is Tesla Really Doing More Harm Than Good to the Environment?</w:t>
      </w:r>
      <w:r>
        <w:rPr>
          <w:rFonts w:eastAsia="Times New Roman"/>
        </w:rPr>
        <w:t xml:space="preserve"> Available at: </w:t>
      </w:r>
      <w:hyperlink r:id="rId19" w:tgtFrame="_new" w:history="1">
        <w:r>
          <w:rPr>
            <w:rStyle w:val="Hyperlink"/>
            <w:rFonts w:eastAsia="Times New Roman"/>
          </w:rPr>
          <w:t>https://marketrealist.com/2019/04/is-tesla-really-doing-more-harm-than-good-to-the-environment/</w:t>
        </w:r>
      </w:hyperlink>
    </w:p>
    <w:p w14:paraId="2656EBA8" w14:textId="77777777" w:rsidR="008A41BE" w:rsidRPr="004B6ACD" w:rsidRDefault="008A41BE" w:rsidP="004B6ACD">
      <w:pPr>
        <w:ind w:left="720" w:hanging="720"/>
      </w:pPr>
      <w:r w:rsidRPr="004B6ACD">
        <w:t xml:space="preserve">Porter, M.E. (1985) </w:t>
      </w:r>
      <w:r w:rsidRPr="004B6ACD">
        <w:rPr>
          <w:i/>
          <w:iCs/>
        </w:rPr>
        <w:t>Competitive Advantage: Creating and Sustaining Superior Performance</w:t>
      </w:r>
      <w:r w:rsidRPr="004B6ACD">
        <w:t>. New York: Free Press.</w:t>
      </w:r>
    </w:p>
    <w:p w14:paraId="6F9B4114" w14:textId="7D226BDF" w:rsidR="008A41BE" w:rsidRPr="004B6ACD" w:rsidRDefault="008A41BE" w:rsidP="004B6ACD">
      <w:pPr>
        <w:ind w:left="720" w:hanging="720"/>
      </w:pPr>
      <w:r w:rsidRPr="004B6ACD">
        <w:t xml:space="preserve">Redwood Materials (2023) </w:t>
      </w:r>
      <w:r w:rsidRPr="004B6ACD">
        <w:rPr>
          <w:i/>
          <w:iCs/>
        </w:rPr>
        <w:t>Battery Recycling and Materials Recovery Overview</w:t>
      </w:r>
      <w:r w:rsidRPr="004B6ACD">
        <w:t xml:space="preserve">. Available at: </w:t>
      </w:r>
      <w:hyperlink r:id="rId20" w:history="1">
        <w:r w:rsidRPr="008825D2">
          <w:rPr>
            <w:rStyle w:val="Hyperlink"/>
          </w:rPr>
          <w:t>https://www.redwoodmaterials.com</w:t>
        </w:r>
      </w:hyperlink>
      <w:r>
        <w:t xml:space="preserve"> </w:t>
      </w:r>
    </w:p>
    <w:p w14:paraId="321C8D2F" w14:textId="77777777" w:rsidR="008A41BE" w:rsidRPr="004B6ACD" w:rsidRDefault="008A41BE" w:rsidP="004B6ACD">
      <w:pPr>
        <w:ind w:left="720" w:hanging="720"/>
      </w:pPr>
      <w:r w:rsidRPr="004B6ACD">
        <w:t>Rogers, E.M. (2003)</w:t>
      </w:r>
      <w:r>
        <w:t>.</w:t>
      </w:r>
      <w:r w:rsidRPr="004B6ACD">
        <w:t xml:space="preserve"> </w:t>
      </w:r>
      <w:r w:rsidRPr="004B6ACD">
        <w:rPr>
          <w:i/>
          <w:iCs/>
        </w:rPr>
        <w:t>Diffusion of Innovations</w:t>
      </w:r>
      <w:r w:rsidRPr="004B6ACD">
        <w:t xml:space="preserve">. 5th </w:t>
      </w:r>
      <w:proofErr w:type="spellStart"/>
      <w:r w:rsidRPr="004B6ACD">
        <w:t>edn</w:t>
      </w:r>
      <w:proofErr w:type="spellEnd"/>
      <w:r w:rsidRPr="004B6ACD">
        <w:t>. New York: Free Press.</w:t>
      </w:r>
    </w:p>
    <w:p w14:paraId="0C6113BA" w14:textId="77777777" w:rsidR="008A41BE" w:rsidRPr="004B6ACD" w:rsidRDefault="008A41BE" w:rsidP="004B6ACD">
      <w:pPr>
        <w:ind w:left="720" w:hanging="720"/>
      </w:pPr>
      <w:proofErr w:type="spellStart"/>
      <w:r w:rsidRPr="004B6ACD">
        <w:t>Shinkle</w:t>
      </w:r>
      <w:proofErr w:type="spellEnd"/>
      <w:r w:rsidRPr="004B6ACD">
        <w:t xml:space="preserve">, G.A. and </w:t>
      </w:r>
      <w:proofErr w:type="spellStart"/>
      <w:r w:rsidRPr="004B6ACD">
        <w:t>Suchard</w:t>
      </w:r>
      <w:proofErr w:type="spellEnd"/>
      <w:r w:rsidRPr="004B6ACD">
        <w:t xml:space="preserve">, J.A. (2019) ‘Innovation in large firms: A case of BMW’s electric vehicle development’, </w:t>
      </w:r>
      <w:proofErr w:type="spellStart"/>
      <w:r w:rsidRPr="004B6ACD">
        <w:rPr>
          <w:i/>
          <w:iCs/>
        </w:rPr>
        <w:t>Technovation</w:t>
      </w:r>
      <w:proofErr w:type="spellEnd"/>
      <w:r w:rsidRPr="004B6ACD">
        <w:t>, 84–85, pp. 1–11.</w:t>
      </w:r>
    </w:p>
    <w:p w14:paraId="033E7D46" w14:textId="5CC4D28E" w:rsidR="008A41BE" w:rsidRPr="004B6ACD" w:rsidRDefault="008A41BE" w:rsidP="004B6ACD">
      <w:pPr>
        <w:ind w:left="720" w:hanging="720"/>
      </w:pPr>
      <w:r w:rsidRPr="004B6ACD">
        <w:t>Statista (2024)</w:t>
      </w:r>
      <w:r>
        <w:t>.</w:t>
      </w:r>
      <w:r w:rsidRPr="004B6ACD">
        <w:t xml:space="preserve"> </w:t>
      </w:r>
      <w:r w:rsidRPr="004B6ACD">
        <w:rPr>
          <w:i/>
          <w:iCs/>
        </w:rPr>
        <w:t>Operating margin of selected global car manufacturers, 2023</w:t>
      </w:r>
      <w:r w:rsidRPr="004B6ACD">
        <w:t xml:space="preserve">. Available at: </w:t>
      </w:r>
      <w:hyperlink r:id="rId21" w:history="1">
        <w:r w:rsidRPr="008825D2">
          <w:rPr>
            <w:rStyle w:val="Hyperlink"/>
          </w:rPr>
          <w:t>https://www.statista.com/topics/1487/automotive-industry/?srsltid=AfmBOor3wxGS3dET--r5Jb2OU1cbpiU7OECuw30Cmi5afLTQJbcI1VIN</w:t>
        </w:r>
      </w:hyperlink>
      <w:r>
        <w:t xml:space="preserve"> </w:t>
      </w:r>
    </w:p>
    <w:p w14:paraId="0F588A79" w14:textId="77777777" w:rsidR="008A41BE" w:rsidRPr="004B6ACD" w:rsidRDefault="008A41BE" w:rsidP="004B6ACD">
      <w:pPr>
        <w:ind w:left="720" w:hanging="720"/>
      </w:pPr>
      <w:r w:rsidRPr="004B6ACD">
        <w:lastRenderedPageBreak/>
        <w:t xml:space="preserve">Stringham, E.P., Miller, J.K. and Clark, J.R. (2015) ‘Overcoming barriers to entry in an established industry: Tesla Motors’, </w:t>
      </w:r>
      <w:r w:rsidRPr="004B6ACD">
        <w:rPr>
          <w:i/>
          <w:iCs/>
        </w:rPr>
        <w:t>California Management Review</w:t>
      </w:r>
      <w:r w:rsidRPr="004B6ACD">
        <w:t>, 57(4), pp. 85–103.</w:t>
      </w:r>
    </w:p>
    <w:p w14:paraId="52C50599" w14:textId="77777777" w:rsidR="008A41BE" w:rsidRPr="004B6ACD" w:rsidRDefault="008A41BE" w:rsidP="004B6ACD">
      <w:pPr>
        <w:ind w:left="720" w:hanging="720"/>
      </w:pPr>
      <w:r w:rsidRPr="004B6ACD">
        <w:t xml:space="preserve">Suarez, F.F. and </w:t>
      </w:r>
      <w:proofErr w:type="spellStart"/>
      <w:r w:rsidRPr="004B6ACD">
        <w:t>Lanzolla</w:t>
      </w:r>
      <w:proofErr w:type="spellEnd"/>
      <w:r w:rsidRPr="004B6ACD">
        <w:t xml:space="preserve">, G. (2007) ‘The role of environmental dynamics in building a first mover advantage theory’, </w:t>
      </w:r>
      <w:r w:rsidRPr="004B6ACD">
        <w:rPr>
          <w:i/>
          <w:iCs/>
        </w:rPr>
        <w:t>Academy of Management Review</w:t>
      </w:r>
      <w:r w:rsidRPr="004B6ACD">
        <w:t>, 32(2), pp. 377–392.</w:t>
      </w:r>
    </w:p>
    <w:p w14:paraId="6B748D8E" w14:textId="5F3D7541" w:rsidR="008A41BE" w:rsidRPr="004B6ACD" w:rsidRDefault="008A41BE" w:rsidP="004B6ACD">
      <w:pPr>
        <w:ind w:left="720" w:hanging="720"/>
      </w:pPr>
      <w:r w:rsidRPr="004B6ACD">
        <w:t xml:space="preserve">Tesla, Inc. (2023) </w:t>
      </w:r>
      <w:r w:rsidRPr="004B6ACD">
        <w:rPr>
          <w:i/>
          <w:iCs/>
        </w:rPr>
        <w:t>Form 10-K (Fiscal Year 2023)</w:t>
      </w:r>
      <w:r w:rsidRPr="004B6ACD">
        <w:t xml:space="preserve">. Austin, TX: Tesla, Inc. Available at: </w:t>
      </w:r>
      <w:r>
        <w:t xml:space="preserve"> </w:t>
      </w:r>
      <w:hyperlink r:id="rId22" w:history="1">
        <w:r w:rsidRPr="008825D2">
          <w:rPr>
            <w:rStyle w:val="Hyperlink"/>
          </w:rPr>
          <w:t>https://ir.tesla.com/_flysystem/s3/sec/000162828024002390/tsla-20231231-gen.pdf</w:t>
        </w:r>
      </w:hyperlink>
      <w:r>
        <w:t xml:space="preserve"> </w:t>
      </w:r>
    </w:p>
    <w:p w14:paraId="71676BA8" w14:textId="3FF43994" w:rsidR="008A41BE" w:rsidRDefault="008A41BE" w:rsidP="000D7C3A">
      <w:pPr>
        <w:ind w:left="720" w:hanging="720"/>
      </w:pPr>
      <w:r w:rsidRPr="004B6ACD">
        <w:t xml:space="preserve">Tesla, Inc. (2023) </w:t>
      </w:r>
      <w:r w:rsidRPr="004B6ACD">
        <w:rPr>
          <w:i/>
          <w:iCs/>
        </w:rPr>
        <w:t>Tesla Impact Report 2023</w:t>
      </w:r>
      <w:r w:rsidRPr="004B6ACD">
        <w:t xml:space="preserve">. Austin, TX: Tesla, Inc. Available at: </w:t>
      </w:r>
      <w:hyperlink r:id="rId23" w:history="1">
        <w:r w:rsidRPr="008049AB">
          <w:rPr>
            <w:rStyle w:val="Hyperlink"/>
          </w:rPr>
          <w:t>tesla.com/</w:t>
        </w:r>
        <w:proofErr w:type="spellStart"/>
        <w:r w:rsidRPr="008049AB">
          <w:rPr>
            <w:rStyle w:val="Hyperlink"/>
          </w:rPr>
          <w:t>ns_videos</w:t>
        </w:r>
        <w:proofErr w:type="spellEnd"/>
        <w:r w:rsidRPr="008049AB">
          <w:rPr>
            <w:rStyle w:val="Hyperlink"/>
          </w:rPr>
          <w:t>/2023-tesla-impact-report-highlights.pdf</w:t>
        </w:r>
      </w:hyperlink>
      <w:r>
        <w:t xml:space="preserve"> </w:t>
      </w:r>
    </w:p>
    <w:p w14:paraId="2799FB9A" w14:textId="1751B68A" w:rsidR="008A41BE" w:rsidRPr="004B6ACD" w:rsidRDefault="008A41BE" w:rsidP="004B6ACD">
      <w:pPr>
        <w:ind w:left="720" w:hanging="720"/>
      </w:pPr>
      <w:r w:rsidRPr="004B6ACD">
        <w:t>U.S. Congress (2022)</w:t>
      </w:r>
      <w:r>
        <w:t>.</w:t>
      </w:r>
      <w:r w:rsidRPr="004B6ACD">
        <w:t xml:space="preserve"> </w:t>
      </w:r>
      <w:r w:rsidRPr="004B6ACD">
        <w:rPr>
          <w:i/>
          <w:iCs/>
        </w:rPr>
        <w:t>Inflation Reduction Act of 2022</w:t>
      </w:r>
      <w:r w:rsidRPr="004B6ACD">
        <w:t xml:space="preserve">, Pub. L. 117-169. Washington, DC: Government Publishing Office. Available at: </w:t>
      </w:r>
      <w:hyperlink r:id="rId24" w:history="1">
        <w:r w:rsidRPr="008825D2">
          <w:rPr>
            <w:rStyle w:val="Hyperlink"/>
          </w:rPr>
          <w:t>https://www.congress.gov</w:t>
        </w:r>
      </w:hyperlink>
      <w:r>
        <w:t xml:space="preserve"> </w:t>
      </w:r>
    </w:p>
    <w:p w14:paraId="7D6422C1" w14:textId="77777777" w:rsidR="00E41485" w:rsidRDefault="008A41BE" w:rsidP="00E41485">
      <w:pPr>
        <w:ind w:left="720" w:hanging="720"/>
      </w:pPr>
      <w:r w:rsidRPr="004B6ACD">
        <w:t xml:space="preserve">Vikström, H., Davidsson, S. and Höök, M. (2013) ‘Lithium availability and future production outlooks’, </w:t>
      </w:r>
      <w:r w:rsidRPr="004B6ACD">
        <w:rPr>
          <w:i/>
          <w:iCs/>
        </w:rPr>
        <w:t>Applied Energy</w:t>
      </w:r>
      <w:r w:rsidRPr="004B6ACD">
        <w:t>, 110, pp. 252–266.</w:t>
      </w:r>
    </w:p>
    <w:p w14:paraId="1E080CAD" w14:textId="69C1D8C4" w:rsidR="00E41485" w:rsidRPr="004B6ACD" w:rsidRDefault="00E41485" w:rsidP="00E41485">
      <w:pPr>
        <w:ind w:left="720" w:hanging="720"/>
      </w:pPr>
      <w:r>
        <w:rPr>
          <w:rFonts w:eastAsia="Times New Roman"/>
        </w:rPr>
        <w:t xml:space="preserve">Visual Capitalist (2023) </w:t>
      </w:r>
      <w:r>
        <w:rPr>
          <w:rStyle w:val="Emphasis"/>
          <w:rFonts w:eastAsia="Times New Roman"/>
        </w:rPr>
        <w:t>Life Cycle Emissions: EVs vs. Combustion Engine Vehicles</w:t>
      </w:r>
      <w:r>
        <w:rPr>
          <w:rFonts w:eastAsia="Times New Roman"/>
        </w:rPr>
        <w:t xml:space="preserve">. Available at: </w:t>
      </w:r>
      <w:hyperlink r:id="rId25" w:tgtFrame="_new" w:history="1">
        <w:r>
          <w:rPr>
            <w:rStyle w:val="Hyperlink"/>
            <w:rFonts w:eastAsia="Times New Roman"/>
          </w:rPr>
          <w:t>https://www.visualcapitalist.com/life-cycle-emissions-evs-vs-combustion-engine-vehicles/</w:t>
        </w:r>
      </w:hyperlink>
    </w:p>
    <w:p w14:paraId="54878020" w14:textId="77777777" w:rsidR="008A41BE" w:rsidRPr="004B6ACD" w:rsidRDefault="008A41BE" w:rsidP="004B6ACD">
      <w:pPr>
        <w:ind w:left="720" w:hanging="720"/>
      </w:pPr>
      <w:r w:rsidRPr="004B6ACD">
        <w:t xml:space="preserve">Zhou, Y., Wang, J., Chen, X. and Li, F. (2022) ‘Artificial intelligence in electric vehicle development: A review’, </w:t>
      </w:r>
      <w:r w:rsidRPr="004B6ACD">
        <w:rPr>
          <w:i/>
          <w:iCs/>
        </w:rPr>
        <w:t>Energy Reports</w:t>
      </w:r>
      <w:r w:rsidRPr="004B6ACD">
        <w:t>, 8, pp. 594–609.</w:t>
      </w:r>
    </w:p>
    <w:p w14:paraId="49B294A1" w14:textId="77777777" w:rsidR="008A41BE" w:rsidRDefault="008A41BE">
      <w:pPr>
        <w:spacing w:after="160" w:line="278" w:lineRule="auto"/>
        <w:jc w:val="left"/>
        <w:rPr>
          <w:rFonts w:eastAsiaTheme="majorEastAsia" w:cstheme="majorBidi"/>
          <w:b/>
          <w:color w:val="000000" w:themeColor="text1"/>
          <w:sz w:val="32"/>
          <w:szCs w:val="40"/>
        </w:rPr>
      </w:pPr>
      <w:r>
        <w:br w:type="page"/>
      </w:r>
    </w:p>
    <w:p w14:paraId="206B7D59" w14:textId="441A8D7C" w:rsidR="00A82A8E" w:rsidRPr="00A82A8E" w:rsidRDefault="00A82A8E" w:rsidP="00A82A8E">
      <w:pPr>
        <w:pStyle w:val="Heading1"/>
      </w:pPr>
      <w:bookmarkStart w:id="25" w:name="_Toc212193717"/>
      <w:r w:rsidRPr="00A82A8E">
        <w:lastRenderedPageBreak/>
        <w:t>Appendices</w:t>
      </w:r>
      <w:bookmarkEnd w:id="25"/>
    </w:p>
    <w:p w14:paraId="66516217" w14:textId="77777777" w:rsidR="00A82A8E" w:rsidRPr="002158B0" w:rsidRDefault="00A82A8E" w:rsidP="002158B0">
      <w:pPr>
        <w:rPr>
          <w:b/>
          <w:bCs/>
          <w:sz w:val="28"/>
          <w:szCs w:val="28"/>
        </w:rPr>
      </w:pPr>
      <w:r w:rsidRPr="002158B0">
        <w:rPr>
          <w:b/>
          <w:bCs/>
          <w:sz w:val="28"/>
          <w:szCs w:val="28"/>
        </w:rPr>
        <w:t>Appendix A: Comprehensive PESTEL Analysis (Tesla vs BMW)</w:t>
      </w:r>
    </w:p>
    <w:tbl>
      <w:tblPr>
        <w:tblStyle w:val="TableGrid"/>
        <w:tblW w:w="0" w:type="auto"/>
        <w:tblLook w:val="04A0" w:firstRow="1" w:lastRow="0" w:firstColumn="1" w:lastColumn="0" w:noHBand="0" w:noVBand="1"/>
      </w:tblPr>
      <w:tblGrid>
        <w:gridCol w:w="1759"/>
        <w:gridCol w:w="2572"/>
        <w:gridCol w:w="2396"/>
        <w:gridCol w:w="2289"/>
      </w:tblGrid>
      <w:tr w:rsidR="00A82A8E" w:rsidRPr="00A82A8E" w14:paraId="47901339" w14:textId="77777777" w:rsidTr="00A82A8E">
        <w:tc>
          <w:tcPr>
            <w:tcW w:w="0" w:type="auto"/>
            <w:hideMark/>
          </w:tcPr>
          <w:p w14:paraId="5B2CF661" w14:textId="77777777" w:rsidR="00A82A8E" w:rsidRPr="00A82A8E" w:rsidRDefault="00A82A8E" w:rsidP="00A82A8E">
            <w:pPr>
              <w:rPr>
                <w:b/>
                <w:bCs/>
              </w:rPr>
            </w:pPr>
            <w:r w:rsidRPr="00A82A8E">
              <w:rPr>
                <w:b/>
                <w:bCs/>
              </w:rPr>
              <w:t>Dimension</w:t>
            </w:r>
          </w:p>
        </w:tc>
        <w:tc>
          <w:tcPr>
            <w:tcW w:w="0" w:type="auto"/>
            <w:hideMark/>
          </w:tcPr>
          <w:p w14:paraId="66F4C1E6" w14:textId="77777777" w:rsidR="00A82A8E" w:rsidRPr="00A82A8E" w:rsidRDefault="00A82A8E" w:rsidP="00A82A8E">
            <w:pPr>
              <w:rPr>
                <w:b/>
                <w:bCs/>
              </w:rPr>
            </w:pPr>
            <w:r w:rsidRPr="00A82A8E">
              <w:rPr>
                <w:b/>
                <w:bCs/>
              </w:rPr>
              <w:t>Tesla (Pioneer)</w:t>
            </w:r>
          </w:p>
        </w:tc>
        <w:tc>
          <w:tcPr>
            <w:tcW w:w="0" w:type="auto"/>
            <w:hideMark/>
          </w:tcPr>
          <w:p w14:paraId="56BF8C84" w14:textId="77777777" w:rsidR="00A82A8E" w:rsidRPr="00A82A8E" w:rsidRDefault="00A82A8E" w:rsidP="00A82A8E">
            <w:pPr>
              <w:rPr>
                <w:b/>
                <w:bCs/>
              </w:rPr>
            </w:pPr>
            <w:r w:rsidRPr="00A82A8E">
              <w:rPr>
                <w:b/>
                <w:bCs/>
              </w:rPr>
              <w:t>BMW (Follower)</w:t>
            </w:r>
          </w:p>
        </w:tc>
        <w:tc>
          <w:tcPr>
            <w:tcW w:w="0" w:type="auto"/>
            <w:hideMark/>
          </w:tcPr>
          <w:p w14:paraId="0D7E7661" w14:textId="77777777" w:rsidR="00A82A8E" w:rsidRPr="00A82A8E" w:rsidRDefault="00A82A8E" w:rsidP="00A82A8E">
            <w:pPr>
              <w:rPr>
                <w:b/>
                <w:bCs/>
              </w:rPr>
            </w:pPr>
            <w:r w:rsidRPr="00A82A8E">
              <w:rPr>
                <w:b/>
                <w:bCs/>
              </w:rPr>
              <w:t>Industry Interpretation (2023–2025)</w:t>
            </w:r>
          </w:p>
        </w:tc>
      </w:tr>
      <w:tr w:rsidR="00A82A8E" w:rsidRPr="00A82A8E" w14:paraId="37195BAC" w14:textId="77777777" w:rsidTr="00A82A8E">
        <w:tc>
          <w:tcPr>
            <w:tcW w:w="0" w:type="auto"/>
            <w:hideMark/>
          </w:tcPr>
          <w:p w14:paraId="7D3E3D15" w14:textId="77777777" w:rsidR="00A82A8E" w:rsidRPr="00A82A8E" w:rsidRDefault="00A82A8E" w:rsidP="00A82A8E">
            <w:r w:rsidRPr="00A82A8E">
              <w:rPr>
                <w:b/>
                <w:bCs/>
              </w:rPr>
              <w:t>Political</w:t>
            </w:r>
          </w:p>
        </w:tc>
        <w:tc>
          <w:tcPr>
            <w:tcW w:w="0" w:type="auto"/>
            <w:hideMark/>
          </w:tcPr>
          <w:p w14:paraId="57BA447D" w14:textId="50F162E0" w:rsidR="00A82A8E" w:rsidRPr="00A82A8E" w:rsidRDefault="00A82A8E" w:rsidP="00A82A8E">
            <w:r w:rsidRPr="00A82A8E">
              <w:t xml:space="preserve">Benefits from the </w:t>
            </w:r>
            <w:r w:rsidRPr="00A82A8E">
              <w:rPr>
                <w:i/>
                <w:iCs/>
              </w:rPr>
              <w:t>Inflation Reduction Act (2022)</w:t>
            </w:r>
            <w:r w:rsidRPr="00A82A8E">
              <w:t xml:space="preserve"> in the U.S., gaining up to US$7,500 </w:t>
            </w:r>
            <w:r w:rsidR="00826C2A">
              <w:t xml:space="preserve">in </w:t>
            </w:r>
            <w:r w:rsidRPr="00A82A8E">
              <w:t xml:space="preserve">EV tax credits. Receives incentives in China for </w:t>
            </w:r>
            <w:r w:rsidR="0077195E" w:rsidRPr="0077195E">
              <w:t xml:space="preserve">the </w:t>
            </w:r>
            <w:r w:rsidRPr="00A82A8E">
              <w:t>Gigafactory Shanghai.</w:t>
            </w:r>
          </w:p>
        </w:tc>
        <w:tc>
          <w:tcPr>
            <w:tcW w:w="0" w:type="auto"/>
            <w:hideMark/>
          </w:tcPr>
          <w:p w14:paraId="1FE264FA" w14:textId="77777777" w:rsidR="00A82A8E" w:rsidRPr="00A82A8E" w:rsidRDefault="00A82A8E" w:rsidP="00A82A8E">
            <w:r w:rsidRPr="00A82A8E">
              <w:t xml:space="preserve">Complies with EU </w:t>
            </w:r>
            <w:r w:rsidRPr="00A82A8E">
              <w:rPr>
                <w:i/>
                <w:iCs/>
              </w:rPr>
              <w:t>Fit-for-55</w:t>
            </w:r>
            <w:r w:rsidRPr="00A82A8E">
              <w:t xml:space="preserve"> regulations mandating zero-emission vehicles by 2035. Works closely with EU policymakers.</w:t>
            </w:r>
          </w:p>
        </w:tc>
        <w:tc>
          <w:tcPr>
            <w:tcW w:w="0" w:type="auto"/>
            <w:hideMark/>
          </w:tcPr>
          <w:p w14:paraId="4B487E12" w14:textId="77777777" w:rsidR="00A82A8E" w:rsidRPr="00A82A8E" w:rsidRDefault="00A82A8E" w:rsidP="00A82A8E">
            <w:r w:rsidRPr="00A82A8E">
              <w:t>Political incentives drive EV growth; global supply chain politics affect raw material sourcing.</w:t>
            </w:r>
          </w:p>
        </w:tc>
      </w:tr>
      <w:tr w:rsidR="00A82A8E" w:rsidRPr="00A82A8E" w14:paraId="28C2DD35" w14:textId="77777777" w:rsidTr="00A82A8E">
        <w:tc>
          <w:tcPr>
            <w:tcW w:w="0" w:type="auto"/>
            <w:hideMark/>
          </w:tcPr>
          <w:p w14:paraId="62DE94DF" w14:textId="77777777" w:rsidR="00A82A8E" w:rsidRPr="00A82A8E" w:rsidRDefault="00A82A8E" w:rsidP="00A82A8E">
            <w:r w:rsidRPr="00A82A8E">
              <w:rPr>
                <w:b/>
                <w:bCs/>
              </w:rPr>
              <w:t>Economic</w:t>
            </w:r>
          </w:p>
        </w:tc>
        <w:tc>
          <w:tcPr>
            <w:tcW w:w="0" w:type="auto"/>
            <w:hideMark/>
          </w:tcPr>
          <w:p w14:paraId="1002227B" w14:textId="77777777" w:rsidR="00A82A8E" w:rsidRPr="00A82A8E" w:rsidRDefault="00A82A8E" w:rsidP="00A82A8E">
            <w:r w:rsidRPr="00A82A8E">
              <w:t>Maintains 17.6% profit margin (2023); sensitive to lithium price volatility. Global Gigafactories provide cost stability.</w:t>
            </w:r>
          </w:p>
        </w:tc>
        <w:tc>
          <w:tcPr>
            <w:tcW w:w="0" w:type="auto"/>
            <w:hideMark/>
          </w:tcPr>
          <w:p w14:paraId="3CF178A3" w14:textId="77777777" w:rsidR="00A82A8E" w:rsidRPr="00A82A8E" w:rsidRDefault="00A82A8E" w:rsidP="00A82A8E">
            <w:r w:rsidRPr="00A82A8E">
              <w:t>Invested €35 billion (2020–2024) for EV transition; faces high R&amp;D costs and inflation risks.</w:t>
            </w:r>
          </w:p>
        </w:tc>
        <w:tc>
          <w:tcPr>
            <w:tcW w:w="0" w:type="auto"/>
            <w:hideMark/>
          </w:tcPr>
          <w:p w14:paraId="16ADE8A6" w14:textId="77777777" w:rsidR="00A82A8E" w:rsidRPr="00A82A8E" w:rsidRDefault="00A82A8E" w:rsidP="00A82A8E">
            <w:r w:rsidRPr="00A82A8E">
              <w:t>Economic growth and falling battery costs increase affordability; raw material prices remain volatile.</w:t>
            </w:r>
          </w:p>
        </w:tc>
      </w:tr>
      <w:tr w:rsidR="00A82A8E" w:rsidRPr="00A82A8E" w14:paraId="3CAF4462" w14:textId="77777777" w:rsidTr="00A82A8E">
        <w:tc>
          <w:tcPr>
            <w:tcW w:w="0" w:type="auto"/>
            <w:hideMark/>
          </w:tcPr>
          <w:p w14:paraId="56ACF6DF" w14:textId="77777777" w:rsidR="00A82A8E" w:rsidRPr="00A82A8E" w:rsidRDefault="00A82A8E" w:rsidP="00A82A8E">
            <w:r w:rsidRPr="00A82A8E">
              <w:rPr>
                <w:b/>
                <w:bCs/>
              </w:rPr>
              <w:t>Social</w:t>
            </w:r>
          </w:p>
        </w:tc>
        <w:tc>
          <w:tcPr>
            <w:tcW w:w="0" w:type="auto"/>
            <w:hideMark/>
          </w:tcPr>
          <w:p w14:paraId="4487A0D4" w14:textId="77777777" w:rsidR="00A82A8E" w:rsidRPr="00A82A8E" w:rsidRDefault="00A82A8E" w:rsidP="00A82A8E">
            <w:r w:rsidRPr="00A82A8E">
              <w:t>Targets younger, tech-driven consumers; sustainability integrated into brand identity; high engagement via Elon Musk’s online presence.</w:t>
            </w:r>
          </w:p>
        </w:tc>
        <w:tc>
          <w:tcPr>
            <w:tcW w:w="0" w:type="auto"/>
            <w:hideMark/>
          </w:tcPr>
          <w:p w14:paraId="2231BA5C" w14:textId="77777777" w:rsidR="00A82A8E" w:rsidRPr="00A82A8E" w:rsidRDefault="00A82A8E" w:rsidP="00A82A8E">
            <w:r w:rsidRPr="00A82A8E">
              <w:t>Appeals to affluent, eco-conscious luxury buyers valuing performance and craftsmanship.</w:t>
            </w:r>
          </w:p>
        </w:tc>
        <w:tc>
          <w:tcPr>
            <w:tcW w:w="0" w:type="auto"/>
            <w:hideMark/>
          </w:tcPr>
          <w:p w14:paraId="68C730FD" w14:textId="77777777" w:rsidR="00A82A8E" w:rsidRPr="00A82A8E" w:rsidRDefault="00A82A8E" w:rsidP="00A82A8E">
            <w:r w:rsidRPr="00A82A8E">
              <w:t>Growing consumer awareness of sustainability; ethical consumption drives EV preference.</w:t>
            </w:r>
          </w:p>
        </w:tc>
      </w:tr>
      <w:tr w:rsidR="00A82A8E" w:rsidRPr="00A82A8E" w14:paraId="6ABDE2FB" w14:textId="77777777" w:rsidTr="00A82A8E">
        <w:tc>
          <w:tcPr>
            <w:tcW w:w="0" w:type="auto"/>
            <w:hideMark/>
          </w:tcPr>
          <w:p w14:paraId="2ADF41B7" w14:textId="77777777" w:rsidR="00A82A8E" w:rsidRPr="00A82A8E" w:rsidRDefault="00A82A8E" w:rsidP="00A82A8E">
            <w:r w:rsidRPr="00A82A8E">
              <w:rPr>
                <w:b/>
                <w:bCs/>
              </w:rPr>
              <w:t>Technological</w:t>
            </w:r>
          </w:p>
        </w:tc>
        <w:tc>
          <w:tcPr>
            <w:tcW w:w="0" w:type="auto"/>
            <w:hideMark/>
          </w:tcPr>
          <w:p w14:paraId="51E8C25A" w14:textId="77777777" w:rsidR="00A82A8E" w:rsidRPr="00A82A8E" w:rsidRDefault="00A82A8E" w:rsidP="00A82A8E">
            <w:r w:rsidRPr="00A82A8E">
              <w:t>Leads in 4680 battery innovation, AI-based autopilot, and software updates; vertically integrated production model.</w:t>
            </w:r>
          </w:p>
        </w:tc>
        <w:tc>
          <w:tcPr>
            <w:tcW w:w="0" w:type="auto"/>
            <w:hideMark/>
          </w:tcPr>
          <w:p w14:paraId="6974CB5D" w14:textId="77777777" w:rsidR="00A82A8E" w:rsidRPr="00A82A8E" w:rsidRDefault="00A82A8E" w:rsidP="00A82A8E">
            <w:r w:rsidRPr="00A82A8E">
              <w:t>Develops Neue Klasse platform for mixed powertrains; partnerships with Solid Power and Intel for R&amp;D.</w:t>
            </w:r>
          </w:p>
        </w:tc>
        <w:tc>
          <w:tcPr>
            <w:tcW w:w="0" w:type="auto"/>
            <w:hideMark/>
          </w:tcPr>
          <w:p w14:paraId="40AA925D" w14:textId="77777777" w:rsidR="00A82A8E" w:rsidRPr="00A82A8E" w:rsidRDefault="00A82A8E" w:rsidP="00A82A8E">
            <w:r w:rsidRPr="00A82A8E">
              <w:t>AI, automation, and solid-state battery innovation are critical success factors.</w:t>
            </w:r>
          </w:p>
        </w:tc>
      </w:tr>
      <w:tr w:rsidR="00A82A8E" w:rsidRPr="00A82A8E" w14:paraId="0725F3F4" w14:textId="77777777" w:rsidTr="00A82A8E">
        <w:tc>
          <w:tcPr>
            <w:tcW w:w="0" w:type="auto"/>
            <w:hideMark/>
          </w:tcPr>
          <w:p w14:paraId="11B9B84A" w14:textId="77777777" w:rsidR="00A82A8E" w:rsidRPr="00A82A8E" w:rsidRDefault="00A82A8E" w:rsidP="00A82A8E">
            <w:r w:rsidRPr="00A82A8E">
              <w:rPr>
                <w:b/>
                <w:bCs/>
              </w:rPr>
              <w:lastRenderedPageBreak/>
              <w:t>Environmental</w:t>
            </w:r>
          </w:p>
        </w:tc>
        <w:tc>
          <w:tcPr>
            <w:tcW w:w="0" w:type="auto"/>
            <w:hideMark/>
          </w:tcPr>
          <w:p w14:paraId="1CDFA116" w14:textId="77777777" w:rsidR="00A82A8E" w:rsidRPr="00A82A8E" w:rsidRDefault="00A82A8E" w:rsidP="00A82A8E">
            <w:r w:rsidRPr="00A82A8E">
              <w:t>100% electric lineup; US$1.79B carbon credit revenue; invests in battery recycling (Redwood Materials).</w:t>
            </w:r>
          </w:p>
        </w:tc>
        <w:tc>
          <w:tcPr>
            <w:tcW w:w="0" w:type="auto"/>
            <w:hideMark/>
          </w:tcPr>
          <w:p w14:paraId="4A33974B" w14:textId="77777777" w:rsidR="00A82A8E" w:rsidRPr="00A82A8E" w:rsidRDefault="00A82A8E" w:rsidP="00A82A8E">
            <w:r w:rsidRPr="00A82A8E">
              <w:t>Implements Circular Economy Strategy; CO₂ reduction 22% per vehicle since 2019; targets carbon neutrality by 2050.</w:t>
            </w:r>
          </w:p>
        </w:tc>
        <w:tc>
          <w:tcPr>
            <w:tcW w:w="0" w:type="auto"/>
            <w:hideMark/>
          </w:tcPr>
          <w:p w14:paraId="383FEAF8" w14:textId="600FE8A7" w:rsidR="00A82A8E" w:rsidRPr="00A82A8E" w:rsidRDefault="00A82A8E" w:rsidP="00A82A8E">
            <w:r w:rsidRPr="00A82A8E">
              <w:t xml:space="preserve">Tightening global emission standards </w:t>
            </w:r>
            <w:r w:rsidR="0077195E" w:rsidRPr="0077195E">
              <w:t>enforces</w:t>
            </w:r>
            <w:r w:rsidRPr="00A82A8E">
              <w:t xml:space="preserve"> sustainability across the industry.</w:t>
            </w:r>
          </w:p>
        </w:tc>
      </w:tr>
      <w:tr w:rsidR="00A82A8E" w:rsidRPr="00A82A8E" w14:paraId="3F7E3DB9" w14:textId="77777777" w:rsidTr="00A82A8E">
        <w:tc>
          <w:tcPr>
            <w:tcW w:w="0" w:type="auto"/>
            <w:hideMark/>
          </w:tcPr>
          <w:p w14:paraId="560C9289" w14:textId="77777777" w:rsidR="00A82A8E" w:rsidRPr="00A82A8E" w:rsidRDefault="00A82A8E" w:rsidP="00A82A8E">
            <w:r w:rsidRPr="00A82A8E">
              <w:rPr>
                <w:b/>
                <w:bCs/>
              </w:rPr>
              <w:t>Legal</w:t>
            </w:r>
          </w:p>
        </w:tc>
        <w:tc>
          <w:tcPr>
            <w:tcW w:w="0" w:type="auto"/>
            <w:hideMark/>
          </w:tcPr>
          <w:p w14:paraId="3B5E62C5" w14:textId="41BC7223" w:rsidR="00A82A8E" w:rsidRPr="00A82A8E" w:rsidRDefault="00A82A8E" w:rsidP="00A82A8E">
            <w:r w:rsidRPr="00A82A8E">
              <w:t>Subject to safety, AI, and data privacy litigation</w:t>
            </w:r>
            <w:r w:rsidR="0077195E" w:rsidRPr="0077195E">
              <w:t>,</w:t>
            </w:r>
            <w:r w:rsidRPr="00A82A8E">
              <w:t xml:space="preserve"> compliance with global trade and labour laws.</w:t>
            </w:r>
          </w:p>
        </w:tc>
        <w:tc>
          <w:tcPr>
            <w:tcW w:w="0" w:type="auto"/>
            <w:hideMark/>
          </w:tcPr>
          <w:p w14:paraId="2EFFE09B" w14:textId="77777777" w:rsidR="00A82A8E" w:rsidRPr="00A82A8E" w:rsidRDefault="00A82A8E" w:rsidP="00A82A8E">
            <w:r w:rsidRPr="00A82A8E">
              <w:t>Must comply with EU ESG and product safety laws; strong internal compliance systems.</w:t>
            </w:r>
          </w:p>
        </w:tc>
        <w:tc>
          <w:tcPr>
            <w:tcW w:w="0" w:type="auto"/>
            <w:hideMark/>
          </w:tcPr>
          <w:p w14:paraId="29586743" w14:textId="77777777" w:rsidR="00A82A8E" w:rsidRPr="00A82A8E" w:rsidRDefault="00A82A8E" w:rsidP="00A82A8E">
            <w:r w:rsidRPr="00A82A8E">
              <w:t>Increasing regulatory focus on ESG reporting, data governance, and ethical sourcing.</w:t>
            </w:r>
          </w:p>
        </w:tc>
      </w:tr>
    </w:tbl>
    <w:p w14:paraId="30E74E92" w14:textId="77777777" w:rsidR="00A82A8E" w:rsidRDefault="00A82A8E" w:rsidP="00A82A8E"/>
    <w:p w14:paraId="0BB14D78" w14:textId="37AADCD9" w:rsidR="00A82A8E" w:rsidRPr="002158B0" w:rsidRDefault="00A82A8E" w:rsidP="002158B0">
      <w:pPr>
        <w:rPr>
          <w:b/>
          <w:bCs/>
          <w:sz w:val="28"/>
          <w:szCs w:val="28"/>
        </w:rPr>
      </w:pPr>
      <w:r w:rsidRPr="002158B0">
        <w:rPr>
          <w:b/>
          <w:bCs/>
          <w:sz w:val="28"/>
          <w:szCs w:val="28"/>
        </w:rPr>
        <w:t>Appendix B: Opportunities and Threats Summary</w:t>
      </w:r>
    </w:p>
    <w:tbl>
      <w:tblPr>
        <w:tblStyle w:val="TableGrid"/>
        <w:tblW w:w="0" w:type="auto"/>
        <w:tblLook w:val="04A0" w:firstRow="1" w:lastRow="0" w:firstColumn="1" w:lastColumn="0" w:noHBand="0" w:noVBand="1"/>
      </w:tblPr>
      <w:tblGrid>
        <w:gridCol w:w="1657"/>
        <w:gridCol w:w="3852"/>
        <w:gridCol w:w="3507"/>
      </w:tblGrid>
      <w:tr w:rsidR="00A82A8E" w:rsidRPr="00A82A8E" w14:paraId="44813FC0" w14:textId="77777777" w:rsidTr="00A82A8E">
        <w:tc>
          <w:tcPr>
            <w:tcW w:w="0" w:type="auto"/>
            <w:hideMark/>
          </w:tcPr>
          <w:p w14:paraId="2BF5B841" w14:textId="77777777" w:rsidR="00A82A8E" w:rsidRPr="00A82A8E" w:rsidRDefault="00A82A8E" w:rsidP="00A82A8E">
            <w:pPr>
              <w:rPr>
                <w:b/>
                <w:bCs/>
              </w:rPr>
            </w:pPr>
            <w:r w:rsidRPr="00A82A8E">
              <w:rPr>
                <w:b/>
                <w:bCs/>
              </w:rPr>
              <w:t>Category</w:t>
            </w:r>
          </w:p>
        </w:tc>
        <w:tc>
          <w:tcPr>
            <w:tcW w:w="0" w:type="auto"/>
            <w:hideMark/>
          </w:tcPr>
          <w:p w14:paraId="0CAA7048" w14:textId="77777777" w:rsidR="00A82A8E" w:rsidRPr="00A82A8E" w:rsidRDefault="00A82A8E" w:rsidP="00A82A8E">
            <w:pPr>
              <w:rPr>
                <w:b/>
                <w:bCs/>
              </w:rPr>
            </w:pPr>
            <w:r w:rsidRPr="00A82A8E">
              <w:rPr>
                <w:b/>
                <w:bCs/>
              </w:rPr>
              <w:t>Tesla (Pioneer)</w:t>
            </w:r>
          </w:p>
        </w:tc>
        <w:tc>
          <w:tcPr>
            <w:tcW w:w="0" w:type="auto"/>
            <w:hideMark/>
          </w:tcPr>
          <w:p w14:paraId="01A22565" w14:textId="77777777" w:rsidR="00A82A8E" w:rsidRPr="00A82A8E" w:rsidRDefault="00A82A8E" w:rsidP="00A82A8E">
            <w:pPr>
              <w:rPr>
                <w:b/>
                <w:bCs/>
              </w:rPr>
            </w:pPr>
            <w:r w:rsidRPr="00A82A8E">
              <w:rPr>
                <w:b/>
                <w:bCs/>
              </w:rPr>
              <w:t>BMW (Follower)</w:t>
            </w:r>
          </w:p>
        </w:tc>
      </w:tr>
      <w:tr w:rsidR="00A82A8E" w:rsidRPr="00A82A8E" w14:paraId="6C43B58B" w14:textId="77777777" w:rsidTr="00A82A8E">
        <w:tc>
          <w:tcPr>
            <w:tcW w:w="0" w:type="auto"/>
            <w:hideMark/>
          </w:tcPr>
          <w:p w14:paraId="2D777B19" w14:textId="77777777" w:rsidR="00A82A8E" w:rsidRPr="00A82A8E" w:rsidRDefault="00A82A8E" w:rsidP="00A82A8E">
            <w:r w:rsidRPr="00A82A8E">
              <w:rPr>
                <w:b/>
                <w:bCs/>
              </w:rPr>
              <w:t>Opportunities</w:t>
            </w:r>
          </w:p>
        </w:tc>
        <w:tc>
          <w:tcPr>
            <w:tcW w:w="0" w:type="auto"/>
            <w:hideMark/>
          </w:tcPr>
          <w:p w14:paraId="5BBA44EC" w14:textId="77777777" w:rsidR="00A82A8E" w:rsidRPr="00A82A8E" w:rsidRDefault="00A82A8E" w:rsidP="00A82A8E">
            <w:r w:rsidRPr="00A82A8E">
              <w:t>• First-mover technological leadership.</w:t>
            </w:r>
            <w:r w:rsidRPr="00A82A8E">
              <w:br/>
              <w:t>• Expansion in emerging EV markets.</w:t>
            </w:r>
            <w:r w:rsidRPr="00A82A8E">
              <w:br/>
              <w:t>• High brand equity from sustainability focus.</w:t>
            </w:r>
            <w:r w:rsidRPr="00A82A8E">
              <w:br/>
              <w:t>• Profitable carbon credit trading.</w:t>
            </w:r>
          </w:p>
        </w:tc>
        <w:tc>
          <w:tcPr>
            <w:tcW w:w="0" w:type="auto"/>
            <w:hideMark/>
          </w:tcPr>
          <w:p w14:paraId="13F2FF95" w14:textId="77777777" w:rsidR="00A82A8E" w:rsidRPr="00A82A8E" w:rsidRDefault="00A82A8E" w:rsidP="00A82A8E">
            <w:r w:rsidRPr="00A82A8E">
              <w:t>• Market entry supported by proven demand.</w:t>
            </w:r>
            <w:r w:rsidRPr="00A82A8E">
              <w:br/>
              <w:t>• Strong reputation for engineering and luxury.</w:t>
            </w:r>
            <w:r w:rsidRPr="00A82A8E">
              <w:br/>
              <w:t>• Expansion through hybrid-electric diversification.</w:t>
            </w:r>
            <w:r w:rsidRPr="00A82A8E">
              <w:br/>
              <w:t>• Access to EU sustainability incentives.</w:t>
            </w:r>
          </w:p>
        </w:tc>
      </w:tr>
      <w:tr w:rsidR="00A82A8E" w:rsidRPr="00A82A8E" w14:paraId="2DD4A7FD" w14:textId="77777777" w:rsidTr="00A82A8E">
        <w:tc>
          <w:tcPr>
            <w:tcW w:w="0" w:type="auto"/>
            <w:hideMark/>
          </w:tcPr>
          <w:p w14:paraId="7C987B18" w14:textId="77777777" w:rsidR="00A82A8E" w:rsidRPr="00A82A8E" w:rsidRDefault="00A82A8E" w:rsidP="00A82A8E">
            <w:r w:rsidRPr="00A82A8E">
              <w:rPr>
                <w:b/>
                <w:bCs/>
              </w:rPr>
              <w:t>Threats</w:t>
            </w:r>
          </w:p>
        </w:tc>
        <w:tc>
          <w:tcPr>
            <w:tcW w:w="0" w:type="auto"/>
            <w:hideMark/>
          </w:tcPr>
          <w:p w14:paraId="00B7539D" w14:textId="77777777" w:rsidR="00A82A8E" w:rsidRPr="00A82A8E" w:rsidRDefault="00A82A8E" w:rsidP="00A82A8E">
            <w:r w:rsidRPr="00A82A8E">
              <w:t>• Rising competition from BYD, Rivian, and traditional OEMs.</w:t>
            </w:r>
            <w:r w:rsidRPr="00A82A8E">
              <w:br/>
              <w:t>• High R&amp;D spending (~US$3B annually).</w:t>
            </w:r>
            <w:r w:rsidRPr="00A82A8E">
              <w:br/>
              <w:t>• Raw material dependency (lithium, cobalt).</w:t>
            </w:r>
            <w:r w:rsidRPr="00A82A8E">
              <w:br/>
              <w:t>• Regulatory scrutiny on autopilot systems.</w:t>
            </w:r>
          </w:p>
        </w:tc>
        <w:tc>
          <w:tcPr>
            <w:tcW w:w="0" w:type="auto"/>
            <w:hideMark/>
          </w:tcPr>
          <w:p w14:paraId="140F664F" w14:textId="115D4F6C" w:rsidR="00A82A8E" w:rsidRPr="00A82A8E" w:rsidRDefault="00A82A8E" w:rsidP="00A82A8E">
            <w:r w:rsidRPr="00A82A8E">
              <w:t>• Slower innovation adoption risks.</w:t>
            </w:r>
            <w:r w:rsidRPr="00A82A8E">
              <w:br/>
              <w:t>• High electrification transition costs (€35B 2020–24).</w:t>
            </w:r>
            <w:r w:rsidRPr="00A82A8E">
              <w:br/>
              <w:t xml:space="preserve">• Consumer perception as </w:t>
            </w:r>
            <w:r w:rsidR="0077195E">
              <w:t xml:space="preserve">a </w:t>
            </w:r>
            <w:r w:rsidRPr="00A82A8E">
              <w:t>late entrant.</w:t>
            </w:r>
            <w:r w:rsidRPr="00A82A8E">
              <w:br/>
              <w:t>• Reduced agility due to dual-technology operations.</w:t>
            </w:r>
          </w:p>
        </w:tc>
      </w:tr>
    </w:tbl>
    <w:p w14:paraId="5E212B3B" w14:textId="77777777" w:rsidR="00A82A8E" w:rsidRDefault="00A82A8E" w:rsidP="00A82A8E"/>
    <w:p w14:paraId="166EC44A" w14:textId="3F2734CB" w:rsidR="00A82A8E" w:rsidRPr="002158B0" w:rsidRDefault="00A82A8E" w:rsidP="002158B0">
      <w:pPr>
        <w:rPr>
          <w:b/>
          <w:bCs/>
          <w:sz w:val="28"/>
          <w:szCs w:val="28"/>
        </w:rPr>
      </w:pPr>
      <w:r w:rsidRPr="002158B0">
        <w:rPr>
          <w:b/>
          <w:bCs/>
          <w:sz w:val="28"/>
          <w:szCs w:val="28"/>
        </w:rPr>
        <w:lastRenderedPageBreak/>
        <w:t>Appendix C: Strategic Response Matrix</w:t>
      </w:r>
    </w:p>
    <w:tbl>
      <w:tblPr>
        <w:tblStyle w:val="TableGrid"/>
        <w:tblW w:w="0" w:type="auto"/>
        <w:tblLook w:val="04A0" w:firstRow="1" w:lastRow="0" w:firstColumn="1" w:lastColumn="0" w:noHBand="0" w:noVBand="1"/>
      </w:tblPr>
      <w:tblGrid>
        <w:gridCol w:w="1863"/>
        <w:gridCol w:w="2585"/>
        <w:gridCol w:w="2470"/>
        <w:gridCol w:w="2098"/>
      </w:tblGrid>
      <w:tr w:rsidR="00A82A8E" w:rsidRPr="00A82A8E" w14:paraId="2A62DEE6" w14:textId="77777777" w:rsidTr="00A82A8E">
        <w:tc>
          <w:tcPr>
            <w:tcW w:w="0" w:type="auto"/>
            <w:hideMark/>
          </w:tcPr>
          <w:p w14:paraId="326CF571" w14:textId="77777777" w:rsidR="00A82A8E" w:rsidRPr="00A82A8E" w:rsidRDefault="00A82A8E" w:rsidP="00A82A8E">
            <w:pPr>
              <w:rPr>
                <w:b/>
                <w:bCs/>
              </w:rPr>
            </w:pPr>
            <w:r w:rsidRPr="00A82A8E">
              <w:rPr>
                <w:b/>
                <w:bCs/>
              </w:rPr>
              <w:t>Strategic Dimension</w:t>
            </w:r>
          </w:p>
        </w:tc>
        <w:tc>
          <w:tcPr>
            <w:tcW w:w="0" w:type="auto"/>
            <w:hideMark/>
          </w:tcPr>
          <w:p w14:paraId="1910D07C" w14:textId="77777777" w:rsidR="00A82A8E" w:rsidRPr="00A82A8E" w:rsidRDefault="00A82A8E" w:rsidP="00A82A8E">
            <w:pPr>
              <w:rPr>
                <w:b/>
                <w:bCs/>
              </w:rPr>
            </w:pPr>
            <w:r w:rsidRPr="00A82A8E">
              <w:rPr>
                <w:b/>
                <w:bCs/>
              </w:rPr>
              <w:t>Tesla (Pioneer)</w:t>
            </w:r>
          </w:p>
        </w:tc>
        <w:tc>
          <w:tcPr>
            <w:tcW w:w="0" w:type="auto"/>
            <w:hideMark/>
          </w:tcPr>
          <w:p w14:paraId="351AF61F" w14:textId="77777777" w:rsidR="00A82A8E" w:rsidRPr="00A82A8E" w:rsidRDefault="00A82A8E" w:rsidP="00A82A8E">
            <w:pPr>
              <w:rPr>
                <w:b/>
                <w:bCs/>
              </w:rPr>
            </w:pPr>
            <w:r w:rsidRPr="00A82A8E">
              <w:rPr>
                <w:b/>
                <w:bCs/>
              </w:rPr>
              <w:t>BMW (Follower)</w:t>
            </w:r>
          </w:p>
        </w:tc>
        <w:tc>
          <w:tcPr>
            <w:tcW w:w="0" w:type="auto"/>
            <w:hideMark/>
          </w:tcPr>
          <w:p w14:paraId="6660CB44" w14:textId="77777777" w:rsidR="00A82A8E" w:rsidRPr="00A82A8E" w:rsidRDefault="00A82A8E" w:rsidP="00A82A8E">
            <w:pPr>
              <w:rPr>
                <w:b/>
                <w:bCs/>
              </w:rPr>
            </w:pPr>
            <w:r w:rsidRPr="00A82A8E">
              <w:rPr>
                <w:b/>
                <w:bCs/>
              </w:rPr>
              <w:t>Linked Theory</w:t>
            </w:r>
          </w:p>
        </w:tc>
      </w:tr>
      <w:tr w:rsidR="00A82A8E" w:rsidRPr="00A82A8E" w14:paraId="08251B07" w14:textId="77777777" w:rsidTr="00A82A8E">
        <w:tc>
          <w:tcPr>
            <w:tcW w:w="0" w:type="auto"/>
            <w:hideMark/>
          </w:tcPr>
          <w:p w14:paraId="2E0DE650" w14:textId="77777777" w:rsidR="00A82A8E" w:rsidRPr="00A82A8E" w:rsidRDefault="00A82A8E" w:rsidP="00A82A8E">
            <w:r w:rsidRPr="00A82A8E">
              <w:rPr>
                <w:b/>
                <w:bCs/>
              </w:rPr>
              <w:t>Technological</w:t>
            </w:r>
          </w:p>
        </w:tc>
        <w:tc>
          <w:tcPr>
            <w:tcW w:w="0" w:type="auto"/>
            <w:hideMark/>
          </w:tcPr>
          <w:p w14:paraId="66494CD9" w14:textId="77777777" w:rsidR="00A82A8E" w:rsidRPr="00A82A8E" w:rsidRDefault="00A82A8E" w:rsidP="00A82A8E">
            <w:r w:rsidRPr="00A82A8E">
              <w:t>Vertically integrated Gigafactories; autonomous driving systems; fast innovation cycles.</w:t>
            </w:r>
          </w:p>
        </w:tc>
        <w:tc>
          <w:tcPr>
            <w:tcW w:w="0" w:type="auto"/>
            <w:hideMark/>
          </w:tcPr>
          <w:p w14:paraId="25160D1B" w14:textId="77777777" w:rsidR="00A82A8E" w:rsidRPr="00A82A8E" w:rsidRDefault="00A82A8E" w:rsidP="00A82A8E">
            <w:r w:rsidRPr="00A82A8E">
              <w:t>Open innovation via partnerships (Intel, Solid Power); modular EV platform.</w:t>
            </w:r>
          </w:p>
        </w:tc>
        <w:tc>
          <w:tcPr>
            <w:tcW w:w="0" w:type="auto"/>
            <w:hideMark/>
          </w:tcPr>
          <w:p w14:paraId="5A018A57" w14:textId="77777777" w:rsidR="00A82A8E" w:rsidRPr="00A82A8E" w:rsidRDefault="00A82A8E" w:rsidP="00A82A8E">
            <w:r w:rsidRPr="00A82A8E">
              <w:t>Resource-Based View (Barney, 1991).</w:t>
            </w:r>
          </w:p>
        </w:tc>
      </w:tr>
      <w:tr w:rsidR="00A82A8E" w:rsidRPr="00A82A8E" w14:paraId="3028FCAD" w14:textId="77777777" w:rsidTr="00A82A8E">
        <w:tc>
          <w:tcPr>
            <w:tcW w:w="0" w:type="auto"/>
            <w:hideMark/>
          </w:tcPr>
          <w:p w14:paraId="128A92D8" w14:textId="77777777" w:rsidR="00A82A8E" w:rsidRPr="00A82A8E" w:rsidRDefault="00A82A8E" w:rsidP="00A82A8E">
            <w:r w:rsidRPr="00A82A8E">
              <w:rPr>
                <w:b/>
                <w:bCs/>
              </w:rPr>
              <w:t>Environmental</w:t>
            </w:r>
          </w:p>
        </w:tc>
        <w:tc>
          <w:tcPr>
            <w:tcW w:w="0" w:type="auto"/>
            <w:hideMark/>
          </w:tcPr>
          <w:p w14:paraId="69301DE4" w14:textId="77777777" w:rsidR="00A82A8E" w:rsidRPr="00A82A8E" w:rsidRDefault="00A82A8E" w:rsidP="00A82A8E">
            <w:r w:rsidRPr="00A82A8E">
              <w:t>Renewable energy use; battery recycling; monetisation of carbon credits.</w:t>
            </w:r>
          </w:p>
        </w:tc>
        <w:tc>
          <w:tcPr>
            <w:tcW w:w="0" w:type="auto"/>
            <w:hideMark/>
          </w:tcPr>
          <w:p w14:paraId="75F7A138" w14:textId="77777777" w:rsidR="00A82A8E" w:rsidRPr="00A82A8E" w:rsidRDefault="00A82A8E" w:rsidP="00A82A8E">
            <w:r w:rsidRPr="00A82A8E">
              <w:t>Circular Economy approach; sustainable manufacturing focus.</w:t>
            </w:r>
          </w:p>
        </w:tc>
        <w:tc>
          <w:tcPr>
            <w:tcW w:w="0" w:type="auto"/>
            <w:hideMark/>
          </w:tcPr>
          <w:p w14:paraId="37F0E90A" w14:textId="77777777" w:rsidR="00A82A8E" w:rsidRPr="00A82A8E" w:rsidRDefault="00A82A8E" w:rsidP="00A82A8E">
            <w:r w:rsidRPr="00A82A8E">
              <w:t>Sustainability Marketing (Belz &amp; Peattie, 2012).</w:t>
            </w:r>
          </w:p>
        </w:tc>
      </w:tr>
      <w:tr w:rsidR="00A82A8E" w:rsidRPr="00A82A8E" w14:paraId="73D82144" w14:textId="77777777" w:rsidTr="00A82A8E">
        <w:tc>
          <w:tcPr>
            <w:tcW w:w="0" w:type="auto"/>
            <w:hideMark/>
          </w:tcPr>
          <w:p w14:paraId="2F723CBC" w14:textId="77777777" w:rsidR="00A82A8E" w:rsidRPr="00A82A8E" w:rsidRDefault="00A82A8E" w:rsidP="00A82A8E">
            <w:r w:rsidRPr="00A82A8E">
              <w:rPr>
                <w:b/>
                <w:bCs/>
              </w:rPr>
              <w:t>Marketing</w:t>
            </w:r>
          </w:p>
        </w:tc>
        <w:tc>
          <w:tcPr>
            <w:tcW w:w="0" w:type="auto"/>
            <w:hideMark/>
          </w:tcPr>
          <w:p w14:paraId="4C90C180" w14:textId="77777777" w:rsidR="00A82A8E" w:rsidRPr="00A82A8E" w:rsidRDefault="00A82A8E" w:rsidP="00A82A8E">
            <w:r w:rsidRPr="00A82A8E">
              <w:t>Direct-to-consumer online model; minimal advertising; high brand loyalty.</w:t>
            </w:r>
          </w:p>
        </w:tc>
        <w:tc>
          <w:tcPr>
            <w:tcW w:w="0" w:type="auto"/>
            <w:hideMark/>
          </w:tcPr>
          <w:p w14:paraId="685C3718" w14:textId="77777777" w:rsidR="00A82A8E" w:rsidRPr="00A82A8E" w:rsidRDefault="00A82A8E" w:rsidP="00A82A8E">
            <w:r w:rsidRPr="00A82A8E">
              <w:t>Premium eco-branding via dealerships; “Born Electric” marketing campaign.</w:t>
            </w:r>
          </w:p>
        </w:tc>
        <w:tc>
          <w:tcPr>
            <w:tcW w:w="0" w:type="auto"/>
            <w:hideMark/>
          </w:tcPr>
          <w:p w14:paraId="34BA8DA1" w14:textId="77777777" w:rsidR="00A82A8E" w:rsidRPr="00A82A8E" w:rsidRDefault="00A82A8E" w:rsidP="00A82A8E">
            <w:r w:rsidRPr="00A82A8E">
              <w:t>Blue Ocean (Tesla) vs. Red Ocean (BMW).</w:t>
            </w:r>
          </w:p>
        </w:tc>
      </w:tr>
      <w:tr w:rsidR="00A82A8E" w:rsidRPr="00A82A8E" w14:paraId="74547D85" w14:textId="77777777" w:rsidTr="00A82A8E">
        <w:tc>
          <w:tcPr>
            <w:tcW w:w="0" w:type="auto"/>
            <w:hideMark/>
          </w:tcPr>
          <w:p w14:paraId="45812E5B" w14:textId="77777777" w:rsidR="00A82A8E" w:rsidRPr="00A82A8E" w:rsidRDefault="00A82A8E" w:rsidP="00A82A8E">
            <w:r w:rsidRPr="00A82A8E">
              <w:rPr>
                <w:b/>
                <w:bCs/>
              </w:rPr>
              <w:t>Innovation Speed</w:t>
            </w:r>
          </w:p>
        </w:tc>
        <w:tc>
          <w:tcPr>
            <w:tcW w:w="0" w:type="auto"/>
            <w:hideMark/>
          </w:tcPr>
          <w:p w14:paraId="07DC2E41" w14:textId="77777777" w:rsidR="00A82A8E" w:rsidRPr="00A82A8E" w:rsidRDefault="00A82A8E" w:rsidP="00A82A8E">
            <w:r w:rsidRPr="00A82A8E">
              <w:t>Rapid product cycles; software-led innovation.</w:t>
            </w:r>
          </w:p>
        </w:tc>
        <w:tc>
          <w:tcPr>
            <w:tcW w:w="0" w:type="auto"/>
            <w:hideMark/>
          </w:tcPr>
          <w:p w14:paraId="24E73B3F" w14:textId="77777777" w:rsidR="00A82A8E" w:rsidRPr="00A82A8E" w:rsidRDefault="00A82A8E" w:rsidP="00A82A8E">
            <w:r w:rsidRPr="00A82A8E">
              <w:t>Incremental product adaptation; balanced innovation.</w:t>
            </w:r>
          </w:p>
        </w:tc>
        <w:tc>
          <w:tcPr>
            <w:tcW w:w="0" w:type="auto"/>
            <w:hideMark/>
          </w:tcPr>
          <w:p w14:paraId="55D8AC3D" w14:textId="77777777" w:rsidR="00A82A8E" w:rsidRPr="00A82A8E" w:rsidRDefault="00A82A8E" w:rsidP="00A82A8E">
            <w:r w:rsidRPr="00A82A8E">
              <w:t>Diffusion of Innovation Theory (Rogers, 2003).</w:t>
            </w:r>
          </w:p>
        </w:tc>
      </w:tr>
      <w:tr w:rsidR="00A82A8E" w:rsidRPr="00A82A8E" w14:paraId="533B7FCF" w14:textId="77777777" w:rsidTr="00A82A8E">
        <w:tc>
          <w:tcPr>
            <w:tcW w:w="0" w:type="auto"/>
            <w:hideMark/>
          </w:tcPr>
          <w:p w14:paraId="68603D97" w14:textId="77777777" w:rsidR="00A82A8E" w:rsidRPr="00A82A8E" w:rsidRDefault="00A82A8E" w:rsidP="00A82A8E">
            <w:r w:rsidRPr="00A82A8E">
              <w:rPr>
                <w:b/>
                <w:bCs/>
              </w:rPr>
              <w:t>Production Strategy</w:t>
            </w:r>
          </w:p>
        </w:tc>
        <w:tc>
          <w:tcPr>
            <w:tcW w:w="0" w:type="auto"/>
            <w:hideMark/>
          </w:tcPr>
          <w:p w14:paraId="4F27C7CF" w14:textId="77777777" w:rsidR="00A82A8E" w:rsidRPr="00A82A8E" w:rsidRDefault="00A82A8E" w:rsidP="00A82A8E">
            <w:r w:rsidRPr="00A82A8E">
              <w:t>Full vertical integration and automation.</w:t>
            </w:r>
          </w:p>
        </w:tc>
        <w:tc>
          <w:tcPr>
            <w:tcW w:w="0" w:type="auto"/>
            <w:hideMark/>
          </w:tcPr>
          <w:p w14:paraId="44293700" w14:textId="77777777" w:rsidR="00A82A8E" w:rsidRPr="00A82A8E" w:rsidRDefault="00A82A8E" w:rsidP="00A82A8E">
            <w:r w:rsidRPr="00A82A8E">
              <w:t>Shared platforms and hybrid continuity.</w:t>
            </w:r>
          </w:p>
        </w:tc>
        <w:tc>
          <w:tcPr>
            <w:tcW w:w="0" w:type="auto"/>
            <w:hideMark/>
          </w:tcPr>
          <w:p w14:paraId="7C2FDCEE" w14:textId="77777777" w:rsidR="00A82A8E" w:rsidRPr="00A82A8E" w:rsidRDefault="00A82A8E" w:rsidP="00A82A8E">
            <w:r w:rsidRPr="00A82A8E">
              <w:t>Porter’s Differentiation Strategy (1985).</w:t>
            </w:r>
          </w:p>
        </w:tc>
      </w:tr>
      <w:tr w:rsidR="00A82A8E" w:rsidRPr="00A82A8E" w14:paraId="0B2340AA" w14:textId="77777777" w:rsidTr="00A82A8E">
        <w:tc>
          <w:tcPr>
            <w:tcW w:w="0" w:type="auto"/>
            <w:hideMark/>
          </w:tcPr>
          <w:p w14:paraId="2CA31107" w14:textId="77777777" w:rsidR="00A82A8E" w:rsidRPr="00A82A8E" w:rsidRDefault="00A82A8E" w:rsidP="00A82A8E">
            <w:r w:rsidRPr="00A82A8E">
              <w:rPr>
                <w:b/>
                <w:bCs/>
              </w:rPr>
              <w:t>Customer Orientation</w:t>
            </w:r>
          </w:p>
        </w:tc>
        <w:tc>
          <w:tcPr>
            <w:tcW w:w="0" w:type="auto"/>
            <w:hideMark/>
          </w:tcPr>
          <w:p w14:paraId="06D0F171" w14:textId="77777777" w:rsidR="00A82A8E" w:rsidRPr="00A82A8E" w:rsidRDefault="00A82A8E" w:rsidP="00A82A8E">
            <w:r w:rsidRPr="00A82A8E">
              <w:t>Focuses on digital communities and long-term engagement.</w:t>
            </w:r>
          </w:p>
        </w:tc>
        <w:tc>
          <w:tcPr>
            <w:tcW w:w="0" w:type="auto"/>
            <w:hideMark/>
          </w:tcPr>
          <w:p w14:paraId="18CB42DC" w14:textId="77777777" w:rsidR="00A82A8E" w:rsidRPr="00A82A8E" w:rsidRDefault="00A82A8E" w:rsidP="00A82A8E">
            <w:r w:rsidRPr="00A82A8E">
              <w:t>Focuses on heritage and trust in luxury markets.</w:t>
            </w:r>
          </w:p>
        </w:tc>
        <w:tc>
          <w:tcPr>
            <w:tcW w:w="0" w:type="auto"/>
            <w:hideMark/>
          </w:tcPr>
          <w:p w14:paraId="48D0BE59" w14:textId="77777777" w:rsidR="00A82A8E" w:rsidRPr="00A82A8E" w:rsidRDefault="00A82A8E" w:rsidP="00A82A8E">
            <w:r w:rsidRPr="00A82A8E">
              <w:t>Relationship Marketing Orientation.</w:t>
            </w:r>
          </w:p>
        </w:tc>
      </w:tr>
    </w:tbl>
    <w:p w14:paraId="2B0067A9" w14:textId="77777777" w:rsidR="00A82A8E" w:rsidRDefault="00A82A8E" w:rsidP="00A82A8E">
      <w:pPr>
        <w:rPr>
          <w:b/>
          <w:bCs/>
        </w:rPr>
      </w:pPr>
    </w:p>
    <w:p w14:paraId="28CE7A1E" w14:textId="49ADC8E2" w:rsidR="00A82A8E" w:rsidRPr="002158B0" w:rsidRDefault="00A82A8E" w:rsidP="002158B0">
      <w:pPr>
        <w:rPr>
          <w:b/>
          <w:bCs/>
          <w:sz w:val="28"/>
          <w:szCs w:val="28"/>
        </w:rPr>
      </w:pPr>
      <w:r w:rsidRPr="002158B0">
        <w:rPr>
          <w:b/>
          <w:bCs/>
          <w:sz w:val="28"/>
          <w:szCs w:val="28"/>
        </w:rPr>
        <w:t>Appendix D: Quantitative Data Overview</w:t>
      </w:r>
    </w:p>
    <w:tbl>
      <w:tblPr>
        <w:tblStyle w:val="TableGrid"/>
        <w:tblW w:w="0" w:type="auto"/>
        <w:tblLook w:val="04A0" w:firstRow="1" w:lastRow="0" w:firstColumn="1" w:lastColumn="0" w:noHBand="0" w:noVBand="1"/>
      </w:tblPr>
      <w:tblGrid>
        <w:gridCol w:w="1806"/>
        <w:gridCol w:w="1911"/>
        <w:gridCol w:w="1744"/>
        <w:gridCol w:w="1415"/>
        <w:gridCol w:w="2140"/>
      </w:tblGrid>
      <w:tr w:rsidR="00A82A8E" w:rsidRPr="00A82A8E" w14:paraId="7D8B7592" w14:textId="77777777" w:rsidTr="00A82A8E">
        <w:tc>
          <w:tcPr>
            <w:tcW w:w="0" w:type="auto"/>
            <w:hideMark/>
          </w:tcPr>
          <w:p w14:paraId="142F86DA" w14:textId="77777777" w:rsidR="00A82A8E" w:rsidRPr="00A82A8E" w:rsidRDefault="00A82A8E" w:rsidP="00A82A8E">
            <w:pPr>
              <w:rPr>
                <w:b/>
                <w:bCs/>
              </w:rPr>
            </w:pPr>
            <w:r w:rsidRPr="00A82A8E">
              <w:rPr>
                <w:b/>
                <w:bCs/>
              </w:rPr>
              <w:t>Indicator (2023–2024)</w:t>
            </w:r>
          </w:p>
        </w:tc>
        <w:tc>
          <w:tcPr>
            <w:tcW w:w="0" w:type="auto"/>
            <w:hideMark/>
          </w:tcPr>
          <w:p w14:paraId="7E550447" w14:textId="77777777" w:rsidR="00A82A8E" w:rsidRPr="00A82A8E" w:rsidRDefault="00A82A8E" w:rsidP="00A82A8E">
            <w:pPr>
              <w:rPr>
                <w:b/>
                <w:bCs/>
              </w:rPr>
            </w:pPr>
            <w:r w:rsidRPr="00A82A8E">
              <w:rPr>
                <w:b/>
                <w:bCs/>
              </w:rPr>
              <w:t>Tesla</w:t>
            </w:r>
          </w:p>
        </w:tc>
        <w:tc>
          <w:tcPr>
            <w:tcW w:w="0" w:type="auto"/>
            <w:hideMark/>
          </w:tcPr>
          <w:p w14:paraId="1E9202A5" w14:textId="77777777" w:rsidR="00A82A8E" w:rsidRPr="00A82A8E" w:rsidRDefault="00A82A8E" w:rsidP="00A82A8E">
            <w:pPr>
              <w:rPr>
                <w:b/>
                <w:bCs/>
              </w:rPr>
            </w:pPr>
            <w:r w:rsidRPr="00A82A8E">
              <w:rPr>
                <w:b/>
                <w:bCs/>
              </w:rPr>
              <w:t>BMW</w:t>
            </w:r>
          </w:p>
        </w:tc>
        <w:tc>
          <w:tcPr>
            <w:tcW w:w="0" w:type="auto"/>
            <w:hideMark/>
          </w:tcPr>
          <w:p w14:paraId="627C2851" w14:textId="77777777" w:rsidR="00A82A8E" w:rsidRPr="00A82A8E" w:rsidRDefault="00A82A8E" w:rsidP="00A82A8E">
            <w:pPr>
              <w:rPr>
                <w:b/>
                <w:bCs/>
              </w:rPr>
            </w:pPr>
            <w:r w:rsidRPr="00A82A8E">
              <w:rPr>
                <w:b/>
                <w:bCs/>
              </w:rPr>
              <w:t>Industry Average</w:t>
            </w:r>
          </w:p>
        </w:tc>
        <w:tc>
          <w:tcPr>
            <w:tcW w:w="0" w:type="auto"/>
            <w:hideMark/>
          </w:tcPr>
          <w:p w14:paraId="502383FE" w14:textId="77777777" w:rsidR="00A82A8E" w:rsidRPr="00A82A8E" w:rsidRDefault="00A82A8E" w:rsidP="00A82A8E">
            <w:pPr>
              <w:rPr>
                <w:b/>
                <w:bCs/>
              </w:rPr>
            </w:pPr>
            <w:r w:rsidRPr="00A82A8E">
              <w:rPr>
                <w:b/>
                <w:bCs/>
              </w:rPr>
              <w:t>Source</w:t>
            </w:r>
          </w:p>
        </w:tc>
      </w:tr>
      <w:tr w:rsidR="00A82A8E" w:rsidRPr="00A82A8E" w14:paraId="497C7013" w14:textId="77777777" w:rsidTr="00A82A8E">
        <w:tc>
          <w:tcPr>
            <w:tcW w:w="0" w:type="auto"/>
            <w:hideMark/>
          </w:tcPr>
          <w:p w14:paraId="6A2A5B1F" w14:textId="77777777" w:rsidR="00A82A8E" w:rsidRPr="00A82A8E" w:rsidRDefault="00A82A8E" w:rsidP="00A82A8E">
            <w:r w:rsidRPr="00A82A8E">
              <w:lastRenderedPageBreak/>
              <w:t>Global EV Market Share</w:t>
            </w:r>
          </w:p>
        </w:tc>
        <w:tc>
          <w:tcPr>
            <w:tcW w:w="0" w:type="auto"/>
            <w:hideMark/>
          </w:tcPr>
          <w:p w14:paraId="75F6A27A" w14:textId="77777777" w:rsidR="00A82A8E" w:rsidRPr="00A82A8E" w:rsidRDefault="00A82A8E" w:rsidP="00A82A8E">
            <w:r w:rsidRPr="00A82A8E">
              <w:t>17%</w:t>
            </w:r>
          </w:p>
        </w:tc>
        <w:tc>
          <w:tcPr>
            <w:tcW w:w="0" w:type="auto"/>
            <w:hideMark/>
          </w:tcPr>
          <w:p w14:paraId="11C429F2" w14:textId="77777777" w:rsidR="00A82A8E" w:rsidRPr="00A82A8E" w:rsidRDefault="00A82A8E" w:rsidP="00A82A8E">
            <w:r w:rsidRPr="00A82A8E">
              <w:t>4.5%</w:t>
            </w:r>
          </w:p>
        </w:tc>
        <w:tc>
          <w:tcPr>
            <w:tcW w:w="0" w:type="auto"/>
            <w:hideMark/>
          </w:tcPr>
          <w:p w14:paraId="2D89D3B3" w14:textId="77777777" w:rsidR="00A82A8E" w:rsidRPr="00A82A8E" w:rsidRDefault="00A82A8E" w:rsidP="00A82A8E">
            <w:r w:rsidRPr="00A82A8E">
              <w:t>–</w:t>
            </w:r>
          </w:p>
        </w:tc>
        <w:tc>
          <w:tcPr>
            <w:tcW w:w="0" w:type="auto"/>
            <w:hideMark/>
          </w:tcPr>
          <w:p w14:paraId="1B8B4901" w14:textId="77777777" w:rsidR="00A82A8E" w:rsidRPr="00A82A8E" w:rsidRDefault="00A82A8E" w:rsidP="00A82A8E">
            <w:r w:rsidRPr="00A82A8E">
              <w:t>IEA (2024)</w:t>
            </w:r>
          </w:p>
        </w:tc>
      </w:tr>
      <w:tr w:rsidR="00A82A8E" w:rsidRPr="00A82A8E" w14:paraId="145E9EC5" w14:textId="77777777" w:rsidTr="00A82A8E">
        <w:tc>
          <w:tcPr>
            <w:tcW w:w="0" w:type="auto"/>
            <w:hideMark/>
          </w:tcPr>
          <w:p w14:paraId="45E45208" w14:textId="77777777" w:rsidR="00A82A8E" w:rsidRPr="00A82A8E" w:rsidRDefault="00A82A8E" w:rsidP="00A82A8E">
            <w:r w:rsidRPr="00A82A8E">
              <w:t>Global EV Sales (Units)</w:t>
            </w:r>
          </w:p>
        </w:tc>
        <w:tc>
          <w:tcPr>
            <w:tcW w:w="0" w:type="auto"/>
            <w:hideMark/>
          </w:tcPr>
          <w:p w14:paraId="632BE188" w14:textId="77777777" w:rsidR="00A82A8E" w:rsidRPr="00A82A8E" w:rsidRDefault="00A82A8E" w:rsidP="00A82A8E">
            <w:r w:rsidRPr="00A82A8E">
              <w:t>1.8 million</w:t>
            </w:r>
          </w:p>
        </w:tc>
        <w:tc>
          <w:tcPr>
            <w:tcW w:w="0" w:type="auto"/>
            <w:hideMark/>
          </w:tcPr>
          <w:p w14:paraId="25781C70" w14:textId="77777777" w:rsidR="00A82A8E" w:rsidRPr="00A82A8E" w:rsidRDefault="00A82A8E" w:rsidP="00A82A8E">
            <w:r w:rsidRPr="00A82A8E">
              <w:t>621,000</w:t>
            </w:r>
          </w:p>
        </w:tc>
        <w:tc>
          <w:tcPr>
            <w:tcW w:w="0" w:type="auto"/>
            <w:hideMark/>
          </w:tcPr>
          <w:p w14:paraId="0BE7BC19" w14:textId="77777777" w:rsidR="00A82A8E" w:rsidRPr="00A82A8E" w:rsidRDefault="00A82A8E" w:rsidP="00A82A8E">
            <w:r w:rsidRPr="00A82A8E">
              <w:t>14 million (total)</w:t>
            </w:r>
          </w:p>
        </w:tc>
        <w:tc>
          <w:tcPr>
            <w:tcW w:w="0" w:type="auto"/>
            <w:hideMark/>
          </w:tcPr>
          <w:p w14:paraId="5427C287" w14:textId="77777777" w:rsidR="00A82A8E" w:rsidRPr="00A82A8E" w:rsidRDefault="00A82A8E" w:rsidP="00A82A8E">
            <w:r w:rsidRPr="00A82A8E">
              <w:t>IEA (2024)</w:t>
            </w:r>
          </w:p>
        </w:tc>
      </w:tr>
      <w:tr w:rsidR="00A82A8E" w:rsidRPr="00A82A8E" w14:paraId="3DBFBD10" w14:textId="77777777" w:rsidTr="00A82A8E">
        <w:tc>
          <w:tcPr>
            <w:tcW w:w="0" w:type="auto"/>
            <w:hideMark/>
          </w:tcPr>
          <w:p w14:paraId="0CFDAA5C" w14:textId="77777777" w:rsidR="00A82A8E" w:rsidRPr="00A82A8E" w:rsidRDefault="00A82A8E" w:rsidP="00A82A8E">
            <w:r w:rsidRPr="00A82A8E">
              <w:t>Battery Cost (US$/kWh)</w:t>
            </w:r>
          </w:p>
        </w:tc>
        <w:tc>
          <w:tcPr>
            <w:tcW w:w="0" w:type="auto"/>
            <w:hideMark/>
          </w:tcPr>
          <w:p w14:paraId="7A7D4723" w14:textId="77777777" w:rsidR="00A82A8E" w:rsidRPr="00A82A8E" w:rsidRDefault="00A82A8E" w:rsidP="00A82A8E">
            <w:r w:rsidRPr="00A82A8E">
              <w:t>139</w:t>
            </w:r>
          </w:p>
        </w:tc>
        <w:tc>
          <w:tcPr>
            <w:tcW w:w="0" w:type="auto"/>
            <w:hideMark/>
          </w:tcPr>
          <w:p w14:paraId="331F0100" w14:textId="77777777" w:rsidR="00A82A8E" w:rsidRPr="00A82A8E" w:rsidRDefault="00A82A8E" w:rsidP="00A82A8E">
            <w:r w:rsidRPr="00A82A8E">
              <w:t>145</w:t>
            </w:r>
          </w:p>
        </w:tc>
        <w:tc>
          <w:tcPr>
            <w:tcW w:w="0" w:type="auto"/>
            <w:hideMark/>
          </w:tcPr>
          <w:p w14:paraId="47763D6F" w14:textId="77777777" w:rsidR="00A82A8E" w:rsidRPr="00A82A8E" w:rsidRDefault="00A82A8E" w:rsidP="00A82A8E">
            <w:r w:rsidRPr="00A82A8E">
              <w:t>139</w:t>
            </w:r>
          </w:p>
        </w:tc>
        <w:tc>
          <w:tcPr>
            <w:tcW w:w="0" w:type="auto"/>
            <w:hideMark/>
          </w:tcPr>
          <w:p w14:paraId="1E1F9C66" w14:textId="77777777" w:rsidR="00A82A8E" w:rsidRPr="00A82A8E" w:rsidRDefault="00A82A8E" w:rsidP="00A82A8E">
            <w:proofErr w:type="spellStart"/>
            <w:r w:rsidRPr="00A82A8E">
              <w:t>BloombergNEF</w:t>
            </w:r>
            <w:proofErr w:type="spellEnd"/>
            <w:r w:rsidRPr="00A82A8E">
              <w:t xml:space="preserve"> (2023)</w:t>
            </w:r>
          </w:p>
        </w:tc>
      </w:tr>
      <w:tr w:rsidR="00A82A8E" w:rsidRPr="00A82A8E" w14:paraId="1AA2F80E" w14:textId="77777777" w:rsidTr="00A82A8E">
        <w:tc>
          <w:tcPr>
            <w:tcW w:w="0" w:type="auto"/>
            <w:hideMark/>
          </w:tcPr>
          <w:p w14:paraId="7FC4D7A4" w14:textId="77777777" w:rsidR="00A82A8E" w:rsidRPr="00A82A8E" w:rsidRDefault="00A82A8E" w:rsidP="00A82A8E">
            <w:r w:rsidRPr="00A82A8E">
              <w:t>R&amp;D Investment</w:t>
            </w:r>
          </w:p>
        </w:tc>
        <w:tc>
          <w:tcPr>
            <w:tcW w:w="0" w:type="auto"/>
            <w:hideMark/>
          </w:tcPr>
          <w:p w14:paraId="3D919DB2" w14:textId="77777777" w:rsidR="00A82A8E" w:rsidRPr="00A82A8E" w:rsidRDefault="00A82A8E" w:rsidP="00A82A8E">
            <w:r w:rsidRPr="00A82A8E">
              <w:t>US$3B annually</w:t>
            </w:r>
          </w:p>
        </w:tc>
        <w:tc>
          <w:tcPr>
            <w:tcW w:w="0" w:type="auto"/>
            <w:hideMark/>
          </w:tcPr>
          <w:p w14:paraId="165B9DE4" w14:textId="77777777" w:rsidR="00A82A8E" w:rsidRPr="00A82A8E" w:rsidRDefault="00A82A8E" w:rsidP="00A82A8E">
            <w:r w:rsidRPr="00A82A8E">
              <w:t>€35B (2020–2024)</w:t>
            </w:r>
          </w:p>
        </w:tc>
        <w:tc>
          <w:tcPr>
            <w:tcW w:w="0" w:type="auto"/>
            <w:hideMark/>
          </w:tcPr>
          <w:p w14:paraId="53C500B4" w14:textId="77777777" w:rsidR="00A82A8E" w:rsidRPr="00A82A8E" w:rsidRDefault="00A82A8E" w:rsidP="00A82A8E">
            <w:r w:rsidRPr="00A82A8E">
              <w:t>–</w:t>
            </w:r>
          </w:p>
        </w:tc>
        <w:tc>
          <w:tcPr>
            <w:tcW w:w="0" w:type="auto"/>
            <w:hideMark/>
          </w:tcPr>
          <w:p w14:paraId="47B8E12B" w14:textId="77777777" w:rsidR="00A82A8E" w:rsidRPr="00A82A8E" w:rsidRDefault="00A82A8E" w:rsidP="00A82A8E">
            <w:r w:rsidRPr="00A82A8E">
              <w:t>Macrotrends (2024)</w:t>
            </w:r>
          </w:p>
        </w:tc>
      </w:tr>
      <w:tr w:rsidR="00A82A8E" w:rsidRPr="00A82A8E" w14:paraId="65C4FA59" w14:textId="77777777" w:rsidTr="00A82A8E">
        <w:tc>
          <w:tcPr>
            <w:tcW w:w="0" w:type="auto"/>
            <w:hideMark/>
          </w:tcPr>
          <w:p w14:paraId="7912E4DC" w14:textId="77777777" w:rsidR="00A82A8E" w:rsidRPr="00A82A8E" w:rsidRDefault="00A82A8E" w:rsidP="00A82A8E">
            <w:r w:rsidRPr="00A82A8E">
              <w:t>CO₂ Reduction</w:t>
            </w:r>
          </w:p>
        </w:tc>
        <w:tc>
          <w:tcPr>
            <w:tcW w:w="0" w:type="auto"/>
            <w:hideMark/>
          </w:tcPr>
          <w:p w14:paraId="64E2B977" w14:textId="77777777" w:rsidR="00A82A8E" w:rsidRPr="00A82A8E" w:rsidRDefault="00A82A8E" w:rsidP="00A82A8E">
            <w:r w:rsidRPr="00A82A8E">
              <w:t>100% zero-emission fleet</w:t>
            </w:r>
          </w:p>
        </w:tc>
        <w:tc>
          <w:tcPr>
            <w:tcW w:w="0" w:type="auto"/>
            <w:hideMark/>
          </w:tcPr>
          <w:p w14:paraId="68F1F9A6" w14:textId="77777777" w:rsidR="00A82A8E" w:rsidRPr="00A82A8E" w:rsidRDefault="00A82A8E" w:rsidP="00A82A8E">
            <w:r w:rsidRPr="00A82A8E">
              <w:t>22% reduction per vehicle</w:t>
            </w:r>
          </w:p>
        </w:tc>
        <w:tc>
          <w:tcPr>
            <w:tcW w:w="0" w:type="auto"/>
            <w:hideMark/>
          </w:tcPr>
          <w:p w14:paraId="260332F8" w14:textId="77777777" w:rsidR="00A82A8E" w:rsidRPr="00A82A8E" w:rsidRDefault="00A82A8E" w:rsidP="00A82A8E">
            <w:r w:rsidRPr="00A82A8E">
              <w:t>–</w:t>
            </w:r>
          </w:p>
        </w:tc>
        <w:tc>
          <w:tcPr>
            <w:tcW w:w="0" w:type="auto"/>
            <w:hideMark/>
          </w:tcPr>
          <w:p w14:paraId="63C70984" w14:textId="77777777" w:rsidR="00A82A8E" w:rsidRPr="00A82A8E" w:rsidRDefault="00A82A8E" w:rsidP="00A82A8E">
            <w:r w:rsidRPr="00A82A8E">
              <w:t>BMW Report (2023)</w:t>
            </w:r>
          </w:p>
        </w:tc>
      </w:tr>
      <w:tr w:rsidR="00A82A8E" w:rsidRPr="00A82A8E" w14:paraId="3F316A75" w14:textId="77777777" w:rsidTr="00A82A8E">
        <w:tc>
          <w:tcPr>
            <w:tcW w:w="0" w:type="auto"/>
            <w:hideMark/>
          </w:tcPr>
          <w:p w14:paraId="50C509AA" w14:textId="77777777" w:rsidR="00A82A8E" w:rsidRPr="00A82A8E" w:rsidRDefault="00A82A8E" w:rsidP="00A82A8E">
            <w:r w:rsidRPr="00A82A8E">
              <w:t>Carbon Credit Revenue</w:t>
            </w:r>
          </w:p>
        </w:tc>
        <w:tc>
          <w:tcPr>
            <w:tcW w:w="0" w:type="auto"/>
            <w:hideMark/>
          </w:tcPr>
          <w:p w14:paraId="321096BA" w14:textId="77777777" w:rsidR="00A82A8E" w:rsidRPr="00A82A8E" w:rsidRDefault="00A82A8E" w:rsidP="00A82A8E">
            <w:r w:rsidRPr="00A82A8E">
              <w:t>US$1.79B</w:t>
            </w:r>
          </w:p>
        </w:tc>
        <w:tc>
          <w:tcPr>
            <w:tcW w:w="0" w:type="auto"/>
            <w:hideMark/>
          </w:tcPr>
          <w:p w14:paraId="41731A7D" w14:textId="77777777" w:rsidR="00A82A8E" w:rsidRPr="00A82A8E" w:rsidRDefault="00A82A8E" w:rsidP="00A82A8E">
            <w:r w:rsidRPr="00A82A8E">
              <w:t>€0.6B (approx.)</w:t>
            </w:r>
          </w:p>
        </w:tc>
        <w:tc>
          <w:tcPr>
            <w:tcW w:w="0" w:type="auto"/>
            <w:hideMark/>
          </w:tcPr>
          <w:p w14:paraId="77CBFABC" w14:textId="77777777" w:rsidR="00A82A8E" w:rsidRPr="00A82A8E" w:rsidRDefault="00A82A8E" w:rsidP="00A82A8E">
            <w:r w:rsidRPr="00A82A8E">
              <w:t>–</w:t>
            </w:r>
          </w:p>
        </w:tc>
        <w:tc>
          <w:tcPr>
            <w:tcW w:w="0" w:type="auto"/>
            <w:hideMark/>
          </w:tcPr>
          <w:p w14:paraId="675EE984" w14:textId="77777777" w:rsidR="00A82A8E" w:rsidRPr="00A82A8E" w:rsidRDefault="00A82A8E" w:rsidP="00A82A8E">
            <w:r w:rsidRPr="00A82A8E">
              <w:t>Tesla Annual Report (2023)</w:t>
            </w:r>
          </w:p>
        </w:tc>
      </w:tr>
      <w:tr w:rsidR="00A82A8E" w:rsidRPr="00A82A8E" w14:paraId="47342B97" w14:textId="77777777" w:rsidTr="00A82A8E">
        <w:tc>
          <w:tcPr>
            <w:tcW w:w="0" w:type="auto"/>
            <w:hideMark/>
          </w:tcPr>
          <w:p w14:paraId="65CDEDDB" w14:textId="77777777" w:rsidR="00A82A8E" w:rsidRPr="00A82A8E" w:rsidRDefault="00A82A8E" w:rsidP="00A82A8E">
            <w:r w:rsidRPr="00A82A8E">
              <w:t>Renewable Energy Usage</w:t>
            </w:r>
          </w:p>
        </w:tc>
        <w:tc>
          <w:tcPr>
            <w:tcW w:w="0" w:type="auto"/>
            <w:hideMark/>
          </w:tcPr>
          <w:p w14:paraId="282AE538" w14:textId="77777777" w:rsidR="00A82A8E" w:rsidRPr="00A82A8E" w:rsidRDefault="00A82A8E" w:rsidP="00A82A8E">
            <w:r w:rsidRPr="00A82A8E">
              <w:t>100% in Gigafactories</w:t>
            </w:r>
          </w:p>
        </w:tc>
        <w:tc>
          <w:tcPr>
            <w:tcW w:w="0" w:type="auto"/>
            <w:hideMark/>
          </w:tcPr>
          <w:p w14:paraId="10A85616" w14:textId="77777777" w:rsidR="00A82A8E" w:rsidRPr="00A82A8E" w:rsidRDefault="00A82A8E" w:rsidP="00A82A8E">
            <w:r w:rsidRPr="00A82A8E">
              <w:t>80% in global operations</w:t>
            </w:r>
          </w:p>
        </w:tc>
        <w:tc>
          <w:tcPr>
            <w:tcW w:w="0" w:type="auto"/>
            <w:hideMark/>
          </w:tcPr>
          <w:p w14:paraId="24FB3B12" w14:textId="77777777" w:rsidR="00A82A8E" w:rsidRPr="00A82A8E" w:rsidRDefault="00A82A8E" w:rsidP="00A82A8E">
            <w:r w:rsidRPr="00A82A8E">
              <w:t>–</w:t>
            </w:r>
          </w:p>
        </w:tc>
        <w:tc>
          <w:tcPr>
            <w:tcW w:w="0" w:type="auto"/>
            <w:hideMark/>
          </w:tcPr>
          <w:p w14:paraId="5515FA67" w14:textId="77777777" w:rsidR="00A82A8E" w:rsidRPr="00A82A8E" w:rsidRDefault="00A82A8E" w:rsidP="00A82A8E">
            <w:r w:rsidRPr="00A82A8E">
              <w:t>Company Reports (2023)</w:t>
            </w:r>
          </w:p>
        </w:tc>
      </w:tr>
      <w:tr w:rsidR="00A82A8E" w:rsidRPr="00A82A8E" w14:paraId="0704F35E" w14:textId="77777777" w:rsidTr="00A82A8E">
        <w:tc>
          <w:tcPr>
            <w:tcW w:w="0" w:type="auto"/>
            <w:hideMark/>
          </w:tcPr>
          <w:p w14:paraId="37792875" w14:textId="77777777" w:rsidR="00A82A8E" w:rsidRPr="00A82A8E" w:rsidRDefault="00A82A8E" w:rsidP="00A82A8E">
            <w:r w:rsidRPr="00A82A8E">
              <w:t>Operating Margin</w:t>
            </w:r>
          </w:p>
        </w:tc>
        <w:tc>
          <w:tcPr>
            <w:tcW w:w="0" w:type="auto"/>
            <w:hideMark/>
          </w:tcPr>
          <w:p w14:paraId="3E11D9DC" w14:textId="77777777" w:rsidR="00A82A8E" w:rsidRPr="00A82A8E" w:rsidRDefault="00A82A8E" w:rsidP="00A82A8E">
            <w:r w:rsidRPr="00A82A8E">
              <w:t>17.6%</w:t>
            </w:r>
          </w:p>
        </w:tc>
        <w:tc>
          <w:tcPr>
            <w:tcW w:w="0" w:type="auto"/>
            <w:hideMark/>
          </w:tcPr>
          <w:p w14:paraId="4DDFA017" w14:textId="77777777" w:rsidR="00A82A8E" w:rsidRPr="00A82A8E" w:rsidRDefault="00A82A8E" w:rsidP="00A82A8E">
            <w:r w:rsidRPr="00A82A8E">
              <w:t>10.3%</w:t>
            </w:r>
          </w:p>
        </w:tc>
        <w:tc>
          <w:tcPr>
            <w:tcW w:w="0" w:type="auto"/>
            <w:hideMark/>
          </w:tcPr>
          <w:p w14:paraId="170D8406" w14:textId="77777777" w:rsidR="00A82A8E" w:rsidRPr="00A82A8E" w:rsidRDefault="00A82A8E" w:rsidP="00A82A8E">
            <w:r w:rsidRPr="00A82A8E">
              <w:t>11%</w:t>
            </w:r>
          </w:p>
        </w:tc>
        <w:tc>
          <w:tcPr>
            <w:tcW w:w="0" w:type="auto"/>
            <w:hideMark/>
          </w:tcPr>
          <w:p w14:paraId="7C8EA2B5" w14:textId="77777777" w:rsidR="00A82A8E" w:rsidRPr="00A82A8E" w:rsidRDefault="00A82A8E" w:rsidP="00A82A8E">
            <w:r w:rsidRPr="00A82A8E">
              <w:t>Statista (2024)</w:t>
            </w:r>
          </w:p>
        </w:tc>
      </w:tr>
    </w:tbl>
    <w:p w14:paraId="33FC5FC8" w14:textId="77777777" w:rsidR="00A82A8E" w:rsidRDefault="00A82A8E" w:rsidP="00A82A8E"/>
    <w:p w14:paraId="63E028BA" w14:textId="165E1FF3" w:rsidR="00A82A8E" w:rsidRPr="002158B0" w:rsidRDefault="00A82A8E" w:rsidP="002158B0">
      <w:pPr>
        <w:rPr>
          <w:b/>
          <w:bCs/>
          <w:sz w:val="28"/>
          <w:szCs w:val="28"/>
        </w:rPr>
      </w:pPr>
      <w:r w:rsidRPr="002158B0">
        <w:rPr>
          <w:b/>
          <w:bCs/>
          <w:sz w:val="28"/>
          <w:szCs w:val="28"/>
        </w:rPr>
        <w:t>Appendix E: Theoretical Framework Application</w:t>
      </w:r>
    </w:p>
    <w:tbl>
      <w:tblPr>
        <w:tblStyle w:val="TableGrid"/>
        <w:tblW w:w="0" w:type="auto"/>
        <w:tblLook w:val="04A0" w:firstRow="1" w:lastRow="0" w:firstColumn="1" w:lastColumn="0" w:noHBand="0" w:noVBand="1"/>
      </w:tblPr>
      <w:tblGrid>
        <w:gridCol w:w="1823"/>
        <w:gridCol w:w="1831"/>
        <w:gridCol w:w="1679"/>
        <w:gridCol w:w="1823"/>
        <w:gridCol w:w="1860"/>
      </w:tblGrid>
      <w:tr w:rsidR="00A82A8E" w:rsidRPr="00A82A8E" w14:paraId="07605E4D" w14:textId="77777777" w:rsidTr="00A82A8E">
        <w:tc>
          <w:tcPr>
            <w:tcW w:w="0" w:type="auto"/>
            <w:hideMark/>
          </w:tcPr>
          <w:p w14:paraId="29875D6F" w14:textId="77777777" w:rsidR="00A82A8E" w:rsidRPr="00A82A8E" w:rsidRDefault="00A82A8E" w:rsidP="00A82A8E">
            <w:pPr>
              <w:rPr>
                <w:b/>
                <w:bCs/>
              </w:rPr>
            </w:pPr>
            <w:r w:rsidRPr="00A82A8E">
              <w:rPr>
                <w:b/>
                <w:bCs/>
              </w:rPr>
              <w:t>Theory/Model</w:t>
            </w:r>
          </w:p>
        </w:tc>
        <w:tc>
          <w:tcPr>
            <w:tcW w:w="0" w:type="auto"/>
            <w:hideMark/>
          </w:tcPr>
          <w:p w14:paraId="49183A73" w14:textId="77777777" w:rsidR="00A82A8E" w:rsidRPr="00A82A8E" w:rsidRDefault="00A82A8E" w:rsidP="00A82A8E">
            <w:pPr>
              <w:rPr>
                <w:b/>
                <w:bCs/>
              </w:rPr>
            </w:pPr>
            <w:r w:rsidRPr="00A82A8E">
              <w:rPr>
                <w:b/>
                <w:bCs/>
              </w:rPr>
              <w:t>Purpose</w:t>
            </w:r>
          </w:p>
        </w:tc>
        <w:tc>
          <w:tcPr>
            <w:tcW w:w="0" w:type="auto"/>
            <w:hideMark/>
          </w:tcPr>
          <w:p w14:paraId="4187206C" w14:textId="2CFE5898" w:rsidR="00A82A8E" w:rsidRPr="00A82A8E" w:rsidRDefault="00A82A8E" w:rsidP="00A82A8E">
            <w:pPr>
              <w:rPr>
                <w:b/>
                <w:bCs/>
              </w:rPr>
            </w:pPr>
            <w:r w:rsidRPr="00A82A8E">
              <w:rPr>
                <w:b/>
                <w:bCs/>
              </w:rPr>
              <w:t xml:space="preserve">Application in </w:t>
            </w:r>
            <w:r w:rsidR="0077195E">
              <w:rPr>
                <w:b/>
                <w:bCs/>
              </w:rPr>
              <w:t xml:space="preserve">the </w:t>
            </w:r>
            <w:r w:rsidRPr="00A82A8E">
              <w:rPr>
                <w:b/>
                <w:bCs/>
              </w:rPr>
              <w:t>EV Industry</w:t>
            </w:r>
          </w:p>
        </w:tc>
        <w:tc>
          <w:tcPr>
            <w:tcW w:w="0" w:type="auto"/>
            <w:hideMark/>
          </w:tcPr>
          <w:p w14:paraId="77F3B67C" w14:textId="77777777" w:rsidR="00A82A8E" w:rsidRPr="00A82A8E" w:rsidRDefault="00A82A8E" w:rsidP="00A82A8E">
            <w:pPr>
              <w:rPr>
                <w:b/>
                <w:bCs/>
              </w:rPr>
            </w:pPr>
            <w:r w:rsidRPr="00A82A8E">
              <w:rPr>
                <w:b/>
                <w:bCs/>
              </w:rPr>
              <w:t>Tesla Example</w:t>
            </w:r>
          </w:p>
        </w:tc>
        <w:tc>
          <w:tcPr>
            <w:tcW w:w="0" w:type="auto"/>
            <w:hideMark/>
          </w:tcPr>
          <w:p w14:paraId="5BAC986C" w14:textId="77777777" w:rsidR="00A82A8E" w:rsidRPr="00A82A8E" w:rsidRDefault="00A82A8E" w:rsidP="00A82A8E">
            <w:pPr>
              <w:rPr>
                <w:b/>
                <w:bCs/>
              </w:rPr>
            </w:pPr>
            <w:r w:rsidRPr="00A82A8E">
              <w:rPr>
                <w:b/>
                <w:bCs/>
              </w:rPr>
              <w:t>BMW Example</w:t>
            </w:r>
          </w:p>
        </w:tc>
      </w:tr>
      <w:tr w:rsidR="00A82A8E" w:rsidRPr="00A82A8E" w14:paraId="0D948F58" w14:textId="77777777" w:rsidTr="00A82A8E">
        <w:tc>
          <w:tcPr>
            <w:tcW w:w="0" w:type="auto"/>
            <w:hideMark/>
          </w:tcPr>
          <w:p w14:paraId="170E5524" w14:textId="77777777" w:rsidR="00A82A8E" w:rsidRPr="00A82A8E" w:rsidRDefault="00A82A8E" w:rsidP="00A82A8E">
            <w:r w:rsidRPr="00A82A8E">
              <w:t>PESTEL Framework</w:t>
            </w:r>
          </w:p>
        </w:tc>
        <w:tc>
          <w:tcPr>
            <w:tcW w:w="0" w:type="auto"/>
            <w:hideMark/>
          </w:tcPr>
          <w:p w14:paraId="1BE4FD27" w14:textId="77777777" w:rsidR="00A82A8E" w:rsidRPr="00A82A8E" w:rsidRDefault="00A82A8E" w:rsidP="00A82A8E">
            <w:r w:rsidRPr="00A82A8E">
              <w:t>Assess macro-environmental factors.</w:t>
            </w:r>
          </w:p>
        </w:tc>
        <w:tc>
          <w:tcPr>
            <w:tcW w:w="0" w:type="auto"/>
            <w:hideMark/>
          </w:tcPr>
          <w:p w14:paraId="3AD0880D" w14:textId="77777777" w:rsidR="00A82A8E" w:rsidRPr="00A82A8E" w:rsidRDefault="00A82A8E" w:rsidP="00A82A8E">
            <w:r w:rsidRPr="00A82A8E">
              <w:t>Identifies external influences on EV strategy.</w:t>
            </w:r>
          </w:p>
        </w:tc>
        <w:tc>
          <w:tcPr>
            <w:tcW w:w="0" w:type="auto"/>
            <w:hideMark/>
          </w:tcPr>
          <w:p w14:paraId="6D002E1E" w14:textId="77777777" w:rsidR="00A82A8E" w:rsidRPr="00A82A8E" w:rsidRDefault="00A82A8E" w:rsidP="00A82A8E">
            <w:r w:rsidRPr="00A82A8E">
              <w:t>Technological leadership through innovation.</w:t>
            </w:r>
          </w:p>
        </w:tc>
        <w:tc>
          <w:tcPr>
            <w:tcW w:w="0" w:type="auto"/>
            <w:hideMark/>
          </w:tcPr>
          <w:p w14:paraId="3AF6151B" w14:textId="77777777" w:rsidR="00A82A8E" w:rsidRPr="00A82A8E" w:rsidRDefault="00A82A8E" w:rsidP="00A82A8E">
            <w:r w:rsidRPr="00A82A8E">
              <w:t>Compliance with EU climate policies.</w:t>
            </w:r>
          </w:p>
        </w:tc>
      </w:tr>
      <w:tr w:rsidR="00A82A8E" w:rsidRPr="00A82A8E" w14:paraId="2E602060" w14:textId="77777777" w:rsidTr="00A82A8E">
        <w:tc>
          <w:tcPr>
            <w:tcW w:w="0" w:type="auto"/>
            <w:hideMark/>
          </w:tcPr>
          <w:p w14:paraId="174BD0FA" w14:textId="77777777" w:rsidR="00A82A8E" w:rsidRPr="00A82A8E" w:rsidRDefault="00A82A8E" w:rsidP="00A82A8E">
            <w:r w:rsidRPr="00A82A8E">
              <w:t>Porter’s Differentiation (1985)</w:t>
            </w:r>
          </w:p>
        </w:tc>
        <w:tc>
          <w:tcPr>
            <w:tcW w:w="0" w:type="auto"/>
            <w:hideMark/>
          </w:tcPr>
          <w:p w14:paraId="529CCE87" w14:textId="10D381CB" w:rsidR="00A82A8E" w:rsidRPr="00A82A8E" w:rsidRDefault="00A82A8E" w:rsidP="00A82A8E">
            <w:r w:rsidRPr="00A82A8E">
              <w:t xml:space="preserve">Create </w:t>
            </w:r>
            <w:r w:rsidR="0077195E">
              <w:t xml:space="preserve">a </w:t>
            </w:r>
            <w:r w:rsidRPr="00A82A8E">
              <w:t>unique market position.</w:t>
            </w:r>
          </w:p>
        </w:tc>
        <w:tc>
          <w:tcPr>
            <w:tcW w:w="0" w:type="auto"/>
            <w:hideMark/>
          </w:tcPr>
          <w:p w14:paraId="64ABE45C" w14:textId="77777777" w:rsidR="00A82A8E" w:rsidRPr="00A82A8E" w:rsidRDefault="00A82A8E" w:rsidP="00A82A8E">
            <w:r w:rsidRPr="00A82A8E">
              <w:t>Compete through innovation and value.</w:t>
            </w:r>
          </w:p>
        </w:tc>
        <w:tc>
          <w:tcPr>
            <w:tcW w:w="0" w:type="auto"/>
            <w:hideMark/>
          </w:tcPr>
          <w:p w14:paraId="31649D07" w14:textId="77777777" w:rsidR="00A82A8E" w:rsidRPr="00A82A8E" w:rsidRDefault="00A82A8E" w:rsidP="00A82A8E">
            <w:r w:rsidRPr="00A82A8E">
              <w:t>Differentiates via performance and AI.</w:t>
            </w:r>
          </w:p>
        </w:tc>
        <w:tc>
          <w:tcPr>
            <w:tcW w:w="0" w:type="auto"/>
            <w:hideMark/>
          </w:tcPr>
          <w:p w14:paraId="7BE8D5D4" w14:textId="77777777" w:rsidR="00A82A8E" w:rsidRPr="00A82A8E" w:rsidRDefault="00A82A8E" w:rsidP="00A82A8E">
            <w:r w:rsidRPr="00A82A8E">
              <w:t>Differentiates via luxury eco-design.</w:t>
            </w:r>
          </w:p>
        </w:tc>
      </w:tr>
      <w:tr w:rsidR="00A82A8E" w:rsidRPr="00A82A8E" w14:paraId="156FFA93" w14:textId="77777777" w:rsidTr="00A82A8E">
        <w:tc>
          <w:tcPr>
            <w:tcW w:w="0" w:type="auto"/>
            <w:hideMark/>
          </w:tcPr>
          <w:p w14:paraId="38C6CE2E" w14:textId="77777777" w:rsidR="00A82A8E" w:rsidRPr="00A82A8E" w:rsidRDefault="00A82A8E" w:rsidP="00A82A8E">
            <w:r w:rsidRPr="00A82A8E">
              <w:lastRenderedPageBreak/>
              <w:t>Resource-Based View (1991)</w:t>
            </w:r>
          </w:p>
        </w:tc>
        <w:tc>
          <w:tcPr>
            <w:tcW w:w="0" w:type="auto"/>
            <w:hideMark/>
          </w:tcPr>
          <w:p w14:paraId="3DE0833E" w14:textId="77777777" w:rsidR="00A82A8E" w:rsidRPr="00A82A8E" w:rsidRDefault="00A82A8E" w:rsidP="00A82A8E">
            <w:r w:rsidRPr="00A82A8E">
              <w:t>Build advantage through unique resources.</w:t>
            </w:r>
          </w:p>
        </w:tc>
        <w:tc>
          <w:tcPr>
            <w:tcW w:w="0" w:type="auto"/>
            <w:hideMark/>
          </w:tcPr>
          <w:p w14:paraId="6917B4C4" w14:textId="77777777" w:rsidR="00A82A8E" w:rsidRPr="00A82A8E" w:rsidRDefault="00A82A8E" w:rsidP="00A82A8E">
            <w:r w:rsidRPr="00A82A8E">
              <w:t>Focuses on proprietary assets and skills.</w:t>
            </w:r>
          </w:p>
        </w:tc>
        <w:tc>
          <w:tcPr>
            <w:tcW w:w="0" w:type="auto"/>
            <w:hideMark/>
          </w:tcPr>
          <w:p w14:paraId="4D7EBBD6" w14:textId="77777777" w:rsidR="00A82A8E" w:rsidRPr="00A82A8E" w:rsidRDefault="00A82A8E" w:rsidP="00A82A8E">
            <w:r w:rsidRPr="00A82A8E">
              <w:t>Proprietary software and Gigafactories.</w:t>
            </w:r>
          </w:p>
        </w:tc>
        <w:tc>
          <w:tcPr>
            <w:tcW w:w="0" w:type="auto"/>
            <w:hideMark/>
          </w:tcPr>
          <w:p w14:paraId="11F8EB85" w14:textId="77777777" w:rsidR="00A82A8E" w:rsidRPr="00A82A8E" w:rsidRDefault="00A82A8E" w:rsidP="00A82A8E">
            <w:r w:rsidRPr="00A82A8E">
              <w:t>Brand heritage and supplier collaboration.</w:t>
            </w:r>
          </w:p>
        </w:tc>
      </w:tr>
      <w:tr w:rsidR="00A82A8E" w:rsidRPr="00A82A8E" w14:paraId="0A24BF41" w14:textId="77777777" w:rsidTr="00A82A8E">
        <w:tc>
          <w:tcPr>
            <w:tcW w:w="0" w:type="auto"/>
            <w:hideMark/>
          </w:tcPr>
          <w:p w14:paraId="03ECA828" w14:textId="77777777" w:rsidR="00A82A8E" w:rsidRPr="00A82A8E" w:rsidRDefault="00A82A8E" w:rsidP="00A82A8E">
            <w:r w:rsidRPr="00A82A8E">
              <w:t>Diffusion of Innovation (2003)</w:t>
            </w:r>
          </w:p>
        </w:tc>
        <w:tc>
          <w:tcPr>
            <w:tcW w:w="0" w:type="auto"/>
            <w:hideMark/>
          </w:tcPr>
          <w:p w14:paraId="28FBB656" w14:textId="77777777" w:rsidR="00A82A8E" w:rsidRPr="00A82A8E" w:rsidRDefault="00A82A8E" w:rsidP="00A82A8E">
            <w:r w:rsidRPr="00A82A8E">
              <w:t>Explain innovation adoption stages.</w:t>
            </w:r>
          </w:p>
        </w:tc>
        <w:tc>
          <w:tcPr>
            <w:tcW w:w="0" w:type="auto"/>
            <w:hideMark/>
          </w:tcPr>
          <w:p w14:paraId="5B8ED6BC" w14:textId="7931D752" w:rsidR="00A82A8E" w:rsidRPr="00A82A8E" w:rsidRDefault="00A82A8E" w:rsidP="00A82A8E">
            <w:r w:rsidRPr="00A82A8E">
              <w:t xml:space="preserve">Guides </w:t>
            </w:r>
            <w:r w:rsidR="0077195E">
              <w:t xml:space="preserve">the </w:t>
            </w:r>
            <w:r w:rsidRPr="00A82A8E">
              <w:t>timing of technology adoption.</w:t>
            </w:r>
          </w:p>
        </w:tc>
        <w:tc>
          <w:tcPr>
            <w:tcW w:w="0" w:type="auto"/>
            <w:hideMark/>
          </w:tcPr>
          <w:p w14:paraId="11D0CDCE" w14:textId="77777777" w:rsidR="00A82A8E" w:rsidRPr="00A82A8E" w:rsidRDefault="00A82A8E" w:rsidP="00A82A8E">
            <w:r w:rsidRPr="00A82A8E">
              <w:t>Appeals to early adopters and innovators.</w:t>
            </w:r>
          </w:p>
        </w:tc>
        <w:tc>
          <w:tcPr>
            <w:tcW w:w="0" w:type="auto"/>
            <w:hideMark/>
          </w:tcPr>
          <w:p w14:paraId="127413B5" w14:textId="77777777" w:rsidR="00A82A8E" w:rsidRPr="00A82A8E" w:rsidRDefault="00A82A8E" w:rsidP="00A82A8E">
            <w:r w:rsidRPr="00A82A8E">
              <w:t>Targets mainstream early majority.</w:t>
            </w:r>
          </w:p>
        </w:tc>
      </w:tr>
      <w:tr w:rsidR="00A82A8E" w:rsidRPr="00A82A8E" w14:paraId="7BCE725A" w14:textId="77777777" w:rsidTr="00A82A8E">
        <w:tc>
          <w:tcPr>
            <w:tcW w:w="0" w:type="auto"/>
            <w:hideMark/>
          </w:tcPr>
          <w:p w14:paraId="3EC9D271" w14:textId="77777777" w:rsidR="00A82A8E" w:rsidRPr="00A82A8E" w:rsidRDefault="00A82A8E" w:rsidP="00A82A8E">
            <w:r w:rsidRPr="00A82A8E">
              <w:t>Blue/Red Ocean Strategy (2015)</w:t>
            </w:r>
          </w:p>
        </w:tc>
        <w:tc>
          <w:tcPr>
            <w:tcW w:w="0" w:type="auto"/>
            <w:hideMark/>
          </w:tcPr>
          <w:p w14:paraId="5F9B0ADF" w14:textId="28FC2C29" w:rsidR="00A82A8E" w:rsidRPr="00A82A8E" w:rsidRDefault="00A82A8E" w:rsidP="00A82A8E">
            <w:r w:rsidRPr="00A82A8E">
              <w:t xml:space="preserve">Define </w:t>
            </w:r>
            <w:r w:rsidR="0077195E">
              <w:t xml:space="preserve">the </w:t>
            </w:r>
            <w:r w:rsidRPr="00A82A8E">
              <w:t>market competition approach.</w:t>
            </w:r>
          </w:p>
        </w:tc>
        <w:tc>
          <w:tcPr>
            <w:tcW w:w="0" w:type="auto"/>
            <w:hideMark/>
          </w:tcPr>
          <w:p w14:paraId="59FCF456" w14:textId="77777777" w:rsidR="00A82A8E" w:rsidRPr="00A82A8E" w:rsidRDefault="00A82A8E" w:rsidP="00A82A8E">
            <w:r w:rsidRPr="00A82A8E">
              <w:t>Explains strategic positioning.</w:t>
            </w:r>
          </w:p>
        </w:tc>
        <w:tc>
          <w:tcPr>
            <w:tcW w:w="0" w:type="auto"/>
            <w:hideMark/>
          </w:tcPr>
          <w:p w14:paraId="58367396" w14:textId="77777777" w:rsidR="00A82A8E" w:rsidRPr="00A82A8E" w:rsidRDefault="00A82A8E" w:rsidP="00A82A8E">
            <w:r w:rsidRPr="00A82A8E">
              <w:t>Blue Ocean: created new demand for EVs.</w:t>
            </w:r>
          </w:p>
        </w:tc>
        <w:tc>
          <w:tcPr>
            <w:tcW w:w="0" w:type="auto"/>
            <w:hideMark/>
          </w:tcPr>
          <w:p w14:paraId="3BFD345C" w14:textId="419B03D8" w:rsidR="00A82A8E" w:rsidRPr="00A82A8E" w:rsidRDefault="00A82A8E" w:rsidP="00A82A8E">
            <w:r w:rsidRPr="00A82A8E">
              <w:t xml:space="preserve">Red Ocean: competes in </w:t>
            </w:r>
            <w:r w:rsidR="0077195E">
              <w:t xml:space="preserve">the </w:t>
            </w:r>
            <w:r w:rsidRPr="00A82A8E">
              <w:t>existing luxury segment.</w:t>
            </w:r>
          </w:p>
        </w:tc>
      </w:tr>
      <w:tr w:rsidR="00A82A8E" w:rsidRPr="00A82A8E" w14:paraId="1DB71A11" w14:textId="77777777" w:rsidTr="00A82A8E">
        <w:tc>
          <w:tcPr>
            <w:tcW w:w="0" w:type="auto"/>
            <w:hideMark/>
          </w:tcPr>
          <w:p w14:paraId="3A05EB18" w14:textId="77777777" w:rsidR="00A82A8E" w:rsidRPr="00A82A8E" w:rsidRDefault="00A82A8E" w:rsidP="00A82A8E">
            <w:r w:rsidRPr="00A82A8E">
              <w:t>Sustainability Marketing (2012)</w:t>
            </w:r>
          </w:p>
        </w:tc>
        <w:tc>
          <w:tcPr>
            <w:tcW w:w="0" w:type="auto"/>
            <w:hideMark/>
          </w:tcPr>
          <w:p w14:paraId="1018D010" w14:textId="77777777" w:rsidR="00A82A8E" w:rsidRPr="00A82A8E" w:rsidRDefault="00A82A8E" w:rsidP="00A82A8E">
            <w:r w:rsidRPr="00A82A8E">
              <w:t>Integrate sustainability into marketing.</w:t>
            </w:r>
          </w:p>
        </w:tc>
        <w:tc>
          <w:tcPr>
            <w:tcW w:w="0" w:type="auto"/>
            <w:hideMark/>
          </w:tcPr>
          <w:p w14:paraId="22F2AF36" w14:textId="77777777" w:rsidR="00A82A8E" w:rsidRPr="00A82A8E" w:rsidRDefault="00A82A8E" w:rsidP="00A82A8E">
            <w:r w:rsidRPr="00A82A8E">
              <w:t>Align profit and purpose.</w:t>
            </w:r>
          </w:p>
        </w:tc>
        <w:tc>
          <w:tcPr>
            <w:tcW w:w="0" w:type="auto"/>
            <w:hideMark/>
          </w:tcPr>
          <w:p w14:paraId="53386356" w14:textId="77777777" w:rsidR="00A82A8E" w:rsidRPr="00A82A8E" w:rsidRDefault="00A82A8E" w:rsidP="00A82A8E">
            <w:r w:rsidRPr="00A82A8E">
              <w:t>Carbon-neutral production; green image.</w:t>
            </w:r>
          </w:p>
        </w:tc>
        <w:tc>
          <w:tcPr>
            <w:tcW w:w="0" w:type="auto"/>
            <w:hideMark/>
          </w:tcPr>
          <w:p w14:paraId="3547C757" w14:textId="77777777" w:rsidR="00A82A8E" w:rsidRPr="00A82A8E" w:rsidRDefault="00A82A8E" w:rsidP="00A82A8E">
            <w:r w:rsidRPr="00A82A8E">
              <w:t>Circular economy; CSR branding.</w:t>
            </w:r>
          </w:p>
        </w:tc>
      </w:tr>
    </w:tbl>
    <w:p w14:paraId="02A3746B" w14:textId="77777777" w:rsidR="00A82A8E" w:rsidRDefault="00A82A8E" w:rsidP="00A82A8E"/>
    <w:p w14:paraId="1E2FAC20" w14:textId="0EC04F00" w:rsidR="00A82A8E" w:rsidRPr="002158B0" w:rsidRDefault="00A82A8E" w:rsidP="002158B0">
      <w:pPr>
        <w:rPr>
          <w:b/>
          <w:bCs/>
          <w:sz w:val="28"/>
          <w:szCs w:val="28"/>
        </w:rPr>
      </w:pPr>
      <w:r w:rsidRPr="002158B0">
        <w:rPr>
          <w:b/>
          <w:bCs/>
          <w:sz w:val="28"/>
          <w:szCs w:val="28"/>
        </w:rPr>
        <w:t>Appendix F: Industry and Future Outlook (2025–2030)</w:t>
      </w:r>
    </w:p>
    <w:tbl>
      <w:tblPr>
        <w:tblStyle w:val="TableGrid"/>
        <w:tblW w:w="0" w:type="auto"/>
        <w:tblLook w:val="04A0" w:firstRow="1" w:lastRow="0" w:firstColumn="1" w:lastColumn="0" w:noHBand="0" w:noVBand="1"/>
      </w:tblPr>
      <w:tblGrid>
        <w:gridCol w:w="1937"/>
        <w:gridCol w:w="2314"/>
        <w:gridCol w:w="1884"/>
        <w:gridCol w:w="2881"/>
      </w:tblGrid>
      <w:tr w:rsidR="00A82A8E" w:rsidRPr="00A82A8E" w14:paraId="0BA46FC0" w14:textId="77777777" w:rsidTr="00A82A8E">
        <w:tc>
          <w:tcPr>
            <w:tcW w:w="0" w:type="auto"/>
            <w:hideMark/>
          </w:tcPr>
          <w:p w14:paraId="25EAFCAD" w14:textId="77777777" w:rsidR="00A82A8E" w:rsidRPr="00A82A8E" w:rsidRDefault="00A82A8E" w:rsidP="00A82A8E">
            <w:pPr>
              <w:rPr>
                <w:b/>
                <w:bCs/>
              </w:rPr>
            </w:pPr>
            <w:r w:rsidRPr="00A82A8E">
              <w:rPr>
                <w:b/>
                <w:bCs/>
              </w:rPr>
              <w:t>Aspect</w:t>
            </w:r>
          </w:p>
        </w:tc>
        <w:tc>
          <w:tcPr>
            <w:tcW w:w="0" w:type="auto"/>
            <w:hideMark/>
          </w:tcPr>
          <w:p w14:paraId="42EC4367" w14:textId="77777777" w:rsidR="00A82A8E" w:rsidRPr="00A82A8E" w:rsidRDefault="00A82A8E" w:rsidP="00A82A8E">
            <w:pPr>
              <w:rPr>
                <w:b/>
                <w:bCs/>
              </w:rPr>
            </w:pPr>
            <w:r w:rsidRPr="00A82A8E">
              <w:rPr>
                <w:b/>
                <w:bCs/>
              </w:rPr>
              <w:t>Tesla Outlook</w:t>
            </w:r>
          </w:p>
        </w:tc>
        <w:tc>
          <w:tcPr>
            <w:tcW w:w="0" w:type="auto"/>
            <w:hideMark/>
          </w:tcPr>
          <w:p w14:paraId="7CE295FD" w14:textId="77777777" w:rsidR="00A82A8E" w:rsidRPr="00A82A8E" w:rsidRDefault="00A82A8E" w:rsidP="00A82A8E">
            <w:pPr>
              <w:rPr>
                <w:b/>
                <w:bCs/>
              </w:rPr>
            </w:pPr>
            <w:r w:rsidRPr="00A82A8E">
              <w:rPr>
                <w:b/>
                <w:bCs/>
              </w:rPr>
              <w:t>BMW Outlook</w:t>
            </w:r>
          </w:p>
        </w:tc>
        <w:tc>
          <w:tcPr>
            <w:tcW w:w="0" w:type="auto"/>
            <w:hideMark/>
          </w:tcPr>
          <w:p w14:paraId="1BA1075E" w14:textId="77777777" w:rsidR="00A82A8E" w:rsidRPr="00A82A8E" w:rsidRDefault="00A82A8E" w:rsidP="00A82A8E">
            <w:pPr>
              <w:rPr>
                <w:b/>
                <w:bCs/>
              </w:rPr>
            </w:pPr>
            <w:r w:rsidRPr="00A82A8E">
              <w:rPr>
                <w:b/>
                <w:bCs/>
              </w:rPr>
              <w:t>Strategic Implications</w:t>
            </w:r>
          </w:p>
        </w:tc>
      </w:tr>
      <w:tr w:rsidR="00A82A8E" w:rsidRPr="00A82A8E" w14:paraId="58042900" w14:textId="77777777" w:rsidTr="00A82A8E">
        <w:tc>
          <w:tcPr>
            <w:tcW w:w="0" w:type="auto"/>
            <w:hideMark/>
          </w:tcPr>
          <w:p w14:paraId="3E5FE0FB" w14:textId="77777777" w:rsidR="00A82A8E" w:rsidRPr="00A82A8E" w:rsidRDefault="00A82A8E" w:rsidP="00A82A8E">
            <w:r w:rsidRPr="00A82A8E">
              <w:rPr>
                <w:b/>
                <w:bCs/>
              </w:rPr>
              <w:t>Innovation Trajectory</w:t>
            </w:r>
          </w:p>
        </w:tc>
        <w:tc>
          <w:tcPr>
            <w:tcW w:w="0" w:type="auto"/>
            <w:hideMark/>
          </w:tcPr>
          <w:p w14:paraId="7F46DAEA" w14:textId="77777777" w:rsidR="00A82A8E" w:rsidRPr="00A82A8E" w:rsidRDefault="00A82A8E" w:rsidP="00A82A8E">
            <w:r w:rsidRPr="00A82A8E">
              <w:t>Expanding into AI-based driving and energy storage.</w:t>
            </w:r>
          </w:p>
        </w:tc>
        <w:tc>
          <w:tcPr>
            <w:tcW w:w="0" w:type="auto"/>
            <w:hideMark/>
          </w:tcPr>
          <w:p w14:paraId="5C494C20" w14:textId="77777777" w:rsidR="00A82A8E" w:rsidRPr="00A82A8E" w:rsidRDefault="00A82A8E" w:rsidP="00A82A8E">
            <w:r w:rsidRPr="00A82A8E">
              <w:t>Focused on scalable modular EV platforms.</w:t>
            </w:r>
          </w:p>
        </w:tc>
        <w:tc>
          <w:tcPr>
            <w:tcW w:w="0" w:type="auto"/>
            <w:hideMark/>
          </w:tcPr>
          <w:p w14:paraId="02FA510E" w14:textId="5DE7A56E" w:rsidR="00A82A8E" w:rsidRPr="00A82A8E" w:rsidRDefault="0077195E" w:rsidP="00A82A8E">
            <w:r>
              <w:t>The convergence</w:t>
            </w:r>
            <w:r w:rsidR="00A82A8E" w:rsidRPr="00A82A8E">
              <w:t xml:space="preserve"> of tech standards will increase competition.</w:t>
            </w:r>
          </w:p>
        </w:tc>
      </w:tr>
      <w:tr w:rsidR="00A82A8E" w:rsidRPr="00A82A8E" w14:paraId="17A76B3F" w14:textId="77777777" w:rsidTr="00A82A8E">
        <w:tc>
          <w:tcPr>
            <w:tcW w:w="0" w:type="auto"/>
            <w:hideMark/>
          </w:tcPr>
          <w:p w14:paraId="32A5D792" w14:textId="77777777" w:rsidR="00A82A8E" w:rsidRPr="00A82A8E" w:rsidRDefault="00A82A8E" w:rsidP="00A82A8E">
            <w:r w:rsidRPr="00A82A8E">
              <w:rPr>
                <w:b/>
                <w:bCs/>
              </w:rPr>
              <w:t>Market Growth Focus</w:t>
            </w:r>
          </w:p>
        </w:tc>
        <w:tc>
          <w:tcPr>
            <w:tcW w:w="0" w:type="auto"/>
            <w:hideMark/>
          </w:tcPr>
          <w:p w14:paraId="1F4BBC1B" w14:textId="77777777" w:rsidR="00A82A8E" w:rsidRPr="00A82A8E" w:rsidRDefault="00A82A8E" w:rsidP="00A82A8E">
            <w:r w:rsidRPr="00A82A8E">
              <w:t>Expanding mass-market affordability (Model 2, under $30,000).</w:t>
            </w:r>
          </w:p>
        </w:tc>
        <w:tc>
          <w:tcPr>
            <w:tcW w:w="0" w:type="auto"/>
            <w:hideMark/>
          </w:tcPr>
          <w:p w14:paraId="377C16E6" w14:textId="77777777" w:rsidR="00A82A8E" w:rsidRPr="00A82A8E" w:rsidRDefault="00A82A8E" w:rsidP="00A82A8E">
            <w:r w:rsidRPr="00A82A8E">
              <w:t>Expanding premium electric and hybrid markets.</w:t>
            </w:r>
          </w:p>
        </w:tc>
        <w:tc>
          <w:tcPr>
            <w:tcW w:w="0" w:type="auto"/>
            <w:hideMark/>
          </w:tcPr>
          <w:p w14:paraId="2E874D26" w14:textId="77777777" w:rsidR="00A82A8E" w:rsidRPr="00A82A8E" w:rsidRDefault="00A82A8E" w:rsidP="00A82A8E">
            <w:r w:rsidRPr="00A82A8E">
              <w:t>Clear segmentation: affordability vs. luxury innovation.</w:t>
            </w:r>
          </w:p>
        </w:tc>
      </w:tr>
      <w:tr w:rsidR="00A82A8E" w:rsidRPr="00A82A8E" w14:paraId="76965479" w14:textId="77777777" w:rsidTr="00A82A8E">
        <w:tc>
          <w:tcPr>
            <w:tcW w:w="0" w:type="auto"/>
            <w:hideMark/>
          </w:tcPr>
          <w:p w14:paraId="0CCA0B75" w14:textId="77777777" w:rsidR="00A82A8E" w:rsidRPr="00A82A8E" w:rsidRDefault="00A82A8E" w:rsidP="00A82A8E">
            <w:r w:rsidRPr="00A82A8E">
              <w:rPr>
                <w:b/>
                <w:bCs/>
              </w:rPr>
              <w:t>Environmental Readiness</w:t>
            </w:r>
          </w:p>
        </w:tc>
        <w:tc>
          <w:tcPr>
            <w:tcW w:w="0" w:type="auto"/>
            <w:hideMark/>
          </w:tcPr>
          <w:p w14:paraId="3E264A7E" w14:textId="77777777" w:rsidR="00A82A8E" w:rsidRPr="00A82A8E" w:rsidRDefault="00A82A8E" w:rsidP="00A82A8E">
            <w:r w:rsidRPr="00A82A8E">
              <w:t>100% renewable manufacturing by 2030.</w:t>
            </w:r>
          </w:p>
        </w:tc>
        <w:tc>
          <w:tcPr>
            <w:tcW w:w="0" w:type="auto"/>
            <w:hideMark/>
          </w:tcPr>
          <w:p w14:paraId="5E048615" w14:textId="77777777" w:rsidR="00A82A8E" w:rsidRPr="00A82A8E" w:rsidRDefault="00A82A8E" w:rsidP="00A82A8E">
            <w:r w:rsidRPr="00A82A8E">
              <w:t>Full carbon neutrality by 2050.</w:t>
            </w:r>
          </w:p>
        </w:tc>
        <w:tc>
          <w:tcPr>
            <w:tcW w:w="0" w:type="auto"/>
            <w:hideMark/>
          </w:tcPr>
          <w:p w14:paraId="6E98CA50" w14:textId="77777777" w:rsidR="00A82A8E" w:rsidRPr="00A82A8E" w:rsidRDefault="00A82A8E" w:rsidP="00A82A8E">
            <w:r w:rsidRPr="00A82A8E">
              <w:t>Environmental regulation to shape brand competitiveness.</w:t>
            </w:r>
          </w:p>
        </w:tc>
      </w:tr>
      <w:tr w:rsidR="00A82A8E" w:rsidRPr="00A82A8E" w14:paraId="6B4F832B" w14:textId="77777777" w:rsidTr="00A82A8E">
        <w:tc>
          <w:tcPr>
            <w:tcW w:w="0" w:type="auto"/>
            <w:hideMark/>
          </w:tcPr>
          <w:p w14:paraId="00339814" w14:textId="77777777" w:rsidR="00A82A8E" w:rsidRPr="00A82A8E" w:rsidRDefault="00A82A8E" w:rsidP="00A82A8E">
            <w:r w:rsidRPr="00A82A8E">
              <w:rPr>
                <w:b/>
                <w:bCs/>
              </w:rPr>
              <w:lastRenderedPageBreak/>
              <w:t>Regulatory Context</w:t>
            </w:r>
          </w:p>
        </w:tc>
        <w:tc>
          <w:tcPr>
            <w:tcW w:w="0" w:type="auto"/>
            <w:hideMark/>
          </w:tcPr>
          <w:p w14:paraId="565DDCF4" w14:textId="77777777" w:rsidR="00A82A8E" w:rsidRPr="00A82A8E" w:rsidRDefault="00A82A8E" w:rsidP="00A82A8E">
            <w:r w:rsidRPr="00A82A8E">
              <w:t>Early compliance advantage under U.S. and EU laws.</w:t>
            </w:r>
          </w:p>
        </w:tc>
        <w:tc>
          <w:tcPr>
            <w:tcW w:w="0" w:type="auto"/>
            <w:hideMark/>
          </w:tcPr>
          <w:p w14:paraId="69F2647E" w14:textId="77777777" w:rsidR="00A82A8E" w:rsidRPr="00A82A8E" w:rsidRDefault="00A82A8E" w:rsidP="00A82A8E">
            <w:r w:rsidRPr="00A82A8E">
              <w:t>Strong compliance orientation under EU directives.</w:t>
            </w:r>
          </w:p>
        </w:tc>
        <w:tc>
          <w:tcPr>
            <w:tcW w:w="0" w:type="auto"/>
            <w:hideMark/>
          </w:tcPr>
          <w:p w14:paraId="13061490" w14:textId="77777777" w:rsidR="00A82A8E" w:rsidRPr="00A82A8E" w:rsidRDefault="00A82A8E" w:rsidP="00A82A8E">
            <w:r w:rsidRPr="00A82A8E">
              <w:t>Legal frameworks increasingly define global EV leadership.</w:t>
            </w:r>
          </w:p>
        </w:tc>
      </w:tr>
      <w:tr w:rsidR="00A82A8E" w:rsidRPr="00A82A8E" w14:paraId="6B50F8F9" w14:textId="77777777" w:rsidTr="00A82A8E">
        <w:tc>
          <w:tcPr>
            <w:tcW w:w="0" w:type="auto"/>
            <w:hideMark/>
          </w:tcPr>
          <w:p w14:paraId="646804ED" w14:textId="77777777" w:rsidR="00A82A8E" w:rsidRPr="00A82A8E" w:rsidRDefault="00A82A8E" w:rsidP="00A82A8E">
            <w:r w:rsidRPr="00A82A8E">
              <w:rPr>
                <w:b/>
                <w:bCs/>
              </w:rPr>
              <w:t>Global Expansion Strategy</w:t>
            </w:r>
          </w:p>
        </w:tc>
        <w:tc>
          <w:tcPr>
            <w:tcW w:w="0" w:type="auto"/>
            <w:hideMark/>
          </w:tcPr>
          <w:p w14:paraId="0591DF21" w14:textId="77777777" w:rsidR="00A82A8E" w:rsidRPr="00A82A8E" w:rsidRDefault="00A82A8E" w:rsidP="00A82A8E">
            <w:r w:rsidRPr="00A82A8E">
              <w:t>Building new Gigafactories in India and Mexico.</w:t>
            </w:r>
          </w:p>
        </w:tc>
        <w:tc>
          <w:tcPr>
            <w:tcW w:w="0" w:type="auto"/>
            <w:hideMark/>
          </w:tcPr>
          <w:p w14:paraId="48299F19" w14:textId="77777777" w:rsidR="00A82A8E" w:rsidRPr="00A82A8E" w:rsidRDefault="00A82A8E" w:rsidP="00A82A8E">
            <w:r w:rsidRPr="00A82A8E">
              <w:t>Increasing EV production in Europe and China.</w:t>
            </w:r>
          </w:p>
        </w:tc>
        <w:tc>
          <w:tcPr>
            <w:tcW w:w="0" w:type="auto"/>
            <w:hideMark/>
          </w:tcPr>
          <w:p w14:paraId="7FC95F11" w14:textId="77777777" w:rsidR="00A82A8E" w:rsidRPr="00A82A8E" w:rsidRDefault="00A82A8E" w:rsidP="00A82A8E">
            <w:r w:rsidRPr="00A82A8E">
              <w:t>Globalisation of EV supply chains with regional specialisation.</w:t>
            </w:r>
          </w:p>
        </w:tc>
      </w:tr>
      <w:tr w:rsidR="00A82A8E" w:rsidRPr="00A82A8E" w14:paraId="477CAFFC" w14:textId="77777777" w:rsidTr="00A82A8E">
        <w:tc>
          <w:tcPr>
            <w:tcW w:w="0" w:type="auto"/>
            <w:hideMark/>
          </w:tcPr>
          <w:p w14:paraId="1C6C5495" w14:textId="77777777" w:rsidR="00A82A8E" w:rsidRPr="00A82A8E" w:rsidRDefault="00A82A8E" w:rsidP="00A82A8E">
            <w:r w:rsidRPr="00A82A8E">
              <w:rPr>
                <w:b/>
                <w:bCs/>
              </w:rPr>
              <w:t>Market Challenges</w:t>
            </w:r>
          </w:p>
        </w:tc>
        <w:tc>
          <w:tcPr>
            <w:tcW w:w="0" w:type="auto"/>
            <w:hideMark/>
          </w:tcPr>
          <w:p w14:paraId="02F58FCE" w14:textId="60EA9090" w:rsidR="00A82A8E" w:rsidRPr="00A82A8E" w:rsidRDefault="00A82A8E" w:rsidP="00A82A8E">
            <w:r w:rsidRPr="00A82A8E">
              <w:t xml:space="preserve">Rising competition from BYD, Rivian, </w:t>
            </w:r>
            <w:r w:rsidR="0077195E">
              <w:t xml:space="preserve">and </w:t>
            </w:r>
            <w:r w:rsidRPr="00A82A8E">
              <w:t>NIO.</w:t>
            </w:r>
          </w:p>
        </w:tc>
        <w:tc>
          <w:tcPr>
            <w:tcW w:w="0" w:type="auto"/>
            <w:hideMark/>
          </w:tcPr>
          <w:p w14:paraId="219A83BE" w14:textId="77777777" w:rsidR="00A82A8E" w:rsidRPr="00A82A8E" w:rsidRDefault="00A82A8E" w:rsidP="00A82A8E">
            <w:r w:rsidRPr="00A82A8E">
              <w:t>Slower speed of innovation; cost pressure.</w:t>
            </w:r>
          </w:p>
        </w:tc>
        <w:tc>
          <w:tcPr>
            <w:tcW w:w="0" w:type="auto"/>
            <w:hideMark/>
          </w:tcPr>
          <w:p w14:paraId="3FBCC274" w14:textId="77777777" w:rsidR="00A82A8E" w:rsidRPr="00A82A8E" w:rsidRDefault="00A82A8E" w:rsidP="00A82A8E">
            <w:r w:rsidRPr="00A82A8E">
              <w:t>Competitive parity likely by 2030; differentiation to rely on brand and customer experience.</w:t>
            </w:r>
          </w:p>
        </w:tc>
      </w:tr>
    </w:tbl>
    <w:p w14:paraId="17FAB1B7" w14:textId="77777777" w:rsidR="00BB52AB" w:rsidRDefault="00BB52AB" w:rsidP="00A82A8E"/>
    <w:sectPr w:rsidR="00BB52AB">
      <w:footerReference w:type="default" r:id="rId2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528F3A8" w14:textId="77777777" w:rsidR="002B64DF" w:rsidRDefault="002B64DF" w:rsidP="0077195E">
      <w:pPr>
        <w:spacing w:after="0" w:line="240" w:lineRule="auto"/>
      </w:pPr>
      <w:r>
        <w:separator/>
      </w:r>
    </w:p>
  </w:endnote>
  <w:endnote w:type="continuationSeparator" w:id="0">
    <w:p w14:paraId="1558B431" w14:textId="77777777" w:rsidR="002B64DF" w:rsidRDefault="002B64DF" w:rsidP="007719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ptos">
    <w:altName w:val="Arial"/>
    <w:panose1 w:val="020B0004020202020204"/>
    <w:charset w:val="00"/>
    <w:family w:val="swiss"/>
    <w:pitch w:val="variable"/>
    <w:sig w:usb0="20000287" w:usb1="00000003" w:usb2="00000000" w:usb3="00000000" w:csb0="0000019F" w:csb1="00000000"/>
  </w:font>
  <w:font w:name="等线">
    <w:charset w:val="86"/>
    <w:family w:val="auto"/>
    <w:pitch w:val="variable"/>
    <w:sig w:usb0="A00002BF" w:usb1="38CF7CFA" w:usb2="00000016" w:usb3="00000000" w:csb0="0004000F" w:csb1="00000000"/>
  </w:font>
  <w:font w:name="Times New Roman">
    <w:panose1 w:val="02020603050405020304"/>
    <w:charset w:val="00"/>
    <w:family w:val="auto"/>
    <w:pitch w:val="variable"/>
    <w:sig w:usb0="E0002AEF" w:usb1="C0007841" w:usb2="00000009" w:usb3="00000000" w:csb0="000001FF" w:csb1="00000000"/>
  </w:font>
  <w:font w:name="等线 Light">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36438697"/>
      <w:docPartObj>
        <w:docPartGallery w:val="Page Numbers (Bottom of Page)"/>
        <w:docPartUnique/>
      </w:docPartObj>
    </w:sdtPr>
    <w:sdtEndPr>
      <w:rPr>
        <w:noProof/>
      </w:rPr>
    </w:sdtEndPr>
    <w:sdtContent>
      <w:p w14:paraId="03DBE9C7" w14:textId="04CA0511" w:rsidR="0077195E" w:rsidRDefault="0077195E">
        <w:pPr>
          <w:pStyle w:val="Footer"/>
          <w:jc w:val="center"/>
        </w:pPr>
        <w:r>
          <w:fldChar w:fldCharType="begin"/>
        </w:r>
        <w:r>
          <w:instrText xml:space="preserve"> PAGE   \* MERGEFORMAT </w:instrText>
        </w:r>
        <w:r>
          <w:fldChar w:fldCharType="separate"/>
        </w:r>
        <w:r w:rsidR="00B41829">
          <w:rPr>
            <w:noProof/>
          </w:rPr>
          <w:t>2</w:t>
        </w:r>
        <w:r>
          <w:rPr>
            <w:noProof/>
          </w:rPr>
          <w:fldChar w:fldCharType="end"/>
        </w:r>
      </w:p>
    </w:sdtContent>
  </w:sdt>
  <w:p w14:paraId="0D671E73" w14:textId="77777777" w:rsidR="0077195E" w:rsidRDefault="0077195E">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7A4F84E" w14:textId="77777777" w:rsidR="002B64DF" w:rsidRDefault="002B64DF" w:rsidP="0077195E">
      <w:pPr>
        <w:spacing w:after="0" w:line="240" w:lineRule="auto"/>
      </w:pPr>
      <w:r>
        <w:separator/>
      </w:r>
    </w:p>
  </w:footnote>
  <w:footnote w:type="continuationSeparator" w:id="0">
    <w:p w14:paraId="66F3B9BD" w14:textId="77777777" w:rsidR="002B64DF" w:rsidRDefault="002B64DF" w:rsidP="0077195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8"/>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73F0C"/>
    <w:rsid w:val="000217D4"/>
    <w:rsid w:val="00036E2B"/>
    <w:rsid w:val="00041933"/>
    <w:rsid w:val="00056B44"/>
    <w:rsid w:val="00066267"/>
    <w:rsid w:val="0007239E"/>
    <w:rsid w:val="00092B2D"/>
    <w:rsid w:val="000D7C3A"/>
    <w:rsid w:val="000E38A1"/>
    <w:rsid w:val="001345E5"/>
    <w:rsid w:val="00173F0C"/>
    <w:rsid w:val="001849F3"/>
    <w:rsid w:val="001A0EBF"/>
    <w:rsid w:val="002158B0"/>
    <w:rsid w:val="0022391A"/>
    <w:rsid w:val="00236566"/>
    <w:rsid w:val="002419F4"/>
    <w:rsid w:val="0025150C"/>
    <w:rsid w:val="00260A2F"/>
    <w:rsid w:val="00277014"/>
    <w:rsid w:val="002B2E9C"/>
    <w:rsid w:val="002B64DF"/>
    <w:rsid w:val="002E71D5"/>
    <w:rsid w:val="0033392F"/>
    <w:rsid w:val="003414C3"/>
    <w:rsid w:val="00341A38"/>
    <w:rsid w:val="003746C6"/>
    <w:rsid w:val="00395EAA"/>
    <w:rsid w:val="003F0C81"/>
    <w:rsid w:val="004016CA"/>
    <w:rsid w:val="00407AAD"/>
    <w:rsid w:val="00447ADD"/>
    <w:rsid w:val="004B6ACD"/>
    <w:rsid w:val="004E2E61"/>
    <w:rsid w:val="005336DF"/>
    <w:rsid w:val="0053405B"/>
    <w:rsid w:val="005440E9"/>
    <w:rsid w:val="00544787"/>
    <w:rsid w:val="00567ED0"/>
    <w:rsid w:val="0057048A"/>
    <w:rsid w:val="00584F12"/>
    <w:rsid w:val="005A3B19"/>
    <w:rsid w:val="005D3183"/>
    <w:rsid w:val="00607F64"/>
    <w:rsid w:val="00617A34"/>
    <w:rsid w:val="006308E1"/>
    <w:rsid w:val="00640146"/>
    <w:rsid w:val="00650EFF"/>
    <w:rsid w:val="00670AE8"/>
    <w:rsid w:val="00671D1C"/>
    <w:rsid w:val="0068002F"/>
    <w:rsid w:val="00684CE9"/>
    <w:rsid w:val="006E1140"/>
    <w:rsid w:val="006F077F"/>
    <w:rsid w:val="0077195E"/>
    <w:rsid w:val="007D6B0F"/>
    <w:rsid w:val="007D7BC2"/>
    <w:rsid w:val="008049AB"/>
    <w:rsid w:val="00810099"/>
    <w:rsid w:val="00826C2A"/>
    <w:rsid w:val="00836F9C"/>
    <w:rsid w:val="00855AB9"/>
    <w:rsid w:val="0087652F"/>
    <w:rsid w:val="008A1912"/>
    <w:rsid w:val="008A41BE"/>
    <w:rsid w:val="00907B72"/>
    <w:rsid w:val="009242F9"/>
    <w:rsid w:val="0093475E"/>
    <w:rsid w:val="00962806"/>
    <w:rsid w:val="009714F5"/>
    <w:rsid w:val="009A1C00"/>
    <w:rsid w:val="009B5A38"/>
    <w:rsid w:val="009E5DC7"/>
    <w:rsid w:val="00A219E4"/>
    <w:rsid w:val="00A30174"/>
    <w:rsid w:val="00A34E91"/>
    <w:rsid w:val="00A52313"/>
    <w:rsid w:val="00A529D6"/>
    <w:rsid w:val="00A82A8E"/>
    <w:rsid w:val="00AB324F"/>
    <w:rsid w:val="00AB4ACC"/>
    <w:rsid w:val="00AB574D"/>
    <w:rsid w:val="00AD57F4"/>
    <w:rsid w:val="00B26BA7"/>
    <w:rsid w:val="00B406BB"/>
    <w:rsid w:val="00B41829"/>
    <w:rsid w:val="00BA3E21"/>
    <w:rsid w:val="00BA6E2B"/>
    <w:rsid w:val="00BB52AB"/>
    <w:rsid w:val="00C242C9"/>
    <w:rsid w:val="00C30921"/>
    <w:rsid w:val="00C56042"/>
    <w:rsid w:val="00C60FAC"/>
    <w:rsid w:val="00C62251"/>
    <w:rsid w:val="00C7491A"/>
    <w:rsid w:val="00C92146"/>
    <w:rsid w:val="00CA2210"/>
    <w:rsid w:val="00CA22EB"/>
    <w:rsid w:val="00CA43ED"/>
    <w:rsid w:val="00CC7837"/>
    <w:rsid w:val="00CD102D"/>
    <w:rsid w:val="00D07801"/>
    <w:rsid w:val="00D41D30"/>
    <w:rsid w:val="00D43939"/>
    <w:rsid w:val="00D55E9D"/>
    <w:rsid w:val="00D80DCD"/>
    <w:rsid w:val="00DA780E"/>
    <w:rsid w:val="00DB3FC5"/>
    <w:rsid w:val="00DB63EC"/>
    <w:rsid w:val="00DC3062"/>
    <w:rsid w:val="00DD49E8"/>
    <w:rsid w:val="00DE60BE"/>
    <w:rsid w:val="00E30767"/>
    <w:rsid w:val="00E41485"/>
    <w:rsid w:val="00E95BFC"/>
    <w:rsid w:val="00EA1808"/>
    <w:rsid w:val="00EF0522"/>
    <w:rsid w:val="00EF098D"/>
    <w:rsid w:val="00F0280E"/>
    <w:rsid w:val="00F02C75"/>
    <w:rsid w:val="00F272D9"/>
    <w:rsid w:val="00F425C5"/>
    <w:rsid w:val="00F70B86"/>
    <w:rsid w:val="00F77E31"/>
    <w:rsid w:val="00F8641F"/>
    <w:rsid w:val="00FC6C35"/>
    <w:rsid w:val="00FE1434"/>
    <w:rsid w:val="00FF415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C42E57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341A38"/>
    <w:pPr>
      <w:spacing w:after="120" w:line="360" w:lineRule="auto"/>
      <w:jc w:val="both"/>
    </w:pPr>
    <w:rPr>
      <w:rFonts w:ascii="Times New Roman" w:hAnsi="Times New Roman"/>
    </w:rPr>
  </w:style>
  <w:style w:type="paragraph" w:styleId="Heading1">
    <w:name w:val="heading 1"/>
    <w:basedOn w:val="Normal"/>
    <w:next w:val="Normal"/>
    <w:link w:val="Heading1Char"/>
    <w:uiPriority w:val="9"/>
    <w:qFormat/>
    <w:rsid w:val="00DC3062"/>
    <w:pPr>
      <w:keepNext/>
      <w:keepLines/>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unhideWhenUsed/>
    <w:qFormat/>
    <w:rsid w:val="00BB52AB"/>
    <w:pPr>
      <w:keepNext/>
      <w:keepLines/>
      <w:outlineLvl w:val="1"/>
    </w:pPr>
    <w:rPr>
      <w:rFonts w:eastAsiaTheme="majorEastAsia" w:cstheme="majorBidi"/>
      <w:b/>
      <w:color w:val="000000" w:themeColor="text1"/>
      <w:sz w:val="28"/>
      <w:szCs w:val="32"/>
    </w:rPr>
  </w:style>
  <w:style w:type="paragraph" w:styleId="Heading3">
    <w:name w:val="heading 3"/>
    <w:basedOn w:val="Normal"/>
    <w:next w:val="Normal"/>
    <w:link w:val="Heading3Char"/>
    <w:uiPriority w:val="9"/>
    <w:unhideWhenUsed/>
    <w:qFormat/>
    <w:rsid w:val="00CA43ED"/>
    <w:pPr>
      <w:keepNext/>
      <w:keepLines/>
      <w:spacing w:before="160" w:after="80"/>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semiHidden/>
    <w:unhideWhenUsed/>
    <w:qFormat/>
    <w:rsid w:val="00173F0C"/>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173F0C"/>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173F0C"/>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173F0C"/>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73F0C"/>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73F0C"/>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B52AB"/>
    <w:rPr>
      <w:rFonts w:ascii="Times New Roman" w:eastAsiaTheme="majorEastAsia" w:hAnsi="Times New Roman" w:cstheme="majorBidi"/>
      <w:b/>
      <w:color w:val="000000" w:themeColor="text1"/>
      <w:sz w:val="28"/>
      <w:szCs w:val="32"/>
    </w:rPr>
  </w:style>
  <w:style w:type="character" w:customStyle="1" w:styleId="Heading1Char">
    <w:name w:val="Heading 1 Char"/>
    <w:basedOn w:val="DefaultParagraphFont"/>
    <w:link w:val="Heading1"/>
    <w:uiPriority w:val="9"/>
    <w:rsid w:val="00DC3062"/>
    <w:rPr>
      <w:rFonts w:ascii="Times New Roman" w:eastAsiaTheme="majorEastAsia" w:hAnsi="Times New Roman" w:cstheme="majorBidi"/>
      <w:b/>
      <w:color w:val="000000" w:themeColor="text1"/>
      <w:sz w:val="32"/>
      <w:szCs w:val="40"/>
    </w:rPr>
  </w:style>
  <w:style w:type="paragraph" w:styleId="TOC1">
    <w:name w:val="toc 1"/>
    <w:basedOn w:val="Normal"/>
    <w:next w:val="Normal"/>
    <w:autoRedefine/>
    <w:uiPriority w:val="39"/>
    <w:unhideWhenUsed/>
    <w:rsid w:val="005440E9"/>
    <w:pPr>
      <w:spacing w:after="0"/>
      <w:jc w:val="center"/>
    </w:pPr>
  </w:style>
  <w:style w:type="paragraph" w:styleId="TOC2">
    <w:name w:val="toc 2"/>
    <w:basedOn w:val="Normal"/>
    <w:next w:val="Normal"/>
    <w:autoRedefine/>
    <w:uiPriority w:val="39"/>
    <w:unhideWhenUsed/>
    <w:rsid w:val="005440E9"/>
    <w:pPr>
      <w:spacing w:after="0"/>
      <w:ind w:left="245"/>
      <w:jc w:val="center"/>
    </w:pPr>
  </w:style>
  <w:style w:type="character" w:customStyle="1" w:styleId="Heading3Char">
    <w:name w:val="Heading 3 Char"/>
    <w:basedOn w:val="DefaultParagraphFont"/>
    <w:link w:val="Heading3"/>
    <w:uiPriority w:val="9"/>
    <w:rsid w:val="00CA43ED"/>
    <w:rPr>
      <w:rFonts w:ascii="Times New Roman" w:eastAsiaTheme="majorEastAsia" w:hAnsi="Times New Roman" w:cstheme="majorBidi"/>
      <w:b/>
      <w:color w:val="000000" w:themeColor="text1"/>
      <w:szCs w:val="28"/>
    </w:rPr>
  </w:style>
  <w:style w:type="paragraph" w:styleId="TOC3">
    <w:name w:val="toc 3"/>
    <w:basedOn w:val="Normal"/>
    <w:next w:val="Normal"/>
    <w:autoRedefine/>
    <w:uiPriority w:val="39"/>
    <w:unhideWhenUsed/>
    <w:rsid w:val="00A30174"/>
    <w:pPr>
      <w:spacing w:after="0"/>
      <w:ind w:left="475"/>
    </w:pPr>
  </w:style>
  <w:style w:type="character" w:customStyle="1" w:styleId="Heading4Char">
    <w:name w:val="Heading 4 Char"/>
    <w:basedOn w:val="DefaultParagraphFont"/>
    <w:link w:val="Heading4"/>
    <w:uiPriority w:val="9"/>
    <w:semiHidden/>
    <w:rsid w:val="00173F0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73F0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73F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73F0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73F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73F0C"/>
    <w:rPr>
      <w:rFonts w:eastAsiaTheme="majorEastAsia" w:cstheme="majorBidi"/>
      <w:color w:val="272727" w:themeColor="text1" w:themeTint="D8"/>
    </w:rPr>
  </w:style>
  <w:style w:type="paragraph" w:styleId="Title">
    <w:name w:val="Title"/>
    <w:basedOn w:val="Normal"/>
    <w:next w:val="Normal"/>
    <w:link w:val="TitleChar"/>
    <w:uiPriority w:val="10"/>
    <w:qFormat/>
    <w:rsid w:val="00173F0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73F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73F0C"/>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73F0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73F0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73F0C"/>
    <w:rPr>
      <w:rFonts w:ascii="Times New Roman" w:hAnsi="Times New Roman"/>
      <w:i/>
      <w:iCs/>
      <w:color w:val="404040" w:themeColor="text1" w:themeTint="BF"/>
    </w:rPr>
  </w:style>
  <w:style w:type="paragraph" w:styleId="ListParagraph">
    <w:name w:val="List Paragraph"/>
    <w:basedOn w:val="Normal"/>
    <w:uiPriority w:val="34"/>
    <w:qFormat/>
    <w:rsid w:val="00173F0C"/>
    <w:pPr>
      <w:ind w:left="720"/>
      <w:contextualSpacing/>
    </w:pPr>
  </w:style>
  <w:style w:type="character" w:styleId="IntenseEmphasis">
    <w:name w:val="Intense Emphasis"/>
    <w:basedOn w:val="DefaultParagraphFont"/>
    <w:uiPriority w:val="21"/>
    <w:qFormat/>
    <w:rsid w:val="00173F0C"/>
    <w:rPr>
      <w:i/>
      <w:iCs/>
      <w:color w:val="0F4761" w:themeColor="accent1" w:themeShade="BF"/>
    </w:rPr>
  </w:style>
  <w:style w:type="paragraph" w:styleId="IntenseQuote">
    <w:name w:val="Intense Quote"/>
    <w:basedOn w:val="Normal"/>
    <w:next w:val="Normal"/>
    <w:link w:val="IntenseQuoteChar"/>
    <w:uiPriority w:val="30"/>
    <w:qFormat/>
    <w:rsid w:val="00173F0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73F0C"/>
    <w:rPr>
      <w:rFonts w:ascii="Times New Roman" w:hAnsi="Times New Roman"/>
      <w:i/>
      <w:iCs/>
      <w:color w:val="0F4761" w:themeColor="accent1" w:themeShade="BF"/>
    </w:rPr>
  </w:style>
  <w:style w:type="character" w:styleId="IntenseReference">
    <w:name w:val="Intense Reference"/>
    <w:basedOn w:val="DefaultParagraphFont"/>
    <w:uiPriority w:val="32"/>
    <w:qFormat/>
    <w:rsid w:val="00173F0C"/>
    <w:rPr>
      <w:b/>
      <w:bCs/>
      <w:smallCaps/>
      <w:color w:val="0F4761" w:themeColor="accent1" w:themeShade="BF"/>
      <w:spacing w:val="5"/>
    </w:rPr>
  </w:style>
  <w:style w:type="table" w:styleId="TableGrid">
    <w:name w:val="Table Grid"/>
    <w:basedOn w:val="TableNormal"/>
    <w:uiPriority w:val="39"/>
    <w:rsid w:val="00A82A8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Heading">
    <w:name w:val="TOC Heading"/>
    <w:basedOn w:val="Heading1"/>
    <w:next w:val="Normal"/>
    <w:uiPriority w:val="39"/>
    <w:unhideWhenUsed/>
    <w:qFormat/>
    <w:rsid w:val="00A82A8E"/>
    <w:pPr>
      <w:spacing w:before="240" w:after="0" w:line="259" w:lineRule="auto"/>
      <w:jc w:val="left"/>
      <w:outlineLvl w:val="9"/>
    </w:pPr>
    <w:rPr>
      <w:rFonts w:asciiTheme="majorHAnsi" w:hAnsiTheme="majorHAnsi"/>
      <w:b w:val="0"/>
      <w:color w:val="0F4761" w:themeColor="accent1" w:themeShade="BF"/>
      <w:kern w:val="0"/>
      <w:szCs w:val="32"/>
      <w:lang w:val="en-US" w:eastAsia="en-US"/>
      <w14:ligatures w14:val="none"/>
    </w:rPr>
  </w:style>
  <w:style w:type="character" w:styleId="Hyperlink">
    <w:name w:val="Hyperlink"/>
    <w:basedOn w:val="DefaultParagraphFont"/>
    <w:uiPriority w:val="99"/>
    <w:unhideWhenUsed/>
    <w:rsid w:val="00A82A8E"/>
    <w:rPr>
      <w:color w:val="467886" w:themeColor="hyperlink"/>
      <w:u w:val="single"/>
    </w:rPr>
  </w:style>
  <w:style w:type="paragraph" w:styleId="Header">
    <w:name w:val="header"/>
    <w:basedOn w:val="Normal"/>
    <w:link w:val="HeaderChar"/>
    <w:uiPriority w:val="99"/>
    <w:unhideWhenUsed/>
    <w:rsid w:val="007719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195E"/>
    <w:rPr>
      <w:rFonts w:ascii="Times New Roman" w:hAnsi="Times New Roman"/>
    </w:rPr>
  </w:style>
  <w:style w:type="paragraph" w:styleId="Footer">
    <w:name w:val="footer"/>
    <w:basedOn w:val="Normal"/>
    <w:link w:val="FooterChar"/>
    <w:uiPriority w:val="99"/>
    <w:unhideWhenUsed/>
    <w:rsid w:val="007719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195E"/>
    <w:rPr>
      <w:rFonts w:ascii="Times New Roman" w:hAnsi="Times New Roman"/>
    </w:rPr>
  </w:style>
  <w:style w:type="paragraph" w:styleId="Caption">
    <w:name w:val="caption"/>
    <w:basedOn w:val="Normal"/>
    <w:next w:val="Normal"/>
    <w:uiPriority w:val="35"/>
    <w:unhideWhenUsed/>
    <w:qFormat/>
    <w:rsid w:val="00962806"/>
    <w:pPr>
      <w:spacing w:after="200" w:line="240" w:lineRule="auto"/>
    </w:pPr>
    <w:rPr>
      <w:i/>
      <w:iCs/>
      <w:color w:val="0E2841" w:themeColor="text2"/>
      <w:sz w:val="18"/>
      <w:szCs w:val="18"/>
    </w:rPr>
  </w:style>
  <w:style w:type="character" w:customStyle="1" w:styleId="UnresolvedMention">
    <w:name w:val="Unresolved Mention"/>
    <w:basedOn w:val="DefaultParagraphFont"/>
    <w:uiPriority w:val="99"/>
    <w:semiHidden/>
    <w:unhideWhenUsed/>
    <w:rsid w:val="00962806"/>
    <w:rPr>
      <w:color w:val="605E5C"/>
      <w:shd w:val="clear" w:color="auto" w:fill="E1DFDD"/>
    </w:rPr>
  </w:style>
  <w:style w:type="character" w:styleId="FollowedHyperlink">
    <w:name w:val="FollowedHyperlink"/>
    <w:basedOn w:val="DefaultParagraphFont"/>
    <w:uiPriority w:val="99"/>
    <w:semiHidden/>
    <w:unhideWhenUsed/>
    <w:rsid w:val="00CA22EB"/>
    <w:rPr>
      <w:color w:val="96607D" w:themeColor="followedHyperlink"/>
      <w:u w:val="single"/>
    </w:rPr>
  </w:style>
  <w:style w:type="character" w:styleId="Emphasis">
    <w:name w:val="Emphasis"/>
    <w:basedOn w:val="DefaultParagraphFont"/>
    <w:uiPriority w:val="20"/>
    <w:qFormat/>
    <w:rsid w:val="00E4148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6678707">
      <w:bodyDiv w:val="1"/>
      <w:marLeft w:val="0"/>
      <w:marRight w:val="0"/>
      <w:marTop w:val="0"/>
      <w:marBottom w:val="0"/>
      <w:divBdr>
        <w:top w:val="none" w:sz="0" w:space="0" w:color="auto"/>
        <w:left w:val="none" w:sz="0" w:space="0" w:color="auto"/>
        <w:bottom w:val="none" w:sz="0" w:space="0" w:color="auto"/>
        <w:right w:val="none" w:sz="0" w:space="0" w:color="auto"/>
      </w:divBdr>
    </w:div>
    <w:div w:id="603266616">
      <w:bodyDiv w:val="1"/>
      <w:marLeft w:val="0"/>
      <w:marRight w:val="0"/>
      <w:marTop w:val="0"/>
      <w:marBottom w:val="0"/>
      <w:divBdr>
        <w:top w:val="none" w:sz="0" w:space="0" w:color="auto"/>
        <w:left w:val="none" w:sz="0" w:space="0" w:color="auto"/>
        <w:bottom w:val="none" w:sz="0" w:space="0" w:color="auto"/>
        <w:right w:val="none" w:sz="0" w:space="0" w:color="auto"/>
      </w:divBdr>
    </w:div>
    <w:div w:id="716129246">
      <w:bodyDiv w:val="1"/>
      <w:marLeft w:val="0"/>
      <w:marRight w:val="0"/>
      <w:marTop w:val="0"/>
      <w:marBottom w:val="0"/>
      <w:divBdr>
        <w:top w:val="none" w:sz="0" w:space="0" w:color="auto"/>
        <w:left w:val="none" w:sz="0" w:space="0" w:color="auto"/>
        <w:bottom w:val="none" w:sz="0" w:space="0" w:color="auto"/>
        <w:right w:val="none" w:sz="0" w:space="0" w:color="auto"/>
      </w:divBdr>
    </w:div>
    <w:div w:id="811141921">
      <w:bodyDiv w:val="1"/>
      <w:marLeft w:val="0"/>
      <w:marRight w:val="0"/>
      <w:marTop w:val="0"/>
      <w:marBottom w:val="0"/>
      <w:divBdr>
        <w:top w:val="none" w:sz="0" w:space="0" w:color="auto"/>
        <w:left w:val="none" w:sz="0" w:space="0" w:color="auto"/>
        <w:bottom w:val="none" w:sz="0" w:space="0" w:color="auto"/>
        <w:right w:val="none" w:sz="0" w:space="0" w:color="auto"/>
      </w:divBdr>
    </w:div>
    <w:div w:id="974876034">
      <w:bodyDiv w:val="1"/>
      <w:marLeft w:val="0"/>
      <w:marRight w:val="0"/>
      <w:marTop w:val="0"/>
      <w:marBottom w:val="0"/>
      <w:divBdr>
        <w:top w:val="none" w:sz="0" w:space="0" w:color="auto"/>
        <w:left w:val="none" w:sz="0" w:space="0" w:color="auto"/>
        <w:bottom w:val="none" w:sz="0" w:space="0" w:color="auto"/>
        <w:right w:val="none" w:sz="0" w:space="0" w:color="auto"/>
      </w:divBdr>
    </w:div>
    <w:div w:id="1235773428">
      <w:bodyDiv w:val="1"/>
      <w:marLeft w:val="0"/>
      <w:marRight w:val="0"/>
      <w:marTop w:val="0"/>
      <w:marBottom w:val="0"/>
      <w:divBdr>
        <w:top w:val="none" w:sz="0" w:space="0" w:color="auto"/>
        <w:left w:val="none" w:sz="0" w:space="0" w:color="auto"/>
        <w:bottom w:val="none" w:sz="0" w:space="0" w:color="auto"/>
        <w:right w:val="none" w:sz="0" w:space="0" w:color="auto"/>
      </w:divBdr>
    </w:div>
    <w:div w:id="1425688741">
      <w:bodyDiv w:val="1"/>
      <w:marLeft w:val="0"/>
      <w:marRight w:val="0"/>
      <w:marTop w:val="0"/>
      <w:marBottom w:val="0"/>
      <w:divBdr>
        <w:top w:val="none" w:sz="0" w:space="0" w:color="auto"/>
        <w:left w:val="none" w:sz="0" w:space="0" w:color="auto"/>
        <w:bottom w:val="none" w:sz="0" w:space="0" w:color="auto"/>
        <w:right w:val="none" w:sz="0" w:space="0" w:color="auto"/>
      </w:divBdr>
    </w:div>
    <w:div w:id="1526022249">
      <w:bodyDiv w:val="1"/>
      <w:marLeft w:val="0"/>
      <w:marRight w:val="0"/>
      <w:marTop w:val="0"/>
      <w:marBottom w:val="0"/>
      <w:divBdr>
        <w:top w:val="none" w:sz="0" w:space="0" w:color="auto"/>
        <w:left w:val="none" w:sz="0" w:space="0" w:color="auto"/>
        <w:bottom w:val="none" w:sz="0" w:space="0" w:color="auto"/>
        <w:right w:val="none" w:sz="0" w:space="0" w:color="auto"/>
      </w:divBdr>
    </w:div>
    <w:div w:id="1715084386">
      <w:bodyDiv w:val="1"/>
      <w:marLeft w:val="0"/>
      <w:marRight w:val="0"/>
      <w:marTop w:val="0"/>
      <w:marBottom w:val="0"/>
      <w:divBdr>
        <w:top w:val="none" w:sz="0" w:space="0" w:color="auto"/>
        <w:left w:val="none" w:sz="0" w:space="0" w:color="auto"/>
        <w:bottom w:val="none" w:sz="0" w:space="0" w:color="auto"/>
        <w:right w:val="none" w:sz="0" w:space="0" w:color="auto"/>
      </w:divBdr>
    </w:div>
    <w:div w:id="1792093230">
      <w:bodyDiv w:val="1"/>
      <w:marLeft w:val="0"/>
      <w:marRight w:val="0"/>
      <w:marTop w:val="0"/>
      <w:marBottom w:val="0"/>
      <w:divBdr>
        <w:top w:val="none" w:sz="0" w:space="0" w:color="auto"/>
        <w:left w:val="none" w:sz="0" w:space="0" w:color="auto"/>
        <w:bottom w:val="none" w:sz="0" w:space="0" w:color="auto"/>
        <w:right w:val="none" w:sz="0" w:space="0" w:color="auto"/>
      </w:divBdr>
    </w:div>
    <w:div w:id="20028498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3.png"/><Relationship Id="rId20" Type="http://schemas.openxmlformats.org/officeDocument/2006/relationships/hyperlink" Target="https://www.redwoodmaterials.com" TargetMode="External"/><Relationship Id="rId21" Type="http://schemas.openxmlformats.org/officeDocument/2006/relationships/hyperlink" Target="https://www.statista.com/topics/1487/automotive-industry/?srsltid=AfmBOor3wxGS3dET--r5Jb2OU1cbpiU7OECuw30Cmi5afLTQJbcI1VIN" TargetMode="External"/><Relationship Id="rId22" Type="http://schemas.openxmlformats.org/officeDocument/2006/relationships/hyperlink" Target="https://ir.tesla.com/_flysystem/s3/sec/000162828024002390/tsla-20231231-gen.pdf" TargetMode="External"/><Relationship Id="rId23" Type="http://schemas.openxmlformats.org/officeDocument/2006/relationships/hyperlink" Target="https://www.tesla.com/ns_videos/2023-tesla-impact-report-highlights.pdf" TargetMode="External"/><Relationship Id="rId24" Type="http://schemas.openxmlformats.org/officeDocument/2006/relationships/hyperlink" Target="https://www.congress.gov" TargetMode="External"/><Relationship Id="rId25" Type="http://schemas.openxmlformats.org/officeDocument/2006/relationships/hyperlink" Target="https://www.visualcapitalist.com/life-cycle-emissions-evs-vs-combustion-engine-vehicles/?utm_source=chatgpt.com" TargetMode="External"/><Relationship Id="rId26" Type="http://schemas.openxmlformats.org/officeDocument/2006/relationships/footer" Target="footer1.xml"/><Relationship Id="rId27" Type="http://schemas.openxmlformats.org/officeDocument/2006/relationships/fontTable" Target="fontTable.xml"/><Relationship Id="rId28" Type="http://schemas.openxmlformats.org/officeDocument/2006/relationships/theme" Target="theme/theme1.xml"/><Relationship Id="rId10" Type="http://schemas.openxmlformats.org/officeDocument/2006/relationships/image" Target="media/image4.png"/><Relationship Id="rId11" Type="http://schemas.openxmlformats.org/officeDocument/2006/relationships/image" Target="media/image5.jpeg"/><Relationship Id="rId12" Type="http://schemas.openxmlformats.org/officeDocument/2006/relationships/hyperlink" Target="https://about.bnef.com/insights/clean-energy/lithium-ion-battery-pack-prices-hit-record-low-of-139-kwh/" TargetMode="External"/><Relationship Id="rId13" Type="http://schemas.openxmlformats.org/officeDocument/2006/relationships/hyperlink" Target="https://www.bmw.nl/content/dam/bmw/common/topics/fascination-bmw/electromobility2020-new/sustainability-new/BMW-Group-Report-2023-en.pdf.asset.1718789075868.pdf" TargetMode="External"/><Relationship Id="rId14" Type="http://schemas.openxmlformats.org/officeDocument/2006/relationships/hyperlink" Target="https://www.bmwgroup.com/en/report/2023/downloads/BMW-Group-Report-2023-en.pdf" TargetMode="External"/><Relationship Id="rId15" Type="http://schemas.openxmlformats.org/officeDocument/2006/relationships/hyperlink" Target="https://fourweekmba.com/tesla-business-strategy/?utm_source=chatgpt.com" TargetMode="External"/><Relationship Id="rId16" Type="http://schemas.openxmlformats.org/officeDocument/2006/relationships/hyperlink" Target="https://www.iea.org/reports/global-ev-outlook-2023" TargetMode="External"/><Relationship Id="rId17" Type="http://schemas.openxmlformats.org/officeDocument/2006/relationships/hyperlink" Target="https://www.iiea.com/energy/?gad_source=1&amp;gad_campaignid=1065244934&amp;gclid=CjwKCAjwpOfHBhAxEiwAm1SwEmO2E9yKHYl3o2qc0JR1YqO0Cb-FWHk-Ofps08Qd4QjH967vtxBbYRoCNpIQAvD_BwE" TargetMode="External"/><Relationship Id="rId18" Type="http://schemas.openxmlformats.org/officeDocument/2006/relationships/hyperlink" Target="https://www.macrotrends.net/stocks/charts/TSLA/tesla/research-development-expenses" TargetMode="External"/><Relationship Id="rId19" Type="http://schemas.openxmlformats.org/officeDocument/2006/relationships/hyperlink" Target="https://marketrealist.com/2019/04/is-tesla-really-doing-more-harm-than-good-to-the-environment/" TargetMode="External"/><Relationship Id="rId1" Type="http://schemas.openxmlformats.org/officeDocument/2006/relationships/customXml" Target="../customXml/item1.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75C152-0FFF-FE4D-B934-A47F9AB26D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22</Pages>
  <Words>5282</Words>
  <Characters>30109</Characters>
  <Application>Microsoft Macintosh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35321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2025-10-22T07:47:00Z</dcterms:created>
  <dcterms:modified xsi:type="dcterms:W3CDTF">2025-10-24T10:01:00Z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51505d96-d036-48e7-9f5f-34f21840099d</vt:lpwstr>
  </property>
</Properties>
</file>