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1CA13A" w14:textId="77777777" w:rsidR="00A64D90" w:rsidRDefault="00A64D90" w:rsidP="001B5DDC">
      <w:pPr>
        <w:jc w:val="center"/>
        <w:rPr>
          <w:b/>
          <w:sz w:val="36"/>
          <w:szCs w:val="36"/>
        </w:rPr>
      </w:pPr>
    </w:p>
    <w:p w14:paraId="7232A1A2" w14:textId="6377E1C1" w:rsidR="001B5DDC" w:rsidRPr="001B5DDC" w:rsidRDefault="001B5DDC" w:rsidP="001B5DDC">
      <w:pPr>
        <w:jc w:val="center"/>
        <w:rPr>
          <w:b/>
          <w:sz w:val="36"/>
          <w:szCs w:val="36"/>
        </w:rPr>
      </w:pPr>
      <w:r w:rsidRPr="001B5DDC">
        <w:rPr>
          <w:b/>
          <w:sz w:val="36"/>
          <w:szCs w:val="36"/>
        </w:rPr>
        <w:t>BMIH5006</w:t>
      </w:r>
    </w:p>
    <w:p w14:paraId="1B6FB166" w14:textId="77777777" w:rsidR="001B5DDC" w:rsidRPr="001B5DDC" w:rsidRDefault="001B5DDC" w:rsidP="001B5DDC">
      <w:pPr>
        <w:jc w:val="center"/>
        <w:rPr>
          <w:b/>
          <w:sz w:val="36"/>
          <w:szCs w:val="36"/>
        </w:rPr>
      </w:pPr>
      <w:r w:rsidRPr="001B5DDC">
        <w:rPr>
          <w:b/>
          <w:sz w:val="36"/>
          <w:szCs w:val="36"/>
        </w:rPr>
        <w:t>Sustainable Hospitality &amp; Tourism</w:t>
      </w:r>
    </w:p>
    <w:p w14:paraId="586F98EF" w14:textId="77777777" w:rsidR="001B5DDC" w:rsidRDefault="001B5DDC" w:rsidP="001B5DDC">
      <w:pPr>
        <w:jc w:val="center"/>
        <w:rPr>
          <w:b/>
          <w:sz w:val="36"/>
          <w:szCs w:val="36"/>
        </w:rPr>
      </w:pPr>
      <w:r w:rsidRPr="001B5DDC">
        <w:rPr>
          <w:b/>
          <w:sz w:val="36"/>
          <w:szCs w:val="36"/>
        </w:rPr>
        <w:t>Management</w:t>
      </w:r>
    </w:p>
    <w:p w14:paraId="09109E49" w14:textId="77777777" w:rsidR="00A64D90" w:rsidRDefault="00A64D90" w:rsidP="001B5DDC">
      <w:pPr>
        <w:jc w:val="center"/>
        <w:rPr>
          <w:b/>
          <w:sz w:val="36"/>
          <w:szCs w:val="36"/>
        </w:rPr>
      </w:pPr>
    </w:p>
    <w:p w14:paraId="379F44FA" w14:textId="77777777" w:rsidR="00A64D90" w:rsidRDefault="00A64D90" w:rsidP="001B5DDC">
      <w:pPr>
        <w:jc w:val="center"/>
        <w:rPr>
          <w:b/>
          <w:sz w:val="36"/>
          <w:szCs w:val="36"/>
        </w:rPr>
      </w:pPr>
    </w:p>
    <w:p w14:paraId="083B34BB" w14:textId="77777777" w:rsidR="006B767E" w:rsidRDefault="001B5DDC" w:rsidP="001B5DDC">
      <w:pPr>
        <w:jc w:val="center"/>
        <w:rPr>
          <w:b/>
          <w:sz w:val="36"/>
          <w:szCs w:val="36"/>
        </w:rPr>
      </w:pPr>
      <w:r w:rsidRPr="001B5DDC">
        <w:rPr>
          <w:b/>
          <w:sz w:val="36"/>
          <w:szCs w:val="36"/>
        </w:rPr>
        <w:t>Assessment Component 1</w:t>
      </w:r>
    </w:p>
    <w:p w14:paraId="6C8F466F" w14:textId="4808EDAB" w:rsidR="006B767E" w:rsidRDefault="006B767E" w:rsidP="001B5DDC">
      <w:pPr>
        <w:jc w:val="center"/>
        <w:rPr>
          <w:b/>
          <w:sz w:val="36"/>
          <w:szCs w:val="36"/>
        </w:rPr>
      </w:pPr>
      <w:r>
        <w:rPr>
          <w:b/>
          <w:sz w:val="36"/>
          <w:szCs w:val="36"/>
        </w:rPr>
        <w:t>Student Name:</w:t>
      </w:r>
      <w:r w:rsidR="001947ED">
        <w:rPr>
          <w:b/>
          <w:sz w:val="36"/>
          <w:szCs w:val="36"/>
        </w:rPr>
        <w:t xml:space="preserve"> Silvia Daniela </w:t>
      </w:r>
      <w:proofErr w:type="spellStart"/>
      <w:r w:rsidR="001947ED">
        <w:rPr>
          <w:b/>
          <w:sz w:val="36"/>
          <w:szCs w:val="36"/>
        </w:rPr>
        <w:t>Grecu</w:t>
      </w:r>
      <w:proofErr w:type="spellEnd"/>
    </w:p>
    <w:p w14:paraId="3EA0A0B3" w14:textId="654759EC" w:rsidR="007A0448" w:rsidRPr="007A0448" w:rsidRDefault="006B767E" w:rsidP="001B5DDC">
      <w:pPr>
        <w:jc w:val="center"/>
        <w:rPr>
          <w:b/>
          <w:sz w:val="36"/>
          <w:szCs w:val="36"/>
        </w:rPr>
      </w:pPr>
      <w:r>
        <w:rPr>
          <w:b/>
          <w:sz w:val="36"/>
          <w:szCs w:val="36"/>
        </w:rPr>
        <w:t>Student ID:</w:t>
      </w:r>
      <w:r w:rsidR="001947ED">
        <w:rPr>
          <w:b/>
          <w:sz w:val="36"/>
          <w:szCs w:val="36"/>
        </w:rPr>
        <w:t xml:space="preserve"> 2245642</w:t>
      </w:r>
      <w:r w:rsidR="00FB1A0A" w:rsidRPr="003E4EC1">
        <w:rPr>
          <w:b/>
          <w:sz w:val="36"/>
          <w:szCs w:val="36"/>
        </w:rPr>
        <w:br w:type="page"/>
      </w:r>
    </w:p>
    <w:p w14:paraId="0F8000A4" w14:textId="77777777" w:rsidR="006B767E" w:rsidRDefault="006B767E" w:rsidP="00FB1A0A"/>
    <w:p w14:paraId="54FB46BE" w14:textId="44FC6232" w:rsidR="006B767E" w:rsidRPr="006B767E" w:rsidRDefault="006B767E" w:rsidP="006B767E">
      <w:pPr>
        <w:jc w:val="center"/>
        <w:rPr>
          <w:b/>
          <w:bCs/>
          <w:u w:val="single"/>
        </w:rPr>
      </w:pPr>
      <w:r w:rsidRPr="006B767E">
        <w:rPr>
          <w:b/>
          <w:bCs/>
          <w:u w:val="single"/>
        </w:rPr>
        <w:t>AI Acknowledgement</w:t>
      </w:r>
    </w:p>
    <w:p w14:paraId="7D7717F3" w14:textId="7FC573E0" w:rsidR="006B767E" w:rsidRPr="002C287E" w:rsidRDefault="006B767E" w:rsidP="002C287E">
      <w:pPr>
        <w:rPr>
          <w:rFonts w:ascii="Arial" w:hAnsi="Arial" w:cs="Arial"/>
        </w:rPr>
      </w:pPr>
      <w:r w:rsidRPr="002C287E">
        <w:rPr>
          <w:rFonts w:ascii="Arial" w:hAnsi="Arial" w:cs="Arial"/>
        </w:rPr>
        <w:t>I declare that I have not incorporated any AI tools in executing and writing this assignment. I did not submit any materials that have been generated by artificial intelligence as my own work. I acknowledge that I have copies of my drafts, notes, other referenced resources used by me.</w:t>
      </w:r>
    </w:p>
    <w:p w14:paraId="69730F9E" w14:textId="77777777" w:rsidR="006B767E" w:rsidRPr="002C287E" w:rsidRDefault="006B767E" w:rsidP="002C287E">
      <w:pPr>
        <w:rPr>
          <w:rFonts w:ascii="Arial" w:hAnsi="Arial" w:cs="Arial"/>
        </w:rPr>
      </w:pPr>
    </w:p>
    <w:p w14:paraId="55A2FBBB" w14:textId="77777777" w:rsidR="006B767E" w:rsidRPr="002C287E" w:rsidRDefault="006B767E" w:rsidP="002C287E">
      <w:pPr>
        <w:rPr>
          <w:rFonts w:ascii="Arial" w:hAnsi="Arial" w:cs="Arial"/>
        </w:rPr>
      </w:pPr>
    </w:p>
    <w:p w14:paraId="61747BCE" w14:textId="77777777" w:rsidR="006B767E" w:rsidRPr="002C287E" w:rsidRDefault="006B767E" w:rsidP="002C287E">
      <w:pPr>
        <w:rPr>
          <w:rFonts w:ascii="Arial" w:hAnsi="Arial" w:cs="Arial"/>
        </w:rPr>
      </w:pPr>
    </w:p>
    <w:p w14:paraId="40E3DAC7" w14:textId="77777777" w:rsidR="006B767E" w:rsidRPr="002C287E" w:rsidRDefault="006B767E" w:rsidP="002C287E">
      <w:pPr>
        <w:rPr>
          <w:rFonts w:ascii="Arial" w:hAnsi="Arial" w:cs="Arial"/>
        </w:rPr>
      </w:pPr>
    </w:p>
    <w:p w14:paraId="1E772119" w14:textId="77777777" w:rsidR="006B767E" w:rsidRPr="002C287E" w:rsidRDefault="006B767E" w:rsidP="002C287E">
      <w:pPr>
        <w:rPr>
          <w:rFonts w:ascii="Arial" w:hAnsi="Arial" w:cs="Arial"/>
        </w:rPr>
      </w:pPr>
    </w:p>
    <w:p w14:paraId="5FE4D5E2" w14:textId="77777777" w:rsidR="006B767E" w:rsidRPr="002C287E" w:rsidRDefault="006B767E" w:rsidP="002C287E">
      <w:pPr>
        <w:rPr>
          <w:rFonts w:ascii="Arial" w:hAnsi="Arial" w:cs="Arial"/>
        </w:rPr>
      </w:pPr>
    </w:p>
    <w:p w14:paraId="14D77DD7" w14:textId="77777777" w:rsidR="006B767E" w:rsidRPr="002C287E" w:rsidRDefault="006B767E" w:rsidP="002C287E">
      <w:pPr>
        <w:rPr>
          <w:rFonts w:ascii="Arial" w:hAnsi="Arial" w:cs="Arial"/>
        </w:rPr>
      </w:pPr>
    </w:p>
    <w:p w14:paraId="60574131" w14:textId="77777777" w:rsidR="006B767E" w:rsidRPr="002C287E" w:rsidRDefault="006B767E" w:rsidP="002C287E">
      <w:pPr>
        <w:rPr>
          <w:rFonts w:ascii="Arial" w:hAnsi="Arial" w:cs="Arial"/>
        </w:rPr>
      </w:pPr>
    </w:p>
    <w:p w14:paraId="00BBAA2F" w14:textId="77777777" w:rsidR="006B767E" w:rsidRPr="002C287E" w:rsidRDefault="006B767E" w:rsidP="002C287E">
      <w:pPr>
        <w:rPr>
          <w:rFonts w:ascii="Arial" w:hAnsi="Arial" w:cs="Arial"/>
        </w:rPr>
      </w:pPr>
    </w:p>
    <w:p w14:paraId="5442BF92" w14:textId="77777777" w:rsidR="006B767E" w:rsidRPr="002C287E" w:rsidRDefault="006B767E" w:rsidP="002C287E">
      <w:pPr>
        <w:rPr>
          <w:rFonts w:ascii="Arial" w:hAnsi="Arial" w:cs="Arial"/>
        </w:rPr>
      </w:pPr>
    </w:p>
    <w:p w14:paraId="0DC1FEB3" w14:textId="77777777" w:rsidR="006B767E" w:rsidRPr="002C287E" w:rsidRDefault="006B767E" w:rsidP="002C287E">
      <w:pPr>
        <w:rPr>
          <w:rFonts w:ascii="Arial" w:hAnsi="Arial" w:cs="Arial"/>
        </w:rPr>
      </w:pPr>
    </w:p>
    <w:p w14:paraId="5F52D5BB" w14:textId="77777777" w:rsidR="006B767E" w:rsidRPr="002C287E" w:rsidRDefault="006B767E" w:rsidP="002C287E">
      <w:pPr>
        <w:rPr>
          <w:rFonts w:ascii="Arial" w:hAnsi="Arial" w:cs="Arial"/>
        </w:rPr>
      </w:pPr>
    </w:p>
    <w:p w14:paraId="76700631" w14:textId="77777777" w:rsidR="006B767E" w:rsidRPr="002C287E" w:rsidRDefault="006B767E" w:rsidP="002C287E">
      <w:pPr>
        <w:rPr>
          <w:rFonts w:ascii="Arial" w:hAnsi="Arial" w:cs="Arial"/>
        </w:rPr>
      </w:pPr>
    </w:p>
    <w:p w14:paraId="11ADD16E" w14:textId="77777777" w:rsidR="006B767E" w:rsidRPr="002C287E" w:rsidRDefault="006B767E" w:rsidP="002C287E">
      <w:pPr>
        <w:rPr>
          <w:rFonts w:ascii="Arial" w:hAnsi="Arial" w:cs="Arial"/>
        </w:rPr>
      </w:pPr>
    </w:p>
    <w:p w14:paraId="2045E452" w14:textId="77777777" w:rsidR="006B767E" w:rsidRPr="002C287E" w:rsidRDefault="006B767E" w:rsidP="002C287E">
      <w:pPr>
        <w:rPr>
          <w:rFonts w:ascii="Arial" w:hAnsi="Arial" w:cs="Arial"/>
        </w:rPr>
      </w:pPr>
    </w:p>
    <w:p w14:paraId="67E44B05" w14:textId="77777777" w:rsidR="006B767E" w:rsidRPr="002C287E" w:rsidRDefault="006B767E" w:rsidP="002C287E">
      <w:pPr>
        <w:rPr>
          <w:rFonts w:ascii="Arial" w:hAnsi="Arial" w:cs="Arial"/>
        </w:rPr>
      </w:pPr>
    </w:p>
    <w:p w14:paraId="148ACAF9" w14:textId="77777777" w:rsidR="006B767E" w:rsidRPr="002C287E" w:rsidRDefault="006B767E" w:rsidP="002C287E">
      <w:pPr>
        <w:rPr>
          <w:rFonts w:ascii="Arial" w:hAnsi="Arial" w:cs="Arial"/>
        </w:rPr>
      </w:pPr>
    </w:p>
    <w:p w14:paraId="3341BE2E" w14:textId="090D8CEE" w:rsidR="00FB1A0A" w:rsidRPr="002C287E" w:rsidRDefault="00FB1A0A" w:rsidP="002C287E">
      <w:pPr>
        <w:rPr>
          <w:rFonts w:ascii="Arial" w:hAnsi="Arial" w:cs="Arial"/>
        </w:rPr>
      </w:pPr>
      <w:r w:rsidRPr="002C287E">
        <w:rPr>
          <w:rFonts w:ascii="Arial" w:hAnsi="Arial" w:cs="Arial"/>
        </w:rPr>
        <w:lastRenderedPageBreak/>
        <w:t xml:space="preserve">Sustainable practices, or managerial green practices, involve the strategies that industries implement with the overall goal of avoiding effects on the environment and </w:t>
      </w:r>
      <w:proofErr w:type="spellStart"/>
      <w:r w:rsidRPr="002C287E">
        <w:rPr>
          <w:rFonts w:ascii="Arial" w:hAnsi="Arial" w:cs="Arial"/>
        </w:rPr>
        <w:t>optimising</w:t>
      </w:r>
      <w:proofErr w:type="spellEnd"/>
      <w:r w:rsidRPr="002C287E">
        <w:rPr>
          <w:rFonts w:ascii="Arial" w:hAnsi="Arial" w:cs="Arial"/>
        </w:rPr>
        <w:t xml:space="preserve"> the use of available resources for the sustainability of the ecology. Some of these strategies at the operational level in the hospitality sector include the conservation of energy, moderation of waste, and use of renewable energy in order to make the </w:t>
      </w:r>
      <w:proofErr w:type="spellStart"/>
      <w:r w:rsidRPr="002C287E">
        <w:rPr>
          <w:rFonts w:ascii="Arial" w:hAnsi="Arial" w:cs="Arial"/>
        </w:rPr>
        <w:t>organisations</w:t>
      </w:r>
      <w:proofErr w:type="spellEnd"/>
      <w:r w:rsidRPr="002C287E">
        <w:rPr>
          <w:rFonts w:ascii="Arial" w:hAnsi="Arial" w:cs="Arial"/>
        </w:rPr>
        <w:t xml:space="preserve"> environmentally friendly. The importance of incorporating green practices in the context of the hospitality industry has escalated because global tourism contributes to approximately 8% of the total global greenhouse emissions yearly (Sloan et al. 2017). Sustainability is no longer a concept that can be deemed as an add-on but as a necessity because guests and customers are becoming environmentally conscious, and 73% of </w:t>
      </w:r>
      <w:proofErr w:type="spellStart"/>
      <w:r w:rsidRPr="002C287E">
        <w:rPr>
          <w:rFonts w:ascii="Arial" w:hAnsi="Arial" w:cs="Arial"/>
        </w:rPr>
        <w:t>travellers</w:t>
      </w:r>
      <w:proofErr w:type="spellEnd"/>
      <w:r w:rsidRPr="002C287E">
        <w:rPr>
          <w:rFonts w:ascii="Arial" w:hAnsi="Arial" w:cs="Arial"/>
        </w:rPr>
        <w:t xml:space="preserve"> prefer environmentally friendly accommodation (World Trade </w:t>
      </w:r>
      <w:proofErr w:type="spellStart"/>
      <w:r w:rsidRPr="002C287E">
        <w:rPr>
          <w:rFonts w:ascii="Arial" w:hAnsi="Arial" w:cs="Arial"/>
        </w:rPr>
        <w:t>Organisation</w:t>
      </w:r>
      <w:proofErr w:type="spellEnd"/>
      <w:r w:rsidRPr="002C287E">
        <w:rPr>
          <w:rFonts w:ascii="Arial" w:hAnsi="Arial" w:cs="Arial"/>
        </w:rPr>
        <w:t>, 2022).</w:t>
      </w:r>
      <w:r w:rsidR="007A0448" w:rsidRPr="002C287E">
        <w:rPr>
          <w:rFonts w:ascii="Arial" w:hAnsi="Arial" w:cs="Arial"/>
        </w:rPr>
        <w:t xml:space="preserve"> </w:t>
      </w:r>
      <w:r w:rsidRPr="002C287E">
        <w:rPr>
          <w:rFonts w:ascii="Arial" w:hAnsi="Arial" w:cs="Arial"/>
        </w:rPr>
        <w:t>The values of sustainability come when cutting on the expenses and costs the hotels incur while achieving more clientele recognition, as well as catering to the CSR objectives the hotel chain has. For instance, efficient uses of light and waste can reduce utility costs by a quarter and contribute to high-profit margins (</w:t>
      </w:r>
      <w:proofErr w:type="spellStart"/>
      <w:r w:rsidRPr="002C287E">
        <w:rPr>
          <w:rFonts w:ascii="Arial" w:hAnsi="Arial" w:cs="Arial"/>
        </w:rPr>
        <w:t>Haski</w:t>
      </w:r>
      <w:proofErr w:type="spellEnd"/>
      <w:r w:rsidRPr="002C287E">
        <w:rPr>
          <w:rFonts w:ascii="Arial" w:hAnsi="Arial" w:cs="Arial"/>
        </w:rPr>
        <w:t xml:space="preserve">-Leventhal, 2018). Further, these practices help in reducing effective </w:t>
      </w:r>
      <w:proofErr w:type="spellStart"/>
      <w:r w:rsidRPr="002C287E">
        <w:rPr>
          <w:rFonts w:ascii="Arial" w:hAnsi="Arial" w:cs="Arial"/>
        </w:rPr>
        <w:t>theorisation</w:t>
      </w:r>
      <w:proofErr w:type="spellEnd"/>
      <w:r w:rsidRPr="002C287E">
        <w:rPr>
          <w:rFonts w:ascii="Arial" w:hAnsi="Arial" w:cs="Arial"/>
        </w:rPr>
        <w:t xml:space="preserve"> and implementation of mitigating climate change, the preservation of species diversity, and the consumption needs for green tourism.</w:t>
      </w:r>
    </w:p>
    <w:p w14:paraId="7C29CBAA" w14:textId="77777777" w:rsidR="00FB1A0A" w:rsidRPr="002C287E" w:rsidRDefault="00FB1A0A" w:rsidP="002C287E">
      <w:pPr>
        <w:rPr>
          <w:rFonts w:ascii="Arial" w:hAnsi="Arial" w:cs="Arial"/>
        </w:rPr>
      </w:pPr>
      <w:r w:rsidRPr="002C287E">
        <w:rPr>
          <w:rFonts w:ascii="Arial" w:hAnsi="Arial" w:cs="Arial"/>
        </w:rPr>
        <w:br w:type="page"/>
      </w:r>
    </w:p>
    <w:p w14:paraId="6A773A9B" w14:textId="77777777" w:rsidR="00FB1A0A" w:rsidRPr="002C287E" w:rsidRDefault="00FB1A0A" w:rsidP="002C287E">
      <w:pPr>
        <w:rPr>
          <w:rFonts w:ascii="Arial" w:hAnsi="Arial" w:cs="Arial"/>
        </w:rPr>
      </w:pPr>
      <w:r w:rsidRPr="002C287E">
        <w:rPr>
          <w:rFonts w:ascii="Arial" w:hAnsi="Arial" w:cs="Arial"/>
        </w:rPr>
        <w:lastRenderedPageBreak/>
        <w:t xml:space="preserve">There are many benefits associated with sustainability management within the hospitality sector, such as improved and sustainable costs, protection of brands, and improved environmental conservation. Measures like energy-efficient measures and careful management of wastes and water can result in a corresponding percentage reduction of costs of operation, with hotels having the potential of reducing costs by 20–30% (Sloan et al., 2017). For instance, the energy-efficient lighting and heating systems save energy while also fitting into the modern market trend of customers’ preferences for sustainable services. In addition, sustainable initiatives create a sense of brand loyalty, as customers who visited different hotels and accommodations worldwide showed that 81% of them would like to choose sustainable hotels (World Trade </w:t>
      </w:r>
      <w:proofErr w:type="spellStart"/>
      <w:r w:rsidRPr="002C287E">
        <w:rPr>
          <w:rFonts w:ascii="Arial" w:hAnsi="Arial" w:cs="Arial"/>
        </w:rPr>
        <w:t>Organisation</w:t>
      </w:r>
      <w:proofErr w:type="spellEnd"/>
      <w:r w:rsidRPr="002C287E">
        <w:rPr>
          <w:rFonts w:ascii="Arial" w:hAnsi="Arial" w:cs="Arial"/>
        </w:rPr>
        <w:t>, 2022). Sustainability is also good practice in terms of climate change, lack of resources, and the preservation of alive species. Nevertheless, there is a problem in the change towards sustainability. Of course, one major barrier that many establishments face is the rather steep initial outlay required to install green technologies (Management Association, 2018). Furthermore, lack of willingness among the staff and manager to embrace change is also an imperative challenge for sustainable practices (</w:t>
      </w:r>
      <w:proofErr w:type="spellStart"/>
      <w:r w:rsidRPr="002C287E">
        <w:rPr>
          <w:rFonts w:ascii="Arial" w:hAnsi="Arial" w:cs="Arial"/>
        </w:rPr>
        <w:t>Inskon</w:t>
      </w:r>
      <w:proofErr w:type="spellEnd"/>
      <w:r w:rsidRPr="002C287E">
        <w:rPr>
          <w:rFonts w:ascii="Arial" w:hAnsi="Arial" w:cs="Arial"/>
        </w:rPr>
        <w:t xml:space="preserve"> and Minnaert, 2018). For instance, Hilton Hotels’ &amp; Resorts, one of the world’s largest accommodation chains, has embarked on its “Travel with Purpose” drive, which seeks to reduce the company’s environmental footprint by half and double its social value contribution by the year 2030 (Hilton, 2023). They have implemented energy-efficient lighting and renewable energy projects together with water conservation and waste reduction exercises, which has seen them secure a Green Globe nod for Hilton. It is estimated that the hospitality industry accounts for nearly 10% of food waste produced globally, amongst which hotels are vividly involved. The same applies to Hilton Hotels, which has tried addressing the issue by tracking food’s use, as well as donating the edibles in the process of perishing, while still lacking an efficient data management system. Today they are more fragmented and ad hoc rather than a systemic approach dealing with food waste throughout the </w:t>
      </w:r>
      <w:proofErr w:type="spellStart"/>
      <w:r w:rsidRPr="002C287E">
        <w:rPr>
          <w:rFonts w:ascii="Arial" w:hAnsi="Arial" w:cs="Arial"/>
        </w:rPr>
        <w:t>organisation</w:t>
      </w:r>
      <w:proofErr w:type="spellEnd"/>
      <w:r w:rsidRPr="002C287E">
        <w:rPr>
          <w:rFonts w:ascii="Arial" w:hAnsi="Arial" w:cs="Arial"/>
        </w:rPr>
        <w:t xml:space="preserve"> process that encompasses purchase, production, distribution, preparation, and disposal of food.</w:t>
      </w:r>
    </w:p>
    <w:p w14:paraId="7B104444" w14:textId="77777777" w:rsidR="00FB1A0A" w:rsidRPr="002C287E" w:rsidRDefault="00FB1A0A" w:rsidP="002C287E">
      <w:pPr>
        <w:rPr>
          <w:rFonts w:ascii="Arial" w:hAnsi="Arial" w:cs="Arial"/>
        </w:rPr>
      </w:pPr>
      <w:r w:rsidRPr="002C287E">
        <w:rPr>
          <w:rFonts w:ascii="Arial" w:hAnsi="Arial" w:cs="Arial"/>
        </w:rPr>
        <w:t xml:space="preserve">Such a gap has major implications for the hotel and the environment at large. Solid waste, especially food waste, is known to bring about 8% of total greenhouse gas emissions globally (Management Association, 2018). Methane, a greenhouse gas as well, is emitted </w:t>
      </w:r>
      <w:r w:rsidRPr="002C287E">
        <w:rPr>
          <w:rFonts w:ascii="Arial" w:hAnsi="Arial" w:cs="Arial"/>
        </w:rPr>
        <w:lastRenderedPageBreak/>
        <w:t xml:space="preserve">when the food is wasted and ends up in the landfill. For Hilton, not doing something about this is disastrous to its sustainability strategy, as it will lose customers who cannot accept </w:t>
      </w:r>
      <w:proofErr w:type="spellStart"/>
      <w:r w:rsidRPr="002C287E">
        <w:rPr>
          <w:rFonts w:ascii="Arial" w:hAnsi="Arial" w:cs="Arial"/>
        </w:rPr>
        <w:t>organisations</w:t>
      </w:r>
      <w:proofErr w:type="spellEnd"/>
      <w:r w:rsidRPr="002C287E">
        <w:rPr>
          <w:rFonts w:ascii="Arial" w:hAnsi="Arial" w:cs="Arial"/>
        </w:rPr>
        <w:t xml:space="preserve"> that do not have environmental sustainability in them. Furthermore, food wastage is expensive to Hilton since the firm has to bear the cost of the resources it uses to provide for the wasted food products. In order to fill this gap, Hilton needs to implement a complex data-</w:t>
      </w:r>
      <w:proofErr w:type="spellStart"/>
      <w:r w:rsidRPr="002C287E">
        <w:rPr>
          <w:rFonts w:ascii="Arial" w:hAnsi="Arial" w:cs="Arial"/>
        </w:rPr>
        <w:t>analysed</w:t>
      </w:r>
      <w:proofErr w:type="spellEnd"/>
      <w:r w:rsidRPr="002C287E">
        <w:rPr>
          <w:rFonts w:ascii="Arial" w:hAnsi="Arial" w:cs="Arial"/>
        </w:rPr>
        <w:t xml:space="preserve"> food waste management system, which involves the tracking of the production of food as well as its disposal in real time. Such systems have cut the food wastage level to half, benefiting big hotels such as Accor and IHG (</w:t>
      </w:r>
      <w:proofErr w:type="spellStart"/>
      <w:r w:rsidRPr="002C287E">
        <w:rPr>
          <w:rFonts w:ascii="Arial" w:hAnsi="Arial" w:cs="Arial"/>
        </w:rPr>
        <w:t>Korstanje</w:t>
      </w:r>
      <w:proofErr w:type="spellEnd"/>
      <w:r w:rsidRPr="002C287E">
        <w:rPr>
          <w:rFonts w:ascii="Arial" w:hAnsi="Arial" w:cs="Arial"/>
        </w:rPr>
        <w:t xml:space="preserve"> et al., 2020). Introducing the appropriate technology, including the monitoring of the wastes through the application of AI, would help Hilton in the identification of the patterns, </w:t>
      </w:r>
      <w:proofErr w:type="spellStart"/>
      <w:r w:rsidRPr="002C287E">
        <w:rPr>
          <w:rFonts w:ascii="Arial" w:hAnsi="Arial" w:cs="Arial"/>
        </w:rPr>
        <w:t>minimisation</w:t>
      </w:r>
      <w:proofErr w:type="spellEnd"/>
      <w:r w:rsidRPr="002C287E">
        <w:rPr>
          <w:rFonts w:ascii="Arial" w:hAnsi="Arial" w:cs="Arial"/>
        </w:rPr>
        <w:t xml:space="preserve"> of wastes, and inventory control. Filling this gap would ensure that Hilton achieves its global goals of sustainability as well as enhance internal productivity, hence solidifying its brand image. The only concern that cannot seem to get a suitable solution at Hilton Hotels in regard to sustainability is the food waste management system. </w:t>
      </w:r>
      <w:proofErr w:type="spellStart"/>
      <w:r w:rsidRPr="002C287E">
        <w:rPr>
          <w:rFonts w:ascii="Arial" w:hAnsi="Arial" w:cs="Arial"/>
        </w:rPr>
        <w:t>Organisation</w:t>
      </w:r>
      <w:proofErr w:type="spellEnd"/>
      <w:r w:rsidRPr="002C287E">
        <w:rPr>
          <w:rFonts w:ascii="Arial" w:hAnsi="Arial" w:cs="Arial"/>
        </w:rPr>
        <w:t xml:space="preserve"> of the hotel food waste </w:t>
      </w:r>
      <w:proofErr w:type="gramStart"/>
      <w:r w:rsidRPr="002C287E">
        <w:rPr>
          <w:rFonts w:ascii="Arial" w:hAnsi="Arial" w:cs="Arial"/>
        </w:rPr>
        <w:t>The</w:t>
      </w:r>
      <w:proofErr w:type="gramEnd"/>
      <w:r w:rsidRPr="002C287E">
        <w:rPr>
          <w:rFonts w:ascii="Arial" w:hAnsi="Arial" w:cs="Arial"/>
        </w:rPr>
        <w:t xml:space="preserve"> use of technology in this system will entail the use of indicators in measuring and managing food waste within the hotel starting from the food store, through preparation, serving, and even the disposal of the same.  The implemented technology of food waste reduction is based on sensors and machine learning as well as data analysis algorithms that allow monitoring of food usage. It means that it could </w:t>
      </w:r>
      <w:proofErr w:type="spellStart"/>
      <w:r w:rsidRPr="002C287E">
        <w:rPr>
          <w:rFonts w:ascii="Arial" w:hAnsi="Arial" w:cs="Arial"/>
        </w:rPr>
        <w:t>recognise</w:t>
      </w:r>
      <w:proofErr w:type="spellEnd"/>
      <w:r w:rsidRPr="002C287E">
        <w:rPr>
          <w:rFonts w:ascii="Arial" w:hAnsi="Arial" w:cs="Arial"/>
        </w:rPr>
        <w:t xml:space="preserve"> eating habits, possible tendencies on the food waste, and give some advice on demand increase and necessity to increase inventory stock. This system involves three key components: a smart inventory system, food waste tracking tools, and advanced analytics dashboards. For example, auto-generation of scales mounted in kitchens may weigh and sort food waste according to the category, whether it’s leftovers, spoilt goods, etc., which offers insights around where improvements may be required.</w:t>
      </w:r>
    </w:p>
    <w:p w14:paraId="3A17DD7D" w14:textId="77777777" w:rsidR="00FB1A0A" w:rsidRPr="002C287E" w:rsidRDefault="00FB1A0A" w:rsidP="002C287E">
      <w:pPr>
        <w:rPr>
          <w:rFonts w:ascii="Arial" w:hAnsi="Arial" w:cs="Arial"/>
        </w:rPr>
      </w:pPr>
      <w:r w:rsidRPr="002C287E">
        <w:rPr>
          <w:rFonts w:ascii="Arial" w:hAnsi="Arial" w:cs="Arial"/>
        </w:rPr>
        <w:t xml:space="preserve">This approach also involves the use of training for employees with a view of making the change easy and encouraging the right kind of </w:t>
      </w:r>
      <w:proofErr w:type="spellStart"/>
      <w:r w:rsidRPr="002C287E">
        <w:rPr>
          <w:rFonts w:ascii="Arial" w:hAnsi="Arial" w:cs="Arial"/>
        </w:rPr>
        <w:t>behaviour</w:t>
      </w:r>
      <w:proofErr w:type="spellEnd"/>
      <w:r w:rsidRPr="002C287E">
        <w:rPr>
          <w:rFonts w:ascii="Arial" w:hAnsi="Arial" w:cs="Arial"/>
        </w:rPr>
        <w:t xml:space="preserve">. Human capital would be enlightened to key into the proper process of entering data, using their analytical skills to understand analysis, and apply recommendations regarding waste </w:t>
      </w:r>
      <w:proofErr w:type="spellStart"/>
      <w:r w:rsidRPr="002C287E">
        <w:rPr>
          <w:rFonts w:ascii="Arial" w:hAnsi="Arial" w:cs="Arial"/>
        </w:rPr>
        <w:t>minimisation</w:t>
      </w:r>
      <w:proofErr w:type="spellEnd"/>
      <w:r w:rsidRPr="002C287E">
        <w:rPr>
          <w:rFonts w:ascii="Arial" w:hAnsi="Arial" w:cs="Arial"/>
        </w:rPr>
        <w:t xml:space="preserve">. To further augment the appeal of the system, it can also complement strategies including the </w:t>
      </w:r>
      <w:r w:rsidRPr="002C287E">
        <w:rPr>
          <w:rFonts w:ascii="Arial" w:hAnsi="Arial" w:cs="Arial"/>
        </w:rPr>
        <w:lastRenderedPageBreak/>
        <w:t>limited provisioning of portions, service where customers construct their meals, or apps that let guests choose their respective meals in advance.</w:t>
      </w:r>
    </w:p>
    <w:p w14:paraId="4098D6C2" w14:textId="77777777" w:rsidR="003E4EC1" w:rsidRPr="002C287E" w:rsidRDefault="00FB1A0A" w:rsidP="002C287E">
      <w:pPr>
        <w:rPr>
          <w:rFonts w:ascii="Arial" w:hAnsi="Arial" w:cs="Arial"/>
        </w:rPr>
      </w:pPr>
      <w:r w:rsidRPr="002C287E">
        <w:rPr>
          <w:rFonts w:ascii="Arial" w:hAnsi="Arial" w:cs="Arial"/>
        </w:rPr>
        <w:t>This initiative is based on successful implementations by competently functioning hotels and restaurant chains. For example, Accor Hotels implemented the Winnow AI-based food waste solution to decrease food waste by 30% over the six months within the first countries (</w:t>
      </w:r>
      <w:proofErr w:type="spellStart"/>
      <w:r w:rsidRPr="002C287E">
        <w:rPr>
          <w:rFonts w:ascii="Arial" w:hAnsi="Arial" w:cs="Arial"/>
        </w:rPr>
        <w:t>Korstanje</w:t>
      </w:r>
      <w:proofErr w:type="spellEnd"/>
      <w:r w:rsidRPr="002C287E">
        <w:rPr>
          <w:rFonts w:ascii="Arial" w:hAnsi="Arial" w:cs="Arial"/>
        </w:rPr>
        <w:t xml:space="preserve"> et al., 2020). Likewise, InterContinental Hotels Group (IHG) has carried out the waste audit and tracking system, and as a result, 50% of food waste has been early reduced over various properties. IKEA: In the restaurant business, AI tools helped to save more than $1.2 million per year globally by </w:t>
      </w:r>
      <w:proofErr w:type="spellStart"/>
      <w:r w:rsidRPr="002C287E">
        <w:rPr>
          <w:rFonts w:ascii="Arial" w:hAnsi="Arial" w:cs="Arial"/>
        </w:rPr>
        <w:t>minimising</w:t>
      </w:r>
      <w:proofErr w:type="spellEnd"/>
      <w:r w:rsidRPr="002C287E">
        <w:rPr>
          <w:rFonts w:ascii="Arial" w:hAnsi="Arial" w:cs="Arial"/>
        </w:rPr>
        <w:t xml:space="preserve"> food waste (Management Association, 2018). The initiative fits into the company’s “Travel with Purpose” strategy as Hilton wants to cut its food waste in half by 2030 (Hilton, 2023). In its approach, the initiative supports the solutions of overall sustainability goals, including mitigating climate change, saving resources, and aligning with worldwide strategies, including most recently the UN SDGs. Namely, it to some extent relates to the targets of SDG 12 (Responsible Consumption and Production) and SDG 13 (Climate Action), further strengthening Hilton’s status as a sustainable hotelier (WTO, 2022). While it is clear that the implementation of an AI-based food waste management solution requires a good lump sum, the benefits over the longer term outweigh the costs. For instance, the cost of the Winnow system that is implemented by Accor is $10,000 per installation and has the potential to save up to $40,000 per year on buying food (Management Association, 2018). For Hilton, due to its larger operation, such a system could annually be able to </w:t>
      </w:r>
      <w:proofErr w:type="spellStart"/>
      <w:r w:rsidRPr="002C287E">
        <w:rPr>
          <w:rFonts w:ascii="Arial" w:hAnsi="Arial" w:cs="Arial"/>
        </w:rPr>
        <w:t>effect</w:t>
      </w:r>
      <w:proofErr w:type="spellEnd"/>
      <w:r w:rsidRPr="002C287E">
        <w:rPr>
          <w:rFonts w:ascii="Arial" w:hAnsi="Arial" w:cs="Arial"/>
        </w:rPr>
        <w:t xml:space="preserve"> millions of savings through reduced food purchase and disposal costs. Note that the integration of the AI tools is realistic because the systems under consideration are already in practice, and the application of such systems is characteristically scalable. Still, by virtue of the number of properties it has, together with the financial capital and human capital at its disposal, Hilton is in an ideal position to invest in these systems and roll them out firmly. The present global nature of the company also spurs the chance to pilot the system in certain markets before going international. </w:t>
      </w:r>
    </w:p>
    <w:p w14:paraId="42739BDB" w14:textId="77777777" w:rsidR="00FB1A0A" w:rsidRPr="002C287E" w:rsidRDefault="00FB1A0A" w:rsidP="002C287E">
      <w:pPr>
        <w:rPr>
          <w:rFonts w:ascii="Arial" w:hAnsi="Arial" w:cs="Arial"/>
        </w:rPr>
      </w:pPr>
      <w:r w:rsidRPr="002C287E">
        <w:rPr>
          <w:rFonts w:ascii="Arial" w:hAnsi="Arial" w:cs="Arial"/>
        </w:rPr>
        <w:t xml:space="preserve">It is very important to train the employees and make them cooperate for the success of the specific initiative. Past literature also suggests that engagement of staff is vital to </w:t>
      </w:r>
      <w:proofErr w:type="spellStart"/>
      <w:r w:rsidRPr="002C287E">
        <w:rPr>
          <w:rFonts w:ascii="Arial" w:hAnsi="Arial" w:cs="Arial"/>
        </w:rPr>
        <w:lastRenderedPageBreak/>
        <w:t>organisational</w:t>
      </w:r>
      <w:proofErr w:type="spellEnd"/>
      <w:r w:rsidRPr="002C287E">
        <w:rPr>
          <w:rFonts w:ascii="Arial" w:hAnsi="Arial" w:cs="Arial"/>
        </w:rPr>
        <w:t xml:space="preserve"> sustainability initiatives (Wickham et al., 2021). The plans that exist in Hilton for training its personnel can adopt them to incorporate the aspects of food waste management with sustainability culture. The application of an AI-based food waste management system has serious consequences. Personally, it </w:t>
      </w:r>
      <w:proofErr w:type="spellStart"/>
      <w:r w:rsidRPr="002C287E">
        <w:rPr>
          <w:rFonts w:ascii="Arial" w:hAnsi="Arial" w:cs="Arial"/>
        </w:rPr>
        <w:t>minimises</w:t>
      </w:r>
      <w:proofErr w:type="spellEnd"/>
      <w:r w:rsidRPr="002C287E">
        <w:rPr>
          <w:rFonts w:ascii="Arial" w:hAnsi="Arial" w:cs="Arial"/>
        </w:rPr>
        <w:t xml:space="preserve"> the amount of material that is disposed of in the environment, thus reducing gas, such as methane, emissions while at the same time conserving on factors such as water and energy. Financially, it reduces expenditure since Hilton can save the extra costs and then channel the money to other improvement plans or other sustainable projects. </w:t>
      </w:r>
    </w:p>
    <w:p w14:paraId="682EF00E" w14:textId="77777777" w:rsidR="00FB1A0A" w:rsidRPr="002C287E" w:rsidRDefault="00FB1A0A" w:rsidP="002C287E">
      <w:pPr>
        <w:rPr>
          <w:rFonts w:ascii="Arial" w:hAnsi="Arial" w:cs="Arial"/>
        </w:rPr>
      </w:pPr>
      <w:r w:rsidRPr="002C287E">
        <w:rPr>
          <w:rFonts w:ascii="Arial" w:hAnsi="Arial" w:cs="Arial"/>
        </w:rPr>
        <w:t xml:space="preserve">Functionally, the </w:t>
      </w:r>
      <w:proofErr w:type="spellStart"/>
      <w:r w:rsidRPr="002C287E">
        <w:rPr>
          <w:rFonts w:ascii="Arial" w:hAnsi="Arial" w:cs="Arial"/>
        </w:rPr>
        <w:t>lesti</w:t>
      </w:r>
      <w:proofErr w:type="spellEnd"/>
      <w:r w:rsidRPr="002C287E">
        <w:rPr>
          <w:rFonts w:ascii="Arial" w:hAnsi="Arial" w:cs="Arial"/>
        </w:rPr>
        <w:t xml:space="preserve"> reduce food costs to feed the animals and the cost of disposing of unwanted foods in most operations. Waste causes additional costs to hotels since wasted foods are bought, cooked, and then thrown away uneaten. AI systems like the one we discussed earlier, Winnow, can ensure that the overall cost of food purchasing may be cut down to 30% as wastage is properly addressed by such tools and overproduction is eliminated (Sloan et al., 2017). Savings generated from even such relatively insignificant details could run to millions annually for a hotel chain like Hilton, releasing funds for other sustainability projects or operational enhancements. In the simplest terms, the initiative is aimed at cutting down on Hilton’s impact on the environment by managing food waste disposal and disposal and recycling of kitchen waste. Discarded food items especially release methane, which is a greenhouse gas that is 25 times more potent than the CO2 in its contribution to climate change (Management Association, 2018). Waste reduction at source therefore offers Hilton a perfect opportunity to reduce its emissions of greenhouse gases and at the same time </w:t>
      </w:r>
      <w:proofErr w:type="spellStart"/>
      <w:r w:rsidRPr="002C287E">
        <w:rPr>
          <w:rFonts w:ascii="Arial" w:hAnsi="Arial" w:cs="Arial"/>
        </w:rPr>
        <w:t>minimise</w:t>
      </w:r>
      <w:proofErr w:type="spellEnd"/>
      <w:r w:rsidRPr="002C287E">
        <w:rPr>
          <w:rFonts w:ascii="Arial" w:hAnsi="Arial" w:cs="Arial"/>
        </w:rPr>
        <w:t xml:space="preserve"> the usage of water energy and land used in the production of food. The initiative is also a public relations coup for enhancing business credibility, brand image, customer loyalty, and a host of other related </w:t>
      </w:r>
      <w:proofErr w:type="spellStart"/>
      <w:r w:rsidRPr="002C287E">
        <w:rPr>
          <w:rFonts w:ascii="Arial" w:hAnsi="Arial" w:cs="Arial"/>
        </w:rPr>
        <w:t>organisational</w:t>
      </w:r>
      <w:proofErr w:type="spellEnd"/>
      <w:r w:rsidRPr="002C287E">
        <w:rPr>
          <w:rFonts w:ascii="Arial" w:hAnsi="Arial" w:cs="Arial"/>
        </w:rPr>
        <w:t xml:space="preserve"> benefits in the long run, including cost-saving. Thus, reducing costs, Hilton strengthens its positions on the market and becomes more profitable, as well as provides itself with certain opportunities to invest in other environmentally friendly projects. From a brand point of view, the implementation of managerial and technological pro-ecological initiatives expands the position of Hilton as an environmentally friendly hotelier. The survey of 26,000 </w:t>
      </w:r>
      <w:proofErr w:type="spellStart"/>
      <w:r w:rsidRPr="002C287E">
        <w:rPr>
          <w:rFonts w:ascii="Arial" w:hAnsi="Arial" w:cs="Arial"/>
        </w:rPr>
        <w:t>travellers</w:t>
      </w:r>
      <w:proofErr w:type="spellEnd"/>
      <w:r w:rsidRPr="002C287E">
        <w:rPr>
          <w:rFonts w:ascii="Arial" w:hAnsi="Arial" w:cs="Arial"/>
        </w:rPr>
        <w:t xml:space="preserve"> conducted across the world revealed that 73% of the </w:t>
      </w:r>
      <w:r w:rsidRPr="002C287E">
        <w:rPr>
          <w:rFonts w:ascii="Arial" w:hAnsi="Arial" w:cs="Arial"/>
        </w:rPr>
        <w:lastRenderedPageBreak/>
        <w:t xml:space="preserve">respondents wanted accommodations that were sustainable; hence, there is a business case in sustainability (World Trade </w:t>
      </w:r>
      <w:proofErr w:type="spellStart"/>
      <w:r w:rsidRPr="002C287E">
        <w:rPr>
          <w:rFonts w:ascii="Arial" w:hAnsi="Arial" w:cs="Arial"/>
        </w:rPr>
        <w:t>Organisation</w:t>
      </w:r>
      <w:proofErr w:type="spellEnd"/>
      <w:r w:rsidRPr="002C287E">
        <w:rPr>
          <w:rFonts w:ascii="Arial" w:hAnsi="Arial" w:cs="Arial"/>
        </w:rPr>
        <w:t>, 2022).</w:t>
      </w:r>
    </w:p>
    <w:p w14:paraId="6BBC3E92" w14:textId="77777777" w:rsidR="00FB1A0A" w:rsidRPr="002C287E" w:rsidRDefault="00FB1A0A" w:rsidP="002C287E">
      <w:pPr>
        <w:rPr>
          <w:rFonts w:ascii="Arial" w:hAnsi="Arial" w:cs="Arial"/>
        </w:rPr>
      </w:pPr>
      <w:r w:rsidRPr="002C287E">
        <w:rPr>
          <w:rFonts w:ascii="Arial" w:hAnsi="Arial" w:cs="Arial"/>
        </w:rPr>
        <w:t xml:space="preserve">The following are the challenges that may be faced while deploying an AI continual food waste management system at Hilton Hotel: The major drawback is that capital is intensive and is required to purchase new technology or to put in place technology that perhaps was not existing before. For instance, vendors with AI systems like the Winnow or </w:t>
      </w:r>
      <w:proofErr w:type="spellStart"/>
      <w:r w:rsidRPr="002C287E">
        <w:rPr>
          <w:rFonts w:ascii="Arial" w:hAnsi="Arial" w:cs="Arial"/>
        </w:rPr>
        <w:t>Leanpath</w:t>
      </w:r>
      <w:proofErr w:type="spellEnd"/>
      <w:r w:rsidRPr="002C287E">
        <w:rPr>
          <w:rFonts w:ascii="Arial" w:hAnsi="Arial" w:cs="Arial"/>
        </w:rPr>
        <w:t xml:space="preserve"> are said to charge up to $10,000 per system, which is costly, especially when planning to implement the systems across many of Hilton’s properties located in the different parts of the world (Management Association, 2018). Moreover, current operating costs, including monthly software subscriptions and product maintenance, may also put severe pressure on the operating budgets of those growing regions where previously observed profit margins are much smaller.</w:t>
      </w:r>
    </w:p>
    <w:p w14:paraId="2FB9600D" w14:textId="77777777" w:rsidR="00FB1A0A" w:rsidRPr="002C287E" w:rsidRDefault="00FB1A0A" w:rsidP="002C287E">
      <w:pPr>
        <w:rPr>
          <w:rFonts w:ascii="Arial" w:hAnsi="Arial" w:cs="Arial"/>
        </w:rPr>
      </w:pPr>
      <w:r w:rsidRPr="002C287E">
        <w:rPr>
          <w:rFonts w:ascii="Arial" w:hAnsi="Arial" w:cs="Arial"/>
        </w:rPr>
        <w:br w:type="page"/>
      </w:r>
      <w:r w:rsidRPr="002C287E">
        <w:rPr>
          <w:rFonts w:ascii="Arial" w:hAnsi="Arial" w:cs="Arial"/>
        </w:rPr>
        <w:lastRenderedPageBreak/>
        <w:t xml:space="preserve">Therefore, embracing an AI-powered food waste management system, we propose strategy as a capability play for Hilton Hotels to </w:t>
      </w:r>
      <w:proofErr w:type="spellStart"/>
      <w:r w:rsidRPr="002C287E">
        <w:rPr>
          <w:rFonts w:ascii="Arial" w:hAnsi="Arial" w:cs="Arial"/>
        </w:rPr>
        <w:t>utilise</w:t>
      </w:r>
      <w:proofErr w:type="spellEnd"/>
      <w:r w:rsidRPr="002C287E">
        <w:rPr>
          <w:rFonts w:ascii="Arial" w:hAnsi="Arial" w:cs="Arial"/>
        </w:rPr>
        <w:t xml:space="preserve"> to fill the gap we identified in their sustainability strategy. From this perspective, the company can also gain benefits both for the environment, as the reduction of the emission of greenhouse effect gases, and for operation expenses, as waste management costs. Moreover, the initiative supports Hilton’s ambition of travel with purpose and achievement of its international exposure standards and the UN </w:t>
      </w:r>
      <w:proofErr w:type="spellStart"/>
      <w:r w:rsidRPr="002C287E">
        <w:rPr>
          <w:rFonts w:ascii="Arial" w:hAnsi="Arial" w:cs="Arial"/>
        </w:rPr>
        <w:t>SDGs.Despite</w:t>
      </w:r>
      <w:proofErr w:type="spellEnd"/>
      <w:r w:rsidRPr="002C287E">
        <w:rPr>
          <w:rFonts w:ascii="Arial" w:hAnsi="Arial" w:cs="Arial"/>
        </w:rPr>
        <w:t xml:space="preserve"> these barriers mentioned, they can be easily avoided with the help of gradual implementation of the strategies, cooperation with providers, and development of special training sessions for employees. These advantages, however, reflect many long-term benefits, such as cost savings, better brand image, and increased customer </w:t>
      </w:r>
      <w:r w:rsidR="003E4EC1" w:rsidRPr="002C287E">
        <w:rPr>
          <w:rFonts w:ascii="Arial" w:hAnsi="Arial" w:cs="Arial"/>
        </w:rPr>
        <w:t>loyalty that</w:t>
      </w:r>
      <w:r w:rsidRPr="002C287E">
        <w:rPr>
          <w:rFonts w:ascii="Arial" w:hAnsi="Arial" w:cs="Arial"/>
        </w:rPr>
        <w:t xml:space="preserve"> outweigh the challenges of short-term nature. Finally, this initiative places Hilton in a strategic business model of Corporate Social Responsibility and the Environmentally Sustainable Hospitality Industry. That is why it is essential for Hilton to solve so many issues related to operations and, at the same time, stay competitive in the increasingly sustainable environment. This approach will further strengthen Hilton’s brand position that it is an </w:t>
      </w:r>
      <w:proofErr w:type="spellStart"/>
      <w:r w:rsidRPr="002C287E">
        <w:rPr>
          <w:rFonts w:ascii="Arial" w:hAnsi="Arial" w:cs="Arial"/>
        </w:rPr>
        <w:t>organisation</w:t>
      </w:r>
      <w:proofErr w:type="spellEnd"/>
      <w:r w:rsidRPr="002C287E">
        <w:rPr>
          <w:rFonts w:ascii="Arial" w:hAnsi="Arial" w:cs="Arial"/>
        </w:rPr>
        <w:t xml:space="preserve"> in the front line, initially in the fight to champion sustainable tourism practices globally.</w:t>
      </w:r>
    </w:p>
    <w:p w14:paraId="75A693AF" w14:textId="77777777" w:rsidR="003E4EC1" w:rsidRPr="002C287E" w:rsidRDefault="003E4EC1" w:rsidP="002C287E">
      <w:pPr>
        <w:rPr>
          <w:rFonts w:ascii="Arial" w:hAnsi="Arial" w:cs="Arial"/>
        </w:rPr>
      </w:pPr>
      <w:r w:rsidRPr="002C287E">
        <w:rPr>
          <w:rFonts w:ascii="Arial" w:hAnsi="Arial" w:cs="Arial"/>
        </w:rPr>
        <w:br w:type="page"/>
      </w:r>
    </w:p>
    <w:p w14:paraId="127C8CEC" w14:textId="77777777" w:rsidR="003E4EC1" w:rsidRPr="002C287E" w:rsidRDefault="003E4EC1" w:rsidP="009E3BE9">
      <w:pPr>
        <w:jc w:val="left"/>
        <w:rPr>
          <w:rFonts w:ascii="Arial" w:hAnsi="Arial" w:cs="Arial"/>
        </w:rPr>
      </w:pPr>
      <w:r w:rsidRPr="002C287E">
        <w:rPr>
          <w:rFonts w:ascii="Arial" w:hAnsi="Arial" w:cs="Arial"/>
        </w:rPr>
        <w:lastRenderedPageBreak/>
        <w:t>Accor (2020). Reducing Food Waste with Winnow. Available at: https://group.accor.com (Accessed: 25 January 2025).</w:t>
      </w:r>
    </w:p>
    <w:p w14:paraId="4F370663" w14:textId="77777777" w:rsidR="003E4EC1" w:rsidRPr="002C287E" w:rsidRDefault="003E4EC1" w:rsidP="009E3BE9">
      <w:pPr>
        <w:jc w:val="left"/>
        <w:rPr>
          <w:rFonts w:ascii="Arial" w:hAnsi="Arial" w:cs="Arial"/>
        </w:rPr>
      </w:pPr>
      <w:proofErr w:type="spellStart"/>
      <w:r w:rsidRPr="002C287E">
        <w:rPr>
          <w:rFonts w:ascii="Arial" w:hAnsi="Arial" w:cs="Arial"/>
        </w:rPr>
        <w:t>Batabyal</w:t>
      </w:r>
      <w:proofErr w:type="spellEnd"/>
      <w:r w:rsidRPr="002C287E">
        <w:rPr>
          <w:rFonts w:ascii="Arial" w:hAnsi="Arial" w:cs="Arial"/>
        </w:rPr>
        <w:t>, A. A. (2018). Managing Sustainable Tourism Resources. IGI Global. Available at: https://www.igi-global.com/book/managing-sustainable-tourism-resources/183587 (Accessed: 25 January 2025).</w:t>
      </w:r>
    </w:p>
    <w:p w14:paraId="0CFCD6D7" w14:textId="77777777" w:rsidR="003E4EC1" w:rsidRPr="002C287E" w:rsidRDefault="003E4EC1" w:rsidP="009E3BE9">
      <w:pPr>
        <w:jc w:val="left"/>
        <w:rPr>
          <w:rFonts w:ascii="Arial" w:hAnsi="Arial" w:cs="Arial"/>
        </w:rPr>
      </w:pPr>
      <w:proofErr w:type="spellStart"/>
      <w:r w:rsidRPr="002C287E">
        <w:rPr>
          <w:rFonts w:ascii="Arial" w:hAnsi="Arial" w:cs="Arial"/>
        </w:rPr>
        <w:t>Batabyal</w:t>
      </w:r>
      <w:proofErr w:type="spellEnd"/>
      <w:r w:rsidRPr="002C287E">
        <w:rPr>
          <w:rFonts w:ascii="Arial" w:hAnsi="Arial" w:cs="Arial"/>
        </w:rPr>
        <w:t>, A. A. and Das, S. (2018). Managing Food Waste in the Hospitality Industry: Challenges and Opportunities. IGI Global. Available at: https://www.igi-global.com/chapter/managing-food-waste-hospitality-industry/204073 (Accessed: 25 January 2025).</w:t>
      </w:r>
    </w:p>
    <w:p w14:paraId="5ACAA589" w14:textId="77777777" w:rsidR="003E4EC1" w:rsidRPr="002C287E" w:rsidRDefault="003E4EC1" w:rsidP="009E3BE9">
      <w:pPr>
        <w:jc w:val="left"/>
        <w:rPr>
          <w:rFonts w:ascii="Arial" w:hAnsi="Arial" w:cs="Arial"/>
        </w:rPr>
      </w:pPr>
      <w:r w:rsidRPr="002C287E">
        <w:rPr>
          <w:rFonts w:ascii="Arial" w:hAnsi="Arial" w:cs="Arial"/>
        </w:rPr>
        <w:t>Cooper, C. (2021). Essentials of Tourism. 3rd ed. London: SAGE.</w:t>
      </w:r>
    </w:p>
    <w:p w14:paraId="2B3D51C9" w14:textId="77777777" w:rsidR="003E4EC1" w:rsidRPr="002C287E" w:rsidRDefault="003E4EC1" w:rsidP="009E3BE9">
      <w:pPr>
        <w:jc w:val="left"/>
        <w:rPr>
          <w:rFonts w:ascii="Arial" w:hAnsi="Arial" w:cs="Arial"/>
        </w:rPr>
      </w:pPr>
      <w:r w:rsidRPr="002C287E">
        <w:rPr>
          <w:rFonts w:ascii="Arial" w:hAnsi="Arial" w:cs="Arial"/>
        </w:rPr>
        <w:t>Costa, C. and Costa, C. (2022). Sustainability and Competitiveness in the Hospitality Industry. Business Science Reference.</w:t>
      </w:r>
    </w:p>
    <w:p w14:paraId="6A775DC4" w14:textId="77777777" w:rsidR="003E4EC1" w:rsidRPr="002C287E" w:rsidRDefault="003E4EC1" w:rsidP="009E3BE9">
      <w:pPr>
        <w:jc w:val="left"/>
        <w:rPr>
          <w:rFonts w:ascii="Arial" w:hAnsi="Arial" w:cs="Arial"/>
        </w:rPr>
      </w:pPr>
      <w:r w:rsidRPr="002C287E">
        <w:rPr>
          <w:rFonts w:ascii="Arial" w:hAnsi="Arial" w:cs="Arial"/>
        </w:rPr>
        <w:t>Edgell, D. L. (2020). Managing Sustainable Tourism: A Legacy for the Future. Routledge. Available at: https://www.routledge.com (Accessed: 25 January 2025).</w:t>
      </w:r>
    </w:p>
    <w:p w14:paraId="00550891" w14:textId="77777777" w:rsidR="003E4EC1" w:rsidRPr="002C287E" w:rsidRDefault="003E4EC1" w:rsidP="009E3BE9">
      <w:pPr>
        <w:jc w:val="left"/>
        <w:rPr>
          <w:rFonts w:ascii="Arial" w:hAnsi="Arial" w:cs="Arial"/>
        </w:rPr>
      </w:pPr>
      <w:r w:rsidRPr="002C287E">
        <w:rPr>
          <w:rFonts w:ascii="Arial" w:hAnsi="Arial" w:cs="Arial"/>
        </w:rPr>
        <w:t>EIC Centre for Sustainability and Social Impact (2022). Available at: https://www.eventscouncil.org (Accessed: 25 January 2025).</w:t>
      </w:r>
    </w:p>
    <w:p w14:paraId="5936466A" w14:textId="77777777" w:rsidR="003E4EC1" w:rsidRPr="002C287E" w:rsidRDefault="003E4EC1" w:rsidP="009E3BE9">
      <w:pPr>
        <w:jc w:val="left"/>
        <w:rPr>
          <w:rFonts w:ascii="Arial" w:hAnsi="Arial" w:cs="Arial"/>
        </w:rPr>
      </w:pPr>
      <w:r w:rsidRPr="002C287E">
        <w:rPr>
          <w:rFonts w:ascii="Arial" w:hAnsi="Arial" w:cs="Arial"/>
        </w:rPr>
        <w:t>Green Globe (2022). Available at: https://www.greenglobe.com (Accessed: 25 January 2025).</w:t>
      </w:r>
    </w:p>
    <w:p w14:paraId="12384301" w14:textId="77777777" w:rsidR="003E4EC1" w:rsidRPr="002C287E" w:rsidRDefault="003E4EC1" w:rsidP="009E3BE9">
      <w:pPr>
        <w:jc w:val="left"/>
        <w:rPr>
          <w:rFonts w:ascii="Arial" w:hAnsi="Arial" w:cs="Arial"/>
        </w:rPr>
      </w:pPr>
      <w:proofErr w:type="spellStart"/>
      <w:r w:rsidRPr="002C287E">
        <w:rPr>
          <w:rFonts w:ascii="Arial" w:hAnsi="Arial" w:cs="Arial"/>
        </w:rPr>
        <w:t>Haski</w:t>
      </w:r>
      <w:proofErr w:type="spellEnd"/>
      <w:r w:rsidRPr="002C287E">
        <w:rPr>
          <w:rFonts w:ascii="Arial" w:hAnsi="Arial" w:cs="Arial"/>
        </w:rPr>
        <w:t>-Leventhal, D. (2018). Strategic Corporate Social Responsibility: Tools and Theories for Responsible Management. SAGE. Available at: https://uk.sagepub.com/en-gb/eur/strategic-corporate-social-responsibility/book243536 (Accessed: 25 January 2025).</w:t>
      </w:r>
    </w:p>
    <w:p w14:paraId="136F2DD8" w14:textId="77777777" w:rsidR="003E4EC1" w:rsidRPr="002C287E" w:rsidRDefault="003E4EC1" w:rsidP="009E3BE9">
      <w:pPr>
        <w:jc w:val="left"/>
        <w:rPr>
          <w:rFonts w:ascii="Arial" w:hAnsi="Arial" w:cs="Arial"/>
        </w:rPr>
      </w:pPr>
      <w:r w:rsidRPr="002C287E">
        <w:rPr>
          <w:rFonts w:ascii="Arial" w:hAnsi="Arial" w:cs="Arial"/>
        </w:rPr>
        <w:t>Hilton. (2023). Travel with Purpose. Available at: https://www.hilton.com (Accessed: 25 January 2025).</w:t>
      </w:r>
    </w:p>
    <w:p w14:paraId="2B3E7EF4" w14:textId="77777777" w:rsidR="003E4EC1" w:rsidRPr="002C287E" w:rsidRDefault="003E4EC1" w:rsidP="009E3BE9">
      <w:pPr>
        <w:jc w:val="left"/>
        <w:rPr>
          <w:rFonts w:ascii="Arial" w:hAnsi="Arial" w:cs="Arial"/>
        </w:rPr>
      </w:pPr>
      <w:proofErr w:type="spellStart"/>
      <w:r w:rsidRPr="002C287E">
        <w:rPr>
          <w:rFonts w:ascii="Arial" w:hAnsi="Arial" w:cs="Arial"/>
        </w:rPr>
        <w:t>Inkson</w:t>
      </w:r>
      <w:proofErr w:type="spellEnd"/>
      <w:r w:rsidRPr="002C287E">
        <w:rPr>
          <w:rFonts w:ascii="Arial" w:hAnsi="Arial" w:cs="Arial"/>
        </w:rPr>
        <w:t>, C. and Minnaert, L. (2018). Tourism Management: An Introduction. 2nd ed. London: SAGE.</w:t>
      </w:r>
    </w:p>
    <w:p w14:paraId="1799150F" w14:textId="77777777" w:rsidR="003E4EC1" w:rsidRPr="002C287E" w:rsidRDefault="003E4EC1" w:rsidP="009E3BE9">
      <w:pPr>
        <w:jc w:val="left"/>
        <w:rPr>
          <w:rFonts w:ascii="Arial" w:hAnsi="Arial" w:cs="Arial"/>
        </w:rPr>
      </w:pPr>
      <w:r w:rsidRPr="002C287E">
        <w:rPr>
          <w:rFonts w:ascii="Arial" w:hAnsi="Arial" w:cs="Arial"/>
        </w:rPr>
        <w:lastRenderedPageBreak/>
        <w:t>InterContinental Hotels Group (IHG) (2021). Sustainability Report. Available at: https://www.ihgplc.com (Accessed: 25 January 2025).</w:t>
      </w:r>
    </w:p>
    <w:p w14:paraId="66C99FB0" w14:textId="77777777" w:rsidR="003E4EC1" w:rsidRPr="002C287E" w:rsidRDefault="003E4EC1" w:rsidP="009E3BE9">
      <w:pPr>
        <w:jc w:val="left"/>
        <w:rPr>
          <w:rFonts w:ascii="Arial" w:hAnsi="Arial" w:cs="Arial"/>
        </w:rPr>
      </w:pPr>
      <w:r w:rsidRPr="002C287E">
        <w:rPr>
          <w:rFonts w:ascii="Arial" w:hAnsi="Arial" w:cs="Arial"/>
        </w:rPr>
        <w:t xml:space="preserve">Jauhari, V. (2021). Managing Sustainability in the Hospitality and Tourism Industry: Paradigms and Directions for the Future. 9th </w:t>
      </w:r>
      <w:proofErr w:type="spellStart"/>
      <w:r w:rsidRPr="002C287E">
        <w:rPr>
          <w:rFonts w:ascii="Arial" w:hAnsi="Arial" w:cs="Arial"/>
        </w:rPr>
        <w:t>edn</w:t>
      </w:r>
      <w:proofErr w:type="spellEnd"/>
      <w:r w:rsidRPr="002C287E">
        <w:rPr>
          <w:rFonts w:ascii="Arial" w:hAnsi="Arial" w:cs="Arial"/>
        </w:rPr>
        <w:t>. Oakville: Apple Academic Press.</w:t>
      </w:r>
    </w:p>
    <w:p w14:paraId="60000877" w14:textId="77777777" w:rsidR="003E4EC1" w:rsidRPr="002C287E" w:rsidRDefault="003E4EC1" w:rsidP="009E3BE9">
      <w:pPr>
        <w:jc w:val="left"/>
        <w:rPr>
          <w:rFonts w:ascii="Arial" w:hAnsi="Arial" w:cs="Arial"/>
        </w:rPr>
      </w:pPr>
      <w:proofErr w:type="spellStart"/>
      <w:r w:rsidRPr="002C287E">
        <w:rPr>
          <w:rFonts w:ascii="Arial" w:hAnsi="Arial" w:cs="Arial"/>
        </w:rPr>
        <w:t>Korstanje</w:t>
      </w:r>
      <w:proofErr w:type="spellEnd"/>
      <w:r w:rsidRPr="002C287E">
        <w:rPr>
          <w:rFonts w:ascii="Arial" w:hAnsi="Arial" w:cs="Arial"/>
        </w:rPr>
        <w:t>, M., George, B., and Nedelea, A. (2020). Strategies for Promoting Sustainable Hospitality and Tourism Services. IGI Global. Available at: https://www.igi-global.com/book/strategies-promoting-sustainable-hospitality-tourism/217346 (Accessed: 25 January 2025).</w:t>
      </w:r>
    </w:p>
    <w:p w14:paraId="7C519BC9" w14:textId="77777777" w:rsidR="003E4EC1" w:rsidRPr="002C287E" w:rsidRDefault="003E4EC1" w:rsidP="009E3BE9">
      <w:pPr>
        <w:jc w:val="left"/>
        <w:rPr>
          <w:rFonts w:ascii="Arial" w:hAnsi="Arial" w:cs="Arial"/>
        </w:rPr>
      </w:pPr>
      <w:r w:rsidRPr="002C287E">
        <w:rPr>
          <w:rFonts w:ascii="Arial" w:hAnsi="Arial" w:cs="Arial"/>
        </w:rPr>
        <w:t>Management Association (2018). Sustainable Tourism. IGI Global. Available at: https://www.igi-global.com/book/sustainable-tourism/198558 (Accessed: 25 January 2025).</w:t>
      </w:r>
    </w:p>
    <w:p w14:paraId="61D27710" w14:textId="77777777" w:rsidR="003E4EC1" w:rsidRPr="002C287E" w:rsidRDefault="003E4EC1" w:rsidP="009E3BE9">
      <w:pPr>
        <w:jc w:val="left"/>
        <w:rPr>
          <w:rFonts w:ascii="Arial" w:hAnsi="Arial" w:cs="Arial"/>
        </w:rPr>
      </w:pPr>
      <w:r w:rsidRPr="002C287E">
        <w:rPr>
          <w:rFonts w:ascii="Arial" w:hAnsi="Arial" w:cs="Arial"/>
        </w:rPr>
        <w:t>New Governance and Management in Touristic Destinations (2022). IGI Global. Available at: https://www.igi-global.com/book/governance-management-touristic-destinations/255470 (Accessed: 25 January 2025).</w:t>
      </w:r>
    </w:p>
    <w:p w14:paraId="622E8331" w14:textId="77777777" w:rsidR="003E4EC1" w:rsidRPr="002C287E" w:rsidRDefault="003E4EC1" w:rsidP="009E3BE9">
      <w:pPr>
        <w:jc w:val="left"/>
        <w:rPr>
          <w:rFonts w:ascii="Arial" w:hAnsi="Arial" w:cs="Arial"/>
        </w:rPr>
      </w:pPr>
      <w:r w:rsidRPr="002C287E">
        <w:rPr>
          <w:rFonts w:ascii="Arial" w:hAnsi="Arial" w:cs="Arial"/>
        </w:rPr>
        <w:t>Sloan, P., Legrand, W., and Chen, J. S. (2017). Sustainability in the Hospitality Industry: Principles of Sustainable Operations. 3rd ed. London: Butterworth-Heinemann.</w:t>
      </w:r>
    </w:p>
    <w:p w14:paraId="2D6BDB99" w14:textId="77777777" w:rsidR="003E4EC1" w:rsidRPr="002C287E" w:rsidRDefault="003E4EC1" w:rsidP="009E3BE9">
      <w:pPr>
        <w:jc w:val="left"/>
        <w:rPr>
          <w:rFonts w:ascii="Arial" w:hAnsi="Arial" w:cs="Arial"/>
        </w:rPr>
      </w:pPr>
      <w:r w:rsidRPr="002C287E">
        <w:rPr>
          <w:rFonts w:ascii="Arial" w:hAnsi="Arial" w:cs="Arial"/>
        </w:rPr>
        <w:t>Sustainable Tourism: Breakthroughs in Research and Practice (2019). IGI Global. Available at: https://www.igi-global.com/book/sustainable-tourism-breakthroughs-research-practice/220978 (Accessed: 25 January 2025).</w:t>
      </w:r>
    </w:p>
    <w:p w14:paraId="1DD44C88" w14:textId="77777777" w:rsidR="003E4EC1" w:rsidRPr="002C287E" w:rsidRDefault="003E4EC1" w:rsidP="009E3BE9">
      <w:pPr>
        <w:jc w:val="left"/>
        <w:rPr>
          <w:rFonts w:ascii="Arial" w:hAnsi="Arial" w:cs="Arial"/>
        </w:rPr>
      </w:pPr>
      <w:r w:rsidRPr="002C287E">
        <w:rPr>
          <w:rFonts w:ascii="Arial" w:hAnsi="Arial" w:cs="Arial"/>
        </w:rPr>
        <w:t>Wickham, T., Donnelly, T., and French, L. (2021). Strategic Sustainability Management in the Event Sector. Event Management, 25(3), pp. 279–296.</w:t>
      </w:r>
    </w:p>
    <w:p w14:paraId="7488CFF9" w14:textId="77777777" w:rsidR="003E4EC1" w:rsidRPr="002C287E" w:rsidRDefault="003E4EC1" w:rsidP="009E3BE9">
      <w:pPr>
        <w:jc w:val="left"/>
        <w:rPr>
          <w:rFonts w:ascii="Arial" w:hAnsi="Arial" w:cs="Arial"/>
        </w:rPr>
      </w:pPr>
      <w:r w:rsidRPr="002C287E">
        <w:rPr>
          <w:rFonts w:ascii="Arial" w:hAnsi="Arial" w:cs="Arial"/>
        </w:rPr>
        <w:t>World Trade Organization (2022). TOURISM 4 SDGs | UNWTO. Available at: https://www.unwto.org/tourism4sdgs (Accessed: 25 January 2025).</w:t>
      </w:r>
    </w:p>
    <w:p w14:paraId="35478BBB" w14:textId="7955B5D4" w:rsidR="003E4EC1" w:rsidRPr="002C287E" w:rsidRDefault="003E4EC1" w:rsidP="009E3BE9">
      <w:pPr>
        <w:jc w:val="left"/>
        <w:rPr>
          <w:rFonts w:ascii="Arial" w:hAnsi="Arial" w:cs="Arial"/>
        </w:rPr>
      </w:pPr>
    </w:p>
    <w:sectPr w:rsidR="003E4EC1" w:rsidRPr="002C287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C01FD" w14:textId="77777777" w:rsidR="001971D5" w:rsidRDefault="001971D5" w:rsidP="00787AC9">
      <w:pPr>
        <w:spacing w:after="0" w:line="240" w:lineRule="auto"/>
      </w:pPr>
      <w:r>
        <w:separator/>
      </w:r>
    </w:p>
  </w:endnote>
  <w:endnote w:type="continuationSeparator" w:id="0">
    <w:p w14:paraId="75A978B6" w14:textId="77777777" w:rsidR="001971D5" w:rsidRDefault="001971D5" w:rsidP="00787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3C740" w14:textId="77777777" w:rsidR="00787AC9" w:rsidRDefault="00787A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DE0E" w14:textId="77777777" w:rsidR="00787AC9" w:rsidRDefault="00787A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99EA0" w14:textId="77777777" w:rsidR="00787AC9" w:rsidRDefault="00787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2A5D6A" w14:textId="77777777" w:rsidR="001971D5" w:rsidRDefault="001971D5" w:rsidP="00787AC9">
      <w:pPr>
        <w:spacing w:after="0" w:line="240" w:lineRule="auto"/>
      </w:pPr>
      <w:r>
        <w:separator/>
      </w:r>
    </w:p>
  </w:footnote>
  <w:footnote w:type="continuationSeparator" w:id="0">
    <w:p w14:paraId="429236AD" w14:textId="77777777" w:rsidR="001971D5" w:rsidRDefault="001971D5" w:rsidP="00787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10006" w14:textId="77777777" w:rsidR="00787AC9" w:rsidRDefault="00787A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9A23E" w14:textId="77777777" w:rsidR="00787AC9" w:rsidRDefault="00787A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AA496" w14:textId="77777777" w:rsidR="00787AC9" w:rsidRDefault="00787A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A0A"/>
    <w:rsid w:val="0004031F"/>
    <w:rsid w:val="0009394D"/>
    <w:rsid w:val="000B6ED0"/>
    <w:rsid w:val="00171692"/>
    <w:rsid w:val="001947ED"/>
    <w:rsid w:val="001971D5"/>
    <w:rsid w:val="001B5DDC"/>
    <w:rsid w:val="00295288"/>
    <w:rsid w:val="002B3F9C"/>
    <w:rsid w:val="002C287E"/>
    <w:rsid w:val="002F7E13"/>
    <w:rsid w:val="003E4EC1"/>
    <w:rsid w:val="004C2FD6"/>
    <w:rsid w:val="004F5CE2"/>
    <w:rsid w:val="00510029"/>
    <w:rsid w:val="005308E7"/>
    <w:rsid w:val="00671E81"/>
    <w:rsid w:val="00692F69"/>
    <w:rsid w:val="00694A18"/>
    <w:rsid w:val="006B767E"/>
    <w:rsid w:val="006D0EDB"/>
    <w:rsid w:val="007374DF"/>
    <w:rsid w:val="00745FE6"/>
    <w:rsid w:val="00787AC9"/>
    <w:rsid w:val="007A0448"/>
    <w:rsid w:val="007D7F80"/>
    <w:rsid w:val="008F1DAF"/>
    <w:rsid w:val="009276E0"/>
    <w:rsid w:val="009C11C9"/>
    <w:rsid w:val="009E3BE9"/>
    <w:rsid w:val="009F405E"/>
    <w:rsid w:val="00A64D90"/>
    <w:rsid w:val="00AA2E6F"/>
    <w:rsid w:val="00AC0B8A"/>
    <w:rsid w:val="00B3109C"/>
    <w:rsid w:val="00B9116E"/>
    <w:rsid w:val="00BB5E08"/>
    <w:rsid w:val="00BD7254"/>
    <w:rsid w:val="00C2099E"/>
    <w:rsid w:val="00C212EA"/>
    <w:rsid w:val="00C70F20"/>
    <w:rsid w:val="00CC261C"/>
    <w:rsid w:val="00DE478A"/>
    <w:rsid w:val="00F0414D"/>
    <w:rsid w:val="00F46B51"/>
    <w:rsid w:val="00F563A1"/>
    <w:rsid w:val="00F815AE"/>
    <w:rsid w:val="00FB1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221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F5CE2"/>
    <w:pPr>
      <w:keepNext/>
      <w:keepLines/>
      <w:spacing w:before="240" w:after="0"/>
      <w:outlineLvl w:val="0"/>
    </w:pPr>
    <w:rPr>
      <w:rFonts w:eastAsia="MS Gothic"/>
      <w:b/>
      <w:color w:val="2E74B5" w:themeColor="accent1" w:themeShade="BF"/>
      <w:sz w:val="32"/>
    </w:rPr>
  </w:style>
  <w:style w:type="paragraph" w:styleId="Heading2">
    <w:name w:val="heading 2"/>
    <w:basedOn w:val="Normal"/>
    <w:next w:val="Normal"/>
    <w:link w:val="Heading2Char"/>
    <w:autoRedefine/>
    <w:uiPriority w:val="9"/>
    <w:unhideWhenUsed/>
    <w:qFormat/>
    <w:rsid w:val="004F5CE2"/>
    <w:pPr>
      <w:keepNext/>
      <w:keepLines/>
      <w:spacing w:before="40" w:after="0"/>
      <w:outlineLvl w:val="1"/>
    </w:pPr>
    <w:rPr>
      <w:rFonts w:eastAsia="MS Mincho"/>
      <w:b/>
      <w:color w:val="2E74B5" w:themeColor="accent1" w:themeShade="BF"/>
      <w:sz w:val="28"/>
    </w:rPr>
  </w:style>
  <w:style w:type="paragraph" w:styleId="Heading3">
    <w:name w:val="heading 3"/>
    <w:basedOn w:val="Normal"/>
    <w:next w:val="Normal"/>
    <w:link w:val="Heading3Char"/>
    <w:autoRedefine/>
    <w:uiPriority w:val="9"/>
    <w:unhideWhenUsed/>
    <w:qFormat/>
    <w:rsid w:val="00510029"/>
    <w:pPr>
      <w:keepNext/>
      <w:keepLines/>
      <w:spacing w:before="40" w:after="0"/>
      <w:outlineLvl w:val="2"/>
    </w:pPr>
    <w:rPr>
      <w:rFonts w:eastAsiaTheme="majorEastAsia" w:cstheme="majorBidi"/>
      <w:b/>
      <w:color w:val="00B0F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CE2"/>
    <w:rPr>
      <w:rFonts w:eastAsia="MS Gothic"/>
      <w:b/>
      <w:color w:val="2E74B5" w:themeColor="accent1" w:themeShade="BF"/>
      <w:sz w:val="32"/>
    </w:rPr>
  </w:style>
  <w:style w:type="character" w:customStyle="1" w:styleId="Heading2Char">
    <w:name w:val="Heading 2 Char"/>
    <w:basedOn w:val="DefaultParagraphFont"/>
    <w:link w:val="Heading2"/>
    <w:uiPriority w:val="9"/>
    <w:rsid w:val="004F5CE2"/>
    <w:rPr>
      <w:rFonts w:eastAsia="MS Mincho"/>
      <w:b/>
      <w:color w:val="2E74B5" w:themeColor="accent1" w:themeShade="BF"/>
      <w:sz w:val="28"/>
    </w:rPr>
  </w:style>
  <w:style w:type="character" w:customStyle="1" w:styleId="Heading3Char">
    <w:name w:val="Heading 3 Char"/>
    <w:basedOn w:val="DefaultParagraphFont"/>
    <w:link w:val="Heading3"/>
    <w:uiPriority w:val="9"/>
    <w:rsid w:val="00510029"/>
    <w:rPr>
      <w:rFonts w:eastAsiaTheme="majorEastAsia" w:cstheme="majorBidi"/>
      <w:b/>
      <w:color w:val="00B0F0"/>
      <w:szCs w:val="24"/>
    </w:rPr>
  </w:style>
  <w:style w:type="table" w:styleId="TableGrid">
    <w:name w:val="Table Grid"/>
    <w:basedOn w:val="TableNormal"/>
    <w:uiPriority w:val="39"/>
    <w:rsid w:val="003E4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E4EC1"/>
    <w:pPr>
      <w:spacing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3E4EC1"/>
    <w:pPr>
      <w:spacing w:after="100"/>
    </w:pPr>
  </w:style>
  <w:style w:type="character" w:styleId="Hyperlink">
    <w:name w:val="Hyperlink"/>
    <w:basedOn w:val="DefaultParagraphFont"/>
    <w:uiPriority w:val="99"/>
    <w:unhideWhenUsed/>
    <w:rsid w:val="003E4EC1"/>
    <w:rPr>
      <w:color w:val="0563C1" w:themeColor="hyperlink"/>
      <w:u w:val="single"/>
    </w:rPr>
  </w:style>
  <w:style w:type="paragraph" w:styleId="Header">
    <w:name w:val="header"/>
    <w:basedOn w:val="Normal"/>
    <w:link w:val="HeaderChar"/>
    <w:uiPriority w:val="99"/>
    <w:unhideWhenUsed/>
    <w:rsid w:val="00787A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7AC9"/>
  </w:style>
  <w:style w:type="paragraph" w:styleId="Footer">
    <w:name w:val="footer"/>
    <w:basedOn w:val="Normal"/>
    <w:link w:val="FooterChar"/>
    <w:uiPriority w:val="99"/>
    <w:unhideWhenUsed/>
    <w:rsid w:val="00787A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4247399">
      <w:bodyDiv w:val="1"/>
      <w:marLeft w:val="0"/>
      <w:marRight w:val="0"/>
      <w:marTop w:val="0"/>
      <w:marBottom w:val="0"/>
      <w:divBdr>
        <w:top w:val="none" w:sz="0" w:space="0" w:color="auto"/>
        <w:left w:val="none" w:sz="0" w:space="0" w:color="auto"/>
        <w:bottom w:val="none" w:sz="0" w:space="0" w:color="auto"/>
        <w:right w:val="none" w:sz="0" w:space="0" w:color="auto"/>
      </w:divBdr>
    </w:div>
    <w:div w:id="1619070620">
      <w:bodyDiv w:val="1"/>
      <w:marLeft w:val="0"/>
      <w:marRight w:val="0"/>
      <w:marTop w:val="0"/>
      <w:marBottom w:val="0"/>
      <w:divBdr>
        <w:top w:val="none" w:sz="0" w:space="0" w:color="auto"/>
        <w:left w:val="none" w:sz="0" w:space="0" w:color="auto"/>
        <w:bottom w:val="none" w:sz="0" w:space="0" w:color="auto"/>
        <w:right w:val="none" w:sz="0" w:space="0" w:color="auto"/>
      </w:divBdr>
    </w:div>
    <w:div w:id="205056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39F44-AA80-412A-AA3E-0236F45B9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2025-02-04T13:49:00Z</dcterms:created>
  <dcterms:modified xsi:type="dcterms:W3CDTF">2025-02-04T13:49:00Z</dcterms:modified>
</cp:coreProperties>
</file>