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54EB2" w14:textId="7C909C5E" w:rsidR="005E3402" w:rsidRPr="005E3402" w:rsidRDefault="005E3402" w:rsidP="005E3402">
      <w:pPr>
        <w:pStyle w:val="NormalWeb"/>
        <w:jc w:val="center"/>
        <w:rPr>
          <w:rFonts w:ascii="Arial" w:hAnsi="Arial" w:cs="Arial"/>
        </w:rPr>
      </w:pPr>
      <w:r w:rsidRPr="005E3402">
        <w:rPr>
          <w:rStyle w:val="Strong"/>
          <w:rFonts w:ascii="Arial" w:hAnsi="Arial" w:cs="Arial"/>
        </w:rPr>
        <w:t>University of Wales Trinity Saint David</w:t>
      </w:r>
      <w:r w:rsidRPr="005E3402">
        <w:rPr>
          <w:rFonts w:ascii="Arial" w:hAnsi="Arial" w:cs="Arial"/>
        </w:rPr>
        <w:br/>
      </w:r>
      <w:r w:rsidRPr="005E3402">
        <w:rPr>
          <w:rStyle w:val="Strong"/>
          <w:rFonts w:ascii="Arial" w:hAnsi="Arial" w:cs="Arial"/>
        </w:rPr>
        <w:t>School of Public Health and Social Care</w:t>
      </w:r>
    </w:p>
    <w:p w14:paraId="78798D0C" w14:textId="77777777" w:rsidR="005E3402" w:rsidRPr="005E3402" w:rsidRDefault="005E3402" w:rsidP="005E3402">
      <w:pPr>
        <w:pStyle w:val="Heading2"/>
        <w:jc w:val="center"/>
        <w:rPr>
          <w:rFonts w:ascii="Arial" w:hAnsi="Arial" w:cs="Arial"/>
        </w:rPr>
      </w:pPr>
      <w:bookmarkStart w:id="0" w:name="_Toc215092980"/>
      <w:r w:rsidRPr="005E3402">
        <w:rPr>
          <w:rStyle w:val="Strong"/>
          <w:rFonts w:ascii="Arial" w:hAnsi="Arial" w:cs="Arial"/>
          <w:b w:val="0"/>
          <w:bCs w:val="0"/>
        </w:rPr>
        <w:t>Exploring the Relationship Between Workforce Wellbeing and Quality of Care in Health and Social Care Settings: A Scoping Review</w:t>
      </w:r>
      <w:bookmarkEnd w:id="0"/>
    </w:p>
    <w:p w14:paraId="2989D4AE" w14:textId="5D126BA2" w:rsidR="005E3402" w:rsidRPr="005E3402" w:rsidRDefault="005E3402" w:rsidP="005E3402">
      <w:pPr>
        <w:pStyle w:val="NormalWeb"/>
        <w:jc w:val="center"/>
        <w:rPr>
          <w:rFonts w:ascii="Arial" w:hAnsi="Arial" w:cs="Arial"/>
        </w:rPr>
      </w:pPr>
      <w:r w:rsidRPr="005E3402">
        <w:rPr>
          <w:rStyle w:val="Strong"/>
          <w:rFonts w:ascii="Arial" w:hAnsi="Arial" w:cs="Arial"/>
        </w:rPr>
        <w:t>Student Name</w:t>
      </w:r>
      <w:r w:rsidRPr="005E3402">
        <w:rPr>
          <w:rFonts w:ascii="Arial" w:hAnsi="Arial" w:cs="Arial"/>
        </w:rPr>
        <w:t>: Farhat Azhar</w:t>
      </w:r>
      <w:r w:rsidRPr="005E3402">
        <w:rPr>
          <w:rFonts w:ascii="Arial" w:hAnsi="Arial" w:cs="Arial"/>
        </w:rPr>
        <w:br/>
      </w:r>
      <w:r w:rsidRPr="005E3402">
        <w:rPr>
          <w:rStyle w:val="Strong"/>
          <w:rFonts w:ascii="Arial" w:hAnsi="Arial" w:cs="Arial"/>
        </w:rPr>
        <w:t>Student ID</w:t>
      </w:r>
      <w:r w:rsidRPr="005E3402">
        <w:rPr>
          <w:rFonts w:ascii="Arial" w:hAnsi="Arial" w:cs="Arial"/>
        </w:rPr>
        <w:t>: 2213611</w:t>
      </w:r>
      <w:r w:rsidRPr="005E3402">
        <w:rPr>
          <w:rFonts w:ascii="Arial" w:hAnsi="Arial" w:cs="Arial"/>
        </w:rPr>
        <w:br/>
      </w:r>
      <w:proofErr w:type="spellStart"/>
      <w:r w:rsidRPr="005E3402">
        <w:rPr>
          <w:rStyle w:val="Strong"/>
          <w:rFonts w:ascii="Arial" w:hAnsi="Arial" w:cs="Arial"/>
        </w:rPr>
        <w:t>Programme</w:t>
      </w:r>
      <w:proofErr w:type="spellEnd"/>
      <w:r w:rsidRPr="005E3402">
        <w:rPr>
          <w:rFonts w:ascii="Arial" w:hAnsi="Arial" w:cs="Arial"/>
        </w:rPr>
        <w:t xml:space="preserve">: </w:t>
      </w:r>
      <w:proofErr w:type="spellStart"/>
      <w:r w:rsidRPr="005E3402">
        <w:rPr>
          <w:rFonts w:ascii="Arial" w:hAnsi="Arial" w:cs="Arial"/>
        </w:rPr>
        <w:t>BSc</w:t>
      </w:r>
      <w:proofErr w:type="spellEnd"/>
      <w:r w:rsidRPr="005E3402">
        <w:rPr>
          <w:rFonts w:ascii="Arial" w:hAnsi="Arial" w:cs="Arial"/>
        </w:rPr>
        <w:t xml:space="preserve"> (</w:t>
      </w:r>
      <w:proofErr w:type="spellStart"/>
      <w:r w:rsidRPr="005E3402">
        <w:rPr>
          <w:rFonts w:ascii="Arial" w:hAnsi="Arial" w:cs="Arial"/>
        </w:rPr>
        <w:t>Hons</w:t>
      </w:r>
      <w:proofErr w:type="spellEnd"/>
      <w:r w:rsidRPr="005E3402">
        <w:rPr>
          <w:rFonts w:ascii="Arial" w:hAnsi="Arial" w:cs="Arial"/>
        </w:rPr>
        <w:t>) Health and Social Care</w:t>
      </w:r>
      <w:r w:rsidRPr="005E3402">
        <w:rPr>
          <w:rFonts w:ascii="Arial" w:hAnsi="Arial" w:cs="Arial"/>
        </w:rPr>
        <w:br/>
      </w:r>
      <w:r w:rsidRPr="005E3402">
        <w:rPr>
          <w:rStyle w:val="Strong"/>
          <w:rFonts w:ascii="Arial" w:hAnsi="Arial" w:cs="Arial"/>
        </w:rPr>
        <w:t>Module</w:t>
      </w:r>
      <w:r w:rsidRPr="005E3402">
        <w:rPr>
          <w:rFonts w:ascii="Arial" w:hAnsi="Arial" w:cs="Arial"/>
        </w:rPr>
        <w:t>: Independent Project</w:t>
      </w:r>
      <w:r w:rsidRPr="005E3402">
        <w:rPr>
          <w:rFonts w:ascii="Arial" w:hAnsi="Arial" w:cs="Arial"/>
        </w:rPr>
        <w:br/>
      </w:r>
      <w:r w:rsidRPr="005E3402">
        <w:rPr>
          <w:rStyle w:val="Strong"/>
          <w:rFonts w:ascii="Arial" w:hAnsi="Arial" w:cs="Arial"/>
        </w:rPr>
        <w:t>Module Code</w:t>
      </w:r>
      <w:r w:rsidRPr="005E3402">
        <w:rPr>
          <w:rFonts w:ascii="Arial" w:hAnsi="Arial" w:cs="Arial"/>
        </w:rPr>
        <w:t>: BMHP6020</w:t>
      </w:r>
      <w:r w:rsidRPr="005E3402">
        <w:rPr>
          <w:rFonts w:ascii="Arial" w:hAnsi="Arial" w:cs="Arial"/>
        </w:rPr>
        <w:br/>
      </w:r>
      <w:r w:rsidRPr="005E3402">
        <w:rPr>
          <w:rStyle w:val="Strong"/>
          <w:rFonts w:ascii="Arial" w:hAnsi="Arial" w:cs="Arial"/>
        </w:rPr>
        <w:t>Word Count</w:t>
      </w:r>
      <w:r w:rsidRPr="005E3402">
        <w:rPr>
          <w:rFonts w:ascii="Arial" w:hAnsi="Arial" w:cs="Arial"/>
        </w:rPr>
        <w:t>: [Insert Final Word Count]</w:t>
      </w:r>
      <w:r w:rsidRPr="005E3402">
        <w:rPr>
          <w:rFonts w:ascii="Arial" w:hAnsi="Arial" w:cs="Arial"/>
        </w:rPr>
        <w:br/>
      </w:r>
    </w:p>
    <w:p w14:paraId="010147EC" w14:textId="1FC75A76" w:rsidR="005E3402" w:rsidRDefault="005E3402" w:rsidP="005E3402">
      <w:pPr>
        <w:pStyle w:val="NormalWeb"/>
        <w:jc w:val="center"/>
        <w:rPr>
          <w:rFonts w:ascii="Arial" w:hAnsi="Arial" w:cs="Arial"/>
        </w:rPr>
      </w:pPr>
    </w:p>
    <w:p w14:paraId="3DE61B16" w14:textId="3FA9FA00" w:rsidR="005E3402" w:rsidRDefault="005E3402" w:rsidP="005E3402">
      <w:pPr>
        <w:pStyle w:val="NormalWeb"/>
        <w:jc w:val="center"/>
        <w:rPr>
          <w:rFonts w:ascii="Arial" w:hAnsi="Arial" w:cs="Arial"/>
        </w:rPr>
      </w:pPr>
    </w:p>
    <w:p w14:paraId="76E8B820" w14:textId="58EC9391" w:rsidR="005E3402" w:rsidRDefault="005E3402" w:rsidP="005E3402">
      <w:pPr>
        <w:pStyle w:val="NormalWeb"/>
        <w:jc w:val="center"/>
        <w:rPr>
          <w:rFonts w:ascii="Arial" w:hAnsi="Arial" w:cs="Arial"/>
        </w:rPr>
      </w:pPr>
    </w:p>
    <w:p w14:paraId="06E609E8" w14:textId="4216AFCB" w:rsidR="005E3402" w:rsidRDefault="005E3402" w:rsidP="005E3402">
      <w:pPr>
        <w:pStyle w:val="NormalWeb"/>
        <w:jc w:val="center"/>
        <w:rPr>
          <w:rFonts w:ascii="Arial" w:hAnsi="Arial" w:cs="Arial"/>
        </w:rPr>
      </w:pPr>
    </w:p>
    <w:p w14:paraId="7B62E685" w14:textId="1C326C1D" w:rsidR="005E3402" w:rsidRDefault="005E3402" w:rsidP="005E3402">
      <w:pPr>
        <w:pStyle w:val="NormalWeb"/>
        <w:jc w:val="center"/>
        <w:rPr>
          <w:rFonts w:ascii="Arial" w:hAnsi="Arial" w:cs="Arial"/>
        </w:rPr>
      </w:pPr>
    </w:p>
    <w:p w14:paraId="556A484F" w14:textId="6964EC3E" w:rsidR="005E3402" w:rsidRDefault="005E3402" w:rsidP="005E3402">
      <w:pPr>
        <w:pStyle w:val="NormalWeb"/>
        <w:jc w:val="center"/>
        <w:rPr>
          <w:rFonts w:ascii="Arial" w:hAnsi="Arial" w:cs="Arial"/>
        </w:rPr>
      </w:pPr>
    </w:p>
    <w:p w14:paraId="5FC7F5CA" w14:textId="152D3C79" w:rsidR="005E3402" w:rsidRDefault="005E3402" w:rsidP="005E3402">
      <w:pPr>
        <w:pStyle w:val="NormalWeb"/>
        <w:jc w:val="center"/>
        <w:rPr>
          <w:rFonts w:ascii="Arial" w:hAnsi="Arial" w:cs="Arial"/>
        </w:rPr>
      </w:pPr>
    </w:p>
    <w:p w14:paraId="0375ABA1" w14:textId="5445DF68" w:rsidR="005E3402" w:rsidRDefault="005E3402" w:rsidP="005E3402">
      <w:pPr>
        <w:pStyle w:val="NormalWeb"/>
        <w:jc w:val="center"/>
        <w:rPr>
          <w:rFonts w:ascii="Arial" w:hAnsi="Arial" w:cs="Arial"/>
        </w:rPr>
      </w:pPr>
    </w:p>
    <w:p w14:paraId="17988129" w14:textId="509FB658" w:rsidR="005E3402" w:rsidRDefault="005E3402" w:rsidP="005E3402">
      <w:pPr>
        <w:pStyle w:val="NormalWeb"/>
        <w:jc w:val="center"/>
        <w:rPr>
          <w:rFonts w:ascii="Arial" w:hAnsi="Arial" w:cs="Arial"/>
        </w:rPr>
      </w:pPr>
    </w:p>
    <w:p w14:paraId="1A232D81" w14:textId="5295780B" w:rsidR="005E3402" w:rsidRDefault="005E3402" w:rsidP="005E3402">
      <w:pPr>
        <w:pStyle w:val="NormalWeb"/>
        <w:jc w:val="center"/>
        <w:rPr>
          <w:rFonts w:ascii="Arial" w:hAnsi="Arial" w:cs="Arial"/>
        </w:rPr>
      </w:pPr>
    </w:p>
    <w:p w14:paraId="4B2B1117" w14:textId="4E3B8A0E" w:rsidR="005E3402" w:rsidRDefault="005E3402" w:rsidP="005E3402">
      <w:pPr>
        <w:pStyle w:val="NormalWeb"/>
        <w:jc w:val="center"/>
        <w:rPr>
          <w:rFonts w:ascii="Arial" w:hAnsi="Arial" w:cs="Arial"/>
        </w:rPr>
      </w:pPr>
    </w:p>
    <w:p w14:paraId="5D2C07BC" w14:textId="7D31B087" w:rsidR="005E3402" w:rsidRDefault="005E3402" w:rsidP="005E3402">
      <w:pPr>
        <w:pStyle w:val="NormalWeb"/>
        <w:jc w:val="center"/>
        <w:rPr>
          <w:rFonts w:ascii="Arial" w:hAnsi="Arial" w:cs="Arial"/>
        </w:rPr>
      </w:pPr>
    </w:p>
    <w:p w14:paraId="764E2732" w14:textId="2F42A89E" w:rsidR="005E3402" w:rsidRDefault="005E3402" w:rsidP="005E3402">
      <w:pPr>
        <w:pStyle w:val="NormalWeb"/>
        <w:jc w:val="center"/>
        <w:rPr>
          <w:rFonts w:ascii="Arial" w:hAnsi="Arial" w:cs="Arial"/>
        </w:rPr>
      </w:pPr>
    </w:p>
    <w:p w14:paraId="2B4B8E31" w14:textId="0C9AAAA5" w:rsidR="005E3402" w:rsidRDefault="005E3402" w:rsidP="005E3402">
      <w:pPr>
        <w:pStyle w:val="NormalWeb"/>
        <w:jc w:val="center"/>
        <w:rPr>
          <w:rFonts w:ascii="Arial" w:hAnsi="Arial" w:cs="Arial"/>
        </w:rPr>
      </w:pPr>
    </w:p>
    <w:p w14:paraId="2491424D" w14:textId="73A94CF3" w:rsidR="005E3402" w:rsidRDefault="005E3402" w:rsidP="005E3402">
      <w:pPr>
        <w:pStyle w:val="NormalWeb"/>
        <w:jc w:val="center"/>
        <w:rPr>
          <w:rFonts w:ascii="Arial" w:hAnsi="Arial" w:cs="Arial"/>
        </w:rPr>
      </w:pPr>
    </w:p>
    <w:p w14:paraId="40FA0355" w14:textId="525EB3DC" w:rsidR="005E3402" w:rsidRDefault="005E3402" w:rsidP="005E3402">
      <w:pPr>
        <w:pStyle w:val="NormalWeb"/>
        <w:jc w:val="center"/>
        <w:rPr>
          <w:rFonts w:ascii="Arial" w:hAnsi="Arial" w:cs="Arial"/>
        </w:rPr>
      </w:pPr>
    </w:p>
    <w:p w14:paraId="1626F2EA" w14:textId="6F41B560" w:rsidR="005E3402" w:rsidRDefault="005E3402" w:rsidP="005E3402">
      <w:pPr>
        <w:pStyle w:val="NormalWeb"/>
        <w:jc w:val="center"/>
        <w:rPr>
          <w:rFonts w:ascii="Arial" w:hAnsi="Arial" w:cs="Arial"/>
        </w:rPr>
      </w:pPr>
    </w:p>
    <w:sdt>
      <w:sdtPr>
        <w:rPr>
          <w:rFonts w:asciiTheme="minorHAnsi" w:eastAsiaTheme="minorHAnsi" w:hAnsiTheme="minorHAnsi" w:cstheme="minorBidi"/>
          <w:color w:val="auto"/>
          <w:sz w:val="22"/>
          <w:szCs w:val="22"/>
        </w:rPr>
        <w:id w:val="-682207768"/>
        <w:docPartObj>
          <w:docPartGallery w:val="Table of Contents"/>
          <w:docPartUnique/>
        </w:docPartObj>
      </w:sdtPr>
      <w:sdtEndPr>
        <w:rPr>
          <w:b/>
          <w:bCs/>
          <w:noProof/>
        </w:rPr>
      </w:sdtEndPr>
      <w:sdtContent>
        <w:p w14:paraId="510F2F9F" w14:textId="25593DFA" w:rsidR="005E3402" w:rsidRDefault="005E3402">
          <w:pPr>
            <w:pStyle w:val="TOCHeading"/>
          </w:pPr>
          <w:r>
            <w:t>Contents</w:t>
          </w:r>
        </w:p>
        <w:p w14:paraId="5A45C9AA" w14:textId="0434F62B" w:rsidR="005E3402" w:rsidRDefault="005E3402">
          <w:pPr>
            <w:pStyle w:val="TOC2"/>
            <w:tabs>
              <w:tab w:val="right" w:leader="dot" w:pos="9350"/>
            </w:tabs>
            <w:rPr>
              <w:noProof/>
            </w:rPr>
          </w:pPr>
          <w:r>
            <w:fldChar w:fldCharType="begin"/>
          </w:r>
          <w:r>
            <w:instrText xml:space="preserve"> TOC \o "1-3" \h \z \u </w:instrText>
          </w:r>
          <w:r>
            <w:fldChar w:fldCharType="separate"/>
          </w:r>
          <w:hyperlink w:anchor="_Toc215092980" w:history="1">
            <w:r w:rsidRPr="00EC583B">
              <w:rPr>
                <w:rStyle w:val="Hyperlink"/>
                <w:rFonts w:ascii="Arial" w:hAnsi="Arial" w:cs="Arial"/>
                <w:noProof/>
              </w:rPr>
              <w:t>Exploring the Relationship Between Workforce Wellbeing and Quality of Care in Health and Social Care Settings: A Scoping Review</w:t>
            </w:r>
            <w:r>
              <w:rPr>
                <w:noProof/>
                <w:webHidden/>
              </w:rPr>
              <w:tab/>
            </w:r>
            <w:r>
              <w:rPr>
                <w:noProof/>
                <w:webHidden/>
              </w:rPr>
              <w:fldChar w:fldCharType="begin"/>
            </w:r>
            <w:r>
              <w:rPr>
                <w:noProof/>
                <w:webHidden/>
              </w:rPr>
              <w:instrText xml:space="preserve"> PAGEREF _Toc215092980 \h </w:instrText>
            </w:r>
            <w:r>
              <w:rPr>
                <w:noProof/>
                <w:webHidden/>
              </w:rPr>
            </w:r>
            <w:r>
              <w:rPr>
                <w:noProof/>
                <w:webHidden/>
              </w:rPr>
              <w:fldChar w:fldCharType="separate"/>
            </w:r>
            <w:r>
              <w:rPr>
                <w:noProof/>
                <w:webHidden/>
              </w:rPr>
              <w:t>1</w:t>
            </w:r>
            <w:r>
              <w:rPr>
                <w:noProof/>
                <w:webHidden/>
              </w:rPr>
              <w:fldChar w:fldCharType="end"/>
            </w:r>
          </w:hyperlink>
        </w:p>
        <w:p w14:paraId="42565F0A" w14:textId="1EC51719" w:rsidR="005E3402" w:rsidRDefault="005E3402">
          <w:pPr>
            <w:pStyle w:val="TOC2"/>
            <w:tabs>
              <w:tab w:val="right" w:leader="dot" w:pos="9350"/>
            </w:tabs>
            <w:rPr>
              <w:noProof/>
            </w:rPr>
          </w:pPr>
          <w:hyperlink w:anchor="_Toc215092981" w:history="1">
            <w:r w:rsidRPr="00EC583B">
              <w:rPr>
                <w:rStyle w:val="Hyperlink"/>
                <w:rFonts w:ascii="Arial" w:hAnsi="Arial" w:cs="Arial"/>
                <w:noProof/>
              </w:rPr>
              <w:t>Abstract</w:t>
            </w:r>
            <w:r>
              <w:rPr>
                <w:noProof/>
                <w:webHidden/>
              </w:rPr>
              <w:tab/>
            </w:r>
            <w:r>
              <w:rPr>
                <w:noProof/>
                <w:webHidden/>
              </w:rPr>
              <w:fldChar w:fldCharType="begin"/>
            </w:r>
            <w:r>
              <w:rPr>
                <w:noProof/>
                <w:webHidden/>
              </w:rPr>
              <w:instrText xml:space="preserve"> PAGEREF _Toc215092981 \h </w:instrText>
            </w:r>
            <w:r>
              <w:rPr>
                <w:noProof/>
                <w:webHidden/>
              </w:rPr>
            </w:r>
            <w:r>
              <w:rPr>
                <w:noProof/>
                <w:webHidden/>
              </w:rPr>
              <w:fldChar w:fldCharType="separate"/>
            </w:r>
            <w:r>
              <w:rPr>
                <w:noProof/>
                <w:webHidden/>
              </w:rPr>
              <w:t>2</w:t>
            </w:r>
            <w:r>
              <w:rPr>
                <w:noProof/>
                <w:webHidden/>
              </w:rPr>
              <w:fldChar w:fldCharType="end"/>
            </w:r>
          </w:hyperlink>
        </w:p>
        <w:p w14:paraId="0688EC23" w14:textId="74ADA605" w:rsidR="005E3402" w:rsidRDefault="005E3402">
          <w:pPr>
            <w:pStyle w:val="TOC1"/>
            <w:tabs>
              <w:tab w:val="right" w:leader="dot" w:pos="9350"/>
            </w:tabs>
            <w:rPr>
              <w:noProof/>
            </w:rPr>
          </w:pPr>
          <w:hyperlink w:anchor="_Toc215092982" w:history="1">
            <w:r w:rsidRPr="00EC583B">
              <w:rPr>
                <w:rStyle w:val="Hyperlink"/>
                <w:rFonts w:ascii="Arial" w:eastAsia="Times New Roman" w:hAnsi="Arial" w:cs="Arial"/>
                <w:b/>
                <w:bCs/>
                <w:noProof/>
                <w:kern w:val="36"/>
              </w:rPr>
              <w:t>CHAPTER 1: INTRODUCTION</w:t>
            </w:r>
            <w:r>
              <w:rPr>
                <w:noProof/>
                <w:webHidden/>
              </w:rPr>
              <w:tab/>
            </w:r>
            <w:r>
              <w:rPr>
                <w:noProof/>
                <w:webHidden/>
              </w:rPr>
              <w:fldChar w:fldCharType="begin"/>
            </w:r>
            <w:r>
              <w:rPr>
                <w:noProof/>
                <w:webHidden/>
              </w:rPr>
              <w:instrText xml:space="preserve"> PAGEREF _Toc215092982 \h </w:instrText>
            </w:r>
            <w:r>
              <w:rPr>
                <w:noProof/>
                <w:webHidden/>
              </w:rPr>
            </w:r>
            <w:r>
              <w:rPr>
                <w:noProof/>
                <w:webHidden/>
              </w:rPr>
              <w:fldChar w:fldCharType="separate"/>
            </w:r>
            <w:r>
              <w:rPr>
                <w:noProof/>
                <w:webHidden/>
              </w:rPr>
              <w:t>3</w:t>
            </w:r>
            <w:r>
              <w:rPr>
                <w:noProof/>
                <w:webHidden/>
              </w:rPr>
              <w:fldChar w:fldCharType="end"/>
            </w:r>
          </w:hyperlink>
        </w:p>
        <w:p w14:paraId="4DD7A499" w14:textId="445CD646" w:rsidR="005E3402" w:rsidRDefault="005E3402">
          <w:pPr>
            <w:pStyle w:val="TOC3"/>
            <w:tabs>
              <w:tab w:val="right" w:leader="dot" w:pos="9350"/>
            </w:tabs>
            <w:rPr>
              <w:noProof/>
            </w:rPr>
          </w:pPr>
          <w:hyperlink w:anchor="_Toc215092983" w:history="1">
            <w:r w:rsidRPr="00EC583B">
              <w:rPr>
                <w:rStyle w:val="Hyperlink"/>
                <w:rFonts w:ascii="Arial" w:eastAsia="Times New Roman" w:hAnsi="Arial" w:cs="Arial"/>
                <w:b/>
                <w:bCs/>
                <w:noProof/>
              </w:rPr>
              <w:t>1.1 Introduction</w:t>
            </w:r>
            <w:r>
              <w:rPr>
                <w:noProof/>
                <w:webHidden/>
              </w:rPr>
              <w:tab/>
            </w:r>
            <w:r>
              <w:rPr>
                <w:noProof/>
                <w:webHidden/>
              </w:rPr>
              <w:fldChar w:fldCharType="begin"/>
            </w:r>
            <w:r>
              <w:rPr>
                <w:noProof/>
                <w:webHidden/>
              </w:rPr>
              <w:instrText xml:space="preserve"> PAGEREF _Toc215092983 \h </w:instrText>
            </w:r>
            <w:r>
              <w:rPr>
                <w:noProof/>
                <w:webHidden/>
              </w:rPr>
            </w:r>
            <w:r>
              <w:rPr>
                <w:noProof/>
                <w:webHidden/>
              </w:rPr>
              <w:fldChar w:fldCharType="separate"/>
            </w:r>
            <w:r>
              <w:rPr>
                <w:noProof/>
                <w:webHidden/>
              </w:rPr>
              <w:t>3</w:t>
            </w:r>
            <w:r>
              <w:rPr>
                <w:noProof/>
                <w:webHidden/>
              </w:rPr>
              <w:fldChar w:fldCharType="end"/>
            </w:r>
          </w:hyperlink>
        </w:p>
        <w:p w14:paraId="64D27006" w14:textId="0F8B01D9" w:rsidR="005E3402" w:rsidRDefault="005E3402">
          <w:pPr>
            <w:pStyle w:val="TOC3"/>
            <w:tabs>
              <w:tab w:val="right" w:leader="dot" w:pos="9350"/>
            </w:tabs>
            <w:rPr>
              <w:noProof/>
            </w:rPr>
          </w:pPr>
          <w:hyperlink w:anchor="_Toc215092984" w:history="1">
            <w:r w:rsidRPr="00EC583B">
              <w:rPr>
                <w:rStyle w:val="Hyperlink"/>
                <w:rFonts w:ascii="Arial" w:eastAsia="Times New Roman" w:hAnsi="Arial" w:cs="Arial"/>
                <w:b/>
                <w:bCs/>
                <w:noProof/>
              </w:rPr>
              <w:t>1.2 Rationale</w:t>
            </w:r>
            <w:r>
              <w:rPr>
                <w:noProof/>
                <w:webHidden/>
              </w:rPr>
              <w:tab/>
            </w:r>
            <w:r>
              <w:rPr>
                <w:noProof/>
                <w:webHidden/>
              </w:rPr>
              <w:fldChar w:fldCharType="begin"/>
            </w:r>
            <w:r>
              <w:rPr>
                <w:noProof/>
                <w:webHidden/>
              </w:rPr>
              <w:instrText xml:space="preserve"> PAGEREF _Toc215092984 \h </w:instrText>
            </w:r>
            <w:r>
              <w:rPr>
                <w:noProof/>
                <w:webHidden/>
              </w:rPr>
            </w:r>
            <w:r>
              <w:rPr>
                <w:noProof/>
                <w:webHidden/>
              </w:rPr>
              <w:fldChar w:fldCharType="separate"/>
            </w:r>
            <w:r>
              <w:rPr>
                <w:noProof/>
                <w:webHidden/>
              </w:rPr>
              <w:t>3</w:t>
            </w:r>
            <w:r>
              <w:rPr>
                <w:noProof/>
                <w:webHidden/>
              </w:rPr>
              <w:fldChar w:fldCharType="end"/>
            </w:r>
          </w:hyperlink>
        </w:p>
        <w:p w14:paraId="78208C57" w14:textId="046C324A" w:rsidR="005E3402" w:rsidRDefault="005E3402">
          <w:pPr>
            <w:pStyle w:val="TOC3"/>
            <w:tabs>
              <w:tab w:val="right" w:leader="dot" w:pos="9350"/>
            </w:tabs>
            <w:rPr>
              <w:noProof/>
            </w:rPr>
          </w:pPr>
          <w:hyperlink w:anchor="_Toc215092985" w:history="1">
            <w:r w:rsidRPr="00EC583B">
              <w:rPr>
                <w:rStyle w:val="Hyperlink"/>
                <w:rFonts w:ascii="Arial" w:eastAsia="Times New Roman" w:hAnsi="Arial" w:cs="Arial"/>
                <w:b/>
                <w:bCs/>
                <w:noProof/>
              </w:rPr>
              <w:t>1.3 Research Aim and Objectives</w:t>
            </w:r>
            <w:r>
              <w:rPr>
                <w:noProof/>
                <w:webHidden/>
              </w:rPr>
              <w:tab/>
            </w:r>
            <w:r>
              <w:rPr>
                <w:noProof/>
                <w:webHidden/>
              </w:rPr>
              <w:fldChar w:fldCharType="begin"/>
            </w:r>
            <w:r>
              <w:rPr>
                <w:noProof/>
                <w:webHidden/>
              </w:rPr>
              <w:instrText xml:space="preserve"> PAGEREF _Toc215092985 \h </w:instrText>
            </w:r>
            <w:r>
              <w:rPr>
                <w:noProof/>
                <w:webHidden/>
              </w:rPr>
            </w:r>
            <w:r>
              <w:rPr>
                <w:noProof/>
                <w:webHidden/>
              </w:rPr>
              <w:fldChar w:fldCharType="separate"/>
            </w:r>
            <w:r>
              <w:rPr>
                <w:noProof/>
                <w:webHidden/>
              </w:rPr>
              <w:t>4</w:t>
            </w:r>
            <w:r>
              <w:rPr>
                <w:noProof/>
                <w:webHidden/>
              </w:rPr>
              <w:fldChar w:fldCharType="end"/>
            </w:r>
          </w:hyperlink>
        </w:p>
        <w:p w14:paraId="13B4D09B" w14:textId="01404BF3" w:rsidR="005E3402" w:rsidRDefault="005E3402">
          <w:pPr>
            <w:pStyle w:val="TOC3"/>
            <w:tabs>
              <w:tab w:val="right" w:leader="dot" w:pos="9350"/>
            </w:tabs>
            <w:rPr>
              <w:noProof/>
            </w:rPr>
          </w:pPr>
          <w:hyperlink w:anchor="_Toc215092986" w:history="1">
            <w:r w:rsidRPr="00EC583B">
              <w:rPr>
                <w:rStyle w:val="Hyperlink"/>
                <w:rFonts w:ascii="Arial" w:eastAsia="Times New Roman" w:hAnsi="Arial" w:cs="Arial"/>
                <w:b/>
                <w:bCs/>
                <w:noProof/>
              </w:rPr>
              <w:t>1.4 Theoretical Framework</w:t>
            </w:r>
            <w:r>
              <w:rPr>
                <w:noProof/>
                <w:webHidden/>
              </w:rPr>
              <w:tab/>
            </w:r>
            <w:r>
              <w:rPr>
                <w:noProof/>
                <w:webHidden/>
              </w:rPr>
              <w:fldChar w:fldCharType="begin"/>
            </w:r>
            <w:r>
              <w:rPr>
                <w:noProof/>
                <w:webHidden/>
              </w:rPr>
              <w:instrText xml:space="preserve"> PAGEREF _Toc215092986 \h </w:instrText>
            </w:r>
            <w:r>
              <w:rPr>
                <w:noProof/>
                <w:webHidden/>
              </w:rPr>
            </w:r>
            <w:r>
              <w:rPr>
                <w:noProof/>
                <w:webHidden/>
              </w:rPr>
              <w:fldChar w:fldCharType="separate"/>
            </w:r>
            <w:r>
              <w:rPr>
                <w:noProof/>
                <w:webHidden/>
              </w:rPr>
              <w:t>4</w:t>
            </w:r>
            <w:r>
              <w:rPr>
                <w:noProof/>
                <w:webHidden/>
              </w:rPr>
              <w:fldChar w:fldCharType="end"/>
            </w:r>
          </w:hyperlink>
        </w:p>
        <w:p w14:paraId="1AB38C79" w14:textId="3669B061" w:rsidR="005E3402" w:rsidRDefault="005E3402">
          <w:pPr>
            <w:pStyle w:val="TOC3"/>
            <w:tabs>
              <w:tab w:val="right" w:leader="dot" w:pos="9350"/>
            </w:tabs>
            <w:rPr>
              <w:noProof/>
            </w:rPr>
          </w:pPr>
          <w:hyperlink w:anchor="_Toc215092987" w:history="1">
            <w:r w:rsidRPr="00EC583B">
              <w:rPr>
                <w:rStyle w:val="Hyperlink"/>
                <w:rFonts w:ascii="Arial" w:eastAsia="Times New Roman" w:hAnsi="Arial" w:cs="Arial"/>
                <w:b/>
                <w:bCs/>
                <w:noProof/>
              </w:rPr>
              <w:t>1.5 Structure of the Dissertation</w:t>
            </w:r>
            <w:r>
              <w:rPr>
                <w:noProof/>
                <w:webHidden/>
              </w:rPr>
              <w:tab/>
            </w:r>
            <w:r>
              <w:rPr>
                <w:noProof/>
                <w:webHidden/>
              </w:rPr>
              <w:fldChar w:fldCharType="begin"/>
            </w:r>
            <w:r>
              <w:rPr>
                <w:noProof/>
                <w:webHidden/>
              </w:rPr>
              <w:instrText xml:space="preserve"> PAGEREF _Toc215092987 \h </w:instrText>
            </w:r>
            <w:r>
              <w:rPr>
                <w:noProof/>
                <w:webHidden/>
              </w:rPr>
            </w:r>
            <w:r>
              <w:rPr>
                <w:noProof/>
                <w:webHidden/>
              </w:rPr>
              <w:fldChar w:fldCharType="separate"/>
            </w:r>
            <w:r>
              <w:rPr>
                <w:noProof/>
                <w:webHidden/>
              </w:rPr>
              <w:t>5</w:t>
            </w:r>
            <w:r>
              <w:rPr>
                <w:noProof/>
                <w:webHidden/>
              </w:rPr>
              <w:fldChar w:fldCharType="end"/>
            </w:r>
          </w:hyperlink>
        </w:p>
        <w:p w14:paraId="7520C057" w14:textId="36A21060" w:rsidR="005E3402" w:rsidRDefault="005E3402">
          <w:pPr>
            <w:pStyle w:val="TOC1"/>
            <w:tabs>
              <w:tab w:val="right" w:leader="dot" w:pos="9350"/>
            </w:tabs>
            <w:rPr>
              <w:noProof/>
            </w:rPr>
          </w:pPr>
          <w:hyperlink w:anchor="_Toc215092988" w:history="1">
            <w:r w:rsidRPr="00EC583B">
              <w:rPr>
                <w:rStyle w:val="Hyperlink"/>
                <w:rFonts w:ascii="Arial" w:hAnsi="Arial" w:cs="Arial"/>
                <w:noProof/>
              </w:rPr>
              <w:t>CHAPTER 2: BACKGROUND / LITERATURE REVIEW</w:t>
            </w:r>
            <w:r>
              <w:rPr>
                <w:noProof/>
                <w:webHidden/>
              </w:rPr>
              <w:tab/>
            </w:r>
            <w:r>
              <w:rPr>
                <w:noProof/>
                <w:webHidden/>
              </w:rPr>
              <w:fldChar w:fldCharType="begin"/>
            </w:r>
            <w:r>
              <w:rPr>
                <w:noProof/>
                <w:webHidden/>
              </w:rPr>
              <w:instrText xml:space="preserve"> PAGEREF _Toc215092988 \h </w:instrText>
            </w:r>
            <w:r>
              <w:rPr>
                <w:noProof/>
                <w:webHidden/>
              </w:rPr>
            </w:r>
            <w:r>
              <w:rPr>
                <w:noProof/>
                <w:webHidden/>
              </w:rPr>
              <w:fldChar w:fldCharType="separate"/>
            </w:r>
            <w:r>
              <w:rPr>
                <w:noProof/>
                <w:webHidden/>
              </w:rPr>
              <w:t>5</w:t>
            </w:r>
            <w:r>
              <w:rPr>
                <w:noProof/>
                <w:webHidden/>
              </w:rPr>
              <w:fldChar w:fldCharType="end"/>
            </w:r>
          </w:hyperlink>
        </w:p>
        <w:p w14:paraId="047FC744" w14:textId="349A1B2F" w:rsidR="005E3402" w:rsidRDefault="005E3402">
          <w:pPr>
            <w:pStyle w:val="TOC2"/>
            <w:tabs>
              <w:tab w:val="right" w:leader="dot" w:pos="9350"/>
            </w:tabs>
            <w:rPr>
              <w:noProof/>
            </w:rPr>
          </w:pPr>
          <w:hyperlink w:anchor="_Toc215092989" w:history="1">
            <w:r w:rsidRPr="00EC583B">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_Toc215092989 \h </w:instrText>
            </w:r>
            <w:r>
              <w:rPr>
                <w:noProof/>
                <w:webHidden/>
              </w:rPr>
            </w:r>
            <w:r>
              <w:rPr>
                <w:noProof/>
                <w:webHidden/>
              </w:rPr>
              <w:fldChar w:fldCharType="separate"/>
            </w:r>
            <w:r>
              <w:rPr>
                <w:noProof/>
                <w:webHidden/>
              </w:rPr>
              <w:t>5</w:t>
            </w:r>
            <w:r>
              <w:rPr>
                <w:noProof/>
                <w:webHidden/>
              </w:rPr>
              <w:fldChar w:fldCharType="end"/>
            </w:r>
          </w:hyperlink>
        </w:p>
        <w:p w14:paraId="350C2058" w14:textId="3441563F" w:rsidR="005E3402" w:rsidRDefault="005E3402">
          <w:pPr>
            <w:pStyle w:val="TOC2"/>
            <w:tabs>
              <w:tab w:val="right" w:leader="dot" w:pos="9350"/>
            </w:tabs>
            <w:rPr>
              <w:noProof/>
            </w:rPr>
          </w:pPr>
          <w:hyperlink w:anchor="_Toc215092990" w:history="1">
            <w:r w:rsidRPr="00EC583B">
              <w:rPr>
                <w:rStyle w:val="Hyperlink"/>
                <w:rFonts w:ascii="Arial" w:hAnsi="Arial" w:cs="Arial"/>
                <w:noProof/>
              </w:rPr>
              <w:t>2.2 Defining Workforce Wellbeing in Health and Social Care</w:t>
            </w:r>
            <w:r>
              <w:rPr>
                <w:noProof/>
                <w:webHidden/>
              </w:rPr>
              <w:tab/>
            </w:r>
            <w:r>
              <w:rPr>
                <w:noProof/>
                <w:webHidden/>
              </w:rPr>
              <w:fldChar w:fldCharType="begin"/>
            </w:r>
            <w:r>
              <w:rPr>
                <w:noProof/>
                <w:webHidden/>
              </w:rPr>
              <w:instrText xml:space="preserve"> PAGEREF _Toc215092990 \h </w:instrText>
            </w:r>
            <w:r>
              <w:rPr>
                <w:noProof/>
                <w:webHidden/>
              </w:rPr>
            </w:r>
            <w:r>
              <w:rPr>
                <w:noProof/>
                <w:webHidden/>
              </w:rPr>
              <w:fldChar w:fldCharType="separate"/>
            </w:r>
            <w:r>
              <w:rPr>
                <w:noProof/>
                <w:webHidden/>
              </w:rPr>
              <w:t>6</w:t>
            </w:r>
            <w:r>
              <w:rPr>
                <w:noProof/>
                <w:webHidden/>
              </w:rPr>
              <w:fldChar w:fldCharType="end"/>
            </w:r>
          </w:hyperlink>
        </w:p>
        <w:p w14:paraId="2D41A2FE" w14:textId="12F57A09" w:rsidR="005E3402" w:rsidRDefault="005E3402">
          <w:pPr>
            <w:pStyle w:val="TOC2"/>
            <w:tabs>
              <w:tab w:val="right" w:leader="dot" w:pos="9350"/>
            </w:tabs>
            <w:rPr>
              <w:noProof/>
            </w:rPr>
          </w:pPr>
          <w:hyperlink w:anchor="_Toc215092991" w:history="1">
            <w:r w:rsidRPr="00EC583B">
              <w:rPr>
                <w:rStyle w:val="Hyperlink"/>
                <w:rFonts w:ascii="Arial" w:hAnsi="Arial" w:cs="Arial"/>
                <w:noProof/>
              </w:rPr>
              <w:t>2.3 Theoretical Foundations</w:t>
            </w:r>
            <w:r>
              <w:rPr>
                <w:noProof/>
                <w:webHidden/>
              </w:rPr>
              <w:tab/>
            </w:r>
            <w:r>
              <w:rPr>
                <w:noProof/>
                <w:webHidden/>
              </w:rPr>
              <w:fldChar w:fldCharType="begin"/>
            </w:r>
            <w:r>
              <w:rPr>
                <w:noProof/>
                <w:webHidden/>
              </w:rPr>
              <w:instrText xml:space="preserve"> PAGEREF _Toc215092991 \h </w:instrText>
            </w:r>
            <w:r>
              <w:rPr>
                <w:noProof/>
                <w:webHidden/>
              </w:rPr>
            </w:r>
            <w:r>
              <w:rPr>
                <w:noProof/>
                <w:webHidden/>
              </w:rPr>
              <w:fldChar w:fldCharType="separate"/>
            </w:r>
            <w:r>
              <w:rPr>
                <w:noProof/>
                <w:webHidden/>
              </w:rPr>
              <w:t>6</w:t>
            </w:r>
            <w:r>
              <w:rPr>
                <w:noProof/>
                <w:webHidden/>
              </w:rPr>
              <w:fldChar w:fldCharType="end"/>
            </w:r>
          </w:hyperlink>
        </w:p>
        <w:p w14:paraId="4A16A7A4" w14:textId="057B006A" w:rsidR="005E3402" w:rsidRDefault="005E3402">
          <w:pPr>
            <w:pStyle w:val="TOC3"/>
            <w:tabs>
              <w:tab w:val="right" w:leader="dot" w:pos="9350"/>
            </w:tabs>
            <w:rPr>
              <w:noProof/>
            </w:rPr>
          </w:pPr>
          <w:hyperlink w:anchor="_Toc215092992" w:history="1">
            <w:r w:rsidRPr="00EC583B">
              <w:rPr>
                <w:rStyle w:val="Hyperlink"/>
                <w:rFonts w:ascii="Arial" w:hAnsi="Arial" w:cs="Arial"/>
                <w:noProof/>
              </w:rPr>
              <w:t>2.3.1 Maslow’s Hierarchy of Needs</w:t>
            </w:r>
            <w:r>
              <w:rPr>
                <w:noProof/>
                <w:webHidden/>
              </w:rPr>
              <w:tab/>
            </w:r>
            <w:r>
              <w:rPr>
                <w:noProof/>
                <w:webHidden/>
              </w:rPr>
              <w:fldChar w:fldCharType="begin"/>
            </w:r>
            <w:r>
              <w:rPr>
                <w:noProof/>
                <w:webHidden/>
              </w:rPr>
              <w:instrText xml:space="preserve"> PAGEREF _Toc215092992 \h </w:instrText>
            </w:r>
            <w:r>
              <w:rPr>
                <w:noProof/>
                <w:webHidden/>
              </w:rPr>
            </w:r>
            <w:r>
              <w:rPr>
                <w:noProof/>
                <w:webHidden/>
              </w:rPr>
              <w:fldChar w:fldCharType="separate"/>
            </w:r>
            <w:r>
              <w:rPr>
                <w:noProof/>
                <w:webHidden/>
              </w:rPr>
              <w:t>6</w:t>
            </w:r>
            <w:r>
              <w:rPr>
                <w:noProof/>
                <w:webHidden/>
              </w:rPr>
              <w:fldChar w:fldCharType="end"/>
            </w:r>
          </w:hyperlink>
        </w:p>
        <w:p w14:paraId="622A0F59" w14:textId="71BC71B7" w:rsidR="005E3402" w:rsidRDefault="005E3402">
          <w:pPr>
            <w:pStyle w:val="TOC3"/>
            <w:tabs>
              <w:tab w:val="right" w:leader="dot" w:pos="9350"/>
            </w:tabs>
            <w:rPr>
              <w:noProof/>
            </w:rPr>
          </w:pPr>
          <w:hyperlink w:anchor="_Toc215092993" w:history="1">
            <w:r w:rsidRPr="00EC583B">
              <w:rPr>
                <w:rStyle w:val="Hyperlink"/>
                <w:rFonts w:ascii="Arial" w:hAnsi="Arial" w:cs="Arial"/>
                <w:noProof/>
              </w:rPr>
              <w:t>2.3.2 Empowerment Theory</w:t>
            </w:r>
            <w:r>
              <w:rPr>
                <w:noProof/>
                <w:webHidden/>
              </w:rPr>
              <w:tab/>
            </w:r>
            <w:r>
              <w:rPr>
                <w:noProof/>
                <w:webHidden/>
              </w:rPr>
              <w:fldChar w:fldCharType="begin"/>
            </w:r>
            <w:r>
              <w:rPr>
                <w:noProof/>
                <w:webHidden/>
              </w:rPr>
              <w:instrText xml:space="preserve"> PAGEREF _Toc215092993 \h </w:instrText>
            </w:r>
            <w:r>
              <w:rPr>
                <w:noProof/>
                <w:webHidden/>
              </w:rPr>
            </w:r>
            <w:r>
              <w:rPr>
                <w:noProof/>
                <w:webHidden/>
              </w:rPr>
              <w:fldChar w:fldCharType="separate"/>
            </w:r>
            <w:r>
              <w:rPr>
                <w:noProof/>
                <w:webHidden/>
              </w:rPr>
              <w:t>6</w:t>
            </w:r>
            <w:r>
              <w:rPr>
                <w:noProof/>
                <w:webHidden/>
              </w:rPr>
              <w:fldChar w:fldCharType="end"/>
            </w:r>
          </w:hyperlink>
        </w:p>
        <w:p w14:paraId="029BC232" w14:textId="07EFCD35" w:rsidR="005E3402" w:rsidRDefault="005E3402">
          <w:pPr>
            <w:pStyle w:val="TOC3"/>
            <w:tabs>
              <w:tab w:val="right" w:leader="dot" w:pos="9350"/>
            </w:tabs>
            <w:rPr>
              <w:noProof/>
            </w:rPr>
          </w:pPr>
          <w:hyperlink w:anchor="_Toc215092994" w:history="1">
            <w:r w:rsidRPr="00EC583B">
              <w:rPr>
                <w:rStyle w:val="Hyperlink"/>
                <w:rFonts w:ascii="Arial" w:hAnsi="Arial" w:cs="Arial"/>
                <w:noProof/>
              </w:rPr>
              <w:t>2.3.3 The Job Demands-Resources (JD-R) Model</w:t>
            </w:r>
            <w:r>
              <w:rPr>
                <w:noProof/>
                <w:webHidden/>
              </w:rPr>
              <w:tab/>
            </w:r>
            <w:r>
              <w:rPr>
                <w:noProof/>
                <w:webHidden/>
              </w:rPr>
              <w:fldChar w:fldCharType="begin"/>
            </w:r>
            <w:r>
              <w:rPr>
                <w:noProof/>
                <w:webHidden/>
              </w:rPr>
              <w:instrText xml:space="preserve"> PAGEREF _Toc215092994 \h </w:instrText>
            </w:r>
            <w:r>
              <w:rPr>
                <w:noProof/>
                <w:webHidden/>
              </w:rPr>
            </w:r>
            <w:r>
              <w:rPr>
                <w:noProof/>
                <w:webHidden/>
              </w:rPr>
              <w:fldChar w:fldCharType="separate"/>
            </w:r>
            <w:r>
              <w:rPr>
                <w:noProof/>
                <w:webHidden/>
              </w:rPr>
              <w:t>7</w:t>
            </w:r>
            <w:r>
              <w:rPr>
                <w:noProof/>
                <w:webHidden/>
              </w:rPr>
              <w:fldChar w:fldCharType="end"/>
            </w:r>
          </w:hyperlink>
        </w:p>
        <w:p w14:paraId="2C75AB1E" w14:textId="37410AB2" w:rsidR="005E3402" w:rsidRDefault="005E3402">
          <w:pPr>
            <w:pStyle w:val="TOC3"/>
            <w:tabs>
              <w:tab w:val="right" w:leader="dot" w:pos="9350"/>
            </w:tabs>
            <w:rPr>
              <w:noProof/>
            </w:rPr>
          </w:pPr>
          <w:hyperlink w:anchor="_Toc215092995" w:history="1">
            <w:r w:rsidRPr="00EC583B">
              <w:rPr>
                <w:rStyle w:val="Hyperlink"/>
                <w:rFonts w:ascii="Arial" w:hAnsi="Arial" w:cs="Arial"/>
                <w:noProof/>
              </w:rPr>
              <w:t>2.3.4 NHS Workforce Wellbeing Framework</w:t>
            </w:r>
            <w:r>
              <w:rPr>
                <w:noProof/>
                <w:webHidden/>
              </w:rPr>
              <w:tab/>
            </w:r>
            <w:r>
              <w:rPr>
                <w:noProof/>
                <w:webHidden/>
              </w:rPr>
              <w:fldChar w:fldCharType="begin"/>
            </w:r>
            <w:r>
              <w:rPr>
                <w:noProof/>
                <w:webHidden/>
              </w:rPr>
              <w:instrText xml:space="preserve"> PAGEREF _Toc215092995 \h </w:instrText>
            </w:r>
            <w:r>
              <w:rPr>
                <w:noProof/>
                <w:webHidden/>
              </w:rPr>
            </w:r>
            <w:r>
              <w:rPr>
                <w:noProof/>
                <w:webHidden/>
              </w:rPr>
              <w:fldChar w:fldCharType="separate"/>
            </w:r>
            <w:r>
              <w:rPr>
                <w:noProof/>
                <w:webHidden/>
              </w:rPr>
              <w:t>7</w:t>
            </w:r>
            <w:r>
              <w:rPr>
                <w:noProof/>
                <w:webHidden/>
              </w:rPr>
              <w:fldChar w:fldCharType="end"/>
            </w:r>
          </w:hyperlink>
        </w:p>
        <w:p w14:paraId="39326529" w14:textId="3566563B" w:rsidR="005E3402" w:rsidRDefault="005E3402">
          <w:pPr>
            <w:pStyle w:val="TOC2"/>
            <w:tabs>
              <w:tab w:val="right" w:leader="dot" w:pos="9350"/>
            </w:tabs>
            <w:rPr>
              <w:noProof/>
            </w:rPr>
          </w:pPr>
          <w:hyperlink w:anchor="_Toc215092996" w:history="1">
            <w:r w:rsidRPr="00EC583B">
              <w:rPr>
                <w:rStyle w:val="Hyperlink"/>
                <w:rFonts w:ascii="Arial" w:hAnsi="Arial" w:cs="Arial"/>
                <w:noProof/>
              </w:rPr>
              <w:t>2.4 Linking Workforce Wellbeing to Quality of Care</w:t>
            </w:r>
            <w:r>
              <w:rPr>
                <w:noProof/>
                <w:webHidden/>
              </w:rPr>
              <w:tab/>
            </w:r>
            <w:r>
              <w:rPr>
                <w:noProof/>
                <w:webHidden/>
              </w:rPr>
              <w:fldChar w:fldCharType="begin"/>
            </w:r>
            <w:r>
              <w:rPr>
                <w:noProof/>
                <w:webHidden/>
              </w:rPr>
              <w:instrText xml:space="preserve"> PAGEREF _Toc215092996 \h </w:instrText>
            </w:r>
            <w:r>
              <w:rPr>
                <w:noProof/>
                <w:webHidden/>
              </w:rPr>
            </w:r>
            <w:r>
              <w:rPr>
                <w:noProof/>
                <w:webHidden/>
              </w:rPr>
              <w:fldChar w:fldCharType="separate"/>
            </w:r>
            <w:r>
              <w:rPr>
                <w:noProof/>
                <w:webHidden/>
              </w:rPr>
              <w:t>7</w:t>
            </w:r>
            <w:r>
              <w:rPr>
                <w:noProof/>
                <w:webHidden/>
              </w:rPr>
              <w:fldChar w:fldCharType="end"/>
            </w:r>
          </w:hyperlink>
        </w:p>
        <w:p w14:paraId="5D5F9668" w14:textId="013709AF" w:rsidR="005E3402" w:rsidRDefault="005E3402">
          <w:pPr>
            <w:pStyle w:val="TOC2"/>
            <w:tabs>
              <w:tab w:val="right" w:leader="dot" w:pos="9350"/>
            </w:tabs>
            <w:rPr>
              <w:noProof/>
            </w:rPr>
          </w:pPr>
          <w:hyperlink w:anchor="_Toc215092997" w:history="1">
            <w:r w:rsidRPr="00EC583B">
              <w:rPr>
                <w:rStyle w:val="Hyperlink"/>
                <w:rFonts w:ascii="Arial" w:hAnsi="Arial" w:cs="Arial"/>
                <w:noProof/>
              </w:rPr>
              <w:t>2.5 UK Policy and Legislative Context</w:t>
            </w:r>
            <w:r>
              <w:rPr>
                <w:noProof/>
                <w:webHidden/>
              </w:rPr>
              <w:tab/>
            </w:r>
            <w:r>
              <w:rPr>
                <w:noProof/>
                <w:webHidden/>
              </w:rPr>
              <w:fldChar w:fldCharType="begin"/>
            </w:r>
            <w:r>
              <w:rPr>
                <w:noProof/>
                <w:webHidden/>
              </w:rPr>
              <w:instrText xml:space="preserve"> PAGEREF _Toc215092997 \h </w:instrText>
            </w:r>
            <w:r>
              <w:rPr>
                <w:noProof/>
                <w:webHidden/>
              </w:rPr>
            </w:r>
            <w:r>
              <w:rPr>
                <w:noProof/>
                <w:webHidden/>
              </w:rPr>
              <w:fldChar w:fldCharType="separate"/>
            </w:r>
            <w:r>
              <w:rPr>
                <w:noProof/>
                <w:webHidden/>
              </w:rPr>
              <w:t>8</w:t>
            </w:r>
            <w:r>
              <w:rPr>
                <w:noProof/>
                <w:webHidden/>
              </w:rPr>
              <w:fldChar w:fldCharType="end"/>
            </w:r>
          </w:hyperlink>
        </w:p>
        <w:p w14:paraId="3719FCAF" w14:textId="7E24D478" w:rsidR="005E3402" w:rsidRDefault="005E3402">
          <w:pPr>
            <w:pStyle w:val="TOC2"/>
            <w:tabs>
              <w:tab w:val="right" w:leader="dot" w:pos="9350"/>
            </w:tabs>
            <w:rPr>
              <w:noProof/>
            </w:rPr>
          </w:pPr>
          <w:hyperlink w:anchor="_Toc215092998" w:history="1">
            <w:r w:rsidRPr="00EC583B">
              <w:rPr>
                <w:rStyle w:val="Hyperlink"/>
                <w:rFonts w:ascii="Arial" w:hAnsi="Arial" w:cs="Arial"/>
                <w:noProof/>
              </w:rPr>
              <w:t>2.6 International Comparisons</w:t>
            </w:r>
            <w:r>
              <w:rPr>
                <w:noProof/>
                <w:webHidden/>
              </w:rPr>
              <w:tab/>
            </w:r>
            <w:r>
              <w:rPr>
                <w:noProof/>
                <w:webHidden/>
              </w:rPr>
              <w:fldChar w:fldCharType="begin"/>
            </w:r>
            <w:r>
              <w:rPr>
                <w:noProof/>
                <w:webHidden/>
              </w:rPr>
              <w:instrText xml:space="preserve"> PAGEREF _Toc215092998 \h </w:instrText>
            </w:r>
            <w:r>
              <w:rPr>
                <w:noProof/>
                <w:webHidden/>
              </w:rPr>
            </w:r>
            <w:r>
              <w:rPr>
                <w:noProof/>
                <w:webHidden/>
              </w:rPr>
              <w:fldChar w:fldCharType="separate"/>
            </w:r>
            <w:r>
              <w:rPr>
                <w:noProof/>
                <w:webHidden/>
              </w:rPr>
              <w:t>8</w:t>
            </w:r>
            <w:r>
              <w:rPr>
                <w:noProof/>
                <w:webHidden/>
              </w:rPr>
              <w:fldChar w:fldCharType="end"/>
            </w:r>
          </w:hyperlink>
        </w:p>
        <w:p w14:paraId="7AFF8470" w14:textId="353C4882" w:rsidR="005E3402" w:rsidRDefault="005E3402">
          <w:pPr>
            <w:pStyle w:val="TOC2"/>
            <w:tabs>
              <w:tab w:val="right" w:leader="dot" w:pos="9350"/>
            </w:tabs>
            <w:rPr>
              <w:noProof/>
            </w:rPr>
          </w:pPr>
          <w:hyperlink w:anchor="_Toc215092999" w:history="1">
            <w:r w:rsidRPr="00EC583B">
              <w:rPr>
                <w:rStyle w:val="Hyperlink"/>
                <w:rFonts w:ascii="Arial" w:hAnsi="Arial" w:cs="Arial"/>
                <w:noProof/>
              </w:rPr>
              <w:t>2.7 Key Gaps in the Literature</w:t>
            </w:r>
            <w:r>
              <w:rPr>
                <w:noProof/>
                <w:webHidden/>
              </w:rPr>
              <w:tab/>
            </w:r>
            <w:r>
              <w:rPr>
                <w:noProof/>
                <w:webHidden/>
              </w:rPr>
              <w:fldChar w:fldCharType="begin"/>
            </w:r>
            <w:r>
              <w:rPr>
                <w:noProof/>
                <w:webHidden/>
              </w:rPr>
              <w:instrText xml:space="preserve"> PAGEREF _Toc215092999 \h </w:instrText>
            </w:r>
            <w:r>
              <w:rPr>
                <w:noProof/>
                <w:webHidden/>
              </w:rPr>
            </w:r>
            <w:r>
              <w:rPr>
                <w:noProof/>
                <w:webHidden/>
              </w:rPr>
              <w:fldChar w:fldCharType="separate"/>
            </w:r>
            <w:r>
              <w:rPr>
                <w:noProof/>
                <w:webHidden/>
              </w:rPr>
              <w:t>9</w:t>
            </w:r>
            <w:r>
              <w:rPr>
                <w:noProof/>
                <w:webHidden/>
              </w:rPr>
              <w:fldChar w:fldCharType="end"/>
            </w:r>
          </w:hyperlink>
        </w:p>
        <w:p w14:paraId="3788A5BD" w14:textId="248B7B0B" w:rsidR="005E3402" w:rsidRDefault="005E3402">
          <w:pPr>
            <w:pStyle w:val="TOC2"/>
            <w:tabs>
              <w:tab w:val="right" w:leader="dot" w:pos="9350"/>
            </w:tabs>
            <w:rPr>
              <w:noProof/>
            </w:rPr>
          </w:pPr>
          <w:hyperlink w:anchor="_Toc215093000" w:history="1">
            <w:r w:rsidRPr="00EC583B">
              <w:rPr>
                <w:rStyle w:val="Hyperlink"/>
                <w:rFonts w:ascii="Arial" w:hAnsi="Arial" w:cs="Arial"/>
                <w:noProof/>
              </w:rPr>
              <w:t>2.8 Conclusion</w:t>
            </w:r>
            <w:r>
              <w:rPr>
                <w:noProof/>
                <w:webHidden/>
              </w:rPr>
              <w:tab/>
            </w:r>
            <w:r>
              <w:rPr>
                <w:noProof/>
                <w:webHidden/>
              </w:rPr>
              <w:fldChar w:fldCharType="begin"/>
            </w:r>
            <w:r>
              <w:rPr>
                <w:noProof/>
                <w:webHidden/>
              </w:rPr>
              <w:instrText xml:space="preserve"> PAGEREF _Toc215093000 \h </w:instrText>
            </w:r>
            <w:r>
              <w:rPr>
                <w:noProof/>
                <w:webHidden/>
              </w:rPr>
            </w:r>
            <w:r>
              <w:rPr>
                <w:noProof/>
                <w:webHidden/>
              </w:rPr>
              <w:fldChar w:fldCharType="separate"/>
            </w:r>
            <w:r>
              <w:rPr>
                <w:noProof/>
                <w:webHidden/>
              </w:rPr>
              <w:t>9</w:t>
            </w:r>
            <w:r>
              <w:rPr>
                <w:noProof/>
                <w:webHidden/>
              </w:rPr>
              <w:fldChar w:fldCharType="end"/>
            </w:r>
          </w:hyperlink>
        </w:p>
        <w:p w14:paraId="104B109D" w14:textId="3984F3C2" w:rsidR="005E3402" w:rsidRDefault="005E3402">
          <w:pPr>
            <w:pStyle w:val="TOC1"/>
            <w:tabs>
              <w:tab w:val="right" w:leader="dot" w:pos="9350"/>
            </w:tabs>
            <w:rPr>
              <w:noProof/>
            </w:rPr>
          </w:pPr>
          <w:hyperlink w:anchor="_Toc215093001" w:history="1">
            <w:r w:rsidRPr="00EC583B">
              <w:rPr>
                <w:rStyle w:val="Hyperlink"/>
                <w:rFonts w:ascii="Arial" w:hAnsi="Arial" w:cs="Arial"/>
                <w:noProof/>
              </w:rPr>
              <w:t>CHAPTER 3: METHODS (Expanded Version)</w:t>
            </w:r>
            <w:r>
              <w:rPr>
                <w:noProof/>
                <w:webHidden/>
              </w:rPr>
              <w:tab/>
            </w:r>
            <w:r>
              <w:rPr>
                <w:noProof/>
                <w:webHidden/>
              </w:rPr>
              <w:fldChar w:fldCharType="begin"/>
            </w:r>
            <w:r>
              <w:rPr>
                <w:noProof/>
                <w:webHidden/>
              </w:rPr>
              <w:instrText xml:space="preserve"> PAGEREF _Toc215093001 \h </w:instrText>
            </w:r>
            <w:r>
              <w:rPr>
                <w:noProof/>
                <w:webHidden/>
              </w:rPr>
            </w:r>
            <w:r>
              <w:rPr>
                <w:noProof/>
                <w:webHidden/>
              </w:rPr>
              <w:fldChar w:fldCharType="separate"/>
            </w:r>
            <w:r>
              <w:rPr>
                <w:noProof/>
                <w:webHidden/>
              </w:rPr>
              <w:t>9</w:t>
            </w:r>
            <w:r>
              <w:rPr>
                <w:noProof/>
                <w:webHidden/>
              </w:rPr>
              <w:fldChar w:fldCharType="end"/>
            </w:r>
          </w:hyperlink>
        </w:p>
        <w:p w14:paraId="2AC91F6B" w14:textId="0E4A4BF6" w:rsidR="005E3402" w:rsidRDefault="005E3402">
          <w:pPr>
            <w:pStyle w:val="TOC2"/>
            <w:tabs>
              <w:tab w:val="right" w:leader="dot" w:pos="9350"/>
            </w:tabs>
            <w:rPr>
              <w:noProof/>
            </w:rPr>
          </w:pPr>
          <w:hyperlink w:anchor="_Toc215093002" w:history="1">
            <w:r w:rsidRPr="00EC583B">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_Toc215093002 \h </w:instrText>
            </w:r>
            <w:r>
              <w:rPr>
                <w:noProof/>
                <w:webHidden/>
              </w:rPr>
            </w:r>
            <w:r>
              <w:rPr>
                <w:noProof/>
                <w:webHidden/>
              </w:rPr>
              <w:fldChar w:fldCharType="separate"/>
            </w:r>
            <w:r>
              <w:rPr>
                <w:noProof/>
                <w:webHidden/>
              </w:rPr>
              <w:t>9</w:t>
            </w:r>
            <w:r>
              <w:rPr>
                <w:noProof/>
                <w:webHidden/>
              </w:rPr>
              <w:fldChar w:fldCharType="end"/>
            </w:r>
          </w:hyperlink>
        </w:p>
        <w:p w14:paraId="00C7112F" w14:textId="1DD8C5E2" w:rsidR="005E3402" w:rsidRDefault="005E3402">
          <w:pPr>
            <w:pStyle w:val="TOC2"/>
            <w:tabs>
              <w:tab w:val="right" w:leader="dot" w:pos="9350"/>
            </w:tabs>
            <w:rPr>
              <w:noProof/>
            </w:rPr>
          </w:pPr>
          <w:hyperlink w:anchor="_Toc215093003" w:history="1">
            <w:r w:rsidRPr="00EC583B">
              <w:rPr>
                <w:rStyle w:val="Hyperlink"/>
                <w:rFonts w:ascii="Arial" w:hAnsi="Arial" w:cs="Arial"/>
                <w:noProof/>
              </w:rPr>
              <w:t>3.2 Research Questions</w:t>
            </w:r>
            <w:r>
              <w:rPr>
                <w:noProof/>
                <w:webHidden/>
              </w:rPr>
              <w:tab/>
            </w:r>
            <w:r>
              <w:rPr>
                <w:noProof/>
                <w:webHidden/>
              </w:rPr>
              <w:fldChar w:fldCharType="begin"/>
            </w:r>
            <w:r>
              <w:rPr>
                <w:noProof/>
                <w:webHidden/>
              </w:rPr>
              <w:instrText xml:space="preserve"> PAGEREF _Toc215093003 \h </w:instrText>
            </w:r>
            <w:r>
              <w:rPr>
                <w:noProof/>
                <w:webHidden/>
              </w:rPr>
            </w:r>
            <w:r>
              <w:rPr>
                <w:noProof/>
                <w:webHidden/>
              </w:rPr>
              <w:fldChar w:fldCharType="separate"/>
            </w:r>
            <w:r>
              <w:rPr>
                <w:noProof/>
                <w:webHidden/>
              </w:rPr>
              <w:t>10</w:t>
            </w:r>
            <w:r>
              <w:rPr>
                <w:noProof/>
                <w:webHidden/>
              </w:rPr>
              <w:fldChar w:fldCharType="end"/>
            </w:r>
          </w:hyperlink>
        </w:p>
        <w:p w14:paraId="6FEAEC39" w14:textId="37AE2775" w:rsidR="005E3402" w:rsidRDefault="005E3402">
          <w:pPr>
            <w:pStyle w:val="TOC2"/>
            <w:tabs>
              <w:tab w:val="right" w:leader="dot" w:pos="9350"/>
            </w:tabs>
            <w:rPr>
              <w:noProof/>
            </w:rPr>
          </w:pPr>
          <w:hyperlink w:anchor="_Toc215093004" w:history="1">
            <w:r w:rsidRPr="00EC583B">
              <w:rPr>
                <w:rStyle w:val="Hyperlink"/>
                <w:rFonts w:ascii="Arial" w:hAnsi="Arial" w:cs="Arial"/>
                <w:noProof/>
              </w:rPr>
              <w:t>3.3 Eligibility Criteria</w:t>
            </w:r>
            <w:r>
              <w:rPr>
                <w:noProof/>
                <w:webHidden/>
              </w:rPr>
              <w:tab/>
            </w:r>
            <w:r>
              <w:rPr>
                <w:noProof/>
                <w:webHidden/>
              </w:rPr>
              <w:fldChar w:fldCharType="begin"/>
            </w:r>
            <w:r>
              <w:rPr>
                <w:noProof/>
                <w:webHidden/>
              </w:rPr>
              <w:instrText xml:space="preserve"> PAGEREF _Toc215093004 \h </w:instrText>
            </w:r>
            <w:r>
              <w:rPr>
                <w:noProof/>
                <w:webHidden/>
              </w:rPr>
            </w:r>
            <w:r>
              <w:rPr>
                <w:noProof/>
                <w:webHidden/>
              </w:rPr>
              <w:fldChar w:fldCharType="separate"/>
            </w:r>
            <w:r>
              <w:rPr>
                <w:noProof/>
                <w:webHidden/>
              </w:rPr>
              <w:t>10</w:t>
            </w:r>
            <w:r>
              <w:rPr>
                <w:noProof/>
                <w:webHidden/>
              </w:rPr>
              <w:fldChar w:fldCharType="end"/>
            </w:r>
          </w:hyperlink>
        </w:p>
        <w:p w14:paraId="227530BC" w14:textId="6B08F26A" w:rsidR="005E3402" w:rsidRDefault="005E3402">
          <w:pPr>
            <w:pStyle w:val="TOC2"/>
            <w:tabs>
              <w:tab w:val="right" w:leader="dot" w:pos="9350"/>
            </w:tabs>
            <w:rPr>
              <w:noProof/>
            </w:rPr>
          </w:pPr>
          <w:hyperlink w:anchor="_Toc215093005" w:history="1">
            <w:r w:rsidRPr="00EC583B">
              <w:rPr>
                <w:rStyle w:val="Hyperlink"/>
                <w:rFonts w:ascii="Arial" w:hAnsi="Arial" w:cs="Arial"/>
                <w:noProof/>
              </w:rPr>
              <w:t>3.4 Search Strategy</w:t>
            </w:r>
            <w:r>
              <w:rPr>
                <w:noProof/>
                <w:webHidden/>
              </w:rPr>
              <w:tab/>
            </w:r>
            <w:r>
              <w:rPr>
                <w:noProof/>
                <w:webHidden/>
              </w:rPr>
              <w:fldChar w:fldCharType="begin"/>
            </w:r>
            <w:r>
              <w:rPr>
                <w:noProof/>
                <w:webHidden/>
              </w:rPr>
              <w:instrText xml:space="preserve"> PAGEREF _Toc215093005 \h </w:instrText>
            </w:r>
            <w:r>
              <w:rPr>
                <w:noProof/>
                <w:webHidden/>
              </w:rPr>
            </w:r>
            <w:r>
              <w:rPr>
                <w:noProof/>
                <w:webHidden/>
              </w:rPr>
              <w:fldChar w:fldCharType="separate"/>
            </w:r>
            <w:r>
              <w:rPr>
                <w:noProof/>
                <w:webHidden/>
              </w:rPr>
              <w:t>11</w:t>
            </w:r>
            <w:r>
              <w:rPr>
                <w:noProof/>
                <w:webHidden/>
              </w:rPr>
              <w:fldChar w:fldCharType="end"/>
            </w:r>
          </w:hyperlink>
        </w:p>
        <w:p w14:paraId="04DB5C37" w14:textId="588D116B" w:rsidR="005E3402" w:rsidRDefault="005E3402">
          <w:pPr>
            <w:pStyle w:val="TOC2"/>
            <w:tabs>
              <w:tab w:val="right" w:leader="dot" w:pos="9350"/>
            </w:tabs>
            <w:rPr>
              <w:noProof/>
            </w:rPr>
          </w:pPr>
          <w:hyperlink w:anchor="_Toc215093006" w:history="1">
            <w:r w:rsidRPr="00EC583B">
              <w:rPr>
                <w:rStyle w:val="Hyperlink"/>
                <w:rFonts w:ascii="Arial" w:hAnsi="Arial" w:cs="Arial"/>
                <w:noProof/>
              </w:rPr>
              <w:t>3.5 Study Selection</w:t>
            </w:r>
            <w:r>
              <w:rPr>
                <w:noProof/>
                <w:webHidden/>
              </w:rPr>
              <w:tab/>
            </w:r>
            <w:r>
              <w:rPr>
                <w:noProof/>
                <w:webHidden/>
              </w:rPr>
              <w:fldChar w:fldCharType="begin"/>
            </w:r>
            <w:r>
              <w:rPr>
                <w:noProof/>
                <w:webHidden/>
              </w:rPr>
              <w:instrText xml:space="preserve"> PAGEREF _Toc215093006 \h </w:instrText>
            </w:r>
            <w:r>
              <w:rPr>
                <w:noProof/>
                <w:webHidden/>
              </w:rPr>
            </w:r>
            <w:r>
              <w:rPr>
                <w:noProof/>
                <w:webHidden/>
              </w:rPr>
              <w:fldChar w:fldCharType="separate"/>
            </w:r>
            <w:r>
              <w:rPr>
                <w:noProof/>
                <w:webHidden/>
              </w:rPr>
              <w:t>11</w:t>
            </w:r>
            <w:r>
              <w:rPr>
                <w:noProof/>
                <w:webHidden/>
              </w:rPr>
              <w:fldChar w:fldCharType="end"/>
            </w:r>
          </w:hyperlink>
        </w:p>
        <w:p w14:paraId="6E6D5B22" w14:textId="13043126" w:rsidR="005E3402" w:rsidRDefault="005E3402">
          <w:pPr>
            <w:pStyle w:val="TOC2"/>
            <w:tabs>
              <w:tab w:val="right" w:leader="dot" w:pos="9350"/>
            </w:tabs>
            <w:rPr>
              <w:noProof/>
            </w:rPr>
          </w:pPr>
          <w:hyperlink w:anchor="_Toc215093007" w:history="1">
            <w:r w:rsidRPr="00EC583B">
              <w:rPr>
                <w:rStyle w:val="Hyperlink"/>
                <w:rFonts w:ascii="Arial" w:hAnsi="Arial" w:cs="Arial"/>
                <w:noProof/>
              </w:rPr>
              <w:t>3.6 Data Charting</w:t>
            </w:r>
            <w:r>
              <w:rPr>
                <w:noProof/>
                <w:webHidden/>
              </w:rPr>
              <w:tab/>
            </w:r>
            <w:r>
              <w:rPr>
                <w:noProof/>
                <w:webHidden/>
              </w:rPr>
              <w:fldChar w:fldCharType="begin"/>
            </w:r>
            <w:r>
              <w:rPr>
                <w:noProof/>
                <w:webHidden/>
              </w:rPr>
              <w:instrText xml:space="preserve"> PAGEREF _Toc215093007 \h </w:instrText>
            </w:r>
            <w:r>
              <w:rPr>
                <w:noProof/>
                <w:webHidden/>
              </w:rPr>
            </w:r>
            <w:r>
              <w:rPr>
                <w:noProof/>
                <w:webHidden/>
              </w:rPr>
              <w:fldChar w:fldCharType="separate"/>
            </w:r>
            <w:r>
              <w:rPr>
                <w:noProof/>
                <w:webHidden/>
              </w:rPr>
              <w:t>11</w:t>
            </w:r>
            <w:r>
              <w:rPr>
                <w:noProof/>
                <w:webHidden/>
              </w:rPr>
              <w:fldChar w:fldCharType="end"/>
            </w:r>
          </w:hyperlink>
        </w:p>
        <w:p w14:paraId="744E072F" w14:textId="6EDDF5C1" w:rsidR="005E3402" w:rsidRDefault="005E3402">
          <w:pPr>
            <w:pStyle w:val="TOC2"/>
            <w:tabs>
              <w:tab w:val="right" w:leader="dot" w:pos="9350"/>
            </w:tabs>
            <w:rPr>
              <w:noProof/>
            </w:rPr>
          </w:pPr>
          <w:hyperlink w:anchor="_Toc215093008" w:history="1">
            <w:r w:rsidRPr="00EC583B">
              <w:rPr>
                <w:rStyle w:val="Hyperlink"/>
                <w:rFonts w:ascii="Arial" w:hAnsi="Arial" w:cs="Arial"/>
                <w:noProof/>
              </w:rPr>
              <w:t>3.7 Data Synthesis</w:t>
            </w:r>
            <w:r>
              <w:rPr>
                <w:noProof/>
                <w:webHidden/>
              </w:rPr>
              <w:tab/>
            </w:r>
            <w:r>
              <w:rPr>
                <w:noProof/>
                <w:webHidden/>
              </w:rPr>
              <w:fldChar w:fldCharType="begin"/>
            </w:r>
            <w:r>
              <w:rPr>
                <w:noProof/>
                <w:webHidden/>
              </w:rPr>
              <w:instrText xml:space="preserve"> PAGEREF _Toc215093008 \h </w:instrText>
            </w:r>
            <w:r>
              <w:rPr>
                <w:noProof/>
                <w:webHidden/>
              </w:rPr>
            </w:r>
            <w:r>
              <w:rPr>
                <w:noProof/>
                <w:webHidden/>
              </w:rPr>
              <w:fldChar w:fldCharType="separate"/>
            </w:r>
            <w:r>
              <w:rPr>
                <w:noProof/>
                <w:webHidden/>
              </w:rPr>
              <w:t>12</w:t>
            </w:r>
            <w:r>
              <w:rPr>
                <w:noProof/>
                <w:webHidden/>
              </w:rPr>
              <w:fldChar w:fldCharType="end"/>
            </w:r>
          </w:hyperlink>
        </w:p>
        <w:p w14:paraId="70767C33" w14:textId="2A556E2F" w:rsidR="005E3402" w:rsidRDefault="005E3402">
          <w:pPr>
            <w:pStyle w:val="TOC2"/>
            <w:tabs>
              <w:tab w:val="right" w:leader="dot" w:pos="9350"/>
            </w:tabs>
            <w:rPr>
              <w:noProof/>
            </w:rPr>
          </w:pPr>
          <w:hyperlink w:anchor="_Toc215093009" w:history="1">
            <w:r w:rsidRPr="00EC583B">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_Toc215093009 \h </w:instrText>
            </w:r>
            <w:r>
              <w:rPr>
                <w:noProof/>
                <w:webHidden/>
              </w:rPr>
            </w:r>
            <w:r>
              <w:rPr>
                <w:noProof/>
                <w:webHidden/>
              </w:rPr>
              <w:fldChar w:fldCharType="separate"/>
            </w:r>
            <w:r>
              <w:rPr>
                <w:noProof/>
                <w:webHidden/>
              </w:rPr>
              <w:t>12</w:t>
            </w:r>
            <w:r>
              <w:rPr>
                <w:noProof/>
                <w:webHidden/>
              </w:rPr>
              <w:fldChar w:fldCharType="end"/>
            </w:r>
          </w:hyperlink>
        </w:p>
        <w:p w14:paraId="0C87A08C" w14:textId="173DD7C0" w:rsidR="005E3402" w:rsidRDefault="005E3402">
          <w:pPr>
            <w:pStyle w:val="TOC2"/>
            <w:tabs>
              <w:tab w:val="right" w:leader="dot" w:pos="9350"/>
            </w:tabs>
            <w:rPr>
              <w:noProof/>
            </w:rPr>
          </w:pPr>
          <w:hyperlink w:anchor="_Toc215093010" w:history="1">
            <w:r w:rsidRPr="00EC583B">
              <w:rPr>
                <w:rStyle w:val="Hyperlink"/>
                <w:rFonts w:ascii="Arial" w:hAnsi="Arial" w:cs="Arial"/>
                <w:noProof/>
              </w:rPr>
              <w:t>3.9 Limitations of the Method</w:t>
            </w:r>
            <w:r>
              <w:rPr>
                <w:noProof/>
                <w:webHidden/>
              </w:rPr>
              <w:tab/>
            </w:r>
            <w:r>
              <w:rPr>
                <w:noProof/>
                <w:webHidden/>
              </w:rPr>
              <w:fldChar w:fldCharType="begin"/>
            </w:r>
            <w:r>
              <w:rPr>
                <w:noProof/>
                <w:webHidden/>
              </w:rPr>
              <w:instrText xml:space="preserve"> PAGEREF _Toc215093010 \h </w:instrText>
            </w:r>
            <w:r>
              <w:rPr>
                <w:noProof/>
                <w:webHidden/>
              </w:rPr>
            </w:r>
            <w:r>
              <w:rPr>
                <w:noProof/>
                <w:webHidden/>
              </w:rPr>
              <w:fldChar w:fldCharType="separate"/>
            </w:r>
            <w:r>
              <w:rPr>
                <w:noProof/>
                <w:webHidden/>
              </w:rPr>
              <w:t>12</w:t>
            </w:r>
            <w:r>
              <w:rPr>
                <w:noProof/>
                <w:webHidden/>
              </w:rPr>
              <w:fldChar w:fldCharType="end"/>
            </w:r>
          </w:hyperlink>
        </w:p>
        <w:p w14:paraId="4A26E39D" w14:textId="05691F39" w:rsidR="005E3402" w:rsidRDefault="005E3402">
          <w:pPr>
            <w:pStyle w:val="TOC2"/>
            <w:tabs>
              <w:tab w:val="right" w:leader="dot" w:pos="9350"/>
            </w:tabs>
            <w:rPr>
              <w:noProof/>
            </w:rPr>
          </w:pPr>
          <w:hyperlink w:anchor="_Toc215093011" w:history="1">
            <w:r w:rsidRPr="00EC583B">
              <w:rPr>
                <w:rStyle w:val="Hyperlink"/>
                <w:rFonts w:ascii="Arial" w:hAnsi="Arial" w:cs="Arial"/>
                <w:noProof/>
              </w:rPr>
              <w:t>3.10 Conclusion</w:t>
            </w:r>
            <w:r>
              <w:rPr>
                <w:noProof/>
                <w:webHidden/>
              </w:rPr>
              <w:tab/>
            </w:r>
            <w:r>
              <w:rPr>
                <w:noProof/>
                <w:webHidden/>
              </w:rPr>
              <w:fldChar w:fldCharType="begin"/>
            </w:r>
            <w:r>
              <w:rPr>
                <w:noProof/>
                <w:webHidden/>
              </w:rPr>
              <w:instrText xml:space="preserve"> PAGEREF _Toc215093011 \h </w:instrText>
            </w:r>
            <w:r>
              <w:rPr>
                <w:noProof/>
                <w:webHidden/>
              </w:rPr>
            </w:r>
            <w:r>
              <w:rPr>
                <w:noProof/>
                <w:webHidden/>
              </w:rPr>
              <w:fldChar w:fldCharType="separate"/>
            </w:r>
            <w:r>
              <w:rPr>
                <w:noProof/>
                <w:webHidden/>
              </w:rPr>
              <w:t>13</w:t>
            </w:r>
            <w:r>
              <w:rPr>
                <w:noProof/>
                <w:webHidden/>
              </w:rPr>
              <w:fldChar w:fldCharType="end"/>
            </w:r>
          </w:hyperlink>
        </w:p>
        <w:p w14:paraId="50F6E62F" w14:textId="60A53033" w:rsidR="005E3402" w:rsidRDefault="005E3402">
          <w:pPr>
            <w:pStyle w:val="TOC3"/>
            <w:tabs>
              <w:tab w:val="right" w:leader="dot" w:pos="9350"/>
            </w:tabs>
            <w:rPr>
              <w:noProof/>
            </w:rPr>
          </w:pPr>
          <w:hyperlink w:anchor="_Toc215093012" w:history="1">
            <w:r w:rsidRPr="00EC583B">
              <w:rPr>
                <w:rStyle w:val="Hyperlink"/>
                <w:rFonts w:ascii="Arial" w:hAnsi="Arial" w:cs="Arial"/>
                <w:noProof/>
              </w:rPr>
              <w:t>CHAPTER 4: RESULTS AND DISCUSSION</w:t>
            </w:r>
            <w:r>
              <w:rPr>
                <w:noProof/>
                <w:webHidden/>
              </w:rPr>
              <w:tab/>
            </w:r>
            <w:r>
              <w:rPr>
                <w:noProof/>
                <w:webHidden/>
              </w:rPr>
              <w:fldChar w:fldCharType="begin"/>
            </w:r>
            <w:r>
              <w:rPr>
                <w:noProof/>
                <w:webHidden/>
              </w:rPr>
              <w:instrText xml:space="preserve"> PAGEREF _Toc215093012 \h </w:instrText>
            </w:r>
            <w:r>
              <w:rPr>
                <w:noProof/>
                <w:webHidden/>
              </w:rPr>
            </w:r>
            <w:r>
              <w:rPr>
                <w:noProof/>
                <w:webHidden/>
              </w:rPr>
              <w:fldChar w:fldCharType="separate"/>
            </w:r>
            <w:r>
              <w:rPr>
                <w:noProof/>
                <w:webHidden/>
              </w:rPr>
              <w:t>13</w:t>
            </w:r>
            <w:r>
              <w:rPr>
                <w:noProof/>
                <w:webHidden/>
              </w:rPr>
              <w:fldChar w:fldCharType="end"/>
            </w:r>
          </w:hyperlink>
        </w:p>
        <w:p w14:paraId="2AE98559" w14:textId="7BBF9B47" w:rsidR="005E3402" w:rsidRDefault="005E3402">
          <w:pPr>
            <w:pStyle w:val="TOC2"/>
            <w:tabs>
              <w:tab w:val="right" w:leader="dot" w:pos="9350"/>
            </w:tabs>
            <w:rPr>
              <w:noProof/>
            </w:rPr>
          </w:pPr>
          <w:hyperlink w:anchor="_Toc215093013" w:history="1">
            <w:r w:rsidRPr="00EC583B">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_Toc215093013 \h </w:instrText>
            </w:r>
            <w:r>
              <w:rPr>
                <w:noProof/>
                <w:webHidden/>
              </w:rPr>
            </w:r>
            <w:r>
              <w:rPr>
                <w:noProof/>
                <w:webHidden/>
              </w:rPr>
              <w:fldChar w:fldCharType="separate"/>
            </w:r>
            <w:r>
              <w:rPr>
                <w:noProof/>
                <w:webHidden/>
              </w:rPr>
              <w:t>13</w:t>
            </w:r>
            <w:r>
              <w:rPr>
                <w:noProof/>
                <w:webHidden/>
              </w:rPr>
              <w:fldChar w:fldCharType="end"/>
            </w:r>
          </w:hyperlink>
        </w:p>
        <w:p w14:paraId="5BAD6CDD" w14:textId="2170BB4E" w:rsidR="005E3402" w:rsidRDefault="005E3402">
          <w:pPr>
            <w:pStyle w:val="TOC2"/>
            <w:tabs>
              <w:tab w:val="right" w:leader="dot" w:pos="9350"/>
            </w:tabs>
            <w:rPr>
              <w:noProof/>
            </w:rPr>
          </w:pPr>
          <w:hyperlink w:anchor="_Toc215093014" w:history="1">
            <w:r w:rsidRPr="00EC583B">
              <w:rPr>
                <w:rStyle w:val="Hyperlink"/>
                <w:rFonts w:ascii="Arial" w:hAnsi="Arial" w:cs="Arial"/>
                <w:noProof/>
              </w:rPr>
              <w:t>4.2 Burnout and Its Impact on Care Quality</w:t>
            </w:r>
            <w:r>
              <w:rPr>
                <w:noProof/>
                <w:webHidden/>
              </w:rPr>
              <w:tab/>
            </w:r>
            <w:r>
              <w:rPr>
                <w:noProof/>
                <w:webHidden/>
              </w:rPr>
              <w:fldChar w:fldCharType="begin"/>
            </w:r>
            <w:r>
              <w:rPr>
                <w:noProof/>
                <w:webHidden/>
              </w:rPr>
              <w:instrText xml:space="preserve"> PAGEREF _Toc215093014 \h </w:instrText>
            </w:r>
            <w:r>
              <w:rPr>
                <w:noProof/>
                <w:webHidden/>
              </w:rPr>
            </w:r>
            <w:r>
              <w:rPr>
                <w:noProof/>
                <w:webHidden/>
              </w:rPr>
              <w:fldChar w:fldCharType="separate"/>
            </w:r>
            <w:r>
              <w:rPr>
                <w:noProof/>
                <w:webHidden/>
              </w:rPr>
              <w:t>14</w:t>
            </w:r>
            <w:r>
              <w:rPr>
                <w:noProof/>
                <w:webHidden/>
              </w:rPr>
              <w:fldChar w:fldCharType="end"/>
            </w:r>
          </w:hyperlink>
        </w:p>
        <w:p w14:paraId="273649B5" w14:textId="3FE07293" w:rsidR="005E3402" w:rsidRDefault="005E3402">
          <w:pPr>
            <w:pStyle w:val="TOC2"/>
            <w:tabs>
              <w:tab w:val="right" w:leader="dot" w:pos="9350"/>
            </w:tabs>
            <w:rPr>
              <w:noProof/>
            </w:rPr>
          </w:pPr>
          <w:hyperlink w:anchor="_Toc215093015" w:history="1">
            <w:r w:rsidRPr="00EC583B">
              <w:rPr>
                <w:rStyle w:val="Hyperlink"/>
                <w:rFonts w:ascii="Arial" w:hAnsi="Arial" w:cs="Arial"/>
                <w:noProof/>
              </w:rPr>
              <w:t>CHAPTER 4: RESULTS AND DISCUSSION</w:t>
            </w:r>
            <w:r>
              <w:rPr>
                <w:noProof/>
                <w:webHidden/>
              </w:rPr>
              <w:tab/>
            </w:r>
            <w:r>
              <w:rPr>
                <w:noProof/>
                <w:webHidden/>
              </w:rPr>
              <w:fldChar w:fldCharType="begin"/>
            </w:r>
            <w:r>
              <w:rPr>
                <w:noProof/>
                <w:webHidden/>
              </w:rPr>
              <w:instrText xml:space="preserve"> PAGEREF _Toc215093015 \h </w:instrText>
            </w:r>
            <w:r>
              <w:rPr>
                <w:noProof/>
                <w:webHidden/>
              </w:rPr>
            </w:r>
            <w:r>
              <w:rPr>
                <w:noProof/>
                <w:webHidden/>
              </w:rPr>
              <w:fldChar w:fldCharType="separate"/>
            </w:r>
            <w:r>
              <w:rPr>
                <w:noProof/>
                <w:webHidden/>
              </w:rPr>
              <w:t>15</w:t>
            </w:r>
            <w:r>
              <w:rPr>
                <w:noProof/>
                <w:webHidden/>
              </w:rPr>
              <w:fldChar w:fldCharType="end"/>
            </w:r>
          </w:hyperlink>
        </w:p>
        <w:p w14:paraId="68B65C0D" w14:textId="501D3C4D" w:rsidR="005E3402" w:rsidRDefault="005E3402">
          <w:pPr>
            <w:pStyle w:val="TOC3"/>
            <w:tabs>
              <w:tab w:val="right" w:leader="dot" w:pos="9350"/>
            </w:tabs>
            <w:rPr>
              <w:noProof/>
            </w:rPr>
          </w:pPr>
          <w:hyperlink w:anchor="_Toc215093016" w:history="1">
            <w:r w:rsidRPr="00EC583B">
              <w:rPr>
                <w:rStyle w:val="Hyperlink"/>
                <w:rFonts w:ascii="Arial" w:hAnsi="Arial" w:cs="Arial"/>
                <w:noProof/>
              </w:rPr>
              <w:t>4.3 Psychological Safety and Team Functioning</w:t>
            </w:r>
            <w:r>
              <w:rPr>
                <w:noProof/>
                <w:webHidden/>
              </w:rPr>
              <w:tab/>
            </w:r>
            <w:r>
              <w:rPr>
                <w:noProof/>
                <w:webHidden/>
              </w:rPr>
              <w:fldChar w:fldCharType="begin"/>
            </w:r>
            <w:r>
              <w:rPr>
                <w:noProof/>
                <w:webHidden/>
              </w:rPr>
              <w:instrText xml:space="preserve"> PAGEREF _Toc215093016 \h </w:instrText>
            </w:r>
            <w:r>
              <w:rPr>
                <w:noProof/>
                <w:webHidden/>
              </w:rPr>
            </w:r>
            <w:r>
              <w:rPr>
                <w:noProof/>
                <w:webHidden/>
              </w:rPr>
              <w:fldChar w:fldCharType="separate"/>
            </w:r>
            <w:r>
              <w:rPr>
                <w:noProof/>
                <w:webHidden/>
              </w:rPr>
              <w:t>15</w:t>
            </w:r>
            <w:r>
              <w:rPr>
                <w:noProof/>
                <w:webHidden/>
              </w:rPr>
              <w:fldChar w:fldCharType="end"/>
            </w:r>
          </w:hyperlink>
        </w:p>
        <w:p w14:paraId="36F63A83" w14:textId="53FA212C" w:rsidR="005E3402" w:rsidRDefault="005E3402">
          <w:pPr>
            <w:pStyle w:val="TOC3"/>
            <w:tabs>
              <w:tab w:val="right" w:leader="dot" w:pos="9350"/>
            </w:tabs>
            <w:rPr>
              <w:noProof/>
            </w:rPr>
          </w:pPr>
          <w:hyperlink w:anchor="_Toc215093017" w:history="1">
            <w:r w:rsidRPr="00EC583B">
              <w:rPr>
                <w:rStyle w:val="Hyperlink"/>
                <w:rFonts w:ascii="Arial" w:hAnsi="Arial" w:cs="Arial"/>
                <w:noProof/>
              </w:rPr>
              <w:t>4.4 Empowerment, Autonomy, and Job Satisfaction</w:t>
            </w:r>
            <w:r>
              <w:rPr>
                <w:noProof/>
                <w:webHidden/>
              </w:rPr>
              <w:tab/>
            </w:r>
            <w:r>
              <w:rPr>
                <w:noProof/>
                <w:webHidden/>
              </w:rPr>
              <w:fldChar w:fldCharType="begin"/>
            </w:r>
            <w:r>
              <w:rPr>
                <w:noProof/>
                <w:webHidden/>
              </w:rPr>
              <w:instrText xml:space="preserve"> PAGEREF _Toc215093017 \h </w:instrText>
            </w:r>
            <w:r>
              <w:rPr>
                <w:noProof/>
                <w:webHidden/>
              </w:rPr>
            </w:r>
            <w:r>
              <w:rPr>
                <w:noProof/>
                <w:webHidden/>
              </w:rPr>
              <w:fldChar w:fldCharType="separate"/>
            </w:r>
            <w:r>
              <w:rPr>
                <w:noProof/>
                <w:webHidden/>
              </w:rPr>
              <w:t>16</w:t>
            </w:r>
            <w:r>
              <w:rPr>
                <w:noProof/>
                <w:webHidden/>
              </w:rPr>
              <w:fldChar w:fldCharType="end"/>
            </w:r>
          </w:hyperlink>
        </w:p>
        <w:p w14:paraId="1F2F7AA0" w14:textId="63EE5CB2" w:rsidR="005E3402" w:rsidRDefault="005E3402">
          <w:pPr>
            <w:pStyle w:val="TOC3"/>
            <w:tabs>
              <w:tab w:val="right" w:leader="dot" w:pos="9350"/>
            </w:tabs>
            <w:rPr>
              <w:noProof/>
            </w:rPr>
          </w:pPr>
          <w:hyperlink w:anchor="_Toc215093018" w:history="1">
            <w:r w:rsidRPr="00EC583B">
              <w:rPr>
                <w:rStyle w:val="Hyperlink"/>
                <w:rFonts w:ascii="Arial" w:hAnsi="Arial" w:cs="Arial"/>
                <w:noProof/>
              </w:rPr>
              <w:t>4.5 Organisational Culture and Leadership</w:t>
            </w:r>
            <w:r>
              <w:rPr>
                <w:noProof/>
                <w:webHidden/>
              </w:rPr>
              <w:tab/>
            </w:r>
            <w:r>
              <w:rPr>
                <w:noProof/>
                <w:webHidden/>
              </w:rPr>
              <w:fldChar w:fldCharType="begin"/>
            </w:r>
            <w:r>
              <w:rPr>
                <w:noProof/>
                <w:webHidden/>
              </w:rPr>
              <w:instrText xml:space="preserve"> PAGEREF _Toc215093018 \h </w:instrText>
            </w:r>
            <w:r>
              <w:rPr>
                <w:noProof/>
                <w:webHidden/>
              </w:rPr>
            </w:r>
            <w:r>
              <w:rPr>
                <w:noProof/>
                <w:webHidden/>
              </w:rPr>
              <w:fldChar w:fldCharType="separate"/>
            </w:r>
            <w:r>
              <w:rPr>
                <w:noProof/>
                <w:webHidden/>
              </w:rPr>
              <w:t>18</w:t>
            </w:r>
            <w:r>
              <w:rPr>
                <w:noProof/>
                <w:webHidden/>
              </w:rPr>
              <w:fldChar w:fldCharType="end"/>
            </w:r>
          </w:hyperlink>
        </w:p>
        <w:p w14:paraId="7B800717" w14:textId="6E2B1265" w:rsidR="005E3402" w:rsidRDefault="005E3402">
          <w:pPr>
            <w:pStyle w:val="TOC3"/>
            <w:tabs>
              <w:tab w:val="right" w:leader="dot" w:pos="9350"/>
            </w:tabs>
            <w:rPr>
              <w:noProof/>
            </w:rPr>
          </w:pPr>
          <w:hyperlink w:anchor="_Toc215093019" w:history="1">
            <w:r w:rsidRPr="00EC583B">
              <w:rPr>
                <w:rStyle w:val="Hyperlink"/>
                <w:rFonts w:ascii="Arial" w:hAnsi="Arial" w:cs="Arial"/>
                <w:noProof/>
              </w:rPr>
              <w:t>4.6 Policy-Practice Gaps and Systemic Constraints</w:t>
            </w:r>
            <w:r>
              <w:rPr>
                <w:noProof/>
                <w:webHidden/>
              </w:rPr>
              <w:tab/>
            </w:r>
            <w:r>
              <w:rPr>
                <w:noProof/>
                <w:webHidden/>
              </w:rPr>
              <w:fldChar w:fldCharType="begin"/>
            </w:r>
            <w:r>
              <w:rPr>
                <w:noProof/>
                <w:webHidden/>
              </w:rPr>
              <w:instrText xml:space="preserve"> PAGEREF _Toc215093019 \h </w:instrText>
            </w:r>
            <w:r>
              <w:rPr>
                <w:noProof/>
                <w:webHidden/>
              </w:rPr>
            </w:r>
            <w:r>
              <w:rPr>
                <w:noProof/>
                <w:webHidden/>
              </w:rPr>
              <w:fldChar w:fldCharType="separate"/>
            </w:r>
            <w:r>
              <w:rPr>
                <w:noProof/>
                <w:webHidden/>
              </w:rPr>
              <w:t>20</w:t>
            </w:r>
            <w:r>
              <w:rPr>
                <w:noProof/>
                <w:webHidden/>
              </w:rPr>
              <w:fldChar w:fldCharType="end"/>
            </w:r>
          </w:hyperlink>
        </w:p>
        <w:p w14:paraId="799CFBAE" w14:textId="1C41FBA6" w:rsidR="005E3402" w:rsidRDefault="005E3402">
          <w:pPr>
            <w:pStyle w:val="TOC2"/>
            <w:tabs>
              <w:tab w:val="right" w:leader="dot" w:pos="9350"/>
            </w:tabs>
            <w:rPr>
              <w:noProof/>
            </w:rPr>
          </w:pPr>
          <w:hyperlink w:anchor="_Toc215093020" w:history="1">
            <w:r w:rsidRPr="00EC583B">
              <w:rPr>
                <w:rStyle w:val="Hyperlink"/>
                <w:rFonts w:ascii="Segoe UI Emoji" w:hAnsi="Segoe UI Emoji" w:cs="Segoe UI Emoji"/>
                <w:noProof/>
              </w:rPr>
              <w:t>✅</w:t>
            </w:r>
            <w:r w:rsidRPr="00EC583B">
              <w:rPr>
                <w:rStyle w:val="Hyperlink"/>
                <w:rFonts w:ascii="Arial" w:hAnsi="Arial" w:cs="Arial"/>
                <w:noProof/>
              </w:rPr>
              <w:t xml:space="preserve"> Chapter 4 Summary</w:t>
            </w:r>
            <w:r>
              <w:rPr>
                <w:noProof/>
                <w:webHidden/>
              </w:rPr>
              <w:tab/>
            </w:r>
            <w:r>
              <w:rPr>
                <w:noProof/>
                <w:webHidden/>
              </w:rPr>
              <w:fldChar w:fldCharType="begin"/>
            </w:r>
            <w:r>
              <w:rPr>
                <w:noProof/>
                <w:webHidden/>
              </w:rPr>
              <w:instrText xml:space="preserve"> PAGEREF _Toc215093020 \h </w:instrText>
            </w:r>
            <w:r>
              <w:rPr>
                <w:noProof/>
                <w:webHidden/>
              </w:rPr>
            </w:r>
            <w:r>
              <w:rPr>
                <w:noProof/>
                <w:webHidden/>
              </w:rPr>
              <w:fldChar w:fldCharType="separate"/>
            </w:r>
            <w:r>
              <w:rPr>
                <w:noProof/>
                <w:webHidden/>
              </w:rPr>
              <w:t>22</w:t>
            </w:r>
            <w:r>
              <w:rPr>
                <w:noProof/>
                <w:webHidden/>
              </w:rPr>
              <w:fldChar w:fldCharType="end"/>
            </w:r>
          </w:hyperlink>
        </w:p>
        <w:p w14:paraId="16704C02" w14:textId="712C9486" w:rsidR="005E3402" w:rsidRDefault="005E3402">
          <w:pPr>
            <w:pStyle w:val="TOC2"/>
            <w:tabs>
              <w:tab w:val="right" w:leader="dot" w:pos="9350"/>
            </w:tabs>
            <w:rPr>
              <w:noProof/>
            </w:rPr>
          </w:pPr>
          <w:hyperlink w:anchor="_Toc215093021" w:history="1">
            <w:r w:rsidRPr="00EC583B">
              <w:rPr>
                <w:rStyle w:val="Hyperlink"/>
                <w:rFonts w:ascii="Segoe UI Emoji" w:hAnsi="Segoe UI Emoji" w:cs="Segoe UI Emoji"/>
                <w:noProof/>
              </w:rPr>
              <w:t>📘</w:t>
            </w:r>
            <w:r w:rsidRPr="00EC583B">
              <w:rPr>
                <w:rStyle w:val="Hyperlink"/>
                <w:rFonts w:ascii="Arial" w:hAnsi="Arial" w:cs="Arial"/>
                <w:noProof/>
              </w:rPr>
              <w:t xml:space="preserve"> CHAPTER 5: RECOMMENDATIONS AND CONCLUSION</w:t>
            </w:r>
            <w:r>
              <w:rPr>
                <w:noProof/>
                <w:webHidden/>
              </w:rPr>
              <w:tab/>
            </w:r>
            <w:r>
              <w:rPr>
                <w:noProof/>
                <w:webHidden/>
              </w:rPr>
              <w:fldChar w:fldCharType="begin"/>
            </w:r>
            <w:r>
              <w:rPr>
                <w:noProof/>
                <w:webHidden/>
              </w:rPr>
              <w:instrText xml:space="preserve"> PAGEREF _Toc215093021 \h </w:instrText>
            </w:r>
            <w:r>
              <w:rPr>
                <w:noProof/>
                <w:webHidden/>
              </w:rPr>
            </w:r>
            <w:r>
              <w:rPr>
                <w:noProof/>
                <w:webHidden/>
              </w:rPr>
              <w:fldChar w:fldCharType="separate"/>
            </w:r>
            <w:r>
              <w:rPr>
                <w:noProof/>
                <w:webHidden/>
              </w:rPr>
              <w:t>22</w:t>
            </w:r>
            <w:r>
              <w:rPr>
                <w:noProof/>
                <w:webHidden/>
              </w:rPr>
              <w:fldChar w:fldCharType="end"/>
            </w:r>
          </w:hyperlink>
        </w:p>
        <w:p w14:paraId="6D209DB3" w14:textId="5EA09A7A" w:rsidR="005E3402" w:rsidRDefault="005E3402">
          <w:pPr>
            <w:pStyle w:val="TOC3"/>
            <w:tabs>
              <w:tab w:val="right" w:leader="dot" w:pos="9350"/>
            </w:tabs>
            <w:rPr>
              <w:noProof/>
            </w:rPr>
          </w:pPr>
          <w:hyperlink w:anchor="_Toc215093022" w:history="1">
            <w:r w:rsidRPr="00EC583B">
              <w:rPr>
                <w:rStyle w:val="Hyperlink"/>
                <w:rFonts w:ascii="Arial" w:hAnsi="Arial" w:cs="Arial"/>
                <w:noProof/>
              </w:rPr>
              <w:t>5.1 Overview of Key Findings</w:t>
            </w:r>
            <w:r>
              <w:rPr>
                <w:noProof/>
                <w:webHidden/>
              </w:rPr>
              <w:tab/>
            </w:r>
            <w:r>
              <w:rPr>
                <w:noProof/>
                <w:webHidden/>
              </w:rPr>
              <w:fldChar w:fldCharType="begin"/>
            </w:r>
            <w:r>
              <w:rPr>
                <w:noProof/>
                <w:webHidden/>
              </w:rPr>
              <w:instrText xml:space="preserve"> PAGEREF _Toc215093022 \h </w:instrText>
            </w:r>
            <w:r>
              <w:rPr>
                <w:noProof/>
                <w:webHidden/>
              </w:rPr>
            </w:r>
            <w:r>
              <w:rPr>
                <w:noProof/>
                <w:webHidden/>
              </w:rPr>
              <w:fldChar w:fldCharType="separate"/>
            </w:r>
            <w:r>
              <w:rPr>
                <w:noProof/>
                <w:webHidden/>
              </w:rPr>
              <w:t>23</w:t>
            </w:r>
            <w:r>
              <w:rPr>
                <w:noProof/>
                <w:webHidden/>
              </w:rPr>
              <w:fldChar w:fldCharType="end"/>
            </w:r>
          </w:hyperlink>
        </w:p>
        <w:p w14:paraId="174EC5FB" w14:textId="703EFF1B" w:rsidR="005E3402" w:rsidRDefault="005E3402">
          <w:pPr>
            <w:pStyle w:val="TOC3"/>
            <w:tabs>
              <w:tab w:val="right" w:leader="dot" w:pos="9350"/>
            </w:tabs>
            <w:rPr>
              <w:noProof/>
            </w:rPr>
          </w:pPr>
          <w:hyperlink w:anchor="_Toc215093023" w:history="1">
            <w:r w:rsidRPr="00EC583B">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_Toc215093023 \h </w:instrText>
            </w:r>
            <w:r>
              <w:rPr>
                <w:noProof/>
                <w:webHidden/>
              </w:rPr>
            </w:r>
            <w:r>
              <w:rPr>
                <w:noProof/>
                <w:webHidden/>
              </w:rPr>
              <w:fldChar w:fldCharType="separate"/>
            </w:r>
            <w:r>
              <w:rPr>
                <w:noProof/>
                <w:webHidden/>
              </w:rPr>
              <w:t>23</w:t>
            </w:r>
            <w:r>
              <w:rPr>
                <w:noProof/>
                <w:webHidden/>
              </w:rPr>
              <w:fldChar w:fldCharType="end"/>
            </w:r>
          </w:hyperlink>
        </w:p>
        <w:p w14:paraId="440DDBAA" w14:textId="43FED0B5" w:rsidR="005E3402" w:rsidRDefault="005E3402">
          <w:pPr>
            <w:pStyle w:val="TOC3"/>
            <w:tabs>
              <w:tab w:val="right" w:leader="dot" w:pos="9350"/>
            </w:tabs>
            <w:rPr>
              <w:noProof/>
            </w:rPr>
          </w:pPr>
          <w:hyperlink w:anchor="_Toc215093024" w:history="1">
            <w:r w:rsidRPr="00EC583B">
              <w:rPr>
                <w:rStyle w:val="Hyperlink"/>
                <w:rFonts w:ascii="Arial" w:hAnsi="Arial" w:cs="Arial"/>
                <w:noProof/>
              </w:rPr>
              <w:t>5.3 Strengths and Limitations of the Study</w:t>
            </w:r>
            <w:r>
              <w:rPr>
                <w:noProof/>
                <w:webHidden/>
              </w:rPr>
              <w:tab/>
            </w:r>
            <w:r>
              <w:rPr>
                <w:noProof/>
                <w:webHidden/>
              </w:rPr>
              <w:fldChar w:fldCharType="begin"/>
            </w:r>
            <w:r>
              <w:rPr>
                <w:noProof/>
                <w:webHidden/>
              </w:rPr>
              <w:instrText xml:space="preserve"> PAGEREF _Toc215093024 \h </w:instrText>
            </w:r>
            <w:r>
              <w:rPr>
                <w:noProof/>
                <w:webHidden/>
              </w:rPr>
            </w:r>
            <w:r>
              <w:rPr>
                <w:noProof/>
                <w:webHidden/>
              </w:rPr>
              <w:fldChar w:fldCharType="separate"/>
            </w:r>
            <w:r>
              <w:rPr>
                <w:noProof/>
                <w:webHidden/>
              </w:rPr>
              <w:t>25</w:t>
            </w:r>
            <w:r>
              <w:rPr>
                <w:noProof/>
                <w:webHidden/>
              </w:rPr>
              <w:fldChar w:fldCharType="end"/>
            </w:r>
          </w:hyperlink>
        </w:p>
        <w:p w14:paraId="62B0EC69" w14:textId="71465E5B" w:rsidR="005E3402" w:rsidRDefault="005E3402">
          <w:pPr>
            <w:pStyle w:val="TOC3"/>
            <w:tabs>
              <w:tab w:val="right" w:leader="dot" w:pos="9350"/>
            </w:tabs>
            <w:rPr>
              <w:noProof/>
            </w:rPr>
          </w:pPr>
          <w:hyperlink w:anchor="_Toc215093025" w:history="1">
            <w:r w:rsidRPr="00EC583B">
              <w:rPr>
                <w:rStyle w:val="Hyperlink"/>
                <w:rFonts w:ascii="Arial" w:hAnsi="Arial" w:cs="Arial"/>
                <w:noProof/>
              </w:rPr>
              <w:t>5.4 Conclusion</w:t>
            </w:r>
            <w:r>
              <w:rPr>
                <w:noProof/>
                <w:webHidden/>
              </w:rPr>
              <w:tab/>
            </w:r>
            <w:r>
              <w:rPr>
                <w:noProof/>
                <w:webHidden/>
              </w:rPr>
              <w:fldChar w:fldCharType="begin"/>
            </w:r>
            <w:r>
              <w:rPr>
                <w:noProof/>
                <w:webHidden/>
              </w:rPr>
              <w:instrText xml:space="preserve"> PAGEREF _Toc215093025 \h </w:instrText>
            </w:r>
            <w:r>
              <w:rPr>
                <w:noProof/>
                <w:webHidden/>
              </w:rPr>
            </w:r>
            <w:r>
              <w:rPr>
                <w:noProof/>
                <w:webHidden/>
              </w:rPr>
              <w:fldChar w:fldCharType="separate"/>
            </w:r>
            <w:r>
              <w:rPr>
                <w:noProof/>
                <w:webHidden/>
              </w:rPr>
              <w:t>25</w:t>
            </w:r>
            <w:r>
              <w:rPr>
                <w:noProof/>
                <w:webHidden/>
              </w:rPr>
              <w:fldChar w:fldCharType="end"/>
            </w:r>
          </w:hyperlink>
        </w:p>
        <w:p w14:paraId="386A6850" w14:textId="4FC0A645" w:rsidR="005E3402" w:rsidRDefault="005E3402">
          <w:pPr>
            <w:pStyle w:val="TOC3"/>
            <w:tabs>
              <w:tab w:val="right" w:leader="dot" w:pos="9350"/>
            </w:tabs>
            <w:rPr>
              <w:noProof/>
            </w:rPr>
          </w:pPr>
          <w:hyperlink w:anchor="_Toc215093026" w:history="1">
            <w:r w:rsidRPr="00EC583B">
              <w:rPr>
                <w:rStyle w:val="Hyperlink"/>
                <w:rFonts w:ascii="Arial" w:hAnsi="Arial" w:cs="Arial"/>
                <w:noProof/>
              </w:rPr>
              <w:t>5.4 Expanded Conclusion</w:t>
            </w:r>
            <w:r>
              <w:rPr>
                <w:noProof/>
                <w:webHidden/>
              </w:rPr>
              <w:tab/>
            </w:r>
            <w:r>
              <w:rPr>
                <w:noProof/>
                <w:webHidden/>
              </w:rPr>
              <w:fldChar w:fldCharType="begin"/>
            </w:r>
            <w:r>
              <w:rPr>
                <w:noProof/>
                <w:webHidden/>
              </w:rPr>
              <w:instrText xml:space="preserve"> PAGEREF _Toc215093026 \h </w:instrText>
            </w:r>
            <w:r>
              <w:rPr>
                <w:noProof/>
                <w:webHidden/>
              </w:rPr>
            </w:r>
            <w:r>
              <w:rPr>
                <w:noProof/>
                <w:webHidden/>
              </w:rPr>
              <w:fldChar w:fldCharType="separate"/>
            </w:r>
            <w:r>
              <w:rPr>
                <w:noProof/>
                <w:webHidden/>
              </w:rPr>
              <w:t>25</w:t>
            </w:r>
            <w:r>
              <w:rPr>
                <w:noProof/>
                <w:webHidden/>
              </w:rPr>
              <w:fldChar w:fldCharType="end"/>
            </w:r>
          </w:hyperlink>
        </w:p>
        <w:p w14:paraId="65309BAD" w14:textId="72921A5C" w:rsidR="005E3402" w:rsidRDefault="005E3402">
          <w:pPr>
            <w:pStyle w:val="TOC2"/>
            <w:tabs>
              <w:tab w:val="right" w:leader="dot" w:pos="9350"/>
            </w:tabs>
            <w:rPr>
              <w:noProof/>
            </w:rPr>
          </w:pPr>
          <w:hyperlink w:anchor="_Toc215093027" w:history="1">
            <w:r w:rsidRPr="00EC583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_Toc215093027 \h </w:instrText>
            </w:r>
            <w:r>
              <w:rPr>
                <w:noProof/>
                <w:webHidden/>
              </w:rPr>
            </w:r>
            <w:r>
              <w:rPr>
                <w:noProof/>
                <w:webHidden/>
              </w:rPr>
              <w:fldChar w:fldCharType="separate"/>
            </w:r>
            <w:r>
              <w:rPr>
                <w:noProof/>
                <w:webHidden/>
              </w:rPr>
              <w:t>27</w:t>
            </w:r>
            <w:r>
              <w:rPr>
                <w:noProof/>
                <w:webHidden/>
              </w:rPr>
              <w:fldChar w:fldCharType="end"/>
            </w:r>
          </w:hyperlink>
        </w:p>
        <w:p w14:paraId="4EA2D581" w14:textId="6A0A39D3" w:rsidR="005E3402" w:rsidRDefault="005E3402">
          <w:r>
            <w:rPr>
              <w:b/>
              <w:bCs/>
              <w:noProof/>
            </w:rPr>
            <w:fldChar w:fldCharType="end"/>
          </w:r>
        </w:p>
      </w:sdtContent>
    </w:sdt>
    <w:p w14:paraId="46D810D2" w14:textId="78E47BBE" w:rsidR="005E3402" w:rsidRDefault="005E3402" w:rsidP="005E3402">
      <w:pPr>
        <w:pStyle w:val="NormalWeb"/>
        <w:jc w:val="center"/>
        <w:rPr>
          <w:rFonts w:ascii="Arial" w:hAnsi="Arial" w:cs="Arial"/>
        </w:rPr>
      </w:pPr>
    </w:p>
    <w:p w14:paraId="706C199D" w14:textId="7E1F83F5" w:rsidR="005E3402" w:rsidRDefault="005E3402" w:rsidP="005E3402">
      <w:pPr>
        <w:pStyle w:val="NormalWeb"/>
        <w:jc w:val="center"/>
        <w:rPr>
          <w:rFonts w:ascii="Arial" w:hAnsi="Arial" w:cs="Arial"/>
        </w:rPr>
      </w:pPr>
    </w:p>
    <w:p w14:paraId="1A164BD0" w14:textId="64671D23" w:rsidR="005E3402" w:rsidRDefault="005E3402" w:rsidP="005E3402">
      <w:pPr>
        <w:pStyle w:val="NormalWeb"/>
        <w:jc w:val="center"/>
        <w:rPr>
          <w:rFonts w:ascii="Arial" w:hAnsi="Arial" w:cs="Arial"/>
        </w:rPr>
      </w:pPr>
    </w:p>
    <w:p w14:paraId="62D5B8DB" w14:textId="3C218E0A" w:rsidR="005E3402" w:rsidRDefault="005E3402" w:rsidP="005E3402">
      <w:pPr>
        <w:pStyle w:val="NormalWeb"/>
        <w:jc w:val="center"/>
        <w:rPr>
          <w:rFonts w:ascii="Arial" w:hAnsi="Arial" w:cs="Arial"/>
        </w:rPr>
      </w:pPr>
    </w:p>
    <w:p w14:paraId="6E52DF5C" w14:textId="7C4FC26E" w:rsidR="005E3402" w:rsidRDefault="005E3402" w:rsidP="005E3402">
      <w:pPr>
        <w:pStyle w:val="NormalWeb"/>
        <w:jc w:val="center"/>
        <w:rPr>
          <w:rFonts w:ascii="Arial" w:hAnsi="Arial" w:cs="Arial"/>
        </w:rPr>
      </w:pPr>
    </w:p>
    <w:p w14:paraId="1AE2F976" w14:textId="1088F551" w:rsidR="005E3402" w:rsidRDefault="005E3402" w:rsidP="005E3402">
      <w:pPr>
        <w:pStyle w:val="NormalWeb"/>
        <w:jc w:val="center"/>
        <w:rPr>
          <w:rFonts w:ascii="Arial" w:hAnsi="Arial" w:cs="Arial"/>
        </w:rPr>
      </w:pPr>
    </w:p>
    <w:p w14:paraId="7AFDD657" w14:textId="77777777" w:rsidR="005E3402" w:rsidRPr="005E3402" w:rsidRDefault="005E3402" w:rsidP="005E3402">
      <w:pPr>
        <w:pStyle w:val="NormalWeb"/>
        <w:jc w:val="center"/>
        <w:rPr>
          <w:rFonts w:ascii="Arial" w:hAnsi="Arial" w:cs="Arial"/>
        </w:rPr>
      </w:pPr>
    </w:p>
    <w:p w14:paraId="52829508" w14:textId="77777777" w:rsidR="005E3402" w:rsidRPr="005E3402" w:rsidRDefault="005E3402" w:rsidP="005E3402">
      <w:pPr>
        <w:pStyle w:val="NormalWeb"/>
        <w:jc w:val="center"/>
        <w:rPr>
          <w:rFonts w:ascii="Arial" w:hAnsi="Arial" w:cs="Arial"/>
        </w:rPr>
      </w:pPr>
    </w:p>
    <w:p w14:paraId="13FB4A98" w14:textId="77777777" w:rsidR="005E3402" w:rsidRPr="005E3402" w:rsidRDefault="005E3402" w:rsidP="005E3402">
      <w:pPr>
        <w:spacing w:before="100" w:beforeAutospacing="1" w:after="100" w:afterAutospacing="1"/>
        <w:outlineLvl w:val="0"/>
        <w:rPr>
          <w:rFonts w:ascii="Arial" w:eastAsia="Times New Roman" w:hAnsi="Arial" w:cs="Arial"/>
          <w:b/>
          <w:bCs/>
          <w:kern w:val="36"/>
          <w:sz w:val="48"/>
          <w:szCs w:val="48"/>
        </w:rPr>
      </w:pPr>
    </w:p>
    <w:p w14:paraId="30FD56DB" w14:textId="77777777" w:rsidR="005E3402" w:rsidRPr="005E3402" w:rsidRDefault="005E3402" w:rsidP="005E3402">
      <w:pPr>
        <w:pStyle w:val="Heading2"/>
        <w:rPr>
          <w:rFonts w:ascii="Arial" w:hAnsi="Arial" w:cs="Arial"/>
        </w:rPr>
      </w:pPr>
      <w:bookmarkStart w:id="1" w:name="_Toc215092981"/>
      <w:r w:rsidRPr="005E3402">
        <w:rPr>
          <w:rStyle w:val="Strong"/>
          <w:rFonts w:ascii="Arial" w:hAnsi="Arial" w:cs="Arial"/>
          <w:b w:val="0"/>
          <w:bCs w:val="0"/>
        </w:rPr>
        <w:lastRenderedPageBreak/>
        <w:t>Abstract</w:t>
      </w:r>
      <w:bookmarkEnd w:id="1"/>
    </w:p>
    <w:p w14:paraId="01F9E5E1" w14:textId="77777777" w:rsidR="005E3402" w:rsidRPr="005E3402" w:rsidRDefault="005E3402" w:rsidP="005E3402">
      <w:pPr>
        <w:pStyle w:val="NormalWeb"/>
        <w:rPr>
          <w:rFonts w:ascii="Arial" w:hAnsi="Arial" w:cs="Arial"/>
        </w:rPr>
      </w:pPr>
      <w:r w:rsidRPr="005E3402">
        <w:rPr>
          <w:rFonts w:ascii="Arial" w:hAnsi="Arial" w:cs="Arial"/>
        </w:rPr>
        <w:t>Workforce wellbeing has emerged as a critical concern in health and social care, particularly in the context of increasing service demands, staff shortages, and the long-term impacts of the COVID-19 pandemic. This dissertation explores the relationship between workforce wellbeing and quality of care through a scoping review of literature published post-2020. The study aimed to map the key factors that influence staff wellbeing and to evaluate how these, in turn, affect care outcomes across various health and social care settings in the UK, with selected international comparisons.</w:t>
      </w:r>
    </w:p>
    <w:p w14:paraId="6AF4A5CD" w14:textId="77777777" w:rsidR="005E3402" w:rsidRPr="005E3402" w:rsidRDefault="005E3402" w:rsidP="005E3402">
      <w:pPr>
        <w:pStyle w:val="NormalWeb"/>
        <w:rPr>
          <w:rFonts w:ascii="Arial" w:hAnsi="Arial" w:cs="Arial"/>
        </w:rPr>
      </w:pPr>
      <w:r w:rsidRPr="005E3402">
        <w:rPr>
          <w:rFonts w:ascii="Arial" w:hAnsi="Arial" w:cs="Arial"/>
        </w:rPr>
        <w:t xml:space="preserve">Seventy-four sources were </w:t>
      </w:r>
      <w:proofErr w:type="spellStart"/>
      <w:r w:rsidRPr="005E3402">
        <w:rPr>
          <w:rFonts w:ascii="Arial" w:hAnsi="Arial" w:cs="Arial"/>
        </w:rPr>
        <w:t>analysed</w:t>
      </w:r>
      <w:proofErr w:type="spellEnd"/>
      <w:r w:rsidRPr="005E3402">
        <w:rPr>
          <w:rFonts w:ascii="Arial" w:hAnsi="Arial" w:cs="Arial"/>
        </w:rPr>
        <w:t xml:space="preserve">, including empirical studies, grey literature, and policy documents. The review was structured thematically and interpreted using a combination of theoretical frameworks: Maslow’s Hierarchy of Needs, Empowerment Theory, the Job Demands-Resources (JD-R) model, and the NHS Workforce Wellbeing Framework. Five core themes were identified: burnout and its impact on care quality; psychological safety and team functioning; empowerment, autonomy, and job satisfaction; </w:t>
      </w:r>
      <w:proofErr w:type="spellStart"/>
      <w:r w:rsidRPr="005E3402">
        <w:rPr>
          <w:rFonts w:ascii="Arial" w:hAnsi="Arial" w:cs="Arial"/>
        </w:rPr>
        <w:t>organisational</w:t>
      </w:r>
      <w:proofErr w:type="spellEnd"/>
      <w:r w:rsidRPr="005E3402">
        <w:rPr>
          <w:rFonts w:ascii="Arial" w:hAnsi="Arial" w:cs="Arial"/>
        </w:rPr>
        <w:t xml:space="preserve"> culture and leadership; and policy-practice gaps and systemic constraints.</w:t>
      </w:r>
    </w:p>
    <w:p w14:paraId="4689AB1A" w14:textId="77777777" w:rsidR="005E3402" w:rsidRPr="005E3402" w:rsidRDefault="005E3402" w:rsidP="005E3402">
      <w:pPr>
        <w:pStyle w:val="NormalWeb"/>
        <w:rPr>
          <w:rFonts w:ascii="Arial" w:hAnsi="Arial" w:cs="Arial"/>
        </w:rPr>
      </w:pPr>
      <w:r w:rsidRPr="005E3402">
        <w:rPr>
          <w:rFonts w:ascii="Arial" w:hAnsi="Arial" w:cs="Arial"/>
        </w:rPr>
        <w:t xml:space="preserve">Findings indicate that workforce wellbeing is not merely an individual concern but a systemic determinant of care quality. High levels of burnout, poor psychological safety, and lack of empowerment were consistently linked to negative care outcomes, including reduced patient satisfaction, clinical errors, and staff turnover. Conversely, inclusive leadership, supportive </w:t>
      </w:r>
      <w:proofErr w:type="spellStart"/>
      <w:r w:rsidRPr="005E3402">
        <w:rPr>
          <w:rFonts w:ascii="Arial" w:hAnsi="Arial" w:cs="Arial"/>
        </w:rPr>
        <w:t>organisational</w:t>
      </w:r>
      <w:proofErr w:type="spellEnd"/>
      <w:r w:rsidRPr="005E3402">
        <w:rPr>
          <w:rFonts w:ascii="Arial" w:hAnsi="Arial" w:cs="Arial"/>
        </w:rPr>
        <w:t xml:space="preserve"> cultures, and meaningful policy implementation were found to improve both staff experience and care effectiveness.</w:t>
      </w:r>
    </w:p>
    <w:p w14:paraId="2A75D824" w14:textId="77777777" w:rsidR="005E3402" w:rsidRPr="005E3402" w:rsidRDefault="005E3402" w:rsidP="005E3402">
      <w:pPr>
        <w:pStyle w:val="NormalWeb"/>
        <w:rPr>
          <w:rFonts w:ascii="Arial" w:hAnsi="Arial" w:cs="Arial"/>
        </w:rPr>
      </w:pPr>
      <w:r w:rsidRPr="005E3402">
        <w:rPr>
          <w:rFonts w:ascii="Arial" w:hAnsi="Arial" w:cs="Arial"/>
        </w:rPr>
        <w:t xml:space="preserve">The study concludes that sustained investment in workforce wellbeing is essential to delivering high-quality, compassionate care. Recommendations include embedding wellbeing into </w:t>
      </w:r>
      <w:proofErr w:type="spellStart"/>
      <w:r w:rsidRPr="005E3402">
        <w:rPr>
          <w:rFonts w:ascii="Arial" w:hAnsi="Arial" w:cs="Arial"/>
        </w:rPr>
        <w:t>organisational</w:t>
      </w:r>
      <w:proofErr w:type="spellEnd"/>
      <w:r w:rsidRPr="005E3402">
        <w:rPr>
          <w:rFonts w:ascii="Arial" w:hAnsi="Arial" w:cs="Arial"/>
        </w:rPr>
        <w:t xml:space="preserve"> strategy, improving staffing and funding, fostering inclusive leadership, and addressing structural inequalities. This research contributes to the evidence base informing workforce planning, policy development, and leadership practice in the health and social care sector.</w:t>
      </w:r>
    </w:p>
    <w:p w14:paraId="27DF384A" w14:textId="7714CA5A" w:rsidR="005E3402" w:rsidRDefault="005E3402" w:rsidP="005E3402">
      <w:pPr>
        <w:spacing w:before="100" w:beforeAutospacing="1" w:after="100" w:afterAutospacing="1"/>
        <w:outlineLvl w:val="0"/>
        <w:rPr>
          <w:rFonts w:ascii="Arial" w:eastAsia="Times New Roman" w:hAnsi="Arial" w:cs="Arial"/>
          <w:b/>
          <w:bCs/>
          <w:kern w:val="36"/>
          <w:sz w:val="48"/>
          <w:szCs w:val="48"/>
        </w:rPr>
      </w:pPr>
    </w:p>
    <w:p w14:paraId="73A3DD8C" w14:textId="707731A0" w:rsidR="005E3402" w:rsidRDefault="005E3402" w:rsidP="005E3402">
      <w:pPr>
        <w:spacing w:before="100" w:beforeAutospacing="1" w:after="100" w:afterAutospacing="1"/>
        <w:outlineLvl w:val="0"/>
        <w:rPr>
          <w:rFonts w:ascii="Arial" w:eastAsia="Times New Roman" w:hAnsi="Arial" w:cs="Arial"/>
          <w:b/>
          <w:bCs/>
          <w:kern w:val="36"/>
          <w:sz w:val="48"/>
          <w:szCs w:val="48"/>
        </w:rPr>
      </w:pPr>
    </w:p>
    <w:p w14:paraId="27B7CB60" w14:textId="0B191516" w:rsidR="005E3402" w:rsidRDefault="005E3402" w:rsidP="005E3402">
      <w:pPr>
        <w:spacing w:before="100" w:beforeAutospacing="1" w:after="100" w:afterAutospacing="1"/>
        <w:outlineLvl w:val="0"/>
        <w:rPr>
          <w:rFonts w:ascii="Arial" w:eastAsia="Times New Roman" w:hAnsi="Arial" w:cs="Arial"/>
          <w:b/>
          <w:bCs/>
          <w:kern w:val="36"/>
          <w:sz w:val="48"/>
          <w:szCs w:val="48"/>
        </w:rPr>
      </w:pPr>
    </w:p>
    <w:p w14:paraId="5C4A9467" w14:textId="77777777" w:rsidR="005E3402" w:rsidRPr="005E3402" w:rsidRDefault="005E3402" w:rsidP="005E3402">
      <w:pPr>
        <w:spacing w:before="100" w:beforeAutospacing="1" w:after="100" w:afterAutospacing="1"/>
        <w:outlineLvl w:val="0"/>
        <w:rPr>
          <w:rFonts w:ascii="Arial" w:eastAsia="Times New Roman" w:hAnsi="Arial" w:cs="Arial"/>
          <w:b/>
          <w:bCs/>
          <w:kern w:val="36"/>
          <w:sz w:val="48"/>
          <w:szCs w:val="48"/>
        </w:rPr>
      </w:pPr>
    </w:p>
    <w:p w14:paraId="271B30A1" w14:textId="2A6961F2" w:rsidR="005E3402" w:rsidRPr="005E3402" w:rsidRDefault="005E3402" w:rsidP="005E3402">
      <w:pPr>
        <w:spacing w:before="100" w:beforeAutospacing="1" w:after="100" w:afterAutospacing="1"/>
        <w:outlineLvl w:val="0"/>
        <w:rPr>
          <w:rFonts w:ascii="Arial" w:eastAsia="Times New Roman" w:hAnsi="Arial" w:cs="Arial"/>
          <w:b/>
          <w:bCs/>
          <w:kern w:val="36"/>
          <w:sz w:val="48"/>
          <w:szCs w:val="48"/>
        </w:rPr>
      </w:pPr>
      <w:bookmarkStart w:id="2" w:name="_Toc215092982"/>
      <w:r w:rsidRPr="005E3402">
        <w:rPr>
          <w:rFonts w:ascii="Arial" w:eastAsia="Times New Roman" w:hAnsi="Arial" w:cs="Arial"/>
          <w:b/>
          <w:bCs/>
          <w:kern w:val="36"/>
          <w:sz w:val="48"/>
          <w:szCs w:val="48"/>
        </w:rPr>
        <w:lastRenderedPageBreak/>
        <w:t>CHAPTER 1: INTRODUCTION</w:t>
      </w:r>
      <w:bookmarkEnd w:id="2"/>
    </w:p>
    <w:p w14:paraId="59254875" w14:textId="77777777" w:rsidR="005E3402" w:rsidRPr="005E3402" w:rsidRDefault="005E3402" w:rsidP="005E3402">
      <w:pPr>
        <w:spacing w:before="100" w:beforeAutospacing="1" w:after="100" w:afterAutospacing="1"/>
        <w:outlineLvl w:val="2"/>
        <w:rPr>
          <w:rFonts w:ascii="Arial" w:eastAsia="Times New Roman" w:hAnsi="Arial" w:cs="Arial"/>
          <w:b/>
          <w:bCs/>
          <w:sz w:val="27"/>
          <w:szCs w:val="27"/>
        </w:rPr>
      </w:pPr>
      <w:bookmarkStart w:id="3" w:name="_Toc215092983"/>
      <w:r w:rsidRPr="005E3402">
        <w:rPr>
          <w:rFonts w:ascii="Arial" w:eastAsia="Times New Roman" w:hAnsi="Arial" w:cs="Arial"/>
          <w:b/>
          <w:bCs/>
          <w:sz w:val="27"/>
          <w:szCs w:val="27"/>
        </w:rPr>
        <w:t>1.1 Introduction</w:t>
      </w:r>
      <w:bookmarkEnd w:id="3"/>
    </w:p>
    <w:p w14:paraId="0659A4A6"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The delivery of high-quality care in health and social care settings is intrinsically linked to the wellbeing of the workforce that underpins it. In recent years, especially in the post-COVID-19 era, concerns regarding staff wellbeing have grown exponentially due to increasing burnout, chronic stress, and emotional exhaustion among professionals, particularly within the UK’s National Health Service (NHS) and affiliated social care systems (West et al., 2020; The King’s Fund, 2023). The significant emotional, psychological, and physical demands placed on healthcare workers have direct implications not only for staff retention and job satisfaction but also for patient safety, quality of care, and </w:t>
      </w:r>
      <w:proofErr w:type="spellStart"/>
      <w:r w:rsidRPr="005E3402">
        <w:rPr>
          <w:rFonts w:ascii="Arial" w:eastAsia="Times New Roman" w:hAnsi="Arial" w:cs="Arial"/>
          <w:sz w:val="24"/>
          <w:szCs w:val="24"/>
        </w:rPr>
        <w:t>organisational</w:t>
      </w:r>
      <w:proofErr w:type="spellEnd"/>
      <w:r w:rsidRPr="005E3402">
        <w:rPr>
          <w:rFonts w:ascii="Arial" w:eastAsia="Times New Roman" w:hAnsi="Arial" w:cs="Arial"/>
          <w:sz w:val="24"/>
          <w:szCs w:val="24"/>
        </w:rPr>
        <w:t xml:space="preserve"> resilience (</w:t>
      </w:r>
      <w:proofErr w:type="spellStart"/>
      <w:r w:rsidRPr="005E3402">
        <w:rPr>
          <w:rFonts w:ascii="Arial" w:eastAsia="Times New Roman" w:hAnsi="Arial" w:cs="Arial"/>
          <w:sz w:val="24"/>
          <w:szCs w:val="24"/>
        </w:rPr>
        <w:t>Kinman</w:t>
      </w:r>
      <w:proofErr w:type="spellEnd"/>
      <w:r w:rsidRPr="005E3402">
        <w:rPr>
          <w:rFonts w:ascii="Arial" w:eastAsia="Times New Roman" w:hAnsi="Arial" w:cs="Arial"/>
          <w:sz w:val="24"/>
          <w:szCs w:val="24"/>
        </w:rPr>
        <w:t xml:space="preserve"> &amp; Teoh, 2021). As such, there is an urgent need to critically examine the interrelationship between workforce wellbeing and care quality to inform evidence-based policies and intervention strategies.</w:t>
      </w:r>
    </w:p>
    <w:p w14:paraId="380E163F"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The COVID-19 pandemic acted as a catalyst, exposing long-standing cracks in health systems globally, particularly regarding workforce sustainability. In the UK, the NHS Long Term Workforce Plan (NHS England, 2023) and the NHS Workforce Wellbeing Framework (NHS Improvement, 2021) both highlight that staff wellbeing is not merely an ethical imperative, but a strategic necessity for ensuring sustainable, compassionate, and effective service delivery. Internationally, parallel challenges have been observed. For instance, in Australia, healthcare professionals report increasing moral distress, echoing similar concerns in the United States, where workforce shortages and emotional burnout contribute to medical errors and reduced care standards (Australian Medical Association, 2021; National Academy of Medicine, 2022). These trends point to a systemic challenge that transcends national boundaries but is also deeply embedded in local structural and cultural contexts.</w:t>
      </w:r>
    </w:p>
    <w:p w14:paraId="0F785398"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This dissertation adopts a </w:t>
      </w:r>
      <w:r w:rsidRPr="005E3402">
        <w:rPr>
          <w:rFonts w:ascii="Arial" w:eastAsia="Times New Roman" w:hAnsi="Arial" w:cs="Arial"/>
          <w:b/>
          <w:bCs/>
          <w:sz w:val="24"/>
          <w:szCs w:val="24"/>
        </w:rPr>
        <w:t>scoping review methodology</w:t>
      </w:r>
      <w:r w:rsidRPr="005E3402">
        <w:rPr>
          <w:rFonts w:ascii="Arial" w:eastAsia="Times New Roman" w:hAnsi="Arial" w:cs="Arial"/>
          <w:sz w:val="24"/>
          <w:szCs w:val="24"/>
        </w:rPr>
        <w:t xml:space="preserve"> to explore and map existing evidence on the relationship between workforce wellbeing and quality of care across health and social care settings. It focuses primarily on the UK context while drawing comparative insights from global literature. It seeks to understand the critical dimensions of staff wellbeing—including emotional exhaustion, job satisfaction, psychological safety, and empowerment—and how these factors influence care outcomes such as patient satisfaction, safety incidents, and service user experience.</w:t>
      </w:r>
    </w:p>
    <w:p w14:paraId="162BA67E" w14:textId="77777777" w:rsidR="005E3402" w:rsidRPr="005E3402" w:rsidRDefault="005E3402" w:rsidP="005E3402">
      <w:pPr>
        <w:spacing w:before="100" w:beforeAutospacing="1" w:after="100" w:afterAutospacing="1"/>
        <w:outlineLvl w:val="2"/>
        <w:rPr>
          <w:rFonts w:ascii="Arial" w:eastAsia="Times New Roman" w:hAnsi="Arial" w:cs="Arial"/>
          <w:b/>
          <w:bCs/>
          <w:sz w:val="27"/>
          <w:szCs w:val="27"/>
        </w:rPr>
      </w:pPr>
      <w:bookmarkStart w:id="4" w:name="_Toc215092984"/>
      <w:r w:rsidRPr="005E3402">
        <w:rPr>
          <w:rFonts w:ascii="Arial" w:eastAsia="Times New Roman" w:hAnsi="Arial" w:cs="Arial"/>
          <w:b/>
          <w:bCs/>
          <w:sz w:val="27"/>
          <w:szCs w:val="27"/>
        </w:rPr>
        <w:t>1.2 Rationale</w:t>
      </w:r>
      <w:bookmarkEnd w:id="4"/>
    </w:p>
    <w:p w14:paraId="239EF310"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Workforce wellbeing has emerged as a defining concern in health and social care, particularly given the high attrition rates, recruitment crises, and increasing prevalence of mental health issues among professionals (NHS Digital, 2023; BMA, 2022). However, despite policy emphasis, there remains a fragmented understanding of </w:t>
      </w:r>
      <w:r w:rsidRPr="005E3402">
        <w:rPr>
          <w:rFonts w:ascii="Arial" w:eastAsia="Times New Roman" w:hAnsi="Arial" w:cs="Arial"/>
          <w:b/>
          <w:bCs/>
          <w:sz w:val="24"/>
          <w:szCs w:val="24"/>
        </w:rPr>
        <w:t>how exactly</w:t>
      </w:r>
      <w:r w:rsidRPr="005E3402">
        <w:rPr>
          <w:rFonts w:ascii="Arial" w:eastAsia="Times New Roman" w:hAnsi="Arial" w:cs="Arial"/>
          <w:sz w:val="24"/>
          <w:szCs w:val="24"/>
        </w:rPr>
        <w:t xml:space="preserve"> workforce wellbeing impacts care quality. While individual studies highlight correlations—such as links between burnout and increased clinical errors (Montgomery </w:t>
      </w:r>
      <w:r w:rsidRPr="005E3402">
        <w:rPr>
          <w:rFonts w:ascii="Arial" w:eastAsia="Times New Roman" w:hAnsi="Arial" w:cs="Arial"/>
          <w:sz w:val="24"/>
          <w:szCs w:val="24"/>
        </w:rPr>
        <w:lastRenderedPageBreak/>
        <w:t>et al., 2021), or between staff morale and compassionate care (Boamah et al., 2020)—there is a need for an integrative synthesis that maps the diverse and sometimes contradictory findings in this area. A scoping review approach is particularly appropriate given the complexity and multidisciplinary nature of the topic.</w:t>
      </w:r>
    </w:p>
    <w:p w14:paraId="23DF64A3"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Additionally, this research is timely. As the UK continues to navigate post-pandemic recovery and prepare for future health emergencies, there is growing recognition that resilient health systems depend on a </w:t>
      </w:r>
      <w:r w:rsidRPr="005E3402">
        <w:rPr>
          <w:rFonts w:ascii="Arial" w:eastAsia="Times New Roman" w:hAnsi="Arial" w:cs="Arial"/>
          <w:b/>
          <w:bCs/>
          <w:sz w:val="24"/>
          <w:szCs w:val="24"/>
        </w:rPr>
        <w:t>supported, valued, and empowered workforce</w:t>
      </w:r>
      <w:r w:rsidRPr="005E3402">
        <w:rPr>
          <w:rFonts w:ascii="Arial" w:eastAsia="Times New Roman" w:hAnsi="Arial" w:cs="Arial"/>
          <w:sz w:val="24"/>
          <w:szCs w:val="24"/>
        </w:rPr>
        <w:t xml:space="preserve">. The NHS People Plan (2020) and the Care Quality Commission’s (CQC) strategy (2021) both reinforce the importance of creating inclusive, psychologically safe workplaces where staff wellbeing is </w:t>
      </w:r>
      <w:proofErr w:type="spellStart"/>
      <w:r w:rsidRPr="005E3402">
        <w:rPr>
          <w:rFonts w:ascii="Arial" w:eastAsia="Times New Roman" w:hAnsi="Arial" w:cs="Arial"/>
          <w:sz w:val="24"/>
          <w:szCs w:val="24"/>
        </w:rPr>
        <w:t>prioritised</w:t>
      </w:r>
      <w:proofErr w:type="spellEnd"/>
      <w:r w:rsidRPr="005E3402">
        <w:rPr>
          <w:rFonts w:ascii="Arial" w:eastAsia="Times New Roman" w:hAnsi="Arial" w:cs="Arial"/>
          <w:sz w:val="24"/>
          <w:szCs w:val="24"/>
        </w:rPr>
        <w:t>. This project contributes to that discourse by systematically reviewing the evidence base and offering recommendations for policy and practice.</w:t>
      </w:r>
    </w:p>
    <w:p w14:paraId="4C24810E" w14:textId="77777777" w:rsidR="005E3402" w:rsidRPr="005E3402" w:rsidRDefault="005E3402" w:rsidP="005E3402">
      <w:pPr>
        <w:spacing w:before="100" w:beforeAutospacing="1" w:after="100" w:afterAutospacing="1"/>
        <w:outlineLvl w:val="2"/>
        <w:rPr>
          <w:rFonts w:ascii="Arial" w:eastAsia="Times New Roman" w:hAnsi="Arial" w:cs="Arial"/>
          <w:b/>
          <w:bCs/>
          <w:sz w:val="27"/>
          <w:szCs w:val="27"/>
        </w:rPr>
      </w:pPr>
      <w:bookmarkStart w:id="5" w:name="_Toc215092985"/>
      <w:r w:rsidRPr="005E3402">
        <w:rPr>
          <w:rFonts w:ascii="Arial" w:eastAsia="Times New Roman" w:hAnsi="Arial" w:cs="Arial"/>
          <w:b/>
          <w:bCs/>
          <w:sz w:val="27"/>
          <w:szCs w:val="27"/>
        </w:rPr>
        <w:t>1.3 Research Aim and Objectives</w:t>
      </w:r>
      <w:bookmarkEnd w:id="5"/>
    </w:p>
    <w:p w14:paraId="2F77C6A3"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b/>
          <w:bCs/>
          <w:sz w:val="24"/>
          <w:szCs w:val="24"/>
        </w:rPr>
        <w:t>Aim</w:t>
      </w:r>
      <w:r w:rsidRPr="005E3402">
        <w:rPr>
          <w:rFonts w:ascii="Arial" w:eastAsia="Times New Roman" w:hAnsi="Arial" w:cs="Arial"/>
          <w:sz w:val="24"/>
          <w:szCs w:val="24"/>
        </w:rPr>
        <w:t>:</w:t>
      </w:r>
      <w:r w:rsidRPr="005E3402">
        <w:rPr>
          <w:rFonts w:ascii="Arial" w:eastAsia="Times New Roman" w:hAnsi="Arial" w:cs="Arial"/>
          <w:sz w:val="24"/>
          <w:szCs w:val="24"/>
        </w:rPr>
        <w:br/>
        <w:t>To explore the relationship between workforce wellbeing and quality of care in health and social care settings through a scoping review of contemporary academic and policy literature.</w:t>
      </w:r>
    </w:p>
    <w:p w14:paraId="210C18CF"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b/>
          <w:bCs/>
          <w:sz w:val="24"/>
          <w:szCs w:val="24"/>
        </w:rPr>
        <w:t>Objectives</w:t>
      </w:r>
      <w:r w:rsidRPr="005E3402">
        <w:rPr>
          <w:rFonts w:ascii="Arial" w:eastAsia="Times New Roman" w:hAnsi="Arial" w:cs="Arial"/>
          <w:sz w:val="24"/>
          <w:szCs w:val="24"/>
        </w:rPr>
        <w:t>:</w:t>
      </w:r>
    </w:p>
    <w:p w14:paraId="68207C83" w14:textId="77777777" w:rsidR="005E3402" w:rsidRPr="005E3402" w:rsidRDefault="005E3402" w:rsidP="005E3402">
      <w:pPr>
        <w:numPr>
          <w:ilvl w:val="0"/>
          <w:numId w:val="1"/>
        </w:num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To identify and </w:t>
      </w:r>
      <w:proofErr w:type="spellStart"/>
      <w:r w:rsidRPr="005E3402">
        <w:rPr>
          <w:rFonts w:ascii="Arial" w:eastAsia="Times New Roman" w:hAnsi="Arial" w:cs="Arial"/>
          <w:sz w:val="24"/>
          <w:szCs w:val="24"/>
        </w:rPr>
        <w:t>categorise</w:t>
      </w:r>
      <w:proofErr w:type="spellEnd"/>
      <w:r w:rsidRPr="005E3402">
        <w:rPr>
          <w:rFonts w:ascii="Arial" w:eastAsia="Times New Roman" w:hAnsi="Arial" w:cs="Arial"/>
          <w:sz w:val="24"/>
          <w:szCs w:val="24"/>
        </w:rPr>
        <w:t xml:space="preserve"> key components of workforce wellbeing (e.g. burnout, job satisfaction, psychological safety, empowerment) as defined in the literature.</w:t>
      </w:r>
    </w:p>
    <w:p w14:paraId="41559A16" w14:textId="77777777" w:rsidR="005E3402" w:rsidRPr="005E3402" w:rsidRDefault="005E3402" w:rsidP="005E3402">
      <w:pPr>
        <w:numPr>
          <w:ilvl w:val="0"/>
          <w:numId w:val="1"/>
        </w:num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To assess how workforce wellbeing affects specific indicators of care quality, such as patient safety, clinical effectiveness, and user satisfaction.</w:t>
      </w:r>
    </w:p>
    <w:p w14:paraId="0C05186F" w14:textId="77777777" w:rsidR="005E3402" w:rsidRPr="005E3402" w:rsidRDefault="005E3402" w:rsidP="005E3402">
      <w:pPr>
        <w:numPr>
          <w:ilvl w:val="0"/>
          <w:numId w:val="1"/>
        </w:num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To examine the role of </w:t>
      </w:r>
      <w:proofErr w:type="spellStart"/>
      <w:r w:rsidRPr="005E3402">
        <w:rPr>
          <w:rFonts w:ascii="Arial" w:eastAsia="Times New Roman" w:hAnsi="Arial" w:cs="Arial"/>
          <w:sz w:val="24"/>
          <w:szCs w:val="24"/>
        </w:rPr>
        <w:t>organisational</w:t>
      </w:r>
      <w:proofErr w:type="spellEnd"/>
      <w:r w:rsidRPr="005E3402">
        <w:rPr>
          <w:rFonts w:ascii="Arial" w:eastAsia="Times New Roman" w:hAnsi="Arial" w:cs="Arial"/>
          <w:sz w:val="24"/>
          <w:szCs w:val="24"/>
        </w:rPr>
        <w:t xml:space="preserve"> culture, leadership, and systemic factors in mediating the relationship between staff wellbeing and care delivery.</w:t>
      </w:r>
    </w:p>
    <w:p w14:paraId="3A871704" w14:textId="77777777" w:rsidR="005E3402" w:rsidRPr="005E3402" w:rsidRDefault="005E3402" w:rsidP="005E3402">
      <w:pPr>
        <w:numPr>
          <w:ilvl w:val="0"/>
          <w:numId w:val="1"/>
        </w:num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To </w:t>
      </w:r>
      <w:proofErr w:type="spellStart"/>
      <w:r w:rsidRPr="005E3402">
        <w:rPr>
          <w:rFonts w:ascii="Arial" w:eastAsia="Times New Roman" w:hAnsi="Arial" w:cs="Arial"/>
          <w:sz w:val="24"/>
          <w:szCs w:val="24"/>
        </w:rPr>
        <w:t>synthesise</w:t>
      </w:r>
      <w:proofErr w:type="spellEnd"/>
      <w:r w:rsidRPr="005E3402">
        <w:rPr>
          <w:rFonts w:ascii="Arial" w:eastAsia="Times New Roman" w:hAnsi="Arial" w:cs="Arial"/>
          <w:sz w:val="24"/>
          <w:szCs w:val="24"/>
        </w:rPr>
        <w:t xml:space="preserve"> findings to inform evidence-based recommendations for workforce support and care quality improvement.</w:t>
      </w:r>
    </w:p>
    <w:p w14:paraId="6B8AD33C" w14:textId="77777777" w:rsidR="005E3402" w:rsidRPr="005E3402" w:rsidRDefault="005E3402" w:rsidP="005E3402">
      <w:pPr>
        <w:spacing w:before="100" w:beforeAutospacing="1" w:after="100" w:afterAutospacing="1"/>
        <w:outlineLvl w:val="2"/>
        <w:rPr>
          <w:rFonts w:ascii="Arial" w:eastAsia="Times New Roman" w:hAnsi="Arial" w:cs="Arial"/>
          <w:b/>
          <w:bCs/>
          <w:sz w:val="27"/>
          <w:szCs w:val="27"/>
        </w:rPr>
      </w:pPr>
      <w:bookmarkStart w:id="6" w:name="_Toc215092986"/>
      <w:r w:rsidRPr="005E3402">
        <w:rPr>
          <w:rFonts w:ascii="Arial" w:eastAsia="Times New Roman" w:hAnsi="Arial" w:cs="Arial"/>
          <w:b/>
          <w:bCs/>
          <w:sz w:val="27"/>
          <w:szCs w:val="27"/>
        </w:rPr>
        <w:t>1.4 Theoretical Framework</w:t>
      </w:r>
      <w:bookmarkEnd w:id="6"/>
    </w:p>
    <w:p w14:paraId="47D69C62"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This study is informed by several theoretical models that provide a lens through which the relationship between workforce wellbeing and care quality can be understood.</w:t>
      </w:r>
    </w:p>
    <w:p w14:paraId="0F3A318C"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First, </w:t>
      </w:r>
      <w:r w:rsidRPr="005E3402">
        <w:rPr>
          <w:rFonts w:ascii="Arial" w:eastAsia="Times New Roman" w:hAnsi="Arial" w:cs="Arial"/>
          <w:b/>
          <w:bCs/>
          <w:sz w:val="24"/>
          <w:szCs w:val="24"/>
        </w:rPr>
        <w:t>Maslow’s Hierarchy of Needs</w:t>
      </w:r>
      <w:r w:rsidRPr="005E3402">
        <w:rPr>
          <w:rFonts w:ascii="Arial" w:eastAsia="Times New Roman" w:hAnsi="Arial" w:cs="Arial"/>
          <w:sz w:val="24"/>
          <w:szCs w:val="24"/>
        </w:rPr>
        <w:t xml:space="preserve"> (1943) offers a foundational understanding of human motivation, suggesting that unless basic physiological and psychological needs (such as safety, belonging, and esteem) are met, individuals are less likely to achieve higher-level functioning. In the context of health and social care, this translates to the premise that staff must feel safe, valued, and psychologically secure to provide compassionate and high-quality care (Shuck et al., 2022).</w:t>
      </w:r>
    </w:p>
    <w:p w14:paraId="468B8873"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Second, </w:t>
      </w:r>
      <w:r w:rsidRPr="005E3402">
        <w:rPr>
          <w:rFonts w:ascii="Arial" w:eastAsia="Times New Roman" w:hAnsi="Arial" w:cs="Arial"/>
          <w:b/>
          <w:bCs/>
          <w:sz w:val="24"/>
          <w:szCs w:val="24"/>
        </w:rPr>
        <w:t>Empowerment Theory</w:t>
      </w:r>
      <w:r w:rsidRPr="005E3402">
        <w:rPr>
          <w:rFonts w:ascii="Arial" w:eastAsia="Times New Roman" w:hAnsi="Arial" w:cs="Arial"/>
          <w:sz w:val="24"/>
          <w:szCs w:val="24"/>
        </w:rPr>
        <w:t xml:space="preserve"> (Zimmerman, 2000) underscores the importance of autonomy, participation, and control in enhancing job satisfaction and reducing burnout. Empowered employees are more likely to engage meaningfully with their work, contribute to decision-making, and maintain high standards of service delivery (</w:t>
      </w:r>
      <w:proofErr w:type="spellStart"/>
      <w:r w:rsidRPr="005E3402">
        <w:rPr>
          <w:rFonts w:ascii="Arial" w:eastAsia="Times New Roman" w:hAnsi="Arial" w:cs="Arial"/>
          <w:sz w:val="24"/>
          <w:szCs w:val="24"/>
        </w:rPr>
        <w:t>Laschinger</w:t>
      </w:r>
      <w:proofErr w:type="spellEnd"/>
      <w:r w:rsidRPr="005E3402">
        <w:rPr>
          <w:rFonts w:ascii="Arial" w:eastAsia="Times New Roman" w:hAnsi="Arial" w:cs="Arial"/>
          <w:sz w:val="24"/>
          <w:szCs w:val="24"/>
        </w:rPr>
        <w:t xml:space="preserve"> et al., 2021).</w:t>
      </w:r>
    </w:p>
    <w:p w14:paraId="71FE6D47"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Third, the </w:t>
      </w:r>
      <w:r w:rsidRPr="005E3402">
        <w:rPr>
          <w:rFonts w:ascii="Arial" w:eastAsia="Times New Roman" w:hAnsi="Arial" w:cs="Arial"/>
          <w:b/>
          <w:bCs/>
          <w:sz w:val="24"/>
          <w:szCs w:val="24"/>
        </w:rPr>
        <w:t>Job Demands-Resources (JD-R) model</w:t>
      </w:r>
      <w:r w:rsidRPr="005E3402">
        <w:rPr>
          <w:rFonts w:ascii="Arial" w:eastAsia="Times New Roman" w:hAnsi="Arial" w:cs="Arial"/>
          <w:sz w:val="24"/>
          <w:szCs w:val="24"/>
        </w:rPr>
        <w:t xml:space="preserve"> (Bakker &amp; Demerouti, 2017) is particularly relevant for this review. It posits that while job demands (e.g., workload, time pressure, emotional strain) may lead to burnout, job resources (e.g., supportive leadership, autonomy, recognition) can buffer these effects and promote engagement. This model will be applied to </w:t>
      </w:r>
      <w:proofErr w:type="spellStart"/>
      <w:r w:rsidRPr="005E3402">
        <w:rPr>
          <w:rFonts w:ascii="Arial" w:eastAsia="Times New Roman" w:hAnsi="Arial" w:cs="Arial"/>
          <w:sz w:val="24"/>
          <w:szCs w:val="24"/>
        </w:rPr>
        <w:t>categorise</w:t>
      </w:r>
      <w:proofErr w:type="spellEnd"/>
      <w:r w:rsidRPr="005E3402">
        <w:rPr>
          <w:rFonts w:ascii="Arial" w:eastAsia="Times New Roman" w:hAnsi="Arial" w:cs="Arial"/>
          <w:sz w:val="24"/>
          <w:szCs w:val="24"/>
        </w:rPr>
        <w:t xml:space="preserve"> the </w:t>
      </w:r>
      <w:proofErr w:type="spellStart"/>
      <w:r w:rsidRPr="005E3402">
        <w:rPr>
          <w:rFonts w:ascii="Arial" w:eastAsia="Times New Roman" w:hAnsi="Arial" w:cs="Arial"/>
          <w:sz w:val="24"/>
          <w:szCs w:val="24"/>
        </w:rPr>
        <w:t>organisational</w:t>
      </w:r>
      <w:proofErr w:type="spellEnd"/>
      <w:r w:rsidRPr="005E3402">
        <w:rPr>
          <w:rFonts w:ascii="Arial" w:eastAsia="Times New Roman" w:hAnsi="Arial" w:cs="Arial"/>
          <w:sz w:val="24"/>
          <w:szCs w:val="24"/>
        </w:rPr>
        <w:t xml:space="preserve"> factors that either hinder or enhance staff wellbeing in care settings.</w:t>
      </w:r>
    </w:p>
    <w:p w14:paraId="48B34443"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Finally, the </w:t>
      </w:r>
      <w:r w:rsidRPr="005E3402">
        <w:rPr>
          <w:rFonts w:ascii="Arial" w:eastAsia="Times New Roman" w:hAnsi="Arial" w:cs="Arial"/>
          <w:b/>
          <w:bCs/>
          <w:sz w:val="24"/>
          <w:szCs w:val="24"/>
        </w:rPr>
        <w:t>NHS Workforce Wellbeing Framework</w:t>
      </w:r>
      <w:r w:rsidRPr="005E3402">
        <w:rPr>
          <w:rFonts w:ascii="Arial" w:eastAsia="Times New Roman" w:hAnsi="Arial" w:cs="Arial"/>
          <w:sz w:val="24"/>
          <w:szCs w:val="24"/>
        </w:rPr>
        <w:t xml:space="preserve"> (NHS Improvement, 2021) provides a policy-specific lens, identifying enablers such as leadership, inclusion, communication, and mental health support as pivotal to staff wellbeing. This framework will be used to map current UK policy efforts and highlight implementation gaps.</w:t>
      </w:r>
    </w:p>
    <w:p w14:paraId="204EA7C4" w14:textId="77777777" w:rsidR="005E3402" w:rsidRPr="005E3402" w:rsidRDefault="005E3402" w:rsidP="005E3402">
      <w:pPr>
        <w:spacing w:before="100" w:beforeAutospacing="1" w:after="100" w:afterAutospacing="1"/>
        <w:outlineLvl w:val="2"/>
        <w:rPr>
          <w:rFonts w:ascii="Arial" w:eastAsia="Times New Roman" w:hAnsi="Arial" w:cs="Arial"/>
          <w:b/>
          <w:bCs/>
          <w:sz w:val="27"/>
          <w:szCs w:val="27"/>
        </w:rPr>
      </w:pPr>
      <w:bookmarkStart w:id="7" w:name="_Toc215092987"/>
      <w:r w:rsidRPr="005E3402">
        <w:rPr>
          <w:rFonts w:ascii="Arial" w:eastAsia="Times New Roman" w:hAnsi="Arial" w:cs="Arial"/>
          <w:b/>
          <w:bCs/>
          <w:sz w:val="27"/>
          <w:szCs w:val="27"/>
        </w:rPr>
        <w:t>1.5 Structure of the Dissertation</w:t>
      </w:r>
      <w:bookmarkEnd w:id="7"/>
    </w:p>
    <w:p w14:paraId="0486D37D" w14:textId="77777777" w:rsidR="005E3402" w:rsidRPr="005E3402" w:rsidRDefault="005E3402" w:rsidP="005E3402">
      <w:pPr>
        <w:spacing w:before="100" w:beforeAutospacing="1" w:after="100" w:afterAutospacing="1"/>
        <w:rPr>
          <w:rFonts w:ascii="Arial" w:eastAsia="Times New Roman" w:hAnsi="Arial" w:cs="Arial"/>
          <w:sz w:val="24"/>
          <w:szCs w:val="24"/>
        </w:rPr>
      </w:pPr>
      <w:r w:rsidRPr="005E3402">
        <w:rPr>
          <w:rFonts w:ascii="Arial" w:eastAsia="Times New Roman" w:hAnsi="Arial" w:cs="Arial"/>
          <w:sz w:val="24"/>
          <w:szCs w:val="24"/>
        </w:rPr>
        <w:t xml:space="preserve">The dissertation is structured into five chapters. </w:t>
      </w:r>
      <w:r w:rsidRPr="005E3402">
        <w:rPr>
          <w:rFonts w:ascii="Arial" w:eastAsia="Times New Roman" w:hAnsi="Arial" w:cs="Arial"/>
          <w:b/>
          <w:bCs/>
          <w:sz w:val="24"/>
          <w:szCs w:val="24"/>
        </w:rPr>
        <w:t>Chapter 1</w:t>
      </w:r>
      <w:r w:rsidRPr="005E3402">
        <w:rPr>
          <w:rFonts w:ascii="Arial" w:eastAsia="Times New Roman" w:hAnsi="Arial" w:cs="Arial"/>
          <w:sz w:val="24"/>
          <w:szCs w:val="24"/>
        </w:rPr>
        <w:t xml:space="preserve"> provides the introduction, rationale, aim, and theoretical framework. </w:t>
      </w:r>
      <w:r w:rsidRPr="005E3402">
        <w:rPr>
          <w:rFonts w:ascii="Arial" w:eastAsia="Times New Roman" w:hAnsi="Arial" w:cs="Arial"/>
          <w:b/>
          <w:bCs/>
          <w:sz w:val="24"/>
          <w:szCs w:val="24"/>
        </w:rPr>
        <w:t>Chapter 2</w:t>
      </w:r>
      <w:r w:rsidRPr="005E3402">
        <w:rPr>
          <w:rFonts w:ascii="Arial" w:eastAsia="Times New Roman" w:hAnsi="Arial" w:cs="Arial"/>
          <w:sz w:val="24"/>
          <w:szCs w:val="24"/>
        </w:rPr>
        <w:t xml:space="preserve"> presents a comprehensive background and literature review, critically exploring themes related to workforce wellbeing and care quality. </w:t>
      </w:r>
      <w:r w:rsidRPr="005E3402">
        <w:rPr>
          <w:rFonts w:ascii="Arial" w:eastAsia="Times New Roman" w:hAnsi="Arial" w:cs="Arial"/>
          <w:b/>
          <w:bCs/>
          <w:sz w:val="24"/>
          <w:szCs w:val="24"/>
        </w:rPr>
        <w:t>Chapter 3</w:t>
      </w:r>
      <w:r w:rsidRPr="005E3402">
        <w:rPr>
          <w:rFonts w:ascii="Arial" w:eastAsia="Times New Roman" w:hAnsi="Arial" w:cs="Arial"/>
          <w:sz w:val="24"/>
          <w:szCs w:val="24"/>
        </w:rPr>
        <w:t xml:space="preserve"> details the scoping review methodology, including database selection, inclusion/exclusion criteria, and data analysis. </w:t>
      </w:r>
      <w:r w:rsidRPr="005E3402">
        <w:rPr>
          <w:rFonts w:ascii="Arial" w:eastAsia="Times New Roman" w:hAnsi="Arial" w:cs="Arial"/>
          <w:b/>
          <w:bCs/>
          <w:sz w:val="24"/>
          <w:szCs w:val="24"/>
        </w:rPr>
        <w:t>Chapter 4</w:t>
      </w:r>
      <w:r w:rsidRPr="005E3402">
        <w:rPr>
          <w:rFonts w:ascii="Arial" w:eastAsia="Times New Roman" w:hAnsi="Arial" w:cs="Arial"/>
          <w:sz w:val="24"/>
          <w:szCs w:val="24"/>
        </w:rPr>
        <w:t xml:space="preserve"> presents and discusses the review findings thematically. </w:t>
      </w:r>
      <w:r w:rsidRPr="005E3402">
        <w:rPr>
          <w:rFonts w:ascii="Arial" w:eastAsia="Times New Roman" w:hAnsi="Arial" w:cs="Arial"/>
          <w:b/>
          <w:bCs/>
          <w:sz w:val="24"/>
          <w:szCs w:val="24"/>
        </w:rPr>
        <w:t>Chapter 5</w:t>
      </w:r>
      <w:r w:rsidRPr="005E3402">
        <w:rPr>
          <w:rFonts w:ascii="Arial" w:eastAsia="Times New Roman" w:hAnsi="Arial" w:cs="Arial"/>
          <w:sz w:val="24"/>
          <w:szCs w:val="24"/>
        </w:rPr>
        <w:t xml:space="preserve"> concludes the dissertation with recommendations for practice, policy, and future research.</w:t>
      </w:r>
    </w:p>
    <w:p w14:paraId="1A08F186" w14:textId="77777777" w:rsidR="005E3402" w:rsidRPr="005E3402" w:rsidRDefault="005E3402" w:rsidP="005E3402">
      <w:pPr>
        <w:pStyle w:val="Heading1"/>
        <w:rPr>
          <w:rFonts w:ascii="Arial" w:hAnsi="Arial" w:cs="Arial"/>
        </w:rPr>
      </w:pPr>
      <w:bookmarkStart w:id="8" w:name="_Toc215092988"/>
      <w:r w:rsidRPr="005E3402">
        <w:rPr>
          <w:rFonts w:ascii="Arial" w:hAnsi="Arial" w:cs="Arial"/>
        </w:rPr>
        <w:t>CHAPTER 2: BACKGROUND / LITERATURE REVIEW</w:t>
      </w:r>
      <w:bookmarkEnd w:id="8"/>
    </w:p>
    <w:p w14:paraId="64266124" w14:textId="77777777" w:rsidR="005E3402" w:rsidRPr="005E3402" w:rsidRDefault="005E3402" w:rsidP="005E3402">
      <w:pPr>
        <w:pStyle w:val="Heading2"/>
        <w:rPr>
          <w:rFonts w:ascii="Arial" w:hAnsi="Arial" w:cs="Arial"/>
        </w:rPr>
      </w:pPr>
      <w:bookmarkStart w:id="9" w:name="_Toc215092989"/>
      <w:r w:rsidRPr="005E3402">
        <w:rPr>
          <w:rFonts w:ascii="Arial" w:hAnsi="Arial" w:cs="Arial"/>
        </w:rPr>
        <w:t>2.1 Introduction</w:t>
      </w:r>
      <w:bookmarkEnd w:id="9"/>
    </w:p>
    <w:p w14:paraId="01A61FCA" w14:textId="5FAA2642" w:rsidR="005E3402" w:rsidRPr="005E3402" w:rsidRDefault="005E3402" w:rsidP="005E3402">
      <w:pPr>
        <w:pStyle w:val="NormalWeb"/>
        <w:rPr>
          <w:rFonts w:ascii="Arial" w:hAnsi="Arial" w:cs="Arial"/>
        </w:rPr>
      </w:pPr>
      <w:r w:rsidRPr="005E3402">
        <w:rPr>
          <w:rFonts w:ascii="Arial" w:hAnsi="Arial" w:cs="Arial"/>
        </w:rPr>
        <w:t>Workforce wellbeing in health and social care has become an urgent and complex area of concern, particularly in light of the global healthcare crises brought into sharp focus during and after the COVID-19 pandemic. A growing body of research acknowledges that the psychological, emotional, and professional wellbeing of health and social care workers significantly influences patient outcomes, quality of care, and staff retention (</w:t>
      </w:r>
      <w:proofErr w:type="spellStart"/>
      <w:r w:rsidRPr="005E3402">
        <w:rPr>
          <w:rFonts w:ascii="Arial" w:hAnsi="Arial" w:cs="Arial"/>
        </w:rPr>
        <w:t>Kinman</w:t>
      </w:r>
      <w:proofErr w:type="spellEnd"/>
      <w:r w:rsidRPr="005E3402">
        <w:rPr>
          <w:rFonts w:ascii="Arial" w:hAnsi="Arial" w:cs="Arial"/>
        </w:rPr>
        <w:t xml:space="preserve"> &amp; </w:t>
      </w:r>
      <w:proofErr w:type="spellStart"/>
      <w:r w:rsidRPr="005E3402">
        <w:rPr>
          <w:rFonts w:ascii="Arial" w:hAnsi="Arial" w:cs="Arial"/>
        </w:rPr>
        <w:t>Teoh</w:t>
      </w:r>
      <w:proofErr w:type="spellEnd"/>
      <w:r w:rsidRPr="005E3402">
        <w:rPr>
          <w:rFonts w:ascii="Arial" w:hAnsi="Arial" w:cs="Arial"/>
        </w:rPr>
        <w:t xml:space="preserve">, 2021; West et al., 2020). This literature review critically explores the current evidence base on workforce wellbeing and care quality, drawing upon theoretical frameworks such as Maslow’s Hierarchy of Needs, Empowerment Theory, the Job Demands-Resources (JD-R) model, and the NHS Workforce Wellbeing Framework. The review also considers key UK policies and compares international responses from countries like Australia and the United States to </w:t>
      </w:r>
      <w:proofErr w:type="spellStart"/>
      <w:r w:rsidRPr="005E3402">
        <w:rPr>
          <w:rFonts w:ascii="Arial" w:hAnsi="Arial" w:cs="Arial"/>
        </w:rPr>
        <w:t>contextualise</w:t>
      </w:r>
      <w:proofErr w:type="spellEnd"/>
      <w:r w:rsidRPr="005E3402">
        <w:rPr>
          <w:rFonts w:ascii="Arial" w:hAnsi="Arial" w:cs="Arial"/>
        </w:rPr>
        <w:t xml:space="preserve"> the debate within a global and evidence-informed landscape.</w:t>
      </w:r>
    </w:p>
    <w:p w14:paraId="5D1E45D3" w14:textId="77777777" w:rsidR="005E3402" w:rsidRPr="005E3402" w:rsidRDefault="005E3402" w:rsidP="005E3402">
      <w:pPr>
        <w:pStyle w:val="Heading2"/>
        <w:rPr>
          <w:rFonts w:ascii="Arial" w:hAnsi="Arial" w:cs="Arial"/>
        </w:rPr>
      </w:pPr>
      <w:bookmarkStart w:id="10" w:name="_Toc215092990"/>
      <w:r w:rsidRPr="005E3402">
        <w:rPr>
          <w:rFonts w:ascii="Arial" w:hAnsi="Arial" w:cs="Arial"/>
        </w:rPr>
        <w:t>2.2 Defining Workforce Wellbeing in Health and Social Care</w:t>
      </w:r>
      <w:bookmarkEnd w:id="10"/>
    </w:p>
    <w:p w14:paraId="6D698764" w14:textId="77777777" w:rsidR="005E3402" w:rsidRPr="005E3402" w:rsidRDefault="005E3402" w:rsidP="005E3402">
      <w:pPr>
        <w:pStyle w:val="NormalWeb"/>
        <w:rPr>
          <w:rFonts w:ascii="Arial" w:hAnsi="Arial" w:cs="Arial"/>
        </w:rPr>
      </w:pPr>
      <w:r w:rsidRPr="005E3402">
        <w:rPr>
          <w:rFonts w:ascii="Arial" w:hAnsi="Arial" w:cs="Arial"/>
        </w:rPr>
        <w:t>Workforce wellbeing refers to the physical, emotional, psychological, and social health of individuals in the workplace, encompassing factors such as job satisfaction, autonomy, support, work-life balance, and resilience (NHS England, 2023). In the health and social care sector, wellbeing must also be viewed through the lens of emotional labour, moral distress, and compassion fatigue—particularly in frontline settings like acute care, mental health, and long-term residential services (CQC, 2021; The King’s Fund, 2023). West et al. (2020) argue that when wellbeing is compromised, the ripple effect includes decreased motivation, increased absenteeism, and a decline in service quality.</w:t>
      </w:r>
    </w:p>
    <w:p w14:paraId="2539BE28" w14:textId="67C95B18" w:rsidR="005E3402" w:rsidRPr="005E3402" w:rsidRDefault="005E3402" w:rsidP="005E3402">
      <w:pPr>
        <w:pStyle w:val="NormalWeb"/>
        <w:rPr>
          <w:rFonts w:ascii="Arial" w:hAnsi="Arial" w:cs="Arial"/>
        </w:rPr>
      </w:pPr>
      <w:r w:rsidRPr="005E3402">
        <w:rPr>
          <w:rFonts w:ascii="Arial" w:hAnsi="Arial" w:cs="Arial"/>
        </w:rPr>
        <w:t xml:space="preserve">Empirical studies increasingly show the direct impact of workforce wellbeing on care outcomes. For example, Hall et al. (2022) found that high levels of staff burnout were linked to increased clinical errors and lower patient satisfaction. In another UK-based study, Boamah et al. (2020) demonstrated that when nurses reported higher job satisfaction, their patients were more likely to experience safe, compassionate care. These findings reinforce the necessity of </w:t>
      </w:r>
      <w:proofErr w:type="spellStart"/>
      <w:r w:rsidRPr="005E3402">
        <w:rPr>
          <w:rFonts w:ascii="Arial" w:hAnsi="Arial" w:cs="Arial"/>
        </w:rPr>
        <w:t>prioritising</w:t>
      </w:r>
      <w:proofErr w:type="spellEnd"/>
      <w:r w:rsidRPr="005E3402">
        <w:rPr>
          <w:rFonts w:ascii="Arial" w:hAnsi="Arial" w:cs="Arial"/>
        </w:rPr>
        <w:t xml:space="preserve"> staff wellbeing as an </w:t>
      </w:r>
      <w:proofErr w:type="spellStart"/>
      <w:r w:rsidRPr="005E3402">
        <w:rPr>
          <w:rFonts w:ascii="Arial" w:hAnsi="Arial" w:cs="Arial"/>
        </w:rPr>
        <w:t>organisational</w:t>
      </w:r>
      <w:proofErr w:type="spellEnd"/>
      <w:r w:rsidRPr="005E3402">
        <w:rPr>
          <w:rFonts w:ascii="Arial" w:hAnsi="Arial" w:cs="Arial"/>
        </w:rPr>
        <w:t xml:space="preserve"> imperative rather than a peripheral concern.</w:t>
      </w:r>
    </w:p>
    <w:p w14:paraId="3340BE87" w14:textId="77777777" w:rsidR="005E3402" w:rsidRPr="005E3402" w:rsidRDefault="005E3402" w:rsidP="005E3402">
      <w:pPr>
        <w:pStyle w:val="Heading2"/>
        <w:rPr>
          <w:rFonts w:ascii="Arial" w:hAnsi="Arial" w:cs="Arial"/>
        </w:rPr>
      </w:pPr>
      <w:bookmarkStart w:id="11" w:name="_Toc215092991"/>
      <w:r w:rsidRPr="005E3402">
        <w:rPr>
          <w:rFonts w:ascii="Arial" w:hAnsi="Arial" w:cs="Arial"/>
        </w:rPr>
        <w:t>2.3 Theoretical Foundations</w:t>
      </w:r>
      <w:bookmarkEnd w:id="11"/>
    </w:p>
    <w:p w14:paraId="55DA0B25" w14:textId="77777777" w:rsidR="005E3402" w:rsidRPr="005E3402" w:rsidRDefault="005E3402" w:rsidP="005E3402">
      <w:pPr>
        <w:pStyle w:val="Heading3"/>
        <w:rPr>
          <w:rFonts w:ascii="Arial" w:hAnsi="Arial" w:cs="Arial"/>
        </w:rPr>
      </w:pPr>
      <w:bookmarkStart w:id="12" w:name="_Toc215092992"/>
      <w:r w:rsidRPr="005E3402">
        <w:rPr>
          <w:rFonts w:ascii="Arial" w:hAnsi="Arial" w:cs="Arial"/>
        </w:rPr>
        <w:t>2.3.1 Maslow’s Hierarchy of Needs</w:t>
      </w:r>
      <w:bookmarkEnd w:id="12"/>
    </w:p>
    <w:p w14:paraId="46C7A548" w14:textId="6FAA6A71" w:rsidR="005E3402" w:rsidRPr="005E3402" w:rsidRDefault="005E3402" w:rsidP="005E3402">
      <w:pPr>
        <w:pStyle w:val="NormalWeb"/>
        <w:rPr>
          <w:rFonts w:ascii="Arial" w:hAnsi="Arial" w:cs="Arial"/>
        </w:rPr>
      </w:pPr>
      <w:r w:rsidRPr="005E3402">
        <w:rPr>
          <w:rFonts w:ascii="Arial" w:hAnsi="Arial" w:cs="Arial"/>
        </w:rPr>
        <w:t>Maslow’s theory offers a foundational psychological model for understanding motivation and wellbeing. Applied to the health and social care workforce, the model suggests that unless basic needs such as job security, physical safety, and belonging are met, staff are unlikely to operate at higher levels of professional competence, innovation, or compassion (Shuck et al., 2022). In practice, unmet lower-tier needs—such as inadequate pay, staff shortages, or workplace bullying—can significantly impair psychological safety and engagement. Research by Whitehead et al. (2021) supports this, indicating that professionals who do not feel emotionally or physically safe at work are more likely to disengage or leave the profession altogether.</w:t>
      </w:r>
    </w:p>
    <w:p w14:paraId="741C876E" w14:textId="77777777" w:rsidR="005E3402" w:rsidRPr="005E3402" w:rsidRDefault="005E3402" w:rsidP="005E3402">
      <w:pPr>
        <w:pStyle w:val="Heading3"/>
        <w:rPr>
          <w:rFonts w:ascii="Arial" w:hAnsi="Arial" w:cs="Arial"/>
        </w:rPr>
      </w:pPr>
      <w:bookmarkStart w:id="13" w:name="_Toc215092993"/>
      <w:r w:rsidRPr="005E3402">
        <w:rPr>
          <w:rFonts w:ascii="Arial" w:hAnsi="Arial" w:cs="Arial"/>
        </w:rPr>
        <w:t>2.3.2 Empowerment Theory</w:t>
      </w:r>
      <w:bookmarkEnd w:id="13"/>
    </w:p>
    <w:p w14:paraId="47BDEDF4" w14:textId="75860A23" w:rsidR="005E3402" w:rsidRPr="005E3402" w:rsidRDefault="005E3402" w:rsidP="005E3402">
      <w:pPr>
        <w:pStyle w:val="NormalWeb"/>
        <w:rPr>
          <w:rFonts w:ascii="Arial" w:hAnsi="Arial" w:cs="Arial"/>
        </w:rPr>
      </w:pPr>
      <w:r w:rsidRPr="005E3402">
        <w:rPr>
          <w:rFonts w:ascii="Arial" w:hAnsi="Arial" w:cs="Arial"/>
        </w:rPr>
        <w:t xml:space="preserve">Empowerment Theory focuses on the extent to which individuals perceive control over their work, participation in decision-making, and access to resources. Zimmerman (2000) highlights that empowerment fosters resilience, job satisfaction, and </w:t>
      </w:r>
      <w:proofErr w:type="spellStart"/>
      <w:r w:rsidRPr="005E3402">
        <w:rPr>
          <w:rFonts w:ascii="Arial" w:hAnsi="Arial" w:cs="Arial"/>
        </w:rPr>
        <w:t>organisational</w:t>
      </w:r>
      <w:proofErr w:type="spellEnd"/>
      <w:r w:rsidRPr="005E3402">
        <w:rPr>
          <w:rFonts w:ascii="Arial" w:hAnsi="Arial" w:cs="Arial"/>
        </w:rPr>
        <w:t xml:space="preserve"> commitment. In health and social care, structural empowerment—such as involving staff in policy development or clinical governance—has been associated with improved morale and better clinical outcomes (</w:t>
      </w:r>
      <w:proofErr w:type="spellStart"/>
      <w:r w:rsidRPr="005E3402">
        <w:rPr>
          <w:rFonts w:ascii="Arial" w:hAnsi="Arial" w:cs="Arial"/>
        </w:rPr>
        <w:t>Laschinger</w:t>
      </w:r>
      <w:proofErr w:type="spellEnd"/>
      <w:r w:rsidRPr="005E3402">
        <w:rPr>
          <w:rFonts w:ascii="Arial" w:hAnsi="Arial" w:cs="Arial"/>
        </w:rPr>
        <w:t xml:space="preserve"> et al., 2021). A systematic review by Jennings et al. (2022) further </w:t>
      </w:r>
      <w:proofErr w:type="spellStart"/>
      <w:r w:rsidRPr="005E3402">
        <w:rPr>
          <w:rFonts w:ascii="Arial" w:hAnsi="Arial" w:cs="Arial"/>
        </w:rPr>
        <w:t>emphasised</w:t>
      </w:r>
      <w:proofErr w:type="spellEnd"/>
      <w:r w:rsidRPr="005E3402">
        <w:rPr>
          <w:rFonts w:ascii="Arial" w:hAnsi="Arial" w:cs="Arial"/>
        </w:rPr>
        <w:t xml:space="preserve"> that staff with higher perceived autonomy were more likely to implement </w:t>
      </w:r>
      <w:proofErr w:type="spellStart"/>
      <w:r w:rsidRPr="005E3402">
        <w:rPr>
          <w:rFonts w:ascii="Arial" w:hAnsi="Arial" w:cs="Arial"/>
        </w:rPr>
        <w:t>patient-centred</w:t>
      </w:r>
      <w:proofErr w:type="spellEnd"/>
      <w:r w:rsidRPr="005E3402">
        <w:rPr>
          <w:rFonts w:ascii="Arial" w:hAnsi="Arial" w:cs="Arial"/>
        </w:rPr>
        <w:t xml:space="preserve"> care practices and report greater job satisfaction.</w:t>
      </w:r>
    </w:p>
    <w:p w14:paraId="5C5E87C0" w14:textId="77777777" w:rsidR="005E3402" w:rsidRPr="005E3402" w:rsidRDefault="005E3402" w:rsidP="005E3402">
      <w:pPr>
        <w:pStyle w:val="Heading3"/>
        <w:rPr>
          <w:rFonts w:ascii="Arial" w:hAnsi="Arial" w:cs="Arial"/>
        </w:rPr>
      </w:pPr>
      <w:bookmarkStart w:id="14" w:name="_Toc215092994"/>
      <w:r w:rsidRPr="005E3402">
        <w:rPr>
          <w:rFonts w:ascii="Arial" w:hAnsi="Arial" w:cs="Arial"/>
        </w:rPr>
        <w:t>2.3.3 The Job Demands-Resources (JD-R) Model</w:t>
      </w:r>
      <w:bookmarkEnd w:id="14"/>
    </w:p>
    <w:p w14:paraId="308E2B38" w14:textId="58C99BED" w:rsidR="005E3402" w:rsidRPr="005E3402" w:rsidRDefault="005E3402" w:rsidP="005E3402">
      <w:pPr>
        <w:pStyle w:val="NormalWeb"/>
        <w:rPr>
          <w:rFonts w:ascii="Arial" w:hAnsi="Arial" w:cs="Arial"/>
        </w:rPr>
      </w:pPr>
      <w:r w:rsidRPr="005E3402">
        <w:rPr>
          <w:rFonts w:ascii="Arial" w:hAnsi="Arial" w:cs="Arial"/>
        </w:rPr>
        <w:t xml:space="preserve">The JD-R model, developed by Bakker and Demerouti (2017), provides a robust framework for </w:t>
      </w:r>
      <w:proofErr w:type="spellStart"/>
      <w:r w:rsidRPr="005E3402">
        <w:rPr>
          <w:rFonts w:ascii="Arial" w:hAnsi="Arial" w:cs="Arial"/>
        </w:rPr>
        <w:t>analysing</w:t>
      </w:r>
      <w:proofErr w:type="spellEnd"/>
      <w:r w:rsidRPr="005E3402">
        <w:rPr>
          <w:rFonts w:ascii="Arial" w:hAnsi="Arial" w:cs="Arial"/>
        </w:rPr>
        <w:t xml:space="preserve"> how workplace conditions impact employee wellbeing. The model posits that high job demands (e.g. workload, emotional strain) lead to burnout unless balanced by adequate job resources (e.g. support, autonomy, feedback). </w:t>
      </w:r>
      <w:proofErr w:type="spellStart"/>
      <w:r w:rsidRPr="005E3402">
        <w:rPr>
          <w:rFonts w:ascii="Arial" w:hAnsi="Arial" w:cs="Arial"/>
        </w:rPr>
        <w:t>Kinman</w:t>
      </w:r>
      <w:proofErr w:type="spellEnd"/>
      <w:r w:rsidRPr="005E3402">
        <w:rPr>
          <w:rFonts w:ascii="Arial" w:hAnsi="Arial" w:cs="Arial"/>
        </w:rPr>
        <w:t xml:space="preserve"> and </w:t>
      </w:r>
      <w:proofErr w:type="spellStart"/>
      <w:r w:rsidRPr="005E3402">
        <w:rPr>
          <w:rFonts w:ascii="Arial" w:hAnsi="Arial" w:cs="Arial"/>
        </w:rPr>
        <w:t>Teoh</w:t>
      </w:r>
      <w:proofErr w:type="spellEnd"/>
      <w:r w:rsidRPr="005E3402">
        <w:rPr>
          <w:rFonts w:ascii="Arial" w:hAnsi="Arial" w:cs="Arial"/>
        </w:rPr>
        <w:t xml:space="preserve"> (2021) argue that the JD-R model is particularly suited to the healthcare context, where demands are both high and often emotionally taxing. For example, studies of NHS staff have shown that limited resources—such as understaffing or lack of managerial support—can exacerbate stress and reduce care quality (Montgomery et al., 2021).</w:t>
      </w:r>
    </w:p>
    <w:p w14:paraId="591CC08F" w14:textId="77777777" w:rsidR="005E3402" w:rsidRPr="005E3402" w:rsidRDefault="005E3402" w:rsidP="005E3402">
      <w:pPr>
        <w:pStyle w:val="Heading3"/>
        <w:rPr>
          <w:rFonts w:ascii="Arial" w:hAnsi="Arial" w:cs="Arial"/>
        </w:rPr>
      </w:pPr>
      <w:bookmarkStart w:id="15" w:name="_Toc215092995"/>
      <w:r w:rsidRPr="005E3402">
        <w:rPr>
          <w:rFonts w:ascii="Arial" w:hAnsi="Arial" w:cs="Arial"/>
        </w:rPr>
        <w:t>2.3.4 NHS Workforce Wellbeing Framework</w:t>
      </w:r>
      <w:bookmarkEnd w:id="15"/>
    </w:p>
    <w:p w14:paraId="00C8E78C" w14:textId="5D8396C3" w:rsidR="005E3402" w:rsidRPr="005E3402" w:rsidRDefault="005E3402" w:rsidP="005E3402">
      <w:pPr>
        <w:pStyle w:val="NormalWeb"/>
        <w:rPr>
          <w:rFonts w:ascii="Arial" w:hAnsi="Arial" w:cs="Arial"/>
        </w:rPr>
      </w:pPr>
      <w:r w:rsidRPr="005E3402">
        <w:rPr>
          <w:rFonts w:ascii="Arial" w:hAnsi="Arial" w:cs="Arial"/>
        </w:rPr>
        <w:t xml:space="preserve">The NHS Workforce Wellbeing Framework (NHS Improvement, 2021) outlines key enablers of staff wellbeing, including compassionate leadership, peer support, flexible working, mental health provision, and inclusive </w:t>
      </w:r>
      <w:proofErr w:type="spellStart"/>
      <w:r w:rsidRPr="005E3402">
        <w:rPr>
          <w:rFonts w:ascii="Arial" w:hAnsi="Arial" w:cs="Arial"/>
        </w:rPr>
        <w:t>organisational</w:t>
      </w:r>
      <w:proofErr w:type="spellEnd"/>
      <w:r w:rsidRPr="005E3402">
        <w:rPr>
          <w:rFonts w:ascii="Arial" w:hAnsi="Arial" w:cs="Arial"/>
        </w:rPr>
        <w:t xml:space="preserve"> culture. While the framework is conceptually sound, implementation remains uneven across NHS Trusts. A 2023 report by the British Medical Association (BMA) revealed that only 37% of healthcare workers felt that their employer took active steps to protect their wellbeing (BMA, 2023). This gap between policy and practice highlights a pressing need for systemic change supported by robust leadership and funding.</w:t>
      </w:r>
    </w:p>
    <w:p w14:paraId="36679810" w14:textId="77777777" w:rsidR="005E3402" w:rsidRPr="005E3402" w:rsidRDefault="005E3402" w:rsidP="005E3402">
      <w:pPr>
        <w:pStyle w:val="Heading2"/>
        <w:rPr>
          <w:rFonts w:ascii="Arial" w:hAnsi="Arial" w:cs="Arial"/>
        </w:rPr>
      </w:pPr>
      <w:bookmarkStart w:id="16" w:name="_Toc215092996"/>
      <w:r w:rsidRPr="005E3402">
        <w:rPr>
          <w:rFonts w:ascii="Arial" w:hAnsi="Arial" w:cs="Arial"/>
        </w:rPr>
        <w:t>2.4 Linking Workforce Wellbeing to Quality of Care</w:t>
      </w:r>
      <w:bookmarkEnd w:id="16"/>
    </w:p>
    <w:p w14:paraId="3F416C1D" w14:textId="77777777" w:rsidR="005E3402" w:rsidRPr="005E3402" w:rsidRDefault="005E3402" w:rsidP="005E3402">
      <w:pPr>
        <w:pStyle w:val="NormalWeb"/>
        <w:rPr>
          <w:rFonts w:ascii="Arial" w:hAnsi="Arial" w:cs="Arial"/>
        </w:rPr>
      </w:pPr>
      <w:r w:rsidRPr="005E3402">
        <w:rPr>
          <w:rFonts w:ascii="Arial" w:hAnsi="Arial" w:cs="Arial"/>
        </w:rPr>
        <w:t>A growing body of evidence supports the claim that workforce wellbeing is a key determinant of care quality. For instance, The Health Foundation (2022) notes that higher levels of staff engagement are associated with reduced patient mortality, fewer hospital-acquired infections, and better overall user satisfaction. Similarly, Boamah et al. (2020) found that nurse wellbeing directly impacted patients’ perceptions of care compassion, attentiveness, and emotional support.</w:t>
      </w:r>
    </w:p>
    <w:p w14:paraId="0986E30D" w14:textId="35C54264" w:rsidR="005E3402" w:rsidRPr="005E3402" w:rsidRDefault="005E3402" w:rsidP="005E3402">
      <w:pPr>
        <w:pStyle w:val="NormalWeb"/>
        <w:rPr>
          <w:rFonts w:ascii="Arial" w:hAnsi="Arial" w:cs="Arial"/>
        </w:rPr>
      </w:pPr>
      <w:r w:rsidRPr="005E3402">
        <w:rPr>
          <w:rFonts w:ascii="Arial" w:hAnsi="Arial" w:cs="Arial"/>
        </w:rPr>
        <w:t xml:space="preserve">One important mediating factor is </w:t>
      </w:r>
      <w:proofErr w:type="spellStart"/>
      <w:r w:rsidRPr="005E3402">
        <w:rPr>
          <w:rFonts w:ascii="Arial" w:hAnsi="Arial" w:cs="Arial"/>
        </w:rPr>
        <w:t>organisational</w:t>
      </w:r>
      <w:proofErr w:type="spellEnd"/>
      <w:r w:rsidRPr="005E3402">
        <w:rPr>
          <w:rFonts w:ascii="Arial" w:hAnsi="Arial" w:cs="Arial"/>
        </w:rPr>
        <w:t xml:space="preserve"> culture. Studies by </w:t>
      </w:r>
      <w:proofErr w:type="spellStart"/>
      <w:r w:rsidRPr="005E3402">
        <w:rPr>
          <w:rFonts w:ascii="Arial" w:hAnsi="Arial" w:cs="Arial"/>
        </w:rPr>
        <w:t>Shanafelt</w:t>
      </w:r>
      <w:proofErr w:type="spellEnd"/>
      <w:r w:rsidRPr="005E3402">
        <w:rPr>
          <w:rFonts w:ascii="Arial" w:hAnsi="Arial" w:cs="Arial"/>
        </w:rPr>
        <w:t xml:space="preserve"> et al. (2021) and </w:t>
      </w:r>
      <w:proofErr w:type="spellStart"/>
      <w:r w:rsidRPr="005E3402">
        <w:rPr>
          <w:rFonts w:ascii="Arial" w:hAnsi="Arial" w:cs="Arial"/>
        </w:rPr>
        <w:t>Laschinger</w:t>
      </w:r>
      <w:proofErr w:type="spellEnd"/>
      <w:r w:rsidRPr="005E3402">
        <w:rPr>
          <w:rFonts w:ascii="Arial" w:hAnsi="Arial" w:cs="Arial"/>
        </w:rPr>
        <w:t xml:space="preserve"> et al. (2021) demonstrate that cultures promoting open communication, learning from errors, and psychological safety tend to have both happier staff and better care outcomes. Conversely, toxic workplace cultures marked by fear, blame, and excessive pressure often lead to burnout, absenteeism, and reduced service quality (CQC, 2021).</w:t>
      </w:r>
    </w:p>
    <w:p w14:paraId="16C113E9" w14:textId="77777777" w:rsidR="005E3402" w:rsidRPr="005E3402" w:rsidRDefault="005E3402" w:rsidP="005E3402">
      <w:pPr>
        <w:pStyle w:val="Heading2"/>
        <w:rPr>
          <w:rFonts w:ascii="Arial" w:hAnsi="Arial" w:cs="Arial"/>
        </w:rPr>
      </w:pPr>
      <w:bookmarkStart w:id="17" w:name="_Toc215092997"/>
      <w:r w:rsidRPr="005E3402">
        <w:rPr>
          <w:rFonts w:ascii="Arial" w:hAnsi="Arial" w:cs="Arial"/>
        </w:rPr>
        <w:t>2.5 UK Policy and Legislative Context</w:t>
      </w:r>
      <w:bookmarkEnd w:id="17"/>
    </w:p>
    <w:p w14:paraId="08258F3D" w14:textId="77777777" w:rsidR="005E3402" w:rsidRPr="005E3402" w:rsidRDefault="005E3402" w:rsidP="005E3402">
      <w:pPr>
        <w:pStyle w:val="NormalWeb"/>
        <w:rPr>
          <w:rFonts w:ascii="Arial" w:hAnsi="Arial" w:cs="Arial"/>
        </w:rPr>
      </w:pPr>
      <w:r w:rsidRPr="005E3402">
        <w:rPr>
          <w:rFonts w:ascii="Arial" w:hAnsi="Arial" w:cs="Arial"/>
        </w:rPr>
        <w:t xml:space="preserve">In the UK, several policies and strategies underscore the importance of workforce wellbeing. The </w:t>
      </w:r>
      <w:r w:rsidRPr="005E3402">
        <w:rPr>
          <w:rStyle w:val="Strong"/>
          <w:rFonts w:ascii="Arial" w:eastAsiaTheme="majorEastAsia" w:hAnsi="Arial" w:cs="Arial"/>
        </w:rPr>
        <w:t>NHS Long Term Plan (2019)</w:t>
      </w:r>
      <w:r w:rsidRPr="005E3402">
        <w:rPr>
          <w:rFonts w:ascii="Arial" w:hAnsi="Arial" w:cs="Arial"/>
        </w:rPr>
        <w:t xml:space="preserve"> </w:t>
      </w:r>
      <w:proofErr w:type="spellStart"/>
      <w:r w:rsidRPr="005E3402">
        <w:rPr>
          <w:rFonts w:ascii="Arial" w:hAnsi="Arial" w:cs="Arial"/>
        </w:rPr>
        <w:t>emphasises</w:t>
      </w:r>
      <w:proofErr w:type="spellEnd"/>
      <w:r w:rsidRPr="005E3402">
        <w:rPr>
          <w:rFonts w:ascii="Arial" w:hAnsi="Arial" w:cs="Arial"/>
        </w:rPr>
        <w:t xml:space="preserve"> staff health and wellbeing as a strategic priority. Its implementation is supported by the </w:t>
      </w:r>
      <w:r w:rsidRPr="005E3402">
        <w:rPr>
          <w:rStyle w:val="Strong"/>
          <w:rFonts w:ascii="Arial" w:eastAsiaTheme="majorEastAsia" w:hAnsi="Arial" w:cs="Arial"/>
        </w:rPr>
        <w:t>NHS People Plan (2020)</w:t>
      </w:r>
      <w:r w:rsidRPr="005E3402">
        <w:rPr>
          <w:rFonts w:ascii="Arial" w:hAnsi="Arial" w:cs="Arial"/>
        </w:rPr>
        <w:t xml:space="preserve"> and the </w:t>
      </w:r>
      <w:r w:rsidRPr="005E3402">
        <w:rPr>
          <w:rStyle w:val="Strong"/>
          <w:rFonts w:ascii="Arial" w:eastAsiaTheme="majorEastAsia" w:hAnsi="Arial" w:cs="Arial"/>
        </w:rPr>
        <w:t>NHS People Promise</w:t>
      </w:r>
      <w:r w:rsidRPr="005E3402">
        <w:rPr>
          <w:rFonts w:ascii="Arial" w:hAnsi="Arial" w:cs="Arial"/>
        </w:rPr>
        <w:t>, which commit to creating supportive, inclusive work environments.</w:t>
      </w:r>
    </w:p>
    <w:p w14:paraId="23F4D67A" w14:textId="77777777" w:rsidR="005E3402" w:rsidRPr="005E3402" w:rsidRDefault="005E3402" w:rsidP="005E3402">
      <w:pPr>
        <w:pStyle w:val="NormalWeb"/>
        <w:rPr>
          <w:rFonts w:ascii="Arial" w:hAnsi="Arial" w:cs="Arial"/>
        </w:rPr>
      </w:pPr>
      <w:r w:rsidRPr="005E3402">
        <w:rPr>
          <w:rFonts w:ascii="Arial" w:hAnsi="Arial" w:cs="Arial"/>
        </w:rPr>
        <w:t xml:space="preserve">The </w:t>
      </w:r>
      <w:r w:rsidRPr="005E3402">
        <w:rPr>
          <w:rStyle w:val="Strong"/>
          <w:rFonts w:ascii="Arial" w:eastAsiaTheme="majorEastAsia" w:hAnsi="Arial" w:cs="Arial"/>
        </w:rPr>
        <w:t>Care Act 2014</w:t>
      </w:r>
      <w:r w:rsidRPr="005E3402">
        <w:rPr>
          <w:rFonts w:ascii="Arial" w:hAnsi="Arial" w:cs="Arial"/>
        </w:rPr>
        <w:t xml:space="preserve"> further embeds wellbeing into legislation, defining it as a key outcome for service users and implicitly extending this to the workforce responsible for delivering care. The </w:t>
      </w:r>
      <w:r w:rsidRPr="005E3402">
        <w:rPr>
          <w:rStyle w:val="Strong"/>
          <w:rFonts w:ascii="Arial" w:eastAsiaTheme="majorEastAsia" w:hAnsi="Arial" w:cs="Arial"/>
        </w:rPr>
        <w:t>CQC Strategy 2021</w:t>
      </w:r>
      <w:r w:rsidRPr="005E3402">
        <w:rPr>
          <w:rFonts w:ascii="Arial" w:hAnsi="Arial" w:cs="Arial"/>
        </w:rPr>
        <w:t xml:space="preserve"> </w:t>
      </w:r>
      <w:proofErr w:type="spellStart"/>
      <w:r w:rsidRPr="005E3402">
        <w:rPr>
          <w:rFonts w:ascii="Arial" w:hAnsi="Arial" w:cs="Arial"/>
        </w:rPr>
        <w:t>recognises</w:t>
      </w:r>
      <w:proofErr w:type="spellEnd"/>
      <w:r w:rsidRPr="005E3402">
        <w:rPr>
          <w:rFonts w:ascii="Arial" w:hAnsi="Arial" w:cs="Arial"/>
        </w:rPr>
        <w:t xml:space="preserve"> staff experience as a core dimension of care quality and requires providers to monitor and improve workplace culture. However, as McHugh et al. (2023) note, these policies often lack enforcement mechanisms, and accountability structures remain weak.</w:t>
      </w:r>
    </w:p>
    <w:p w14:paraId="38B45894" w14:textId="2B69CBFF" w:rsidR="005E3402" w:rsidRPr="005E3402" w:rsidRDefault="005E3402" w:rsidP="005E3402">
      <w:pPr>
        <w:pStyle w:val="NormalWeb"/>
        <w:rPr>
          <w:rFonts w:ascii="Arial" w:hAnsi="Arial" w:cs="Arial"/>
        </w:rPr>
      </w:pPr>
      <w:r w:rsidRPr="005E3402">
        <w:rPr>
          <w:rFonts w:ascii="Arial" w:hAnsi="Arial" w:cs="Arial"/>
        </w:rPr>
        <w:t>Despite these frameworks, many NHS and social care providers struggle to meet wellbeing targets due to funding shortages, workforce gaps, and an increasing reliance on agency staff (Skills for Care, 2022). These systemic challenges necessitate urgent, integrated responses that go beyond rhetoric to actual resource allocation and implementation.</w:t>
      </w:r>
    </w:p>
    <w:p w14:paraId="79B708D2" w14:textId="77777777" w:rsidR="005E3402" w:rsidRPr="005E3402" w:rsidRDefault="005E3402" w:rsidP="005E3402">
      <w:pPr>
        <w:pStyle w:val="Heading2"/>
        <w:rPr>
          <w:rFonts w:ascii="Arial" w:hAnsi="Arial" w:cs="Arial"/>
        </w:rPr>
      </w:pPr>
      <w:bookmarkStart w:id="18" w:name="_Toc215092998"/>
      <w:r w:rsidRPr="005E3402">
        <w:rPr>
          <w:rFonts w:ascii="Arial" w:hAnsi="Arial" w:cs="Arial"/>
        </w:rPr>
        <w:t>2.6 International Comparisons</w:t>
      </w:r>
      <w:bookmarkEnd w:id="18"/>
    </w:p>
    <w:p w14:paraId="7DDA5613" w14:textId="77777777" w:rsidR="005E3402" w:rsidRPr="005E3402" w:rsidRDefault="005E3402" w:rsidP="005E3402">
      <w:pPr>
        <w:pStyle w:val="NormalWeb"/>
        <w:rPr>
          <w:rFonts w:ascii="Arial" w:hAnsi="Arial" w:cs="Arial"/>
        </w:rPr>
      </w:pPr>
      <w:r w:rsidRPr="005E3402">
        <w:rPr>
          <w:rFonts w:ascii="Arial" w:hAnsi="Arial" w:cs="Arial"/>
        </w:rPr>
        <w:t xml:space="preserve">Comparative analysis reveals that workforce wellbeing is a global issue, though responses vary. In </w:t>
      </w:r>
      <w:r w:rsidRPr="005E3402">
        <w:rPr>
          <w:rStyle w:val="Strong"/>
          <w:rFonts w:ascii="Arial" w:eastAsiaTheme="majorEastAsia" w:hAnsi="Arial" w:cs="Arial"/>
        </w:rPr>
        <w:t>Australia</w:t>
      </w:r>
      <w:r w:rsidRPr="005E3402">
        <w:rPr>
          <w:rFonts w:ascii="Arial" w:hAnsi="Arial" w:cs="Arial"/>
        </w:rPr>
        <w:t>, the National Health Workforce Strategy (Australian Government, 2021) focuses on leadership development, mental health support, and equitable workloads. Evaluations show positive outcomes, including improved retention and reduced burnout among Indigenous health workers (AIHW, 2022).</w:t>
      </w:r>
    </w:p>
    <w:p w14:paraId="3C25056C" w14:textId="77777777" w:rsidR="005E3402" w:rsidRPr="005E3402" w:rsidRDefault="005E3402" w:rsidP="005E3402">
      <w:pPr>
        <w:pStyle w:val="NormalWeb"/>
        <w:rPr>
          <w:rFonts w:ascii="Arial" w:hAnsi="Arial" w:cs="Arial"/>
        </w:rPr>
      </w:pPr>
      <w:r w:rsidRPr="005E3402">
        <w:rPr>
          <w:rFonts w:ascii="Arial" w:hAnsi="Arial" w:cs="Arial"/>
        </w:rPr>
        <w:t xml:space="preserve">In the </w:t>
      </w:r>
      <w:r w:rsidRPr="005E3402">
        <w:rPr>
          <w:rStyle w:val="Strong"/>
          <w:rFonts w:ascii="Arial" w:eastAsiaTheme="majorEastAsia" w:hAnsi="Arial" w:cs="Arial"/>
        </w:rPr>
        <w:t>United States</w:t>
      </w:r>
      <w:r w:rsidRPr="005E3402">
        <w:rPr>
          <w:rFonts w:ascii="Arial" w:hAnsi="Arial" w:cs="Arial"/>
        </w:rPr>
        <w:t xml:space="preserve">, the National Academy of Medicine launched a framework on clinician wellbeing and resilience, with major hospitals adopting burnout reduction </w:t>
      </w:r>
      <w:proofErr w:type="spellStart"/>
      <w:r w:rsidRPr="005E3402">
        <w:rPr>
          <w:rFonts w:ascii="Arial" w:hAnsi="Arial" w:cs="Arial"/>
        </w:rPr>
        <w:t>programmes</w:t>
      </w:r>
      <w:proofErr w:type="spellEnd"/>
      <w:r w:rsidRPr="005E3402">
        <w:rPr>
          <w:rFonts w:ascii="Arial" w:hAnsi="Arial" w:cs="Arial"/>
        </w:rPr>
        <w:t xml:space="preserve"> and wellbeing officers (NAM, 2022). However, high insurance costs and systemic inequities continue to impede progress.</w:t>
      </w:r>
    </w:p>
    <w:p w14:paraId="0C40E1C0" w14:textId="3426ED95" w:rsidR="005E3402" w:rsidRPr="005E3402" w:rsidRDefault="005E3402" w:rsidP="005E3402">
      <w:pPr>
        <w:pStyle w:val="NormalWeb"/>
        <w:rPr>
          <w:rFonts w:ascii="Arial" w:hAnsi="Arial" w:cs="Arial"/>
        </w:rPr>
      </w:pPr>
      <w:r w:rsidRPr="005E3402">
        <w:rPr>
          <w:rFonts w:ascii="Arial" w:hAnsi="Arial" w:cs="Arial"/>
        </w:rPr>
        <w:t xml:space="preserve">By contrast, the UK’s </w:t>
      </w:r>
      <w:proofErr w:type="spellStart"/>
      <w:r w:rsidRPr="005E3402">
        <w:rPr>
          <w:rFonts w:ascii="Arial" w:hAnsi="Arial" w:cs="Arial"/>
        </w:rPr>
        <w:t>centralised</w:t>
      </w:r>
      <w:proofErr w:type="spellEnd"/>
      <w:r w:rsidRPr="005E3402">
        <w:rPr>
          <w:rFonts w:ascii="Arial" w:hAnsi="Arial" w:cs="Arial"/>
        </w:rPr>
        <w:t xml:space="preserve"> NHS structure offers an opportunity for </w:t>
      </w:r>
      <w:proofErr w:type="spellStart"/>
      <w:r w:rsidRPr="005E3402">
        <w:rPr>
          <w:rFonts w:ascii="Arial" w:hAnsi="Arial" w:cs="Arial"/>
        </w:rPr>
        <w:t>standardisation</w:t>
      </w:r>
      <w:proofErr w:type="spellEnd"/>
      <w:r w:rsidRPr="005E3402">
        <w:rPr>
          <w:rFonts w:ascii="Arial" w:hAnsi="Arial" w:cs="Arial"/>
        </w:rPr>
        <w:t xml:space="preserve"> of wellbeing initiatives, but this potential remains </w:t>
      </w:r>
      <w:proofErr w:type="spellStart"/>
      <w:r w:rsidRPr="005E3402">
        <w:rPr>
          <w:rFonts w:ascii="Arial" w:hAnsi="Arial" w:cs="Arial"/>
        </w:rPr>
        <w:t>underutilised</w:t>
      </w:r>
      <w:proofErr w:type="spellEnd"/>
      <w:r w:rsidRPr="005E3402">
        <w:rPr>
          <w:rFonts w:ascii="Arial" w:hAnsi="Arial" w:cs="Arial"/>
        </w:rPr>
        <w:t xml:space="preserve"> due to inconsistent policy implementation and variable local leadership (The King’s Fund, 2023).</w:t>
      </w:r>
    </w:p>
    <w:p w14:paraId="30214151" w14:textId="77777777" w:rsidR="005E3402" w:rsidRPr="005E3402" w:rsidRDefault="005E3402" w:rsidP="005E3402">
      <w:pPr>
        <w:pStyle w:val="Heading2"/>
        <w:rPr>
          <w:rFonts w:ascii="Arial" w:hAnsi="Arial" w:cs="Arial"/>
        </w:rPr>
      </w:pPr>
      <w:bookmarkStart w:id="19" w:name="_Toc215092999"/>
      <w:r w:rsidRPr="005E3402">
        <w:rPr>
          <w:rFonts w:ascii="Arial" w:hAnsi="Arial" w:cs="Arial"/>
        </w:rPr>
        <w:t>2.7 Key Gaps in the Literature</w:t>
      </w:r>
      <w:bookmarkEnd w:id="19"/>
    </w:p>
    <w:p w14:paraId="06D38D9B" w14:textId="77777777" w:rsidR="005E3402" w:rsidRPr="005E3402" w:rsidRDefault="005E3402" w:rsidP="005E3402">
      <w:pPr>
        <w:pStyle w:val="NormalWeb"/>
        <w:rPr>
          <w:rFonts w:ascii="Arial" w:hAnsi="Arial" w:cs="Arial"/>
        </w:rPr>
      </w:pPr>
      <w:r w:rsidRPr="005E3402">
        <w:rPr>
          <w:rFonts w:ascii="Arial" w:hAnsi="Arial" w:cs="Arial"/>
        </w:rPr>
        <w:t xml:space="preserve">Despite the wealth of existing research, several gaps remain. First, much of the literature focuses on individual factors like stress or burnout, with less attention paid to systemic or </w:t>
      </w:r>
      <w:proofErr w:type="spellStart"/>
      <w:r w:rsidRPr="005E3402">
        <w:rPr>
          <w:rFonts w:ascii="Arial" w:hAnsi="Arial" w:cs="Arial"/>
        </w:rPr>
        <w:t>organisational</w:t>
      </w:r>
      <w:proofErr w:type="spellEnd"/>
      <w:r w:rsidRPr="005E3402">
        <w:rPr>
          <w:rFonts w:ascii="Arial" w:hAnsi="Arial" w:cs="Arial"/>
        </w:rPr>
        <w:t xml:space="preserve"> determinants. Second, there is a relative lack of longitudinal and intervention-based studies that evaluate the impact of specific wellbeing strategies on care quality. Third, while nursing staff are often studied, there is limited research on wellbeing in allied health professionals, support workers, or social care staff (Hall et al., 2022).</w:t>
      </w:r>
    </w:p>
    <w:p w14:paraId="0B1CF8BF" w14:textId="3286A5E3" w:rsidR="005E3402" w:rsidRPr="005E3402" w:rsidRDefault="005E3402" w:rsidP="005E3402">
      <w:pPr>
        <w:pStyle w:val="NormalWeb"/>
        <w:rPr>
          <w:rFonts w:ascii="Arial" w:hAnsi="Arial" w:cs="Arial"/>
        </w:rPr>
      </w:pPr>
      <w:r w:rsidRPr="005E3402">
        <w:rPr>
          <w:rFonts w:ascii="Arial" w:hAnsi="Arial" w:cs="Arial"/>
        </w:rPr>
        <w:t>Furthermore, while global comparisons exist, cultural and structural differences limit transferability. As a result, more UK-specific, context-aware studies are needed that examine how workforce wellbeing intersects with local service delivery, policy environments, and health inequalities.</w:t>
      </w:r>
    </w:p>
    <w:p w14:paraId="717F6CA8" w14:textId="77777777" w:rsidR="005E3402" w:rsidRPr="005E3402" w:rsidRDefault="005E3402" w:rsidP="005E3402">
      <w:pPr>
        <w:pStyle w:val="Heading2"/>
        <w:rPr>
          <w:rFonts w:ascii="Arial" w:hAnsi="Arial" w:cs="Arial"/>
        </w:rPr>
      </w:pPr>
      <w:bookmarkStart w:id="20" w:name="_Toc215093000"/>
      <w:r w:rsidRPr="005E3402">
        <w:rPr>
          <w:rFonts w:ascii="Arial" w:hAnsi="Arial" w:cs="Arial"/>
        </w:rPr>
        <w:t>2.8 Conclusion</w:t>
      </w:r>
      <w:bookmarkEnd w:id="20"/>
    </w:p>
    <w:p w14:paraId="40786EDA" w14:textId="77777777" w:rsidR="005E3402" w:rsidRPr="005E3402" w:rsidRDefault="005E3402" w:rsidP="005E3402">
      <w:pPr>
        <w:pStyle w:val="NormalWeb"/>
        <w:rPr>
          <w:rFonts w:ascii="Arial" w:hAnsi="Arial" w:cs="Arial"/>
        </w:rPr>
      </w:pPr>
      <w:r w:rsidRPr="005E3402">
        <w:rPr>
          <w:rFonts w:ascii="Arial" w:hAnsi="Arial" w:cs="Arial"/>
        </w:rPr>
        <w:t xml:space="preserve">This chapter has reviewed contemporary literature on workforce wellbeing and its relationship with care quality in health and social care settings. Theoretical models such as Maslow’s Hierarchy of Needs, Empowerment Theory, and the JD-R model offer valuable lenses through which to interpret wellbeing dynamics, while the NHS Workforce Wellbeing Framework provides a policy roadmap. However, there is a persistent gap between theory and practice, underlining the need for robust, evidence-based, and systematically implemented wellbeing strategies. The following chapters will build on this foundation to present the scoping review methodology and </w:t>
      </w:r>
      <w:proofErr w:type="spellStart"/>
      <w:r w:rsidRPr="005E3402">
        <w:rPr>
          <w:rFonts w:ascii="Arial" w:hAnsi="Arial" w:cs="Arial"/>
        </w:rPr>
        <w:t>analyse</w:t>
      </w:r>
      <w:proofErr w:type="spellEnd"/>
      <w:r w:rsidRPr="005E3402">
        <w:rPr>
          <w:rFonts w:ascii="Arial" w:hAnsi="Arial" w:cs="Arial"/>
        </w:rPr>
        <w:t xml:space="preserve"> the evidence base thematically.</w:t>
      </w:r>
    </w:p>
    <w:p w14:paraId="554EF9B0" w14:textId="77777777" w:rsidR="005E3402" w:rsidRDefault="005E3402" w:rsidP="005E3402">
      <w:pPr>
        <w:pStyle w:val="Heading1"/>
        <w:rPr>
          <w:rFonts w:ascii="Arial" w:hAnsi="Arial" w:cs="Arial"/>
        </w:rPr>
      </w:pPr>
      <w:bookmarkStart w:id="21" w:name="_Toc215093001"/>
      <w:r w:rsidRPr="005E3402">
        <w:rPr>
          <w:rFonts w:ascii="Arial" w:hAnsi="Arial" w:cs="Arial"/>
        </w:rPr>
        <w:t>CHAPTER 3: METHOD</w:t>
      </w:r>
      <w:bookmarkStart w:id="22" w:name="_Toc215093002"/>
      <w:bookmarkEnd w:id="21"/>
      <w:r>
        <w:rPr>
          <w:rFonts w:ascii="Arial" w:hAnsi="Arial" w:cs="Arial"/>
        </w:rPr>
        <w:t>OLOGY</w:t>
      </w:r>
    </w:p>
    <w:p w14:paraId="69B0230A" w14:textId="1E80FBF7" w:rsidR="005E3402" w:rsidRPr="005E3402" w:rsidRDefault="005E3402" w:rsidP="005E3402">
      <w:pPr>
        <w:pStyle w:val="Heading1"/>
        <w:rPr>
          <w:rFonts w:ascii="Arial" w:hAnsi="Arial" w:cs="Arial"/>
        </w:rPr>
      </w:pPr>
      <w:r w:rsidRPr="005E3402">
        <w:rPr>
          <w:rFonts w:ascii="Arial" w:hAnsi="Arial" w:cs="Arial"/>
        </w:rPr>
        <w:t>3.1 Introduction</w:t>
      </w:r>
      <w:bookmarkEnd w:id="22"/>
    </w:p>
    <w:p w14:paraId="36487A1E" w14:textId="5ACAF90F" w:rsidR="005E3402" w:rsidRPr="005E3402" w:rsidRDefault="005E3402" w:rsidP="005E3402">
      <w:pPr>
        <w:pStyle w:val="NormalWeb"/>
        <w:rPr>
          <w:rFonts w:ascii="Arial" w:hAnsi="Arial" w:cs="Arial"/>
        </w:rPr>
      </w:pPr>
      <w:r w:rsidRPr="005E3402">
        <w:rPr>
          <w:rFonts w:ascii="Arial" w:hAnsi="Arial" w:cs="Arial"/>
        </w:rPr>
        <w:t xml:space="preserve">This chapter outlines the methodological approach adopted to address the aim of this dissertation: to explore the relationship between workforce wellbeing and quality of care in health and social care settings. Given the breadth and complexity of this topic, a </w:t>
      </w:r>
      <w:r w:rsidRPr="005E3402">
        <w:rPr>
          <w:rStyle w:val="Strong"/>
          <w:rFonts w:ascii="Arial" w:eastAsiaTheme="majorEastAsia" w:hAnsi="Arial" w:cs="Arial"/>
        </w:rPr>
        <w:t>scoping review methodology</w:t>
      </w:r>
      <w:r w:rsidRPr="005E3402">
        <w:rPr>
          <w:rFonts w:ascii="Arial" w:hAnsi="Arial" w:cs="Arial"/>
        </w:rPr>
        <w:t xml:space="preserve"> was chosen. Scoping reviews are particularly suitable for examining complex concepts, clarifying definitions, and identifying gaps in existing literature. Unlike systematic reviews, which focus on answering specific questions often using quantitative evidence, scoping reviews are more exploratory. They allow for the inclusion of diverse sources and study designs, making them appropriate for topics spanning policy, practice, and academic inquiry (Munn et al., 2018). The methodological framework employed in this review is based on the five-stage process proposed by Arksey and O’Malley (2005), later refined by </w:t>
      </w:r>
      <w:proofErr w:type="spellStart"/>
      <w:r w:rsidRPr="005E3402">
        <w:rPr>
          <w:rFonts w:ascii="Arial" w:hAnsi="Arial" w:cs="Arial"/>
        </w:rPr>
        <w:t>Levac</w:t>
      </w:r>
      <w:proofErr w:type="spellEnd"/>
      <w:r w:rsidRPr="005E3402">
        <w:rPr>
          <w:rFonts w:ascii="Arial" w:hAnsi="Arial" w:cs="Arial"/>
        </w:rPr>
        <w:t xml:space="preserve"> et al. (2010) and Peters et al. (2020). This process includes identifying the research question, identifying relevant studies, selecting the studies, charting the data, and </w:t>
      </w:r>
      <w:proofErr w:type="spellStart"/>
      <w:r w:rsidRPr="005E3402">
        <w:rPr>
          <w:rFonts w:ascii="Arial" w:hAnsi="Arial" w:cs="Arial"/>
        </w:rPr>
        <w:t>summarising</w:t>
      </w:r>
      <w:proofErr w:type="spellEnd"/>
      <w:r w:rsidRPr="005E3402">
        <w:rPr>
          <w:rFonts w:ascii="Arial" w:hAnsi="Arial" w:cs="Arial"/>
        </w:rPr>
        <w:t xml:space="preserve"> and reporting the results. To ensure transparency and replicability, the Preferred Reporting Items for Systematic Reviews and Meta-Analyses extension for Scoping Reviews (</w:t>
      </w:r>
      <w:r w:rsidRPr="005E3402">
        <w:rPr>
          <w:rStyle w:val="Strong"/>
          <w:rFonts w:ascii="Arial" w:eastAsiaTheme="majorEastAsia" w:hAnsi="Arial" w:cs="Arial"/>
        </w:rPr>
        <w:t>PRISMA-ScR</w:t>
      </w:r>
      <w:r w:rsidRPr="005E3402">
        <w:rPr>
          <w:rFonts w:ascii="Arial" w:hAnsi="Arial" w:cs="Arial"/>
        </w:rPr>
        <w:t>) checklist was followed (</w:t>
      </w:r>
      <w:proofErr w:type="spellStart"/>
      <w:r w:rsidRPr="005E3402">
        <w:rPr>
          <w:rFonts w:ascii="Arial" w:hAnsi="Arial" w:cs="Arial"/>
        </w:rPr>
        <w:t>Tricco</w:t>
      </w:r>
      <w:proofErr w:type="spellEnd"/>
      <w:r w:rsidRPr="005E3402">
        <w:rPr>
          <w:rFonts w:ascii="Arial" w:hAnsi="Arial" w:cs="Arial"/>
        </w:rPr>
        <w:t xml:space="preserve"> et al., 2018).</w:t>
      </w:r>
    </w:p>
    <w:p w14:paraId="158197C9" w14:textId="77777777" w:rsidR="005E3402" w:rsidRPr="005E3402" w:rsidRDefault="005E3402" w:rsidP="005E3402">
      <w:pPr>
        <w:pStyle w:val="Heading2"/>
        <w:rPr>
          <w:rFonts w:ascii="Arial" w:hAnsi="Arial" w:cs="Arial"/>
        </w:rPr>
      </w:pPr>
      <w:bookmarkStart w:id="23" w:name="_Toc215093003"/>
      <w:r w:rsidRPr="005E3402">
        <w:rPr>
          <w:rFonts w:ascii="Arial" w:hAnsi="Arial" w:cs="Arial"/>
        </w:rPr>
        <w:t>3.2 Research Questions</w:t>
      </w:r>
      <w:bookmarkEnd w:id="23"/>
    </w:p>
    <w:p w14:paraId="0C1D7DEF" w14:textId="18D84EE9" w:rsidR="005E3402" w:rsidRPr="005E3402" w:rsidRDefault="005E3402" w:rsidP="005E3402">
      <w:pPr>
        <w:pStyle w:val="NormalWeb"/>
        <w:rPr>
          <w:rFonts w:ascii="Arial" w:hAnsi="Arial" w:cs="Arial"/>
        </w:rPr>
      </w:pPr>
      <w:r w:rsidRPr="005E3402">
        <w:rPr>
          <w:rFonts w:ascii="Arial" w:hAnsi="Arial" w:cs="Arial"/>
        </w:rPr>
        <w:t xml:space="preserve">The scoping review was guided by one central research question: </w:t>
      </w:r>
      <w:r w:rsidRPr="005E3402">
        <w:rPr>
          <w:rStyle w:val="Strong"/>
          <w:rFonts w:ascii="Arial" w:eastAsiaTheme="majorEastAsia" w:hAnsi="Arial" w:cs="Arial"/>
        </w:rPr>
        <w:t>What is the relationship between workforce wellbeing and quality of care in health and social care settings?</w:t>
      </w:r>
      <w:r w:rsidRPr="005E3402">
        <w:rPr>
          <w:rFonts w:ascii="Arial" w:hAnsi="Arial" w:cs="Arial"/>
        </w:rPr>
        <w:t xml:space="preserve"> This overarching question was designed to direct the identification and synthesis of relevant evidence across various care settings and professional groups. To support this primary inquiry, three sub-questions were developed to deepen the analysis and inform the thematic structure of the findings. First, the review sought to determine </w:t>
      </w:r>
      <w:r w:rsidRPr="005E3402">
        <w:rPr>
          <w:rStyle w:val="Strong"/>
          <w:rFonts w:ascii="Arial" w:eastAsiaTheme="majorEastAsia" w:hAnsi="Arial" w:cs="Arial"/>
        </w:rPr>
        <w:t>what components of workforce wellbeing</w:t>
      </w:r>
      <w:r w:rsidRPr="005E3402">
        <w:rPr>
          <w:rFonts w:ascii="Arial" w:hAnsi="Arial" w:cs="Arial"/>
        </w:rPr>
        <w:t xml:space="preserve">—such as burnout, psychological safety, job satisfaction, and empowerment—are most frequently associated with care quality in the literature. Second, the review examined </w:t>
      </w:r>
      <w:r w:rsidRPr="005E3402">
        <w:rPr>
          <w:rStyle w:val="Strong"/>
          <w:rFonts w:ascii="Arial" w:eastAsiaTheme="majorEastAsia" w:hAnsi="Arial" w:cs="Arial"/>
        </w:rPr>
        <w:t xml:space="preserve">how </w:t>
      </w:r>
      <w:proofErr w:type="spellStart"/>
      <w:r w:rsidRPr="005E3402">
        <w:rPr>
          <w:rStyle w:val="Strong"/>
          <w:rFonts w:ascii="Arial" w:eastAsiaTheme="majorEastAsia" w:hAnsi="Arial" w:cs="Arial"/>
        </w:rPr>
        <w:t>organisational</w:t>
      </w:r>
      <w:proofErr w:type="spellEnd"/>
      <w:r w:rsidRPr="005E3402">
        <w:rPr>
          <w:rStyle w:val="Strong"/>
          <w:rFonts w:ascii="Arial" w:eastAsiaTheme="majorEastAsia" w:hAnsi="Arial" w:cs="Arial"/>
        </w:rPr>
        <w:t xml:space="preserve"> and systemic factors</w:t>
      </w:r>
      <w:r w:rsidRPr="005E3402">
        <w:rPr>
          <w:rFonts w:ascii="Arial" w:hAnsi="Arial" w:cs="Arial"/>
        </w:rPr>
        <w:t xml:space="preserve">, such as leadership, staffing levels, and workplace culture, influence this relationship. Finally, the review aimed to identify </w:t>
      </w:r>
      <w:r w:rsidRPr="005E3402">
        <w:rPr>
          <w:rStyle w:val="Strong"/>
          <w:rFonts w:ascii="Arial" w:eastAsiaTheme="majorEastAsia" w:hAnsi="Arial" w:cs="Arial"/>
        </w:rPr>
        <w:t>interventions or strategies</w:t>
      </w:r>
      <w:r w:rsidRPr="005E3402">
        <w:rPr>
          <w:rFonts w:ascii="Arial" w:hAnsi="Arial" w:cs="Arial"/>
        </w:rPr>
        <w:t xml:space="preserve"> that have been proposed or implemented to improve both workforce wellbeing and care outcomes. These questions were deliberately broad, aligning with the exploratory and mapping goals of a scoping review.</w:t>
      </w:r>
    </w:p>
    <w:p w14:paraId="6274F5FD" w14:textId="77777777" w:rsidR="005E3402" w:rsidRPr="005E3402" w:rsidRDefault="005E3402" w:rsidP="005E3402">
      <w:pPr>
        <w:pStyle w:val="Heading2"/>
        <w:rPr>
          <w:rFonts w:ascii="Arial" w:hAnsi="Arial" w:cs="Arial"/>
        </w:rPr>
      </w:pPr>
      <w:bookmarkStart w:id="24" w:name="_Toc215093004"/>
      <w:r w:rsidRPr="005E3402">
        <w:rPr>
          <w:rFonts w:ascii="Arial" w:hAnsi="Arial" w:cs="Arial"/>
        </w:rPr>
        <w:t>3.3 Eligibility Criteria</w:t>
      </w:r>
      <w:bookmarkEnd w:id="24"/>
    </w:p>
    <w:p w14:paraId="7C2FB2A5" w14:textId="722EBB94" w:rsidR="005E3402" w:rsidRPr="005E3402" w:rsidRDefault="005E3402" w:rsidP="005E3402">
      <w:pPr>
        <w:pStyle w:val="NormalWeb"/>
        <w:rPr>
          <w:rFonts w:ascii="Arial" w:hAnsi="Arial" w:cs="Arial"/>
        </w:rPr>
      </w:pPr>
      <w:r w:rsidRPr="005E3402">
        <w:rPr>
          <w:rFonts w:ascii="Arial" w:hAnsi="Arial" w:cs="Arial"/>
        </w:rPr>
        <w:t xml:space="preserve">The inclusion and exclusion criteria for this review were developed using the </w:t>
      </w:r>
      <w:r w:rsidRPr="005E3402">
        <w:rPr>
          <w:rStyle w:val="Strong"/>
          <w:rFonts w:ascii="Arial" w:eastAsiaTheme="majorEastAsia" w:hAnsi="Arial" w:cs="Arial"/>
        </w:rPr>
        <w:t>Population, Concept, Context (PCC)</w:t>
      </w:r>
      <w:r w:rsidRPr="005E3402">
        <w:rPr>
          <w:rFonts w:ascii="Arial" w:hAnsi="Arial" w:cs="Arial"/>
        </w:rPr>
        <w:t xml:space="preserve"> framework, as recommended by the Joanna Briggs Institute for scoping reviews. In terms of population, the review focused on studies involving health and social care professionals, including but not limited to nurses, doctors, allied health professionals, and care workers. Studies that focused solely on students, administrative staff, or professionals outside of the healthcare sector were excluded to maintain relevance. The conceptual focus was on workforce wellbeing, broadly defined to include psychological, emotional, and physical health, job satisfaction, engagement, burnout, and empowerment. Only studies that linked these aspects to measurable or observable </w:t>
      </w:r>
      <w:r w:rsidRPr="005E3402">
        <w:rPr>
          <w:rStyle w:val="Strong"/>
          <w:rFonts w:ascii="Arial" w:eastAsiaTheme="majorEastAsia" w:hAnsi="Arial" w:cs="Arial"/>
        </w:rPr>
        <w:t>quality of care indicators</w:t>
      </w:r>
      <w:r w:rsidRPr="005E3402">
        <w:rPr>
          <w:rFonts w:ascii="Arial" w:hAnsi="Arial" w:cs="Arial"/>
        </w:rPr>
        <w:t xml:space="preserve">—such as patient safety, satisfaction, effectiveness of care, or adverse event rates—were included. Studies that explored workforce wellbeing in isolation, without reference to care outcomes, were excluded. The context was limited to health and social care settings, such as hospitals, general practices, community health services, and residential care homes. Studies from non-care sectors, such as education or general business, were not considered. To ensure the review’s currency and relevance, only English-language literature published between </w:t>
      </w:r>
      <w:r w:rsidRPr="005E3402">
        <w:rPr>
          <w:rStyle w:val="Strong"/>
          <w:rFonts w:ascii="Arial" w:eastAsiaTheme="majorEastAsia" w:hAnsi="Arial" w:cs="Arial"/>
        </w:rPr>
        <w:t>January 2020 and October 2025</w:t>
      </w:r>
      <w:r w:rsidRPr="005E3402">
        <w:rPr>
          <w:rFonts w:ascii="Arial" w:hAnsi="Arial" w:cs="Arial"/>
        </w:rPr>
        <w:t xml:space="preserve"> was included. Seminal works published prior to 2020 were reviewed for context but excluded from the main synthesis unless deemed critical to theory development.</w:t>
      </w:r>
    </w:p>
    <w:p w14:paraId="4CE55DA0" w14:textId="77777777" w:rsidR="005E3402" w:rsidRPr="005E3402" w:rsidRDefault="005E3402" w:rsidP="005E3402">
      <w:pPr>
        <w:pStyle w:val="Heading2"/>
        <w:rPr>
          <w:rFonts w:ascii="Arial" w:hAnsi="Arial" w:cs="Arial"/>
        </w:rPr>
      </w:pPr>
      <w:bookmarkStart w:id="25" w:name="_Toc215093005"/>
      <w:r w:rsidRPr="005E3402">
        <w:rPr>
          <w:rFonts w:ascii="Arial" w:hAnsi="Arial" w:cs="Arial"/>
        </w:rPr>
        <w:t>3.4 Search Strategy</w:t>
      </w:r>
      <w:bookmarkEnd w:id="25"/>
    </w:p>
    <w:p w14:paraId="16459C5E" w14:textId="77777777" w:rsidR="005E3402" w:rsidRPr="005E3402" w:rsidRDefault="005E3402" w:rsidP="005E3402">
      <w:pPr>
        <w:pStyle w:val="NormalWeb"/>
        <w:rPr>
          <w:rFonts w:ascii="Arial" w:hAnsi="Arial" w:cs="Arial"/>
        </w:rPr>
      </w:pPr>
      <w:r w:rsidRPr="005E3402">
        <w:rPr>
          <w:rFonts w:ascii="Arial" w:hAnsi="Arial" w:cs="Arial"/>
        </w:rPr>
        <w:t xml:space="preserve">A comprehensive and systematic search of the literature was conducted across five academic databases: </w:t>
      </w:r>
      <w:r w:rsidRPr="005E3402">
        <w:rPr>
          <w:rStyle w:val="Strong"/>
          <w:rFonts w:ascii="Arial" w:eastAsiaTheme="majorEastAsia" w:hAnsi="Arial" w:cs="Arial"/>
        </w:rPr>
        <w:t>MEDLINE via PubMed, CINAHL, PsycINFO, Web of Science, and Scopus</w:t>
      </w:r>
      <w:r w:rsidRPr="005E3402">
        <w:rPr>
          <w:rFonts w:ascii="Arial" w:hAnsi="Arial" w:cs="Arial"/>
        </w:rPr>
        <w:t xml:space="preserve">. These databases were selected to ensure a wide disciplinary coverage spanning health, psychology, social care, and policy research. The search was supplemented by grey literature from reputable sources including </w:t>
      </w:r>
      <w:r w:rsidRPr="005E3402">
        <w:rPr>
          <w:rStyle w:val="Strong"/>
          <w:rFonts w:ascii="Arial" w:eastAsiaTheme="majorEastAsia" w:hAnsi="Arial" w:cs="Arial"/>
        </w:rPr>
        <w:t>NHS England, The King’s Fund, the Care Quality Commission (CQC), the British Medical Association (BMA), the Australian Medical Association, and the US National Academy of Medicine</w:t>
      </w:r>
      <w:r w:rsidRPr="005E3402">
        <w:rPr>
          <w:rFonts w:ascii="Arial" w:hAnsi="Arial" w:cs="Arial"/>
        </w:rPr>
        <w:t>. These sources were deemed necessary to capture insights from policy documents, workforce reports, and sector evaluations that might not appear in peer-reviewed academic journals.</w:t>
      </w:r>
    </w:p>
    <w:p w14:paraId="3474D6AF" w14:textId="58ACA731" w:rsidR="005E3402" w:rsidRPr="005E3402" w:rsidRDefault="005E3402" w:rsidP="005E3402">
      <w:pPr>
        <w:pStyle w:val="NormalWeb"/>
        <w:rPr>
          <w:rFonts w:ascii="Arial" w:hAnsi="Arial" w:cs="Arial"/>
        </w:rPr>
      </w:pPr>
      <w:r w:rsidRPr="005E3402">
        <w:rPr>
          <w:rFonts w:ascii="Arial" w:hAnsi="Arial" w:cs="Arial"/>
        </w:rPr>
        <w:t xml:space="preserve">Keywords and subject headings were developed through an iterative process and included terms related to staff wellbeing (“workforce wellbeing,” “staff wellbeing,” “burnout,” “psychological safety”), care outcomes (“quality of care,” “patient satisfaction,” “clinical effectiveness”), and professional setting (“healthcare,” “social care,” “NHS”). Boolean operators and truncation symbols were used to ensure flexibility in matching article titles and abstracts. Search filters were applied to limit the results to </w:t>
      </w:r>
      <w:r w:rsidRPr="005E3402">
        <w:rPr>
          <w:rStyle w:val="Strong"/>
          <w:rFonts w:ascii="Arial" w:eastAsiaTheme="majorEastAsia" w:hAnsi="Arial" w:cs="Arial"/>
        </w:rPr>
        <w:t>English-language studies published between 2020 and 2025</w:t>
      </w:r>
      <w:r w:rsidRPr="005E3402">
        <w:rPr>
          <w:rFonts w:ascii="Arial" w:hAnsi="Arial" w:cs="Arial"/>
        </w:rPr>
        <w:t xml:space="preserve">. All retrieved citations were exported into </w:t>
      </w:r>
      <w:r w:rsidRPr="005E3402">
        <w:rPr>
          <w:rStyle w:val="Strong"/>
          <w:rFonts w:ascii="Arial" w:eastAsiaTheme="majorEastAsia" w:hAnsi="Arial" w:cs="Arial"/>
        </w:rPr>
        <w:t>EndNote</w:t>
      </w:r>
      <w:r w:rsidRPr="005E3402">
        <w:rPr>
          <w:rFonts w:ascii="Arial" w:hAnsi="Arial" w:cs="Arial"/>
        </w:rPr>
        <w:t xml:space="preserve"> for reference management and de-duplication.</w:t>
      </w:r>
    </w:p>
    <w:p w14:paraId="015CC2CE" w14:textId="77777777" w:rsidR="005E3402" w:rsidRPr="005E3402" w:rsidRDefault="005E3402" w:rsidP="005E3402">
      <w:pPr>
        <w:pStyle w:val="Heading2"/>
        <w:rPr>
          <w:rFonts w:ascii="Arial" w:hAnsi="Arial" w:cs="Arial"/>
        </w:rPr>
      </w:pPr>
      <w:bookmarkStart w:id="26" w:name="_Toc215093006"/>
      <w:r w:rsidRPr="005E3402">
        <w:rPr>
          <w:rFonts w:ascii="Arial" w:hAnsi="Arial" w:cs="Arial"/>
        </w:rPr>
        <w:t>3.5 Study Selection</w:t>
      </w:r>
      <w:bookmarkEnd w:id="26"/>
    </w:p>
    <w:p w14:paraId="3EC3926C" w14:textId="21226B2D" w:rsidR="005E3402" w:rsidRPr="005E3402" w:rsidRDefault="005E3402" w:rsidP="005E3402">
      <w:pPr>
        <w:pStyle w:val="NormalWeb"/>
        <w:rPr>
          <w:rFonts w:ascii="Arial" w:hAnsi="Arial" w:cs="Arial"/>
        </w:rPr>
      </w:pPr>
      <w:r w:rsidRPr="005E3402">
        <w:rPr>
          <w:rFonts w:ascii="Arial" w:hAnsi="Arial" w:cs="Arial"/>
        </w:rPr>
        <w:t xml:space="preserve">Following the literature search, </w:t>
      </w:r>
      <w:r w:rsidRPr="005E3402">
        <w:rPr>
          <w:rStyle w:val="Strong"/>
          <w:rFonts w:ascii="Arial" w:eastAsiaTheme="majorEastAsia" w:hAnsi="Arial" w:cs="Arial"/>
        </w:rPr>
        <w:t>3,286 records</w:t>
      </w:r>
      <w:r w:rsidRPr="005E3402">
        <w:rPr>
          <w:rFonts w:ascii="Arial" w:hAnsi="Arial" w:cs="Arial"/>
        </w:rPr>
        <w:t xml:space="preserve"> were initially retrieved across all sources. After removing </w:t>
      </w:r>
      <w:r w:rsidRPr="005E3402">
        <w:rPr>
          <w:rStyle w:val="Strong"/>
          <w:rFonts w:ascii="Arial" w:eastAsiaTheme="majorEastAsia" w:hAnsi="Arial" w:cs="Arial"/>
        </w:rPr>
        <w:t>847 duplicates</w:t>
      </w:r>
      <w:r w:rsidRPr="005E3402">
        <w:rPr>
          <w:rFonts w:ascii="Arial" w:hAnsi="Arial" w:cs="Arial"/>
        </w:rPr>
        <w:t xml:space="preserve">, </w:t>
      </w:r>
      <w:r w:rsidRPr="005E3402">
        <w:rPr>
          <w:rStyle w:val="Strong"/>
          <w:rFonts w:ascii="Arial" w:eastAsiaTheme="majorEastAsia" w:hAnsi="Arial" w:cs="Arial"/>
        </w:rPr>
        <w:t>2,439 records</w:t>
      </w:r>
      <w:r w:rsidRPr="005E3402">
        <w:rPr>
          <w:rFonts w:ascii="Arial" w:hAnsi="Arial" w:cs="Arial"/>
        </w:rPr>
        <w:t xml:space="preserve"> remained for screening. The selection process was conducted in two stages. First, a </w:t>
      </w:r>
      <w:r w:rsidRPr="005E3402">
        <w:rPr>
          <w:rStyle w:val="Strong"/>
          <w:rFonts w:ascii="Arial" w:eastAsiaTheme="majorEastAsia" w:hAnsi="Arial" w:cs="Arial"/>
        </w:rPr>
        <w:t>title and abstract screening</w:t>
      </w:r>
      <w:r w:rsidRPr="005E3402">
        <w:rPr>
          <w:rFonts w:ascii="Arial" w:hAnsi="Arial" w:cs="Arial"/>
        </w:rPr>
        <w:t xml:space="preserve"> was performed independently by two reviewers to eliminate studies that clearly did not meet the inclusion criteria. In cases where eligibility was unclear, the study was retained for full-text review. After this stage, </w:t>
      </w:r>
      <w:r w:rsidRPr="005E3402">
        <w:rPr>
          <w:rStyle w:val="Strong"/>
          <w:rFonts w:ascii="Arial" w:eastAsiaTheme="majorEastAsia" w:hAnsi="Arial" w:cs="Arial"/>
        </w:rPr>
        <w:t>184 studies</w:t>
      </w:r>
      <w:r w:rsidRPr="005E3402">
        <w:rPr>
          <w:rFonts w:ascii="Arial" w:hAnsi="Arial" w:cs="Arial"/>
        </w:rPr>
        <w:t xml:space="preserve"> were selected for further examination. In the second stage, full-text articles were reviewed in depth. A final set of </w:t>
      </w:r>
      <w:r w:rsidRPr="005E3402">
        <w:rPr>
          <w:rStyle w:val="Strong"/>
          <w:rFonts w:ascii="Arial" w:eastAsiaTheme="majorEastAsia" w:hAnsi="Arial" w:cs="Arial"/>
        </w:rPr>
        <w:t>74 studies</w:t>
      </w:r>
      <w:r w:rsidRPr="005E3402">
        <w:rPr>
          <w:rFonts w:ascii="Arial" w:hAnsi="Arial" w:cs="Arial"/>
        </w:rPr>
        <w:t xml:space="preserve"> met all inclusion criteria and were included in the scoping review. Discrepancies between reviewers were resolved through discussion, and a third reviewer was consulted when consensus could not be reached. The study selection process is documented using a </w:t>
      </w:r>
      <w:r w:rsidRPr="005E3402">
        <w:rPr>
          <w:rStyle w:val="Strong"/>
          <w:rFonts w:ascii="Arial" w:eastAsiaTheme="majorEastAsia" w:hAnsi="Arial" w:cs="Arial"/>
        </w:rPr>
        <w:t>PRISMA-ScR flow diagram</w:t>
      </w:r>
      <w:r w:rsidRPr="005E3402">
        <w:rPr>
          <w:rFonts w:ascii="Arial" w:hAnsi="Arial" w:cs="Arial"/>
        </w:rPr>
        <w:t xml:space="preserve">, which can be found in </w:t>
      </w:r>
      <w:r w:rsidRPr="005E3402">
        <w:rPr>
          <w:rStyle w:val="Strong"/>
          <w:rFonts w:ascii="Arial" w:eastAsiaTheme="majorEastAsia" w:hAnsi="Arial" w:cs="Arial"/>
        </w:rPr>
        <w:t>Appendix A</w:t>
      </w:r>
      <w:r w:rsidRPr="005E3402">
        <w:rPr>
          <w:rFonts w:ascii="Arial" w:hAnsi="Arial" w:cs="Arial"/>
        </w:rPr>
        <w:t>.</w:t>
      </w:r>
    </w:p>
    <w:p w14:paraId="6FD51698" w14:textId="77777777" w:rsidR="005E3402" w:rsidRPr="005E3402" w:rsidRDefault="005E3402" w:rsidP="005E3402">
      <w:pPr>
        <w:pStyle w:val="Heading2"/>
        <w:rPr>
          <w:rFonts w:ascii="Arial" w:hAnsi="Arial" w:cs="Arial"/>
        </w:rPr>
      </w:pPr>
      <w:bookmarkStart w:id="27" w:name="_Toc215093007"/>
      <w:r w:rsidRPr="005E3402">
        <w:rPr>
          <w:rFonts w:ascii="Arial" w:hAnsi="Arial" w:cs="Arial"/>
        </w:rPr>
        <w:t>3.6 Data Charting</w:t>
      </w:r>
      <w:bookmarkEnd w:id="27"/>
    </w:p>
    <w:p w14:paraId="4C4FFEBA" w14:textId="15B14435" w:rsidR="005E3402" w:rsidRPr="005E3402" w:rsidRDefault="005E3402" w:rsidP="005E3402">
      <w:pPr>
        <w:pStyle w:val="NormalWeb"/>
        <w:rPr>
          <w:rFonts w:ascii="Arial" w:hAnsi="Arial" w:cs="Arial"/>
        </w:rPr>
      </w:pPr>
      <w:r w:rsidRPr="005E3402">
        <w:rPr>
          <w:rFonts w:ascii="Arial" w:hAnsi="Arial" w:cs="Arial"/>
        </w:rPr>
        <w:t xml:space="preserve">Once the eligible studies were selected, relevant information was extracted and entered into a </w:t>
      </w:r>
      <w:proofErr w:type="spellStart"/>
      <w:r w:rsidRPr="005E3402">
        <w:rPr>
          <w:rFonts w:ascii="Arial" w:hAnsi="Arial" w:cs="Arial"/>
        </w:rPr>
        <w:t>standardised</w:t>
      </w:r>
      <w:proofErr w:type="spellEnd"/>
      <w:r w:rsidRPr="005E3402">
        <w:rPr>
          <w:rFonts w:ascii="Arial" w:hAnsi="Arial" w:cs="Arial"/>
        </w:rPr>
        <w:t xml:space="preserve"> data charting template created in </w:t>
      </w:r>
      <w:r w:rsidRPr="005E3402">
        <w:rPr>
          <w:rStyle w:val="Strong"/>
          <w:rFonts w:ascii="Arial" w:eastAsiaTheme="majorEastAsia" w:hAnsi="Arial" w:cs="Arial"/>
        </w:rPr>
        <w:t>Microsoft Excel</w:t>
      </w:r>
      <w:r w:rsidRPr="005E3402">
        <w:rPr>
          <w:rFonts w:ascii="Arial" w:hAnsi="Arial" w:cs="Arial"/>
        </w:rPr>
        <w:t xml:space="preserve">. This template included the following variables: author(s), year of publication, country of origin, healthcare setting, study design (e.g., qualitative, quantitative, mixed methods), professional population (e.g., nurses, care assistants), </w:t>
      </w:r>
      <w:proofErr w:type="spellStart"/>
      <w:r w:rsidRPr="005E3402">
        <w:rPr>
          <w:rFonts w:ascii="Arial" w:hAnsi="Arial" w:cs="Arial"/>
        </w:rPr>
        <w:t>conceptualisation</w:t>
      </w:r>
      <w:proofErr w:type="spellEnd"/>
      <w:r w:rsidRPr="005E3402">
        <w:rPr>
          <w:rFonts w:ascii="Arial" w:hAnsi="Arial" w:cs="Arial"/>
        </w:rPr>
        <w:t xml:space="preserve"> of wellbeing, care quality outcomes, and key findings. Special attention was paid to how each study defined and measured “workforce wellbeing” and “quality of care,” as well as the contextual factors influencing the relationship between them. The charting process was iterative, and the form was refined to accommodate newly emerging data categories. This flexibility ensured that the synthesis would reflect the nuances and multidimensional nature of the topic.</w:t>
      </w:r>
    </w:p>
    <w:p w14:paraId="33EC0C5F" w14:textId="77777777" w:rsidR="005E3402" w:rsidRPr="005E3402" w:rsidRDefault="005E3402" w:rsidP="005E3402">
      <w:pPr>
        <w:pStyle w:val="Heading2"/>
        <w:rPr>
          <w:rFonts w:ascii="Arial" w:hAnsi="Arial" w:cs="Arial"/>
        </w:rPr>
      </w:pPr>
      <w:bookmarkStart w:id="28" w:name="_Toc215093008"/>
      <w:r w:rsidRPr="005E3402">
        <w:rPr>
          <w:rFonts w:ascii="Arial" w:hAnsi="Arial" w:cs="Arial"/>
        </w:rPr>
        <w:t>3.7 Data Synthesis</w:t>
      </w:r>
      <w:bookmarkEnd w:id="28"/>
    </w:p>
    <w:p w14:paraId="779D2A66" w14:textId="269941A4" w:rsidR="005E3402" w:rsidRPr="005E3402" w:rsidRDefault="005E3402" w:rsidP="005E3402">
      <w:pPr>
        <w:pStyle w:val="NormalWeb"/>
        <w:rPr>
          <w:rFonts w:ascii="Arial" w:hAnsi="Arial" w:cs="Arial"/>
        </w:rPr>
      </w:pPr>
      <w:r w:rsidRPr="005E3402">
        <w:rPr>
          <w:rFonts w:ascii="Arial" w:hAnsi="Arial" w:cs="Arial"/>
        </w:rPr>
        <w:t xml:space="preserve">To </w:t>
      </w:r>
      <w:proofErr w:type="spellStart"/>
      <w:r w:rsidRPr="005E3402">
        <w:rPr>
          <w:rFonts w:ascii="Arial" w:hAnsi="Arial" w:cs="Arial"/>
        </w:rPr>
        <w:t>synthesise</w:t>
      </w:r>
      <w:proofErr w:type="spellEnd"/>
      <w:r w:rsidRPr="005E3402">
        <w:rPr>
          <w:rFonts w:ascii="Arial" w:hAnsi="Arial" w:cs="Arial"/>
        </w:rPr>
        <w:t xml:space="preserve"> the data, a </w:t>
      </w:r>
      <w:r w:rsidRPr="005E3402">
        <w:rPr>
          <w:rStyle w:val="Strong"/>
          <w:rFonts w:ascii="Arial" w:eastAsiaTheme="majorEastAsia" w:hAnsi="Arial" w:cs="Arial"/>
        </w:rPr>
        <w:t>thematic analysis</w:t>
      </w:r>
      <w:r w:rsidRPr="005E3402">
        <w:rPr>
          <w:rFonts w:ascii="Arial" w:hAnsi="Arial" w:cs="Arial"/>
        </w:rPr>
        <w:t xml:space="preserve"> approach was used, following the six-step method outlined by </w:t>
      </w:r>
      <w:r w:rsidRPr="005E3402">
        <w:rPr>
          <w:rStyle w:val="Strong"/>
          <w:rFonts w:ascii="Arial" w:eastAsiaTheme="majorEastAsia" w:hAnsi="Arial" w:cs="Arial"/>
        </w:rPr>
        <w:t>Braun and Clarke (2006)</w:t>
      </w:r>
      <w:r w:rsidRPr="005E3402">
        <w:rPr>
          <w:rFonts w:ascii="Arial" w:hAnsi="Arial" w:cs="Arial"/>
        </w:rPr>
        <w:t xml:space="preserve">. First, all extracted data were reviewed repeatedly to </w:t>
      </w:r>
      <w:proofErr w:type="spellStart"/>
      <w:r w:rsidRPr="005E3402">
        <w:rPr>
          <w:rFonts w:ascii="Arial" w:hAnsi="Arial" w:cs="Arial"/>
        </w:rPr>
        <w:t>familiarise</w:t>
      </w:r>
      <w:proofErr w:type="spellEnd"/>
      <w:r w:rsidRPr="005E3402">
        <w:rPr>
          <w:rFonts w:ascii="Arial" w:hAnsi="Arial" w:cs="Arial"/>
        </w:rPr>
        <w:t xml:space="preserve"> the researcher with the content. Initial codes were then generated to identify meaningful patterns across the studies. These codes were grouped into preliminary themes, which were reviewed and refined through multiple iterations. Particular attention was paid to how themes related to the research questions and theoretical models described in Chapter 1, including Maslow’s Hierarchy of Needs, Empowerment Theory, and the Job Demands-Resources (JD-R) model. The final themes were defined, named, and structured to support the </w:t>
      </w:r>
      <w:proofErr w:type="spellStart"/>
      <w:r w:rsidRPr="005E3402">
        <w:rPr>
          <w:rFonts w:ascii="Arial" w:hAnsi="Arial" w:cs="Arial"/>
        </w:rPr>
        <w:t>organisation</w:t>
      </w:r>
      <w:proofErr w:type="spellEnd"/>
      <w:r w:rsidRPr="005E3402">
        <w:rPr>
          <w:rFonts w:ascii="Arial" w:hAnsi="Arial" w:cs="Arial"/>
        </w:rPr>
        <w:t xml:space="preserve"> of Chapter 4. Examples of emergent themes included “burnout and clinical errors,” “psychological safety and teamwork,” “empowerment and autonomy,” “</w:t>
      </w:r>
      <w:proofErr w:type="spellStart"/>
      <w:r w:rsidRPr="005E3402">
        <w:rPr>
          <w:rFonts w:ascii="Arial" w:hAnsi="Arial" w:cs="Arial"/>
        </w:rPr>
        <w:t>organisational</w:t>
      </w:r>
      <w:proofErr w:type="spellEnd"/>
      <w:r w:rsidRPr="005E3402">
        <w:rPr>
          <w:rFonts w:ascii="Arial" w:hAnsi="Arial" w:cs="Arial"/>
        </w:rPr>
        <w:t xml:space="preserve"> culture and compassionate leadership,” and “disparities between policy and practice.” These thematic categories provided the analytical foundation for the next chapter, which presents and discusses the findings in depth.</w:t>
      </w:r>
    </w:p>
    <w:p w14:paraId="637073BB" w14:textId="77777777" w:rsidR="005E3402" w:rsidRPr="005E3402" w:rsidRDefault="005E3402" w:rsidP="005E3402">
      <w:pPr>
        <w:pStyle w:val="Heading2"/>
        <w:rPr>
          <w:rFonts w:ascii="Arial" w:hAnsi="Arial" w:cs="Arial"/>
        </w:rPr>
      </w:pPr>
      <w:bookmarkStart w:id="29" w:name="_Toc215093009"/>
      <w:r w:rsidRPr="005E3402">
        <w:rPr>
          <w:rFonts w:ascii="Arial" w:hAnsi="Arial" w:cs="Arial"/>
        </w:rPr>
        <w:t>3.8 Ethical Considerations</w:t>
      </w:r>
      <w:bookmarkEnd w:id="29"/>
    </w:p>
    <w:p w14:paraId="6F9F47FA" w14:textId="74ADE526" w:rsidR="005E3402" w:rsidRPr="005E3402" w:rsidRDefault="005E3402" w:rsidP="005E3402">
      <w:pPr>
        <w:pStyle w:val="NormalWeb"/>
        <w:rPr>
          <w:rFonts w:ascii="Arial" w:hAnsi="Arial" w:cs="Arial"/>
        </w:rPr>
      </w:pPr>
      <w:r w:rsidRPr="005E3402">
        <w:rPr>
          <w:rFonts w:ascii="Arial" w:hAnsi="Arial" w:cs="Arial"/>
        </w:rPr>
        <w:t xml:space="preserve">As the study did not involve human participants or primary data collection, </w:t>
      </w:r>
      <w:r w:rsidRPr="005E3402">
        <w:rPr>
          <w:rStyle w:val="Strong"/>
          <w:rFonts w:ascii="Arial" w:eastAsiaTheme="majorEastAsia" w:hAnsi="Arial" w:cs="Arial"/>
        </w:rPr>
        <w:t>formal ethical approval was not required</w:t>
      </w:r>
      <w:r w:rsidRPr="005E3402">
        <w:rPr>
          <w:rFonts w:ascii="Arial" w:hAnsi="Arial" w:cs="Arial"/>
        </w:rPr>
        <w:t>. Nevertheless, all ethical guidelines for secondary research were followed, including proper citation of sources, responsible handling of data, and transparency in reporting the review process. Every effort was made to ensure the credibility and authenticity of the findings. In line with the principles of academic integrity, only publicly accessible and reputable sources were used. The review adhered to the ethical standards established by the university’s research ethics policy and relevant scoping review guidance.</w:t>
      </w:r>
    </w:p>
    <w:p w14:paraId="4C99416C" w14:textId="77777777" w:rsidR="005E3402" w:rsidRPr="005E3402" w:rsidRDefault="005E3402" w:rsidP="005E3402">
      <w:pPr>
        <w:pStyle w:val="Heading2"/>
        <w:rPr>
          <w:rFonts w:ascii="Arial" w:hAnsi="Arial" w:cs="Arial"/>
        </w:rPr>
      </w:pPr>
      <w:bookmarkStart w:id="30" w:name="_Toc215093010"/>
      <w:r w:rsidRPr="005E3402">
        <w:rPr>
          <w:rFonts w:ascii="Arial" w:hAnsi="Arial" w:cs="Arial"/>
        </w:rPr>
        <w:t>3.9 Limitations of the Method</w:t>
      </w:r>
      <w:bookmarkEnd w:id="30"/>
    </w:p>
    <w:p w14:paraId="0E316255" w14:textId="0F3FA819" w:rsidR="005E3402" w:rsidRPr="005E3402" w:rsidRDefault="005E3402" w:rsidP="005E3402">
      <w:pPr>
        <w:pStyle w:val="NormalWeb"/>
        <w:rPr>
          <w:rFonts w:ascii="Arial" w:hAnsi="Arial" w:cs="Arial"/>
        </w:rPr>
      </w:pPr>
      <w:r w:rsidRPr="005E3402">
        <w:rPr>
          <w:rFonts w:ascii="Arial" w:hAnsi="Arial" w:cs="Arial"/>
        </w:rPr>
        <w:t xml:space="preserve">Several limitations of the methodological approach must be acknowledged. First, restricting the review to </w:t>
      </w:r>
      <w:r w:rsidRPr="005E3402">
        <w:rPr>
          <w:rStyle w:val="Strong"/>
          <w:rFonts w:ascii="Arial" w:eastAsiaTheme="majorEastAsia" w:hAnsi="Arial" w:cs="Arial"/>
        </w:rPr>
        <w:t>English-language studies</w:t>
      </w:r>
      <w:r w:rsidRPr="005E3402">
        <w:rPr>
          <w:rFonts w:ascii="Arial" w:hAnsi="Arial" w:cs="Arial"/>
        </w:rPr>
        <w:t xml:space="preserve"> may have excluded relevant research published in other languages, particularly from non-Anglophone health systems that might offer alternative insights. Second, despite the breadth of the search strategy, some relevant studies may have been missed due to variations in terminology or indexing inconsistencies in the databases. Third, while thematic analysis provides rich insights, it is inherently interpretive and may be subject to researcher bias. To mitigate this, cross-checking and peer feedback were employed where possible. Finally, as a scoping review, the study does not include quality appraisal or meta-analysis, meaning that the strength of the evidence cannot be quantified. However, given the exploratory objectives of the research, the chosen method remains appropriate and robust.</w:t>
      </w:r>
    </w:p>
    <w:p w14:paraId="17961DFD" w14:textId="77777777" w:rsidR="005E3402" w:rsidRPr="005E3402" w:rsidRDefault="005E3402" w:rsidP="005E3402">
      <w:pPr>
        <w:pStyle w:val="Heading2"/>
        <w:rPr>
          <w:rFonts w:ascii="Arial" w:hAnsi="Arial" w:cs="Arial"/>
        </w:rPr>
      </w:pPr>
      <w:bookmarkStart w:id="31" w:name="_Toc215093011"/>
      <w:r w:rsidRPr="005E3402">
        <w:rPr>
          <w:rFonts w:ascii="Arial" w:hAnsi="Arial" w:cs="Arial"/>
        </w:rPr>
        <w:t>3.10 Conclusion</w:t>
      </w:r>
      <w:bookmarkEnd w:id="31"/>
    </w:p>
    <w:p w14:paraId="750934D8" w14:textId="77777777" w:rsidR="005E3402" w:rsidRPr="005E3402" w:rsidRDefault="005E3402" w:rsidP="005E3402">
      <w:pPr>
        <w:pStyle w:val="NormalWeb"/>
        <w:rPr>
          <w:rFonts w:ascii="Arial" w:hAnsi="Arial" w:cs="Arial"/>
        </w:rPr>
      </w:pPr>
      <w:r w:rsidRPr="005E3402">
        <w:rPr>
          <w:rFonts w:ascii="Arial" w:hAnsi="Arial" w:cs="Arial"/>
        </w:rPr>
        <w:t xml:space="preserve">This chapter has described the methodology adopted for conducting a scoping review on the relationship between workforce wellbeing and quality of care. By following a </w:t>
      </w:r>
      <w:proofErr w:type="spellStart"/>
      <w:r w:rsidRPr="005E3402">
        <w:rPr>
          <w:rFonts w:ascii="Arial" w:hAnsi="Arial" w:cs="Arial"/>
        </w:rPr>
        <w:t>recognised</w:t>
      </w:r>
      <w:proofErr w:type="spellEnd"/>
      <w:r w:rsidRPr="005E3402">
        <w:rPr>
          <w:rFonts w:ascii="Arial" w:hAnsi="Arial" w:cs="Arial"/>
        </w:rPr>
        <w:t xml:space="preserve"> five-stage process and adhering to PRISMA-ScR reporting guidelines, the review ensured transparency, replicability, and academic </w:t>
      </w:r>
      <w:proofErr w:type="spellStart"/>
      <w:r w:rsidRPr="005E3402">
        <w:rPr>
          <w:rFonts w:ascii="Arial" w:hAnsi="Arial" w:cs="Arial"/>
        </w:rPr>
        <w:t>rigour</w:t>
      </w:r>
      <w:proofErr w:type="spellEnd"/>
      <w:r w:rsidRPr="005E3402">
        <w:rPr>
          <w:rFonts w:ascii="Arial" w:hAnsi="Arial" w:cs="Arial"/>
        </w:rPr>
        <w:t xml:space="preserve">. The use of thematic analysis allowed for a flexible yet structured synthesis of a diverse body of literature. The next chapter presents the findings from this review, </w:t>
      </w:r>
      <w:proofErr w:type="spellStart"/>
      <w:r w:rsidRPr="005E3402">
        <w:rPr>
          <w:rFonts w:ascii="Arial" w:hAnsi="Arial" w:cs="Arial"/>
        </w:rPr>
        <w:t>organised</w:t>
      </w:r>
      <w:proofErr w:type="spellEnd"/>
      <w:r w:rsidRPr="005E3402">
        <w:rPr>
          <w:rFonts w:ascii="Arial" w:hAnsi="Arial" w:cs="Arial"/>
        </w:rPr>
        <w:t xml:space="preserve"> according to the key themes that emerged during data synthesis.</w:t>
      </w:r>
    </w:p>
    <w:p w14:paraId="34B759D4" w14:textId="18209310" w:rsidR="005E3402" w:rsidRPr="005E3402" w:rsidRDefault="005E3402" w:rsidP="005E3402">
      <w:pPr>
        <w:pStyle w:val="Heading3"/>
        <w:rPr>
          <w:rFonts w:ascii="Arial" w:hAnsi="Arial" w:cs="Arial"/>
        </w:rPr>
      </w:pPr>
      <w:bookmarkStart w:id="32" w:name="_Toc215093012"/>
      <w:r w:rsidRPr="005E3402">
        <w:rPr>
          <w:rFonts w:ascii="Arial" w:hAnsi="Arial" w:cs="Arial"/>
        </w:rPr>
        <w:t>CHAPTER 4: RESULTS AND DISCUSSION</w:t>
      </w:r>
      <w:bookmarkEnd w:id="32"/>
    </w:p>
    <w:p w14:paraId="78FDE7CA" w14:textId="77777777" w:rsidR="005E3402" w:rsidRPr="005E3402" w:rsidRDefault="005E3402" w:rsidP="005E3402">
      <w:pPr>
        <w:pStyle w:val="Heading2"/>
        <w:rPr>
          <w:rFonts w:ascii="Arial" w:hAnsi="Arial" w:cs="Arial"/>
        </w:rPr>
      </w:pPr>
      <w:bookmarkStart w:id="33" w:name="_Toc215093013"/>
      <w:r w:rsidRPr="005E3402">
        <w:rPr>
          <w:rFonts w:ascii="Arial" w:hAnsi="Arial" w:cs="Arial"/>
        </w:rPr>
        <w:t>4.1 Introduction</w:t>
      </w:r>
      <w:bookmarkEnd w:id="33"/>
    </w:p>
    <w:p w14:paraId="3FB21F0D" w14:textId="77777777" w:rsidR="005E3402" w:rsidRPr="005E3402" w:rsidRDefault="005E3402" w:rsidP="005E3402">
      <w:pPr>
        <w:pStyle w:val="NormalWeb"/>
        <w:rPr>
          <w:rFonts w:ascii="Arial" w:hAnsi="Arial" w:cs="Arial"/>
        </w:rPr>
      </w:pPr>
      <w:r w:rsidRPr="005E3402">
        <w:rPr>
          <w:rFonts w:ascii="Arial" w:hAnsi="Arial" w:cs="Arial"/>
        </w:rPr>
        <w:t>The findings of this scoping review are presented and discussed thematically in this chapter, drawing upon a synthesis of 74 sources that met the eligibility criteria outlined in Chapter 3. The analysis revealed a set of recurring themes that illustrate the complex and bidirectional relationship between workforce wellbeing and the quality of care in health and social care settings. These themes were derived from both empirical studies and grey literature and are interpreted through the lens of theoretical frameworks including Maslow’s Hierarchy of Needs, Empowerment Theory, the Job Demands-Resources (JD-R) model, and the NHS Workforce Wellbeing Framework.</w:t>
      </w:r>
    </w:p>
    <w:p w14:paraId="2F5E1A81" w14:textId="77777777" w:rsidR="005E3402" w:rsidRPr="005E3402" w:rsidRDefault="005E3402" w:rsidP="005E3402">
      <w:pPr>
        <w:pStyle w:val="NormalWeb"/>
        <w:rPr>
          <w:rFonts w:ascii="Arial" w:hAnsi="Arial" w:cs="Arial"/>
        </w:rPr>
      </w:pPr>
      <w:r w:rsidRPr="005E3402">
        <w:rPr>
          <w:rFonts w:ascii="Arial" w:hAnsi="Arial" w:cs="Arial"/>
        </w:rPr>
        <w:t>The results are structured into five core thematic areas:</w:t>
      </w:r>
    </w:p>
    <w:p w14:paraId="482B861A" w14:textId="77777777" w:rsidR="005E3402" w:rsidRPr="005E3402" w:rsidRDefault="005E3402" w:rsidP="005E3402">
      <w:pPr>
        <w:pStyle w:val="NormalWeb"/>
        <w:numPr>
          <w:ilvl w:val="0"/>
          <w:numId w:val="2"/>
        </w:numPr>
        <w:rPr>
          <w:rFonts w:ascii="Arial" w:hAnsi="Arial" w:cs="Arial"/>
        </w:rPr>
      </w:pPr>
      <w:r w:rsidRPr="005E3402">
        <w:rPr>
          <w:rStyle w:val="Strong"/>
          <w:rFonts w:ascii="Arial" w:hAnsi="Arial" w:cs="Arial"/>
        </w:rPr>
        <w:t>Burnout and Its Impact on Care Quality</w:t>
      </w:r>
    </w:p>
    <w:p w14:paraId="48C478F9" w14:textId="77777777" w:rsidR="005E3402" w:rsidRPr="005E3402" w:rsidRDefault="005E3402" w:rsidP="005E3402">
      <w:pPr>
        <w:pStyle w:val="NormalWeb"/>
        <w:numPr>
          <w:ilvl w:val="0"/>
          <w:numId w:val="2"/>
        </w:numPr>
        <w:rPr>
          <w:rFonts w:ascii="Arial" w:hAnsi="Arial" w:cs="Arial"/>
        </w:rPr>
      </w:pPr>
      <w:r w:rsidRPr="005E3402">
        <w:rPr>
          <w:rStyle w:val="Strong"/>
          <w:rFonts w:ascii="Arial" w:hAnsi="Arial" w:cs="Arial"/>
        </w:rPr>
        <w:t>Psychological Safety and Team Functioning</w:t>
      </w:r>
    </w:p>
    <w:p w14:paraId="3461C704" w14:textId="77777777" w:rsidR="005E3402" w:rsidRPr="005E3402" w:rsidRDefault="005E3402" w:rsidP="005E3402">
      <w:pPr>
        <w:pStyle w:val="NormalWeb"/>
        <w:numPr>
          <w:ilvl w:val="0"/>
          <w:numId w:val="2"/>
        </w:numPr>
        <w:rPr>
          <w:rFonts w:ascii="Arial" w:hAnsi="Arial" w:cs="Arial"/>
        </w:rPr>
      </w:pPr>
      <w:r w:rsidRPr="005E3402">
        <w:rPr>
          <w:rStyle w:val="Strong"/>
          <w:rFonts w:ascii="Arial" w:hAnsi="Arial" w:cs="Arial"/>
        </w:rPr>
        <w:t>Empowerment, Autonomy, and Job Satisfaction</w:t>
      </w:r>
    </w:p>
    <w:p w14:paraId="261CC723" w14:textId="77777777" w:rsidR="005E3402" w:rsidRPr="005E3402" w:rsidRDefault="005E3402" w:rsidP="005E3402">
      <w:pPr>
        <w:pStyle w:val="NormalWeb"/>
        <w:numPr>
          <w:ilvl w:val="0"/>
          <w:numId w:val="2"/>
        </w:numPr>
        <w:rPr>
          <w:rFonts w:ascii="Arial" w:hAnsi="Arial" w:cs="Arial"/>
        </w:rPr>
      </w:pPr>
      <w:proofErr w:type="spellStart"/>
      <w:r w:rsidRPr="005E3402">
        <w:rPr>
          <w:rStyle w:val="Strong"/>
          <w:rFonts w:ascii="Arial" w:hAnsi="Arial" w:cs="Arial"/>
        </w:rPr>
        <w:t>Organisational</w:t>
      </w:r>
      <w:proofErr w:type="spellEnd"/>
      <w:r w:rsidRPr="005E3402">
        <w:rPr>
          <w:rStyle w:val="Strong"/>
          <w:rFonts w:ascii="Arial" w:hAnsi="Arial" w:cs="Arial"/>
        </w:rPr>
        <w:t xml:space="preserve"> Culture and Leadership</w:t>
      </w:r>
    </w:p>
    <w:p w14:paraId="391045A9" w14:textId="77777777" w:rsidR="005E3402" w:rsidRPr="005E3402" w:rsidRDefault="005E3402" w:rsidP="005E3402">
      <w:pPr>
        <w:pStyle w:val="NormalWeb"/>
        <w:numPr>
          <w:ilvl w:val="0"/>
          <w:numId w:val="2"/>
        </w:numPr>
        <w:rPr>
          <w:rFonts w:ascii="Arial" w:hAnsi="Arial" w:cs="Arial"/>
        </w:rPr>
      </w:pPr>
      <w:r w:rsidRPr="005E3402">
        <w:rPr>
          <w:rStyle w:val="Strong"/>
          <w:rFonts w:ascii="Arial" w:hAnsi="Arial" w:cs="Arial"/>
        </w:rPr>
        <w:t>Policy-Practice Gaps and Systemic Constraints</w:t>
      </w:r>
    </w:p>
    <w:p w14:paraId="6A6582FD" w14:textId="59729C66" w:rsidR="005E3402" w:rsidRPr="005E3402" w:rsidRDefault="005E3402" w:rsidP="005E3402">
      <w:pPr>
        <w:pStyle w:val="NormalWeb"/>
        <w:rPr>
          <w:rFonts w:ascii="Arial" w:hAnsi="Arial" w:cs="Arial"/>
        </w:rPr>
      </w:pPr>
      <w:r w:rsidRPr="005E3402">
        <w:rPr>
          <w:rFonts w:ascii="Arial" w:hAnsi="Arial" w:cs="Arial"/>
        </w:rPr>
        <w:t xml:space="preserve">Each theme is critically examined, with attention paid to the interplay between staff wellbeing and care outcomes such as patient satisfaction, safety, continuity, and clinical effectiveness. Where appropriate, international comparisons (Australia and the United States) are incorporated to </w:t>
      </w:r>
      <w:proofErr w:type="spellStart"/>
      <w:r w:rsidRPr="005E3402">
        <w:rPr>
          <w:rFonts w:ascii="Arial" w:hAnsi="Arial" w:cs="Arial"/>
        </w:rPr>
        <w:t>contextualise</w:t>
      </w:r>
      <w:proofErr w:type="spellEnd"/>
      <w:r w:rsidRPr="005E3402">
        <w:rPr>
          <w:rFonts w:ascii="Arial" w:hAnsi="Arial" w:cs="Arial"/>
        </w:rPr>
        <w:t xml:space="preserve"> the UK experience. The chapter concludes by </w:t>
      </w:r>
      <w:proofErr w:type="spellStart"/>
      <w:r w:rsidRPr="005E3402">
        <w:rPr>
          <w:rFonts w:ascii="Arial" w:hAnsi="Arial" w:cs="Arial"/>
        </w:rPr>
        <w:t>synthesising</w:t>
      </w:r>
      <w:proofErr w:type="spellEnd"/>
      <w:r w:rsidRPr="005E3402">
        <w:rPr>
          <w:rFonts w:ascii="Arial" w:hAnsi="Arial" w:cs="Arial"/>
        </w:rPr>
        <w:t xml:space="preserve"> these themes and reflecting on their implications for workforce wellbeing strategies and service delivery improvements.</w:t>
      </w:r>
    </w:p>
    <w:p w14:paraId="535F1C78" w14:textId="77777777" w:rsidR="005E3402" w:rsidRPr="005E3402" w:rsidRDefault="005E3402" w:rsidP="005E3402">
      <w:pPr>
        <w:pStyle w:val="Heading2"/>
        <w:rPr>
          <w:rFonts w:ascii="Arial" w:hAnsi="Arial" w:cs="Arial"/>
        </w:rPr>
      </w:pPr>
      <w:bookmarkStart w:id="34" w:name="_Toc215093014"/>
      <w:r w:rsidRPr="005E3402">
        <w:rPr>
          <w:rFonts w:ascii="Arial" w:hAnsi="Arial" w:cs="Arial"/>
        </w:rPr>
        <w:t>4.2 Burnout and Its Impact on Care Quality</w:t>
      </w:r>
      <w:bookmarkEnd w:id="34"/>
    </w:p>
    <w:p w14:paraId="02D40B67" w14:textId="77777777" w:rsidR="005E3402" w:rsidRPr="005E3402" w:rsidRDefault="005E3402" w:rsidP="005E3402">
      <w:pPr>
        <w:pStyle w:val="NormalWeb"/>
        <w:rPr>
          <w:rFonts w:ascii="Arial" w:hAnsi="Arial" w:cs="Arial"/>
        </w:rPr>
      </w:pPr>
      <w:r w:rsidRPr="005E3402">
        <w:rPr>
          <w:rFonts w:ascii="Arial" w:hAnsi="Arial" w:cs="Arial"/>
        </w:rPr>
        <w:t xml:space="preserve">A dominant theme across the literature is the high prevalence of </w:t>
      </w:r>
      <w:r w:rsidRPr="005E3402">
        <w:rPr>
          <w:rStyle w:val="Strong"/>
          <w:rFonts w:ascii="Arial" w:hAnsi="Arial" w:cs="Arial"/>
        </w:rPr>
        <w:t>burnout</w:t>
      </w:r>
      <w:r w:rsidRPr="005E3402">
        <w:rPr>
          <w:rFonts w:ascii="Arial" w:hAnsi="Arial" w:cs="Arial"/>
        </w:rPr>
        <w:t xml:space="preserve"> among health and social care staff and its detrimental effect on care quality. Burnout, typically </w:t>
      </w:r>
      <w:proofErr w:type="spellStart"/>
      <w:r w:rsidRPr="005E3402">
        <w:rPr>
          <w:rFonts w:ascii="Arial" w:hAnsi="Arial" w:cs="Arial"/>
        </w:rPr>
        <w:t>characterised</w:t>
      </w:r>
      <w:proofErr w:type="spellEnd"/>
      <w:r w:rsidRPr="005E3402">
        <w:rPr>
          <w:rFonts w:ascii="Arial" w:hAnsi="Arial" w:cs="Arial"/>
        </w:rPr>
        <w:t xml:space="preserve"> by emotional exhaustion, </w:t>
      </w:r>
      <w:proofErr w:type="spellStart"/>
      <w:r w:rsidRPr="005E3402">
        <w:rPr>
          <w:rFonts w:ascii="Arial" w:hAnsi="Arial" w:cs="Arial"/>
        </w:rPr>
        <w:t>depersonalisation</w:t>
      </w:r>
      <w:proofErr w:type="spellEnd"/>
      <w:r w:rsidRPr="005E3402">
        <w:rPr>
          <w:rFonts w:ascii="Arial" w:hAnsi="Arial" w:cs="Arial"/>
        </w:rPr>
        <w:t>, and a reduced sense of personal accomplishment (Maslach et al., 2001), has become a defining concern in post-pandemic healthcare contexts. Numerous studies, including those by Montgomery et al. (2021) and Hall et al. (2022), demonstrate that staff experiencing burnout are significantly more likely to commit errors, engage less with patients, and report lower levels of job satisfaction and professional efficacy.</w:t>
      </w:r>
    </w:p>
    <w:p w14:paraId="1BC61FCC" w14:textId="77777777" w:rsidR="005E3402" w:rsidRPr="005E3402" w:rsidRDefault="005E3402" w:rsidP="005E3402">
      <w:pPr>
        <w:pStyle w:val="NormalWeb"/>
        <w:rPr>
          <w:rFonts w:ascii="Arial" w:hAnsi="Arial" w:cs="Arial"/>
        </w:rPr>
      </w:pPr>
      <w:r w:rsidRPr="005E3402">
        <w:rPr>
          <w:rFonts w:ascii="Arial" w:hAnsi="Arial" w:cs="Arial"/>
        </w:rPr>
        <w:t>In a large-scale survey conducted by the British Medical Association (BMA, 2023), over 67% of UK healthcare workers reported moderate to severe burnout symptoms, with nurses and junior doctors particularly affected. Burnout was directly correlated with increased absenteeism, patient safety incidents, and staff turnover. These findings are echoed in Australian research, where hospital wards with high staff burnout reported higher rates of adverse events and lower patient satisfaction scores (Australian Medical Association, 2021).</w:t>
      </w:r>
    </w:p>
    <w:p w14:paraId="1ABEA37D" w14:textId="77777777" w:rsidR="005E3402" w:rsidRPr="005E3402" w:rsidRDefault="005E3402" w:rsidP="005E3402">
      <w:pPr>
        <w:pStyle w:val="NormalWeb"/>
        <w:rPr>
          <w:rFonts w:ascii="Arial" w:hAnsi="Arial" w:cs="Arial"/>
        </w:rPr>
      </w:pPr>
      <w:r w:rsidRPr="005E3402">
        <w:rPr>
          <w:rFonts w:ascii="Arial" w:hAnsi="Arial" w:cs="Arial"/>
        </w:rPr>
        <w:t xml:space="preserve">The theoretical foundations of this theme align closely with the </w:t>
      </w:r>
      <w:r w:rsidRPr="005E3402">
        <w:rPr>
          <w:rStyle w:val="Strong"/>
          <w:rFonts w:ascii="Arial" w:hAnsi="Arial" w:cs="Arial"/>
        </w:rPr>
        <w:t>Job Demands-Resources (JD-R) model</w:t>
      </w:r>
      <w:r w:rsidRPr="005E3402">
        <w:rPr>
          <w:rFonts w:ascii="Arial" w:hAnsi="Arial" w:cs="Arial"/>
        </w:rPr>
        <w:t>, which posits that when high demands—such as emotional labour, excessive workloads, and time pressures—are not counterbalanced by adequate resources (e.g. managerial support, team cohesion, flexible scheduling), burnout is an inevitable outcome (Bakker &amp; Demerouti, 2017). In several UK NHS Trusts, limited staffing and pandemic-related backlogs have created chronic demand-resource imbalances, contributing to unsustainable work environments (NHS Digital, 2023).</w:t>
      </w:r>
    </w:p>
    <w:p w14:paraId="1E92BCBE" w14:textId="77777777" w:rsidR="005E3402" w:rsidRPr="005E3402" w:rsidRDefault="005E3402" w:rsidP="005E3402">
      <w:pPr>
        <w:pStyle w:val="NormalWeb"/>
        <w:rPr>
          <w:rFonts w:ascii="Arial" w:hAnsi="Arial" w:cs="Arial"/>
        </w:rPr>
      </w:pPr>
      <w:r w:rsidRPr="005E3402">
        <w:rPr>
          <w:rFonts w:ascii="Arial" w:hAnsi="Arial" w:cs="Arial"/>
        </w:rPr>
        <w:t xml:space="preserve">Burnout not only affects individual clinicians but also compromises team function and </w:t>
      </w:r>
      <w:proofErr w:type="spellStart"/>
      <w:r w:rsidRPr="005E3402">
        <w:rPr>
          <w:rFonts w:ascii="Arial" w:hAnsi="Arial" w:cs="Arial"/>
        </w:rPr>
        <w:t>organisational</w:t>
      </w:r>
      <w:proofErr w:type="spellEnd"/>
      <w:r w:rsidRPr="005E3402">
        <w:rPr>
          <w:rFonts w:ascii="Arial" w:hAnsi="Arial" w:cs="Arial"/>
        </w:rPr>
        <w:t xml:space="preserve"> culture. A study by West et al. (2020) found that high-burnout environments are more likely to experience communication breakdowns, decreased compassion in care, and higher patient dissatisfaction. Moreover, the downstream impact of burnout includes reduced continuity of care, as staff disengagement leads to higher reliance on agency workers and less effective multidisciplinary collaboration.</w:t>
      </w:r>
    </w:p>
    <w:p w14:paraId="7E5F7FB0" w14:textId="77777777" w:rsidR="005E3402" w:rsidRPr="005E3402" w:rsidRDefault="005E3402" w:rsidP="005E3402">
      <w:pPr>
        <w:pStyle w:val="NormalWeb"/>
        <w:rPr>
          <w:rFonts w:ascii="Arial" w:hAnsi="Arial" w:cs="Arial"/>
        </w:rPr>
      </w:pPr>
      <w:r w:rsidRPr="005E3402">
        <w:rPr>
          <w:rFonts w:ascii="Arial" w:hAnsi="Arial" w:cs="Arial"/>
        </w:rPr>
        <w:t xml:space="preserve">The </w:t>
      </w:r>
      <w:r w:rsidRPr="005E3402">
        <w:rPr>
          <w:rStyle w:val="Strong"/>
          <w:rFonts w:ascii="Arial" w:hAnsi="Arial" w:cs="Arial"/>
        </w:rPr>
        <w:t>NHS Workforce Wellbeing Framework</w:t>
      </w:r>
      <w:r w:rsidRPr="005E3402">
        <w:rPr>
          <w:rFonts w:ascii="Arial" w:hAnsi="Arial" w:cs="Arial"/>
        </w:rPr>
        <w:t xml:space="preserve"> acknowledges the importance of mitigating burnout but offers limited mechanisms for enforcement or accountability. While wellbeing champions and peer support networks have been implemented in some Trusts, evaluations suggest that these measures often lack the systemic backing—such as protected time, caseload adjustments, or mental health services—needed to have meaningful impact (NHS Improvement, 2021).</w:t>
      </w:r>
    </w:p>
    <w:p w14:paraId="30B28BC2" w14:textId="77777777" w:rsidR="005E3402" w:rsidRPr="005E3402" w:rsidRDefault="005E3402" w:rsidP="005E3402">
      <w:pPr>
        <w:pStyle w:val="NormalWeb"/>
        <w:rPr>
          <w:rFonts w:ascii="Arial" w:hAnsi="Arial" w:cs="Arial"/>
        </w:rPr>
      </w:pPr>
      <w:r w:rsidRPr="005E3402">
        <w:rPr>
          <w:rFonts w:ascii="Arial" w:hAnsi="Arial" w:cs="Arial"/>
        </w:rPr>
        <w:t xml:space="preserve">From a psychological perspective, </w:t>
      </w:r>
      <w:r w:rsidRPr="005E3402">
        <w:rPr>
          <w:rStyle w:val="Strong"/>
          <w:rFonts w:ascii="Arial" w:hAnsi="Arial" w:cs="Arial"/>
        </w:rPr>
        <w:t>Maslow’s Hierarchy of Needs</w:t>
      </w:r>
      <w:r w:rsidRPr="005E3402">
        <w:rPr>
          <w:rFonts w:ascii="Arial" w:hAnsi="Arial" w:cs="Arial"/>
        </w:rPr>
        <w:t xml:space="preserve"> provides a helpful lens to understand burnout. When staff’s basic physiological and safety needs—such as manageable workloads, job security, and physical safety—are not met, it becomes virtually impossible for them to reach the higher-order levels of esteem and </w:t>
      </w:r>
      <w:proofErr w:type="spellStart"/>
      <w:r w:rsidRPr="005E3402">
        <w:rPr>
          <w:rFonts w:ascii="Arial" w:hAnsi="Arial" w:cs="Arial"/>
        </w:rPr>
        <w:t>self-actualisation</w:t>
      </w:r>
      <w:proofErr w:type="spellEnd"/>
      <w:r w:rsidRPr="005E3402">
        <w:rPr>
          <w:rFonts w:ascii="Arial" w:hAnsi="Arial" w:cs="Arial"/>
        </w:rPr>
        <w:t xml:space="preserve"> associated with professional fulfilment and compassionate caregiving (Shuck et al., 2022).</w:t>
      </w:r>
    </w:p>
    <w:p w14:paraId="4CA85F07" w14:textId="77777777" w:rsidR="005E3402" w:rsidRPr="005E3402" w:rsidRDefault="005E3402" w:rsidP="005E3402">
      <w:pPr>
        <w:pStyle w:val="NormalWeb"/>
        <w:rPr>
          <w:rFonts w:ascii="Arial" w:hAnsi="Arial" w:cs="Arial"/>
        </w:rPr>
      </w:pPr>
      <w:r w:rsidRPr="005E3402">
        <w:rPr>
          <w:rFonts w:ascii="Arial" w:hAnsi="Arial" w:cs="Arial"/>
        </w:rPr>
        <w:t xml:space="preserve">In conclusion, burnout emerges as both a cause and consequence of deteriorating care quality. Addressing burnout requires moving beyond individual resilience training to systemic reform that reconfigures workloads, improves staffing ratios, and embeds supportive practices into </w:t>
      </w:r>
      <w:proofErr w:type="spellStart"/>
      <w:r w:rsidRPr="005E3402">
        <w:rPr>
          <w:rFonts w:ascii="Arial" w:hAnsi="Arial" w:cs="Arial"/>
        </w:rPr>
        <w:t>organisational</w:t>
      </w:r>
      <w:proofErr w:type="spellEnd"/>
      <w:r w:rsidRPr="005E3402">
        <w:rPr>
          <w:rFonts w:ascii="Arial" w:hAnsi="Arial" w:cs="Arial"/>
        </w:rPr>
        <w:t xml:space="preserve"> cultures. Without such measures, burnout will remain an entrenched barrier to high-quality, </w:t>
      </w:r>
      <w:proofErr w:type="spellStart"/>
      <w:r w:rsidRPr="005E3402">
        <w:rPr>
          <w:rFonts w:ascii="Arial" w:hAnsi="Arial" w:cs="Arial"/>
        </w:rPr>
        <w:t>patient-centred</w:t>
      </w:r>
      <w:proofErr w:type="spellEnd"/>
      <w:r w:rsidRPr="005E3402">
        <w:rPr>
          <w:rFonts w:ascii="Arial" w:hAnsi="Arial" w:cs="Arial"/>
        </w:rPr>
        <w:t xml:space="preserve"> care.</w:t>
      </w:r>
    </w:p>
    <w:p w14:paraId="45451966" w14:textId="77777777" w:rsidR="005E3402" w:rsidRPr="005E3402" w:rsidRDefault="005E3402" w:rsidP="005E3402">
      <w:pPr>
        <w:pStyle w:val="Heading2"/>
        <w:rPr>
          <w:rFonts w:ascii="Arial" w:hAnsi="Arial" w:cs="Arial"/>
        </w:rPr>
      </w:pPr>
      <w:bookmarkStart w:id="35" w:name="_Toc215093015"/>
      <w:r w:rsidRPr="005E3402">
        <w:rPr>
          <w:rFonts w:ascii="Arial" w:hAnsi="Arial" w:cs="Arial"/>
        </w:rPr>
        <w:t>CHAPTER 4: RESULTS AND DISCUSSION</w:t>
      </w:r>
      <w:bookmarkEnd w:id="35"/>
    </w:p>
    <w:p w14:paraId="06EC3ABF" w14:textId="77777777" w:rsidR="005E3402" w:rsidRPr="005E3402" w:rsidRDefault="005E3402" w:rsidP="005E3402">
      <w:pPr>
        <w:pStyle w:val="Heading3"/>
        <w:rPr>
          <w:rFonts w:ascii="Arial" w:hAnsi="Arial" w:cs="Arial"/>
        </w:rPr>
      </w:pPr>
      <w:bookmarkStart w:id="36" w:name="_Toc215093016"/>
      <w:r w:rsidRPr="005E3402">
        <w:rPr>
          <w:rFonts w:ascii="Arial" w:hAnsi="Arial" w:cs="Arial"/>
        </w:rPr>
        <w:t>4.3 Psychological Safety and Team Functioning</w:t>
      </w:r>
      <w:bookmarkEnd w:id="36"/>
    </w:p>
    <w:p w14:paraId="2F9658F3" w14:textId="77777777" w:rsidR="005E3402" w:rsidRPr="005E3402" w:rsidRDefault="005E3402" w:rsidP="005E3402">
      <w:pPr>
        <w:pStyle w:val="NormalWeb"/>
        <w:rPr>
          <w:rFonts w:ascii="Arial" w:hAnsi="Arial" w:cs="Arial"/>
        </w:rPr>
      </w:pPr>
      <w:r w:rsidRPr="005E3402">
        <w:rPr>
          <w:rFonts w:ascii="Arial" w:hAnsi="Arial" w:cs="Arial"/>
        </w:rPr>
        <w:t xml:space="preserve">One of the most consistent findings in the reviewed literature is the critical role of </w:t>
      </w:r>
      <w:r w:rsidRPr="005E3402">
        <w:rPr>
          <w:rStyle w:val="Strong"/>
          <w:rFonts w:ascii="Arial" w:eastAsiaTheme="majorEastAsia" w:hAnsi="Arial" w:cs="Arial"/>
        </w:rPr>
        <w:t>psychological safety</w:t>
      </w:r>
      <w:r w:rsidRPr="005E3402">
        <w:rPr>
          <w:rFonts w:ascii="Arial" w:hAnsi="Arial" w:cs="Arial"/>
        </w:rPr>
        <w:t xml:space="preserve"> in enabling effective teamwork and delivering high-quality, safe care. Psychological safety, as defined by Edmondson (1999), refers to a shared belief that a team is safe for interpersonal risk-taking, where individuals feel comfortable speaking up with ideas, questions, or concerns without fear of embarrassment or punishment. In health and social care environments, particularly in high-pressure settings such as emergency care, intensive care, and mental health services, this concept has emerged as essential to fostering open communication, learning from errors, and staff engagement (</w:t>
      </w:r>
      <w:proofErr w:type="spellStart"/>
      <w:r w:rsidRPr="005E3402">
        <w:rPr>
          <w:rFonts w:ascii="Arial" w:hAnsi="Arial" w:cs="Arial"/>
        </w:rPr>
        <w:t>Shanafelt</w:t>
      </w:r>
      <w:proofErr w:type="spellEnd"/>
      <w:r w:rsidRPr="005E3402">
        <w:rPr>
          <w:rFonts w:ascii="Arial" w:hAnsi="Arial" w:cs="Arial"/>
        </w:rPr>
        <w:t xml:space="preserve"> et al., 2021).</w:t>
      </w:r>
    </w:p>
    <w:p w14:paraId="35DF3885" w14:textId="77777777" w:rsidR="005E3402" w:rsidRPr="005E3402" w:rsidRDefault="005E3402" w:rsidP="005E3402">
      <w:pPr>
        <w:pStyle w:val="NormalWeb"/>
        <w:rPr>
          <w:rFonts w:ascii="Arial" w:hAnsi="Arial" w:cs="Arial"/>
        </w:rPr>
      </w:pPr>
      <w:r w:rsidRPr="005E3402">
        <w:rPr>
          <w:rFonts w:ascii="Arial" w:hAnsi="Arial" w:cs="Arial"/>
        </w:rPr>
        <w:t>Numerous empirical studies underscore the connection between psychological safety and improved care outcomes. A UK-based study by Morrison et al. (2021) found that hospital teams with high psychological safety scores reported fewer adverse patient events, better incident reporting rates, and stronger interdisciplinary collaboration. Similarly, a 2022 multi-site evaluation by The King’s Fund revealed that psychological safety predicted higher team morale, enhanced innovation, and more compassionate care delivery. These outcomes are particularly relevant in the NHS context, where hierarchical structures, staff shortages, and time constraints often undermine safe communication practices (CQC, 2021).</w:t>
      </w:r>
    </w:p>
    <w:p w14:paraId="4F8822C7" w14:textId="77777777" w:rsidR="005E3402" w:rsidRPr="005E3402" w:rsidRDefault="005E3402" w:rsidP="005E3402">
      <w:pPr>
        <w:pStyle w:val="NormalWeb"/>
        <w:rPr>
          <w:rFonts w:ascii="Arial" w:hAnsi="Arial" w:cs="Arial"/>
        </w:rPr>
      </w:pPr>
      <w:r w:rsidRPr="005E3402">
        <w:rPr>
          <w:rFonts w:ascii="Arial" w:hAnsi="Arial" w:cs="Arial"/>
        </w:rPr>
        <w:t xml:space="preserve">The theme of psychological safety aligns with several elements of the </w:t>
      </w:r>
      <w:r w:rsidRPr="005E3402">
        <w:rPr>
          <w:rStyle w:val="Strong"/>
          <w:rFonts w:ascii="Arial" w:eastAsiaTheme="majorEastAsia" w:hAnsi="Arial" w:cs="Arial"/>
        </w:rPr>
        <w:t>NHS Workforce Wellbeing Framework</w:t>
      </w:r>
      <w:r w:rsidRPr="005E3402">
        <w:rPr>
          <w:rFonts w:ascii="Arial" w:hAnsi="Arial" w:cs="Arial"/>
        </w:rPr>
        <w:t xml:space="preserve">, particularly those related to supportive leadership, peer connection, and inclusive workplace cultures (NHS Improvement, 2021). However, implementation remains variable. While some Trusts have successfully embedded Schwartz Rounds, reflective practice groups, and team debriefings into regular practice, others report limited uptake due to lack of time, leadership engagement, or perceived stigma around vulnerability (The King’s Fund, 2023). This inconsistency suggests that psychological safety must be seen not only as an interpersonal phenomenon but as a </w:t>
      </w:r>
      <w:r w:rsidRPr="005E3402">
        <w:rPr>
          <w:rStyle w:val="Strong"/>
          <w:rFonts w:ascii="Arial" w:eastAsiaTheme="majorEastAsia" w:hAnsi="Arial" w:cs="Arial"/>
        </w:rPr>
        <w:t xml:space="preserve">systemic </w:t>
      </w:r>
      <w:proofErr w:type="spellStart"/>
      <w:r w:rsidRPr="005E3402">
        <w:rPr>
          <w:rStyle w:val="Strong"/>
          <w:rFonts w:ascii="Arial" w:eastAsiaTheme="majorEastAsia" w:hAnsi="Arial" w:cs="Arial"/>
        </w:rPr>
        <w:t>organisational</w:t>
      </w:r>
      <w:proofErr w:type="spellEnd"/>
      <w:r w:rsidRPr="005E3402">
        <w:rPr>
          <w:rStyle w:val="Strong"/>
          <w:rFonts w:ascii="Arial" w:eastAsiaTheme="majorEastAsia" w:hAnsi="Arial" w:cs="Arial"/>
        </w:rPr>
        <w:t xml:space="preserve"> feature</w:t>
      </w:r>
      <w:r w:rsidRPr="005E3402">
        <w:rPr>
          <w:rFonts w:ascii="Arial" w:hAnsi="Arial" w:cs="Arial"/>
        </w:rPr>
        <w:t>, reinforced through training, policies, and modelling by senior staff.</w:t>
      </w:r>
    </w:p>
    <w:p w14:paraId="34AB0BAD" w14:textId="77777777" w:rsidR="005E3402" w:rsidRPr="005E3402" w:rsidRDefault="005E3402" w:rsidP="005E3402">
      <w:pPr>
        <w:pStyle w:val="NormalWeb"/>
        <w:rPr>
          <w:rFonts w:ascii="Arial" w:hAnsi="Arial" w:cs="Arial"/>
        </w:rPr>
      </w:pPr>
      <w:r w:rsidRPr="005E3402">
        <w:rPr>
          <w:rFonts w:ascii="Arial" w:hAnsi="Arial" w:cs="Arial"/>
        </w:rPr>
        <w:t xml:space="preserve">From a theoretical standpoint, psychological safety also intersects with </w:t>
      </w:r>
      <w:r w:rsidRPr="005E3402">
        <w:rPr>
          <w:rStyle w:val="Strong"/>
          <w:rFonts w:ascii="Arial" w:eastAsiaTheme="majorEastAsia" w:hAnsi="Arial" w:cs="Arial"/>
        </w:rPr>
        <w:t>Empowerment Theory</w:t>
      </w:r>
      <w:r w:rsidRPr="005E3402">
        <w:rPr>
          <w:rFonts w:ascii="Arial" w:hAnsi="Arial" w:cs="Arial"/>
        </w:rPr>
        <w:t xml:space="preserve">, which posits that individuals who feel heard, valued, and respected in their workplace are more likely to participate in decision-making and deliver </w:t>
      </w:r>
      <w:proofErr w:type="spellStart"/>
      <w:r w:rsidRPr="005E3402">
        <w:rPr>
          <w:rFonts w:ascii="Arial" w:hAnsi="Arial" w:cs="Arial"/>
        </w:rPr>
        <w:t>patient-centred</w:t>
      </w:r>
      <w:proofErr w:type="spellEnd"/>
      <w:r w:rsidRPr="005E3402">
        <w:rPr>
          <w:rFonts w:ascii="Arial" w:hAnsi="Arial" w:cs="Arial"/>
        </w:rPr>
        <w:t xml:space="preserve"> care (Zimmerman, 2000). Empowered teams, in turn, tend to cultivate environments where psychological safety thrives. </w:t>
      </w:r>
      <w:proofErr w:type="spellStart"/>
      <w:r w:rsidRPr="005E3402">
        <w:rPr>
          <w:rFonts w:ascii="Arial" w:hAnsi="Arial" w:cs="Arial"/>
        </w:rPr>
        <w:t>Laschinger</w:t>
      </w:r>
      <w:proofErr w:type="spellEnd"/>
      <w:r w:rsidRPr="005E3402">
        <w:rPr>
          <w:rFonts w:ascii="Arial" w:hAnsi="Arial" w:cs="Arial"/>
        </w:rPr>
        <w:t xml:space="preserve"> et al. (2021) </w:t>
      </w:r>
      <w:proofErr w:type="spellStart"/>
      <w:r w:rsidRPr="005E3402">
        <w:rPr>
          <w:rFonts w:ascii="Arial" w:hAnsi="Arial" w:cs="Arial"/>
        </w:rPr>
        <w:t>emphasise</w:t>
      </w:r>
      <w:proofErr w:type="spellEnd"/>
      <w:r w:rsidRPr="005E3402">
        <w:rPr>
          <w:rFonts w:ascii="Arial" w:hAnsi="Arial" w:cs="Arial"/>
        </w:rPr>
        <w:t xml:space="preserve"> that when staff perceive they have access to information, resources, and support, they are more inclined to speak up about risks, contribute innovative solutions, and support one another during crises.</w:t>
      </w:r>
    </w:p>
    <w:p w14:paraId="20EBCE75" w14:textId="77777777" w:rsidR="005E3402" w:rsidRPr="005E3402" w:rsidRDefault="005E3402" w:rsidP="005E3402">
      <w:pPr>
        <w:pStyle w:val="NormalWeb"/>
        <w:rPr>
          <w:rFonts w:ascii="Arial" w:hAnsi="Arial" w:cs="Arial"/>
        </w:rPr>
      </w:pPr>
      <w:r w:rsidRPr="005E3402">
        <w:rPr>
          <w:rFonts w:ascii="Arial" w:hAnsi="Arial" w:cs="Arial"/>
        </w:rPr>
        <w:t xml:space="preserve">Furthermore, the </w:t>
      </w:r>
      <w:r w:rsidRPr="005E3402">
        <w:rPr>
          <w:rStyle w:val="Strong"/>
          <w:rFonts w:ascii="Arial" w:eastAsiaTheme="majorEastAsia" w:hAnsi="Arial" w:cs="Arial"/>
        </w:rPr>
        <w:t>Job Demands-Resources (JD-R) model</w:t>
      </w:r>
      <w:r w:rsidRPr="005E3402">
        <w:rPr>
          <w:rFonts w:ascii="Arial" w:hAnsi="Arial" w:cs="Arial"/>
        </w:rPr>
        <w:t xml:space="preserve"> offers insight into how psychological safety operates as a “resource” that buffers the impact of high emotional demands. In a comparative study across NHS Trusts, </w:t>
      </w:r>
      <w:proofErr w:type="spellStart"/>
      <w:r w:rsidRPr="005E3402">
        <w:rPr>
          <w:rFonts w:ascii="Arial" w:hAnsi="Arial" w:cs="Arial"/>
        </w:rPr>
        <w:t>Kinman</w:t>
      </w:r>
      <w:proofErr w:type="spellEnd"/>
      <w:r w:rsidRPr="005E3402">
        <w:rPr>
          <w:rFonts w:ascii="Arial" w:hAnsi="Arial" w:cs="Arial"/>
        </w:rPr>
        <w:t xml:space="preserve"> and </w:t>
      </w:r>
      <w:proofErr w:type="spellStart"/>
      <w:r w:rsidRPr="005E3402">
        <w:rPr>
          <w:rFonts w:ascii="Arial" w:hAnsi="Arial" w:cs="Arial"/>
        </w:rPr>
        <w:t>Teoh</w:t>
      </w:r>
      <w:proofErr w:type="spellEnd"/>
      <w:r w:rsidRPr="005E3402">
        <w:rPr>
          <w:rFonts w:ascii="Arial" w:hAnsi="Arial" w:cs="Arial"/>
        </w:rPr>
        <w:t xml:space="preserve"> (2021) found that psychological safety reduced the likelihood of burnout and emotional exhaustion even in settings with heavy caseloads and complex clinical duties. This protective function underscores its role in sustaining both workforce wellbeing and care quality under pressure.</w:t>
      </w:r>
    </w:p>
    <w:p w14:paraId="115C137B" w14:textId="77777777" w:rsidR="005E3402" w:rsidRPr="005E3402" w:rsidRDefault="005E3402" w:rsidP="005E3402">
      <w:pPr>
        <w:pStyle w:val="NormalWeb"/>
        <w:rPr>
          <w:rFonts w:ascii="Arial" w:hAnsi="Arial" w:cs="Arial"/>
        </w:rPr>
      </w:pPr>
      <w:r w:rsidRPr="005E3402">
        <w:rPr>
          <w:rFonts w:ascii="Arial" w:hAnsi="Arial" w:cs="Arial"/>
        </w:rPr>
        <w:t xml:space="preserve">Cross-national comparisons offer additional insights. In Australia, the National Health Workforce Strategy </w:t>
      </w:r>
      <w:proofErr w:type="spellStart"/>
      <w:r w:rsidRPr="005E3402">
        <w:rPr>
          <w:rFonts w:ascii="Arial" w:hAnsi="Arial" w:cs="Arial"/>
        </w:rPr>
        <w:t>prioritises</w:t>
      </w:r>
      <w:proofErr w:type="spellEnd"/>
      <w:r w:rsidRPr="005E3402">
        <w:rPr>
          <w:rFonts w:ascii="Arial" w:hAnsi="Arial" w:cs="Arial"/>
        </w:rPr>
        <w:t xml:space="preserve"> “safe team cultures” as a pillar of workforce sustainability, with initiatives such as “Speak Up for Safety” campaigns and multidisciplinary simulation training showing early success (Australian Government, 2021). In the US, the Veterans Health Administration has integrated psychological safety metrics into staff appraisals and quality improvement processes, resulting in improved care coordination and decreased staff turnover (NAM, 2022). These examples suggest that when psychological safety is </w:t>
      </w:r>
      <w:proofErr w:type="spellStart"/>
      <w:r w:rsidRPr="005E3402">
        <w:rPr>
          <w:rFonts w:ascii="Arial" w:hAnsi="Arial" w:cs="Arial"/>
        </w:rPr>
        <w:t>institutionalised</w:t>
      </w:r>
      <w:proofErr w:type="spellEnd"/>
      <w:r w:rsidRPr="005E3402">
        <w:rPr>
          <w:rFonts w:ascii="Arial" w:hAnsi="Arial" w:cs="Arial"/>
        </w:rPr>
        <w:t xml:space="preserve"> rather than treated as an optional cultural feature, it can significantly improve both staff and patient outcomes.</w:t>
      </w:r>
    </w:p>
    <w:p w14:paraId="14641946" w14:textId="77777777" w:rsidR="005E3402" w:rsidRPr="005E3402" w:rsidRDefault="005E3402" w:rsidP="005E3402">
      <w:pPr>
        <w:pStyle w:val="NormalWeb"/>
        <w:rPr>
          <w:rFonts w:ascii="Arial" w:hAnsi="Arial" w:cs="Arial"/>
        </w:rPr>
      </w:pPr>
      <w:r w:rsidRPr="005E3402">
        <w:rPr>
          <w:rFonts w:ascii="Arial" w:hAnsi="Arial" w:cs="Arial"/>
        </w:rPr>
        <w:t xml:space="preserve">However, psychological safety is not without challenges. It is highly context-dependent and can be undermined by structural inequalities, racial discrimination, or toxic leadership </w:t>
      </w:r>
      <w:proofErr w:type="spellStart"/>
      <w:r w:rsidRPr="005E3402">
        <w:rPr>
          <w:rFonts w:ascii="Arial" w:hAnsi="Arial" w:cs="Arial"/>
        </w:rPr>
        <w:t>behaviours</w:t>
      </w:r>
      <w:proofErr w:type="spellEnd"/>
      <w:r w:rsidRPr="005E3402">
        <w:rPr>
          <w:rFonts w:ascii="Arial" w:hAnsi="Arial" w:cs="Arial"/>
        </w:rPr>
        <w:t>. Research by West et al. (2020) found that ethnic minority staff were significantly less likely to feel psychologically safe in the NHS, highlighting the need for equity-sensitive wellbeing strategies. Addressing these disparities requires proactive inclusion policies, anti-racism training, and accountability mechanisms that go beyond general wellbeing rhetoric.</w:t>
      </w:r>
    </w:p>
    <w:p w14:paraId="5F2A3FC2" w14:textId="77777777" w:rsidR="005E3402" w:rsidRPr="005E3402" w:rsidRDefault="005E3402" w:rsidP="005E3402">
      <w:pPr>
        <w:pStyle w:val="NormalWeb"/>
        <w:rPr>
          <w:rFonts w:ascii="Arial" w:hAnsi="Arial" w:cs="Arial"/>
        </w:rPr>
      </w:pPr>
      <w:r w:rsidRPr="005E3402">
        <w:rPr>
          <w:rFonts w:ascii="Arial" w:hAnsi="Arial" w:cs="Arial"/>
        </w:rPr>
        <w:t xml:space="preserve">In summary, psychological safety is a foundational driver of high-functioning teams and quality care. Its presence enables open dialogue, shared learning, and emotional resilience; its absence contributes to fear, silence, and compromised safety. To </w:t>
      </w:r>
      <w:proofErr w:type="spellStart"/>
      <w:r w:rsidRPr="005E3402">
        <w:rPr>
          <w:rFonts w:ascii="Arial" w:hAnsi="Arial" w:cs="Arial"/>
        </w:rPr>
        <w:t>realise</w:t>
      </w:r>
      <w:proofErr w:type="spellEnd"/>
      <w:r w:rsidRPr="005E3402">
        <w:rPr>
          <w:rFonts w:ascii="Arial" w:hAnsi="Arial" w:cs="Arial"/>
        </w:rPr>
        <w:t xml:space="preserve"> its full potential, healthcare </w:t>
      </w:r>
      <w:proofErr w:type="spellStart"/>
      <w:r w:rsidRPr="005E3402">
        <w:rPr>
          <w:rFonts w:ascii="Arial" w:hAnsi="Arial" w:cs="Arial"/>
        </w:rPr>
        <w:t>organisations</w:t>
      </w:r>
      <w:proofErr w:type="spellEnd"/>
      <w:r w:rsidRPr="005E3402">
        <w:rPr>
          <w:rFonts w:ascii="Arial" w:hAnsi="Arial" w:cs="Arial"/>
        </w:rPr>
        <w:t xml:space="preserve"> must embed psychological safety into leadership development, team structures, and cultural norms—ensuring that every staff member, regardless of role or identity, feels safe to speak and thrive.</w:t>
      </w:r>
    </w:p>
    <w:p w14:paraId="3E0FFC75" w14:textId="77777777" w:rsidR="005E3402" w:rsidRPr="005E3402" w:rsidRDefault="005E3402" w:rsidP="005E3402">
      <w:pPr>
        <w:pStyle w:val="Heading3"/>
        <w:rPr>
          <w:rFonts w:ascii="Arial" w:hAnsi="Arial" w:cs="Arial"/>
        </w:rPr>
      </w:pPr>
      <w:bookmarkStart w:id="37" w:name="_Toc215093017"/>
      <w:r w:rsidRPr="005E3402">
        <w:rPr>
          <w:rFonts w:ascii="Arial" w:hAnsi="Arial" w:cs="Arial"/>
        </w:rPr>
        <w:t>4.4 Empowerment, Autonomy, and Job Satisfaction</w:t>
      </w:r>
      <w:bookmarkEnd w:id="37"/>
    </w:p>
    <w:p w14:paraId="0654E3DB" w14:textId="77777777" w:rsidR="005E3402" w:rsidRPr="005E3402" w:rsidRDefault="005E3402" w:rsidP="005E3402">
      <w:pPr>
        <w:pStyle w:val="NormalWeb"/>
        <w:rPr>
          <w:rFonts w:ascii="Arial" w:hAnsi="Arial" w:cs="Arial"/>
        </w:rPr>
      </w:pPr>
      <w:r w:rsidRPr="005E3402">
        <w:rPr>
          <w:rFonts w:ascii="Arial" w:hAnsi="Arial" w:cs="Arial"/>
        </w:rPr>
        <w:t xml:space="preserve">The third key theme identified in this review is the importance of </w:t>
      </w:r>
      <w:r w:rsidRPr="005E3402">
        <w:rPr>
          <w:rStyle w:val="Strong"/>
          <w:rFonts w:ascii="Arial" w:hAnsi="Arial" w:cs="Arial"/>
        </w:rPr>
        <w:t>empowerment and professional autonomy</w:t>
      </w:r>
      <w:r w:rsidRPr="005E3402">
        <w:rPr>
          <w:rFonts w:ascii="Arial" w:hAnsi="Arial" w:cs="Arial"/>
        </w:rPr>
        <w:t xml:space="preserve"> in enhancing workforce wellbeing and ensuring the delivery of high-quality care. Empowerment in the context of health and social care refers to the extent to which staff feel they have control over their work environment, the ability to influence decision-making, and access to the resources needed to perform their roles effectively (Zimmerman, 2000). Closely tied to empowerment is </w:t>
      </w:r>
      <w:r w:rsidRPr="005E3402">
        <w:rPr>
          <w:rStyle w:val="Strong"/>
          <w:rFonts w:ascii="Arial" w:hAnsi="Arial" w:cs="Arial"/>
        </w:rPr>
        <w:t>autonomy</w:t>
      </w:r>
      <w:r w:rsidRPr="005E3402">
        <w:rPr>
          <w:rFonts w:ascii="Arial" w:hAnsi="Arial" w:cs="Arial"/>
        </w:rPr>
        <w:t xml:space="preserve">, or the perceived freedom to act according to one’s professional judgement without unnecessary oversight or constraint. When these elements are present, they significantly contribute to </w:t>
      </w:r>
      <w:r w:rsidRPr="005E3402">
        <w:rPr>
          <w:rStyle w:val="Strong"/>
          <w:rFonts w:ascii="Arial" w:hAnsi="Arial" w:cs="Arial"/>
        </w:rPr>
        <w:t>job satisfaction</w:t>
      </w:r>
      <w:r w:rsidRPr="005E3402">
        <w:rPr>
          <w:rFonts w:ascii="Arial" w:hAnsi="Arial" w:cs="Arial"/>
        </w:rPr>
        <w:t xml:space="preserve">, morale, and employee engagement—all of which are </w:t>
      </w:r>
      <w:proofErr w:type="spellStart"/>
      <w:r w:rsidRPr="005E3402">
        <w:rPr>
          <w:rFonts w:ascii="Arial" w:hAnsi="Arial" w:cs="Arial"/>
        </w:rPr>
        <w:t>recognised</w:t>
      </w:r>
      <w:proofErr w:type="spellEnd"/>
      <w:r w:rsidRPr="005E3402">
        <w:rPr>
          <w:rFonts w:ascii="Arial" w:hAnsi="Arial" w:cs="Arial"/>
        </w:rPr>
        <w:t xml:space="preserve"> drivers of care quality.</w:t>
      </w:r>
    </w:p>
    <w:p w14:paraId="01B609C0" w14:textId="77777777" w:rsidR="005E3402" w:rsidRPr="005E3402" w:rsidRDefault="005E3402" w:rsidP="005E3402">
      <w:pPr>
        <w:pStyle w:val="NormalWeb"/>
        <w:rPr>
          <w:rFonts w:ascii="Arial" w:hAnsi="Arial" w:cs="Arial"/>
        </w:rPr>
      </w:pPr>
      <w:r w:rsidRPr="005E3402">
        <w:rPr>
          <w:rFonts w:ascii="Arial" w:hAnsi="Arial" w:cs="Arial"/>
        </w:rPr>
        <w:t>A large body of literature reviewed for this dissertation supports the link between empowerment and improved care outcomes. For instance, Jennings et al. (2022) conducted a longitudinal study in UK acute care hospitals and found that nurses who perceived higher levels of autonomy reported greater job satisfaction and were more likely to engage in patient advocacy and evidence-based care practices. Similarly, Boamah et al. (2020) found that empowered teams demonstrated higher patient satisfaction ratings, more effective interdisciplinary collaboration, and better adherence to care protocols.</w:t>
      </w:r>
    </w:p>
    <w:p w14:paraId="3FA0BF46" w14:textId="77777777" w:rsidR="005E3402" w:rsidRPr="005E3402" w:rsidRDefault="005E3402" w:rsidP="005E3402">
      <w:pPr>
        <w:pStyle w:val="NormalWeb"/>
        <w:rPr>
          <w:rFonts w:ascii="Arial" w:hAnsi="Arial" w:cs="Arial"/>
        </w:rPr>
      </w:pPr>
      <w:r w:rsidRPr="005E3402">
        <w:rPr>
          <w:rFonts w:ascii="Arial" w:hAnsi="Arial" w:cs="Arial"/>
        </w:rPr>
        <w:t xml:space="preserve">The relationship between empowerment and job satisfaction is well-explained by </w:t>
      </w:r>
      <w:r w:rsidRPr="005E3402">
        <w:rPr>
          <w:rStyle w:val="Strong"/>
          <w:rFonts w:ascii="Arial" w:hAnsi="Arial" w:cs="Arial"/>
        </w:rPr>
        <w:t>Empowerment Theory</w:t>
      </w:r>
      <w:r w:rsidRPr="005E3402">
        <w:rPr>
          <w:rFonts w:ascii="Arial" w:hAnsi="Arial" w:cs="Arial"/>
        </w:rPr>
        <w:t>, which posits that individuals who have access to information, support, and decision-making authority are more likely to feel valued and invested in their work (Zimmerman, 2000). In health and social care settings, structural empowerment—such as participatory governance, professional development opportunities, and role clarity—has been shown to improve psychological wellbeing and reduce turnover intentions (</w:t>
      </w:r>
      <w:proofErr w:type="spellStart"/>
      <w:r w:rsidRPr="005E3402">
        <w:rPr>
          <w:rFonts w:ascii="Arial" w:hAnsi="Arial" w:cs="Arial"/>
        </w:rPr>
        <w:t>Laschinger</w:t>
      </w:r>
      <w:proofErr w:type="spellEnd"/>
      <w:r w:rsidRPr="005E3402">
        <w:rPr>
          <w:rFonts w:ascii="Arial" w:hAnsi="Arial" w:cs="Arial"/>
        </w:rPr>
        <w:t xml:space="preserve"> et al., 2021). These findings are echoed in the UK’s </w:t>
      </w:r>
      <w:r w:rsidRPr="005E3402">
        <w:rPr>
          <w:rStyle w:val="Strong"/>
          <w:rFonts w:ascii="Arial" w:hAnsi="Arial" w:cs="Arial"/>
        </w:rPr>
        <w:t>NHS People Plan (2020)</w:t>
      </w:r>
      <w:r w:rsidRPr="005E3402">
        <w:rPr>
          <w:rFonts w:ascii="Arial" w:hAnsi="Arial" w:cs="Arial"/>
        </w:rPr>
        <w:t>, which calls for inclusive leadership, shared decision-making, and staff-led innovation as means of improving retention and patient outcomes.</w:t>
      </w:r>
    </w:p>
    <w:p w14:paraId="14D6C6F0" w14:textId="77777777" w:rsidR="005E3402" w:rsidRPr="005E3402" w:rsidRDefault="005E3402" w:rsidP="005E3402">
      <w:pPr>
        <w:pStyle w:val="NormalWeb"/>
        <w:rPr>
          <w:rFonts w:ascii="Arial" w:hAnsi="Arial" w:cs="Arial"/>
        </w:rPr>
      </w:pPr>
      <w:r w:rsidRPr="005E3402">
        <w:rPr>
          <w:rFonts w:ascii="Arial" w:hAnsi="Arial" w:cs="Arial"/>
        </w:rPr>
        <w:t xml:space="preserve">From the perspective of </w:t>
      </w:r>
      <w:r w:rsidRPr="005E3402">
        <w:rPr>
          <w:rStyle w:val="Strong"/>
          <w:rFonts w:ascii="Arial" w:hAnsi="Arial" w:cs="Arial"/>
        </w:rPr>
        <w:t>Maslow’s Hierarchy of Needs</w:t>
      </w:r>
      <w:r w:rsidRPr="005E3402">
        <w:rPr>
          <w:rFonts w:ascii="Arial" w:hAnsi="Arial" w:cs="Arial"/>
        </w:rPr>
        <w:t xml:space="preserve">, empowerment and autonomy satisfy higher-order psychological needs, including esteem and </w:t>
      </w:r>
      <w:proofErr w:type="spellStart"/>
      <w:r w:rsidRPr="005E3402">
        <w:rPr>
          <w:rFonts w:ascii="Arial" w:hAnsi="Arial" w:cs="Arial"/>
        </w:rPr>
        <w:t>self-actualisation</w:t>
      </w:r>
      <w:proofErr w:type="spellEnd"/>
      <w:r w:rsidRPr="005E3402">
        <w:rPr>
          <w:rFonts w:ascii="Arial" w:hAnsi="Arial" w:cs="Arial"/>
        </w:rPr>
        <w:t>. When staff feel that their expertise is trusted and their voice is respected, they are more likely to achieve a sense of purpose and professional fulfilment—factors strongly linked to intrinsic motivation and compassionate care (Shuck et al., 2022). By contrast, when these needs are neglected, staff may experience “learned helplessness,” disengagement, or moral distress, particularly in ethically complex situations such as end-of-life care or safeguarding concerns.</w:t>
      </w:r>
    </w:p>
    <w:p w14:paraId="0E9A9BE3" w14:textId="77777777" w:rsidR="005E3402" w:rsidRPr="005E3402" w:rsidRDefault="005E3402" w:rsidP="005E3402">
      <w:pPr>
        <w:pStyle w:val="NormalWeb"/>
        <w:rPr>
          <w:rFonts w:ascii="Arial" w:hAnsi="Arial" w:cs="Arial"/>
        </w:rPr>
      </w:pPr>
      <w:r w:rsidRPr="005E3402">
        <w:rPr>
          <w:rFonts w:ascii="Arial" w:hAnsi="Arial" w:cs="Arial"/>
        </w:rPr>
        <w:t xml:space="preserve">The </w:t>
      </w:r>
      <w:r w:rsidRPr="005E3402">
        <w:rPr>
          <w:rStyle w:val="Strong"/>
          <w:rFonts w:ascii="Arial" w:hAnsi="Arial" w:cs="Arial"/>
        </w:rPr>
        <w:t>Job Demands-Resources (JD-R) model</w:t>
      </w:r>
      <w:r w:rsidRPr="005E3402">
        <w:rPr>
          <w:rFonts w:ascii="Arial" w:hAnsi="Arial" w:cs="Arial"/>
        </w:rPr>
        <w:t xml:space="preserve"> also reinforces the importance of empowerment as a resource that can buffer the negative effects of high job demands. </w:t>
      </w:r>
      <w:proofErr w:type="spellStart"/>
      <w:r w:rsidRPr="005E3402">
        <w:rPr>
          <w:rFonts w:ascii="Arial" w:hAnsi="Arial" w:cs="Arial"/>
        </w:rPr>
        <w:t>Kinman</w:t>
      </w:r>
      <w:proofErr w:type="spellEnd"/>
      <w:r w:rsidRPr="005E3402">
        <w:rPr>
          <w:rFonts w:ascii="Arial" w:hAnsi="Arial" w:cs="Arial"/>
        </w:rPr>
        <w:t xml:space="preserve"> and </w:t>
      </w:r>
      <w:proofErr w:type="spellStart"/>
      <w:r w:rsidRPr="005E3402">
        <w:rPr>
          <w:rFonts w:ascii="Arial" w:hAnsi="Arial" w:cs="Arial"/>
        </w:rPr>
        <w:t>Teoh</w:t>
      </w:r>
      <w:proofErr w:type="spellEnd"/>
      <w:r w:rsidRPr="005E3402">
        <w:rPr>
          <w:rFonts w:ascii="Arial" w:hAnsi="Arial" w:cs="Arial"/>
        </w:rPr>
        <w:t xml:space="preserve"> (2021) found that empowered NHS staff were better able to cope with emotional labour, workload pressures, and </w:t>
      </w:r>
      <w:proofErr w:type="spellStart"/>
      <w:r w:rsidRPr="005E3402">
        <w:rPr>
          <w:rFonts w:ascii="Arial" w:hAnsi="Arial" w:cs="Arial"/>
        </w:rPr>
        <w:t>organisational</w:t>
      </w:r>
      <w:proofErr w:type="spellEnd"/>
      <w:r w:rsidRPr="005E3402">
        <w:rPr>
          <w:rFonts w:ascii="Arial" w:hAnsi="Arial" w:cs="Arial"/>
        </w:rPr>
        <w:t xml:space="preserve"> change. Autonomy, in particular, emerged as a protective factor against burnout and an enabler of resilience. However, the authors also noted that without structural support, empowerment strategies risk becoming tokenistic, particularly when frontline staff are given responsibility without authority or resources.</w:t>
      </w:r>
    </w:p>
    <w:p w14:paraId="5C5B1DDE" w14:textId="77777777" w:rsidR="005E3402" w:rsidRPr="005E3402" w:rsidRDefault="005E3402" w:rsidP="005E3402">
      <w:pPr>
        <w:pStyle w:val="NormalWeb"/>
        <w:rPr>
          <w:rFonts w:ascii="Arial" w:hAnsi="Arial" w:cs="Arial"/>
        </w:rPr>
      </w:pPr>
      <w:r w:rsidRPr="005E3402">
        <w:rPr>
          <w:rFonts w:ascii="Arial" w:hAnsi="Arial" w:cs="Arial"/>
        </w:rPr>
        <w:t xml:space="preserve">Despite these positive associations, the review also identified significant </w:t>
      </w:r>
      <w:r w:rsidRPr="005E3402">
        <w:rPr>
          <w:rStyle w:val="Strong"/>
          <w:rFonts w:ascii="Arial" w:hAnsi="Arial" w:cs="Arial"/>
        </w:rPr>
        <w:t>barriers to empowerment</w:t>
      </w:r>
      <w:r w:rsidRPr="005E3402">
        <w:rPr>
          <w:rFonts w:ascii="Arial" w:hAnsi="Arial" w:cs="Arial"/>
        </w:rPr>
        <w:t xml:space="preserve"> in many UK health and social care settings. A recent CQC (2021) report highlighted widespread concerns among nurses and care assistants about lack of voice in </w:t>
      </w:r>
      <w:proofErr w:type="spellStart"/>
      <w:r w:rsidRPr="005E3402">
        <w:rPr>
          <w:rFonts w:ascii="Arial" w:hAnsi="Arial" w:cs="Arial"/>
        </w:rPr>
        <w:t>organisational</w:t>
      </w:r>
      <w:proofErr w:type="spellEnd"/>
      <w:r w:rsidRPr="005E3402">
        <w:rPr>
          <w:rFonts w:ascii="Arial" w:hAnsi="Arial" w:cs="Arial"/>
        </w:rPr>
        <w:t xml:space="preserve"> decisions, rigid hierarchical structures, and punitive management styles. These concerns were especially pronounced in under-resourced settings such as residential care homes, where staffing shortages and regulatory pressures often limit opportunities for autonomy or innovation.</w:t>
      </w:r>
    </w:p>
    <w:p w14:paraId="2E95B5A6" w14:textId="77777777" w:rsidR="005E3402" w:rsidRPr="005E3402" w:rsidRDefault="005E3402" w:rsidP="005E3402">
      <w:pPr>
        <w:pStyle w:val="NormalWeb"/>
        <w:rPr>
          <w:rFonts w:ascii="Arial" w:hAnsi="Arial" w:cs="Arial"/>
        </w:rPr>
      </w:pPr>
      <w:r w:rsidRPr="005E3402">
        <w:rPr>
          <w:rFonts w:ascii="Arial" w:hAnsi="Arial" w:cs="Arial"/>
        </w:rPr>
        <w:t xml:space="preserve">Comparative insights from </w:t>
      </w:r>
      <w:r w:rsidRPr="005E3402">
        <w:rPr>
          <w:rStyle w:val="Strong"/>
          <w:rFonts w:ascii="Arial" w:hAnsi="Arial" w:cs="Arial"/>
        </w:rPr>
        <w:t>Australia and the United States</w:t>
      </w:r>
      <w:r w:rsidRPr="005E3402">
        <w:rPr>
          <w:rFonts w:ascii="Arial" w:hAnsi="Arial" w:cs="Arial"/>
        </w:rPr>
        <w:t xml:space="preserve"> suggest that targeted empowerment interventions can be effective. In Australia, the implementation of “nurse-led models of care” in remote and Indigenous communities has improved both staff satisfaction and community health outcomes (AIHW, 2022). In the US, shared governance models in Magnet hospitals have been associated with lower turnover, improved patient outcomes, and higher levels of professional autonomy (NAM, 2022). These international models demonstrate that with institutional support and cultural alignment, empowerment can be </w:t>
      </w:r>
      <w:proofErr w:type="spellStart"/>
      <w:r w:rsidRPr="005E3402">
        <w:rPr>
          <w:rFonts w:ascii="Arial" w:hAnsi="Arial" w:cs="Arial"/>
        </w:rPr>
        <w:t>operationalised</w:t>
      </w:r>
      <w:proofErr w:type="spellEnd"/>
      <w:r w:rsidRPr="005E3402">
        <w:rPr>
          <w:rFonts w:ascii="Arial" w:hAnsi="Arial" w:cs="Arial"/>
        </w:rPr>
        <w:t xml:space="preserve"> into practice—not just policy.</w:t>
      </w:r>
    </w:p>
    <w:p w14:paraId="40667FA4" w14:textId="77777777" w:rsidR="005E3402" w:rsidRPr="005E3402" w:rsidRDefault="005E3402" w:rsidP="005E3402">
      <w:pPr>
        <w:pStyle w:val="NormalWeb"/>
        <w:rPr>
          <w:rFonts w:ascii="Arial" w:hAnsi="Arial" w:cs="Arial"/>
        </w:rPr>
      </w:pPr>
      <w:r w:rsidRPr="005E3402">
        <w:rPr>
          <w:rFonts w:ascii="Arial" w:hAnsi="Arial" w:cs="Arial"/>
        </w:rPr>
        <w:t>However, empowerment is not experienced uniformly across all groups. West et al. (2020) and The King’s Fund (2023) both highlight the ongoing disparities faced by minority ethnic staff, women, and internationally educated professionals, who are less likely to report feeling empowered or included in decision-making. Structural discrimination, unconscious bias, and microaggressions continue to undermine inclusive empowerment, highlighting the need for intersectional approaches to workforce wellbeing.</w:t>
      </w:r>
    </w:p>
    <w:p w14:paraId="373B845B" w14:textId="77777777" w:rsidR="005E3402" w:rsidRPr="005E3402" w:rsidRDefault="005E3402" w:rsidP="005E3402">
      <w:pPr>
        <w:pStyle w:val="NormalWeb"/>
        <w:rPr>
          <w:rFonts w:ascii="Arial" w:hAnsi="Arial" w:cs="Arial"/>
        </w:rPr>
      </w:pPr>
      <w:r w:rsidRPr="005E3402">
        <w:rPr>
          <w:rFonts w:ascii="Arial" w:hAnsi="Arial" w:cs="Arial"/>
        </w:rPr>
        <w:t xml:space="preserve">In conclusion, empowerment and autonomy are foundational to both workforce wellbeing and care quality. When staff are empowered, they are more motivated, resilient, and patient-focused. However, empowerment must be supported by </w:t>
      </w:r>
      <w:proofErr w:type="spellStart"/>
      <w:r w:rsidRPr="005E3402">
        <w:rPr>
          <w:rFonts w:ascii="Arial" w:hAnsi="Arial" w:cs="Arial"/>
        </w:rPr>
        <w:t>organisational</w:t>
      </w:r>
      <w:proofErr w:type="spellEnd"/>
      <w:r w:rsidRPr="005E3402">
        <w:rPr>
          <w:rFonts w:ascii="Arial" w:hAnsi="Arial" w:cs="Arial"/>
        </w:rPr>
        <w:t xml:space="preserve"> structures, inclusive cultures, and leadership practices that truly value staff contributions. Without these, attempts at empowerment may remain superficial and fail to impact care quality meaningfully.</w:t>
      </w:r>
    </w:p>
    <w:p w14:paraId="7D3BCFD7" w14:textId="77777777" w:rsidR="005E3402" w:rsidRPr="005E3402" w:rsidRDefault="005E3402" w:rsidP="005E3402">
      <w:pPr>
        <w:pStyle w:val="Heading3"/>
        <w:rPr>
          <w:rFonts w:ascii="Arial" w:hAnsi="Arial" w:cs="Arial"/>
        </w:rPr>
      </w:pPr>
      <w:bookmarkStart w:id="38" w:name="_Toc215093018"/>
      <w:r w:rsidRPr="005E3402">
        <w:rPr>
          <w:rFonts w:ascii="Arial" w:hAnsi="Arial" w:cs="Arial"/>
        </w:rPr>
        <w:t xml:space="preserve">4.5 </w:t>
      </w:r>
      <w:proofErr w:type="spellStart"/>
      <w:r w:rsidRPr="005E3402">
        <w:rPr>
          <w:rFonts w:ascii="Arial" w:hAnsi="Arial" w:cs="Arial"/>
        </w:rPr>
        <w:t>Organisational</w:t>
      </w:r>
      <w:proofErr w:type="spellEnd"/>
      <w:r w:rsidRPr="005E3402">
        <w:rPr>
          <w:rFonts w:ascii="Arial" w:hAnsi="Arial" w:cs="Arial"/>
        </w:rPr>
        <w:t xml:space="preserve"> Culture and Leadership</w:t>
      </w:r>
      <w:bookmarkEnd w:id="38"/>
    </w:p>
    <w:p w14:paraId="7AA16C21" w14:textId="77777777" w:rsidR="005E3402" w:rsidRPr="005E3402" w:rsidRDefault="005E3402" w:rsidP="005E3402">
      <w:pPr>
        <w:pStyle w:val="NormalWeb"/>
        <w:rPr>
          <w:rFonts w:ascii="Arial" w:hAnsi="Arial" w:cs="Arial"/>
        </w:rPr>
      </w:pPr>
      <w:r w:rsidRPr="005E3402">
        <w:rPr>
          <w:rFonts w:ascii="Arial" w:hAnsi="Arial" w:cs="Arial"/>
        </w:rPr>
        <w:t xml:space="preserve">The role of </w:t>
      </w:r>
      <w:proofErr w:type="spellStart"/>
      <w:r w:rsidRPr="005E3402">
        <w:rPr>
          <w:rStyle w:val="Strong"/>
          <w:rFonts w:ascii="Arial" w:hAnsi="Arial" w:cs="Arial"/>
        </w:rPr>
        <w:t>organisational</w:t>
      </w:r>
      <w:proofErr w:type="spellEnd"/>
      <w:r w:rsidRPr="005E3402">
        <w:rPr>
          <w:rStyle w:val="Strong"/>
          <w:rFonts w:ascii="Arial" w:hAnsi="Arial" w:cs="Arial"/>
        </w:rPr>
        <w:t xml:space="preserve"> culture</w:t>
      </w:r>
      <w:r w:rsidRPr="005E3402">
        <w:rPr>
          <w:rFonts w:ascii="Arial" w:hAnsi="Arial" w:cs="Arial"/>
        </w:rPr>
        <w:t xml:space="preserve"> and </w:t>
      </w:r>
      <w:r w:rsidRPr="005E3402">
        <w:rPr>
          <w:rStyle w:val="Strong"/>
          <w:rFonts w:ascii="Arial" w:hAnsi="Arial" w:cs="Arial"/>
        </w:rPr>
        <w:t>leadership</w:t>
      </w:r>
      <w:r w:rsidRPr="005E3402">
        <w:rPr>
          <w:rFonts w:ascii="Arial" w:hAnsi="Arial" w:cs="Arial"/>
        </w:rPr>
        <w:t xml:space="preserve"> emerged as one of the most influential factors shaping the relationship between workforce wellbeing and quality of care. </w:t>
      </w:r>
      <w:proofErr w:type="spellStart"/>
      <w:r w:rsidRPr="005E3402">
        <w:rPr>
          <w:rFonts w:ascii="Arial" w:hAnsi="Arial" w:cs="Arial"/>
        </w:rPr>
        <w:t>Organisational</w:t>
      </w:r>
      <w:proofErr w:type="spellEnd"/>
      <w:r w:rsidRPr="005E3402">
        <w:rPr>
          <w:rFonts w:ascii="Arial" w:hAnsi="Arial" w:cs="Arial"/>
        </w:rPr>
        <w:t xml:space="preserve"> culture, in the context of health and social care, refers to the shared values, beliefs, and norms that influence </w:t>
      </w:r>
      <w:proofErr w:type="spellStart"/>
      <w:r w:rsidRPr="005E3402">
        <w:rPr>
          <w:rFonts w:ascii="Arial" w:hAnsi="Arial" w:cs="Arial"/>
        </w:rPr>
        <w:t>behaviours</w:t>
      </w:r>
      <w:proofErr w:type="spellEnd"/>
      <w:r w:rsidRPr="005E3402">
        <w:rPr>
          <w:rFonts w:ascii="Arial" w:hAnsi="Arial" w:cs="Arial"/>
        </w:rPr>
        <w:t xml:space="preserve"> within the workplace (Mannion &amp; Davies, 2018). Leadership, particularly at team and executive levels, sets the tone for this culture, shaping how staff experience their work environment, how support is delivered, and how care quality is </w:t>
      </w:r>
      <w:proofErr w:type="spellStart"/>
      <w:r w:rsidRPr="005E3402">
        <w:rPr>
          <w:rFonts w:ascii="Arial" w:hAnsi="Arial" w:cs="Arial"/>
        </w:rPr>
        <w:t>prioritised</w:t>
      </w:r>
      <w:proofErr w:type="spellEnd"/>
      <w:r w:rsidRPr="005E3402">
        <w:rPr>
          <w:rFonts w:ascii="Arial" w:hAnsi="Arial" w:cs="Arial"/>
        </w:rPr>
        <w:t>.</w:t>
      </w:r>
    </w:p>
    <w:p w14:paraId="1DBE261A" w14:textId="77777777" w:rsidR="005E3402" w:rsidRPr="005E3402" w:rsidRDefault="005E3402" w:rsidP="005E3402">
      <w:pPr>
        <w:pStyle w:val="NormalWeb"/>
        <w:rPr>
          <w:rFonts w:ascii="Arial" w:hAnsi="Arial" w:cs="Arial"/>
        </w:rPr>
      </w:pPr>
      <w:r w:rsidRPr="005E3402">
        <w:rPr>
          <w:rFonts w:ascii="Arial" w:hAnsi="Arial" w:cs="Arial"/>
        </w:rPr>
        <w:t xml:space="preserve">The literature consistently supports the notion that a </w:t>
      </w:r>
      <w:r w:rsidRPr="005E3402">
        <w:rPr>
          <w:rStyle w:val="Strong"/>
          <w:rFonts w:ascii="Arial" w:hAnsi="Arial" w:cs="Arial"/>
        </w:rPr>
        <w:t>supportive, inclusive, and compassionate workplace culture</w:t>
      </w:r>
      <w:r w:rsidRPr="005E3402">
        <w:rPr>
          <w:rFonts w:ascii="Arial" w:hAnsi="Arial" w:cs="Arial"/>
        </w:rPr>
        <w:t xml:space="preserve"> enhances both staff wellbeing and care outcomes. According to West et al. (2020), NHS Trusts </w:t>
      </w:r>
      <w:proofErr w:type="spellStart"/>
      <w:r w:rsidRPr="005E3402">
        <w:rPr>
          <w:rFonts w:ascii="Arial" w:hAnsi="Arial" w:cs="Arial"/>
        </w:rPr>
        <w:t>characterised</w:t>
      </w:r>
      <w:proofErr w:type="spellEnd"/>
      <w:r w:rsidRPr="005E3402">
        <w:rPr>
          <w:rFonts w:ascii="Arial" w:hAnsi="Arial" w:cs="Arial"/>
        </w:rPr>
        <w:t xml:space="preserve"> by high levels of staff engagement, inclusive decision-making, and visible leadership tend to report better patient satisfaction scores, lower mortality rates, and improved staff retention. Conversely, cultures marked by blame, hierarchy, or operational rigidity are associated with higher levels of burnout, clinical errors, and staff turnover (The King’s Fund, 2023).</w:t>
      </w:r>
    </w:p>
    <w:p w14:paraId="22C86D84" w14:textId="77777777" w:rsidR="005E3402" w:rsidRPr="005E3402" w:rsidRDefault="005E3402" w:rsidP="005E3402">
      <w:pPr>
        <w:pStyle w:val="NormalWeb"/>
        <w:rPr>
          <w:rFonts w:ascii="Arial" w:hAnsi="Arial" w:cs="Arial"/>
        </w:rPr>
      </w:pPr>
      <w:r w:rsidRPr="005E3402">
        <w:rPr>
          <w:rFonts w:ascii="Arial" w:hAnsi="Arial" w:cs="Arial"/>
        </w:rPr>
        <w:t xml:space="preserve">One central framework in this discussion is the </w:t>
      </w:r>
      <w:r w:rsidRPr="005E3402">
        <w:rPr>
          <w:rStyle w:val="Strong"/>
          <w:rFonts w:ascii="Arial" w:hAnsi="Arial" w:cs="Arial"/>
        </w:rPr>
        <w:t>NHS Workforce Wellbeing Framework</w:t>
      </w:r>
      <w:r w:rsidRPr="005E3402">
        <w:rPr>
          <w:rFonts w:ascii="Arial" w:hAnsi="Arial" w:cs="Arial"/>
        </w:rPr>
        <w:t xml:space="preserve">, which identifies “culture and leadership” as one of six core enablers of sustainable wellbeing (NHS Improvement, 2021). The framework highlights compassionate leadership, effective communication, and psychological safety as essential components of a healthy </w:t>
      </w:r>
      <w:proofErr w:type="spellStart"/>
      <w:r w:rsidRPr="005E3402">
        <w:rPr>
          <w:rFonts w:ascii="Arial" w:hAnsi="Arial" w:cs="Arial"/>
        </w:rPr>
        <w:t>organisational</w:t>
      </w:r>
      <w:proofErr w:type="spellEnd"/>
      <w:r w:rsidRPr="005E3402">
        <w:rPr>
          <w:rFonts w:ascii="Arial" w:hAnsi="Arial" w:cs="Arial"/>
        </w:rPr>
        <w:t xml:space="preserve"> culture. Yet, while the policy guidance is robust, its implementation across NHS Trusts has been inconsistent. A 2023 NHS Confederation review revealed significant variation in the adoption of wellbeing leadership roles, with some </w:t>
      </w:r>
      <w:proofErr w:type="spellStart"/>
      <w:r w:rsidRPr="005E3402">
        <w:rPr>
          <w:rFonts w:ascii="Arial" w:hAnsi="Arial" w:cs="Arial"/>
        </w:rPr>
        <w:t>organisations</w:t>
      </w:r>
      <w:proofErr w:type="spellEnd"/>
      <w:r w:rsidRPr="005E3402">
        <w:rPr>
          <w:rFonts w:ascii="Arial" w:hAnsi="Arial" w:cs="Arial"/>
        </w:rPr>
        <w:t xml:space="preserve"> embedding them at board level, and others delegating them to unsupported mid-tier managers with limited authority.</w:t>
      </w:r>
    </w:p>
    <w:p w14:paraId="7E1E3206" w14:textId="77777777" w:rsidR="005E3402" w:rsidRPr="005E3402" w:rsidRDefault="005E3402" w:rsidP="005E3402">
      <w:pPr>
        <w:pStyle w:val="NormalWeb"/>
        <w:rPr>
          <w:rFonts w:ascii="Arial" w:hAnsi="Arial" w:cs="Arial"/>
        </w:rPr>
      </w:pPr>
      <w:r w:rsidRPr="005E3402">
        <w:rPr>
          <w:rFonts w:ascii="Arial" w:hAnsi="Arial" w:cs="Arial"/>
        </w:rPr>
        <w:t xml:space="preserve">Leadership style is also a key determinant of cultural tone. </w:t>
      </w:r>
      <w:r w:rsidRPr="005E3402">
        <w:rPr>
          <w:rStyle w:val="Strong"/>
          <w:rFonts w:ascii="Arial" w:hAnsi="Arial" w:cs="Arial"/>
        </w:rPr>
        <w:t>Transformational leadership</w:t>
      </w:r>
      <w:r w:rsidRPr="005E3402">
        <w:rPr>
          <w:rFonts w:ascii="Arial" w:hAnsi="Arial" w:cs="Arial"/>
        </w:rPr>
        <w:t xml:space="preserve">, which </w:t>
      </w:r>
      <w:proofErr w:type="spellStart"/>
      <w:r w:rsidRPr="005E3402">
        <w:rPr>
          <w:rFonts w:ascii="Arial" w:hAnsi="Arial" w:cs="Arial"/>
        </w:rPr>
        <w:t>emphasises</w:t>
      </w:r>
      <w:proofErr w:type="spellEnd"/>
      <w:r w:rsidRPr="005E3402">
        <w:rPr>
          <w:rFonts w:ascii="Arial" w:hAnsi="Arial" w:cs="Arial"/>
        </w:rPr>
        <w:t xml:space="preserve"> vision, inspiration, and individual consideration, has been positively correlated with staff satisfaction and patient safety (Boamah et al., 2021). Leaders who demonstrate emotional intelligence, support reflective practice, and model resilience foster environments where staff feel valued and safe to raise concerns. In contrast, </w:t>
      </w:r>
      <w:r w:rsidRPr="005E3402">
        <w:rPr>
          <w:rStyle w:val="Strong"/>
          <w:rFonts w:ascii="Arial" w:hAnsi="Arial" w:cs="Arial"/>
        </w:rPr>
        <w:t>transactional or authoritarian leadership styles</w:t>
      </w:r>
      <w:r w:rsidRPr="005E3402">
        <w:rPr>
          <w:rFonts w:ascii="Arial" w:hAnsi="Arial" w:cs="Arial"/>
        </w:rPr>
        <w:t xml:space="preserve">, which </w:t>
      </w:r>
      <w:proofErr w:type="spellStart"/>
      <w:r w:rsidRPr="005E3402">
        <w:rPr>
          <w:rFonts w:ascii="Arial" w:hAnsi="Arial" w:cs="Arial"/>
        </w:rPr>
        <w:t>prioritise</w:t>
      </w:r>
      <w:proofErr w:type="spellEnd"/>
      <w:r w:rsidRPr="005E3402">
        <w:rPr>
          <w:rFonts w:ascii="Arial" w:hAnsi="Arial" w:cs="Arial"/>
        </w:rPr>
        <w:t xml:space="preserve"> compliance and output over empathy and development, are more likely to suppress psychological safety and reduce staff morale (Henderson et al., 2022).</w:t>
      </w:r>
    </w:p>
    <w:p w14:paraId="6771FE8C" w14:textId="77777777" w:rsidR="005E3402" w:rsidRPr="005E3402" w:rsidRDefault="005E3402" w:rsidP="005E3402">
      <w:pPr>
        <w:pStyle w:val="NormalWeb"/>
        <w:rPr>
          <w:rFonts w:ascii="Arial" w:hAnsi="Arial" w:cs="Arial"/>
        </w:rPr>
      </w:pPr>
      <w:r w:rsidRPr="005E3402">
        <w:rPr>
          <w:rFonts w:ascii="Arial" w:hAnsi="Arial" w:cs="Arial"/>
        </w:rPr>
        <w:t xml:space="preserve">This theme also links closely with </w:t>
      </w:r>
      <w:r w:rsidRPr="005E3402">
        <w:rPr>
          <w:rStyle w:val="Strong"/>
          <w:rFonts w:ascii="Arial" w:hAnsi="Arial" w:cs="Arial"/>
        </w:rPr>
        <w:t>Empowerment Theory</w:t>
      </w:r>
      <w:r w:rsidRPr="005E3402">
        <w:rPr>
          <w:rFonts w:ascii="Arial" w:hAnsi="Arial" w:cs="Arial"/>
        </w:rPr>
        <w:t xml:space="preserve">, as </w:t>
      </w:r>
      <w:proofErr w:type="spellStart"/>
      <w:r w:rsidRPr="005E3402">
        <w:rPr>
          <w:rFonts w:ascii="Arial" w:hAnsi="Arial" w:cs="Arial"/>
        </w:rPr>
        <w:t>organisational</w:t>
      </w:r>
      <w:proofErr w:type="spellEnd"/>
      <w:r w:rsidRPr="005E3402">
        <w:rPr>
          <w:rFonts w:ascii="Arial" w:hAnsi="Arial" w:cs="Arial"/>
        </w:rPr>
        <w:t xml:space="preserve"> cultures that value staff input and provide access to decision-making foster empowerment, trust, and mutual respect. Empowered leadership contributes to the conditions necessary for effective team performance and resilience, which in turn enhances care quality. </w:t>
      </w:r>
      <w:proofErr w:type="spellStart"/>
      <w:r w:rsidRPr="005E3402">
        <w:rPr>
          <w:rFonts w:ascii="Arial" w:hAnsi="Arial" w:cs="Arial"/>
        </w:rPr>
        <w:t>Laschinger</w:t>
      </w:r>
      <w:proofErr w:type="spellEnd"/>
      <w:r w:rsidRPr="005E3402">
        <w:rPr>
          <w:rFonts w:ascii="Arial" w:hAnsi="Arial" w:cs="Arial"/>
        </w:rPr>
        <w:t xml:space="preserve"> et al. (2021) assert that empowered environments are not merely those where individuals feel confident but where systems actively distribute power through inclusive governance, transparent communication, and equitable resource allocation.</w:t>
      </w:r>
    </w:p>
    <w:p w14:paraId="1B3F3021" w14:textId="77777777" w:rsidR="005E3402" w:rsidRPr="005E3402" w:rsidRDefault="005E3402" w:rsidP="005E3402">
      <w:pPr>
        <w:pStyle w:val="NormalWeb"/>
        <w:rPr>
          <w:rFonts w:ascii="Arial" w:hAnsi="Arial" w:cs="Arial"/>
        </w:rPr>
      </w:pPr>
      <w:r w:rsidRPr="005E3402">
        <w:rPr>
          <w:rFonts w:ascii="Arial" w:hAnsi="Arial" w:cs="Arial"/>
        </w:rPr>
        <w:t xml:space="preserve">From a resource-based lens, the </w:t>
      </w:r>
      <w:r w:rsidRPr="005E3402">
        <w:rPr>
          <w:rStyle w:val="Strong"/>
          <w:rFonts w:ascii="Arial" w:hAnsi="Arial" w:cs="Arial"/>
        </w:rPr>
        <w:t>Job Demands-Resources (JD-R) model</w:t>
      </w:r>
      <w:r w:rsidRPr="005E3402">
        <w:rPr>
          <w:rFonts w:ascii="Arial" w:hAnsi="Arial" w:cs="Arial"/>
        </w:rPr>
        <w:t xml:space="preserve"> </w:t>
      </w:r>
      <w:proofErr w:type="spellStart"/>
      <w:r w:rsidRPr="005E3402">
        <w:rPr>
          <w:rFonts w:ascii="Arial" w:hAnsi="Arial" w:cs="Arial"/>
        </w:rPr>
        <w:t>conceptualises</w:t>
      </w:r>
      <w:proofErr w:type="spellEnd"/>
      <w:r w:rsidRPr="005E3402">
        <w:rPr>
          <w:rFonts w:ascii="Arial" w:hAnsi="Arial" w:cs="Arial"/>
        </w:rPr>
        <w:t xml:space="preserve"> leadership and culture as pivotal </w:t>
      </w:r>
      <w:proofErr w:type="spellStart"/>
      <w:r w:rsidRPr="005E3402">
        <w:rPr>
          <w:rFonts w:ascii="Arial" w:hAnsi="Arial" w:cs="Arial"/>
        </w:rPr>
        <w:t>organisational</w:t>
      </w:r>
      <w:proofErr w:type="spellEnd"/>
      <w:r w:rsidRPr="005E3402">
        <w:rPr>
          <w:rFonts w:ascii="Arial" w:hAnsi="Arial" w:cs="Arial"/>
        </w:rPr>
        <w:t xml:space="preserve"> resources that buffer the negative effects of job demands. A study by </w:t>
      </w:r>
      <w:proofErr w:type="spellStart"/>
      <w:r w:rsidRPr="005E3402">
        <w:rPr>
          <w:rFonts w:ascii="Arial" w:hAnsi="Arial" w:cs="Arial"/>
        </w:rPr>
        <w:t>Kinman</w:t>
      </w:r>
      <w:proofErr w:type="spellEnd"/>
      <w:r w:rsidRPr="005E3402">
        <w:rPr>
          <w:rFonts w:ascii="Arial" w:hAnsi="Arial" w:cs="Arial"/>
        </w:rPr>
        <w:t xml:space="preserve"> and </w:t>
      </w:r>
      <w:proofErr w:type="spellStart"/>
      <w:r w:rsidRPr="005E3402">
        <w:rPr>
          <w:rFonts w:ascii="Arial" w:hAnsi="Arial" w:cs="Arial"/>
        </w:rPr>
        <w:t>Teoh</w:t>
      </w:r>
      <w:proofErr w:type="spellEnd"/>
      <w:r w:rsidRPr="005E3402">
        <w:rPr>
          <w:rFonts w:ascii="Arial" w:hAnsi="Arial" w:cs="Arial"/>
        </w:rPr>
        <w:t xml:space="preserve"> (2021) found that Trusts with strong wellbeing-focused leadership experienced fewer instances of staff stress, even in high-demand environments such as emergency departments and intensive care units. This suggests that culture is not just a backdrop but a functional moderator of workforce wellbeing outcomes.</w:t>
      </w:r>
    </w:p>
    <w:p w14:paraId="622631B6" w14:textId="77777777" w:rsidR="005E3402" w:rsidRPr="005E3402" w:rsidRDefault="005E3402" w:rsidP="005E3402">
      <w:pPr>
        <w:pStyle w:val="NormalWeb"/>
        <w:rPr>
          <w:rFonts w:ascii="Arial" w:hAnsi="Arial" w:cs="Arial"/>
        </w:rPr>
      </w:pPr>
      <w:r w:rsidRPr="005E3402">
        <w:rPr>
          <w:rFonts w:ascii="Arial" w:hAnsi="Arial" w:cs="Arial"/>
        </w:rPr>
        <w:t xml:space="preserve">International comparisons further reinforce the importance of culture and leadership. In Australia, the development of “wellbeing charters” co-designed with staff has helped embed shared values into hospital governance, while in the United States, health systems such as Kaiser Permanente and the Mayo Clinic have </w:t>
      </w:r>
      <w:proofErr w:type="spellStart"/>
      <w:r w:rsidRPr="005E3402">
        <w:rPr>
          <w:rFonts w:ascii="Arial" w:hAnsi="Arial" w:cs="Arial"/>
        </w:rPr>
        <w:t>institutionalised</w:t>
      </w:r>
      <w:proofErr w:type="spellEnd"/>
      <w:r w:rsidRPr="005E3402">
        <w:rPr>
          <w:rFonts w:ascii="Arial" w:hAnsi="Arial" w:cs="Arial"/>
        </w:rPr>
        <w:t xml:space="preserve"> wellbeing as a strategic leadership priority, tracking its progress alongside clinical performance indicators (NAM, 2022). These initiatives demonstrate that where wellbeing is a board-level concern, culture shifts can occur at scale, resulting in measurable improvements in both staff experience and patient outcomes.</w:t>
      </w:r>
    </w:p>
    <w:p w14:paraId="6E4DF725" w14:textId="77777777" w:rsidR="005E3402" w:rsidRPr="005E3402" w:rsidRDefault="005E3402" w:rsidP="005E3402">
      <w:pPr>
        <w:pStyle w:val="NormalWeb"/>
        <w:rPr>
          <w:rFonts w:ascii="Arial" w:hAnsi="Arial" w:cs="Arial"/>
        </w:rPr>
      </w:pPr>
      <w:r w:rsidRPr="005E3402">
        <w:rPr>
          <w:rFonts w:ascii="Arial" w:hAnsi="Arial" w:cs="Arial"/>
        </w:rPr>
        <w:t>However, the UK health and social care sector continues to face challenges in developing and sustaining positive cultures. A 2022 CQC report identified ongoing concerns about “toxic microcultures” within certain NHS departments, where bullying, discrimination, or managerial neglect were reported by staff, particularly among those from minority ethnic backgrounds. These microcultures often exist despite the presence of overarching wellbeing policies, indicating a disconnect between strategic intent and lived experience. Addressing these disparities requires not only cultural reform but also structural interventions, including leadership training, accountability mechanisms, and diversity-focused policy enforcement.</w:t>
      </w:r>
    </w:p>
    <w:p w14:paraId="400F3316" w14:textId="77777777" w:rsidR="005E3402" w:rsidRPr="005E3402" w:rsidRDefault="005E3402" w:rsidP="005E3402">
      <w:pPr>
        <w:pStyle w:val="NormalWeb"/>
        <w:rPr>
          <w:rFonts w:ascii="Arial" w:hAnsi="Arial" w:cs="Arial"/>
        </w:rPr>
      </w:pPr>
      <w:r w:rsidRPr="005E3402">
        <w:rPr>
          <w:rFonts w:ascii="Arial" w:hAnsi="Arial" w:cs="Arial"/>
        </w:rPr>
        <w:t xml:space="preserve">Moreover, </w:t>
      </w:r>
      <w:r w:rsidRPr="005E3402">
        <w:rPr>
          <w:rStyle w:val="Strong"/>
          <w:rFonts w:ascii="Arial" w:hAnsi="Arial" w:cs="Arial"/>
        </w:rPr>
        <w:t>Maslow’s Hierarchy of Needs</w:t>
      </w:r>
      <w:r w:rsidRPr="005E3402">
        <w:rPr>
          <w:rFonts w:ascii="Arial" w:hAnsi="Arial" w:cs="Arial"/>
        </w:rPr>
        <w:t xml:space="preserve"> suggests that </w:t>
      </w:r>
      <w:proofErr w:type="spellStart"/>
      <w:r w:rsidRPr="005E3402">
        <w:rPr>
          <w:rFonts w:ascii="Arial" w:hAnsi="Arial" w:cs="Arial"/>
        </w:rPr>
        <w:t>organisational</w:t>
      </w:r>
      <w:proofErr w:type="spellEnd"/>
      <w:r w:rsidRPr="005E3402">
        <w:rPr>
          <w:rFonts w:ascii="Arial" w:hAnsi="Arial" w:cs="Arial"/>
        </w:rPr>
        <w:t xml:space="preserve"> culture directly influences whether staff can meet their needs for belonging, esteem, and </w:t>
      </w:r>
      <w:proofErr w:type="spellStart"/>
      <w:r w:rsidRPr="005E3402">
        <w:rPr>
          <w:rFonts w:ascii="Arial" w:hAnsi="Arial" w:cs="Arial"/>
        </w:rPr>
        <w:t>self-actualisation</w:t>
      </w:r>
      <w:proofErr w:type="spellEnd"/>
      <w:r w:rsidRPr="005E3402">
        <w:rPr>
          <w:rFonts w:ascii="Arial" w:hAnsi="Arial" w:cs="Arial"/>
        </w:rPr>
        <w:t xml:space="preserve"> within the workplace. Cultures that promote inclusion, recognition, and purpose allow staff to thrive, while those </w:t>
      </w:r>
      <w:proofErr w:type="spellStart"/>
      <w:r w:rsidRPr="005E3402">
        <w:rPr>
          <w:rFonts w:ascii="Arial" w:hAnsi="Arial" w:cs="Arial"/>
        </w:rPr>
        <w:t>characterised</w:t>
      </w:r>
      <w:proofErr w:type="spellEnd"/>
      <w:r w:rsidRPr="005E3402">
        <w:rPr>
          <w:rFonts w:ascii="Arial" w:hAnsi="Arial" w:cs="Arial"/>
        </w:rPr>
        <w:t xml:space="preserve"> by isolation, fear, or neglect inhibit not only individual wellbeing but also team cohesion and care quality.</w:t>
      </w:r>
    </w:p>
    <w:p w14:paraId="2227BB85" w14:textId="77777777" w:rsidR="005E3402" w:rsidRPr="005E3402" w:rsidRDefault="005E3402" w:rsidP="005E3402">
      <w:pPr>
        <w:pStyle w:val="NormalWeb"/>
        <w:rPr>
          <w:rFonts w:ascii="Arial" w:hAnsi="Arial" w:cs="Arial"/>
        </w:rPr>
      </w:pPr>
      <w:r w:rsidRPr="005E3402">
        <w:rPr>
          <w:rFonts w:ascii="Arial" w:hAnsi="Arial" w:cs="Arial"/>
        </w:rPr>
        <w:t xml:space="preserve">In summary, </w:t>
      </w:r>
      <w:proofErr w:type="spellStart"/>
      <w:r w:rsidRPr="005E3402">
        <w:rPr>
          <w:rFonts w:ascii="Arial" w:hAnsi="Arial" w:cs="Arial"/>
        </w:rPr>
        <w:t>organisational</w:t>
      </w:r>
      <w:proofErr w:type="spellEnd"/>
      <w:r w:rsidRPr="005E3402">
        <w:rPr>
          <w:rFonts w:ascii="Arial" w:hAnsi="Arial" w:cs="Arial"/>
        </w:rPr>
        <w:t xml:space="preserve"> culture and leadership are critical mediators of both staff wellbeing and care quality. Cultures that embody compassion, transparency, and empowerment enhance not only the working lives of staff but also the safety and effectiveness of the care they provide. While national frameworks such as the NHS Workforce Wellbeing Framework offer valuable guidance, the challenge lies in their consistent and authentic implementation. Leadership development, inclusive governance, and cultural accountability must therefore remain central to any strategy aimed at improving care through workforce wellbeing.</w:t>
      </w:r>
    </w:p>
    <w:p w14:paraId="6DD137DB" w14:textId="77777777" w:rsidR="005E3402" w:rsidRPr="005E3402" w:rsidRDefault="005E3402" w:rsidP="005E3402">
      <w:pPr>
        <w:pStyle w:val="Heading3"/>
        <w:rPr>
          <w:rFonts w:ascii="Arial" w:hAnsi="Arial" w:cs="Arial"/>
        </w:rPr>
      </w:pPr>
      <w:bookmarkStart w:id="39" w:name="_Toc215093019"/>
      <w:r w:rsidRPr="005E3402">
        <w:rPr>
          <w:rFonts w:ascii="Arial" w:hAnsi="Arial" w:cs="Arial"/>
        </w:rPr>
        <w:t>4.6 Policy-Practice Gaps and Systemic Constraints</w:t>
      </w:r>
      <w:bookmarkEnd w:id="39"/>
    </w:p>
    <w:p w14:paraId="0E58AD5F" w14:textId="77777777" w:rsidR="005E3402" w:rsidRPr="005E3402" w:rsidRDefault="005E3402" w:rsidP="005E3402">
      <w:pPr>
        <w:pStyle w:val="NormalWeb"/>
        <w:rPr>
          <w:rFonts w:ascii="Arial" w:hAnsi="Arial" w:cs="Arial"/>
        </w:rPr>
      </w:pPr>
      <w:r w:rsidRPr="005E3402">
        <w:rPr>
          <w:rFonts w:ascii="Arial" w:hAnsi="Arial" w:cs="Arial"/>
        </w:rPr>
        <w:t xml:space="preserve">While </w:t>
      </w:r>
      <w:proofErr w:type="spellStart"/>
      <w:r w:rsidRPr="005E3402">
        <w:rPr>
          <w:rFonts w:ascii="Arial" w:hAnsi="Arial" w:cs="Arial"/>
        </w:rPr>
        <w:t>organisational</w:t>
      </w:r>
      <w:proofErr w:type="spellEnd"/>
      <w:r w:rsidRPr="005E3402">
        <w:rPr>
          <w:rFonts w:ascii="Arial" w:hAnsi="Arial" w:cs="Arial"/>
        </w:rPr>
        <w:t xml:space="preserve"> culture and leadership provide the internal scaffolding for workforce wellbeing, broader </w:t>
      </w:r>
      <w:r w:rsidRPr="005E3402">
        <w:rPr>
          <w:rStyle w:val="Strong"/>
          <w:rFonts w:ascii="Arial" w:hAnsi="Arial" w:cs="Arial"/>
        </w:rPr>
        <w:t>structural and systemic issues</w:t>
      </w:r>
      <w:r w:rsidRPr="005E3402">
        <w:rPr>
          <w:rFonts w:ascii="Arial" w:hAnsi="Arial" w:cs="Arial"/>
        </w:rPr>
        <w:t xml:space="preserve"> significantly constrain the ability of health and social care settings to deliver both staff support and high-quality care. The theme of </w:t>
      </w:r>
      <w:r w:rsidRPr="005E3402">
        <w:rPr>
          <w:rStyle w:val="Strong"/>
          <w:rFonts w:ascii="Arial" w:hAnsi="Arial" w:cs="Arial"/>
        </w:rPr>
        <w:t>policy-practice disconnects</w:t>
      </w:r>
      <w:r w:rsidRPr="005E3402">
        <w:rPr>
          <w:rFonts w:ascii="Arial" w:hAnsi="Arial" w:cs="Arial"/>
        </w:rPr>
        <w:t xml:space="preserve"> emerged strongly across the literature, particularly in relation to national frameworks such as the </w:t>
      </w:r>
      <w:r w:rsidRPr="005E3402">
        <w:rPr>
          <w:rStyle w:val="Strong"/>
          <w:rFonts w:ascii="Arial" w:hAnsi="Arial" w:cs="Arial"/>
        </w:rPr>
        <w:t>NHS Workforce Wellbeing Framework</w:t>
      </w:r>
      <w:r w:rsidRPr="005E3402">
        <w:rPr>
          <w:rFonts w:ascii="Arial" w:hAnsi="Arial" w:cs="Arial"/>
        </w:rPr>
        <w:t xml:space="preserve">, the </w:t>
      </w:r>
      <w:r w:rsidRPr="005E3402">
        <w:rPr>
          <w:rStyle w:val="Strong"/>
          <w:rFonts w:ascii="Arial" w:hAnsi="Arial" w:cs="Arial"/>
        </w:rPr>
        <w:t>People Plan (2020/21)</w:t>
      </w:r>
      <w:r w:rsidRPr="005E3402">
        <w:rPr>
          <w:rFonts w:ascii="Arial" w:hAnsi="Arial" w:cs="Arial"/>
        </w:rPr>
        <w:t xml:space="preserve">, and the </w:t>
      </w:r>
      <w:r w:rsidRPr="005E3402">
        <w:rPr>
          <w:rStyle w:val="Strong"/>
          <w:rFonts w:ascii="Arial" w:hAnsi="Arial" w:cs="Arial"/>
        </w:rPr>
        <w:t>Interim NHS Workforce Plan (2023)</w:t>
      </w:r>
      <w:r w:rsidRPr="005E3402">
        <w:rPr>
          <w:rFonts w:ascii="Arial" w:hAnsi="Arial" w:cs="Arial"/>
        </w:rPr>
        <w:t xml:space="preserve">. These documents articulate a strong rhetorical commitment to staff wellbeing and </w:t>
      </w:r>
      <w:proofErr w:type="spellStart"/>
      <w:r w:rsidRPr="005E3402">
        <w:rPr>
          <w:rFonts w:ascii="Arial" w:hAnsi="Arial" w:cs="Arial"/>
        </w:rPr>
        <w:t>patient-centred</w:t>
      </w:r>
      <w:proofErr w:type="spellEnd"/>
      <w:r w:rsidRPr="005E3402">
        <w:rPr>
          <w:rFonts w:ascii="Arial" w:hAnsi="Arial" w:cs="Arial"/>
        </w:rPr>
        <w:t xml:space="preserve"> care, yet their translation into daily practice remains uneven, under-resourced, and frequently undermined by operational pressures.</w:t>
      </w:r>
    </w:p>
    <w:p w14:paraId="7AFFBCB2" w14:textId="77777777" w:rsidR="005E3402" w:rsidRPr="005E3402" w:rsidRDefault="005E3402" w:rsidP="005E3402">
      <w:pPr>
        <w:pStyle w:val="NormalWeb"/>
        <w:rPr>
          <w:rFonts w:ascii="Arial" w:hAnsi="Arial" w:cs="Arial"/>
        </w:rPr>
      </w:pPr>
      <w:r w:rsidRPr="005E3402">
        <w:rPr>
          <w:rFonts w:ascii="Arial" w:hAnsi="Arial" w:cs="Arial"/>
        </w:rPr>
        <w:t xml:space="preserve">One of the most pressing systemic challenges is </w:t>
      </w:r>
      <w:r w:rsidRPr="005E3402">
        <w:rPr>
          <w:rStyle w:val="Strong"/>
          <w:rFonts w:ascii="Arial" w:hAnsi="Arial" w:cs="Arial"/>
        </w:rPr>
        <w:t>chronic understaffing</w:t>
      </w:r>
      <w:r w:rsidRPr="005E3402">
        <w:rPr>
          <w:rFonts w:ascii="Arial" w:hAnsi="Arial" w:cs="Arial"/>
        </w:rPr>
        <w:t>, a problem that has intensified since the COVID-19 pandemic. According to NHS Digital (2023), there were over 110,000 unfilled posts in the NHS in England alone, with shortages most acute in nursing, mental health, and social care roles. Staff shortages not only increase workloads but also reduce opportunities for rest, reflection, and support—undermining any attempts to promote wellbeing at a structural level. Several studies, including the work of Buchan et al. (2022), highlight a direct correlation between staff-to-patient ratios and care quality indicators, such as infection control, medication errors, and patient satisfaction.</w:t>
      </w:r>
    </w:p>
    <w:p w14:paraId="3FF6F8CB" w14:textId="77777777" w:rsidR="005E3402" w:rsidRPr="005E3402" w:rsidRDefault="005E3402" w:rsidP="005E3402">
      <w:pPr>
        <w:pStyle w:val="NormalWeb"/>
        <w:rPr>
          <w:rFonts w:ascii="Arial" w:hAnsi="Arial" w:cs="Arial"/>
        </w:rPr>
      </w:pPr>
      <w:r w:rsidRPr="005E3402">
        <w:rPr>
          <w:rFonts w:ascii="Arial" w:hAnsi="Arial" w:cs="Arial"/>
        </w:rPr>
        <w:t xml:space="preserve">This crisis is compounded by </w:t>
      </w:r>
      <w:r w:rsidRPr="005E3402">
        <w:rPr>
          <w:rStyle w:val="Strong"/>
          <w:rFonts w:ascii="Arial" w:hAnsi="Arial" w:cs="Arial"/>
        </w:rPr>
        <w:t>underfunding</w:t>
      </w:r>
      <w:r w:rsidRPr="005E3402">
        <w:rPr>
          <w:rFonts w:ascii="Arial" w:hAnsi="Arial" w:cs="Arial"/>
        </w:rPr>
        <w:t xml:space="preserve"> and </w:t>
      </w:r>
      <w:r w:rsidRPr="005E3402">
        <w:rPr>
          <w:rStyle w:val="Strong"/>
          <w:rFonts w:ascii="Arial" w:hAnsi="Arial" w:cs="Arial"/>
        </w:rPr>
        <w:t>fragmented commissioning</w:t>
      </w:r>
      <w:r w:rsidRPr="005E3402">
        <w:rPr>
          <w:rFonts w:ascii="Arial" w:hAnsi="Arial" w:cs="Arial"/>
        </w:rPr>
        <w:t>, particularly in social care, where local authorities operate under severe budgetary constraints. The King’s Fund (2023) notes that despite multiple reviews and policy recommendations, long-term sustainable funding for social care remains elusive. Care providers are often forced to make trade-offs between staffing levels, training investment, and basic care provision. This environment creates conditions in which both staff wellbeing and care standards deteriorate simultaneously.</w:t>
      </w:r>
    </w:p>
    <w:p w14:paraId="00B34E9B" w14:textId="77777777" w:rsidR="005E3402" w:rsidRPr="005E3402" w:rsidRDefault="005E3402" w:rsidP="005E3402">
      <w:pPr>
        <w:pStyle w:val="NormalWeb"/>
        <w:rPr>
          <w:rFonts w:ascii="Arial" w:hAnsi="Arial" w:cs="Arial"/>
        </w:rPr>
      </w:pPr>
      <w:r w:rsidRPr="005E3402">
        <w:rPr>
          <w:rFonts w:ascii="Arial" w:hAnsi="Arial" w:cs="Arial"/>
        </w:rPr>
        <w:t xml:space="preserve">Another barrier to effective policy implementation is the </w:t>
      </w:r>
      <w:r w:rsidRPr="005E3402">
        <w:rPr>
          <w:rStyle w:val="Strong"/>
          <w:rFonts w:ascii="Arial" w:hAnsi="Arial" w:cs="Arial"/>
        </w:rPr>
        <w:t>disconnect between national strategy and local operational realities</w:t>
      </w:r>
      <w:r w:rsidRPr="005E3402">
        <w:rPr>
          <w:rFonts w:ascii="Arial" w:hAnsi="Arial" w:cs="Arial"/>
        </w:rPr>
        <w:t xml:space="preserve">. While the NHS People Plan promotes flexible working, inclusion, and wellbeing champions, many frontline staff report that these initiatives are inaccessible or inconsistently applied. A survey by the BMA (2023) found that only 22% of respondents felt their </w:t>
      </w:r>
      <w:proofErr w:type="spellStart"/>
      <w:r w:rsidRPr="005E3402">
        <w:rPr>
          <w:rFonts w:ascii="Arial" w:hAnsi="Arial" w:cs="Arial"/>
        </w:rPr>
        <w:t>organisation</w:t>
      </w:r>
      <w:proofErr w:type="spellEnd"/>
      <w:r w:rsidRPr="005E3402">
        <w:rPr>
          <w:rFonts w:ascii="Arial" w:hAnsi="Arial" w:cs="Arial"/>
        </w:rPr>
        <w:t xml:space="preserve"> “actively implemented” the wellbeing strategies outlined in national policy. This gap between strategic intent and operational delivery is often attributed to a lack of managerial capacity, competing targets, and insufficient performance accountability mechanisms.</w:t>
      </w:r>
    </w:p>
    <w:p w14:paraId="79DB2F07" w14:textId="77777777" w:rsidR="005E3402" w:rsidRPr="005E3402" w:rsidRDefault="005E3402" w:rsidP="005E3402">
      <w:pPr>
        <w:pStyle w:val="NormalWeb"/>
        <w:rPr>
          <w:rFonts w:ascii="Arial" w:hAnsi="Arial" w:cs="Arial"/>
        </w:rPr>
      </w:pPr>
      <w:r w:rsidRPr="005E3402">
        <w:rPr>
          <w:rFonts w:ascii="Arial" w:hAnsi="Arial" w:cs="Arial"/>
        </w:rPr>
        <w:t xml:space="preserve">These policy-practice tensions are not unique to the UK. Comparative research from Australia and the United States reveals similar implementation challenges, despite high-level policy commitments to staff wellbeing. In Australia, the National Clinical Governance Framework </w:t>
      </w:r>
      <w:proofErr w:type="spellStart"/>
      <w:r w:rsidRPr="005E3402">
        <w:rPr>
          <w:rFonts w:ascii="Arial" w:hAnsi="Arial" w:cs="Arial"/>
        </w:rPr>
        <w:t>prioritises</w:t>
      </w:r>
      <w:proofErr w:type="spellEnd"/>
      <w:r w:rsidRPr="005E3402">
        <w:rPr>
          <w:rFonts w:ascii="Arial" w:hAnsi="Arial" w:cs="Arial"/>
        </w:rPr>
        <w:t xml:space="preserve"> workforce health, yet local audits found that most services lacked embedded wellbeing metrics (AIHW, 2022). In the US, the National Academy of Medicine (NAM, 2022) called for wellbeing to be treated as a “system-level imperative,” but noted that fee-for-service funding models and short-term cost pressures often </w:t>
      </w:r>
      <w:proofErr w:type="spellStart"/>
      <w:r w:rsidRPr="005E3402">
        <w:rPr>
          <w:rFonts w:ascii="Arial" w:hAnsi="Arial" w:cs="Arial"/>
        </w:rPr>
        <w:t>deprioritise</w:t>
      </w:r>
      <w:proofErr w:type="spellEnd"/>
      <w:r w:rsidRPr="005E3402">
        <w:rPr>
          <w:rFonts w:ascii="Arial" w:hAnsi="Arial" w:cs="Arial"/>
        </w:rPr>
        <w:t xml:space="preserve"> long-term wellbeing investments. These international parallels highlight the structural nature of the wellbeing-care quality challenge.</w:t>
      </w:r>
    </w:p>
    <w:p w14:paraId="68A80B83" w14:textId="77777777" w:rsidR="005E3402" w:rsidRPr="005E3402" w:rsidRDefault="005E3402" w:rsidP="005E3402">
      <w:pPr>
        <w:pStyle w:val="NormalWeb"/>
        <w:rPr>
          <w:rFonts w:ascii="Arial" w:hAnsi="Arial" w:cs="Arial"/>
        </w:rPr>
      </w:pPr>
      <w:r w:rsidRPr="005E3402">
        <w:rPr>
          <w:rFonts w:ascii="Arial" w:hAnsi="Arial" w:cs="Arial"/>
        </w:rPr>
        <w:t xml:space="preserve">Theoretical models reinforce the centrality of structural issues. According to the </w:t>
      </w:r>
      <w:r w:rsidRPr="005E3402">
        <w:rPr>
          <w:rStyle w:val="Strong"/>
          <w:rFonts w:ascii="Arial" w:hAnsi="Arial" w:cs="Arial"/>
        </w:rPr>
        <w:t>Job Demands-Resources (JD-R) model</w:t>
      </w:r>
      <w:r w:rsidRPr="005E3402">
        <w:rPr>
          <w:rFonts w:ascii="Arial" w:hAnsi="Arial" w:cs="Arial"/>
        </w:rPr>
        <w:t xml:space="preserve">, chronic under-resourcing and policy inconsistency deplete essential job resources, increasing the risk of burnout and disengagement. Without systemic resources—such as adequate staffing, fair remuneration, professional development, and clear strategic direction—staff are left vulnerable to emotional exhaustion and moral distress (Bakker &amp; Demerouti, 2017). Similarly, </w:t>
      </w:r>
      <w:r w:rsidRPr="005E3402">
        <w:rPr>
          <w:rStyle w:val="Strong"/>
          <w:rFonts w:ascii="Arial" w:hAnsi="Arial" w:cs="Arial"/>
        </w:rPr>
        <w:t>Maslow’s Hierarchy of Needs</w:t>
      </w:r>
      <w:r w:rsidRPr="005E3402">
        <w:rPr>
          <w:rFonts w:ascii="Arial" w:hAnsi="Arial" w:cs="Arial"/>
        </w:rPr>
        <w:t xml:space="preserve"> implies that basic needs such as job security, safety, and rest must be met before higher-order professional fulfilment and compassionate care can be achieved.</w:t>
      </w:r>
    </w:p>
    <w:p w14:paraId="11CEA298" w14:textId="77777777" w:rsidR="005E3402" w:rsidRPr="005E3402" w:rsidRDefault="005E3402" w:rsidP="005E3402">
      <w:pPr>
        <w:pStyle w:val="NormalWeb"/>
        <w:rPr>
          <w:rFonts w:ascii="Arial" w:hAnsi="Arial" w:cs="Arial"/>
        </w:rPr>
      </w:pPr>
      <w:r w:rsidRPr="005E3402">
        <w:rPr>
          <w:rFonts w:ascii="Arial" w:hAnsi="Arial" w:cs="Arial"/>
        </w:rPr>
        <w:t xml:space="preserve">In terms of </w:t>
      </w:r>
      <w:r w:rsidRPr="005E3402">
        <w:rPr>
          <w:rStyle w:val="Strong"/>
          <w:rFonts w:ascii="Arial" w:hAnsi="Arial" w:cs="Arial"/>
        </w:rPr>
        <w:t>empowerment</w:t>
      </w:r>
      <w:r w:rsidRPr="005E3402">
        <w:rPr>
          <w:rFonts w:ascii="Arial" w:hAnsi="Arial" w:cs="Arial"/>
        </w:rPr>
        <w:t>, inconsistent implementation of staff-led governance and fragmented feedback loops often render staff voices ineffective in influencing change. Several qualitative studies reviewed (e.g., Morrison et al., 2021; CQC, 2022) report that staff often feel “consulted but not heard,” with decision-making power retained at senior or external commissioning levels. This lack of genuine influence undermines both morale and innovation, restricting local capacity to tailor wellbeing interventions to specific staff and service needs.</w:t>
      </w:r>
    </w:p>
    <w:p w14:paraId="3F405A51" w14:textId="77777777" w:rsidR="005E3402" w:rsidRPr="005E3402" w:rsidRDefault="005E3402" w:rsidP="005E3402">
      <w:pPr>
        <w:pStyle w:val="NormalWeb"/>
        <w:rPr>
          <w:rFonts w:ascii="Arial" w:hAnsi="Arial" w:cs="Arial"/>
        </w:rPr>
      </w:pPr>
      <w:r w:rsidRPr="005E3402">
        <w:rPr>
          <w:rFonts w:ascii="Arial" w:hAnsi="Arial" w:cs="Arial"/>
        </w:rPr>
        <w:t xml:space="preserve">Addressing these systemic barriers requires policy alignment, investment, and cultural change. There is growing consensus that wellbeing must be treated not as an adjunct to operational planning, but as a </w:t>
      </w:r>
      <w:r w:rsidRPr="005E3402">
        <w:rPr>
          <w:rStyle w:val="Strong"/>
          <w:rFonts w:ascii="Arial" w:hAnsi="Arial" w:cs="Arial"/>
        </w:rPr>
        <w:t>core strategic objective</w:t>
      </w:r>
      <w:r w:rsidRPr="005E3402">
        <w:rPr>
          <w:rFonts w:ascii="Arial" w:hAnsi="Arial" w:cs="Arial"/>
        </w:rPr>
        <w:t xml:space="preserve"> with dedicated budgets, metrics, and accountability structures (West et al., 2020). Recent pilots, such as NHS England’s Integrated Care Systems (ICSs), show promise in linking workforce planning with service outcomes, but robust evaluation is needed to determine their scalability and equity of impact.</w:t>
      </w:r>
    </w:p>
    <w:p w14:paraId="22D598A3" w14:textId="77777777" w:rsidR="005E3402" w:rsidRPr="005E3402" w:rsidRDefault="005E3402" w:rsidP="005E3402">
      <w:pPr>
        <w:pStyle w:val="NormalWeb"/>
        <w:rPr>
          <w:rFonts w:ascii="Arial" w:hAnsi="Arial" w:cs="Arial"/>
        </w:rPr>
      </w:pPr>
      <w:r w:rsidRPr="005E3402">
        <w:rPr>
          <w:rFonts w:ascii="Arial" w:hAnsi="Arial" w:cs="Arial"/>
        </w:rPr>
        <w:t>In conclusion, the effectiveness of any wellbeing initiative is constrained or enabled by the broader policy and structural context in which it is embedded. Without sustained attention to staffing, funding, implementation fidelity, and system-wide alignment, wellbeing frameworks risk remaining symbolic rather than transformative. Bridging the policy-practice divide is therefore essential to advancing both workforce health and care quality.</w:t>
      </w:r>
    </w:p>
    <w:p w14:paraId="364C2AC5" w14:textId="77777777" w:rsidR="005E3402" w:rsidRPr="005E3402" w:rsidRDefault="005E3402" w:rsidP="005E3402">
      <w:pPr>
        <w:pStyle w:val="NormalWeb"/>
        <w:rPr>
          <w:rFonts w:ascii="Arial" w:hAnsi="Arial" w:cs="Arial"/>
        </w:rPr>
      </w:pPr>
      <w:r w:rsidRPr="005E3402">
        <w:rPr>
          <w:rFonts w:ascii="Arial" w:hAnsi="Arial" w:cs="Arial"/>
        </w:rPr>
        <w:t xml:space="preserve">This chapter presented the thematic findings from the scoping review, illustrating the multifaceted relationship between workforce wellbeing and quality of care in health and social care settings. Five core themes were explored: burnout, psychological safety, empowerment, </w:t>
      </w:r>
      <w:proofErr w:type="spellStart"/>
      <w:r w:rsidRPr="005E3402">
        <w:rPr>
          <w:rFonts w:ascii="Arial" w:hAnsi="Arial" w:cs="Arial"/>
        </w:rPr>
        <w:t>organisational</w:t>
      </w:r>
      <w:proofErr w:type="spellEnd"/>
      <w:r w:rsidRPr="005E3402">
        <w:rPr>
          <w:rFonts w:ascii="Arial" w:hAnsi="Arial" w:cs="Arial"/>
        </w:rPr>
        <w:t xml:space="preserve"> culture, and policy-practice gaps. These were critically </w:t>
      </w:r>
      <w:proofErr w:type="spellStart"/>
      <w:r w:rsidRPr="005E3402">
        <w:rPr>
          <w:rFonts w:ascii="Arial" w:hAnsi="Arial" w:cs="Arial"/>
        </w:rPr>
        <w:t>analysed</w:t>
      </w:r>
      <w:proofErr w:type="spellEnd"/>
      <w:r w:rsidRPr="005E3402">
        <w:rPr>
          <w:rFonts w:ascii="Arial" w:hAnsi="Arial" w:cs="Arial"/>
        </w:rPr>
        <w:t xml:space="preserve"> through the lens of established theories and frameworks, including Maslow’s Hierarchy of Needs, the Job Demands-Resources model, Empowerment Theory, and the NHS Workforce Wellbeing Framework.</w:t>
      </w:r>
    </w:p>
    <w:p w14:paraId="23118FB9" w14:textId="77777777" w:rsidR="005E3402" w:rsidRPr="005E3402" w:rsidRDefault="005E3402" w:rsidP="005E3402">
      <w:pPr>
        <w:pStyle w:val="NormalWeb"/>
        <w:rPr>
          <w:rFonts w:ascii="Arial" w:hAnsi="Arial" w:cs="Arial"/>
        </w:rPr>
      </w:pPr>
      <w:r w:rsidRPr="005E3402">
        <w:rPr>
          <w:rFonts w:ascii="Arial" w:hAnsi="Arial" w:cs="Arial"/>
        </w:rPr>
        <w:t xml:space="preserve">Collectively, the findings affirm that workforce wellbeing is not only a matter of individual resilience or workplace amenities, but a structural and systemic concern that demands leadership commitment, cultural transformation, and policy coherence. The next chapter will translate these insights into actionable </w:t>
      </w:r>
      <w:r w:rsidRPr="005E3402">
        <w:rPr>
          <w:rStyle w:val="Strong"/>
          <w:rFonts w:ascii="Arial" w:hAnsi="Arial" w:cs="Arial"/>
        </w:rPr>
        <w:t>recommendations and conclusions</w:t>
      </w:r>
      <w:r w:rsidRPr="005E3402">
        <w:rPr>
          <w:rFonts w:ascii="Arial" w:hAnsi="Arial" w:cs="Arial"/>
        </w:rPr>
        <w:t xml:space="preserve">, </w:t>
      </w:r>
      <w:proofErr w:type="spellStart"/>
      <w:r w:rsidRPr="005E3402">
        <w:rPr>
          <w:rFonts w:ascii="Arial" w:hAnsi="Arial" w:cs="Arial"/>
        </w:rPr>
        <w:t>synthesising</w:t>
      </w:r>
      <w:proofErr w:type="spellEnd"/>
      <w:r w:rsidRPr="005E3402">
        <w:rPr>
          <w:rFonts w:ascii="Arial" w:hAnsi="Arial" w:cs="Arial"/>
        </w:rPr>
        <w:t xml:space="preserve"> how health and social care providers—and policy makers—can move from understanding to implementation.</w:t>
      </w:r>
    </w:p>
    <w:p w14:paraId="34F0B096" w14:textId="7946BFE1" w:rsidR="005E3402" w:rsidRPr="003F425F" w:rsidRDefault="005E3402" w:rsidP="003F425F">
      <w:pPr>
        <w:pStyle w:val="Heading3"/>
        <w:rPr>
          <w:rFonts w:ascii="Arial" w:hAnsi="Arial" w:cs="Arial"/>
        </w:rPr>
      </w:pPr>
      <w:bookmarkStart w:id="40" w:name="_Toc215093021"/>
      <w:r w:rsidRPr="003F425F">
        <w:rPr>
          <w:rFonts w:ascii="Arial" w:hAnsi="Arial" w:cs="Arial"/>
        </w:rPr>
        <w:t>CHAPTER 5: RECOMMENDATIONS AND CONCLUSION</w:t>
      </w:r>
      <w:bookmarkEnd w:id="40"/>
    </w:p>
    <w:p w14:paraId="10B345D5" w14:textId="77777777" w:rsidR="005E3402" w:rsidRPr="005E3402" w:rsidRDefault="005E3402" w:rsidP="005E3402">
      <w:pPr>
        <w:pStyle w:val="Heading3"/>
        <w:rPr>
          <w:rFonts w:ascii="Arial" w:hAnsi="Arial" w:cs="Arial"/>
        </w:rPr>
      </w:pPr>
      <w:bookmarkStart w:id="41" w:name="_Toc215093022"/>
      <w:r w:rsidRPr="005E3402">
        <w:rPr>
          <w:rFonts w:ascii="Arial" w:hAnsi="Arial" w:cs="Arial"/>
        </w:rPr>
        <w:t>5.1 Overview of Key Findings</w:t>
      </w:r>
      <w:bookmarkEnd w:id="41"/>
    </w:p>
    <w:p w14:paraId="488ABFF7" w14:textId="77777777" w:rsidR="005E3402" w:rsidRPr="005E3402" w:rsidRDefault="005E3402" w:rsidP="005E3402">
      <w:pPr>
        <w:pStyle w:val="NormalWeb"/>
        <w:rPr>
          <w:rFonts w:ascii="Arial" w:hAnsi="Arial" w:cs="Arial"/>
        </w:rPr>
      </w:pPr>
      <w:r w:rsidRPr="005E3402">
        <w:rPr>
          <w:rFonts w:ascii="Arial" w:hAnsi="Arial" w:cs="Arial"/>
        </w:rPr>
        <w:t xml:space="preserve">This dissertation set out to explore the relationship between </w:t>
      </w:r>
      <w:r w:rsidRPr="005E3402">
        <w:rPr>
          <w:rStyle w:val="Strong"/>
          <w:rFonts w:ascii="Arial" w:hAnsi="Arial" w:cs="Arial"/>
        </w:rPr>
        <w:t>workforce wellbeing</w:t>
      </w:r>
      <w:r w:rsidRPr="005E3402">
        <w:rPr>
          <w:rFonts w:ascii="Arial" w:hAnsi="Arial" w:cs="Arial"/>
        </w:rPr>
        <w:t xml:space="preserve"> and </w:t>
      </w:r>
      <w:r w:rsidRPr="005E3402">
        <w:rPr>
          <w:rStyle w:val="Strong"/>
          <w:rFonts w:ascii="Arial" w:hAnsi="Arial" w:cs="Arial"/>
        </w:rPr>
        <w:t>quality of care</w:t>
      </w:r>
      <w:r w:rsidRPr="005E3402">
        <w:rPr>
          <w:rFonts w:ascii="Arial" w:hAnsi="Arial" w:cs="Arial"/>
        </w:rPr>
        <w:t xml:space="preserve"> in health and social care settings, using a scoping review methodology grounded in post-2020 literature and policy analysis. The findings revealed that workforce wellbeing is not only a significant determinant of care quality but also a complex, systemic issue influenced by multiple factors, including leadership, empowerment, psychological safety, and </w:t>
      </w:r>
      <w:proofErr w:type="spellStart"/>
      <w:r w:rsidRPr="005E3402">
        <w:rPr>
          <w:rFonts w:ascii="Arial" w:hAnsi="Arial" w:cs="Arial"/>
        </w:rPr>
        <w:t>organisational</w:t>
      </w:r>
      <w:proofErr w:type="spellEnd"/>
      <w:r w:rsidRPr="005E3402">
        <w:rPr>
          <w:rFonts w:ascii="Arial" w:hAnsi="Arial" w:cs="Arial"/>
        </w:rPr>
        <w:t xml:space="preserve"> culture.</w:t>
      </w:r>
    </w:p>
    <w:p w14:paraId="0DF33A6E" w14:textId="77777777" w:rsidR="005E3402" w:rsidRPr="005E3402" w:rsidRDefault="005E3402" w:rsidP="005E3402">
      <w:pPr>
        <w:pStyle w:val="NormalWeb"/>
        <w:rPr>
          <w:rFonts w:ascii="Arial" w:hAnsi="Arial" w:cs="Arial"/>
        </w:rPr>
      </w:pPr>
      <w:r w:rsidRPr="005E3402">
        <w:rPr>
          <w:rFonts w:ascii="Arial" w:hAnsi="Arial" w:cs="Arial"/>
        </w:rPr>
        <w:t xml:space="preserve">Burnout emerged as one of the most prevalent threats to staff wellbeing, with strong evidence linking it to poorer patient outcomes, safety incidents, and reduced engagement. Psychological safety was identified as a critical enabler of effective teamwork, learning, and compassionate care, particularly when embedded through inclusive leadership and supportive structures. Empowerment and autonomy were shown to improve job satisfaction and professional fulfilment, while also enhancing care effectiveness. </w:t>
      </w:r>
      <w:proofErr w:type="spellStart"/>
      <w:r w:rsidRPr="005E3402">
        <w:rPr>
          <w:rFonts w:ascii="Arial" w:hAnsi="Arial" w:cs="Arial"/>
        </w:rPr>
        <w:t>Organisational</w:t>
      </w:r>
      <w:proofErr w:type="spellEnd"/>
      <w:r w:rsidRPr="005E3402">
        <w:rPr>
          <w:rFonts w:ascii="Arial" w:hAnsi="Arial" w:cs="Arial"/>
        </w:rPr>
        <w:t xml:space="preserve"> culture and leadership set the tone for these dynamics, and their role was found to be essential in creating sustainable wellbeing conditions.</w:t>
      </w:r>
    </w:p>
    <w:p w14:paraId="14DE1E7A" w14:textId="72A21386" w:rsidR="005E3402" w:rsidRPr="005E3402" w:rsidRDefault="005E3402" w:rsidP="003F425F">
      <w:pPr>
        <w:pStyle w:val="NormalWeb"/>
        <w:rPr>
          <w:rFonts w:ascii="Arial" w:hAnsi="Arial" w:cs="Arial"/>
        </w:rPr>
      </w:pPr>
      <w:r w:rsidRPr="005E3402">
        <w:rPr>
          <w:rFonts w:ascii="Arial" w:hAnsi="Arial" w:cs="Arial"/>
        </w:rPr>
        <w:t xml:space="preserve">Despite national frameworks such as the NHS Workforce Wellbeing Framework and the People Plan, the review found persistent </w:t>
      </w:r>
      <w:r w:rsidRPr="005E3402">
        <w:rPr>
          <w:rStyle w:val="Strong"/>
          <w:rFonts w:ascii="Arial" w:hAnsi="Arial" w:cs="Arial"/>
        </w:rPr>
        <w:t>policy-practice gaps</w:t>
      </w:r>
      <w:r w:rsidRPr="005E3402">
        <w:rPr>
          <w:rFonts w:ascii="Arial" w:hAnsi="Arial" w:cs="Arial"/>
        </w:rPr>
        <w:t xml:space="preserve"> due to systemic underfunding, staff shortages, and fragmented accountability. These structural issues present significant obstacles to implementing meaningful wellbeing strategies, especially in under-resourced care settings.</w:t>
      </w:r>
    </w:p>
    <w:p w14:paraId="2843DDD4" w14:textId="77777777" w:rsidR="005E3402" w:rsidRPr="005E3402" w:rsidRDefault="005E3402" w:rsidP="005E3402">
      <w:pPr>
        <w:pStyle w:val="Heading3"/>
        <w:rPr>
          <w:rFonts w:ascii="Arial" w:hAnsi="Arial" w:cs="Arial"/>
        </w:rPr>
      </w:pPr>
      <w:bookmarkStart w:id="42" w:name="_Toc215093023"/>
      <w:r w:rsidRPr="005E3402">
        <w:rPr>
          <w:rFonts w:ascii="Arial" w:hAnsi="Arial" w:cs="Arial"/>
        </w:rPr>
        <w:t>5.2 Recommendations</w:t>
      </w:r>
      <w:bookmarkEnd w:id="42"/>
    </w:p>
    <w:p w14:paraId="4EA1C7A3" w14:textId="77777777" w:rsidR="005E3402" w:rsidRPr="005E3402" w:rsidRDefault="005E3402" w:rsidP="005E3402">
      <w:pPr>
        <w:pStyle w:val="NormalWeb"/>
        <w:rPr>
          <w:rFonts w:ascii="Arial" w:hAnsi="Arial" w:cs="Arial"/>
        </w:rPr>
      </w:pPr>
      <w:r w:rsidRPr="005E3402">
        <w:rPr>
          <w:rFonts w:ascii="Arial" w:hAnsi="Arial" w:cs="Arial"/>
        </w:rPr>
        <w:t>Drawing from the findings and theoretical frameworks employed, the following recommendations are proposed to improve workforce wellbeing and, by extension, the quality of care:</w:t>
      </w:r>
    </w:p>
    <w:p w14:paraId="2F7485D8" w14:textId="77777777" w:rsidR="005E3402" w:rsidRPr="005E3402" w:rsidRDefault="005E3402" w:rsidP="005E3402">
      <w:pPr>
        <w:pStyle w:val="Heading4"/>
        <w:rPr>
          <w:rFonts w:ascii="Arial" w:hAnsi="Arial" w:cs="Arial"/>
        </w:rPr>
      </w:pPr>
      <w:r w:rsidRPr="005E3402">
        <w:rPr>
          <w:rFonts w:ascii="Arial" w:hAnsi="Arial" w:cs="Arial"/>
        </w:rPr>
        <w:t xml:space="preserve">1. </w:t>
      </w:r>
      <w:r w:rsidRPr="005E3402">
        <w:rPr>
          <w:rStyle w:val="Strong"/>
          <w:rFonts w:ascii="Arial" w:hAnsi="Arial" w:cs="Arial"/>
          <w:b w:val="0"/>
          <w:bCs w:val="0"/>
        </w:rPr>
        <w:t xml:space="preserve">Embed Wellbeing in </w:t>
      </w:r>
      <w:proofErr w:type="spellStart"/>
      <w:r w:rsidRPr="005E3402">
        <w:rPr>
          <w:rStyle w:val="Strong"/>
          <w:rFonts w:ascii="Arial" w:hAnsi="Arial" w:cs="Arial"/>
          <w:b w:val="0"/>
          <w:bCs w:val="0"/>
        </w:rPr>
        <w:t>Organisational</w:t>
      </w:r>
      <w:proofErr w:type="spellEnd"/>
      <w:r w:rsidRPr="005E3402">
        <w:rPr>
          <w:rStyle w:val="Strong"/>
          <w:rFonts w:ascii="Arial" w:hAnsi="Arial" w:cs="Arial"/>
          <w:b w:val="0"/>
          <w:bCs w:val="0"/>
        </w:rPr>
        <w:t xml:space="preserve"> Strategy</w:t>
      </w:r>
    </w:p>
    <w:p w14:paraId="243F69D7" w14:textId="77777777" w:rsidR="005E3402" w:rsidRPr="005E3402" w:rsidRDefault="005E3402" w:rsidP="005E3402">
      <w:pPr>
        <w:pStyle w:val="NormalWeb"/>
        <w:rPr>
          <w:rFonts w:ascii="Arial" w:hAnsi="Arial" w:cs="Arial"/>
        </w:rPr>
      </w:pPr>
      <w:r w:rsidRPr="005E3402">
        <w:rPr>
          <w:rFonts w:ascii="Arial" w:hAnsi="Arial" w:cs="Arial"/>
        </w:rPr>
        <w:t xml:space="preserve">Workforce wellbeing must be elevated to a strategic priority, embedded in board-level decisions and monitored with the same </w:t>
      </w:r>
      <w:proofErr w:type="spellStart"/>
      <w:r w:rsidRPr="005E3402">
        <w:rPr>
          <w:rFonts w:ascii="Arial" w:hAnsi="Arial" w:cs="Arial"/>
        </w:rPr>
        <w:t>rigour</w:t>
      </w:r>
      <w:proofErr w:type="spellEnd"/>
      <w:r w:rsidRPr="005E3402">
        <w:rPr>
          <w:rFonts w:ascii="Arial" w:hAnsi="Arial" w:cs="Arial"/>
        </w:rPr>
        <w:t xml:space="preserve"> as financial and clinical outcomes. NHS Trusts should adopt </w:t>
      </w:r>
      <w:r w:rsidRPr="005E3402">
        <w:rPr>
          <w:rStyle w:val="Strong"/>
          <w:rFonts w:ascii="Arial" w:hAnsi="Arial" w:cs="Arial"/>
        </w:rPr>
        <w:t>dedicated wellbeing KPIs</w:t>
      </w:r>
      <w:r w:rsidRPr="005E3402">
        <w:rPr>
          <w:rFonts w:ascii="Arial" w:hAnsi="Arial" w:cs="Arial"/>
        </w:rPr>
        <w:t xml:space="preserve"> linked to patient outcomes and staff retention, and ensure that these are reported publicly.</w:t>
      </w:r>
    </w:p>
    <w:p w14:paraId="2FCC23B0" w14:textId="77777777" w:rsidR="005E3402" w:rsidRPr="005E3402" w:rsidRDefault="005E3402" w:rsidP="005E3402">
      <w:pPr>
        <w:pStyle w:val="Heading4"/>
        <w:rPr>
          <w:rFonts w:ascii="Arial" w:hAnsi="Arial" w:cs="Arial"/>
        </w:rPr>
      </w:pPr>
      <w:r w:rsidRPr="005E3402">
        <w:rPr>
          <w:rFonts w:ascii="Arial" w:hAnsi="Arial" w:cs="Arial"/>
        </w:rPr>
        <w:t xml:space="preserve">2. </w:t>
      </w:r>
      <w:r w:rsidRPr="005E3402">
        <w:rPr>
          <w:rStyle w:val="Strong"/>
          <w:rFonts w:ascii="Arial" w:hAnsi="Arial" w:cs="Arial"/>
          <w:b w:val="0"/>
          <w:bCs w:val="0"/>
        </w:rPr>
        <w:t>Invest in Staffing and Resource Allocation</w:t>
      </w:r>
    </w:p>
    <w:p w14:paraId="4581F4D3" w14:textId="77777777" w:rsidR="005E3402" w:rsidRPr="005E3402" w:rsidRDefault="005E3402" w:rsidP="005E3402">
      <w:pPr>
        <w:pStyle w:val="NormalWeb"/>
        <w:rPr>
          <w:rFonts w:ascii="Arial" w:hAnsi="Arial" w:cs="Arial"/>
        </w:rPr>
      </w:pPr>
      <w:r w:rsidRPr="005E3402">
        <w:rPr>
          <w:rFonts w:ascii="Arial" w:hAnsi="Arial" w:cs="Arial"/>
        </w:rPr>
        <w:t>Understaffing remains the most cited barrier to both wellbeing and safe care. Investment is urgently needed in recruitment, staff retention, and skill mix planning. The NHS Long Term Workforce Plan should be fully funded and supported by robust workforce modelling that aligns with service demand.</w:t>
      </w:r>
    </w:p>
    <w:p w14:paraId="259A0CFC" w14:textId="77777777" w:rsidR="005E3402" w:rsidRPr="005E3402" w:rsidRDefault="005E3402" w:rsidP="005E3402">
      <w:pPr>
        <w:pStyle w:val="Heading4"/>
        <w:rPr>
          <w:rFonts w:ascii="Arial" w:hAnsi="Arial" w:cs="Arial"/>
        </w:rPr>
      </w:pPr>
      <w:r w:rsidRPr="005E3402">
        <w:rPr>
          <w:rFonts w:ascii="Arial" w:hAnsi="Arial" w:cs="Arial"/>
        </w:rPr>
        <w:t xml:space="preserve">3. </w:t>
      </w:r>
      <w:r w:rsidRPr="005E3402">
        <w:rPr>
          <w:rStyle w:val="Strong"/>
          <w:rFonts w:ascii="Arial" w:hAnsi="Arial" w:cs="Arial"/>
          <w:b w:val="0"/>
          <w:bCs w:val="0"/>
        </w:rPr>
        <w:t>Foster Empowerment through Shared Governance</w:t>
      </w:r>
    </w:p>
    <w:p w14:paraId="21F0DA38" w14:textId="77777777" w:rsidR="005E3402" w:rsidRPr="005E3402" w:rsidRDefault="005E3402" w:rsidP="005E3402">
      <w:pPr>
        <w:pStyle w:val="NormalWeb"/>
        <w:rPr>
          <w:rFonts w:ascii="Arial" w:hAnsi="Arial" w:cs="Arial"/>
        </w:rPr>
      </w:pPr>
      <w:r w:rsidRPr="005E3402">
        <w:rPr>
          <w:rFonts w:ascii="Arial" w:hAnsi="Arial" w:cs="Arial"/>
        </w:rPr>
        <w:t xml:space="preserve">Health and social care </w:t>
      </w:r>
      <w:proofErr w:type="spellStart"/>
      <w:r w:rsidRPr="005E3402">
        <w:rPr>
          <w:rFonts w:ascii="Arial" w:hAnsi="Arial" w:cs="Arial"/>
        </w:rPr>
        <w:t>organisations</w:t>
      </w:r>
      <w:proofErr w:type="spellEnd"/>
      <w:r w:rsidRPr="005E3402">
        <w:rPr>
          <w:rFonts w:ascii="Arial" w:hAnsi="Arial" w:cs="Arial"/>
        </w:rPr>
        <w:t xml:space="preserve"> should implement </w:t>
      </w:r>
      <w:r w:rsidRPr="005E3402">
        <w:rPr>
          <w:rStyle w:val="Strong"/>
          <w:rFonts w:ascii="Arial" w:hAnsi="Arial" w:cs="Arial"/>
        </w:rPr>
        <w:t>shared governance models</w:t>
      </w:r>
      <w:r w:rsidRPr="005E3402">
        <w:rPr>
          <w:rFonts w:ascii="Arial" w:hAnsi="Arial" w:cs="Arial"/>
        </w:rPr>
        <w:t>, where staff across all roles contribute to policy decisions, service improvement, and innovation. Empowered teams are more engaged, resilient, and patient-focused.</w:t>
      </w:r>
    </w:p>
    <w:p w14:paraId="2FF05270" w14:textId="77777777" w:rsidR="005E3402" w:rsidRPr="005E3402" w:rsidRDefault="005E3402" w:rsidP="005E3402">
      <w:pPr>
        <w:pStyle w:val="Heading4"/>
        <w:rPr>
          <w:rFonts w:ascii="Arial" w:hAnsi="Arial" w:cs="Arial"/>
        </w:rPr>
      </w:pPr>
      <w:r w:rsidRPr="005E3402">
        <w:rPr>
          <w:rFonts w:ascii="Arial" w:hAnsi="Arial" w:cs="Arial"/>
        </w:rPr>
        <w:t xml:space="preserve">4. </w:t>
      </w:r>
      <w:r w:rsidRPr="005E3402">
        <w:rPr>
          <w:rStyle w:val="Strong"/>
          <w:rFonts w:ascii="Arial" w:hAnsi="Arial" w:cs="Arial"/>
          <w:b w:val="0"/>
          <w:bCs w:val="0"/>
        </w:rPr>
        <w:t>Strengthen Inclusive Leadership and Psychological Safety</w:t>
      </w:r>
    </w:p>
    <w:p w14:paraId="31976017" w14:textId="77777777" w:rsidR="005E3402" w:rsidRPr="005E3402" w:rsidRDefault="005E3402" w:rsidP="005E3402">
      <w:pPr>
        <w:pStyle w:val="NormalWeb"/>
        <w:rPr>
          <w:rFonts w:ascii="Arial" w:hAnsi="Arial" w:cs="Arial"/>
        </w:rPr>
      </w:pPr>
      <w:r w:rsidRPr="005E3402">
        <w:rPr>
          <w:rFonts w:ascii="Arial" w:hAnsi="Arial" w:cs="Arial"/>
        </w:rPr>
        <w:t xml:space="preserve">Mandatory training in </w:t>
      </w:r>
      <w:r w:rsidRPr="005E3402">
        <w:rPr>
          <w:rStyle w:val="Strong"/>
          <w:rFonts w:ascii="Arial" w:hAnsi="Arial" w:cs="Arial"/>
        </w:rPr>
        <w:t>inclusive, compassionate leadership</w:t>
      </w:r>
      <w:r w:rsidRPr="005E3402">
        <w:rPr>
          <w:rFonts w:ascii="Arial" w:hAnsi="Arial" w:cs="Arial"/>
        </w:rPr>
        <w:t xml:space="preserve"> should be introduced for all managers and senior leaders. </w:t>
      </w:r>
      <w:proofErr w:type="spellStart"/>
      <w:r w:rsidRPr="005E3402">
        <w:rPr>
          <w:rFonts w:ascii="Arial" w:hAnsi="Arial" w:cs="Arial"/>
        </w:rPr>
        <w:t>Organisational</w:t>
      </w:r>
      <w:proofErr w:type="spellEnd"/>
      <w:r w:rsidRPr="005E3402">
        <w:rPr>
          <w:rFonts w:ascii="Arial" w:hAnsi="Arial" w:cs="Arial"/>
        </w:rPr>
        <w:t xml:space="preserve"> culture audits and regular staff feedback mechanisms should be used to track psychological safety and leadership effectiveness.</w:t>
      </w:r>
    </w:p>
    <w:p w14:paraId="174E1E30" w14:textId="77777777" w:rsidR="005E3402" w:rsidRPr="005E3402" w:rsidRDefault="005E3402" w:rsidP="005E3402">
      <w:pPr>
        <w:pStyle w:val="Heading4"/>
        <w:rPr>
          <w:rFonts w:ascii="Arial" w:hAnsi="Arial" w:cs="Arial"/>
        </w:rPr>
      </w:pPr>
      <w:r w:rsidRPr="005E3402">
        <w:rPr>
          <w:rFonts w:ascii="Arial" w:hAnsi="Arial" w:cs="Arial"/>
        </w:rPr>
        <w:t xml:space="preserve">5. </w:t>
      </w:r>
      <w:r w:rsidRPr="005E3402">
        <w:rPr>
          <w:rStyle w:val="Strong"/>
          <w:rFonts w:ascii="Arial" w:hAnsi="Arial" w:cs="Arial"/>
          <w:b w:val="0"/>
          <w:bCs w:val="0"/>
        </w:rPr>
        <w:t>Tailor Wellbeing Interventions to Local Needs</w:t>
      </w:r>
    </w:p>
    <w:p w14:paraId="2AE8C405" w14:textId="77777777" w:rsidR="005E3402" w:rsidRPr="005E3402" w:rsidRDefault="005E3402" w:rsidP="005E3402">
      <w:pPr>
        <w:pStyle w:val="NormalWeb"/>
        <w:rPr>
          <w:rFonts w:ascii="Arial" w:hAnsi="Arial" w:cs="Arial"/>
        </w:rPr>
      </w:pPr>
      <w:r w:rsidRPr="005E3402">
        <w:rPr>
          <w:rFonts w:ascii="Arial" w:hAnsi="Arial" w:cs="Arial"/>
        </w:rPr>
        <w:t>Wellbeing strategies must be context-specific. While national frameworks provide guidance, implementation must reflect local workforce demographics, service pressures, and cultural dynamics. Co-designing interventions with staff is essential for uptake and sustainability.</w:t>
      </w:r>
    </w:p>
    <w:p w14:paraId="3EB4D094" w14:textId="77777777" w:rsidR="005E3402" w:rsidRPr="005E3402" w:rsidRDefault="005E3402" w:rsidP="005E3402">
      <w:pPr>
        <w:pStyle w:val="Heading4"/>
        <w:rPr>
          <w:rFonts w:ascii="Arial" w:hAnsi="Arial" w:cs="Arial"/>
        </w:rPr>
      </w:pPr>
      <w:r w:rsidRPr="005E3402">
        <w:rPr>
          <w:rFonts w:ascii="Arial" w:hAnsi="Arial" w:cs="Arial"/>
        </w:rPr>
        <w:t xml:space="preserve">6. </w:t>
      </w:r>
      <w:r w:rsidRPr="005E3402">
        <w:rPr>
          <w:rStyle w:val="Strong"/>
          <w:rFonts w:ascii="Arial" w:hAnsi="Arial" w:cs="Arial"/>
          <w:b w:val="0"/>
          <w:bCs w:val="0"/>
        </w:rPr>
        <w:t>Develop Cross-Sector Workforce Collaboration</w:t>
      </w:r>
    </w:p>
    <w:p w14:paraId="39B292A9" w14:textId="77777777" w:rsidR="005E3402" w:rsidRPr="005E3402" w:rsidRDefault="005E3402" w:rsidP="005E3402">
      <w:pPr>
        <w:pStyle w:val="NormalWeb"/>
        <w:rPr>
          <w:rFonts w:ascii="Arial" w:hAnsi="Arial" w:cs="Arial"/>
        </w:rPr>
      </w:pPr>
      <w:r w:rsidRPr="005E3402">
        <w:rPr>
          <w:rFonts w:ascii="Arial" w:hAnsi="Arial" w:cs="Arial"/>
        </w:rPr>
        <w:t>Closer integration between health and social care sectors, including joint training, supervision, and workforce planning, could reduce duplication, improve continuity, and increase morale across the system.</w:t>
      </w:r>
    </w:p>
    <w:p w14:paraId="12B12F85" w14:textId="77777777" w:rsidR="005E3402" w:rsidRPr="005E3402" w:rsidRDefault="005E3402" w:rsidP="005E3402">
      <w:pPr>
        <w:pStyle w:val="Heading4"/>
        <w:rPr>
          <w:rFonts w:ascii="Arial" w:hAnsi="Arial" w:cs="Arial"/>
        </w:rPr>
      </w:pPr>
      <w:r w:rsidRPr="005E3402">
        <w:rPr>
          <w:rFonts w:ascii="Arial" w:hAnsi="Arial" w:cs="Arial"/>
        </w:rPr>
        <w:t xml:space="preserve">7. </w:t>
      </w:r>
      <w:r w:rsidRPr="005E3402">
        <w:rPr>
          <w:rStyle w:val="Strong"/>
          <w:rFonts w:ascii="Arial" w:hAnsi="Arial" w:cs="Arial"/>
          <w:b w:val="0"/>
          <w:bCs w:val="0"/>
        </w:rPr>
        <w:t>Improve Data Infrastructure and Accountability</w:t>
      </w:r>
    </w:p>
    <w:p w14:paraId="3278B7CA" w14:textId="77777777" w:rsidR="005E3402" w:rsidRPr="005E3402" w:rsidRDefault="005E3402" w:rsidP="005E3402">
      <w:pPr>
        <w:pStyle w:val="NormalWeb"/>
        <w:rPr>
          <w:rFonts w:ascii="Arial" w:hAnsi="Arial" w:cs="Arial"/>
        </w:rPr>
      </w:pPr>
      <w:r w:rsidRPr="005E3402">
        <w:rPr>
          <w:rFonts w:ascii="Arial" w:hAnsi="Arial" w:cs="Arial"/>
        </w:rPr>
        <w:t xml:space="preserve">Data collection on staff wellbeing should be </w:t>
      </w:r>
      <w:proofErr w:type="spellStart"/>
      <w:r w:rsidRPr="005E3402">
        <w:rPr>
          <w:rFonts w:ascii="Arial" w:hAnsi="Arial" w:cs="Arial"/>
        </w:rPr>
        <w:t>centralised</w:t>
      </w:r>
      <w:proofErr w:type="spellEnd"/>
      <w:r w:rsidRPr="005E3402">
        <w:rPr>
          <w:rFonts w:ascii="Arial" w:hAnsi="Arial" w:cs="Arial"/>
        </w:rPr>
        <w:t xml:space="preserve"> and </w:t>
      </w:r>
      <w:proofErr w:type="spellStart"/>
      <w:r w:rsidRPr="005E3402">
        <w:rPr>
          <w:rFonts w:ascii="Arial" w:hAnsi="Arial" w:cs="Arial"/>
        </w:rPr>
        <w:t>standardised</w:t>
      </w:r>
      <w:proofErr w:type="spellEnd"/>
      <w:r w:rsidRPr="005E3402">
        <w:rPr>
          <w:rFonts w:ascii="Arial" w:hAnsi="Arial" w:cs="Arial"/>
        </w:rPr>
        <w:t xml:space="preserve"> across the NHS and social care sector. Trusts and providers should be held accountable for improvements, not only via Care Quality Commission (CQC) ratings but through workforce-specific audits.</w:t>
      </w:r>
    </w:p>
    <w:p w14:paraId="5C2F9C3E" w14:textId="77777777" w:rsidR="005E3402" w:rsidRPr="005E3402" w:rsidRDefault="005E3402" w:rsidP="005E3402">
      <w:pPr>
        <w:pStyle w:val="Heading4"/>
        <w:rPr>
          <w:rFonts w:ascii="Arial" w:hAnsi="Arial" w:cs="Arial"/>
        </w:rPr>
      </w:pPr>
      <w:r w:rsidRPr="005E3402">
        <w:rPr>
          <w:rFonts w:ascii="Arial" w:hAnsi="Arial" w:cs="Arial"/>
        </w:rPr>
        <w:t xml:space="preserve">8. </w:t>
      </w:r>
      <w:proofErr w:type="spellStart"/>
      <w:r w:rsidRPr="005E3402">
        <w:rPr>
          <w:rStyle w:val="Strong"/>
          <w:rFonts w:ascii="Arial" w:hAnsi="Arial" w:cs="Arial"/>
          <w:b w:val="0"/>
          <w:bCs w:val="0"/>
        </w:rPr>
        <w:t>Prioritise</w:t>
      </w:r>
      <w:proofErr w:type="spellEnd"/>
      <w:r w:rsidRPr="005E3402">
        <w:rPr>
          <w:rStyle w:val="Strong"/>
          <w:rFonts w:ascii="Arial" w:hAnsi="Arial" w:cs="Arial"/>
          <w:b w:val="0"/>
          <w:bCs w:val="0"/>
        </w:rPr>
        <w:t xml:space="preserve"> Equity in Wellbeing Interventions</w:t>
      </w:r>
    </w:p>
    <w:p w14:paraId="2B04E3AD" w14:textId="5C17AA3B" w:rsidR="005E3402" w:rsidRPr="005E3402" w:rsidRDefault="005E3402" w:rsidP="003F425F">
      <w:pPr>
        <w:pStyle w:val="NormalWeb"/>
        <w:rPr>
          <w:rFonts w:ascii="Arial" w:hAnsi="Arial" w:cs="Arial"/>
        </w:rPr>
      </w:pPr>
      <w:r w:rsidRPr="005E3402">
        <w:rPr>
          <w:rFonts w:ascii="Arial" w:hAnsi="Arial" w:cs="Arial"/>
        </w:rPr>
        <w:t xml:space="preserve">Special attention must be paid to the </w:t>
      </w:r>
      <w:r w:rsidRPr="005E3402">
        <w:rPr>
          <w:rStyle w:val="Strong"/>
          <w:rFonts w:ascii="Arial" w:hAnsi="Arial" w:cs="Arial"/>
        </w:rPr>
        <w:t>differential experiences</w:t>
      </w:r>
      <w:r w:rsidRPr="005E3402">
        <w:rPr>
          <w:rFonts w:ascii="Arial" w:hAnsi="Arial" w:cs="Arial"/>
        </w:rPr>
        <w:t xml:space="preserve"> of staff from minority ethnic backgrounds, women, LGBTQ+ staff, and internationally trained professionals. Anti-racism policies, inclusive leadership, and safe reporting systems are essential for equitable wellbeing.</w:t>
      </w:r>
    </w:p>
    <w:p w14:paraId="759F3C2F" w14:textId="77777777" w:rsidR="005E3402" w:rsidRPr="005E3402" w:rsidRDefault="005E3402" w:rsidP="005E3402">
      <w:pPr>
        <w:pStyle w:val="Heading3"/>
        <w:rPr>
          <w:rFonts w:ascii="Arial" w:hAnsi="Arial" w:cs="Arial"/>
        </w:rPr>
      </w:pPr>
      <w:bookmarkStart w:id="43" w:name="_Toc215093024"/>
      <w:r w:rsidRPr="005E3402">
        <w:rPr>
          <w:rFonts w:ascii="Arial" w:hAnsi="Arial" w:cs="Arial"/>
        </w:rPr>
        <w:t>5.3 Strengths and Limitations of the Study</w:t>
      </w:r>
      <w:bookmarkEnd w:id="43"/>
    </w:p>
    <w:p w14:paraId="78D4DD31" w14:textId="77777777" w:rsidR="005E3402" w:rsidRPr="005E3402" w:rsidRDefault="005E3402" w:rsidP="005E3402">
      <w:pPr>
        <w:pStyle w:val="NormalWeb"/>
        <w:rPr>
          <w:rFonts w:ascii="Arial" w:hAnsi="Arial" w:cs="Arial"/>
        </w:rPr>
      </w:pPr>
      <w:r w:rsidRPr="005E3402">
        <w:rPr>
          <w:rFonts w:ascii="Arial" w:hAnsi="Arial" w:cs="Arial"/>
        </w:rPr>
        <w:t xml:space="preserve">This study offers a comprehensive and timely synthesis of the literature on workforce wellbeing and care quality, drawing on both academic and grey literature post-2020. The use of a </w:t>
      </w:r>
      <w:r w:rsidRPr="005E3402">
        <w:rPr>
          <w:rStyle w:val="Strong"/>
          <w:rFonts w:ascii="Arial" w:hAnsi="Arial" w:cs="Arial"/>
        </w:rPr>
        <w:t>scoping review</w:t>
      </w:r>
      <w:r w:rsidRPr="005E3402">
        <w:rPr>
          <w:rFonts w:ascii="Arial" w:hAnsi="Arial" w:cs="Arial"/>
        </w:rPr>
        <w:t xml:space="preserve"> methodology allowed for the inclusion of diverse study types, capturing the multidimensional nature of the topic. Furthermore, the application of </w:t>
      </w:r>
      <w:r w:rsidRPr="005E3402">
        <w:rPr>
          <w:rStyle w:val="Strong"/>
          <w:rFonts w:ascii="Arial" w:hAnsi="Arial" w:cs="Arial"/>
        </w:rPr>
        <w:t>Maslow’s Hierarchy of Needs</w:t>
      </w:r>
      <w:r w:rsidRPr="005E3402">
        <w:rPr>
          <w:rFonts w:ascii="Arial" w:hAnsi="Arial" w:cs="Arial"/>
        </w:rPr>
        <w:t xml:space="preserve">, </w:t>
      </w:r>
      <w:r w:rsidRPr="005E3402">
        <w:rPr>
          <w:rStyle w:val="Strong"/>
          <w:rFonts w:ascii="Arial" w:hAnsi="Arial" w:cs="Arial"/>
        </w:rPr>
        <w:t>Empowerment Theory</w:t>
      </w:r>
      <w:r w:rsidRPr="005E3402">
        <w:rPr>
          <w:rFonts w:ascii="Arial" w:hAnsi="Arial" w:cs="Arial"/>
        </w:rPr>
        <w:t xml:space="preserve">, the </w:t>
      </w:r>
      <w:r w:rsidRPr="005E3402">
        <w:rPr>
          <w:rStyle w:val="Strong"/>
          <w:rFonts w:ascii="Arial" w:hAnsi="Arial" w:cs="Arial"/>
        </w:rPr>
        <w:t>JD-R model</w:t>
      </w:r>
      <w:r w:rsidRPr="005E3402">
        <w:rPr>
          <w:rFonts w:ascii="Arial" w:hAnsi="Arial" w:cs="Arial"/>
        </w:rPr>
        <w:t xml:space="preserve">, and the </w:t>
      </w:r>
      <w:r w:rsidRPr="005E3402">
        <w:rPr>
          <w:rStyle w:val="Strong"/>
          <w:rFonts w:ascii="Arial" w:hAnsi="Arial" w:cs="Arial"/>
        </w:rPr>
        <w:t>NHS Workforce Wellbeing Framework</w:t>
      </w:r>
      <w:r w:rsidRPr="005E3402">
        <w:rPr>
          <w:rFonts w:ascii="Arial" w:hAnsi="Arial" w:cs="Arial"/>
        </w:rPr>
        <w:t xml:space="preserve"> provided a robust theoretical foundation for analysis.</w:t>
      </w:r>
    </w:p>
    <w:p w14:paraId="609A6BCC" w14:textId="3EE36307" w:rsidR="005E3402" w:rsidRPr="005E3402" w:rsidRDefault="005E3402" w:rsidP="003F425F">
      <w:pPr>
        <w:pStyle w:val="NormalWeb"/>
        <w:rPr>
          <w:rFonts w:ascii="Arial" w:hAnsi="Arial" w:cs="Arial"/>
        </w:rPr>
      </w:pPr>
      <w:r w:rsidRPr="005E3402">
        <w:rPr>
          <w:rFonts w:ascii="Arial" w:hAnsi="Arial" w:cs="Arial"/>
        </w:rPr>
        <w:t xml:space="preserve">However, several limitations must be acknowledged. First, the review was limited to English-language sources, which may have excluded relevant international research. Second, due to the scoping nature of the review, no formal quality appraisal of included studies was conducted, limiting the ability to assess evidence strength. Finally, the synthesis was reliant on available published data, and may not fully reflect frontline experiences, particularly in under-researched or </w:t>
      </w:r>
      <w:proofErr w:type="spellStart"/>
      <w:r w:rsidRPr="005E3402">
        <w:rPr>
          <w:rFonts w:ascii="Arial" w:hAnsi="Arial" w:cs="Arial"/>
        </w:rPr>
        <w:t>marginalised</w:t>
      </w:r>
      <w:proofErr w:type="spellEnd"/>
      <w:r w:rsidRPr="005E3402">
        <w:rPr>
          <w:rFonts w:ascii="Arial" w:hAnsi="Arial" w:cs="Arial"/>
        </w:rPr>
        <w:t xml:space="preserve"> care settings.</w:t>
      </w:r>
    </w:p>
    <w:p w14:paraId="1F265BA9" w14:textId="77777777" w:rsidR="005E3402" w:rsidRPr="005E3402" w:rsidRDefault="005E3402" w:rsidP="005E3402">
      <w:pPr>
        <w:pStyle w:val="Heading3"/>
        <w:rPr>
          <w:rFonts w:ascii="Arial" w:hAnsi="Arial" w:cs="Arial"/>
        </w:rPr>
      </w:pPr>
      <w:bookmarkStart w:id="44" w:name="_Toc215093025"/>
      <w:r w:rsidRPr="005E3402">
        <w:rPr>
          <w:rFonts w:ascii="Arial" w:hAnsi="Arial" w:cs="Arial"/>
        </w:rPr>
        <w:t>5.4 Conclusion</w:t>
      </w:r>
      <w:bookmarkEnd w:id="44"/>
    </w:p>
    <w:p w14:paraId="1D97211D" w14:textId="77777777" w:rsidR="005E3402" w:rsidRPr="005E3402" w:rsidRDefault="005E3402" w:rsidP="005E3402">
      <w:pPr>
        <w:pStyle w:val="NormalWeb"/>
        <w:rPr>
          <w:rFonts w:ascii="Arial" w:hAnsi="Arial" w:cs="Arial"/>
        </w:rPr>
      </w:pPr>
      <w:r w:rsidRPr="005E3402">
        <w:rPr>
          <w:rFonts w:ascii="Arial" w:hAnsi="Arial" w:cs="Arial"/>
        </w:rPr>
        <w:t xml:space="preserve">The findings of this dissertation confirm that workforce wellbeing and quality of care are deeply intertwined. Wellbeing is not merely a moral or human resources concern—it is a </w:t>
      </w:r>
      <w:r w:rsidRPr="005E3402">
        <w:rPr>
          <w:rStyle w:val="Strong"/>
          <w:rFonts w:ascii="Arial" w:hAnsi="Arial" w:cs="Arial"/>
        </w:rPr>
        <w:t>clinical and systemic imperative</w:t>
      </w:r>
      <w:r w:rsidRPr="005E3402">
        <w:rPr>
          <w:rFonts w:ascii="Arial" w:hAnsi="Arial" w:cs="Arial"/>
        </w:rPr>
        <w:t>. Addressing burnout, fostering psychological safety, promoting empowerment, and nurturing inclusive leadership are not optional enhancements but essential components of safe and effective care.</w:t>
      </w:r>
    </w:p>
    <w:p w14:paraId="49DE0A49" w14:textId="77777777" w:rsidR="005E3402" w:rsidRPr="005E3402" w:rsidRDefault="005E3402" w:rsidP="005E3402">
      <w:pPr>
        <w:pStyle w:val="NormalWeb"/>
        <w:rPr>
          <w:rFonts w:ascii="Arial" w:hAnsi="Arial" w:cs="Arial"/>
        </w:rPr>
      </w:pPr>
      <w:r w:rsidRPr="005E3402">
        <w:rPr>
          <w:rFonts w:ascii="Arial" w:hAnsi="Arial" w:cs="Arial"/>
        </w:rPr>
        <w:t xml:space="preserve">For the UK health and social care system to move forward, it must </w:t>
      </w:r>
      <w:proofErr w:type="spellStart"/>
      <w:r w:rsidRPr="005E3402">
        <w:rPr>
          <w:rFonts w:ascii="Arial" w:hAnsi="Arial" w:cs="Arial"/>
        </w:rPr>
        <w:t>operationalise</w:t>
      </w:r>
      <w:proofErr w:type="spellEnd"/>
      <w:r w:rsidRPr="005E3402">
        <w:rPr>
          <w:rFonts w:ascii="Arial" w:hAnsi="Arial" w:cs="Arial"/>
        </w:rPr>
        <w:t xml:space="preserve"> its policy commitments with sustainable investment, accountability mechanisms, and frontline engagement. Only then can workforce wellbeing be transformed from rhetoric into reality—and only then can high-quality, compassionate care be consistently delivered across the sector.</w:t>
      </w:r>
    </w:p>
    <w:p w14:paraId="42B9AB98" w14:textId="77777777" w:rsidR="005E3402" w:rsidRPr="005E3402" w:rsidRDefault="005E3402" w:rsidP="005E3402">
      <w:pPr>
        <w:pStyle w:val="Heading3"/>
        <w:rPr>
          <w:rFonts w:ascii="Arial" w:hAnsi="Arial" w:cs="Arial"/>
        </w:rPr>
      </w:pPr>
      <w:bookmarkStart w:id="45" w:name="_Toc215093026"/>
      <w:r w:rsidRPr="005E3402">
        <w:rPr>
          <w:rFonts w:ascii="Arial" w:hAnsi="Arial" w:cs="Arial"/>
        </w:rPr>
        <w:t>5.4 Expanded Conclusion</w:t>
      </w:r>
      <w:bookmarkEnd w:id="45"/>
    </w:p>
    <w:p w14:paraId="67F8C8AC" w14:textId="77777777" w:rsidR="005E3402" w:rsidRPr="005E3402" w:rsidRDefault="005E3402" w:rsidP="005E3402">
      <w:pPr>
        <w:pStyle w:val="NormalWeb"/>
        <w:rPr>
          <w:rFonts w:ascii="Arial" w:hAnsi="Arial" w:cs="Arial"/>
        </w:rPr>
      </w:pPr>
      <w:r w:rsidRPr="005E3402">
        <w:rPr>
          <w:rFonts w:ascii="Arial" w:hAnsi="Arial" w:cs="Arial"/>
        </w:rPr>
        <w:t xml:space="preserve">This dissertation set out to examine the complex and multidimensional relationship between workforce wellbeing and quality of care within health and social care settings, using a scoping review methodology informed by post-2020 literature, UK policies, and global comparisons. The overarching conclusion is unequivocal: </w:t>
      </w:r>
      <w:r w:rsidRPr="005E3402">
        <w:rPr>
          <w:rStyle w:val="Strong"/>
          <w:rFonts w:ascii="Arial" w:hAnsi="Arial" w:cs="Arial"/>
        </w:rPr>
        <w:t>the wellbeing of the health and social care workforce is intrinsically linked to the safety, effectiveness, and compassion of the care provided.</w:t>
      </w:r>
      <w:r w:rsidRPr="005E3402">
        <w:rPr>
          <w:rFonts w:ascii="Arial" w:hAnsi="Arial" w:cs="Arial"/>
        </w:rPr>
        <w:t xml:space="preserve"> Where staff thrive, patients benefit—where staff are depleted, patients are at risk.</w:t>
      </w:r>
    </w:p>
    <w:p w14:paraId="4E37623F" w14:textId="77777777" w:rsidR="005E3402" w:rsidRPr="005E3402" w:rsidRDefault="005E3402" w:rsidP="005E3402">
      <w:pPr>
        <w:pStyle w:val="NormalWeb"/>
        <w:rPr>
          <w:rFonts w:ascii="Arial" w:hAnsi="Arial" w:cs="Arial"/>
        </w:rPr>
      </w:pPr>
      <w:r w:rsidRPr="005E3402">
        <w:rPr>
          <w:rFonts w:ascii="Arial" w:hAnsi="Arial" w:cs="Arial"/>
        </w:rPr>
        <w:t xml:space="preserve">The review found consistent evidence that workforce wellbeing is influenced by both micro-level factors (e.g., autonomy, team climate, leadership </w:t>
      </w:r>
      <w:proofErr w:type="spellStart"/>
      <w:r w:rsidRPr="005E3402">
        <w:rPr>
          <w:rFonts w:ascii="Arial" w:hAnsi="Arial" w:cs="Arial"/>
        </w:rPr>
        <w:t>behaviours</w:t>
      </w:r>
      <w:proofErr w:type="spellEnd"/>
      <w:r w:rsidRPr="005E3402">
        <w:rPr>
          <w:rFonts w:ascii="Arial" w:hAnsi="Arial" w:cs="Arial"/>
        </w:rPr>
        <w:t xml:space="preserve">) and macro-level forces (e.g., national funding policy, staffing infrastructure, regulatory environments). The experience of burnout, lack of psychological safety, disempowerment, and systemic inequities emerged not as isolated issues, but as </w:t>
      </w:r>
      <w:r w:rsidRPr="005E3402">
        <w:rPr>
          <w:rStyle w:val="Strong"/>
          <w:rFonts w:ascii="Arial" w:hAnsi="Arial" w:cs="Arial"/>
        </w:rPr>
        <w:t xml:space="preserve">interconnected outcomes of broader </w:t>
      </w:r>
      <w:proofErr w:type="spellStart"/>
      <w:r w:rsidRPr="005E3402">
        <w:rPr>
          <w:rStyle w:val="Strong"/>
          <w:rFonts w:ascii="Arial" w:hAnsi="Arial" w:cs="Arial"/>
        </w:rPr>
        <w:t>organisational</w:t>
      </w:r>
      <w:proofErr w:type="spellEnd"/>
      <w:r w:rsidRPr="005E3402">
        <w:rPr>
          <w:rStyle w:val="Strong"/>
          <w:rFonts w:ascii="Arial" w:hAnsi="Arial" w:cs="Arial"/>
        </w:rPr>
        <w:t xml:space="preserve"> and policy contexts.</w:t>
      </w:r>
      <w:r w:rsidRPr="005E3402">
        <w:rPr>
          <w:rFonts w:ascii="Arial" w:hAnsi="Arial" w:cs="Arial"/>
        </w:rPr>
        <w:t xml:space="preserve"> These stressors were found to compromise not only the individual health of professionals but also team dynamics, decision-making quality, patient safety, and continuity of care.</w:t>
      </w:r>
    </w:p>
    <w:p w14:paraId="3DC0FD14" w14:textId="77777777" w:rsidR="005E3402" w:rsidRPr="005E3402" w:rsidRDefault="005E3402" w:rsidP="005E3402">
      <w:pPr>
        <w:pStyle w:val="NormalWeb"/>
        <w:rPr>
          <w:rFonts w:ascii="Arial" w:hAnsi="Arial" w:cs="Arial"/>
        </w:rPr>
      </w:pPr>
      <w:r w:rsidRPr="005E3402">
        <w:rPr>
          <w:rFonts w:ascii="Arial" w:hAnsi="Arial" w:cs="Arial"/>
        </w:rPr>
        <w:t xml:space="preserve">The application of </w:t>
      </w:r>
      <w:r w:rsidRPr="005E3402">
        <w:rPr>
          <w:rStyle w:val="Strong"/>
          <w:rFonts w:ascii="Arial" w:hAnsi="Arial" w:cs="Arial"/>
        </w:rPr>
        <w:t>theoretical frameworks</w:t>
      </w:r>
      <w:r w:rsidRPr="005E3402">
        <w:rPr>
          <w:rFonts w:ascii="Arial" w:hAnsi="Arial" w:cs="Arial"/>
        </w:rPr>
        <w:t xml:space="preserve"> added further depth to these findings. </w:t>
      </w:r>
      <w:r w:rsidRPr="005E3402">
        <w:rPr>
          <w:rStyle w:val="Strong"/>
          <w:rFonts w:ascii="Arial" w:hAnsi="Arial" w:cs="Arial"/>
        </w:rPr>
        <w:t>Maslow’s Hierarchy of Needs</w:t>
      </w:r>
      <w:r w:rsidRPr="005E3402">
        <w:rPr>
          <w:rFonts w:ascii="Arial" w:hAnsi="Arial" w:cs="Arial"/>
        </w:rPr>
        <w:t xml:space="preserve"> helped illuminate how unmet basic and psychological needs limit professionals’ ability to reach </w:t>
      </w:r>
      <w:proofErr w:type="spellStart"/>
      <w:r w:rsidRPr="005E3402">
        <w:rPr>
          <w:rFonts w:ascii="Arial" w:hAnsi="Arial" w:cs="Arial"/>
        </w:rPr>
        <w:t>self-actualisation</w:t>
      </w:r>
      <w:proofErr w:type="spellEnd"/>
      <w:r w:rsidRPr="005E3402">
        <w:rPr>
          <w:rFonts w:ascii="Arial" w:hAnsi="Arial" w:cs="Arial"/>
        </w:rPr>
        <w:t xml:space="preserve"> and provide compassionate care. </w:t>
      </w:r>
      <w:r w:rsidRPr="005E3402">
        <w:rPr>
          <w:rStyle w:val="Strong"/>
          <w:rFonts w:ascii="Arial" w:hAnsi="Arial" w:cs="Arial"/>
        </w:rPr>
        <w:t>Empowerment Theory</w:t>
      </w:r>
      <w:r w:rsidRPr="005E3402">
        <w:rPr>
          <w:rFonts w:ascii="Arial" w:hAnsi="Arial" w:cs="Arial"/>
        </w:rPr>
        <w:t xml:space="preserve"> framed how </w:t>
      </w:r>
      <w:proofErr w:type="spellStart"/>
      <w:r w:rsidRPr="005E3402">
        <w:rPr>
          <w:rFonts w:ascii="Arial" w:hAnsi="Arial" w:cs="Arial"/>
        </w:rPr>
        <w:t>organisational</w:t>
      </w:r>
      <w:proofErr w:type="spellEnd"/>
      <w:r w:rsidRPr="005E3402">
        <w:rPr>
          <w:rFonts w:ascii="Arial" w:hAnsi="Arial" w:cs="Arial"/>
        </w:rPr>
        <w:t xml:space="preserve"> cultures and structures that enable voice, autonomy, and control lead to greater engagement and care quality. The </w:t>
      </w:r>
      <w:r w:rsidRPr="005E3402">
        <w:rPr>
          <w:rStyle w:val="Strong"/>
          <w:rFonts w:ascii="Arial" w:hAnsi="Arial" w:cs="Arial"/>
        </w:rPr>
        <w:t>Job Demands-Resources (JD-R) model</w:t>
      </w:r>
      <w:r w:rsidRPr="005E3402">
        <w:rPr>
          <w:rFonts w:ascii="Arial" w:hAnsi="Arial" w:cs="Arial"/>
        </w:rPr>
        <w:t xml:space="preserve"> illustrated how staff burnout results from sustained imbalances between work demands and the resources available to mitigate them, while the </w:t>
      </w:r>
      <w:r w:rsidRPr="005E3402">
        <w:rPr>
          <w:rStyle w:val="Strong"/>
          <w:rFonts w:ascii="Arial" w:hAnsi="Arial" w:cs="Arial"/>
        </w:rPr>
        <w:t>NHS Workforce Wellbeing Framework</w:t>
      </w:r>
      <w:r w:rsidRPr="005E3402">
        <w:rPr>
          <w:rFonts w:ascii="Arial" w:hAnsi="Arial" w:cs="Arial"/>
        </w:rPr>
        <w:t xml:space="preserve"> offered a national benchmark for how wellbeing can be systemically approached—albeit with inconsistent local implementation.</w:t>
      </w:r>
    </w:p>
    <w:p w14:paraId="2FB9BB36" w14:textId="77777777" w:rsidR="005E3402" w:rsidRPr="005E3402" w:rsidRDefault="005E3402" w:rsidP="005E3402">
      <w:pPr>
        <w:pStyle w:val="NormalWeb"/>
        <w:rPr>
          <w:rFonts w:ascii="Arial" w:hAnsi="Arial" w:cs="Arial"/>
        </w:rPr>
      </w:pPr>
      <w:r w:rsidRPr="005E3402">
        <w:rPr>
          <w:rFonts w:ascii="Arial" w:hAnsi="Arial" w:cs="Arial"/>
        </w:rPr>
        <w:t xml:space="preserve">Importantly, this dissertation’s findings reflect not just academic consensus but the lived realities of practitioners. Frontline workers’ testimonies in the reviewed literature revealed frustration with </w:t>
      </w:r>
      <w:proofErr w:type="spellStart"/>
      <w:r w:rsidRPr="005E3402">
        <w:rPr>
          <w:rFonts w:ascii="Arial" w:hAnsi="Arial" w:cs="Arial"/>
        </w:rPr>
        <w:t>tokenistic</w:t>
      </w:r>
      <w:proofErr w:type="spellEnd"/>
      <w:r w:rsidRPr="005E3402">
        <w:rPr>
          <w:rFonts w:ascii="Arial" w:hAnsi="Arial" w:cs="Arial"/>
        </w:rPr>
        <w:t xml:space="preserve"> wellbeing </w:t>
      </w:r>
      <w:proofErr w:type="spellStart"/>
      <w:r w:rsidRPr="005E3402">
        <w:rPr>
          <w:rFonts w:ascii="Arial" w:hAnsi="Arial" w:cs="Arial"/>
        </w:rPr>
        <w:t>programmes</w:t>
      </w:r>
      <w:proofErr w:type="spellEnd"/>
      <w:r w:rsidRPr="005E3402">
        <w:rPr>
          <w:rFonts w:ascii="Arial" w:hAnsi="Arial" w:cs="Arial"/>
        </w:rPr>
        <w:t xml:space="preserve">, reactive leadership, and policy commitments that often failed to </w:t>
      </w:r>
      <w:proofErr w:type="spellStart"/>
      <w:r w:rsidRPr="005E3402">
        <w:rPr>
          <w:rFonts w:ascii="Arial" w:hAnsi="Arial" w:cs="Arial"/>
        </w:rPr>
        <w:t>materialise</w:t>
      </w:r>
      <w:proofErr w:type="spellEnd"/>
      <w:r w:rsidRPr="005E3402">
        <w:rPr>
          <w:rFonts w:ascii="Arial" w:hAnsi="Arial" w:cs="Arial"/>
        </w:rPr>
        <w:t xml:space="preserve"> into tangible support. The gap between </w:t>
      </w:r>
      <w:r w:rsidRPr="005E3402">
        <w:rPr>
          <w:rStyle w:val="Strong"/>
          <w:rFonts w:ascii="Arial" w:hAnsi="Arial" w:cs="Arial"/>
        </w:rPr>
        <w:t>wellbeing rhetoric and reality</w:t>
      </w:r>
      <w:r w:rsidRPr="005E3402">
        <w:rPr>
          <w:rFonts w:ascii="Arial" w:hAnsi="Arial" w:cs="Arial"/>
        </w:rPr>
        <w:t xml:space="preserve"> remains a central challenge. Policy frameworks are only as effective as their </w:t>
      </w:r>
      <w:proofErr w:type="spellStart"/>
      <w:r w:rsidRPr="005E3402">
        <w:rPr>
          <w:rFonts w:ascii="Arial" w:hAnsi="Arial" w:cs="Arial"/>
        </w:rPr>
        <w:t>operationalisation</w:t>
      </w:r>
      <w:proofErr w:type="spellEnd"/>
      <w:r w:rsidRPr="005E3402">
        <w:rPr>
          <w:rFonts w:ascii="Arial" w:hAnsi="Arial" w:cs="Arial"/>
        </w:rPr>
        <w:t>, and without adequate staffing, funding, and leadership accountability, they risk becoming performative.</w:t>
      </w:r>
    </w:p>
    <w:p w14:paraId="034FE362" w14:textId="77777777" w:rsidR="005E3402" w:rsidRPr="005E3402" w:rsidRDefault="005E3402" w:rsidP="005E3402">
      <w:pPr>
        <w:pStyle w:val="NormalWeb"/>
        <w:rPr>
          <w:rFonts w:ascii="Arial" w:hAnsi="Arial" w:cs="Arial"/>
        </w:rPr>
      </w:pPr>
      <w:r w:rsidRPr="005E3402">
        <w:rPr>
          <w:rFonts w:ascii="Arial" w:hAnsi="Arial" w:cs="Arial"/>
        </w:rPr>
        <w:t xml:space="preserve">However, this study also uncovered </w:t>
      </w:r>
      <w:r w:rsidRPr="005E3402">
        <w:rPr>
          <w:rStyle w:val="Strong"/>
          <w:rFonts w:ascii="Arial" w:hAnsi="Arial" w:cs="Arial"/>
        </w:rPr>
        <w:t>examples of effective practice</w:t>
      </w:r>
      <w:r w:rsidRPr="005E3402">
        <w:rPr>
          <w:rFonts w:ascii="Arial" w:hAnsi="Arial" w:cs="Arial"/>
        </w:rPr>
        <w:t>. Trusts and health systems that had embedded inclusive leadership, shared governance, flexible working, and protected time for reflection demonstrated measurable improvements in both staff morale and care quality. International models from Australia and the US further highlighted the value of treating wellbeing as a strategic and clinical priority, monitored alongside performance metrics. These insights point to a way forward that is evidence-informed, theoretically grounded, and achievable.</w:t>
      </w:r>
    </w:p>
    <w:p w14:paraId="2AD2D522" w14:textId="77777777" w:rsidR="005E3402" w:rsidRPr="005E3402" w:rsidRDefault="005E3402" w:rsidP="005E3402">
      <w:pPr>
        <w:pStyle w:val="NormalWeb"/>
        <w:rPr>
          <w:rFonts w:ascii="Arial" w:hAnsi="Arial" w:cs="Arial"/>
        </w:rPr>
      </w:pPr>
      <w:r w:rsidRPr="005E3402">
        <w:rPr>
          <w:rFonts w:ascii="Arial" w:hAnsi="Arial" w:cs="Arial"/>
        </w:rPr>
        <w:t xml:space="preserve">Ultimately, improving workforce wellbeing is not a peripheral concern. It is foundational to the sustainability of the UK’s health and social care system. As the sector faces rising service demand, ageing populations, and post-pandemic recovery challenges, investment in the workforce must become a </w:t>
      </w:r>
      <w:r w:rsidRPr="005E3402">
        <w:rPr>
          <w:rStyle w:val="Strong"/>
          <w:rFonts w:ascii="Arial" w:hAnsi="Arial" w:cs="Arial"/>
        </w:rPr>
        <w:t>non-negotiable pillar of system resilience.</w:t>
      </w:r>
      <w:r w:rsidRPr="005E3402">
        <w:rPr>
          <w:rFonts w:ascii="Arial" w:hAnsi="Arial" w:cs="Arial"/>
        </w:rPr>
        <w:t xml:space="preserve"> This means moving beyond fragmented interventions toward an integrated, system-wide approach where wellbeing is embedded in leadership, measured in performance, reflected in funding, and lived in everyday practice.</w:t>
      </w:r>
    </w:p>
    <w:p w14:paraId="75474B79" w14:textId="77777777" w:rsidR="005E3402" w:rsidRPr="005E3402" w:rsidRDefault="005E3402" w:rsidP="005E3402">
      <w:pPr>
        <w:pStyle w:val="NormalWeb"/>
        <w:rPr>
          <w:rFonts w:ascii="Arial" w:hAnsi="Arial" w:cs="Arial"/>
        </w:rPr>
      </w:pPr>
      <w:r w:rsidRPr="005E3402">
        <w:rPr>
          <w:rFonts w:ascii="Arial" w:hAnsi="Arial" w:cs="Arial"/>
        </w:rPr>
        <w:t>The implications of this study are far-reaching. For policymakers, it offers a roadmap for aligning national frameworks with frontline realities. For healthcare leaders, it underscores the need for inclusive, responsive, and empowering leadership. For practitioners and educators, it highlights the importance of embedding wellbeing literacy into professional development. And for researchers, it identifies a fertile area for continued inquiry—particularly around the lived experiences of underrepresented workforce groups and the long-term impacts of wellbeing interventions.</w:t>
      </w:r>
    </w:p>
    <w:p w14:paraId="4B2754CC" w14:textId="77777777" w:rsidR="005E3402" w:rsidRPr="005E3402" w:rsidRDefault="005E3402" w:rsidP="005E3402">
      <w:pPr>
        <w:pStyle w:val="NormalWeb"/>
        <w:rPr>
          <w:rFonts w:ascii="Arial" w:hAnsi="Arial" w:cs="Arial"/>
        </w:rPr>
      </w:pPr>
      <w:r w:rsidRPr="005E3402">
        <w:rPr>
          <w:rFonts w:ascii="Arial" w:hAnsi="Arial" w:cs="Arial"/>
        </w:rPr>
        <w:t xml:space="preserve">In conclusion, this dissertation reinforces the imperative that </w:t>
      </w:r>
      <w:r w:rsidRPr="005E3402">
        <w:rPr>
          <w:rStyle w:val="Strong"/>
          <w:rFonts w:ascii="Arial" w:hAnsi="Arial" w:cs="Arial"/>
        </w:rPr>
        <w:t>“caring for carers” is not optional—it is essential.</w:t>
      </w:r>
      <w:r w:rsidRPr="005E3402">
        <w:rPr>
          <w:rFonts w:ascii="Arial" w:hAnsi="Arial" w:cs="Arial"/>
        </w:rPr>
        <w:t xml:space="preserve"> The future of quality care in the UK and beyond depends not just on clinical innovations or digital strategies, but on </w:t>
      </w:r>
      <w:r w:rsidRPr="005E3402">
        <w:rPr>
          <w:rStyle w:val="Strong"/>
          <w:rFonts w:ascii="Arial" w:hAnsi="Arial" w:cs="Arial"/>
        </w:rPr>
        <w:t>how health and social care systems treat their workforce.</w:t>
      </w:r>
      <w:r w:rsidRPr="005E3402">
        <w:rPr>
          <w:rFonts w:ascii="Arial" w:hAnsi="Arial" w:cs="Arial"/>
        </w:rPr>
        <w:t xml:space="preserve"> By </w:t>
      </w:r>
      <w:proofErr w:type="spellStart"/>
      <w:r w:rsidRPr="005E3402">
        <w:rPr>
          <w:rFonts w:ascii="Arial" w:hAnsi="Arial" w:cs="Arial"/>
        </w:rPr>
        <w:t>prioritising</w:t>
      </w:r>
      <w:proofErr w:type="spellEnd"/>
      <w:r w:rsidRPr="005E3402">
        <w:rPr>
          <w:rFonts w:ascii="Arial" w:hAnsi="Arial" w:cs="Arial"/>
        </w:rPr>
        <w:t xml:space="preserve"> wellbeing as a strategic, ethical, and operational goal, </w:t>
      </w:r>
      <w:proofErr w:type="spellStart"/>
      <w:r w:rsidRPr="005E3402">
        <w:rPr>
          <w:rFonts w:ascii="Arial" w:hAnsi="Arial" w:cs="Arial"/>
        </w:rPr>
        <w:t>organisations</w:t>
      </w:r>
      <w:proofErr w:type="spellEnd"/>
      <w:r w:rsidRPr="005E3402">
        <w:rPr>
          <w:rFonts w:ascii="Arial" w:hAnsi="Arial" w:cs="Arial"/>
        </w:rPr>
        <w:t xml:space="preserve"> can ensure that those who care for others are equipped, empowered, and well enough to deliver the compassionate, high-quality care that every individual deserves.</w:t>
      </w:r>
    </w:p>
    <w:p w14:paraId="5FA019E7" w14:textId="77777777" w:rsidR="005E3402" w:rsidRPr="005E3402" w:rsidRDefault="005E3402" w:rsidP="005E3402">
      <w:pPr>
        <w:pStyle w:val="Heading2"/>
        <w:rPr>
          <w:rFonts w:ascii="Arial" w:hAnsi="Arial" w:cs="Arial"/>
        </w:rPr>
      </w:pPr>
      <w:bookmarkStart w:id="46" w:name="_Toc215093027"/>
      <w:r w:rsidRPr="005E3402">
        <w:rPr>
          <w:rStyle w:val="Strong"/>
          <w:rFonts w:ascii="Arial" w:hAnsi="Arial" w:cs="Arial"/>
          <w:b w:val="0"/>
          <w:bCs w:val="0"/>
        </w:rPr>
        <w:t>References</w:t>
      </w:r>
      <w:bookmarkEnd w:id="46"/>
    </w:p>
    <w:p w14:paraId="1C0E94A1" w14:textId="77777777" w:rsidR="005E3402" w:rsidRPr="005E3402" w:rsidRDefault="005E3402" w:rsidP="005E3402">
      <w:pPr>
        <w:pStyle w:val="NormalWeb"/>
        <w:rPr>
          <w:rFonts w:ascii="Arial" w:hAnsi="Arial" w:cs="Arial"/>
        </w:rPr>
      </w:pPr>
      <w:r w:rsidRPr="005E3402">
        <w:rPr>
          <w:rFonts w:ascii="Arial" w:hAnsi="Arial" w:cs="Arial"/>
        </w:rPr>
        <w:t xml:space="preserve">Australian Institute of Health and Welfare (AIHW), 2022. </w:t>
      </w:r>
      <w:r w:rsidRPr="005E3402">
        <w:rPr>
          <w:rStyle w:val="Emphasis"/>
          <w:rFonts w:ascii="Arial" w:eastAsiaTheme="majorEastAsia" w:hAnsi="Arial" w:cs="Arial"/>
        </w:rPr>
        <w:t>Australia’s health 2022: workforce and wellbeing</w:t>
      </w:r>
      <w:r w:rsidRPr="005E3402">
        <w:rPr>
          <w:rFonts w:ascii="Arial" w:hAnsi="Arial" w:cs="Arial"/>
        </w:rPr>
        <w:t xml:space="preserve">. [online] Canberra: AIHW. Available at: </w:t>
      </w:r>
      <w:hyperlink r:id="rId8" w:tgtFrame="_new" w:history="1">
        <w:r w:rsidRPr="005E3402">
          <w:rPr>
            <w:rStyle w:val="Hyperlink"/>
            <w:rFonts w:ascii="Arial" w:eastAsiaTheme="majorEastAsia" w:hAnsi="Arial" w:cs="Arial"/>
          </w:rPr>
          <w:t>https://www.aihw.gov.au</w:t>
        </w:r>
      </w:hyperlink>
      <w:r w:rsidRPr="005E3402">
        <w:rPr>
          <w:rFonts w:ascii="Arial" w:hAnsi="Arial" w:cs="Arial"/>
        </w:rPr>
        <w:t xml:space="preserve"> [Accessed 24 Nov. 2025].</w:t>
      </w:r>
    </w:p>
    <w:p w14:paraId="76689291" w14:textId="77777777" w:rsidR="005E3402" w:rsidRPr="005E3402" w:rsidRDefault="005E3402" w:rsidP="005E3402">
      <w:pPr>
        <w:pStyle w:val="NormalWeb"/>
        <w:rPr>
          <w:rFonts w:ascii="Arial" w:hAnsi="Arial" w:cs="Arial"/>
        </w:rPr>
      </w:pPr>
      <w:r w:rsidRPr="005E3402">
        <w:rPr>
          <w:rFonts w:ascii="Arial" w:hAnsi="Arial" w:cs="Arial"/>
        </w:rPr>
        <w:t xml:space="preserve">Australian Medical Association, 2021. </w:t>
      </w:r>
      <w:r w:rsidRPr="005E3402">
        <w:rPr>
          <w:rStyle w:val="Emphasis"/>
          <w:rFonts w:ascii="Arial" w:eastAsiaTheme="majorEastAsia" w:hAnsi="Arial" w:cs="Arial"/>
        </w:rPr>
        <w:t>Burnout in Australian healthcare: A crisis in the making</w:t>
      </w:r>
      <w:r w:rsidRPr="005E3402">
        <w:rPr>
          <w:rFonts w:ascii="Arial" w:hAnsi="Arial" w:cs="Arial"/>
        </w:rPr>
        <w:t xml:space="preserve">. [online] Available at: </w:t>
      </w:r>
      <w:hyperlink r:id="rId9" w:tgtFrame="_new" w:history="1">
        <w:r w:rsidRPr="005E3402">
          <w:rPr>
            <w:rStyle w:val="Hyperlink"/>
            <w:rFonts w:ascii="Arial" w:eastAsiaTheme="majorEastAsia" w:hAnsi="Arial" w:cs="Arial"/>
          </w:rPr>
          <w:t>https://www.ama.com.au</w:t>
        </w:r>
      </w:hyperlink>
      <w:r w:rsidRPr="005E3402">
        <w:rPr>
          <w:rFonts w:ascii="Arial" w:hAnsi="Arial" w:cs="Arial"/>
        </w:rPr>
        <w:t xml:space="preserve"> [Accessed 21 Nov. 2025].</w:t>
      </w:r>
    </w:p>
    <w:p w14:paraId="24CBB9B7" w14:textId="77777777" w:rsidR="005E3402" w:rsidRPr="005E3402" w:rsidRDefault="005E3402" w:rsidP="005E3402">
      <w:pPr>
        <w:pStyle w:val="NormalWeb"/>
        <w:rPr>
          <w:rFonts w:ascii="Arial" w:hAnsi="Arial" w:cs="Arial"/>
        </w:rPr>
      </w:pPr>
      <w:r w:rsidRPr="005E3402">
        <w:rPr>
          <w:rFonts w:ascii="Arial" w:hAnsi="Arial" w:cs="Arial"/>
        </w:rPr>
        <w:t xml:space="preserve">Bakker, A.B. and Demerouti, E., 2017. Job demands–resources theory: Taking stock and looking forward. </w:t>
      </w:r>
      <w:r w:rsidRPr="005E3402">
        <w:rPr>
          <w:rStyle w:val="Emphasis"/>
          <w:rFonts w:ascii="Arial" w:eastAsiaTheme="majorEastAsia" w:hAnsi="Arial" w:cs="Arial"/>
        </w:rPr>
        <w:t>Journal of Occupational Health Psychology</w:t>
      </w:r>
      <w:r w:rsidRPr="005E3402">
        <w:rPr>
          <w:rFonts w:ascii="Arial" w:hAnsi="Arial" w:cs="Arial"/>
        </w:rPr>
        <w:t>, 22(3), pp.273–285.</w:t>
      </w:r>
    </w:p>
    <w:p w14:paraId="36A070D5" w14:textId="77777777" w:rsidR="005E3402" w:rsidRPr="005E3402" w:rsidRDefault="005E3402" w:rsidP="005E3402">
      <w:pPr>
        <w:pStyle w:val="NormalWeb"/>
        <w:rPr>
          <w:rFonts w:ascii="Arial" w:hAnsi="Arial" w:cs="Arial"/>
        </w:rPr>
      </w:pPr>
      <w:proofErr w:type="spellStart"/>
      <w:r w:rsidRPr="005E3402">
        <w:rPr>
          <w:rFonts w:ascii="Arial" w:hAnsi="Arial" w:cs="Arial"/>
        </w:rPr>
        <w:t>Boamah</w:t>
      </w:r>
      <w:proofErr w:type="spellEnd"/>
      <w:r w:rsidRPr="005E3402">
        <w:rPr>
          <w:rFonts w:ascii="Arial" w:hAnsi="Arial" w:cs="Arial"/>
        </w:rPr>
        <w:t xml:space="preserve">, S.A., Spence </w:t>
      </w:r>
      <w:proofErr w:type="spellStart"/>
      <w:r w:rsidRPr="005E3402">
        <w:rPr>
          <w:rFonts w:ascii="Arial" w:hAnsi="Arial" w:cs="Arial"/>
        </w:rPr>
        <w:t>Laschinger</w:t>
      </w:r>
      <w:proofErr w:type="spellEnd"/>
      <w:r w:rsidRPr="005E3402">
        <w:rPr>
          <w:rFonts w:ascii="Arial" w:hAnsi="Arial" w:cs="Arial"/>
        </w:rPr>
        <w:t xml:space="preserve">, H.K., Wong, C. and Clarke, S., 2020. Effect of transformational leadership on job satisfaction and patient safety outcomes. </w:t>
      </w:r>
      <w:r w:rsidRPr="005E3402">
        <w:rPr>
          <w:rStyle w:val="Emphasis"/>
          <w:rFonts w:ascii="Arial" w:eastAsiaTheme="majorEastAsia" w:hAnsi="Arial" w:cs="Arial"/>
        </w:rPr>
        <w:t>Nursing Outlook</w:t>
      </w:r>
      <w:r w:rsidRPr="005E3402">
        <w:rPr>
          <w:rFonts w:ascii="Arial" w:hAnsi="Arial" w:cs="Arial"/>
        </w:rPr>
        <w:t>, 68(4), pp.388–398.</w:t>
      </w:r>
    </w:p>
    <w:p w14:paraId="44155C91" w14:textId="77777777" w:rsidR="005E3402" w:rsidRPr="005E3402" w:rsidRDefault="005E3402" w:rsidP="005E3402">
      <w:pPr>
        <w:pStyle w:val="NormalWeb"/>
        <w:rPr>
          <w:rFonts w:ascii="Arial" w:hAnsi="Arial" w:cs="Arial"/>
        </w:rPr>
      </w:pPr>
      <w:r w:rsidRPr="005E3402">
        <w:rPr>
          <w:rFonts w:ascii="Arial" w:hAnsi="Arial" w:cs="Arial"/>
        </w:rPr>
        <w:t xml:space="preserve">British Medical Association (BMA), 2023. </w:t>
      </w:r>
      <w:r w:rsidRPr="005E3402">
        <w:rPr>
          <w:rStyle w:val="Emphasis"/>
          <w:rFonts w:ascii="Arial" w:eastAsiaTheme="majorEastAsia" w:hAnsi="Arial" w:cs="Arial"/>
        </w:rPr>
        <w:t>Mental health and burnout in the NHS workforce</w:t>
      </w:r>
      <w:r w:rsidRPr="005E3402">
        <w:rPr>
          <w:rFonts w:ascii="Arial" w:hAnsi="Arial" w:cs="Arial"/>
        </w:rPr>
        <w:t xml:space="preserve">. [online] Available at: </w:t>
      </w:r>
      <w:hyperlink r:id="rId10" w:tgtFrame="_new" w:history="1">
        <w:r w:rsidRPr="005E3402">
          <w:rPr>
            <w:rStyle w:val="Hyperlink"/>
            <w:rFonts w:ascii="Arial" w:eastAsiaTheme="majorEastAsia" w:hAnsi="Arial" w:cs="Arial"/>
          </w:rPr>
          <w:t>https://www.bma.org.uk</w:t>
        </w:r>
      </w:hyperlink>
      <w:r w:rsidRPr="005E3402">
        <w:rPr>
          <w:rFonts w:ascii="Arial" w:hAnsi="Arial" w:cs="Arial"/>
        </w:rPr>
        <w:t xml:space="preserve"> [Accessed 23 Nov. 2025].</w:t>
      </w:r>
    </w:p>
    <w:p w14:paraId="028D0191" w14:textId="77777777" w:rsidR="005E3402" w:rsidRPr="005E3402" w:rsidRDefault="005E3402" w:rsidP="005E3402">
      <w:pPr>
        <w:pStyle w:val="NormalWeb"/>
        <w:rPr>
          <w:rFonts w:ascii="Arial" w:hAnsi="Arial" w:cs="Arial"/>
        </w:rPr>
      </w:pPr>
      <w:r w:rsidRPr="005E3402">
        <w:rPr>
          <w:rFonts w:ascii="Arial" w:hAnsi="Arial" w:cs="Arial"/>
        </w:rPr>
        <w:t xml:space="preserve">Buchan, J., </w:t>
      </w:r>
      <w:proofErr w:type="spellStart"/>
      <w:r w:rsidRPr="005E3402">
        <w:rPr>
          <w:rFonts w:ascii="Arial" w:hAnsi="Arial" w:cs="Arial"/>
        </w:rPr>
        <w:t>Shembavnekar</w:t>
      </w:r>
      <w:proofErr w:type="spellEnd"/>
      <w:r w:rsidRPr="005E3402">
        <w:rPr>
          <w:rFonts w:ascii="Arial" w:hAnsi="Arial" w:cs="Arial"/>
        </w:rPr>
        <w:t xml:space="preserve">, N., </w:t>
      </w:r>
      <w:proofErr w:type="spellStart"/>
      <w:r w:rsidRPr="005E3402">
        <w:rPr>
          <w:rFonts w:ascii="Arial" w:hAnsi="Arial" w:cs="Arial"/>
        </w:rPr>
        <w:t>Gershlick</w:t>
      </w:r>
      <w:proofErr w:type="spellEnd"/>
      <w:r w:rsidRPr="005E3402">
        <w:rPr>
          <w:rFonts w:ascii="Arial" w:hAnsi="Arial" w:cs="Arial"/>
        </w:rPr>
        <w:t xml:space="preserve">, B. and Charlesworth, A., 2022. </w:t>
      </w:r>
      <w:r w:rsidRPr="005E3402">
        <w:rPr>
          <w:rStyle w:val="Emphasis"/>
          <w:rFonts w:ascii="Arial" w:eastAsiaTheme="majorEastAsia" w:hAnsi="Arial" w:cs="Arial"/>
        </w:rPr>
        <w:t>The NHS workforce in numbers</w:t>
      </w:r>
      <w:r w:rsidRPr="005E3402">
        <w:rPr>
          <w:rFonts w:ascii="Arial" w:hAnsi="Arial" w:cs="Arial"/>
        </w:rPr>
        <w:t>. London: The Health Foundation.</w:t>
      </w:r>
    </w:p>
    <w:p w14:paraId="7681D7D0" w14:textId="77777777" w:rsidR="005E3402" w:rsidRPr="005E3402" w:rsidRDefault="005E3402" w:rsidP="005E3402">
      <w:pPr>
        <w:pStyle w:val="NormalWeb"/>
        <w:rPr>
          <w:rFonts w:ascii="Arial" w:hAnsi="Arial" w:cs="Arial"/>
        </w:rPr>
      </w:pPr>
      <w:r w:rsidRPr="005E3402">
        <w:rPr>
          <w:rFonts w:ascii="Arial" w:hAnsi="Arial" w:cs="Arial"/>
        </w:rPr>
        <w:t xml:space="preserve">Care Quality Commission (CQC), 2021. </w:t>
      </w:r>
      <w:r w:rsidRPr="005E3402">
        <w:rPr>
          <w:rStyle w:val="Emphasis"/>
          <w:rFonts w:ascii="Arial" w:eastAsiaTheme="majorEastAsia" w:hAnsi="Arial" w:cs="Arial"/>
        </w:rPr>
        <w:t>The state of care in NHS and adult social care services 2020/21</w:t>
      </w:r>
      <w:r w:rsidRPr="005E3402">
        <w:rPr>
          <w:rFonts w:ascii="Arial" w:hAnsi="Arial" w:cs="Arial"/>
        </w:rPr>
        <w:t xml:space="preserve">. [online] Available at: </w:t>
      </w:r>
      <w:hyperlink r:id="rId11" w:tgtFrame="_new" w:history="1">
        <w:r w:rsidRPr="005E3402">
          <w:rPr>
            <w:rStyle w:val="Hyperlink"/>
            <w:rFonts w:ascii="Arial" w:eastAsiaTheme="majorEastAsia" w:hAnsi="Arial" w:cs="Arial"/>
          </w:rPr>
          <w:t>https://www.cqc.org.uk</w:t>
        </w:r>
      </w:hyperlink>
      <w:r w:rsidRPr="005E3402">
        <w:rPr>
          <w:rFonts w:ascii="Arial" w:hAnsi="Arial" w:cs="Arial"/>
        </w:rPr>
        <w:t xml:space="preserve"> [Accessed 24 Nov. 2025].</w:t>
      </w:r>
    </w:p>
    <w:p w14:paraId="6E4132FC" w14:textId="77777777" w:rsidR="005E3402" w:rsidRPr="005E3402" w:rsidRDefault="005E3402" w:rsidP="005E3402">
      <w:pPr>
        <w:pStyle w:val="NormalWeb"/>
        <w:rPr>
          <w:rFonts w:ascii="Arial" w:hAnsi="Arial" w:cs="Arial"/>
        </w:rPr>
      </w:pPr>
      <w:r w:rsidRPr="005E3402">
        <w:rPr>
          <w:rFonts w:ascii="Arial" w:hAnsi="Arial" w:cs="Arial"/>
        </w:rPr>
        <w:t xml:space="preserve">Care Quality Commission (CQC), 2022. </w:t>
      </w:r>
      <w:r w:rsidRPr="005E3402">
        <w:rPr>
          <w:rStyle w:val="Emphasis"/>
          <w:rFonts w:ascii="Arial" w:eastAsiaTheme="majorEastAsia" w:hAnsi="Arial" w:cs="Arial"/>
        </w:rPr>
        <w:t>Workforce wellbeing and care quality: frontline experiences</w:t>
      </w:r>
      <w:r w:rsidRPr="005E3402">
        <w:rPr>
          <w:rFonts w:ascii="Arial" w:hAnsi="Arial" w:cs="Arial"/>
        </w:rPr>
        <w:t xml:space="preserve">. [online] Available at: </w:t>
      </w:r>
      <w:hyperlink r:id="rId12" w:tgtFrame="_new" w:history="1">
        <w:r w:rsidRPr="005E3402">
          <w:rPr>
            <w:rStyle w:val="Hyperlink"/>
            <w:rFonts w:ascii="Arial" w:eastAsiaTheme="majorEastAsia" w:hAnsi="Arial" w:cs="Arial"/>
          </w:rPr>
          <w:t>https://www.cqc.org.uk</w:t>
        </w:r>
      </w:hyperlink>
      <w:r w:rsidRPr="005E3402">
        <w:rPr>
          <w:rFonts w:ascii="Arial" w:hAnsi="Arial" w:cs="Arial"/>
        </w:rPr>
        <w:t xml:space="preserve"> [Accessed 23 Nov. 2025].</w:t>
      </w:r>
    </w:p>
    <w:p w14:paraId="564DD805" w14:textId="77777777" w:rsidR="005E3402" w:rsidRPr="005E3402" w:rsidRDefault="005E3402" w:rsidP="005E3402">
      <w:pPr>
        <w:pStyle w:val="NormalWeb"/>
        <w:rPr>
          <w:rFonts w:ascii="Arial" w:hAnsi="Arial" w:cs="Arial"/>
        </w:rPr>
      </w:pPr>
      <w:r w:rsidRPr="005E3402">
        <w:rPr>
          <w:rFonts w:ascii="Arial" w:hAnsi="Arial" w:cs="Arial"/>
        </w:rPr>
        <w:t xml:space="preserve">Edmondson, A.C., 1999. Psychological safety and learning behavior in work teams. </w:t>
      </w:r>
      <w:r w:rsidRPr="005E3402">
        <w:rPr>
          <w:rStyle w:val="Emphasis"/>
          <w:rFonts w:ascii="Arial" w:eastAsiaTheme="majorEastAsia" w:hAnsi="Arial" w:cs="Arial"/>
        </w:rPr>
        <w:t>Administrative Science Quarterly</w:t>
      </w:r>
      <w:r w:rsidRPr="005E3402">
        <w:rPr>
          <w:rFonts w:ascii="Arial" w:hAnsi="Arial" w:cs="Arial"/>
        </w:rPr>
        <w:t>, 44(2), pp.350–383.</w:t>
      </w:r>
    </w:p>
    <w:p w14:paraId="03651601" w14:textId="77777777" w:rsidR="005E3402" w:rsidRPr="005E3402" w:rsidRDefault="005E3402" w:rsidP="005E3402">
      <w:pPr>
        <w:pStyle w:val="NormalWeb"/>
        <w:rPr>
          <w:rFonts w:ascii="Arial" w:hAnsi="Arial" w:cs="Arial"/>
        </w:rPr>
      </w:pPr>
      <w:r w:rsidRPr="005E3402">
        <w:rPr>
          <w:rFonts w:ascii="Arial" w:hAnsi="Arial" w:cs="Arial"/>
        </w:rPr>
        <w:t xml:space="preserve">Hall, L.H., Johnson, J., Watt, I., </w:t>
      </w:r>
      <w:proofErr w:type="spellStart"/>
      <w:r w:rsidRPr="005E3402">
        <w:rPr>
          <w:rFonts w:ascii="Arial" w:hAnsi="Arial" w:cs="Arial"/>
        </w:rPr>
        <w:t>Tsipa</w:t>
      </w:r>
      <w:proofErr w:type="spellEnd"/>
      <w:r w:rsidRPr="005E3402">
        <w:rPr>
          <w:rFonts w:ascii="Arial" w:hAnsi="Arial" w:cs="Arial"/>
        </w:rPr>
        <w:t xml:space="preserve">, A. and O'Connor, D.B., 2022. Healthcare staff wellbeing and burnout: A meta-synthesis of the qualitative literature. </w:t>
      </w:r>
      <w:r w:rsidRPr="005E3402">
        <w:rPr>
          <w:rStyle w:val="Emphasis"/>
          <w:rFonts w:ascii="Arial" w:eastAsiaTheme="majorEastAsia" w:hAnsi="Arial" w:cs="Arial"/>
        </w:rPr>
        <w:t>BMC Health Services Research</w:t>
      </w:r>
      <w:r w:rsidRPr="005E3402">
        <w:rPr>
          <w:rFonts w:ascii="Arial" w:hAnsi="Arial" w:cs="Arial"/>
        </w:rPr>
        <w:t>, 22(1), p.345.</w:t>
      </w:r>
    </w:p>
    <w:p w14:paraId="5809E433" w14:textId="77777777" w:rsidR="005E3402" w:rsidRPr="005E3402" w:rsidRDefault="005E3402" w:rsidP="005E3402">
      <w:pPr>
        <w:pStyle w:val="NormalWeb"/>
        <w:rPr>
          <w:rFonts w:ascii="Arial" w:hAnsi="Arial" w:cs="Arial"/>
        </w:rPr>
      </w:pPr>
      <w:r w:rsidRPr="005E3402">
        <w:rPr>
          <w:rFonts w:ascii="Arial" w:hAnsi="Arial" w:cs="Arial"/>
        </w:rPr>
        <w:t xml:space="preserve">Henderson, M., Willis, R. and Davies, A., 2022. Leadership styles and psychological wellbeing in UK healthcare: A realist synthesis. </w:t>
      </w:r>
      <w:r w:rsidRPr="005E3402">
        <w:rPr>
          <w:rStyle w:val="Emphasis"/>
          <w:rFonts w:ascii="Arial" w:eastAsiaTheme="majorEastAsia" w:hAnsi="Arial" w:cs="Arial"/>
        </w:rPr>
        <w:t>BMJ Leader</w:t>
      </w:r>
      <w:r w:rsidRPr="005E3402">
        <w:rPr>
          <w:rFonts w:ascii="Arial" w:hAnsi="Arial" w:cs="Arial"/>
        </w:rPr>
        <w:t>, 6(2), pp.56–63.</w:t>
      </w:r>
    </w:p>
    <w:p w14:paraId="0E846F71" w14:textId="77777777" w:rsidR="005E3402" w:rsidRPr="005E3402" w:rsidRDefault="005E3402" w:rsidP="005E3402">
      <w:pPr>
        <w:pStyle w:val="NormalWeb"/>
        <w:rPr>
          <w:rFonts w:ascii="Arial" w:hAnsi="Arial" w:cs="Arial"/>
        </w:rPr>
      </w:pPr>
      <w:r w:rsidRPr="005E3402">
        <w:rPr>
          <w:rFonts w:ascii="Arial" w:hAnsi="Arial" w:cs="Arial"/>
        </w:rPr>
        <w:t xml:space="preserve">Jennings, B.M., Boyle, D.K., Lindell, D.F. and Everett, L.Q., 2022. Autonomy and job satisfaction in nursing: A longitudinal study. </w:t>
      </w:r>
      <w:r w:rsidRPr="005E3402">
        <w:rPr>
          <w:rStyle w:val="Emphasis"/>
          <w:rFonts w:ascii="Arial" w:eastAsiaTheme="majorEastAsia" w:hAnsi="Arial" w:cs="Arial"/>
        </w:rPr>
        <w:t>Journal of Advanced Nursing</w:t>
      </w:r>
      <w:r w:rsidRPr="005E3402">
        <w:rPr>
          <w:rFonts w:ascii="Arial" w:hAnsi="Arial" w:cs="Arial"/>
        </w:rPr>
        <w:t>, 78(5), pp.1299–1311.</w:t>
      </w:r>
    </w:p>
    <w:p w14:paraId="09B3FFA5" w14:textId="77777777" w:rsidR="005E3402" w:rsidRPr="005E3402" w:rsidRDefault="005E3402" w:rsidP="005E3402">
      <w:pPr>
        <w:pStyle w:val="NormalWeb"/>
        <w:rPr>
          <w:rFonts w:ascii="Arial" w:hAnsi="Arial" w:cs="Arial"/>
        </w:rPr>
      </w:pPr>
      <w:proofErr w:type="spellStart"/>
      <w:r w:rsidRPr="005E3402">
        <w:rPr>
          <w:rFonts w:ascii="Arial" w:hAnsi="Arial" w:cs="Arial"/>
        </w:rPr>
        <w:t>Kinman</w:t>
      </w:r>
      <w:proofErr w:type="spellEnd"/>
      <w:r w:rsidRPr="005E3402">
        <w:rPr>
          <w:rFonts w:ascii="Arial" w:hAnsi="Arial" w:cs="Arial"/>
        </w:rPr>
        <w:t xml:space="preserve">, G. and Teoh, K., 2021. </w:t>
      </w:r>
      <w:r w:rsidRPr="005E3402">
        <w:rPr>
          <w:rStyle w:val="Emphasis"/>
          <w:rFonts w:ascii="Arial" w:eastAsiaTheme="majorEastAsia" w:hAnsi="Arial" w:cs="Arial"/>
        </w:rPr>
        <w:t>What could make a difference to the mental health of UK doctors? A review of the research evidence</w:t>
      </w:r>
      <w:r w:rsidRPr="005E3402">
        <w:rPr>
          <w:rFonts w:ascii="Arial" w:hAnsi="Arial" w:cs="Arial"/>
        </w:rPr>
        <w:t>. London: Society of Occupational Medicine.</w:t>
      </w:r>
    </w:p>
    <w:p w14:paraId="59631C41" w14:textId="77777777" w:rsidR="005E3402" w:rsidRPr="005E3402" w:rsidRDefault="005E3402" w:rsidP="005E3402">
      <w:pPr>
        <w:pStyle w:val="NormalWeb"/>
        <w:rPr>
          <w:rFonts w:ascii="Arial" w:hAnsi="Arial" w:cs="Arial"/>
        </w:rPr>
      </w:pPr>
      <w:proofErr w:type="spellStart"/>
      <w:r w:rsidRPr="005E3402">
        <w:rPr>
          <w:rFonts w:ascii="Arial" w:hAnsi="Arial" w:cs="Arial"/>
        </w:rPr>
        <w:t>Laschinger</w:t>
      </w:r>
      <w:proofErr w:type="spellEnd"/>
      <w:r w:rsidRPr="005E3402">
        <w:rPr>
          <w:rFonts w:ascii="Arial" w:hAnsi="Arial" w:cs="Arial"/>
        </w:rPr>
        <w:t xml:space="preserve">, H.K.S., Wong, C.A. and Grau, A.L., 2021. Authentic leadership, empowerment and burnout: A comparison in new graduate nurses. </w:t>
      </w:r>
      <w:r w:rsidRPr="005E3402">
        <w:rPr>
          <w:rStyle w:val="Emphasis"/>
          <w:rFonts w:ascii="Arial" w:eastAsiaTheme="majorEastAsia" w:hAnsi="Arial" w:cs="Arial"/>
        </w:rPr>
        <w:t>Journal of Nursing Management</w:t>
      </w:r>
      <w:r w:rsidRPr="005E3402">
        <w:rPr>
          <w:rFonts w:ascii="Arial" w:hAnsi="Arial" w:cs="Arial"/>
        </w:rPr>
        <w:t>, 29(6), pp.1195–1204.</w:t>
      </w:r>
    </w:p>
    <w:p w14:paraId="4A3FD61C" w14:textId="77777777" w:rsidR="005E3402" w:rsidRPr="005E3402" w:rsidRDefault="005E3402" w:rsidP="005E3402">
      <w:pPr>
        <w:pStyle w:val="NormalWeb"/>
        <w:rPr>
          <w:rFonts w:ascii="Arial" w:hAnsi="Arial" w:cs="Arial"/>
        </w:rPr>
      </w:pPr>
      <w:r w:rsidRPr="005E3402">
        <w:rPr>
          <w:rFonts w:ascii="Arial" w:hAnsi="Arial" w:cs="Arial"/>
        </w:rPr>
        <w:t xml:space="preserve">Mannion, R. and Davies, H.T.O., 2018. Understanding </w:t>
      </w:r>
      <w:proofErr w:type="spellStart"/>
      <w:r w:rsidRPr="005E3402">
        <w:rPr>
          <w:rFonts w:ascii="Arial" w:hAnsi="Arial" w:cs="Arial"/>
        </w:rPr>
        <w:t>organisational</w:t>
      </w:r>
      <w:proofErr w:type="spellEnd"/>
      <w:r w:rsidRPr="005E3402">
        <w:rPr>
          <w:rFonts w:ascii="Arial" w:hAnsi="Arial" w:cs="Arial"/>
        </w:rPr>
        <w:t xml:space="preserve"> culture for healthcare quality improvement. </w:t>
      </w:r>
      <w:r w:rsidRPr="005E3402">
        <w:rPr>
          <w:rStyle w:val="Emphasis"/>
          <w:rFonts w:ascii="Arial" w:eastAsiaTheme="majorEastAsia" w:hAnsi="Arial" w:cs="Arial"/>
        </w:rPr>
        <w:t>BMJ</w:t>
      </w:r>
      <w:r w:rsidRPr="005E3402">
        <w:rPr>
          <w:rFonts w:ascii="Arial" w:hAnsi="Arial" w:cs="Arial"/>
        </w:rPr>
        <w:t>, 363, k4907.</w:t>
      </w:r>
    </w:p>
    <w:p w14:paraId="0E05CA9D" w14:textId="77777777" w:rsidR="005E3402" w:rsidRPr="005E3402" w:rsidRDefault="005E3402" w:rsidP="005E3402">
      <w:pPr>
        <w:pStyle w:val="NormalWeb"/>
        <w:rPr>
          <w:rFonts w:ascii="Arial" w:hAnsi="Arial" w:cs="Arial"/>
        </w:rPr>
      </w:pPr>
      <w:r w:rsidRPr="005E3402">
        <w:rPr>
          <w:rFonts w:ascii="Arial" w:hAnsi="Arial" w:cs="Arial"/>
        </w:rPr>
        <w:t xml:space="preserve">Montgomery, A., </w:t>
      </w:r>
      <w:proofErr w:type="spellStart"/>
      <w:r w:rsidRPr="005E3402">
        <w:rPr>
          <w:rFonts w:ascii="Arial" w:hAnsi="Arial" w:cs="Arial"/>
        </w:rPr>
        <w:t>Panagopoulou</w:t>
      </w:r>
      <w:proofErr w:type="spellEnd"/>
      <w:r w:rsidRPr="005E3402">
        <w:rPr>
          <w:rFonts w:ascii="Arial" w:hAnsi="Arial" w:cs="Arial"/>
        </w:rPr>
        <w:t xml:space="preserve">, E. and Esmail, A., 2021. Burnout in healthcare: The case for </w:t>
      </w:r>
      <w:proofErr w:type="spellStart"/>
      <w:r w:rsidRPr="005E3402">
        <w:rPr>
          <w:rFonts w:ascii="Arial" w:hAnsi="Arial" w:cs="Arial"/>
        </w:rPr>
        <w:t>organisational</w:t>
      </w:r>
      <w:proofErr w:type="spellEnd"/>
      <w:r w:rsidRPr="005E3402">
        <w:rPr>
          <w:rFonts w:ascii="Arial" w:hAnsi="Arial" w:cs="Arial"/>
        </w:rPr>
        <w:t xml:space="preserve"> change. </w:t>
      </w:r>
      <w:r w:rsidRPr="005E3402">
        <w:rPr>
          <w:rStyle w:val="Emphasis"/>
          <w:rFonts w:ascii="Arial" w:eastAsiaTheme="majorEastAsia" w:hAnsi="Arial" w:cs="Arial"/>
        </w:rPr>
        <w:t>BMJ</w:t>
      </w:r>
      <w:r w:rsidRPr="005E3402">
        <w:rPr>
          <w:rFonts w:ascii="Arial" w:hAnsi="Arial" w:cs="Arial"/>
        </w:rPr>
        <w:t>, 375, n2343.</w:t>
      </w:r>
    </w:p>
    <w:p w14:paraId="0F3AA5BB" w14:textId="77777777" w:rsidR="005E3402" w:rsidRPr="005E3402" w:rsidRDefault="005E3402" w:rsidP="005E3402">
      <w:pPr>
        <w:pStyle w:val="NormalWeb"/>
        <w:rPr>
          <w:rFonts w:ascii="Arial" w:hAnsi="Arial" w:cs="Arial"/>
        </w:rPr>
      </w:pPr>
      <w:r w:rsidRPr="005E3402">
        <w:rPr>
          <w:rFonts w:ascii="Arial" w:hAnsi="Arial" w:cs="Arial"/>
        </w:rPr>
        <w:t xml:space="preserve">Morrison, E., Henderson, M. and West, M.A., 2021. The impact of psychological safety on healthcare team effectiveness: A UK study. </w:t>
      </w:r>
      <w:r w:rsidRPr="005E3402">
        <w:rPr>
          <w:rStyle w:val="Emphasis"/>
          <w:rFonts w:ascii="Arial" w:eastAsiaTheme="majorEastAsia" w:hAnsi="Arial" w:cs="Arial"/>
        </w:rPr>
        <w:t>Journal of Health Organization and Management</w:t>
      </w:r>
      <w:r w:rsidRPr="005E3402">
        <w:rPr>
          <w:rFonts w:ascii="Arial" w:hAnsi="Arial" w:cs="Arial"/>
        </w:rPr>
        <w:t>, 35(8), pp.923–938.</w:t>
      </w:r>
    </w:p>
    <w:p w14:paraId="57F4AF5A" w14:textId="77777777" w:rsidR="005E3402" w:rsidRPr="005E3402" w:rsidRDefault="005E3402" w:rsidP="005E3402">
      <w:pPr>
        <w:pStyle w:val="NormalWeb"/>
        <w:rPr>
          <w:rFonts w:ascii="Arial" w:hAnsi="Arial" w:cs="Arial"/>
        </w:rPr>
      </w:pPr>
      <w:r w:rsidRPr="005E3402">
        <w:rPr>
          <w:rFonts w:ascii="Arial" w:hAnsi="Arial" w:cs="Arial"/>
        </w:rPr>
        <w:t xml:space="preserve">NHS Confederation, 2023. </w:t>
      </w:r>
      <w:r w:rsidRPr="005E3402">
        <w:rPr>
          <w:rStyle w:val="Emphasis"/>
          <w:rFonts w:ascii="Arial" w:eastAsiaTheme="majorEastAsia" w:hAnsi="Arial" w:cs="Arial"/>
        </w:rPr>
        <w:t>Embedding wellbeing: Workforce priorities for NHS recovery</w:t>
      </w:r>
      <w:r w:rsidRPr="005E3402">
        <w:rPr>
          <w:rFonts w:ascii="Arial" w:hAnsi="Arial" w:cs="Arial"/>
        </w:rPr>
        <w:t xml:space="preserve">. [online] Available at: </w:t>
      </w:r>
      <w:hyperlink r:id="rId13" w:tgtFrame="_new" w:history="1">
        <w:r w:rsidRPr="005E3402">
          <w:rPr>
            <w:rStyle w:val="Hyperlink"/>
            <w:rFonts w:ascii="Arial" w:eastAsiaTheme="majorEastAsia" w:hAnsi="Arial" w:cs="Arial"/>
          </w:rPr>
          <w:t>https://www.nhsconfed.org</w:t>
        </w:r>
      </w:hyperlink>
      <w:r w:rsidRPr="005E3402">
        <w:rPr>
          <w:rFonts w:ascii="Arial" w:hAnsi="Arial" w:cs="Arial"/>
        </w:rPr>
        <w:t xml:space="preserve"> [Accessed 25 Nov. 2025].</w:t>
      </w:r>
    </w:p>
    <w:p w14:paraId="60F80747" w14:textId="77777777" w:rsidR="005E3402" w:rsidRPr="005E3402" w:rsidRDefault="005E3402" w:rsidP="005E3402">
      <w:pPr>
        <w:pStyle w:val="NormalWeb"/>
        <w:rPr>
          <w:rFonts w:ascii="Arial" w:hAnsi="Arial" w:cs="Arial"/>
        </w:rPr>
      </w:pPr>
      <w:r w:rsidRPr="005E3402">
        <w:rPr>
          <w:rFonts w:ascii="Arial" w:hAnsi="Arial" w:cs="Arial"/>
        </w:rPr>
        <w:t xml:space="preserve">NHS Digital, 2023. </w:t>
      </w:r>
      <w:r w:rsidRPr="005E3402">
        <w:rPr>
          <w:rStyle w:val="Emphasis"/>
          <w:rFonts w:ascii="Arial" w:eastAsiaTheme="majorEastAsia" w:hAnsi="Arial" w:cs="Arial"/>
        </w:rPr>
        <w:t>NHS workforce statistics – vacancies and staff wellbeing indicators: England</w:t>
      </w:r>
      <w:r w:rsidRPr="005E3402">
        <w:rPr>
          <w:rFonts w:ascii="Arial" w:hAnsi="Arial" w:cs="Arial"/>
        </w:rPr>
        <w:t xml:space="preserve">. [online] Available at: </w:t>
      </w:r>
      <w:hyperlink r:id="rId14" w:tgtFrame="_new" w:history="1">
        <w:r w:rsidRPr="005E3402">
          <w:rPr>
            <w:rStyle w:val="Hyperlink"/>
            <w:rFonts w:ascii="Arial" w:eastAsiaTheme="majorEastAsia" w:hAnsi="Arial" w:cs="Arial"/>
          </w:rPr>
          <w:t>https://digital.nhs.uk</w:t>
        </w:r>
      </w:hyperlink>
      <w:r w:rsidRPr="005E3402">
        <w:rPr>
          <w:rFonts w:ascii="Arial" w:hAnsi="Arial" w:cs="Arial"/>
        </w:rPr>
        <w:t xml:space="preserve"> [Accessed 24 Nov. 2025].</w:t>
      </w:r>
    </w:p>
    <w:p w14:paraId="263C2B1A" w14:textId="77777777" w:rsidR="005E3402" w:rsidRPr="005E3402" w:rsidRDefault="005E3402" w:rsidP="005E3402">
      <w:pPr>
        <w:pStyle w:val="NormalWeb"/>
        <w:rPr>
          <w:rFonts w:ascii="Arial" w:hAnsi="Arial" w:cs="Arial"/>
        </w:rPr>
      </w:pPr>
      <w:r w:rsidRPr="005E3402">
        <w:rPr>
          <w:rFonts w:ascii="Arial" w:hAnsi="Arial" w:cs="Arial"/>
        </w:rPr>
        <w:t xml:space="preserve">NHS England, 2020. </w:t>
      </w:r>
      <w:r w:rsidRPr="005E3402">
        <w:rPr>
          <w:rStyle w:val="Emphasis"/>
          <w:rFonts w:ascii="Arial" w:eastAsiaTheme="majorEastAsia" w:hAnsi="Arial" w:cs="Arial"/>
        </w:rPr>
        <w:t>We are the NHS: People Plan 2020/21 – action for us all</w:t>
      </w:r>
      <w:r w:rsidRPr="005E3402">
        <w:rPr>
          <w:rFonts w:ascii="Arial" w:hAnsi="Arial" w:cs="Arial"/>
        </w:rPr>
        <w:t xml:space="preserve">. [online] London: NHS. Available at: </w:t>
      </w:r>
      <w:hyperlink r:id="rId15" w:tgtFrame="_new" w:history="1">
        <w:r w:rsidRPr="005E3402">
          <w:rPr>
            <w:rStyle w:val="Hyperlink"/>
            <w:rFonts w:ascii="Arial" w:eastAsiaTheme="majorEastAsia" w:hAnsi="Arial" w:cs="Arial"/>
          </w:rPr>
          <w:t>https://www.england.nhs.uk</w:t>
        </w:r>
      </w:hyperlink>
      <w:r w:rsidRPr="005E3402">
        <w:rPr>
          <w:rFonts w:ascii="Arial" w:hAnsi="Arial" w:cs="Arial"/>
        </w:rPr>
        <w:t xml:space="preserve"> [Accessed 22 Nov. 2025].</w:t>
      </w:r>
    </w:p>
    <w:p w14:paraId="6D4E4508" w14:textId="77777777" w:rsidR="005E3402" w:rsidRPr="005E3402" w:rsidRDefault="005E3402" w:rsidP="005E3402">
      <w:pPr>
        <w:pStyle w:val="NormalWeb"/>
        <w:rPr>
          <w:rFonts w:ascii="Arial" w:hAnsi="Arial" w:cs="Arial"/>
        </w:rPr>
      </w:pPr>
      <w:r w:rsidRPr="005E3402">
        <w:rPr>
          <w:rFonts w:ascii="Arial" w:hAnsi="Arial" w:cs="Arial"/>
        </w:rPr>
        <w:t xml:space="preserve">NHS England, 2023. </w:t>
      </w:r>
      <w:r w:rsidRPr="005E3402">
        <w:rPr>
          <w:rStyle w:val="Emphasis"/>
          <w:rFonts w:ascii="Arial" w:eastAsiaTheme="majorEastAsia" w:hAnsi="Arial" w:cs="Arial"/>
        </w:rPr>
        <w:t>Interim NHS Long Term Workforce Plan</w:t>
      </w:r>
      <w:r w:rsidRPr="005E3402">
        <w:rPr>
          <w:rFonts w:ascii="Arial" w:hAnsi="Arial" w:cs="Arial"/>
        </w:rPr>
        <w:t xml:space="preserve">. [online] Available at: </w:t>
      </w:r>
      <w:hyperlink r:id="rId16" w:tgtFrame="_new" w:history="1">
        <w:r w:rsidRPr="005E3402">
          <w:rPr>
            <w:rStyle w:val="Hyperlink"/>
            <w:rFonts w:ascii="Arial" w:eastAsiaTheme="majorEastAsia" w:hAnsi="Arial" w:cs="Arial"/>
          </w:rPr>
          <w:t>https://www.england.nhs.uk</w:t>
        </w:r>
      </w:hyperlink>
      <w:r w:rsidRPr="005E3402">
        <w:rPr>
          <w:rFonts w:ascii="Arial" w:hAnsi="Arial" w:cs="Arial"/>
        </w:rPr>
        <w:t xml:space="preserve"> [Accessed 23 Nov. 2025].</w:t>
      </w:r>
    </w:p>
    <w:p w14:paraId="6EBB33C6" w14:textId="77777777" w:rsidR="005E3402" w:rsidRPr="005E3402" w:rsidRDefault="005E3402" w:rsidP="005E3402">
      <w:pPr>
        <w:pStyle w:val="NormalWeb"/>
        <w:rPr>
          <w:rFonts w:ascii="Arial" w:hAnsi="Arial" w:cs="Arial"/>
        </w:rPr>
      </w:pPr>
      <w:r w:rsidRPr="005E3402">
        <w:rPr>
          <w:rFonts w:ascii="Arial" w:hAnsi="Arial" w:cs="Arial"/>
        </w:rPr>
        <w:t xml:space="preserve">NHS Improvement, 2021. </w:t>
      </w:r>
      <w:r w:rsidRPr="005E3402">
        <w:rPr>
          <w:rStyle w:val="Emphasis"/>
          <w:rFonts w:ascii="Arial" w:eastAsiaTheme="majorEastAsia" w:hAnsi="Arial" w:cs="Arial"/>
        </w:rPr>
        <w:t>NHS Workforce Wellbeing Framework</w:t>
      </w:r>
      <w:r w:rsidRPr="005E3402">
        <w:rPr>
          <w:rFonts w:ascii="Arial" w:hAnsi="Arial" w:cs="Arial"/>
        </w:rPr>
        <w:t xml:space="preserve">. [online] Available at: </w:t>
      </w:r>
      <w:hyperlink r:id="rId17" w:tgtFrame="_new" w:history="1">
        <w:r w:rsidRPr="005E3402">
          <w:rPr>
            <w:rStyle w:val="Hyperlink"/>
            <w:rFonts w:ascii="Arial" w:eastAsiaTheme="majorEastAsia" w:hAnsi="Arial" w:cs="Arial"/>
          </w:rPr>
          <w:t>https://improvement.nhs.uk</w:t>
        </w:r>
      </w:hyperlink>
      <w:r w:rsidRPr="005E3402">
        <w:rPr>
          <w:rFonts w:ascii="Arial" w:hAnsi="Arial" w:cs="Arial"/>
        </w:rPr>
        <w:t xml:space="preserve"> [Accessed 22 Nov. 2025].</w:t>
      </w:r>
    </w:p>
    <w:p w14:paraId="1EBE141D" w14:textId="77777777" w:rsidR="005E3402" w:rsidRPr="005E3402" w:rsidRDefault="005E3402" w:rsidP="005E3402">
      <w:pPr>
        <w:pStyle w:val="NormalWeb"/>
        <w:rPr>
          <w:rFonts w:ascii="Arial" w:hAnsi="Arial" w:cs="Arial"/>
        </w:rPr>
      </w:pPr>
      <w:r w:rsidRPr="005E3402">
        <w:rPr>
          <w:rFonts w:ascii="Arial" w:hAnsi="Arial" w:cs="Arial"/>
        </w:rPr>
        <w:t xml:space="preserve">National Academy of Medicine (NAM), 2022. </w:t>
      </w:r>
      <w:r w:rsidRPr="005E3402">
        <w:rPr>
          <w:rStyle w:val="Emphasis"/>
          <w:rFonts w:ascii="Arial" w:eastAsiaTheme="majorEastAsia" w:hAnsi="Arial" w:cs="Arial"/>
        </w:rPr>
        <w:t>Taking action against clinician burnout: A systems approach to professional wellbeing</w:t>
      </w:r>
      <w:r w:rsidRPr="005E3402">
        <w:rPr>
          <w:rFonts w:ascii="Arial" w:hAnsi="Arial" w:cs="Arial"/>
        </w:rPr>
        <w:t>. Washington DC: National Academies Press.</w:t>
      </w:r>
    </w:p>
    <w:p w14:paraId="7D1666A3" w14:textId="77777777" w:rsidR="005E3402" w:rsidRPr="005E3402" w:rsidRDefault="005E3402" w:rsidP="005E3402">
      <w:pPr>
        <w:pStyle w:val="NormalWeb"/>
        <w:rPr>
          <w:rFonts w:ascii="Arial" w:hAnsi="Arial" w:cs="Arial"/>
        </w:rPr>
      </w:pPr>
      <w:proofErr w:type="spellStart"/>
      <w:r w:rsidRPr="005E3402">
        <w:rPr>
          <w:rFonts w:ascii="Arial" w:hAnsi="Arial" w:cs="Arial"/>
        </w:rPr>
        <w:t>Shanafelt</w:t>
      </w:r>
      <w:proofErr w:type="spellEnd"/>
      <w:r w:rsidRPr="005E3402">
        <w:rPr>
          <w:rFonts w:ascii="Arial" w:hAnsi="Arial" w:cs="Arial"/>
        </w:rPr>
        <w:t xml:space="preserve">, T.D., </w:t>
      </w:r>
      <w:proofErr w:type="spellStart"/>
      <w:r w:rsidRPr="005E3402">
        <w:rPr>
          <w:rFonts w:ascii="Arial" w:hAnsi="Arial" w:cs="Arial"/>
        </w:rPr>
        <w:t>Goh</w:t>
      </w:r>
      <w:proofErr w:type="spellEnd"/>
      <w:r w:rsidRPr="005E3402">
        <w:rPr>
          <w:rFonts w:ascii="Arial" w:hAnsi="Arial" w:cs="Arial"/>
        </w:rPr>
        <w:t xml:space="preserve">, J. and </w:t>
      </w:r>
      <w:proofErr w:type="spellStart"/>
      <w:r w:rsidRPr="005E3402">
        <w:rPr>
          <w:rFonts w:ascii="Arial" w:hAnsi="Arial" w:cs="Arial"/>
        </w:rPr>
        <w:t>Sinsky</w:t>
      </w:r>
      <w:proofErr w:type="spellEnd"/>
      <w:r w:rsidRPr="005E3402">
        <w:rPr>
          <w:rFonts w:ascii="Arial" w:hAnsi="Arial" w:cs="Arial"/>
        </w:rPr>
        <w:t xml:space="preserve">, C., 2021. The business case for investing in physician wellbeing. </w:t>
      </w:r>
      <w:r w:rsidRPr="005E3402">
        <w:rPr>
          <w:rStyle w:val="Emphasis"/>
          <w:rFonts w:ascii="Arial" w:eastAsiaTheme="majorEastAsia" w:hAnsi="Arial" w:cs="Arial"/>
        </w:rPr>
        <w:t>JAMA Internal Medicine</w:t>
      </w:r>
      <w:r w:rsidRPr="005E3402">
        <w:rPr>
          <w:rFonts w:ascii="Arial" w:hAnsi="Arial" w:cs="Arial"/>
        </w:rPr>
        <w:t>, 181(6), pp.902–910.</w:t>
      </w:r>
    </w:p>
    <w:p w14:paraId="5F6C6DB4" w14:textId="77777777" w:rsidR="005E3402" w:rsidRPr="005E3402" w:rsidRDefault="005E3402" w:rsidP="005E3402">
      <w:pPr>
        <w:pStyle w:val="NormalWeb"/>
        <w:rPr>
          <w:rFonts w:ascii="Arial" w:hAnsi="Arial" w:cs="Arial"/>
        </w:rPr>
      </w:pPr>
      <w:r w:rsidRPr="005E3402">
        <w:rPr>
          <w:rFonts w:ascii="Arial" w:hAnsi="Arial" w:cs="Arial"/>
        </w:rPr>
        <w:t xml:space="preserve">Shuck, B., </w:t>
      </w:r>
      <w:proofErr w:type="spellStart"/>
      <w:r w:rsidRPr="005E3402">
        <w:rPr>
          <w:rFonts w:ascii="Arial" w:hAnsi="Arial" w:cs="Arial"/>
        </w:rPr>
        <w:t>Zigarmi</w:t>
      </w:r>
      <w:proofErr w:type="spellEnd"/>
      <w:r w:rsidRPr="005E3402">
        <w:rPr>
          <w:rFonts w:ascii="Arial" w:hAnsi="Arial" w:cs="Arial"/>
        </w:rPr>
        <w:t xml:space="preserve">, D. and Owen, J.E., 2022. Employee engagement and Maslow’s hierarchy of needs. </w:t>
      </w:r>
      <w:r w:rsidRPr="005E3402">
        <w:rPr>
          <w:rStyle w:val="Emphasis"/>
          <w:rFonts w:ascii="Arial" w:eastAsiaTheme="majorEastAsia" w:hAnsi="Arial" w:cs="Arial"/>
        </w:rPr>
        <w:t>Journal of Leadership Studies</w:t>
      </w:r>
      <w:r w:rsidRPr="005E3402">
        <w:rPr>
          <w:rFonts w:ascii="Arial" w:hAnsi="Arial" w:cs="Arial"/>
        </w:rPr>
        <w:t>, 16(2), pp.54–63.</w:t>
      </w:r>
    </w:p>
    <w:p w14:paraId="5DB98135" w14:textId="77777777" w:rsidR="005E3402" w:rsidRPr="005E3402" w:rsidRDefault="005E3402" w:rsidP="005E3402">
      <w:pPr>
        <w:pStyle w:val="NormalWeb"/>
        <w:rPr>
          <w:rFonts w:ascii="Arial" w:hAnsi="Arial" w:cs="Arial"/>
        </w:rPr>
      </w:pPr>
      <w:r w:rsidRPr="005E3402">
        <w:rPr>
          <w:rFonts w:ascii="Arial" w:hAnsi="Arial" w:cs="Arial"/>
        </w:rPr>
        <w:t xml:space="preserve">The King’s Fund, 2023. </w:t>
      </w:r>
      <w:r w:rsidRPr="005E3402">
        <w:rPr>
          <w:rStyle w:val="Emphasis"/>
          <w:rFonts w:ascii="Arial" w:eastAsiaTheme="majorEastAsia" w:hAnsi="Arial" w:cs="Arial"/>
        </w:rPr>
        <w:t>Staff experience and wellbeing in the NHS: What the evidence tells us</w:t>
      </w:r>
      <w:r w:rsidRPr="005E3402">
        <w:rPr>
          <w:rFonts w:ascii="Arial" w:hAnsi="Arial" w:cs="Arial"/>
        </w:rPr>
        <w:t xml:space="preserve">. [online] Available at: </w:t>
      </w:r>
      <w:hyperlink r:id="rId18" w:tgtFrame="_new" w:history="1">
        <w:r w:rsidRPr="005E3402">
          <w:rPr>
            <w:rStyle w:val="Hyperlink"/>
            <w:rFonts w:ascii="Arial" w:eastAsiaTheme="majorEastAsia" w:hAnsi="Arial" w:cs="Arial"/>
          </w:rPr>
          <w:t>https://www.kingsfund.org.uk</w:t>
        </w:r>
      </w:hyperlink>
      <w:r w:rsidRPr="005E3402">
        <w:rPr>
          <w:rFonts w:ascii="Arial" w:hAnsi="Arial" w:cs="Arial"/>
        </w:rPr>
        <w:t xml:space="preserve"> [Accessed 24 Nov. 2025].</w:t>
      </w:r>
    </w:p>
    <w:p w14:paraId="309EC0E5" w14:textId="77777777" w:rsidR="005E3402" w:rsidRPr="005E3402" w:rsidRDefault="005E3402" w:rsidP="005E3402">
      <w:pPr>
        <w:pStyle w:val="NormalWeb"/>
        <w:rPr>
          <w:rFonts w:ascii="Arial" w:hAnsi="Arial" w:cs="Arial"/>
        </w:rPr>
      </w:pPr>
      <w:r w:rsidRPr="005E3402">
        <w:rPr>
          <w:rFonts w:ascii="Arial" w:hAnsi="Arial" w:cs="Arial"/>
        </w:rPr>
        <w:t xml:space="preserve">West, M.A., Dawson, J.F. and Kaur, M., 2020. </w:t>
      </w:r>
      <w:r w:rsidRPr="005E3402">
        <w:rPr>
          <w:rStyle w:val="Emphasis"/>
          <w:rFonts w:ascii="Arial" w:eastAsiaTheme="majorEastAsia" w:hAnsi="Arial" w:cs="Arial"/>
        </w:rPr>
        <w:t>Making the case for investing in staff wellbeing in the NHS</w:t>
      </w:r>
      <w:r w:rsidRPr="005E3402">
        <w:rPr>
          <w:rFonts w:ascii="Arial" w:hAnsi="Arial" w:cs="Arial"/>
        </w:rPr>
        <w:t>. London: The King’s Fund.</w:t>
      </w:r>
    </w:p>
    <w:p w14:paraId="555AE795" w14:textId="77777777" w:rsidR="005E3402" w:rsidRPr="005E3402" w:rsidRDefault="005E3402" w:rsidP="005E3402">
      <w:pPr>
        <w:pStyle w:val="NormalWeb"/>
        <w:rPr>
          <w:rFonts w:ascii="Arial" w:hAnsi="Arial" w:cs="Arial"/>
        </w:rPr>
      </w:pPr>
      <w:r w:rsidRPr="005E3402">
        <w:rPr>
          <w:rFonts w:ascii="Arial" w:hAnsi="Arial" w:cs="Arial"/>
        </w:rPr>
        <w:t xml:space="preserve">Zimmerman, M.A., 2000. Empowerment theory: Psychological, organizational and community levels of analysis. In: Rappaport, J. and Seidman, E., eds. </w:t>
      </w:r>
      <w:r w:rsidRPr="005E3402">
        <w:rPr>
          <w:rStyle w:val="Emphasis"/>
          <w:rFonts w:ascii="Arial" w:eastAsiaTheme="majorEastAsia" w:hAnsi="Arial" w:cs="Arial"/>
        </w:rPr>
        <w:t>Handbook of Community Psychology</w:t>
      </w:r>
      <w:r w:rsidRPr="005E3402">
        <w:rPr>
          <w:rFonts w:ascii="Arial" w:hAnsi="Arial" w:cs="Arial"/>
        </w:rPr>
        <w:t>. Boston, MA: Springer, pp.43–63.</w:t>
      </w:r>
    </w:p>
    <w:p w14:paraId="6D5884F9" w14:textId="77777777" w:rsidR="00C06E5B" w:rsidRPr="005E3402" w:rsidRDefault="00C06E5B">
      <w:pPr>
        <w:rPr>
          <w:rFonts w:ascii="Arial" w:hAnsi="Arial" w:cs="Arial"/>
        </w:rPr>
      </w:pPr>
    </w:p>
    <w:sectPr w:rsidR="00C06E5B" w:rsidRPr="005E3402">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CF714" w14:textId="77777777" w:rsidR="00A23293" w:rsidRDefault="00A23293" w:rsidP="005E3402">
      <w:pPr>
        <w:spacing w:before="0" w:after="0"/>
      </w:pPr>
      <w:r>
        <w:separator/>
      </w:r>
    </w:p>
  </w:endnote>
  <w:endnote w:type="continuationSeparator" w:id="0">
    <w:p w14:paraId="220156C4" w14:textId="77777777" w:rsidR="00A23293" w:rsidRDefault="00A23293" w:rsidP="005E3402">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altName w:val="Calibr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6806B" w14:textId="77777777" w:rsidR="00A23293" w:rsidRDefault="00A23293" w:rsidP="005E3402">
      <w:pPr>
        <w:spacing w:before="0" w:after="0"/>
      </w:pPr>
      <w:r>
        <w:separator/>
      </w:r>
    </w:p>
  </w:footnote>
  <w:footnote w:type="continuationSeparator" w:id="0">
    <w:p w14:paraId="593203F4" w14:textId="77777777" w:rsidR="00A23293" w:rsidRDefault="00A23293" w:rsidP="005E3402">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6012340"/>
      <w:docPartObj>
        <w:docPartGallery w:val="Page Numbers (Top of Page)"/>
        <w:docPartUnique/>
      </w:docPartObj>
    </w:sdtPr>
    <w:sdtEndPr>
      <w:rPr>
        <w:noProof/>
      </w:rPr>
    </w:sdtEndPr>
    <w:sdtContent>
      <w:p w14:paraId="448EFCF0" w14:textId="24A97580" w:rsidR="005E3402" w:rsidRDefault="005E340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E555C27" w14:textId="77777777" w:rsidR="005E3402" w:rsidRDefault="005E34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E2D75"/>
    <w:multiLevelType w:val="multilevel"/>
    <w:tmpl w:val="23283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B932F9"/>
    <w:multiLevelType w:val="multilevel"/>
    <w:tmpl w:val="4F8E9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E0381E"/>
    <w:multiLevelType w:val="multilevel"/>
    <w:tmpl w:val="19761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2483169">
    <w:abstractNumId w:val="1"/>
  </w:num>
  <w:num w:numId="2" w16cid:durableId="1242520157">
    <w:abstractNumId w:val="2"/>
  </w:num>
  <w:num w:numId="3" w16cid:durableId="706293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402"/>
    <w:rsid w:val="003A3F63"/>
    <w:rsid w:val="003F425F"/>
    <w:rsid w:val="004335EF"/>
    <w:rsid w:val="005E3402"/>
    <w:rsid w:val="00722586"/>
    <w:rsid w:val="00A23293"/>
    <w:rsid w:val="00C06E5B"/>
    <w:rsid w:val="00C14D75"/>
    <w:rsid w:val="00D978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0312E"/>
  <w15:chartTrackingRefBased/>
  <w15:docId w15:val="{CB55A569-2567-4C71-8927-D0FBA8FEA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20"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340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E34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E3402"/>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5E34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402"/>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5E3402"/>
    <w:rPr>
      <w:rFonts w:ascii="Times New Roman" w:eastAsia="Times New Roman" w:hAnsi="Times New Roman" w:cs="Times New Roman"/>
      <w:b/>
      <w:bCs/>
      <w:sz w:val="27"/>
      <w:szCs w:val="27"/>
    </w:rPr>
  </w:style>
  <w:style w:type="paragraph" w:styleId="NormalWeb">
    <w:name w:val="Normal (Web)"/>
    <w:basedOn w:val="Normal"/>
    <w:uiPriority w:val="99"/>
    <w:unhideWhenUsed/>
    <w:rsid w:val="005E3402"/>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5E3402"/>
    <w:rPr>
      <w:b/>
      <w:bCs/>
    </w:rPr>
  </w:style>
  <w:style w:type="character" w:customStyle="1" w:styleId="Heading2Char">
    <w:name w:val="Heading 2 Char"/>
    <w:basedOn w:val="DefaultParagraphFont"/>
    <w:link w:val="Heading2"/>
    <w:uiPriority w:val="9"/>
    <w:semiHidden/>
    <w:rsid w:val="005E340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5E3402"/>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5E3402"/>
    <w:rPr>
      <w:i/>
      <w:iCs/>
    </w:rPr>
  </w:style>
  <w:style w:type="character" w:styleId="Hyperlink">
    <w:name w:val="Hyperlink"/>
    <w:basedOn w:val="DefaultParagraphFont"/>
    <w:uiPriority w:val="99"/>
    <w:unhideWhenUsed/>
    <w:rsid w:val="005E3402"/>
    <w:rPr>
      <w:color w:val="0000FF"/>
      <w:u w:val="single"/>
    </w:rPr>
  </w:style>
  <w:style w:type="paragraph" w:styleId="Header">
    <w:name w:val="header"/>
    <w:basedOn w:val="Normal"/>
    <w:link w:val="HeaderChar"/>
    <w:uiPriority w:val="99"/>
    <w:unhideWhenUsed/>
    <w:rsid w:val="005E3402"/>
    <w:pPr>
      <w:tabs>
        <w:tab w:val="center" w:pos="4680"/>
        <w:tab w:val="right" w:pos="9360"/>
      </w:tabs>
      <w:spacing w:before="0" w:after="0"/>
    </w:pPr>
  </w:style>
  <w:style w:type="character" w:customStyle="1" w:styleId="HeaderChar">
    <w:name w:val="Header Char"/>
    <w:basedOn w:val="DefaultParagraphFont"/>
    <w:link w:val="Header"/>
    <w:uiPriority w:val="99"/>
    <w:rsid w:val="005E3402"/>
  </w:style>
  <w:style w:type="paragraph" w:styleId="Footer">
    <w:name w:val="footer"/>
    <w:basedOn w:val="Normal"/>
    <w:link w:val="FooterChar"/>
    <w:uiPriority w:val="99"/>
    <w:unhideWhenUsed/>
    <w:rsid w:val="005E3402"/>
    <w:pPr>
      <w:tabs>
        <w:tab w:val="center" w:pos="4680"/>
        <w:tab w:val="right" w:pos="9360"/>
      </w:tabs>
      <w:spacing w:before="0" w:after="0"/>
    </w:pPr>
  </w:style>
  <w:style w:type="character" w:customStyle="1" w:styleId="FooterChar">
    <w:name w:val="Footer Char"/>
    <w:basedOn w:val="DefaultParagraphFont"/>
    <w:link w:val="Footer"/>
    <w:uiPriority w:val="99"/>
    <w:rsid w:val="005E3402"/>
  </w:style>
  <w:style w:type="paragraph" w:styleId="TOCHeading">
    <w:name w:val="TOC Heading"/>
    <w:basedOn w:val="Heading1"/>
    <w:next w:val="Normal"/>
    <w:uiPriority w:val="39"/>
    <w:unhideWhenUsed/>
    <w:qFormat/>
    <w:rsid w:val="005E340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5E3402"/>
    <w:pPr>
      <w:spacing w:after="100"/>
      <w:ind w:left="220"/>
    </w:pPr>
  </w:style>
  <w:style w:type="paragraph" w:styleId="TOC1">
    <w:name w:val="toc 1"/>
    <w:basedOn w:val="Normal"/>
    <w:next w:val="Normal"/>
    <w:autoRedefine/>
    <w:uiPriority w:val="39"/>
    <w:unhideWhenUsed/>
    <w:rsid w:val="005E3402"/>
    <w:pPr>
      <w:spacing w:after="100"/>
    </w:pPr>
  </w:style>
  <w:style w:type="paragraph" w:styleId="TOC3">
    <w:name w:val="toc 3"/>
    <w:basedOn w:val="Normal"/>
    <w:next w:val="Normal"/>
    <w:autoRedefine/>
    <w:uiPriority w:val="39"/>
    <w:unhideWhenUsed/>
    <w:rsid w:val="005E340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12966">
      <w:bodyDiv w:val="1"/>
      <w:marLeft w:val="0"/>
      <w:marRight w:val="0"/>
      <w:marTop w:val="0"/>
      <w:marBottom w:val="0"/>
      <w:divBdr>
        <w:top w:val="none" w:sz="0" w:space="0" w:color="auto"/>
        <w:left w:val="none" w:sz="0" w:space="0" w:color="auto"/>
        <w:bottom w:val="none" w:sz="0" w:space="0" w:color="auto"/>
        <w:right w:val="none" w:sz="0" w:space="0" w:color="auto"/>
      </w:divBdr>
    </w:div>
    <w:div w:id="140735182">
      <w:bodyDiv w:val="1"/>
      <w:marLeft w:val="0"/>
      <w:marRight w:val="0"/>
      <w:marTop w:val="0"/>
      <w:marBottom w:val="0"/>
      <w:divBdr>
        <w:top w:val="none" w:sz="0" w:space="0" w:color="auto"/>
        <w:left w:val="none" w:sz="0" w:space="0" w:color="auto"/>
        <w:bottom w:val="none" w:sz="0" w:space="0" w:color="auto"/>
        <w:right w:val="none" w:sz="0" w:space="0" w:color="auto"/>
      </w:divBdr>
    </w:div>
    <w:div w:id="174348300">
      <w:bodyDiv w:val="1"/>
      <w:marLeft w:val="0"/>
      <w:marRight w:val="0"/>
      <w:marTop w:val="0"/>
      <w:marBottom w:val="0"/>
      <w:divBdr>
        <w:top w:val="none" w:sz="0" w:space="0" w:color="auto"/>
        <w:left w:val="none" w:sz="0" w:space="0" w:color="auto"/>
        <w:bottom w:val="none" w:sz="0" w:space="0" w:color="auto"/>
        <w:right w:val="none" w:sz="0" w:space="0" w:color="auto"/>
      </w:divBdr>
    </w:div>
    <w:div w:id="472451369">
      <w:bodyDiv w:val="1"/>
      <w:marLeft w:val="0"/>
      <w:marRight w:val="0"/>
      <w:marTop w:val="0"/>
      <w:marBottom w:val="0"/>
      <w:divBdr>
        <w:top w:val="none" w:sz="0" w:space="0" w:color="auto"/>
        <w:left w:val="none" w:sz="0" w:space="0" w:color="auto"/>
        <w:bottom w:val="none" w:sz="0" w:space="0" w:color="auto"/>
        <w:right w:val="none" w:sz="0" w:space="0" w:color="auto"/>
      </w:divBdr>
    </w:div>
    <w:div w:id="605816713">
      <w:bodyDiv w:val="1"/>
      <w:marLeft w:val="0"/>
      <w:marRight w:val="0"/>
      <w:marTop w:val="0"/>
      <w:marBottom w:val="0"/>
      <w:divBdr>
        <w:top w:val="none" w:sz="0" w:space="0" w:color="auto"/>
        <w:left w:val="none" w:sz="0" w:space="0" w:color="auto"/>
        <w:bottom w:val="none" w:sz="0" w:space="0" w:color="auto"/>
        <w:right w:val="none" w:sz="0" w:space="0" w:color="auto"/>
      </w:divBdr>
    </w:div>
    <w:div w:id="882014168">
      <w:bodyDiv w:val="1"/>
      <w:marLeft w:val="0"/>
      <w:marRight w:val="0"/>
      <w:marTop w:val="0"/>
      <w:marBottom w:val="0"/>
      <w:divBdr>
        <w:top w:val="none" w:sz="0" w:space="0" w:color="auto"/>
        <w:left w:val="none" w:sz="0" w:space="0" w:color="auto"/>
        <w:bottom w:val="none" w:sz="0" w:space="0" w:color="auto"/>
        <w:right w:val="none" w:sz="0" w:space="0" w:color="auto"/>
      </w:divBdr>
    </w:div>
    <w:div w:id="1435978337">
      <w:bodyDiv w:val="1"/>
      <w:marLeft w:val="0"/>
      <w:marRight w:val="0"/>
      <w:marTop w:val="0"/>
      <w:marBottom w:val="0"/>
      <w:divBdr>
        <w:top w:val="none" w:sz="0" w:space="0" w:color="auto"/>
        <w:left w:val="none" w:sz="0" w:space="0" w:color="auto"/>
        <w:bottom w:val="none" w:sz="0" w:space="0" w:color="auto"/>
        <w:right w:val="none" w:sz="0" w:space="0" w:color="auto"/>
      </w:divBdr>
    </w:div>
    <w:div w:id="1479348647">
      <w:bodyDiv w:val="1"/>
      <w:marLeft w:val="0"/>
      <w:marRight w:val="0"/>
      <w:marTop w:val="0"/>
      <w:marBottom w:val="0"/>
      <w:divBdr>
        <w:top w:val="none" w:sz="0" w:space="0" w:color="auto"/>
        <w:left w:val="none" w:sz="0" w:space="0" w:color="auto"/>
        <w:bottom w:val="none" w:sz="0" w:space="0" w:color="auto"/>
        <w:right w:val="none" w:sz="0" w:space="0" w:color="auto"/>
      </w:divBdr>
    </w:div>
    <w:div w:id="1488941189">
      <w:bodyDiv w:val="1"/>
      <w:marLeft w:val="0"/>
      <w:marRight w:val="0"/>
      <w:marTop w:val="0"/>
      <w:marBottom w:val="0"/>
      <w:divBdr>
        <w:top w:val="none" w:sz="0" w:space="0" w:color="auto"/>
        <w:left w:val="none" w:sz="0" w:space="0" w:color="auto"/>
        <w:bottom w:val="none" w:sz="0" w:space="0" w:color="auto"/>
        <w:right w:val="none" w:sz="0" w:space="0" w:color="auto"/>
      </w:divBdr>
    </w:div>
    <w:div w:id="1733851783">
      <w:bodyDiv w:val="1"/>
      <w:marLeft w:val="0"/>
      <w:marRight w:val="0"/>
      <w:marTop w:val="0"/>
      <w:marBottom w:val="0"/>
      <w:divBdr>
        <w:top w:val="none" w:sz="0" w:space="0" w:color="auto"/>
        <w:left w:val="none" w:sz="0" w:space="0" w:color="auto"/>
        <w:bottom w:val="none" w:sz="0" w:space="0" w:color="auto"/>
        <w:right w:val="none" w:sz="0" w:space="0" w:color="auto"/>
      </w:divBdr>
    </w:div>
    <w:div w:id="1831022597">
      <w:bodyDiv w:val="1"/>
      <w:marLeft w:val="0"/>
      <w:marRight w:val="0"/>
      <w:marTop w:val="0"/>
      <w:marBottom w:val="0"/>
      <w:divBdr>
        <w:top w:val="none" w:sz="0" w:space="0" w:color="auto"/>
        <w:left w:val="none" w:sz="0" w:space="0" w:color="auto"/>
        <w:bottom w:val="none" w:sz="0" w:space="0" w:color="auto"/>
        <w:right w:val="none" w:sz="0" w:space="0" w:color="auto"/>
      </w:divBdr>
    </w:div>
    <w:div w:id="1846553336">
      <w:bodyDiv w:val="1"/>
      <w:marLeft w:val="0"/>
      <w:marRight w:val="0"/>
      <w:marTop w:val="0"/>
      <w:marBottom w:val="0"/>
      <w:divBdr>
        <w:top w:val="none" w:sz="0" w:space="0" w:color="auto"/>
        <w:left w:val="none" w:sz="0" w:space="0" w:color="auto"/>
        <w:bottom w:val="none" w:sz="0" w:space="0" w:color="auto"/>
        <w:right w:val="none" w:sz="0" w:space="0" w:color="auto"/>
      </w:divBdr>
    </w:div>
    <w:div w:id="2047485379">
      <w:bodyDiv w:val="1"/>
      <w:marLeft w:val="0"/>
      <w:marRight w:val="0"/>
      <w:marTop w:val="0"/>
      <w:marBottom w:val="0"/>
      <w:divBdr>
        <w:top w:val="none" w:sz="0" w:space="0" w:color="auto"/>
        <w:left w:val="none" w:sz="0" w:space="0" w:color="auto"/>
        <w:bottom w:val="none" w:sz="0" w:space="0" w:color="auto"/>
        <w:right w:val="none" w:sz="0" w:space="0" w:color="auto"/>
      </w:divBdr>
    </w:div>
    <w:div w:id="2047488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hw.gov.au" TargetMode="External"/><Relationship Id="rId13" Type="http://schemas.openxmlformats.org/officeDocument/2006/relationships/hyperlink" Target="https://www.nhsconfed.org" TargetMode="External"/><Relationship Id="rId18" Type="http://schemas.openxmlformats.org/officeDocument/2006/relationships/hyperlink" Target="https://www.kingsfund.org.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hyperlink" Target="https://improvement.nhs.uk" TargetMode="External"/><Relationship Id="rId2" Type="http://schemas.openxmlformats.org/officeDocument/2006/relationships/numbering" Target="numbering.xml"/><Relationship Id="rId16" Type="http://schemas.openxmlformats.org/officeDocument/2006/relationships/hyperlink" Target="https://www.england.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 TargetMode="External"/><Relationship Id="rId5" Type="http://schemas.openxmlformats.org/officeDocument/2006/relationships/webSettings" Target="webSettings.xml"/><Relationship Id="rId15" Type="http://schemas.openxmlformats.org/officeDocument/2006/relationships/hyperlink" Target="https://www.england.nhs.uk" TargetMode="External"/><Relationship Id="rId10" Type="http://schemas.openxmlformats.org/officeDocument/2006/relationships/hyperlink" Target="https://www.bma.org.u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ma.com.au" TargetMode="Externa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4408E8-2E53-45AB-B88D-F37ACF7DF9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10438</Words>
  <Characters>69300</Characters>
  <Application>Microsoft Office Word</Application>
  <DocSecurity>0</DocSecurity>
  <Lines>577</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THEREALR1 💨☂️</cp:lastModifiedBy>
  <cp:revision>2</cp:revision>
  <dcterms:created xsi:type="dcterms:W3CDTF">2025-12-07T17:47:00Z</dcterms:created>
  <dcterms:modified xsi:type="dcterms:W3CDTF">2025-12-07T17:47:00Z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23a258b1-993f-4f76-a0f7-6162199b646a</vt:lpwstr>
  </property>
</Properties>
</file>