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15FCE" w14:textId="6B8EF467" w:rsidR="006D1BB8" w:rsidRPr="006D1BB8" w:rsidRDefault="006D1BB8" w:rsidP="006D1BB8">
      <w:pPr>
        <w:spacing w:after="0" w:line="240" w:lineRule="auto"/>
        <w:ind w:left="-180" w:right="-334"/>
        <w:rPr>
          <w:rFonts w:ascii="Georgia" w:eastAsia="SimSun" w:hAnsi="Georgia" w:cs="Times New Roman"/>
          <w:color w:val="000000"/>
          <w:sz w:val="21"/>
          <w:szCs w:val="21"/>
          <w:lang w:val="en-GB" w:eastAsia="zh-CN"/>
        </w:rPr>
      </w:pPr>
      <w:bookmarkStart w:id="0" w:name="_Hlk117966202"/>
      <w:bookmarkStart w:id="1" w:name="_Hlk85135188"/>
      <w:r w:rsidRPr="006D1BB8">
        <w:rPr>
          <w:rFonts w:ascii="Georgia" w:eastAsia="SimSun" w:hAnsi="Georgia" w:cs="Times New Roman"/>
          <w:noProof/>
          <w:color w:val="000000"/>
          <w:sz w:val="21"/>
          <w:szCs w:val="21"/>
          <w:lang w:val="en-GB" w:eastAsia="zh-CN"/>
        </w:rPr>
        <w:drawing>
          <wp:inline distT="0" distB="0" distL="0" distR="0" wp14:anchorId="23640646" wp14:editId="49415CB9">
            <wp:extent cx="1908175" cy="634365"/>
            <wp:effectExtent l="19050" t="19050" r="1587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4365"/>
                    </a:xfrm>
                    <a:prstGeom prst="rect">
                      <a:avLst/>
                    </a:prstGeom>
                    <a:noFill/>
                    <a:ln w="19050" cmpd="sng">
                      <a:solidFill>
                        <a:srgbClr val="000000"/>
                      </a:solidFill>
                      <a:miter lim="800000"/>
                      <a:headEnd/>
                      <a:tailEnd/>
                    </a:ln>
                    <a:effectLst/>
                  </pic:spPr>
                </pic:pic>
              </a:graphicData>
            </a:graphic>
          </wp:inline>
        </w:drawing>
      </w:r>
    </w:p>
    <w:p w14:paraId="7FD53A66" w14:textId="77777777" w:rsidR="006D1BB8" w:rsidRPr="006D1BB8" w:rsidRDefault="006D1BB8" w:rsidP="006D1BB8">
      <w:pPr>
        <w:spacing w:after="0" w:line="240" w:lineRule="auto"/>
        <w:ind w:left="-180" w:right="-334"/>
        <w:rPr>
          <w:rFonts w:ascii="Georgia" w:eastAsia="SimSun" w:hAnsi="Georgia" w:cs="Times New Roman"/>
          <w:color w:val="000000"/>
          <w:sz w:val="21"/>
          <w:szCs w:val="21"/>
          <w:lang w:val="en-GB" w:eastAsia="zh-CN"/>
        </w:rPr>
      </w:pPr>
    </w:p>
    <w:p w14:paraId="322E4FB8" w14:textId="77777777" w:rsidR="006D1BB8" w:rsidRPr="006D1BB8" w:rsidRDefault="006D1BB8" w:rsidP="006D1BB8">
      <w:pPr>
        <w:spacing w:after="0" w:line="240" w:lineRule="auto"/>
        <w:ind w:left="-180" w:right="-334"/>
        <w:jc w:val="center"/>
        <w:rPr>
          <w:rFonts w:ascii="Arial" w:eastAsia="SimSun" w:hAnsi="Arial" w:cs="Arial"/>
          <w:b/>
          <w:color w:val="000000"/>
          <w:sz w:val="28"/>
          <w:szCs w:val="28"/>
          <w:lang w:val="cy-GB" w:eastAsia="zh-CN"/>
        </w:rPr>
      </w:pPr>
      <w:r w:rsidRPr="006D1BB8">
        <w:rPr>
          <w:rFonts w:ascii="Arial" w:eastAsia="SimSun" w:hAnsi="Arial" w:cs="Arial"/>
          <w:b/>
          <w:color w:val="000000"/>
          <w:sz w:val="28"/>
          <w:szCs w:val="28"/>
          <w:lang w:val="cy-GB" w:eastAsia="zh-CN"/>
        </w:rPr>
        <w:t xml:space="preserve">Postgraduate/Distance Learning </w:t>
      </w:r>
    </w:p>
    <w:p w14:paraId="35B518A4" w14:textId="77777777" w:rsidR="006D1BB8" w:rsidRPr="006D1BB8" w:rsidRDefault="006D1BB8" w:rsidP="006D1BB8">
      <w:pPr>
        <w:spacing w:after="0" w:line="240" w:lineRule="auto"/>
        <w:ind w:left="-180" w:right="-334"/>
        <w:jc w:val="center"/>
        <w:rPr>
          <w:rFonts w:ascii="Arial" w:eastAsia="SimSun" w:hAnsi="Arial" w:cs="Arial"/>
          <w:b/>
          <w:color w:val="000000"/>
          <w:sz w:val="28"/>
          <w:szCs w:val="28"/>
          <w:lang w:val="en-GB" w:eastAsia="zh-CN"/>
        </w:rPr>
      </w:pPr>
      <w:r w:rsidRPr="006D1BB8">
        <w:rPr>
          <w:rFonts w:ascii="Arial" w:eastAsia="SimSun" w:hAnsi="Arial" w:cs="Arial"/>
          <w:b/>
          <w:color w:val="000000"/>
          <w:sz w:val="28"/>
          <w:szCs w:val="28"/>
          <w:lang w:val="cy-GB" w:eastAsia="zh-CN"/>
        </w:rPr>
        <w:t>Assignment coversheet &amp; feedback form</w:t>
      </w:r>
    </w:p>
    <w:p w14:paraId="7F7F1A66" w14:textId="77777777" w:rsidR="006D1BB8" w:rsidRPr="006D1BB8" w:rsidRDefault="006D1BB8" w:rsidP="006D1BB8">
      <w:pPr>
        <w:spacing w:after="0" w:line="240" w:lineRule="auto"/>
        <w:rPr>
          <w:rFonts w:ascii="Arial" w:eastAsia="SimSun" w:hAnsi="Arial" w:cs="Arial"/>
          <w:sz w:val="28"/>
          <w:szCs w:val="28"/>
          <w:lang w:val="cy-GB" w:eastAsia="zh-CN"/>
        </w:rPr>
      </w:pPr>
    </w:p>
    <w:p w14:paraId="4A24BE8E" w14:textId="77777777" w:rsidR="006D1BB8" w:rsidRPr="006D1BB8" w:rsidRDefault="006D1BB8" w:rsidP="006D1BB8">
      <w:pPr>
        <w:keepNext/>
        <w:spacing w:after="0" w:line="240" w:lineRule="auto"/>
        <w:ind w:left="720"/>
        <w:jc w:val="center"/>
        <w:outlineLvl w:val="2"/>
        <w:rPr>
          <w:rFonts w:ascii="Tahoma" w:eastAsia="SimSun" w:hAnsi="Tahoma" w:cs="Tahoma"/>
          <w:b/>
          <w:bCs/>
          <w:sz w:val="20"/>
          <w:szCs w:val="20"/>
          <w:lang w:val="cy-GB" w:eastAsia="zh-CN"/>
        </w:rPr>
      </w:pPr>
      <w:r w:rsidRPr="006D1BB8">
        <w:rPr>
          <w:rFonts w:ascii="Tahoma" w:eastAsia="SimSun" w:hAnsi="Tahoma" w:cs="Tahoma"/>
          <w:b/>
          <w:bCs/>
          <w:sz w:val="20"/>
          <w:szCs w:val="20"/>
          <w:lang w:val="cy-GB" w:eastAsia="zh-CN"/>
        </w:rPr>
        <w:t>THIS SHEET MUST BE THE FIRST PAGE OF THE ASSIGNMENT YOU ARE SUBMITTING  (DO NOT SEND AS A SEPARATE FILE)</w:t>
      </w:r>
    </w:p>
    <w:p w14:paraId="7EAF1F08" w14:textId="77777777" w:rsidR="006D1BB8" w:rsidRPr="006D1BB8" w:rsidRDefault="006D1BB8" w:rsidP="006D1BB8">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D1BB8" w:rsidRPr="006D1BB8" w14:paraId="69FAA6D9" w14:textId="77777777" w:rsidTr="003B6961">
        <w:trPr>
          <w:trHeight w:val="614"/>
        </w:trPr>
        <w:tc>
          <w:tcPr>
            <w:tcW w:w="8856" w:type="dxa"/>
            <w:gridSpan w:val="5"/>
          </w:tcPr>
          <w:p w14:paraId="1F4660C2"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b/>
                <w:color w:val="000000"/>
                <w:lang w:val="en-GB" w:eastAsia="zh-CN"/>
              </w:rPr>
              <w:t>For completion by the student</w:t>
            </w:r>
            <w:r w:rsidRPr="006D1BB8">
              <w:rPr>
                <w:rFonts w:ascii="Arial" w:eastAsia="SimSun" w:hAnsi="Arial" w:cs="Arial"/>
                <w:color w:val="000000"/>
                <w:lang w:val="en-GB" w:eastAsia="zh-CN"/>
              </w:rPr>
              <w:t>:</w:t>
            </w:r>
          </w:p>
        </w:tc>
      </w:tr>
      <w:tr w:rsidR="006D1BB8" w:rsidRPr="006D1BB8" w14:paraId="66C50F54" w14:textId="77777777" w:rsidTr="003B6961">
        <w:trPr>
          <w:trHeight w:val="718"/>
        </w:trPr>
        <w:tc>
          <w:tcPr>
            <w:tcW w:w="8856" w:type="dxa"/>
            <w:gridSpan w:val="5"/>
          </w:tcPr>
          <w:p w14:paraId="4FDFD1C3"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 xml:space="preserve">Student Name:      Francine </w:t>
            </w:r>
            <w:proofErr w:type="spellStart"/>
            <w:r w:rsidRPr="006D1BB8">
              <w:rPr>
                <w:rFonts w:ascii="Arial" w:eastAsia="SimSun" w:hAnsi="Arial" w:cs="Arial"/>
                <w:color w:val="000000"/>
                <w:lang w:val="en-GB" w:eastAsia="zh-CN"/>
              </w:rPr>
              <w:t>Goteiner</w:t>
            </w:r>
            <w:proofErr w:type="spellEnd"/>
          </w:p>
          <w:p w14:paraId="587EF424"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1968DBCD"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 xml:space="preserve">Student </w:t>
            </w:r>
            <w:r w:rsidRPr="006D1BB8">
              <w:rPr>
                <w:rFonts w:ascii="Arial" w:eastAsia="SimSun" w:hAnsi="Arial" w:cs="Arial"/>
                <w:b/>
                <w:bCs/>
                <w:color w:val="000000"/>
                <w:u w:val="single"/>
                <w:lang w:val="en-GB" w:eastAsia="zh-CN"/>
              </w:rPr>
              <w:t>University</w:t>
            </w:r>
            <w:r w:rsidRPr="006D1BB8">
              <w:rPr>
                <w:rFonts w:ascii="Arial" w:eastAsia="SimSun" w:hAnsi="Arial" w:cs="Arial"/>
                <w:color w:val="000000"/>
                <w:u w:val="single"/>
                <w:lang w:val="en-GB" w:eastAsia="zh-CN"/>
              </w:rPr>
              <w:t xml:space="preserve"> </w:t>
            </w:r>
            <w:r w:rsidRPr="006D1BB8">
              <w:rPr>
                <w:rFonts w:ascii="Arial" w:eastAsia="SimSun" w:hAnsi="Arial" w:cs="Arial"/>
                <w:color w:val="000000"/>
                <w:lang w:val="en-GB" w:eastAsia="zh-CN"/>
              </w:rPr>
              <w:t>Email:        2022484@student.uwtsd.ac.uk</w:t>
            </w:r>
          </w:p>
        </w:tc>
      </w:tr>
      <w:tr w:rsidR="006D1BB8" w:rsidRPr="006D1BB8" w14:paraId="264E30D7" w14:textId="77777777" w:rsidTr="003B6961">
        <w:trPr>
          <w:trHeight w:val="849"/>
        </w:trPr>
        <w:tc>
          <w:tcPr>
            <w:tcW w:w="4788" w:type="dxa"/>
          </w:tcPr>
          <w:p w14:paraId="30E9EAC6"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Module code: HPCA 7014</w:t>
            </w:r>
          </w:p>
          <w:p w14:paraId="18E07EEE"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7772317F"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 xml:space="preserve">Module title: </w:t>
            </w:r>
          </w:p>
          <w:p w14:paraId="72E1C873"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5AD3D298"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Sacred Geography</w:t>
            </w:r>
          </w:p>
          <w:p w14:paraId="0B4303F0"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24FAC530" w14:textId="77777777" w:rsidR="006D1BB8" w:rsidRPr="006D1BB8" w:rsidRDefault="006D1BB8" w:rsidP="006D1BB8">
            <w:pPr>
              <w:spacing w:after="0" w:line="240" w:lineRule="auto"/>
              <w:ind w:right="34"/>
              <w:rPr>
                <w:rFonts w:ascii="Arial" w:eastAsia="SimSun" w:hAnsi="Arial" w:cs="Arial"/>
                <w:color w:val="000000"/>
                <w:lang w:val="en-GB" w:eastAsia="zh-CN"/>
              </w:rPr>
            </w:pPr>
          </w:p>
        </w:tc>
        <w:tc>
          <w:tcPr>
            <w:tcW w:w="2266" w:type="dxa"/>
            <w:gridSpan w:val="3"/>
          </w:tcPr>
          <w:p w14:paraId="436B825A"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Student ID number:</w:t>
            </w:r>
          </w:p>
          <w:p w14:paraId="0E748E37"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28808D74"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2022484</w:t>
            </w:r>
          </w:p>
        </w:tc>
        <w:tc>
          <w:tcPr>
            <w:tcW w:w="1802" w:type="dxa"/>
          </w:tcPr>
          <w:p w14:paraId="66BF5AD4"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Educational support needs:</w:t>
            </w:r>
          </w:p>
          <w:p w14:paraId="560C5FFD"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Yes/No</w:t>
            </w:r>
          </w:p>
          <w:p w14:paraId="33CB591C"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1B2645BD"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no</w:t>
            </w:r>
          </w:p>
        </w:tc>
      </w:tr>
      <w:tr w:rsidR="006D1BB8" w:rsidRPr="006D1BB8" w14:paraId="2E3C2FB8" w14:textId="77777777" w:rsidTr="003B6961">
        <w:trPr>
          <w:trHeight w:val="1139"/>
        </w:trPr>
        <w:tc>
          <w:tcPr>
            <w:tcW w:w="8856" w:type="dxa"/>
            <w:gridSpan w:val="5"/>
          </w:tcPr>
          <w:p w14:paraId="20B45F08"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Assignment title: Essay 1</w:t>
            </w:r>
          </w:p>
          <w:p w14:paraId="42AE6EDA"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38DF7CD5"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Compare and critically contrast Mircea Eliade’s and Emile Durkheim’s views of sacred space.</w:t>
            </w:r>
          </w:p>
          <w:p w14:paraId="70C4D6D6"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4A72B951"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Assignment due date:</w:t>
            </w:r>
          </w:p>
        </w:tc>
      </w:tr>
      <w:tr w:rsidR="006D1BB8" w:rsidRPr="006D1BB8" w14:paraId="7288B008" w14:textId="77777777" w:rsidTr="003B6961">
        <w:trPr>
          <w:trHeight w:val="978"/>
        </w:trPr>
        <w:tc>
          <w:tcPr>
            <w:tcW w:w="8856" w:type="dxa"/>
            <w:gridSpan w:val="5"/>
            <w:tcBorders>
              <w:bottom w:val="single" w:sz="4" w:space="0" w:color="000000"/>
            </w:tcBorders>
          </w:tcPr>
          <w:p w14:paraId="55FF70C5" w14:textId="77777777" w:rsidR="006D1BB8" w:rsidRPr="006D1BB8" w:rsidRDefault="006D1BB8" w:rsidP="006D1BB8">
            <w:pPr>
              <w:spacing w:after="0" w:line="240" w:lineRule="auto"/>
              <w:rPr>
                <w:rFonts w:ascii="Arial" w:eastAsia="SimSun" w:hAnsi="Arial" w:cs="Arial"/>
                <w:b/>
                <w:lang w:val="en-GB" w:eastAsia="zh-CN"/>
              </w:rPr>
            </w:pPr>
            <w:r w:rsidRPr="006D1BB8">
              <w:rPr>
                <w:rFonts w:ascii="Arial" w:eastAsia="SimSun" w:hAnsi="Arial" w:cs="Arial"/>
                <w:lang w:val="en-GB" w:eastAsia="zh-CN"/>
              </w:rPr>
              <w:t>This assignment is for the       1</w:t>
            </w:r>
            <w:r w:rsidRPr="006D1BB8">
              <w:rPr>
                <w:rFonts w:ascii="Arial" w:eastAsia="SimSun" w:hAnsi="Arial" w:cs="Arial"/>
                <w:vertAlign w:val="superscript"/>
                <w:lang w:val="en-GB" w:eastAsia="zh-CN"/>
              </w:rPr>
              <w:t xml:space="preserve">st </w:t>
            </w:r>
            <w:r w:rsidRPr="006D1BB8">
              <w:rPr>
                <w:rFonts w:ascii="Arial" w:eastAsia="SimSun" w:hAnsi="Arial" w:cs="Arial"/>
                <w:lang w:val="en-GB" w:eastAsia="zh-CN"/>
              </w:rPr>
              <w:fldChar w:fldCharType="begin">
                <w:ffData>
                  <w:name w:val="Check13"/>
                  <w:enabled/>
                  <w:calcOnExit w:val="0"/>
                  <w:checkBox>
                    <w:sizeAuto/>
                    <w:default w:val="0"/>
                  </w:checkBox>
                </w:ffData>
              </w:fldChar>
            </w:r>
            <w:bookmarkStart w:id="2" w:name="Check13"/>
            <w:r w:rsidRPr="006D1BB8">
              <w:rPr>
                <w:rFonts w:ascii="Arial" w:eastAsia="SimSun" w:hAnsi="Arial" w:cs="Arial"/>
                <w:lang w:val="en-GB" w:eastAsia="zh-CN"/>
              </w:rPr>
              <w:instrText xml:space="preserve"> FORMCHECKBOX </w:instrText>
            </w:r>
            <w:r w:rsidRPr="006D1BB8">
              <w:rPr>
                <w:rFonts w:ascii="Arial" w:eastAsia="SimSun" w:hAnsi="Arial" w:cs="Arial"/>
                <w:lang w:val="en-GB" w:eastAsia="zh-CN"/>
              </w:rPr>
            </w:r>
            <w:r w:rsidRPr="006D1BB8">
              <w:rPr>
                <w:rFonts w:ascii="Arial" w:eastAsia="SimSun" w:hAnsi="Arial" w:cs="Arial"/>
                <w:lang w:val="en-GB" w:eastAsia="zh-CN"/>
              </w:rPr>
              <w:fldChar w:fldCharType="end"/>
            </w:r>
            <w:bookmarkEnd w:id="2"/>
            <w:r w:rsidRPr="006D1BB8">
              <w:rPr>
                <w:rFonts w:ascii="Arial" w:eastAsia="SimSun" w:hAnsi="Arial" w:cs="Arial"/>
                <w:lang w:val="en-GB" w:eastAsia="zh-CN"/>
              </w:rPr>
              <w:t xml:space="preserve">    2</w:t>
            </w:r>
            <w:r w:rsidRPr="006D1BB8">
              <w:rPr>
                <w:rFonts w:ascii="Arial" w:eastAsia="SimSun" w:hAnsi="Arial" w:cs="Arial"/>
                <w:vertAlign w:val="superscript"/>
                <w:lang w:val="en-GB" w:eastAsia="zh-CN"/>
              </w:rPr>
              <w:t>nd</w:t>
            </w:r>
            <w:r w:rsidRPr="006D1BB8">
              <w:rPr>
                <w:rFonts w:ascii="Arial" w:eastAsia="SimSun" w:hAnsi="Arial" w:cs="Arial"/>
                <w:lang w:val="en-GB" w:eastAsia="zh-CN"/>
              </w:rPr>
              <w:t xml:space="preserve">       3</w:t>
            </w:r>
            <w:r w:rsidRPr="006D1BB8">
              <w:rPr>
                <w:rFonts w:ascii="Arial" w:eastAsia="SimSun" w:hAnsi="Arial" w:cs="Arial"/>
                <w:vertAlign w:val="superscript"/>
                <w:lang w:val="en-GB" w:eastAsia="zh-CN"/>
              </w:rPr>
              <w:t>rd</w:t>
            </w:r>
            <w:r w:rsidRPr="006D1BB8">
              <w:rPr>
                <w:rFonts w:ascii="Arial" w:eastAsia="SimSun" w:hAnsi="Arial" w:cs="Arial"/>
                <w:lang w:val="en-GB" w:eastAsia="zh-CN"/>
              </w:rPr>
              <w:t xml:space="preserve">  </w:t>
            </w:r>
            <w:r w:rsidRPr="006D1BB8">
              <w:rPr>
                <w:rFonts w:ascii="Arial" w:eastAsia="SimSun" w:hAnsi="Arial" w:cs="Arial"/>
                <w:lang w:val="en-GB" w:eastAsia="zh-CN"/>
              </w:rPr>
              <w:fldChar w:fldCharType="begin">
                <w:ffData>
                  <w:name w:val="Check15"/>
                  <w:enabled/>
                  <w:calcOnExit w:val="0"/>
                  <w:checkBox>
                    <w:sizeAuto/>
                    <w:default w:val="0"/>
                  </w:checkBox>
                </w:ffData>
              </w:fldChar>
            </w:r>
            <w:bookmarkStart w:id="3" w:name="Check15"/>
            <w:r w:rsidRPr="006D1BB8">
              <w:rPr>
                <w:rFonts w:ascii="Arial" w:eastAsia="SimSun" w:hAnsi="Arial" w:cs="Arial"/>
                <w:lang w:val="en-GB" w:eastAsia="zh-CN"/>
              </w:rPr>
              <w:instrText xml:space="preserve"> FORMCHECKBOX </w:instrText>
            </w:r>
            <w:r w:rsidRPr="006D1BB8">
              <w:rPr>
                <w:rFonts w:ascii="Arial" w:eastAsia="SimSun" w:hAnsi="Arial" w:cs="Arial"/>
                <w:lang w:val="en-GB" w:eastAsia="zh-CN"/>
              </w:rPr>
            </w:r>
            <w:r w:rsidRPr="006D1BB8">
              <w:rPr>
                <w:rFonts w:ascii="Arial" w:eastAsia="SimSun" w:hAnsi="Arial" w:cs="Arial"/>
                <w:lang w:val="en-GB" w:eastAsia="zh-CN"/>
              </w:rPr>
              <w:fldChar w:fldCharType="end"/>
            </w:r>
            <w:bookmarkEnd w:id="3"/>
            <w:r w:rsidRPr="006D1BB8">
              <w:rPr>
                <w:rFonts w:ascii="Arial" w:eastAsia="SimSun" w:hAnsi="Arial" w:cs="Arial"/>
                <w:lang w:val="en-GB" w:eastAsia="zh-CN"/>
              </w:rPr>
              <w:t xml:space="preserve">      4</w:t>
            </w:r>
            <w:r w:rsidRPr="006D1BB8">
              <w:rPr>
                <w:rFonts w:ascii="Arial" w:eastAsia="SimSun" w:hAnsi="Arial" w:cs="Arial"/>
                <w:vertAlign w:val="superscript"/>
                <w:lang w:val="en-GB" w:eastAsia="zh-CN"/>
              </w:rPr>
              <w:t>th</w:t>
            </w:r>
            <w:r w:rsidRPr="006D1BB8">
              <w:rPr>
                <w:rFonts w:ascii="Arial" w:eastAsia="SimSun" w:hAnsi="Arial" w:cs="Arial"/>
                <w:lang w:val="en-GB" w:eastAsia="zh-CN"/>
              </w:rPr>
              <w:t xml:space="preserve"> X      5</w:t>
            </w:r>
            <w:r w:rsidRPr="006D1BB8">
              <w:rPr>
                <w:rFonts w:ascii="Arial" w:eastAsia="SimSun" w:hAnsi="Arial" w:cs="Arial"/>
                <w:vertAlign w:val="superscript"/>
                <w:lang w:val="en-GB" w:eastAsia="zh-CN"/>
              </w:rPr>
              <w:t>th</w:t>
            </w:r>
            <w:r w:rsidRPr="006D1BB8">
              <w:rPr>
                <w:rFonts w:ascii="Arial" w:eastAsia="SimSun" w:hAnsi="Arial" w:cs="Arial"/>
                <w:lang w:val="en-GB" w:eastAsia="zh-CN"/>
              </w:rPr>
              <w:t xml:space="preserve"> </w:t>
            </w:r>
            <w:r w:rsidRPr="006D1BB8">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D1BB8">
              <w:rPr>
                <w:rFonts w:ascii="Arial" w:eastAsia="SimSun" w:hAnsi="Arial" w:cs="Arial"/>
                <w:lang w:val="en-GB" w:eastAsia="zh-CN"/>
              </w:rPr>
              <w:instrText xml:space="preserve"> FORMCHECKBOX </w:instrText>
            </w:r>
            <w:r w:rsidRPr="006D1BB8">
              <w:rPr>
                <w:rFonts w:ascii="Arial" w:eastAsia="SimSun" w:hAnsi="Arial" w:cs="Arial"/>
                <w:lang w:val="en-GB" w:eastAsia="zh-CN"/>
              </w:rPr>
            </w:r>
            <w:r w:rsidRPr="006D1BB8">
              <w:rPr>
                <w:rFonts w:ascii="Arial" w:eastAsia="SimSun" w:hAnsi="Arial" w:cs="Arial"/>
                <w:lang w:val="en-GB" w:eastAsia="zh-CN"/>
              </w:rPr>
              <w:fldChar w:fldCharType="end"/>
            </w:r>
            <w:bookmarkEnd w:id="4"/>
            <w:r w:rsidRPr="006D1BB8">
              <w:rPr>
                <w:rFonts w:ascii="Arial" w:eastAsia="SimSun" w:hAnsi="Arial" w:cs="Arial"/>
                <w:lang w:val="en-GB" w:eastAsia="zh-CN"/>
              </w:rPr>
              <w:t xml:space="preserve">      6</w:t>
            </w:r>
            <w:r w:rsidRPr="006D1BB8">
              <w:rPr>
                <w:rFonts w:ascii="Arial" w:eastAsia="SimSun" w:hAnsi="Arial" w:cs="Arial"/>
                <w:vertAlign w:val="superscript"/>
                <w:lang w:val="en-GB" w:eastAsia="zh-CN"/>
              </w:rPr>
              <w:t>th</w:t>
            </w:r>
            <w:r w:rsidRPr="006D1BB8">
              <w:rPr>
                <w:rFonts w:ascii="Arial" w:eastAsia="SimSun" w:hAnsi="Arial" w:cs="Arial"/>
                <w:lang w:val="en-GB" w:eastAsia="zh-CN"/>
              </w:rPr>
              <w:t xml:space="preserve"> </w:t>
            </w:r>
            <w:r w:rsidRPr="006D1BB8">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D1BB8">
              <w:rPr>
                <w:rFonts w:ascii="Arial" w:eastAsia="SimSun" w:hAnsi="Arial" w:cs="Arial"/>
                <w:lang w:val="en-GB" w:eastAsia="zh-CN"/>
              </w:rPr>
              <w:instrText xml:space="preserve"> FORMCHECKBOX </w:instrText>
            </w:r>
            <w:r w:rsidRPr="006D1BB8">
              <w:rPr>
                <w:rFonts w:ascii="Arial" w:eastAsia="SimSun" w:hAnsi="Arial" w:cs="Arial"/>
                <w:lang w:val="en-GB" w:eastAsia="zh-CN"/>
              </w:rPr>
            </w:r>
            <w:r w:rsidRPr="006D1BB8">
              <w:rPr>
                <w:rFonts w:ascii="Arial" w:eastAsia="SimSun" w:hAnsi="Arial" w:cs="Arial"/>
                <w:lang w:val="en-GB" w:eastAsia="zh-CN"/>
              </w:rPr>
              <w:fldChar w:fldCharType="end"/>
            </w:r>
            <w:bookmarkEnd w:id="5"/>
            <w:r w:rsidRPr="006D1BB8">
              <w:rPr>
                <w:rFonts w:ascii="Arial" w:eastAsia="SimSun" w:hAnsi="Arial" w:cs="Arial"/>
                <w:b/>
                <w:lang w:val="en-GB" w:eastAsia="zh-CN"/>
              </w:rPr>
              <w:t xml:space="preserve">   </w:t>
            </w:r>
          </w:p>
          <w:p w14:paraId="439627FB" w14:textId="77777777" w:rsidR="006D1BB8" w:rsidRPr="006D1BB8" w:rsidRDefault="006D1BB8" w:rsidP="006D1BB8">
            <w:pPr>
              <w:spacing w:after="0" w:line="240" w:lineRule="auto"/>
              <w:rPr>
                <w:rFonts w:ascii="Arial" w:eastAsia="SimSun" w:hAnsi="Arial" w:cs="Arial"/>
                <w:lang w:val="en-GB" w:eastAsia="zh-CN"/>
              </w:rPr>
            </w:pPr>
            <w:r w:rsidRPr="006D1BB8">
              <w:rPr>
                <w:rFonts w:ascii="Arial" w:eastAsia="SimSun" w:hAnsi="Arial" w:cs="Arial"/>
                <w:lang w:val="en-GB" w:eastAsia="zh-CN"/>
              </w:rPr>
              <w:t>module of the degree</w:t>
            </w:r>
          </w:p>
        </w:tc>
      </w:tr>
      <w:tr w:rsidR="006D1BB8" w:rsidRPr="006D1BB8" w14:paraId="4AA2C86A" w14:textId="77777777" w:rsidTr="003B6961">
        <w:trPr>
          <w:trHeight w:val="978"/>
        </w:trPr>
        <w:tc>
          <w:tcPr>
            <w:tcW w:w="8856" w:type="dxa"/>
            <w:gridSpan w:val="5"/>
            <w:shd w:val="clear" w:color="auto" w:fill="D9D9D9"/>
          </w:tcPr>
          <w:p w14:paraId="00D619AC"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I confirm that this is my original work and that I have adhered to the University policy on plagiarism.</w:t>
            </w:r>
          </w:p>
          <w:p w14:paraId="30A38B37"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 xml:space="preserve">Signed ………Francine </w:t>
            </w:r>
            <w:proofErr w:type="spellStart"/>
            <w:r w:rsidRPr="006D1BB8">
              <w:rPr>
                <w:rFonts w:ascii="Arial" w:eastAsia="SimSun" w:hAnsi="Arial" w:cs="Arial"/>
                <w:color w:val="000000"/>
                <w:lang w:val="en-GB" w:eastAsia="zh-CN"/>
              </w:rPr>
              <w:t>Goteiner</w:t>
            </w:r>
            <w:proofErr w:type="spellEnd"/>
            <w:r w:rsidRPr="006D1BB8">
              <w:rPr>
                <w:rFonts w:ascii="Arial" w:eastAsia="SimSun" w:hAnsi="Arial" w:cs="Arial"/>
                <w:color w:val="000000"/>
                <w:lang w:val="en-GB" w:eastAsia="zh-CN"/>
              </w:rPr>
              <w:t>……………………………………………………</w:t>
            </w:r>
          </w:p>
          <w:p w14:paraId="0D208B83" w14:textId="77777777" w:rsidR="006D1BB8" w:rsidRPr="006D1BB8" w:rsidRDefault="006D1BB8" w:rsidP="006D1BB8">
            <w:pPr>
              <w:spacing w:after="0" w:line="240" w:lineRule="auto"/>
              <w:ind w:right="34"/>
              <w:rPr>
                <w:rFonts w:ascii="Calibri" w:eastAsia="SimSun" w:hAnsi="Calibri" w:cs="Calibri"/>
                <w:b/>
                <w:color w:val="000000"/>
                <w:sz w:val="44"/>
                <w:szCs w:val="44"/>
                <w:lang w:val="en-GB" w:eastAsia="zh-CN"/>
              </w:rPr>
            </w:pPr>
            <w:r w:rsidRPr="006D1BB8">
              <w:rPr>
                <w:rFonts w:ascii="Calibri" w:eastAsia="SimSun" w:hAnsi="Calibri" w:cs="Tahoma"/>
                <w:b/>
                <w:color w:val="000000"/>
                <w:sz w:val="24"/>
                <w:szCs w:val="24"/>
                <w:lang w:val="en-GB" w:eastAsia="zh-CN"/>
              </w:rPr>
              <w:t xml:space="preserve">Email </w:t>
            </w:r>
            <w:proofErr w:type="spellStart"/>
            <w:proofErr w:type="gramStart"/>
            <w:r w:rsidRPr="006D1BB8">
              <w:rPr>
                <w:rFonts w:ascii="Calibri" w:eastAsia="SimSun" w:hAnsi="Calibri" w:cs="Tahoma"/>
                <w:b/>
                <w:color w:val="000000"/>
                <w:sz w:val="24"/>
                <w:szCs w:val="24"/>
                <w:lang w:val="en-GB" w:eastAsia="zh-CN"/>
              </w:rPr>
              <w:t>submission:if</w:t>
            </w:r>
            <w:proofErr w:type="spellEnd"/>
            <w:proofErr w:type="gramEnd"/>
            <w:r w:rsidRPr="006D1BB8">
              <w:rPr>
                <w:rFonts w:ascii="Calibri" w:eastAsia="SimSun" w:hAnsi="Calibri" w:cs="Tahoma"/>
                <w:b/>
                <w:color w:val="000000"/>
                <w:sz w:val="24"/>
                <w:szCs w:val="24"/>
                <w:lang w:val="en-GB" w:eastAsia="zh-CN"/>
              </w:rPr>
              <w:t xml:space="preserve"> you are submitting this form via email, please tick this box </w:t>
            </w:r>
            <w:r w:rsidRPr="006D1BB8">
              <w:rPr>
                <w:rFonts w:ascii="Calibri" w:eastAsia="SimSun" w:hAnsi="Calibri" w:cs="Calibri"/>
                <w:b/>
                <w:color w:val="000000"/>
                <w:sz w:val="44"/>
                <w:szCs w:val="44"/>
                <w:lang w:val="en-GB" w:eastAsia="zh-CN"/>
              </w:rPr>
              <w:t>□</w:t>
            </w:r>
          </w:p>
          <w:p w14:paraId="3494C6FE"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Calibri" w:eastAsia="SimSun" w:hAnsi="Calibri" w:cs="Tahoma"/>
                <w:b/>
                <w:color w:val="000000"/>
                <w:sz w:val="24"/>
                <w:szCs w:val="24"/>
                <w:lang w:val="en-GB" w:eastAsia="zh-CN"/>
              </w:rPr>
              <w:t>(</w:t>
            </w:r>
            <w:proofErr w:type="gramStart"/>
            <w:r w:rsidRPr="006D1BB8">
              <w:rPr>
                <w:rFonts w:ascii="Calibri" w:eastAsia="SimSun" w:hAnsi="Calibri" w:cs="Tahoma"/>
                <w:b/>
                <w:color w:val="000000"/>
                <w:sz w:val="24"/>
                <w:szCs w:val="24"/>
                <w:lang w:val="en-GB" w:eastAsia="zh-CN"/>
              </w:rPr>
              <w:t>as</w:t>
            </w:r>
            <w:proofErr w:type="gramEnd"/>
            <w:r w:rsidRPr="006D1BB8">
              <w:rPr>
                <w:rFonts w:ascii="Calibri" w:eastAsia="SimSun" w:hAnsi="Calibri" w:cs="Tahoma"/>
                <w:b/>
                <w:color w:val="000000"/>
                <w:sz w:val="24"/>
                <w:szCs w:val="24"/>
                <w:lang w:val="en-GB" w:eastAsia="zh-CN"/>
              </w:rPr>
              <w:t xml:space="preserve"> a substitute for your signature) to confirm that you agree to the above declaration.</w:t>
            </w:r>
          </w:p>
        </w:tc>
      </w:tr>
      <w:tr w:rsidR="006D1BB8" w:rsidRPr="006D1BB8" w14:paraId="665D45AF" w14:textId="77777777" w:rsidTr="003B6961">
        <w:trPr>
          <w:trHeight w:val="3972"/>
        </w:trPr>
        <w:tc>
          <w:tcPr>
            <w:tcW w:w="8856" w:type="dxa"/>
            <w:gridSpan w:val="5"/>
          </w:tcPr>
          <w:p w14:paraId="61EF6D4D" w14:textId="77777777" w:rsidR="006D1BB8" w:rsidRPr="006D1BB8" w:rsidRDefault="006D1BB8" w:rsidP="006D1BB8">
            <w:pPr>
              <w:spacing w:after="0" w:line="240" w:lineRule="auto"/>
              <w:rPr>
                <w:rFonts w:ascii="Arial" w:eastAsia="SimSun" w:hAnsi="Arial" w:cs="Times New Roman"/>
                <w:b/>
                <w:sz w:val="24"/>
                <w:szCs w:val="24"/>
                <w:lang w:val="en-GB" w:eastAsia="zh-CN"/>
              </w:rPr>
            </w:pPr>
          </w:p>
          <w:p w14:paraId="3940FC96" w14:textId="77777777" w:rsidR="006D1BB8" w:rsidRPr="006D1BB8" w:rsidRDefault="006D1BB8" w:rsidP="006D1BB8">
            <w:pPr>
              <w:spacing w:after="0" w:line="240" w:lineRule="auto"/>
              <w:rPr>
                <w:rFonts w:ascii="Arial" w:eastAsia="SimSun" w:hAnsi="Arial" w:cs="Times New Roman"/>
                <w:sz w:val="24"/>
                <w:szCs w:val="24"/>
                <w:lang w:val="en-GB" w:eastAsia="zh-CN"/>
              </w:rPr>
            </w:pPr>
            <w:r w:rsidRPr="006D1BB8">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D1BB8" w:rsidRPr="006D1BB8" w14:paraId="7237DE67" w14:textId="77777777" w:rsidTr="003B6961">
              <w:tc>
                <w:tcPr>
                  <w:tcW w:w="6970" w:type="dxa"/>
                </w:tcPr>
                <w:p w14:paraId="0D26E9A0"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28DD5E84" w14:textId="77777777" w:rsidR="006D1BB8" w:rsidRPr="006D1BB8" w:rsidRDefault="006D1BB8" w:rsidP="006D1BB8">
                  <w:pPr>
                    <w:spacing w:after="0" w:line="240" w:lineRule="auto"/>
                    <w:rPr>
                      <w:rFonts w:ascii="Arial" w:eastAsia="SimSun" w:hAnsi="Arial" w:cs="Times New Roman"/>
                      <w:sz w:val="20"/>
                      <w:szCs w:val="20"/>
                      <w:lang w:val="en-GB" w:eastAsia="zh-CN"/>
                    </w:rPr>
                  </w:pPr>
                  <w:r w:rsidRPr="006D1BB8">
                    <w:rPr>
                      <w:rFonts w:ascii="Arial" w:eastAsia="SimSun" w:hAnsi="Arial" w:cs="Times New Roman"/>
                      <w:sz w:val="20"/>
                      <w:szCs w:val="20"/>
                      <w:lang w:val="en-GB" w:eastAsia="zh-CN"/>
                    </w:rPr>
                    <w:t>1</w:t>
                  </w:r>
                  <w:r w:rsidRPr="006D1BB8">
                    <w:rPr>
                      <w:rFonts w:ascii="Arial" w:eastAsia="SimSun" w:hAnsi="Arial" w:cs="Times New Roman"/>
                      <w:sz w:val="20"/>
                      <w:szCs w:val="20"/>
                      <w:vertAlign w:val="superscript"/>
                      <w:lang w:val="en-GB" w:eastAsia="zh-CN"/>
                    </w:rPr>
                    <w:t>st</w:t>
                  </w:r>
                  <w:r w:rsidRPr="006D1BB8">
                    <w:rPr>
                      <w:rFonts w:ascii="Arial" w:eastAsia="SimSun" w:hAnsi="Arial" w:cs="Times New Roman"/>
                      <w:sz w:val="20"/>
                      <w:szCs w:val="20"/>
                      <w:lang w:val="en-GB" w:eastAsia="zh-CN"/>
                    </w:rPr>
                    <w:t xml:space="preserve"> Marker’s Provisional mark</w:t>
                  </w:r>
                </w:p>
              </w:tc>
              <w:tc>
                <w:tcPr>
                  <w:tcW w:w="1660" w:type="dxa"/>
                </w:tcPr>
                <w:p w14:paraId="4F7FBB0E"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r w:rsidR="006D1BB8" w:rsidRPr="006D1BB8" w14:paraId="7EB8FBBB" w14:textId="77777777" w:rsidTr="003B6961">
              <w:tc>
                <w:tcPr>
                  <w:tcW w:w="6970" w:type="dxa"/>
                </w:tcPr>
                <w:p w14:paraId="645BF8D9"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3766782C" w14:textId="77777777" w:rsidR="006D1BB8" w:rsidRPr="006D1BB8" w:rsidRDefault="006D1BB8" w:rsidP="006D1BB8">
                  <w:pPr>
                    <w:spacing w:after="0" w:line="240" w:lineRule="auto"/>
                    <w:rPr>
                      <w:rFonts w:ascii="Arial" w:eastAsia="SimSun" w:hAnsi="Arial" w:cs="Times New Roman"/>
                      <w:sz w:val="20"/>
                      <w:szCs w:val="20"/>
                      <w:lang w:val="en-GB" w:eastAsia="zh-CN"/>
                    </w:rPr>
                  </w:pPr>
                  <w:r w:rsidRPr="006D1BB8">
                    <w:rPr>
                      <w:rFonts w:ascii="Arial" w:eastAsia="SimSun" w:hAnsi="Arial" w:cs="Times New Roman"/>
                      <w:sz w:val="20"/>
                      <w:szCs w:val="20"/>
                      <w:lang w:val="en-GB" w:eastAsia="zh-CN"/>
                    </w:rPr>
                    <w:t>2</w:t>
                  </w:r>
                  <w:r w:rsidRPr="006D1BB8">
                    <w:rPr>
                      <w:rFonts w:ascii="Arial" w:eastAsia="SimSun" w:hAnsi="Arial" w:cs="Times New Roman"/>
                      <w:sz w:val="20"/>
                      <w:szCs w:val="20"/>
                      <w:vertAlign w:val="superscript"/>
                      <w:lang w:val="en-GB" w:eastAsia="zh-CN"/>
                    </w:rPr>
                    <w:t>nd</w:t>
                  </w:r>
                  <w:r w:rsidRPr="006D1BB8">
                    <w:rPr>
                      <w:rFonts w:ascii="Arial" w:eastAsia="SimSun" w:hAnsi="Arial" w:cs="Times New Roman"/>
                      <w:sz w:val="20"/>
                      <w:szCs w:val="20"/>
                      <w:lang w:val="en-GB" w:eastAsia="zh-CN"/>
                    </w:rPr>
                    <w:t xml:space="preserve"> Marker’s/Moderator’s provisional mark</w:t>
                  </w:r>
                </w:p>
              </w:tc>
              <w:tc>
                <w:tcPr>
                  <w:tcW w:w="1660" w:type="dxa"/>
                </w:tcPr>
                <w:p w14:paraId="711CF391"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r w:rsidR="006D1BB8" w:rsidRPr="006D1BB8" w14:paraId="1BCE1C3A" w14:textId="77777777" w:rsidTr="003B6961">
              <w:tc>
                <w:tcPr>
                  <w:tcW w:w="6970" w:type="dxa"/>
                </w:tcPr>
                <w:p w14:paraId="199E3118"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64CE1871" w14:textId="77777777" w:rsidR="006D1BB8" w:rsidRPr="006D1BB8" w:rsidRDefault="006D1BB8" w:rsidP="006D1BB8">
                  <w:pPr>
                    <w:spacing w:after="0" w:line="240" w:lineRule="auto"/>
                    <w:rPr>
                      <w:rFonts w:ascii="Arial" w:eastAsia="SimSun" w:hAnsi="Arial" w:cs="Times New Roman"/>
                      <w:sz w:val="20"/>
                      <w:szCs w:val="20"/>
                      <w:lang w:val="en-GB" w:eastAsia="zh-CN"/>
                    </w:rPr>
                  </w:pPr>
                  <w:r w:rsidRPr="006D1BB8">
                    <w:rPr>
                      <w:rFonts w:ascii="Arial" w:eastAsia="SimSun" w:hAnsi="Arial" w:cs="Times New Roman"/>
                      <w:sz w:val="20"/>
                      <w:szCs w:val="20"/>
                      <w:lang w:val="en-GB" w:eastAsia="zh-CN"/>
                    </w:rPr>
                    <w:t>External Examiner’s mark (if relevant)</w:t>
                  </w:r>
                </w:p>
              </w:tc>
              <w:tc>
                <w:tcPr>
                  <w:tcW w:w="1660" w:type="dxa"/>
                </w:tcPr>
                <w:p w14:paraId="518CA621"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r w:rsidR="006D1BB8" w:rsidRPr="006D1BB8" w14:paraId="6501EB46" w14:textId="77777777" w:rsidTr="003B6961">
              <w:tc>
                <w:tcPr>
                  <w:tcW w:w="6970" w:type="dxa"/>
                </w:tcPr>
                <w:p w14:paraId="4D1DA78C"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05B194D5" w14:textId="77777777" w:rsidR="006D1BB8" w:rsidRPr="006D1BB8" w:rsidRDefault="006D1BB8" w:rsidP="006D1BB8">
                  <w:pPr>
                    <w:spacing w:after="0" w:line="240" w:lineRule="auto"/>
                    <w:rPr>
                      <w:rFonts w:ascii="Arial" w:eastAsia="SimSun" w:hAnsi="Arial" w:cs="Times New Roman"/>
                      <w:b/>
                      <w:sz w:val="20"/>
                      <w:szCs w:val="20"/>
                      <w:lang w:val="en-GB" w:eastAsia="zh-CN"/>
                    </w:rPr>
                  </w:pPr>
                  <w:r w:rsidRPr="006D1BB8">
                    <w:rPr>
                      <w:rFonts w:ascii="Arial" w:eastAsia="SimSun" w:hAnsi="Arial" w:cs="Times New Roman"/>
                      <w:b/>
                      <w:sz w:val="20"/>
                      <w:szCs w:val="20"/>
                      <w:lang w:val="en-GB" w:eastAsia="zh-CN"/>
                    </w:rPr>
                    <w:t>Final Mark</w:t>
                  </w:r>
                </w:p>
                <w:p w14:paraId="08A7633C" w14:textId="77777777" w:rsidR="006D1BB8" w:rsidRPr="006D1BB8" w:rsidRDefault="006D1BB8" w:rsidP="006D1BB8">
                  <w:pPr>
                    <w:spacing w:after="0" w:line="240" w:lineRule="auto"/>
                    <w:rPr>
                      <w:rFonts w:ascii="Arial" w:eastAsia="SimSun" w:hAnsi="Arial" w:cs="Times New Roman"/>
                      <w:sz w:val="20"/>
                      <w:szCs w:val="20"/>
                      <w:lang w:val="en-GB" w:eastAsia="zh-CN"/>
                    </w:rPr>
                  </w:pPr>
                </w:p>
              </w:tc>
              <w:tc>
                <w:tcPr>
                  <w:tcW w:w="1660" w:type="dxa"/>
                </w:tcPr>
                <w:p w14:paraId="18969C96"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bl>
          <w:p w14:paraId="15ABD2E5" w14:textId="77777777" w:rsidR="006D1BB8" w:rsidRPr="006D1BB8" w:rsidRDefault="006D1BB8" w:rsidP="006D1BB8">
            <w:pPr>
              <w:spacing w:after="0" w:line="240" w:lineRule="auto"/>
              <w:ind w:left="142" w:right="34"/>
              <w:rPr>
                <w:rFonts w:ascii="Arial" w:eastAsia="SimSun" w:hAnsi="Arial" w:cs="Arial"/>
                <w:b/>
                <w:color w:val="000000"/>
                <w:lang w:val="en-GB" w:eastAsia="zh-CN"/>
              </w:rPr>
            </w:pPr>
          </w:p>
          <w:p w14:paraId="7BC65555" w14:textId="77777777" w:rsidR="006D1BB8" w:rsidRPr="006D1BB8" w:rsidRDefault="006D1BB8" w:rsidP="006D1BB8">
            <w:pPr>
              <w:spacing w:after="0" w:line="240" w:lineRule="auto"/>
              <w:ind w:left="142" w:right="34"/>
              <w:rPr>
                <w:rFonts w:ascii="Arial" w:eastAsia="SimSun" w:hAnsi="Arial" w:cs="Arial"/>
                <w:color w:val="000000"/>
                <w:lang w:val="en-GB" w:eastAsia="zh-CN"/>
              </w:rPr>
            </w:pPr>
            <w:r w:rsidRPr="006D1BB8">
              <w:rPr>
                <w:rFonts w:ascii="Arial" w:eastAsia="SimSun" w:hAnsi="Arial" w:cs="Arial"/>
                <w:b/>
                <w:color w:val="000000"/>
                <w:lang w:val="en-GB" w:eastAsia="zh-CN"/>
              </w:rPr>
              <w:t>NB.</w:t>
            </w:r>
            <w:r w:rsidRPr="006D1BB8">
              <w:rPr>
                <w:rFonts w:ascii="Arial" w:eastAsia="SimSun" w:hAnsi="Arial" w:cs="Arial"/>
                <w:color w:val="000000"/>
                <w:lang w:val="en-GB" w:eastAsia="zh-CN"/>
              </w:rPr>
              <w:t xml:space="preserve">  All marks are provisional until confirmed by the Final Examination Board.</w:t>
            </w:r>
          </w:p>
          <w:p w14:paraId="02C49C49" w14:textId="77777777" w:rsidR="006D1BB8" w:rsidRPr="006D1BB8" w:rsidRDefault="006D1BB8" w:rsidP="006D1BB8">
            <w:pPr>
              <w:spacing w:after="0" w:line="240" w:lineRule="auto"/>
              <w:rPr>
                <w:rFonts w:ascii="Arial" w:eastAsia="SimSun" w:hAnsi="Arial" w:cs="Arial"/>
                <w:b/>
                <w:color w:val="000000"/>
                <w:lang w:val="en-GB" w:eastAsia="zh-CN"/>
              </w:rPr>
            </w:pPr>
          </w:p>
          <w:p w14:paraId="4BAC607B" w14:textId="77777777" w:rsidR="006D1BB8" w:rsidRPr="006D1BB8" w:rsidRDefault="006D1BB8" w:rsidP="006D1BB8">
            <w:pPr>
              <w:spacing w:after="0" w:line="240" w:lineRule="auto"/>
              <w:rPr>
                <w:rFonts w:ascii="Arial" w:eastAsia="SimSun" w:hAnsi="Arial" w:cs="Arial"/>
                <w:b/>
                <w:color w:val="000000"/>
                <w:lang w:val="en-GB" w:eastAsia="zh-CN"/>
              </w:rPr>
            </w:pPr>
          </w:p>
          <w:p w14:paraId="2EFE1EDC" w14:textId="77777777" w:rsidR="006D1BB8" w:rsidRPr="006D1BB8" w:rsidRDefault="006D1BB8" w:rsidP="006D1BB8">
            <w:pPr>
              <w:spacing w:after="0" w:line="240" w:lineRule="auto"/>
              <w:rPr>
                <w:rFonts w:ascii="Arial" w:eastAsia="SimSun" w:hAnsi="Arial" w:cs="Arial"/>
                <w:b/>
                <w:color w:val="000000"/>
                <w:lang w:val="en-GB" w:eastAsia="zh-CN"/>
              </w:rPr>
            </w:pPr>
          </w:p>
          <w:p w14:paraId="65F2B609" w14:textId="77777777" w:rsidR="006D1BB8" w:rsidRPr="006D1BB8" w:rsidRDefault="006D1BB8" w:rsidP="006D1BB8">
            <w:pPr>
              <w:spacing w:after="0" w:line="240" w:lineRule="auto"/>
              <w:rPr>
                <w:rFonts w:ascii="Arial" w:eastAsia="SimSun" w:hAnsi="Arial" w:cs="Arial"/>
                <w:b/>
                <w:color w:val="000000"/>
                <w:lang w:val="en-GB" w:eastAsia="zh-CN"/>
              </w:rPr>
            </w:pPr>
          </w:p>
          <w:p w14:paraId="2B3E687D" w14:textId="77777777" w:rsidR="006D1BB8" w:rsidRPr="006D1BB8" w:rsidRDefault="006D1BB8" w:rsidP="006D1BB8">
            <w:pPr>
              <w:spacing w:after="0" w:line="240" w:lineRule="auto"/>
              <w:rPr>
                <w:rFonts w:ascii="Arial" w:eastAsia="SimSun" w:hAnsi="Arial" w:cs="Arial"/>
                <w:b/>
                <w:color w:val="000000"/>
                <w:lang w:val="en-GB" w:eastAsia="zh-CN"/>
              </w:rPr>
            </w:pPr>
          </w:p>
          <w:p w14:paraId="143B487F" w14:textId="77777777" w:rsidR="006D1BB8" w:rsidRPr="006D1BB8" w:rsidRDefault="006D1BB8" w:rsidP="006D1BB8">
            <w:pPr>
              <w:spacing w:after="0" w:line="240" w:lineRule="auto"/>
              <w:rPr>
                <w:rFonts w:ascii="Arial" w:eastAsia="SimSun" w:hAnsi="Arial" w:cs="Arial"/>
                <w:b/>
                <w:color w:val="000000"/>
                <w:lang w:val="en-GB" w:eastAsia="zh-CN"/>
              </w:rPr>
            </w:pPr>
            <w:r w:rsidRPr="006D1BB8">
              <w:rPr>
                <w:rFonts w:ascii="Arial" w:eastAsia="SimSun" w:hAnsi="Arial" w:cs="Arial"/>
                <w:b/>
                <w:color w:val="000000"/>
                <w:lang w:val="en-GB" w:eastAsia="zh-CN"/>
              </w:rPr>
              <w:t xml:space="preserve">For completion by Marker </w:t>
            </w:r>
            <w:proofErr w:type="gramStart"/>
            <w:r w:rsidRPr="006D1BB8">
              <w:rPr>
                <w:rFonts w:ascii="Arial" w:eastAsia="SimSun" w:hAnsi="Arial" w:cs="Arial"/>
                <w:b/>
                <w:color w:val="000000"/>
                <w:lang w:val="en-GB" w:eastAsia="zh-CN"/>
              </w:rPr>
              <w:t>1 :</w:t>
            </w:r>
            <w:proofErr w:type="gramEnd"/>
          </w:p>
          <w:p w14:paraId="4158F5BF" w14:textId="77777777" w:rsidR="006D1BB8" w:rsidRPr="006D1BB8" w:rsidRDefault="006D1BB8" w:rsidP="006D1BB8">
            <w:pPr>
              <w:spacing w:before="100" w:beforeAutospacing="1" w:after="100" w:afterAutospacing="1" w:line="240" w:lineRule="auto"/>
              <w:rPr>
                <w:rFonts w:ascii="Arial" w:eastAsia="SimSun" w:hAnsi="Arial" w:cs="Arial"/>
                <w:color w:val="000000"/>
                <w:lang w:val="en-GB" w:eastAsia="zh-CN"/>
              </w:rPr>
            </w:pPr>
            <w:r w:rsidRPr="006D1BB8">
              <w:rPr>
                <w:rFonts w:ascii="Arial" w:eastAsia="SimSun" w:hAnsi="Arial" w:cs="Arial"/>
                <w:color w:val="000000"/>
                <w:lang w:val="en-GB" w:eastAsia="zh-CN"/>
              </w:rPr>
              <w:t>Comments:</w:t>
            </w:r>
          </w:p>
          <w:p w14:paraId="0CD8706A" w14:textId="77777777" w:rsidR="006D1BB8" w:rsidRPr="006D1BB8" w:rsidRDefault="006D1BB8" w:rsidP="006D1BB8">
            <w:pPr>
              <w:spacing w:before="100" w:beforeAutospacing="1" w:after="100" w:afterAutospacing="1" w:line="240" w:lineRule="auto"/>
              <w:rPr>
                <w:rFonts w:ascii="Arial" w:eastAsia="SimSun" w:hAnsi="Arial" w:cs="Arial"/>
                <w:color w:val="000000"/>
                <w:lang w:val="en-GB" w:eastAsia="zh-CN"/>
              </w:rPr>
            </w:pPr>
          </w:p>
        </w:tc>
      </w:tr>
      <w:tr w:rsidR="006D1BB8" w:rsidRPr="006D1BB8" w14:paraId="262F38B6" w14:textId="77777777" w:rsidTr="003B6961">
        <w:trPr>
          <w:trHeight w:val="492"/>
        </w:trPr>
        <w:tc>
          <w:tcPr>
            <w:tcW w:w="6768" w:type="dxa"/>
            <w:gridSpan w:val="3"/>
          </w:tcPr>
          <w:p w14:paraId="234726BD" w14:textId="77777777" w:rsidR="006D1BB8" w:rsidRPr="006D1BB8" w:rsidRDefault="006D1BB8" w:rsidP="006D1BB8">
            <w:pPr>
              <w:spacing w:before="100" w:beforeAutospacing="1" w:after="100" w:afterAutospacing="1" w:line="240" w:lineRule="auto"/>
              <w:ind w:left="142" w:right="34"/>
              <w:rPr>
                <w:rFonts w:ascii="Arial" w:eastAsia="SimSun" w:hAnsi="Arial" w:cs="Arial"/>
                <w:color w:val="000000"/>
                <w:lang w:val="en-GB" w:eastAsia="zh-CN"/>
              </w:rPr>
            </w:pPr>
            <w:r w:rsidRPr="006D1BB8">
              <w:rPr>
                <w:rFonts w:ascii="Arial" w:eastAsia="SimSun" w:hAnsi="Arial" w:cs="Arial"/>
                <w:color w:val="000000"/>
                <w:lang w:val="en-GB" w:eastAsia="zh-CN"/>
              </w:rPr>
              <w:t>Marker’s signature:</w:t>
            </w:r>
          </w:p>
        </w:tc>
        <w:tc>
          <w:tcPr>
            <w:tcW w:w="2088" w:type="dxa"/>
            <w:gridSpan w:val="2"/>
          </w:tcPr>
          <w:p w14:paraId="7BA5E42B" w14:textId="77777777" w:rsidR="006D1BB8" w:rsidRPr="006D1BB8" w:rsidRDefault="006D1BB8" w:rsidP="006D1BB8">
            <w:pPr>
              <w:spacing w:before="100" w:beforeAutospacing="1" w:after="0" w:afterAutospacing="1" w:line="240" w:lineRule="auto"/>
              <w:ind w:left="142" w:right="34"/>
              <w:rPr>
                <w:rFonts w:ascii="Arial" w:eastAsia="SimSun" w:hAnsi="Arial" w:cs="Arial"/>
                <w:color w:val="000000"/>
                <w:lang w:val="en-GB" w:eastAsia="zh-CN"/>
              </w:rPr>
            </w:pPr>
            <w:r w:rsidRPr="006D1BB8">
              <w:rPr>
                <w:rFonts w:ascii="Arial" w:eastAsia="SimSun" w:hAnsi="Arial" w:cs="Arial"/>
                <w:color w:val="000000"/>
                <w:lang w:val="en-GB" w:eastAsia="zh-CN"/>
              </w:rPr>
              <w:t>Date:</w:t>
            </w:r>
          </w:p>
        </w:tc>
      </w:tr>
      <w:tr w:rsidR="006D1BB8" w:rsidRPr="006D1BB8" w14:paraId="01585D50" w14:textId="77777777" w:rsidTr="003B6961">
        <w:tc>
          <w:tcPr>
            <w:tcW w:w="8856" w:type="dxa"/>
            <w:gridSpan w:val="5"/>
          </w:tcPr>
          <w:p w14:paraId="7C9F77F4" w14:textId="77777777" w:rsidR="006D1BB8" w:rsidRPr="006D1BB8" w:rsidRDefault="006D1BB8" w:rsidP="006D1BB8">
            <w:pPr>
              <w:spacing w:after="0" w:line="240" w:lineRule="auto"/>
              <w:ind w:right="-334"/>
              <w:rPr>
                <w:rFonts w:ascii="Arial" w:eastAsia="SimSun" w:hAnsi="Arial" w:cs="Arial"/>
                <w:bCs/>
                <w:i/>
                <w:color w:val="000000"/>
                <w:lang w:val="en-GB" w:eastAsia="zh-CN"/>
              </w:rPr>
            </w:pPr>
          </w:p>
          <w:p w14:paraId="0CC9C3AE" w14:textId="77777777" w:rsidR="006D1BB8" w:rsidRPr="006D1BB8" w:rsidRDefault="006D1BB8" w:rsidP="006D1BB8">
            <w:pPr>
              <w:spacing w:after="0" w:line="240" w:lineRule="auto"/>
              <w:ind w:right="-334"/>
              <w:rPr>
                <w:rFonts w:ascii="Arial" w:eastAsia="SimSun" w:hAnsi="Arial" w:cs="Arial"/>
                <w:b/>
                <w:bCs/>
                <w:color w:val="000000"/>
                <w:lang w:val="en-GB" w:eastAsia="zh-CN"/>
              </w:rPr>
            </w:pPr>
            <w:r w:rsidRPr="006D1BB8">
              <w:rPr>
                <w:rFonts w:ascii="Arial" w:eastAsia="SimSun" w:hAnsi="Arial" w:cs="Arial"/>
                <w:b/>
                <w:bCs/>
                <w:color w:val="000000"/>
                <w:lang w:val="en-GB" w:eastAsia="zh-CN"/>
              </w:rPr>
              <w:t>For completion by Marker 2/Moderator:</w:t>
            </w:r>
          </w:p>
          <w:p w14:paraId="33649D63" w14:textId="77777777" w:rsidR="006D1BB8" w:rsidRPr="006D1BB8" w:rsidRDefault="006D1BB8" w:rsidP="006D1BB8">
            <w:pPr>
              <w:spacing w:after="0" w:line="240" w:lineRule="auto"/>
              <w:ind w:right="-334"/>
              <w:rPr>
                <w:rFonts w:ascii="Arial" w:eastAsia="SimSun" w:hAnsi="Arial" w:cs="Arial"/>
                <w:b/>
                <w:bCs/>
                <w:color w:val="000000"/>
                <w:lang w:val="en-GB" w:eastAsia="zh-CN"/>
              </w:rPr>
            </w:pPr>
          </w:p>
          <w:p w14:paraId="35F6BB21" w14:textId="77777777" w:rsidR="006D1BB8" w:rsidRPr="006D1BB8" w:rsidRDefault="006D1BB8" w:rsidP="006D1BB8">
            <w:pPr>
              <w:spacing w:after="0" w:line="240" w:lineRule="auto"/>
              <w:ind w:right="-334"/>
              <w:rPr>
                <w:rFonts w:ascii="Arial" w:eastAsia="SimSun" w:hAnsi="Arial" w:cs="Arial"/>
                <w:bCs/>
                <w:color w:val="000000"/>
                <w:lang w:val="en-GB" w:eastAsia="zh-CN"/>
              </w:rPr>
            </w:pPr>
            <w:r w:rsidRPr="006D1BB8">
              <w:rPr>
                <w:rFonts w:ascii="Arial" w:eastAsia="SimSun" w:hAnsi="Arial" w:cs="Arial"/>
                <w:bCs/>
                <w:color w:val="000000"/>
                <w:lang w:val="en-GB" w:eastAsia="zh-CN"/>
              </w:rPr>
              <w:t>Comments:</w:t>
            </w:r>
          </w:p>
          <w:p w14:paraId="5575A47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D348F3B"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4677DEA"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1562552"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30E26DD1"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99BB926"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661AD8EB"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2F00A1CA"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464B83D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5A0ED269"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5AADC2B"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6CCFED1" w14:textId="77777777" w:rsidR="006D1BB8" w:rsidRPr="006D1BB8" w:rsidRDefault="006D1BB8" w:rsidP="006D1BB8">
            <w:pPr>
              <w:spacing w:after="0" w:line="240" w:lineRule="auto"/>
              <w:ind w:right="-334"/>
              <w:rPr>
                <w:rFonts w:ascii="Arial" w:eastAsia="SimSun" w:hAnsi="Arial" w:cs="Arial"/>
                <w:bCs/>
                <w:color w:val="000000"/>
                <w:lang w:val="en-GB" w:eastAsia="zh-CN"/>
              </w:rPr>
            </w:pPr>
          </w:p>
        </w:tc>
      </w:tr>
      <w:tr w:rsidR="006D1BB8" w:rsidRPr="006D1BB8" w14:paraId="65F31889" w14:textId="77777777" w:rsidTr="003B6961">
        <w:trPr>
          <w:trHeight w:val="720"/>
        </w:trPr>
        <w:tc>
          <w:tcPr>
            <w:tcW w:w="5211" w:type="dxa"/>
            <w:gridSpan w:val="2"/>
          </w:tcPr>
          <w:p w14:paraId="3600812F" w14:textId="77777777" w:rsidR="006D1BB8" w:rsidRPr="006D1BB8" w:rsidRDefault="006D1BB8" w:rsidP="006D1BB8">
            <w:pPr>
              <w:spacing w:after="0" w:line="240" w:lineRule="auto"/>
              <w:ind w:right="-334"/>
              <w:rPr>
                <w:rFonts w:ascii="Arial" w:eastAsia="SimSun" w:hAnsi="Arial" w:cs="Arial"/>
                <w:bCs/>
                <w:color w:val="000000"/>
                <w:lang w:val="en-GB" w:eastAsia="zh-CN"/>
              </w:rPr>
            </w:pPr>
            <w:r w:rsidRPr="006D1BB8">
              <w:rPr>
                <w:rFonts w:ascii="Arial" w:eastAsia="SimSun" w:hAnsi="Arial" w:cs="Arial"/>
                <w:bCs/>
                <w:color w:val="000000"/>
                <w:lang w:val="en-GB" w:eastAsia="zh-CN"/>
              </w:rPr>
              <w:t>Marker’s Signature:</w:t>
            </w:r>
          </w:p>
        </w:tc>
        <w:tc>
          <w:tcPr>
            <w:tcW w:w="3645" w:type="dxa"/>
            <w:gridSpan w:val="3"/>
          </w:tcPr>
          <w:p w14:paraId="4C68A79D" w14:textId="77777777" w:rsidR="006D1BB8" w:rsidRPr="006D1BB8" w:rsidRDefault="006D1BB8" w:rsidP="006D1BB8">
            <w:pPr>
              <w:spacing w:after="0" w:line="240" w:lineRule="auto"/>
              <w:ind w:right="-334"/>
              <w:rPr>
                <w:rFonts w:ascii="Arial" w:eastAsia="SimSun" w:hAnsi="Arial" w:cs="Arial"/>
                <w:bCs/>
                <w:color w:val="000000"/>
                <w:lang w:val="en-GB" w:eastAsia="zh-CN"/>
              </w:rPr>
            </w:pPr>
            <w:r w:rsidRPr="006D1BB8">
              <w:rPr>
                <w:rFonts w:ascii="Arial" w:eastAsia="SimSun" w:hAnsi="Arial" w:cs="Arial"/>
                <w:bCs/>
                <w:color w:val="000000"/>
                <w:lang w:val="en-GB" w:eastAsia="zh-CN"/>
              </w:rPr>
              <w:t>Date:</w:t>
            </w:r>
          </w:p>
        </w:tc>
      </w:tr>
      <w:tr w:rsidR="006D1BB8" w:rsidRPr="006D1BB8" w14:paraId="22F56509" w14:textId="77777777" w:rsidTr="003B6961">
        <w:trPr>
          <w:trHeight w:val="720"/>
        </w:trPr>
        <w:tc>
          <w:tcPr>
            <w:tcW w:w="8856" w:type="dxa"/>
            <w:gridSpan w:val="5"/>
          </w:tcPr>
          <w:p w14:paraId="3A012C31" w14:textId="77777777" w:rsidR="006D1BB8" w:rsidRPr="006D1BB8" w:rsidRDefault="006D1BB8" w:rsidP="006D1BB8">
            <w:pPr>
              <w:spacing w:after="0" w:line="240" w:lineRule="auto"/>
              <w:rPr>
                <w:rFonts w:ascii="Arial" w:eastAsia="SimSun" w:hAnsi="Arial" w:cs="Arial"/>
                <w:b/>
                <w:lang w:val="en-GB" w:eastAsia="zh-CN"/>
              </w:rPr>
            </w:pPr>
            <w:r w:rsidRPr="006D1BB8">
              <w:rPr>
                <w:rFonts w:ascii="Arial" w:eastAsia="SimSun" w:hAnsi="Arial" w:cs="Arial"/>
                <w:b/>
                <w:lang w:val="en-GB" w:eastAsia="zh-CN"/>
              </w:rPr>
              <w:t>External Examiner’s comments (if relevant)</w:t>
            </w:r>
          </w:p>
          <w:p w14:paraId="5A092745"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2C34693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1B64DEE"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9D89E91"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6480B4D"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4E64EBC"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626739E4"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2D24D77D"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96BB351"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33CB339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58824B8" w14:textId="77777777" w:rsidR="006D1BB8" w:rsidRPr="006D1BB8" w:rsidRDefault="006D1BB8" w:rsidP="006D1BB8">
            <w:pPr>
              <w:spacing w:after="0" w:line="240" w:lineRule="auto"/>
              <w:ind w:right="-334"/>
              <w:rPr>
                <w:rFonts w:ascii="Arial" w:eastAsia="SimSun" w:hAnsi="Arial" w:cs="Arial"/>
                <w:bCs/>
                <w:color w:val="000000"/>
                <w:lang w:val="en-GB" w:eastAsia="zh-CN"/>
              </w:rPr>
            </w:pPr>
          </w:p>
        </w:tc>
      </w:tr>
      <w:tr w:rsidR="006D1BB8" w:rsidRPr="006D1BB8" w14:paraId="54BEDC32" w14:textId="77777777" w:rsidTr="003B6961">
        <w:trPr>
          <w:trHeight w:val="720"/>
        </w:trPr>
        <w:tc>
          <w:tcPr>
            <w:tcW w:w="5211" w:type="dxa"/>
            <w:gridSpan w:val="2"/>
          </w:tcPr>
          <w:p w14:paraId="3B31DAF8" w14:textId="77777777" w:rsidR="006D1BB8" w:rsidRPr="006D1BB8" w:rsidRDefault="006D1BB8" w:rsidP="006D1BB8">
            <w:pPr>
              <w:spacing w:after="0" w:line="240" w:lineRule="auto"/>
              <w:rPr>
                <w:rFonts w:ascii="Arial" w:eastAsia="SimSun" w:hAnsi="Arial" w:cs="Arial"/>
                <w:lang w:val="en-GB" w:eastAsia="zh-CN"/>
              </w:rPr>
            </w:pPr>
            <w:r w:rsidRPr="006D1BB8">
              <w:rPr>
                <w:rFonts w:ascii="Arial" w:eastAsia="SimSun" w:hAnsi="Arial" w:cs="Arial"/>
                <w:lang w:val="en-GB" w:eastAsia="zh-CN"/>
              </w:rPr>
              <w:lastRenderedPageBreak/>
              <w:t>External Examiner’s Signature:</w:t>
            </w:r>
          </w:p>
        </w:tc>
        <w:tc>
          <w:tcPr>
            <w:tcW w:w="3645" w:type="dxa"/>
            <w:gridSpan w:val="3"/>
          </w:tcPr>
          <w:p w14:paraId="02AA27A0" w14:textId="77777777" w:rsidR="006D1BB8" w:rsidRPr="006D1BB8" w:rsidRDefault="006D1BB8" w:rsidP="006D1BB8">
            <w:pPr>
              <w:spacing w:after="0" w:line="240" w:lineRule="auto"/>
              <w:rPr>
                <w:rFonts w:ascii="Arial" w:eastAsia="SimSun" w:hAnsi="Arial" w:cs="Arial"/>
                <w:lang w:val="en-GB" w:eastAsia="zh-CN"/>
              </w:rPr>
            </w:pPr>
            <w:r w:rsidRPr="006D1BB8">
              <w:rPr>
                <w:rFonts w:ascii="Arial" w:eastAsia="SimSun" w:hAnsi="Arial" w:cs="Arial"/>
                <w:lang w:val="en-GB" w:eastAsia="zh-CN"/>
              </w:rPr>
              <w:t>Date:</w:t>
            </w:r>
          </w:p>
        </w:tc>
      </w:tr>
      <w:bookmarkEnd w:id="1"/>
    </w:tbl>
    <w:p w14:paraId="3179C667" w14:textId="77777777" w:rsidR="006D1BB8" w:rsidRDefault="006D1BB8" w:rsidP="006934FC">
      <w:pPr>
        <w:rPr>
          <w:b/>
          <w:bCs/>
        </w:rPr>
      </w:pPr>
    </w:p>
    <w:p w14:paraId="1CADE250" w14:textId="77777777" w:rsidR="006D1BB8" w:rsidRDefault="006D1BB8" w:rsidP="006934FC">
      <w:pPr>
        <w:rPr>
          <w:b/>
          <w:bCs/>
        </w:rPr>
      </w:pPr>
    </w:p>
    <w:p w14:paraId="20F89207" w14:textId="77777777" w:rsidR="006D1BB8" w:rsidRDefault="006D1BB8" w:rsidP="006934FC">
      <w:pPr>
        <w:rPr>
          <w:b/>
          <w:bCs/>
        </w:rPr>
      </w:pPr>
    </w:p>
    <w:p w14:paraId="53943908" w14:textId="77777777" w:rsidR="006D1BB8" w:rsidRDefault="006D1BB8" w:rsidP="006934FC">
      <w:pPr>
        <w:rPr>
          <w:b/>
          <w:bCs/>
        </w:rPr>
      </w:pPr>
    </w:p>
    <w:p w14:paraId="1C057118" w14:textId="77777777" w:rsidR="006D1BB8" w:rsidRDefault="006D1BB8" w:rsidP="006934FC">
      <w:pPr>
        <w:rPr>
          <w:b/>
          <w:bCs/>
        </w:rPr>
      </w:pPr>
    </w:p>
    <w:p w14:paraId="2E93297E" w14:textId="77777777" w:rsidR="006D1BB8" w:rsidRDefault="006D1BB8" w:rsidP="006934FC">
      <w:pPr>
        <w:rPr>
          <w:b/>
          <w:bCs/>
        </w:rPr>
      </w:pPr>
    </w:p>
    <w:p w14:paraId="7868C246" w14:textId="77777777" w:rsidR="006D1BB8" w:rsidRDefault="006D1BB8" w:rsidP="006934FC">
      <w:pPr>
        <w:rPr>
          <w:b/>
          <w:bCs/>
        </w:rPr>
      </w:pPr>
    </w:p>
    <w:p w14:paraId="0E59D7BD" w14:textId="77777777" w:rsidR="006D1BB8" w:rsidRDefault="006D1BB8" w:rsidP="006934FC">
      <w:pPr>
        <w:rPr>
          <w:b/>
          <w:bCs/>
        </w:rPr>
      </w:pPr>
    </w:p>
    <w:p w14:paraId="14A0052B" w14:textId="77777777" w:rsidR="006D1BB8" w:rsidRDefault="006D1BB8" w:rsidP="006934FC">
      <w:pPr>
        <w:rPr>
          <w:b/>
          <w:bCs/>
        </w:rPr>
      </w:pPr>
    </w:p>
    <w:p w14:paraId="5C2DA858" w14:textId="77777777" w:rsidR="006D1BB8" w:rsidRDefault="006D1BB8" w:rsidP="006934FC">
      <w:pPr>
        <w:rPr>
          <w:b/>
          <w:bCs/>
        </w:rPr>
      </w:pPr>
    </w:p>
    <w:p w14:paraId="3E539E4F" w14:textId="77777777" w:rsidR="006D1BB8" w:rsidRDefault="006D1BB8" w:rsidP="006934FC">
      <w:pPr>
        <w:rPr>
          <w:b/>
          <w:bCs/>
        </w:rPr>
      </w:pPr>
    </w:p>
    <w:p w14:paraId="2CA5C55D" w14:textId="77777777" w:rsidR="006D1BB8" w:rsidRDefault="006D1BB8" w:rsidP="006934FC">
      <w:pPr>
        <w:rPr>
          <w:b/>
          <w:bCs/>
        </w:rPr>
      </w:pPr>
    </w:p>
    <w:p w14:paraId="577FB29E" w14:textId="77777777" w:rsidR="006D1BB8" w:rsidRDefault="006D1BB8" w:rsidP="006934FC">
      <w:pPr>
        <w:rPr>
          <w:b/>
          <w:bCs/>
        </w:rPr>
      </w:pPr>
    </w:p>
    <w:p w14:paraId="2CB56FF4" w14:textId="77777777" w:rsidR="006D1BB8" w:rsidRDefault="006D1BB8" w:rsidP="006934FC">
      <w:pPr>
        <w:rPr>
          <w:b/>
          <w:bCs/>
        </w:rPr>
      </w:pPr>
    </w:p>
    <w:p w14:paraId="2C369766" w14:textId="77777777" w:rsidR="006D1BB8" w:rsidRDefault="006D1BB8" w:rsidP="006934FC">
      <w:pPr>
        <w:rPr>
          <w:b/>
          <w:bCs/>
        </w:rPr>
      </w:pPr>
    </w:p>
    <w:p w14:paraId="4A5E7ED1" w14:textId="77777777" w:rsidR="006D1BB8" w:rsidRDefault="006D1BB8" w:rsidP="006934FC">
      <w:pPr>
        <w:rPr>
          <w:b/>
          <w:bCs/>
        </w:rPr>
      </w:pPr>
    </w:p>
    <w:p w14:paraId="339AA92F" w14:textId="77777777" w:rsidR="006D1BB8" w:rsidRDefault="006D1BB8" w:rsidP="006934FC">
      <w:pPr>
        <w:rPr>
          <w:b/>
          <w:bCs/>
        </w:rPr>
      </w:pPr>
    </w:p>
    <w:p w14:paraId="2E5034DF" w14:textId="77777777" w:rsidR="006D1BB8" w:rsidRDefault="006D1BB8" w:rsidP="006934FC">
      <w:pPr>
        <w:rPr>
          <w:b/>
          <w:bCs/>
        </w:rPr>
      </w:pPr>
    </w:p>
    <w:p w14:paraId="3820887D" w14:textId="77777777" w:rsidR="006D1BB8" w:rsidRDefault="006D1BB8" w:rsidP="006934FC">
      <w:pPr>
        <w:rPr>
          <w:b/>
          <w:bCs/>
        </w:rPr>
      </w:pPr>
    </w:p>
    <w:p w14:paraId="339A922E" w14:textId="77777777" w:rsidR="006D1BB8" w:rsidRDefault="006D1BB8" w:rsidP="006934FC">
      <w:pPr>
        <w:rPr>
          <w:b/>
          <w:bCs/>
        </w:rPr>
      </w:pPr>
    </w:p>
    <w:p w14:paraId="70D38D71" w14:textId="77777777" w:rsidR="006D1BB8" w:rsidRDefault="006D1BB8" w:rsidP="006934FC">
      <w:pPr>
        <w:rPr>
          <w:b/>
          <w:bCs/>
        </w:rPr>
      </w:pPr>
    </w:p>
    <w:p w14:paraId="5D94E384" w14:textId="77777777" w:rsidR="006D1BB8" w:rsidRDefault="006D1BB8" w:rsidP="006934FC">
      <w:pPr>
        <w:rPr>
          <w:b/>
          <w:bCs/>
        </w:rPr>
      </w:pPr>
    </w:p>
    <w:p w14:paraId="11F5A393" w14:textId="77777777" w:rsidR="006D1BB8" w:rsidRDefault="006D1BB8" w:rsidP="006934FC">
      <w:pPr>
        <w:rPr>
          <w:b/>
          <w:bCs/>
        </w:rPr>
      </w:pPr>
    </w:p>
    <w:p w14:paraId="4D4DBC52" w14:textId="680638F6" w:rsidR="006934FC" w:rsidRDefault="006934FC" w:rsidP="006934FC">
      <w:pPr>
        <w:rPr>
          <w:b/>
          <w:bCs/>
        </w:rPr>
      </w:pPr>
      <w:r w:rsidRPr="00C34B5F">
        <w:rPr>
          <w:b/>
          <w:bCs/>
        </w:rPr>
        <w:lastRenderedPageBreak/>
        <w:t>Compare and critically contrast Mircea Eliade</w:t>
      </w:r>
      <w:r w:rsidR="00E52B38">
        <w:rPr>
          <w:b/>
          <w:bCs/>
        </w:rPr>
        <w:t>'s</w:t>
      </w:r>
      <w:r w:rsidRPr="00C34B5F">
        <w:rPr>
          <w:b/>
          <w:bCs/>
        </w:rPr>
        <w:t xml:space="preserve"> and Emile Durkheim</w:t>
      </w:r>
      <w:r>
        <w:rPr>
          <w:b/>
          <w:bCs/>
        </w:rPr>
        <w:t>'</w:t>
      </w:r>
      <w:r w:rsidRPr="00C34B5F">
        <w:rPr>
          <w:b/>
          <w:bCs/>
        </w:rPr>
        <w:t>s views</w:t>
      </w:r>
      <w:r>
        <w:rPr>
          <w:b/>
          <w:bCs/>
        </w:rPr>
        <w:t xml:space="preserve"> of sacred space.</w:t>
      </w:r>
    </w:p>
    <w:p w14:paraId="5EC11510" w14:textId="69A91272" w:rsidR="006934FC" w:rsidRDefault="006934FC" w:rsidP="006934FC">
      <w:pPr>
        <w:rPr>
          <w:b/>
          <w:bCs/>
        </w:rPr>
      </w:pPr>
      <w:r>
        <w:rPr>
          <w:b/>
          <w:bCs/>
        </w:rPr>
        <w:t xml:space="preserve">Word Count: </w:t>
      </w:r>
      <w:r w:rsidR="00C55463">
        <w:rPr>
          <w:b/>
          <w:bCs/>
        </w:rPr>
        <w:t>2</w:t>
      </w:r>
      <w:r w:rsidR="006D1BB8">
        <w:rPr>
          <w:b/>
          <w:bCs/>
        </w:rPr>
        <w:t>360</w:t>
      </w:r>
    </w:p>
    <w:p w14:paraId="1BFF4B62" w14:textId="3EB5E6BD" w:rsidR="00D0528E" w:rsidRDefault="00D0528E" w:rsidP="006934FC">
      <w:pPr>
        <w:rPr>
          <w:b/>
          <w:bCs/>
        </w:rPr>
      </w:pPr>
      <w:r>
        <w:rPr>
          <w:b/>
          <w:bCs/>
        </w:rPr>
        <w:t>Introduction</w:t>
      </w:r>
    </w:p>
    <w:p w14:paraId="70B706CE" w14:textId="0D1C1699" w:rsidR="00D0528E" w:rsidRDefault="00D0528E" w:rsidP="00D0528E">
      <w:pPr>
        <w:ind w:left="576" w:right="576"/>
      </w:pPr>
      <w:r>
        <w:t>'I called to the Lord from my narrow prison, and He answered me in the freedom of space…in that hour</w:t>
      </w:r>
      <w:r w:rsidR="00E52B38">
        <w:t>,</w:t>
      </w:r>
      <w:r>
        <w:t xml:space="preserve"> my life started…until I became a human being again.'</w:t>
      </w:r>
      <w:r>
        <w:rPr>
          <w:rStyle w:val="FootnoteReference"/>
        </w:rPr>
        <w:footnoteReference w:id="1"/>
      </w:r>
    </w:p>
    <w:p w14:paraId="07954D71" w14:textId="38C79AE4" w:rsidR="006934FC" w:rsidRPr="005A63FB" w:rsidRDefault="006934FC" w:rsidP="006934FC">
      <w:pPr>
        <w:rPr>
          <w:rFonts w:cstheme="minorHAnsi"/>
        </w:rPr>
      </w:pPr>
      <w:r w:rsidRPr="009773A4">
        <w:rPr>
          <w:rFonts w:cstheme="minorHAnsi"/>
        </w:rPr>
        <w:t>This essay compares and contrasts the views of sacred space in Emile Durkheim</w:t>
      </w:r>
      <w:r>
        <w:rPr>
          <w:rFonts w:cstheme="minorHAnsi"/>
        </w:rPr>
        <w:t>'</w:t>
      </w:r>
      <w:r w:rsidRPr="009773A4">
        <w:rPr>
          <w:rFonts w:cstheme="minorHAnsi"/>
        </w:rPr>
        <w:t xml:space="preserve">s </w:t>
      </w:r>
      <w:r w:rsidRPr="00E52B38">
        <w:rPr>
          <w:rFonts w:cstheme="minorHAnsi"/>
          <w:i/>
          <w:iCs/>
        </w:rPr>
        <w:t>The Elementary Forms of Religion</w:t>
      </w:r>
      <w:r w:rsidRPr="009773A4">
        <w:rPr>
          <w:rStyle w:val="FootnoteReference"/>
          <w:rFonts w:cstheme="minorHAnsi"/>
          <w:i/>
          <w:iCs/>
        </w:rPr>
        <w:footnoteReference w:id="2"/>
      </w:r>
      <w:r>
        <w:rPr>
          <w:rFonts w:cstheme="minorHAnsi"/>
        </w:rPr>
        <w:t xml:space="preserve"> </w:t>
      </w:r>
      <w:r w:rsidRPr="009773A4">
        <w:rPr>
          <w:rFonts w:cstheme="minorHAnsi"/>
        </w:rPr>
        <w:t>and Mircea Eliade</w:t>
      </w:r>
      <w:r>
        <w:rPr>
          <w:rFonts w:cstheme="minorHAnsi"/>
        </w:rPr>
        <w:t>'</w:t>
      </w:r>
      <w:r w:rsidRPr="009773A4">
        <w:rPr>
          <w:rFonts w:cstheme="minorHAnsi"/>
        </w:rPr>
        <w:t xml:space="preserve">s </w:t>
      </w:r>
      <w:r>
        <w:rPr>
          <w:rFonts w:cstheme="minorHAnsi"/>
          <w:i/>
          <w:iCs/>
        </w:rPr>
        <w:t>T</w:t>
      </w:r>
      <w:r w:rsidRPr="009773A4">
        <w:rPr>
          <w:rFonts w:cstheme="minorHAnsi"/>
          <w:i/>
          <w:iCs/>
        </w:rPr>
        <w:t>he Sacred and the Profane.</w:t>
      </w:r>
      <w:r w:rsidRPr="009773A4">
        <w:rPr>
          <w:rStyle w:val="FootnoteReference"/>
          <w:rFonts w:cstheme="minorHAnsi"/>
          <w:i/>
          <w:iCs/>
        </w:rPr>
        <w:footnoteReference w:id="3"/>
      </w:r>
      <w:r w:rsidRPr="009773A4">
        <w:rPr>
          <w:rFonts w:cstheme="minorHAnsi"/>
          <w:i/>
          <w:iCs/>
        </w:rPr>
        <w:t xml:space="preserve"> </w:t>
      </w:r>
      <w:r>
        <w:rPr>
          <w:rFonts w:cstheme="minorHAnsi"/>
        </w:rPr>
        <w:t xml:space="preserve"> </w:t>
      </w:r>
      <w:r w:rsidR="00E52B38">
        <w:rPr>
          <w:rFonts w:cstheme="minorHAnsi"/>
        </w:rPr>
        <w:t>Each</w:t>
      </w:r>
      <w:r>
        <w:rPr>
          <w:rFonts w:cstheme="minorHAnsi"/>
        </w:rPr>
        <w:t xml:space="preserve"> </w:t>
      </w:r>
      <w:r w:rsidR="00E52B38">
        <w:rPr>
          <w:rFonts w:cstheme="minorHAnsi"/>
        </w:rPr>
        <w:t xml:space="preserve">scholar's </w:t>
      </w:r>
      <w:r>
        <w:rPr>
          <w:rFonts w:cstheme="minorHAnsi"/>
        </w:rPr>
        <w:t>biographical information is discussed. Comments</w:t>
      </w:r>
      <w:r w:rsidR="00E52B38">
        <w:rPr>
          <w:rFonts w:cstheme="minorHAnsi"/>
        </w:rPr>
        <w:t xml:space="preserve"> by </w:t>
      </w:r>
      <w:r>
        <w:rPr>
          <w:rFonts w:cstheme="minorHAnsi"/>
        </w:rPr>
        <w:t>other scholars, translators and writers in religious studies are offered. The shared and different views of</w:t>
      </w:r>
      <w:r w:rsidR="009C6387">
        <w:rPr>
          <w:rFonts w:cstheme="minorHAnsi"/>
        </w:rPr>
        <w:t xml:space="preserve"> the sacred and </w:t>
      </w:r>
      <w:r>
        <w:rPr>
          <w:rFonts w:cstheme="minorHAnsi"/>
        </w:rPr>
        <w:t xml:space="preserve">sacred space, discussion of the evidence supporting their ideas and writing style of Durkheim and Eliade are examined.  </w:t>
      </w:r>
    </w:p>
    <w:p w14:paraId="05C89649" w14:textId="77777777" w:rsidR="006934FC" w:rsidRDefault="006934FC" w:rsidP="006934FC">
      <w:pPr>
        <w:rPr>
          <w:rFonts w:cstheme="minorHAnsi"/>
          <w:b/>
          <w:bCs/>
        </w:rPr>
      </w:pPr>
      <w:r w:rsidRPr="00C34B5F">
        <w:rPr>
          <w:rFonts w:cstheme="minorHAnsi"/>
          <w:b/>
          <w:bCs/>
        </w:rPr>
        <w:t>Biographi</w:t>
      </w:r>
      <w:r>
        <w:rPr>
          <w:rFonts w:cstheme="minorHAnsi"/>
          <w:b/>
          <w:bCs/>
        </w:rPr>
        <w:t>es</w:t>
      </w:r>
    </w:p>
    <w:p w14:paraId="7B3A24C4" w14:textId="6D763A6C" w:rsidR="006934FC" w:rsidRDefault="006934FC" w:rsidP="006934FC">
      <w:pPr>
        <w:rPr>
          <w:rFonts w:cstheme="minorHAnsi"/>
        </w:rPr>
      </w:pPr>
      <w:r>
        <w:rPr>
          <w:rFonts w:cstheme="minorHAnsi"/>
        </w:rPr>
        <w:t xml:space="preserve">Emile Durkheim (1853-1971) was born in Lorraine, France. He was of Jewish heritage, which held influence despite his break from Judaism. </w:t>
      </w:r>
      <w:r w:rsidR="00BC06C5">
        <w:rPr>
          <w:rFonts w:cstheme="minorHAnsi"/>
        </w:rPr>
        <w:t>Members of his</w:t>
      </w:r>
      <w:r>
        <w:rPr>
          <w:rFonts w:cstheme="minorHAnsi"/>
        </w:rPr>
        <w:t xml:space="preserve"> community in Alsace-Lorraine were ardent French patriots. Durkheim was educated in Paris and influenced by many renowned philosophers. By 1902 he was a well-known scholar and taught at the Sorbonne.</w:t>
      </w:r>
      <w:r>
        <w:rPr>
          <w:rStyle w:val="FootnoteReference"/>
          <w:rFonts w:cstheme="minorHAnsi"/>
        </w:rPr>
        <w:footnoteReference w:id="4"/>
      </w:r>
      <w:r>
        <w:rPr>
          <w:rFonts w:cstheme="minorHAnsi"/>
        </w:rPr>
        <w:t xml:space="preserve"> Durkheim' transgressed the boundaries between the primitive and civilized, searching for a vocabulary to comprehend and represent the real.</w:t>
      </w:r>
      <w:r>
        <w:rPr>
          <w:rStyle w:val="FootnoteReference"/>
          <w:rFonts w:cstheme="minorHAnsi"/>
        </w:rPr>
        <w:footnoteReference w:id="5"/>
      </w:r>
      <w:r>
        <w:rPr>
          <w:rFonts w:cstheme="minorHAnsi"/>
        </w:rPr>
        <w:t xml:space="preserve"> </w:t>
      </w:r>
      <w:r w:rsidR="006D1BB8">
        <w:rPr>
          <w:rFonts w:cstheme="minorHAnsi"/>
        </w:rPr>
        <w:t>He was criticized for not ‘bearing out his arguments of origins of religion and accepting a ‘mongrel definition of religion’ though considered a scholarly and intelligent author.</w:t>
      </w:r>
      <w:r w:rsidR="006D1BB8">
        <w:rPr>
          <w:rStyle w:val="FootnoteReference"/>
          <w:rFonts w:cstheme="minorHAnsi"/>
        </w:rPr>
        <w:footnoteReference w:id="6"/>
      </w:r>
      <w:r w:rsidR="006D1BB8">
        <w:rPr>
          <w:rFonts w:cstheme="minorHAnsi"/>
        </w:rPr>
        <w:t xml:space="preserve">   </w:t>
      </w:r>
      <w:r>
        <w:rPr>
          <w:rFonts w:cstheme="minorHAnsi"/>
        </w:rPr>
        <w:t>According to Cladis,</w:t>
      </w:r>
      <w:r>
        <w:rPr>
          <w:rStyle w:val="FootnoteReference"/>
          <w:rFonts w:cstheme="minorHAnsi"/>
        </w:rPr>
        <w:footnoteReference w:id="7"/>
      </w:r>
      <w:r>
        <w:rPr>
          <w:rFonts w:cstheme="minorHAnsi"/>
        </w:rPr>
        <w:t xml:space="preserve">  </w:t>
      </w:r>
    </w:p>
    <w:p w14:paraId="00A16087" w14:textId="77777777" w:rsidR="006934FC" w:rsidRDefault="006934FC" w:rsidP="006934FC">
      <w:pPr>
        <w:ind w:left="720" w:right="720"/>
        <w:rPr>
          <w:rFonts w:cstheme="minorHAnsi"/>
          <w:sz w:val="20"/>
          <w:szCs w:val="20"/>
        </w:rPr>
      </w:pPr>
      <w:r w:rsidRPr="003C4F0E">
        <w:rPr>
          <w:rFonts w:cstheme="minorHAnsi"/>
          <w:sz w:val="20"/>
          <w:szCs w:val="20"/>
        </w:rPr>
        <w:t>His (Durkheim</w:t>
      </w:r>
      <w:r>
        <w:rPr>
          <w:rFonts w:cstheme="minorHAnsi"/>
          <w:sz w:val="20"/>
          <w:szCs w:val="20"/>
        </w:rPr>
        <w:t>'</w:t>
      </w:r>
      <w:r w:rsidRPr="003C4F0E">
        <w:rPr>
          <w:rFonts w:cstheme="minorHAnsi"/>
          <w:sz w:val="20"/>
          <w:szCs w:val="20"/>
        </w:rPr>
        <w:t>s) mission was twofold: to establish further the new discipline of sociology; to employ that discipline to assist the Third Republic in its difficult transition from community-based religious education to national secular education. Durkheim…was convinced that the survival of France depended on establishing a national education, separate from the church, that would communicate French ideals…of progressive liberalism and love of the common good.</w:t>
      </w:r>
      <w:r>
        <w:rPr>
          <w:rFonts w:cstheme="minorHAnsi"/>
          <w:sz w:val="20"/>
          <w:szCs w:val="20"/>
        </w:rPr>
        <w:t>'</w:t>
      </w:r>
      <w:r>
        <w:rPr>
          <w:rStyle w:val="FootnoteReference"/>
          <w:rFonts w:cstheme="minorHAnsi"/>
          <w:sz w:val="20"/>
          <w:szCs w:val="20"/>
        </w:rPr>
        <w:footnoteReference w:id="8"/>
      </w:r>
    </w:p>
    <w:p w14:paraId="4A00CF1E" w14:textId="66DB924B" w:rsidR="006934FC" w:rsidRDefault="006934FC" w:rsidP="006934FC">
      <w:pPr>
        <w:rPr>
          <w:rFonts w:cstheme="minorHAnsi"/>
        </w:rPr>
      </w:pPr>
      <w:r>
        <w:rPr>
          <w:rFonts w:cstheme="minorHAnsi"/>
        </w:rPr>
        <w:lastRenderedPageBreak/>
        <w:t>According to Karen Fields, Durkheim pos</w:t>
      </w:r>
      <w:r w:rsidR="00D0528E">
        <w:rPr>
          <w:rFonts w:cstheme="minorHAnsi"/>
        </w:rPr>
        <w:t xml:space="preserve">ited </w:t>
      </w:r>
      <w:r w:rsidR="00E52B38">
        <w:rPr>
          <w:rFonts w:cstheme="minorHAnsi"/>
        </w:rPr>
        <w:t>'</w:t>
      </w:r>
      <w:r w:rsidRPr="005962EB">
        <w:rPr>
          <w:rFonts w:cstheme="minorHAnsi"/>
        </w:rPr>
        <w:t>that</w:t>
      </w:r>
      <w:r>
        <w:rPr>
          <w:rFonts w:cstheme="minorHAnsi"/>
          <w:i/>
          <w:iCs/>
        </w:rPr>
        <w:t xml:space="preserve"> </w:t>
      </w:r>
      <w:r>
        <w:rPr>
          <w:rFonts w:cstheme="minorHAnsi"/>
        </w:rPr>
        <w:t>all religions are real, based in nature, and true in their own fashio</w:t>
      </w:r>
      <w:r w:rsidR="009C6387">
        <w:rPr>
          <w:rFonts w:cstheme="minorHAnsi"/>
        </w:rPr>
        <w:t>n…</w:t>
      </w:r>
      <w:r>
        <w:rPr>
          <w:rFonts w:cstheme="minorHAnsi"/>
        </w:rPr>
        <w:t>meet</w:t>
      </w:r>
      <w:r w:rsidR="009C6387">
        <w:rPr>
          <w:rFonts w:cstheme="minorHAnsi"/>
        </w:rPr>
        <w:t>ing</w:t>
      </w:r>
      <w:r>
        <w:rPr>
          <w:rFonts w:cstheme="minorHAnsi"/>
        </w:rPr>
        <w:t xml:space="preserve"> the needs</w:t>
      </w:r>
      <w:r w:rsidR="009C6387">
        <w:rPr>
          <w:rFonts w:cstheme="minorHAnsi"/>
        </w:rPr>
        <w:t>…</w:t>
      </w:r>
      <w:r>
        <w:rPr>
          <w:rFonts w:cstheme="minorHAnsi"/>
        </w:rPr>
        <w:t xml:space="preserve"> of human life and social forms of existence.</w:t>
      </w:r>
      <w:r w:rsidR="00E52B38">
        <w:rPr>
          <w:rFonts w:cstheme="minorHAnsi"/>
        </w:rPr>
        <w:t>'</w:t>
      </w:r>
      <w:r>
        <w:rPr>
          <w:rStyle w:val="FootnoteReference"/>
          <w:rFonts w:cstheme="minorHAnsi"/>
        </w:rPr>
        <w:footnoteReference w:id="9"/>
      </w:r>
      <w:r w:rsidR="005F3805">
        <w:rPr>
          <w:rFonts w:cstheme="minorHAnsi"/>
        </w:rPr>
        <w:t xml:space="preserve"> By extension, as is later presented, the sacred is part of religion as the experience of the sacred brings religion.</w:t>
      </w:r>
      <w:r w:rsidR="005F3805">
        <w:rPr>
          <w:rStyle w:val="FootnoteReference"/>
          <w:rFonts w:cstheme="minorHAnsi"/>
        </w:rPr>
        <w:footnoteReference w:id="10"/>
      </w:r>
      <w:r w:rsidR="005F3805">
        <w:rPr>
          <w:rFonts w:cstheme="minorHAnsi"/>
        </w:rPr>
        <w:t xml:space="preserve">  </w:t>
      </w:r>
    </w:p>
    <w:p w14:paraId="1C1694F5" w14:textId="41EFB6B2" w:rsidR="006934FC" w:rsidRPr="00E52B38" w:rsidRDefault="006934FC" w:rsidP="006934FC">
      <w:pPr>
        <w:rPr>
          <w:rFonts w:cstheme="minorHAnsi"/>
        </w:rPr>
      </w:pPr>
      <w:r w:rsidRPr="009773A4">
        <w:rPr>
          <w:rFonts w:cstheme="minorHAnsi"/>
        </w:rPr>
        <w:t>Mircea Eliade</w:t>
      </w:r>
      <w:r>
        <w:rPr>
          <w:rFonts w:cstheme="minorHAnsi"/>
        </w:rPr>
        <w:t xml:space="preserve"> (1907-1986)</w:t>
      </w:r>
      <w:r w:rsidRPr="009773A4">
        <w:rPr>
          <w:rFonts w:cstheme="minorHAnsi"/>
        </w:rPr>
        <w:t xml:space="preserve"> </w:t>
      </w:r>
      <w:r w:rsidR="00E52B38">
        <w:rPr>
          <w:rFonts w:cstheme="minorHAnsi"/>
        </w:rPr>
        <w:t xml:space="preserve">was </w:t>
      </w:r>
      <w:r w:rsidRPr="009773A4">
        <w:rPr>
          <w:rFonts w:cstheme="minorHAnsi"/>
        </w:rPr>
        <w:t>born in Bucharest, Romania,</w:t>
      </w:r>
      <w:r>
        <w:rPr>
          <w:rFonts w:cstheme="minorHAnsi"/>
        </w:rPr>
        <w:t xml:space="preserve"> </w:t>
      </w:r>
      <w:r w:rsidR="00E52B38">
        <w:rPr>
          <w:rFonts w:cstheme="minorHAnsi"/>
        </w:rPr>
        <w:t xml:space="preserve">and </w:t>
      </w:r>
      <w:r w:rsidRPr="009773A4">
        <w:rPr>
          <w:rFonts w:cstheme="minorHAnsi"/>
        </w:rPr>
        <w:t>was a Distinguished Service Professor at the University of Chicago School of Divinity.</w:t>
      </w:r>
      <w:r>
        <w:rPr>
          <w:rStyle w:val="FootnoteReference"/>
          <w:rFonts w:cstheme="minorHAnsi"/>
        </w:rPr>
        <w:footnoteReference w:id="11"/>
      </w:r>
      <w:r>
        <w:rPr>
          <w:rFonts w:cstheme="minorHAnsi"/>
        </w:rPr>
        <w:t xml:space="preserve">  Altizer </w:t>
      </w:r>
      <w:r w:rsidR="00E52B38">
        <w:rPr>
          <w:rFonts w:cstheme="minorHAnsi"/>
        </w:rPr>
        <w:t>states</w:t>
      </w:r>
      <w:r>
        <w:t xml:space="preserve"> </w:t>
      </w:r>
      <w:r w:rsidR="00E52B38">
        <w:t xml:space="preserve">'…(Eliade's) </w:t>
      </w:r>
      <w:r>
        <w:t>religious background lies in Eastern Orthodoxy; it may be presumed that his most decisive years as a student were spent in India….'</w:t>
      </w:r>
      <w:r>
        <w:rPr>
          <w:rStyle w:val="FootnoteReference"/>
        </w:rPr>
        <w:footnoteReference w:id="12"/>
      </w:r>
      <w:r>
        <w:t xml:space="preserve"> </w:t>
      </w:r>
      <w:r w:rsidRPr="009773A4">
        <w:rPr>
          <w:rFonts w:cstheme="minorHAnsi"/>
        </w:rPr>
        <w:t xml:space="preserve"> </w:t>
      </w:r>
      <w:r w:rsidR="00E52B38">
        <w:rPr>
          <w:rFonts w:cstheme="minorHAnsi"/>
        </w:rPr>
        <w:t>According to Studstill</w:t>
      </w:r>
      <w:r w:rsidRPr="009773A4">
        <w:rPr>
          <w:rFonts w:cstheme="minorHAnsi"/>
        </w:rPr>
        <w:t xml:space="preserve">, </w:t>
      </w:r>
      <w:r>
        <w:rPr>
          <w:rFonts w:cstheme="minorHAnsi"/>
        </w:rPr>
        <w:t>'</w:t>
      </w:r>
      <w:r w:rsidRPr="009773A4">
        <w:rPr>
          <w:rFonts w:cstheme="minorHAnsi"/>
          <w:color w:val="333333"/>
          <w:shd w:val="clear" w:color="auto" w:fill="FFFFFF"/>
        </w:rPr>
        <w:t>Eliade's method is primarily phenomenological rather than theological</w:t>
      </w:r>
      <w:r>
        <w:rPr>
          <w:rFonts w:cstheme="minorHAnsi"/>
          <w:color w:val="333333"/>
          <w:shd w:val="clear" w:color="auto" w:fill="FFFFFF"/>
        </w:rPr>
        <w:t>.</w:t>
      </w:r>
      <w:r w:rsidR="00E52B38">
        <w:rPr>
          <w:rFonts w:cstheme="minorHAnsi"/>
          <w:color w:val="333333"/>
          <w:shd w:val="clear" w:color="auto" w:fill="FFFFFF"/>
        </w:rPr>
        <w:t>'</w:t>
      </w:r>
      <w:r w:rsidRPr="009773A4">
        <w:rPr>
          <w:rStyle w:val="FootnoteReference"/>
          <w:rFonts w:cstheme="minorHAnsi"/>
          <w:color w:val="333333"/>
          <w:shd w:val="clear" w:color="auto" w:fill="FFFFFF"/>
        </w:rPr>
        <w:footnoteReference w:id="13"/>
      </w:r>
      <w:r w:rsidRPr="009773A4">
        <w:rPr>
          <w:rFonts w:cstheme="minorHAnsi"/>
          <w:color w:val="333333"/>
          <w:shd w:val="clear" w:color="auto" w:fill="FFFFFF"/>
        </w:rPr>
        <w:t xml:space="preserve"> </w:t>
      </w:r>
      <w:r w:rsidRPr="009773A4">
        <w:rPr>
          <w:rFonts w:cstheme="minorHAnsi"/>
        </w:rPr>
        <w:t xml:space="preserve"> </w:t>
      </w:r>
      <w:r w:rsidR="00E52B38">
        <w:rPr>
          <w:rFonts w:cstheme="minorHAnsi"/>
        </w:rPr>
        <w:t xml:space="preserve">According to </w:t>
      </w:r>
      <w:r w:rsidRPr="009773A4">
        <w:rPr>
          <w:rFonts w:cstheme="minorHAnsi"/>
        </w:rPr>
        <w:t>Allen</w:t>
      </w:r>
      <w:r>
        <w:rPr>
          <w:rFonts w:cstheme="minorHAnsi"/>
        </w:rPr>
        <w:t>,</w:t>
      </w:r>
      <w:r w:rsidRPr="009773A4">
        <w:rPr>
          <w:rFonts w:cstheme="minorHAnsi"/>
        </w:rPr>
        <w:t xml:space="preserve"> </w:t>
      </w:r>
      <w:r>
        <w:rPr>
          <w:rFonts w:cstheme="minorHAnsi"/>
        </w:rPr>
        <w:t>'</w:t>
      </w:r>
      <w:r w:rsidRPr="009773A4">
        <w:rPr>
          <w:rFonts w:cstheme="minorHAnsi"/>
        </w:rPr>
        <w:t xml:space="preserve">although a major literary figure, </w:t>
      </w:r>
      <w:r w:rsidR="005F3805">
        <w:rPr>
          <w:rFonts w:cstheme="minorHAnsi"/>
        </w:rPr>
        <w:t>(</w:t>
      </w:r>
      <w:r>
        <w:rPr>
          <w:rFonts w:cstheme="minorHAnsi"/>
        </w:rPr>
        <w:t>Eliade</w:t>
      </w:r>
      <w:r w:rsidR="005F3805">
        <w:rPr>
          <w:rFonts w:cstheme="minorHAnsi"/>
        </w:rPr>
        <w:t>)</w:t>
      </w:r>
      <w:r w:rsidRPr="009773A4">
        <w:rPr>
          <w:rFonts w:cstheme="minorHAnsi"/>
        </w:rPr>
        <w:t xml:space="preserve"> was extremely controversial</w:t>
      </w:r>
      <w:r>
        <w:rPr>
          <w:rFonts w:cstheme="minorHAnsi"/>
        </w:rPr>
        <w:t xml:space="preserve">… criticized for being uncritical, arbitrary and subjective, and different from the norm' </w:t>
      </w:r>
      <w:r w:rsidRPr="009773A4">
        <w:rPr>
          <w:rStyle w:val="FootnoteReference"/>
          <w:rFonts w:cstheme="minorHAnsi"/>
        </w:rPr>
        <w:footnoteReference w:id="14"/>
      </w:r>
      <w:r>
        <w:rPr>
          <w:rFonts w:cstheme="minorHAnsi"/>
        </w:rPr>
        <w:t xml:space="preserve">  </w:t>
      </w:r>
      <w:r w:rsidR="00E52B38">
        <w:rPr>
          <w:rFonts w:cstheme="minorHAnsi"/>
        </w:rPr>
        <w:t xml:space="preserve">Describing </w:t>
      </w:r>
      <w:r>
        <w:rPr>
          <w:rFonts w:cstheme="minorHAnsi"/>
        </w:rPr>
        <w:t>Eliade's influence in his field of scholarship</w:t>
      </w:r>
      <w:r w:rsidR="00E52B38">
        <w:rPr>
          <w:rFonts w:cstheme="minorHAnsi"/>
        </w:rPr>
        <w:t>, Allen posits the question</w:t>
      </w:r>
      <w:r>
        <w:rPr>
          <w:rFonts w:cstheme="minorHAnsi"/>
        </w:rPr>
        <w:t xml:space="preserve">, 'Has Eliade universalized a non-historical archaic ontology as the norm for all religions, thus providing an interpretation…which favors "cosmic," non-historical pre-Christian, and … non-Christian roots, influences and structures?' </w:t>
      </w:r>
      <w:r>
        <w:rPr>
          <w:rStyle w:val="FootnoteReference"/>
          <w:rFonts w:cstheme="minorHAnsi"/>
        </w:rPr>
        <w:footnoteReference w:id="15"/>
      </w:r>
      <w:r>
        <w:rPr>
          <w:rFonts w:cstheme="minorHAnsi"/>
        </w:rPr>
        <w:t xml:space="preserve">  </w:t>
      </w:r>
      <w:r w:rsidRPr="009773A4">
        <w:rPr>
          <w:rFonts w:cstheme="minorHAnsi"/>
        </w:rPr>
        <w:t xml:space="preserve"> </w:t>
      </w:r>
    </w:p>
    <w:p w14:paraId="295D3EE4" w14:textId="0F112545" w:rsidR="006934FC" w:rsidRDefault="006934FC" w:rsidP="006934FC">
      <w:pPr>
        <w:rPr>
          <w:rFonts w:cstheme="minorHAnsi"/>
        </w:rPr>
      </w:pPr>
      <w:r>
        <w:rPr>
          <w:rFonts w:cstheme="minorHAnsi"/>
        </w:rPr>
        <w:t xml:space="preserve">Both men, distinguished scholars and very influential in sociology and religion, were born at different times in history. Their lives </w:t>
      </w:r>
      <w:r w:rsidR="005F3805">
        <w:rPr>
          <w:rFonts w:cstheme="minorHAnsi"/>
        </w:rPr>
        <w:t>were</w:t>
      </w:r>
      <w:r w:rsidR="00E52B38">
        <w:rPr>
          <w:rFonts w:cstheme="minorHAnsi"/>
        </w:rPr>
        <w:t xml:space="preserve"> </w:t>
      </w:r>
      <w:r>
        <w:rPr>
          <w:rFonts w:cstheme="minorHAnsi"/>
        </w:rPr>
        <w:t>shaped by historical events specific to the</w:t>
      </w:r>
      <w:r w:rsidR="00E52B38">
        <w:rPr>
          <w:rFonts w:cstheme="minorHAnsi"/>
        </w:rPr>
        <w:t xml:space="preserve"> time and</w:t>
      </w:r>
      <w:r>
        <w:rPr>
          <w:rFonts w:cstheme="minorHAnsi"/>
        </w:rPr>
        <w:t xml:space="preserve"> place of birth, nationality,</w:t>
      </w:r>
      <w:r w:rsidR="005F3805">
        <w:rPr>
          <w:rFonts w:cstheme="minorHAnsi"/>
        </w:rPr>
        <w:t xml:space="preserve"> </w:t>
      </w:r>
      <w:r>
        <w:rPr>
          <w:rFonts w:cstheme="minorHAnsi"/>
        </w:rPr>
        <w:t>education</w:t>
      </w:r>
      <w:r w:rsidR="00E52B38">
        <w:rPr>
          <w:rFonts w:cstheme="minorHAnsi"/>
        </w:rPr>
        <w:t xml:space="preserve"> and experiences</w:t>
      </w:r>
      <w:r>
        <w:rPr>
          <w:rFonts w:cstheme="minorHAnsi"/>
        </w:rPr>
        <w:t>. Family</w:t>
      </w:r>
      <w:r w:rsidR="00E52B38">
        <w:rPr>
          <w:rFonts w:cstheme="minorHAnsi"/>
        </w:rPr>
        <w:t>,</w:t>
      </w:r>
      <w:r>
        <w:rPr>
          <w:rFonts w:cstheme="minorHAnsi"/>
        </w:rPr>
        <w:t xml:space="preserve"> cultural background, politics and religion affected how they developed and expressed their philosophies and theories. Durkheim and Eliade contributed to social changes and advancement in literary style, religious and social structure, culture, education, and thought. They were innovative. </w:t>
      </w:r>
      <w:r w:rsidR="00E52B38">
        <w:rPr>
          <w:rFonts w:cstheme="minorHAnsi"/>
        </w:rPr>
        <w:t>E</w:t>
      </w:r>
      <w:r>
        <w:rPr>
          <w:rFonts w:cstheme="minorHAnsi"/>
        </w:rPr>
        <w:t>liade</w:t>
      </w:r>
      <w:r w:rsidR="00E52B38">
        <w:rPr>
          <w:rFonts w:cstheme="minorHAnsi"/>
        </w:rPr>
        <w:t xml:space="preserve">'s and </w:t>
      </w:r>
      <w:r>
        <w:rPr>
          <w:rFonts w:cstheme="minorHAnsi"/>
        </w:rPr>
        <w:t>Durkheim</w:t>
      </w:r>
      <w:r w:rsidR="00E52B38">
        <w:rPr>
          <w:rFonts w:cstheme="minorHAnsi"/>
        </w:rPr>
        <w:t>'s</w:t>
      </w:r>
      <w:r>
        <w:rPr>
          <w:rFonts w:cstheme="minorHAnsi"/>
        </w:rPr>
        <w:t xml:space="preserve"> views on sacred space have similarities and differences. </w:t>
      </w:r>
    </w:p>
    <w:p w14:paraId="79427A08" w14:textId="77777777" w:rsidR="006934FC" w:rsidRPr="00C34B5F" w:rsidRDefault="006934FC" w:rsidP="006934FC">
      <w:pPr>
        <w:rPr>
          <w:rFonts w:cstheme="minorHAnsi"/>
          <w:b/>
          <w:bCs/>
        </w:rPr>
      </w:pPr>
      <w:r w:rsidRPr="00C34B5F">
        <w:rPr>
          <w:rFonts w:cstheme="minorHAnsi"/>
          <w:b/>
          <w:bCs/>
        </w:rPr>
        <w:t>Durkheim Views on Sacred Space</w:t>
      </w:r>
    </w:p>
    <w:p w14:paraId="06507082" w14:textId="17BFFAE9" w:rsidR="006934FC" w:rsidRDefault="006934FC" w:rsidP="006934FC">
      <w:pPr>
        <w:rPr>
          <w:rFonts w:cstheme="minorHAnsi"/>
        </w:rPr>
      </w:pPr>
      <w:r>
        <w:rPr>
          <w:rFonts w:cstheme="minorHAnsi"/>
        </w:rPr>
        <w:t>According to Karen Field</w:t>
      </w:r>
      <w:r w:rsidR="00E52B38">
        <w:rPr>
          <w:rFonts w:cstheme="minorHAnsi"/>
        </w:rPr>
        <w:t>'s</w:t>
      </w:r>
      <w:r>
        <w:rPr>
          <w:rFonts w:cstheme="minorHAnsi"/>
        </w:rPr>
        <w:t xml:space="preserve"> introduction to Durkheim's book: </w:t>
      </w:r>
      <w:r>
        <w:rPr>
          <w:rStyle w:val="FootnoteReference"/>
          <w:rFonts w:cstheme="minorHAnsi"/>
        </w:rPr>
        <w:footnoteReference w:id="16"/>
      </w:r>
    </w:p>
    <w:p w14:paraId="56F8D868" w14:textId="77777777" w:rsidR="006934FC" w:rsidRDefault="006934FC" w:rsidP="006934FC">
      <w:pPr>
        <w:ind w:left="720" w:right="720"/>
        <w:rPr>
          <w:rFonts w:cstheme="minorHAnsi"/>
        </w:rPr>
      </w:pPr>
      <w:r w:rsidRPr="00DC6809">
        <w:rPr>
          <w:rFonts w:cstheme="minorHAnsi"/>
          <w:sz w:val="20"/>
          <w:szCs w:val="20"/>
        </w:rPr>
        <w:t>Sacredness is not a quality inherent in a certain object, nor is it available to the unaided senses of just any individual human observer. It is a quality they acquire when they are… from Durkheim</w:t>
      </w:r>
      <w:r>
        <w:rPr>
          <w:rFonts w:cstheme="minorHAnsi"/>
          <w:sz w:val="20"/>
          <w:szCs w:val="20"/>
        </w:rPr>
        <w:t>'</w:t>
      </w:r>
      <w:r w:rsidRPr="00DC6809">
        <w:rPr>
          <w:rFonts w:cstheme="minorHAnsi"/>
          <w:sz w:val="20"/>
          <w:szCs w:val="20"/>
        </w:rPr>
        <w:t xml:space="preserve">s definition, </w:t>
      </w:r>
      <w:r>
        <w:rPr>
          <w:rFonts w:cstheme="minorHAnsi"/>
          <w:sz w:val="20"/>
          <w:szCs w:val="20"/>
        </w:rPr>
        <w:t>"</w:t>
      </w:r>
      <w:r w:rsidRPr="00DC6809">
        <w:rPr>
          <w:rFonts w:cstheme="minorHAnsi"/>
          <w:sz w:val="20"/>
          <w:szCs w:val="20"/>
        </w:rPr>
        <w:t>set apart and forbidden</w:t>
      </w:r>
      <w:r>
        <w:rPr>
          <w:rFonts w:cstheme="minorHAnsi"/>
          <w:sz w:val="20"/>
          <w:szCs w:val="20"/>
        </w:rPr>
        <w:t>"</w:t>
      </w:r>
      <w:r w:rsidRPr="00DC6809">
        <w:rPr>
          <w:rFonts w:cstheme="minorHAnsi"/>
          <w:sz w:val="20"/>
          <w:szCs w:val="20"/>
        </w:rPr>
        <w:t>. They are made sacred</w:t>
      </w:r>
      <w:r>
        <w:rPr>
          <w:rFonts w:cstheme="minorHAnsi"/>
          <w:sz w:val="20"/>
          <w:szCs w:val="20"/>
        </w:rPr>
        <w:t xml:space="preserve"> </w:t>
      </w:r>
      <w:r w:rsidRPr="00DC6809">
        <w:rPr>
          <w:rFonts w:cstheme="minorHAnsi"/>
          <w:sz w:val="20"/>
          <w:szCs w:val="20"/>
        </w:rPr>
        <w:t>by groups of people who set them apart and keep them bounded by specific actions; they remain sacred so long as groups continue to do this. Humans acting collectively make and remake this quality of sacredness….</w:t>
      </w:r>
      <w:r>
        <w:rPr>
          <w:rFonts w:cstheme="minorHAnsi"/>
        </w:rPr>
        <w:t xml:space="preserve"> </w:t>
      </w:r>
    </w:p>
    <w:p w14:paraId="2A7DE1B1" w14:textId="5AF1FF82" w:rsidR="001956D5" w:rsidRDefault="006934FC" w:rsidP="006934FC">
      <w:pPr>
        <w:rPr>
          <w:rFonts w:cstheme="minorHAnsi"/>
        </w:rPr>
      </w:pPr>
      <w:r>
        <w:rPr>
          <w:rFonts w:cstheme="minorHAnsi"/>
        </w:rPr>
        <w:lastRenderedPageBreak/>
        <w:t xml:space="preserve">For Durkheim, sacred space is a distinct space in the landscape, '… a primary coordinate of a given sense experience' </w:t>
      </w:r>
      <w:r>
        <w:rPr>
          <w:rStyle w:val="FootnoteReference"/>
          <w:rFonts w:cstheme="minorHAnsi"/>
        </w:rPr>
        <w:footnoteReference w:id="17"/>
      </w:r>
      <w:r>
        <w:rPr>
          <w:rFonts w:cstheme="minorHAnsi"/>
        </w:rPr>
        <w:t xml:space="preserve"> becoming sacred only by people willing to set it apart and elevate it above the profane through their beliefs and actions. After the sanctification</w:t>
      </w:r>
      <w:r w:rsidR="00E52B38">
        <w:rPr>
          <w:rFonts w:cstheme="minorHAnsi"/>
        </w:rPr>
        <w:t xml:space="preserve">, </w:t>
      </w:r>
      <w:r>
        <w:rPr>
          <w:rFonts w:cstheme="minorHAnsi"/>
        </w:rPr>
        <w:t xml:space="preserve">everything looks the same, but it has changed </w:t>
      </w:r>
      <w:r w:rsidR="00E52B38">
        <w:rPr>
          <w:rFonts w:cstheme="minorHAnsi"/>
        </w:rPr>
        <w:t>under</w:t>
      </w:r>
      <w:r>
        <w:rPr>
          <w:rFonts w:cstheme="minorHAnsi"/>
        </w:rPr>
        <w:t xml:space="preserve"> communal beliefs and rituals.</w:t>
      </w:r>
      <w:r w:rsidR="00E52B38">
        <w:rPr>
          <w:rStyle w:val="FootnoteReference"/>
          <w:rFonts w:cstheme="minorHAnsi"/>
        </w:rPr>
        <w:footnoteReference w:id="18"/>
      </w:r>
      <w:r>
        <w:rPr>
          <w:rFonts w:cstheme="minorHAnsi"/>
        </w:rPr>
        <w:t xml:space="preserve"> Durkheim's theory reflects Jewish tradition, as shown in the story of Moses s</w:t>
      </w:r>
      <w:r w:rsidR="00E52B38">
        <w:rPr>
          <w:rFonts w:cstheme="minorHAnsi"/>
        </w:rPr>
        <w:t xml:space="preserve">anctifying </w:t>
      </w:r>
      <w:r>
        <w:rPr>
          <w:rFonts w:cstheme="minorHAnsi"/>
        </w:rPr>
        <w:t>Mt. Sinai and the people not transgressing the boundaries as God commanded.</w:t>
      </w:r>
      <w:r>
        <w:rPr>
          <w:rStyle w:val="FootnoteReference"/>
          <w:rFonts w:cstheme="minorHAnsi"/>
        </w:rPr>
        <w:footnoteReference w:id="19"/>
      </w:r>
      <w:r>
        <w:rPr>
          <w:rFonts w:cstheme="minorHAnsi"/>
        </w:rPr>
        <w:t xml:space="preserve">  </w:t>
      </w:r>
      <w:r w:rsidR="00E52B38">
        <w:rPr>
          <w:rFonts w:cstheme="minorHAnsi"/>
        </w:rPr>
        <w:t xml:space="preserve">According to </w:t>
      </w:r>
      <w:r>
        <w:rPr>
          <w:rFonts w:cstheme="minorHAnsi"/>
        </w:rPr>
        <w:t>Durkheim</w:t>
      </w:r>
      <w:r w:rsidR="00E52B38">
        <w:rPr>
          <w:rFonts w:cstheme="minorHAnsi"/>
        </w:rPr>
        <w:t>,</w:t>
      </w:r>
      <w:r>
        <w:rPr>
          <w:rFonts w:cstheme="minorHAnsi"/>
        </w:rPr>
        <w:t xml:space="preserve"> </w:t>
      </w:r>
      <w:r w:rsidR="00E52B38">
        <w:rPr>
          <w:rFonts w:cstheme="minorHAnsi"/>
        </w:rPr>
        <w:t>the</w:t>
      </w:r>
      <w:r>
        <w:rPr>
          <w:rFonts w:cstheme="minorHAnsi"/>
        </w:rPr>
        <w:t xml:space="preserve"> 'profane must and cannot touch without impunity'; they cannot come close and remain what they were.</w:t>
      </w:r>
      <w:r>
        <w:rPr>
          <w:rStyle w:val="FootnoteReference"/>
          <w:rFonts w:cstheme="minorHAnsi"/>
        </w:rPr>
        <w:footnoteReference w:id="20"/>
      </w:r>
      <w:r>
        <w:rPr>
          <w:rFonts w:cstheme="minorHAnsi"/>
        </w:rPr>
        <w:t xml:space="preserve">  </w:t>
      </w:r>
      <w:r w:rsidR="00E52B38">
        <w:rPr>
          <w:rFonts w:cstheme="minorHAnsi"/>
        </w:rPr>
        <w:t>Durkheim discusses evidence of research on</w:t>
      </w:r>
      <w:r w:rsidR="005F3805">
        <w:rPr>
          <w:rFonts w:cstheme="minorHAnsi"/>
        </w:rPr>
        <w:t xml:space="preserve"> </w:t>
      </w:r>
      <w:r w:rsidR="00E52B38">
        <w:rPr>
          <w:rFonts w:cstheme="minorHAnsi"/>
        </w:rPr>
        <w:t>totems</w:t>
      </w:r>
      <w:r>
        <w:rPr>
          <w:rFonts w:cstheme="minorHAnsi"/>
        </w:rPr>
        <w:t>, defined</w:t>
      </w:r>
      <w:r w:rsidR="00E52B38">
        <w:rPr>
          <w:rFonts w:cstheme="minorHAnsi"/>
        </w:rPr>
        <w:t xml:space="preserve"> by Durkheim</w:t>
      </w:r>
      <w:r>
        <w:rPr>
          <w:rFonts w:cstheme="minorHAnsi"/>
        </w:rPr>
        <w:t xml:space="preserve"> as an object symbolizing a deity or a clan, </w:t>
      </w:r>
      <w:r w:rsidR="00E52B38">
        <w:rPr>
          <w:rFonts w:cstheme="minorHAnsi"/>
        </w:rPr>
        <w:t>offering</w:t>
      </w:r>
      <w:r>
        <w:rPr>
          <w:rFonts w:cstheme="minorHAnsi"/>
        </w:rPr>
        <w:t xml:space="preserve"> a distinction between the clan and others. This distinction makes the totem sacred, so the clan</w:t>
      </w:r>
      <w:r w:rsidR="00E52B38">
        <w:rPr>
          <w:rFonts w:cstheme="minorHAnsi"/>
        </w:rPr>
        <w:t>,</w:t>
      </w:r>
      <w:r>
        <w:rPr>
          <w:rFonts w:cstheme="minorHAnsi"/>
        </w:rPr>
        <w:t xml:space="preserve"> imagined as the totem</w:t>
      </w:r>
      <w:r w:rsidR="00E52B38">
        <w:rPr>
          <w:rFonts w:cstheme="minorHAnsi"/>
        </w:rPr>
        <w:t>,</w:t>
      </w:r>
      <w:r>
        <w:rPr>
          <w:rFonts w:cstheme="minorHAnsi"/>
        </w:rPr>
        <w:t xml:space="preserve"> becomes sacred. The individual's consciousness</w:t>
      </w:r>
      <w:r w:rsidR="00E52B38">
        <w:rPr>
          <w:rFonts w:cstheme="minorHAnsi"/>
        </w:rPr>
        <w:t xml:space="preserve"> of the sacred totem is part of the collective consciousness of the totemic cult.</w:t>
      </w:r>
      <w:r>
        <w:rPr>
          <w:rStyle w:val="FootnoteReference"/>
          <w:rFonts w:cstheme="minorHAnsi"/>
        </w:rPr>
        <w:footnoteReference w:id="21"/>
      </w:r>
      <w:r>
        <w:rPr>
          <w:rFonts w:cstheme="minorHAnsi"/>
        </w:rPr>
        <w:t xml:space="preserve"> </w:t>
      </w:r>
      <w:r w:rsidR="00E52B38">
        <w:rPr>
          <w:rFonts w:cstheme="minorHAnsi"/>
        </w:rPr>
        <w:t xml:space="preserve"> People form a</w:t>
      </w:r>
      <w:r>
        <w:rPr>
          <w:rFonts w:cstheme="minorHAnsi"/>
        </w:rPr>
        <w:t xml:space="preserve"> religious experience </w:t>
      </w:r>
      <w:r w:rsidR="00E52B38">
        <w:rPr>
          <w:rFonts w:cstheme="minorHAnsi"/>
        </w:rPr>
        <w:t>as a</w:t>
      </w:r>
      <w:r>
        <w:rPr>
          <w:rFonts w:cstheme="minorHAnsi"/>
        </w:rPr>
        <w:t xml:space="preserve"> social construc</w:t>
      </w:r>
      <w:r w:rsidR="00E52B38">
        <w:rPr>
          <w:rFonts w:cstheme="minorHAnsi"/>
        </w:rPr>
        <w:t>t of collective beliefs and practices. Space is sacred by distinguishing it from that which is not like it or the profane.</w:t>
      </w:r>
      <w:r w:rsidR="00E52B38">
        <w:rPr>
          <w:rStyle w:val="FootnoteReference"/>
          <w:rFonts w:cstheme="minorHAnsi"/>
        </w:rPr>
        <w:footnoteReference w:id="22"/>
      </w:r>
      <w:r>
        <w:rPr>
          <w:rFonts w:cstheme="minorHAnsi"/>
        </w:rPr>
        <w:t xml:space="preserve"> Miller</w:t>
      </w:r>
      <w:r w:rsidR="001956D5">
        <w:rPr>
          <w:rFonts w:cstheme="minorHAnsi"/>
        </w:rPr>
        <w:t xml:space="preserve"> states, </w:t>
      </w:r>
      <w:r w:rsidR="00737BEB">
        <w:rPr>
          <w:rFonts w:cstheme="minorHAnsi"/>
        </w:rPr>
        <w:t>'</w:t>
      </w:r>
      <w:r w:rsidR="001956D5">
        <w:rPr>
          <w:rFonts w:cstheme="minorHAnsi"/>
        </w:rPr>
        <w:t>…energies that create the sacred…create the social…the sacred still helps to express the social because it is involved in creating and constructing it.</w:t>
      </w:r>
      <w:bookmarkStart w:id="32" w:name="_Hlk118623617"/>
      <w:r w:rsidR="00737BEB">
        <w:rPr>
          <w:rFonts w:cstheme="minorHAnsi"/>
        </w:rPr>
        <w:t>'</w:t>
      </w:r>
      <w:r w:rsidR="001956D5">
        <w:rPr>
          <w:rStyle w:val="FootnoteReference"/>
        </w:rPr>
        <w:footnoteReference w:id="23"/>
      </w:r>
      <w:bookmarkEnd w:id="32"/>
      <w:r>
        <w:rPr>
          <w:rFonts w:cstheme="minorHAnsi"/>
        </w:rPr>
        <w:t xml:space="preserve"> </w:t>
      </w:r>
      <w:r w:rsidR="001956D5">
        <w:rPr>
          <w:rFonts w:cstheme="minorHAnsi"/>
        </w:rPr>
        <w:t xml:space="preserve"> Miller </w:t>
      </w:r>
      <w:r>
        <w:rPr>
          <w:rFonts w:cstheme="minorHAnsi"/>
        </w:rPr>
        <w:t xml:space="preserve">suggests that Durkheim's writing drafts of his work </w:t>
      </w:r>
      <w:r w:rsidR="001956D5">
        <w:rPr>
          <w:rFonts w:cstheme="minorHAnsi"/>
        </w:rPr>
        <w:t>are</w:t>
      </w:r>
      <w:r>
        <w:rPr>
          <w:rFonts w:cstheme="minorHAnsi"/>
        </w:rPr>
        <w:t xml:space="preserve"> an example of </w:t>
      </w:r>
      <w:r w:rsidR="005F3805">
        <w:rPr>
          <w:rFonts w:cstheme="minorHAnsi"/>
        </w:rPr>
        <w:t>'</w:t>
      </w:r>
      <w:r>
        <w:rPr>
          <w:rFonts w:cstheme="minorHAnsi"/>
        </w:rPr>
        <w:t>simultaneous participation in the sacred and profane worlds at the same time, respectively, the sacred 'effervescence' of creativity and the daily work of writing.</w:t>
      </w:r>
      <w:r w:rsidR="005F3805">
        <w:rPr>
          <w:rFonts w:cstheme="minorHAnsi"/>
        </w:rPr>
        <w:t xml:space="preserve">' </w:t>
      </w:r>
      <w:r>
        <w:rPr>
          <w:rStyle w:val="FootnoteReference"/>
          <w:rFonts w:cstheme="minorHAnsi"/>
        </w:rPr>
        <w:footnoteReference w:id="24"/>
      </w:r>
      <w:r>
        <w:rPr>
          <w:rFonts w:cstheme="minorHAnsi"/>
        </w:rPr>
        <w:t xml:space="preserve"> </w:t>
      </w:r>
    </w:p>
    <w:p w14:paraId="6057E415" w14:textId="6D222C4A" w:rsidR="006934FC" w:rsidRPr="0040676F" w:rsidRDefault="006934FC" w:rsidP="006934FC">
      <w:pPr>
        <w:rPr>
          <w:rFonts w:cstheme="minorHAnsi"/>
        </w:rPr>
      </w:pPr>
      <w:r>
        <w:rPr>
          <w:rFonts w:cstheme="minorHAnsi"/>
        </w:rPr>
        <w:t>Durkheim's writing</w:t>
      </w:r>
      <w:r w:rsidR="00737BEB">
        <w:rPr>
          <w:rFonts w:cstheme="minorHAnsi"/>
        </w:rPr>
        <w:t xml:space="preserve"> engages with</w:t>
      </w:r>
      <w:r>
        <w:rPr>
          <w:rFonts w:cstheme="minorHAnsi"/>
        </w:rPr>
        <w:t xml:space="preserve"> </w:t>
      </w:r>
      <w:r w:rsidR="00737BEB">
        <w:rPr>
          <w:rFonts w:cstheme="minorHAnsi"/>
        </w:rPr>
        <w:t xml:space="preserve">the </w:t>
      </w:r>
      <w:r>
        <w:rPr>
          <w:rFonts w:cstheme="minorHAnsi"/>
        </w:rPr>
        <w:t xml:space="preserve">fluidity of expression, the logic of his concepts and the description of ethnographic studies of </w:t>
      </w:r>
      <w:r w:rsidR="009C6387">
        <w:rPr>
          <w:rFonts w:cstheme="minorHAnsi"/>
        </w:rPr>
        <w:t>behavior</w:t>
      </w:r>
      <w:r>
        <w:rPr>
          <w:rFonts w:cstheme="minorHAnsi"/>
        </w:rPr>
        <w:t>, perceptions, religion and cultures.</w:t>
      </w:r>
      <w:r w:rsidR="00737BEB">
        <w:rPr>
          <w:rFonts w:cstheme="minorHAnsi"/>
        </w:rPr>
        <w:t xml:space="preserve"> His density of analysis and development of lines of thought </w:t>
      </w:r>
      <w:r w:rsidR="005F3805">
        <w:rPr>
          <w:rFonts w:cstheme="minorHAnsi"/>
        </w:rPr>
        <w:t>prompts</w:t>
      </w:r>
      <w:r w:rsidR="00737BEB">
        <w:rPr>
          <w:rFonts w:cstheme="minorHAnsi"/>
        </w:rPr>
        <w:t xml:space="preserve"> the reader to reflect, rethink, and reread his work.</w:t>
      </w:r>
    </w:p>
    <w:p w14:paraId="26D5E0A8" w14:textId="6D227939" w:rsidR="006934FC" w:rsidRPr="00C34B5F" w:rsidRDefault="006934FC" w:rsidP="006934FC">
      <w:pPr>
        <w:rPr>
          <w:rFonts w:cstheme="minorHAnsi"/>
          <w:b/>
          <w:bCs/>
        </w:rPr>
      </w:pPr>
      <w:r w:rsidRPr="00C34B5F">
        <w:rPr>
          <w:rFonts w:cstheme="minorHAnsi"/>
          <w:b/>
          <w:bCs/>
        </w:rPr>
        <w:t>Eliade</w:t>
      </w:r>
      <w:r>
        <w:rPr>
          <w:rFonts w:cstheme="minorHAnsi"/>
          <w:b/>
          <w:bCs/>
        </w:rPr>
        <w:t>'</w:t>
      </w:r>
      <w:r w:rsidRPr="00C34B5F">
        <w:rPr>
          <w:rFonts w:cstheme="minorHAnsi"/>
          <w:b/>
          <w:bCs/>
        </w:rPr>
        <w:t>s Views on Sacred Space</w:t>
      </w:r>
    </w:p>
    <w:p w14:paraId="76F4C9D2" w14:textId="582B36A4" w:rsidR="00DF25AF" w:rsidRPr="00DF25AF" w:rsidRDefault="006934FC" w:rsidP="008D0D18">
      <w:pPr>
        <w:textAlignment w:val="baseline"/>
        <w:rPr>
          <w:rFonts w:eastAsia="Times New Roman" w:cstheme="minorHAnsi"/>
          <w:color w:val="333333"/>
          <w:bdr w:val="none" w:sz="0" w:space="0" w:color="auto" w:frame="1"/>
          <w:shd w:val="clear" w:color="auto" w:fill="FFFFFF"/>
        </w:rPr>
      </w:pPr>
      <w:r>
        <w:rPr>
          <w:rFonts w:cstheme="minorHAnsi"/>
        </w:rPr>
        <w:t xml:space="preserve">Eliade begins his treatise describing </w:t>
      </w:r>
      <w:r w:rsidR="008D0D18">
        <w:rPr>
          <w:rFonts w:cstheme="minorHAnsi"/>
        </w:rPr>
        <w:t xml:space="preserve">sacred </w:t>
      </w:r>
      <w:r>
        <w:rPr>
          <w:rFonts w:cstheme="minorHAnsi"/>
        </w:rPr>
        <w:t>space as</w:t>
      </w:r>
      <w:r w:rsidR="008D0D18">
        <w:rPr>
          <w:rFonts w:cstheme="minorHAnsi"/>
        </w:rPr>
        <w:t xml:space="preserve"> </w:t>
      </w:r>
      <w:r w:rsidR="001956D5">
        <w:rPr>
          <w:rFonts w:cstheme="minorHAnsi"/>
        </w:rPr>
        <w:t>'</w:t>
      </w:r>
      <w:r w:rsidR="008D0D18">
        <w:rPr>
          <w:rFonts w:cstheme="minorHAnsi"/>
        </w:rPr>
        <w:t>significant and the only real space distinct from all other formless space surrounding it.</w:t>
      </w:r>
      <w:r w:rsidR="001956D5">
        <w:rPr>
          <w:rFonts w:cstheme="minorHAnsi"/>
        </w:rPr>
        <w:t>'</w:t>
      </w:r>
      <w:r>
        <w:rPr>
          <w:rFonts w:cstheme="minorHAnsi"/>
        </w:rPr>
        <w:t xml:space="preserve"> </w:t>
      </w:r>
      <w:r w:rsidR="008D0D18">
        <w:rPr>
          <w:rStyle w:val="FootnoteReference"/>
          <w:rFonts w:cstheme="minorHAnsi"/>
        </w:rPr>
        <w:footnoteReference w:id="25"/>
      </w:r>
      <w:r w:rsidR="008D0D18">
        <w:rPr>
          <w:rFonts w:cstheme="minorHAnsi"/>
        </w:rPr>
        <w:t xml:space="preserve"> </w:t>
      </w:r>
      <w:r w:rsidR="00DF25AF">
        <w:rPr>
          <w:rFonts w:cstheme="minorHAnsi"/>
        </w:rPr>
        <w:t xml:space="preserve"> He continues, </w:t>
      </w:r>
      <w:r>
        <w:rPr>
          <w:rFonts w:cstheme="minorHAnsi"/>
        </w:rPr>
        <w:t>'The religious experience of a non-homogenous space is primordial.'</w:t>
      </w:r>
      <w:r>
        <w:rPr>
          <w:rStyle w:val="FootnoteReference"/>
          <w:rFonts w:cstheme="minorHAnsi"/>
        </w:rPr>
        <w:footnoteReference w:id="26"/>
      </w:r>
      <w:r>
        <w:rPr>
          <w:rFonts w:cstheme="minorHAnsi"/>
        </w:rPr>
        <w:t xml:space="preserve"> </w:t>
      </w:r>
      <w:r w:rsidR="00DF25AF">
        <w:rPr>
          <w:rFonts w:cstheme="minorHAnsi"/>
        </w:rPr>
        <w:t xml:space="preserve">Studstill describes Eliade's meaning of religion as </w:t>
      </w:r>
      <w:r w:rsidR="00DF25AF" w:rsidRPr="009773A4">
        <w:rPr>
          <w:i/>
          <w:iCs/>
        </w:rPr>
        <w:t>sui generis</w:t>
      </w:r>
      <w:r w:rsidR="00DF25AF">
        <w:t xml:space="preserve"> '… a distinct… mode of experience…unaffected by whether or not its meaning can legitimately be reduced to the theoretical constructs of other disciplines,</w:t>
      </w:r>
      <w:r w:rsidR="00DF25AF">
        <w:rPr>
          <w:rStyle w:val="FootnoteReference"/>
        </w:rPr>
        <w:footnoteReference w:id="27"/>
      </w:r>
      <w:r w:rsidR="00DF25AF">
        <w:t xml:space="preserve"> </w:t>
      </w:r>
      <w:r w:rsidR="00DF25AF">
        <w:rPr>
          <w:rFonts w:cstheme="minorHAnsi"/>
        </w:rPr>
        <w:t xml:space="preserve"> and '…</w:t>
      </w:r>
      <w:r w:rsidR="00DF25AF">
        <w:t>the sacred as a cover-term for that category of 'objects' constituted in the believer's mind as both 'ultimately real' and as distinct from the profane world.'</w:t>
      </w:r>
      <w:r w:rsidR="00DF25AF">
        <w:rPr>
          <w:rStyle w:val="FootnoteReference"/>
        </w:rPr>
        <w:footnoteReference w:id="28"/>
      </w:r>
      <w:r w:rsidR="00DF25AF">
        <w:rPr>
          <w:rFonts w:cstheme="minorHAnsi"/>
        </w:rPr>
        <w:t xml:space="preserve"> </w:t>
      </w:r>
      <w:r>
        <w:rPr>
          <w:rFonts w:cstheme="minorHAnsi"/>
        </w:rPr>
        <w:t xml:space="preserve">Eliade </w:t>
      </w:r>
      <w:r w:rsidR="00DF25AF">
        <w:rPr>
          <w:rFonts w:cstheme="minorHAnsi"/>
        </w:rPr>
        <w:t xml:space="preserve">describes </w:t>
      </w:r>
      <w:r>
        <w:rPr>
          <w:rFonts w:cstheme="minorHAnsi"/>
        </w:rPr>
        <w:t>break</w:t>
      </w:r>
      <w:r w:rsidR="00DF25AF">
        <w:rPr>
          <w:rFonts w:cstheme="minorHAnsi"/>
        </w:rPr>
        <w:t>s</w:t>
      </w:r>
      <w:r>
        <w:rPr>
          <w:rFonts w:cstheme="minorHAnsi"/>
        </w:rPr>
        <w:t xml:space="preserve"> in</w:t>
      </w:r>
      <w:r w:rsidR="00DF25AF">
        <w:rPr>
          <w:rFonts w:cstheme="minorHAnsi"/>
        </w:rPr>
        <w:t xml:space="preserve"> </w:t>
      </w:r>
      <w:r w:rsidR="001956D5">
        <w:rPr>
          <w:rFonts w:cstheme="minorHAnsi"/>
        </w:rPr>
        <w:t>'</w:t>
      </w:r>
      <w:r w:rsidR="00DF25AF">
        <w:rPr>
          <w:rFonts w:cstheme="minorHAnsi"/>
        </w:rPr>
        <w:t>homogenous</w:t>
      </w:r>
      <w:r w:rsidR="001956D5">
        <w:rPr>
          <w:rFonts w:cstheme="minorHAnsi"/>
        </w:rPr>
        <w:t>'</w:t>
      </w:r>
      <w:r w:rsidR="00DF25AF">
        <w:rPr>
          <w:rFonts w:cstheme="minorHAnsi"/>
        </w:rPr>
        <w:t xml:space="preserve"> or profane</w:t>
      </w:r>
      <w:r>
        <w:rPr>
          <w:rFonts w:cstheme="minorHAnsi"/>
        </w:rPr>
        <w:t xml:space="preserve"> space</w:t>
      </w:r>
      <w:r w:rsidR="00DF25AF">
        <w:rPr>
          <w:rFonts w:cstheme="minorHAnsi"/>
        </w:rPr>
        <w:t xml:space="preserve"> as a</w:t>
      </w:r>
      <w:r>
        <w:rPr>
          <w:rFonts w:cstheme="minorHAnsi"/>
        </w:rPr>
        <w:t xml:space="preserve"> hierophany</w:t>
      </w:r>
      <w:r w:rsidR="00DF25AF">
        <w:rPr>
          <w:rFonts w:cstheme="minorHAnsi"/>
        </w:rPr>
        <w:t xml:space="preserve">, experienced as </w:t>
      </w:r>
      <w:r w:rsidR="001956D5">
        <w:rPr>
          <w:rFonts w:cstheme="minorHAnsi"/>
        </w:rPr>
        <w:t>'</w:t>
      </w:r>
      <w:r w:rsidR="00DF25AF">
        <w:rPr>
          <w:rFonts w:cstheme="minorHAnsi"/>
        </w:rPr>
        <w:t xml:space="preserve"> an axis for future orientation</w:t>
      </w:r>
      <w:r>
        <w:rPr>
          <w:rFonts w:cstheme="minorHAnsi"/>
        </w:rPr>
        <w:t>.</w:t>
      </w:r>
      <w:r w:rsidR="001956D5">
        <w:rPr>
          <w:rFonts w:cstheme="minorHAnsi"/>
        </w:rPr>
        <w:t>'</w:t>
      </w:r>
      <w:r w:rsidR="008D0D18">
        <w:rPr>
          <w:rStyle w:val="FootnoteReference"/>
          <w:rFonts w:cstheme="minorHAnsi"/>
        </w:rPr>
        <w:footnoteReference w:id="29"/>
      </w:r>
      <w:r>
        <w:rPr>
          <w:rFonts w:cstheme="minorHAnsi"/>
        </w:rPr>
        <w:t xml:space="preserve"> </w:t>
      </w:r>
      <w:r w:rsidR="008D0D18">
        <w:rPr>
          <w:rFonts w:cstheme="minorHAnsi"/>
        </w:rPr>
        <w:t xml:space="preserve"> </w:t>
      </w:r>
      <w:r>
        <w:rPr>
          <w:rFonts w:cstheme="minorHAnsi"/>
        </w:rPr>
        <w:t xml:space="preserve"> </w:t>
      </w:r>
      <w:r w:rsidR="008D0D18">
        <w:rPr>
          <w:rFonts w:cstheme="minorHAnsi"/>
        </w:rPr>
        <w:t>Sacred space, according to Eliade</w:t>
      </w:r>
      <w:r>
        <w:rPr>
          <w:rFonts w:cstheme="minorHAnsi"/>
        </w:rPr>
        <w:t>, '</w:t>
      </w:r>
      <w:r w:rsidR="008D0D18">
        <w:rPr>
          <w:rFonts w:cstheme="minorHAnsi"/>
        </w:rPr>
        <w:t>…</w:t>
      </w:r>
      <w:r>
        <w:rPr>
          <w:rFonts w:cstheme="minorHAnsi"/>
        </w:rPr>
        <w:t xml:space="preserve"> is reality, the real and is the source of the </w:t>
      </w:r>
      <w:r>
        <w:rPr>
          <w:rFonts w:cstheme="minorHAnsi"/>
        </w:rPr>
        <w:lastRenderedPageBreak/>
        <w:t xml:space="preserve">world and its meaning….' </w:t>
      </w:r>
      <w:r>
        <w:rPr>
          <w:rStyle w:val="FootnoteReference"/>
          <w:rFonts w:cstheme="minorHAnsi"/>
        </w:rPr>
        <w:footnoteReference w:id="30"/>
      </w:r>
      <w:r>
        <w:rPr>
          <w:rFonts w:cstheme="minorHAnsi"/>
        </w:rPr>
        <w:t xml:space="preserve"> </w:t>
      </w:r>
      <w:r w:rsidR="008D0D18">
        <w:rPr>
          <w:rFonts w:cstheme="minorHAnsi"/>
        </w:rPr>
        <w:t xml:space="preserve"> </w:t>
      </w:r>
      <w:r w:rsidR="00737BEB">
        <w:rPr>
          <w:rFonts w:cstheme="minorHAnsi"/>
        </w:rPr>
        <w:t>'</w:t>
      </w:r>
      <w:r>
        <w:rPr>
          <w:rFonts w:cstheme="minorHAnsi"/>
        </w:rPr>
        <w:t>This distinction is perceivable by a religious person</w:t>
      </w:r>
      <w:r w:rsidR="00DD3765">
        <w:rPr>
          <w:rFonts w:cstheme="minorHAnsi"/>
        </w:rPr>
        <w:t>…</w:t>
      </w:r>
      <w:r>
        <w:rPr>
          <w:rFonts w:cstheme="minorHAnsi"/>
        </w:rPr>
        <w:t xml:space="preserve"> the religious man, every world is a sacred world.'</w:t>
      </w:r>
      <w:r>
        <w:rPr>
          <w:rStyle w:val="FootnoteReference"/>
          <w:rFonts w:cstheme="minorHAnsi"/>
        </w:rPr>
        <w:footnoteReference w:id="31"/>
      </w:r>
      <w:r>
        <w:rPr>
          <w:rFonts w:cstheme="minorHAnsi"/>
        </w:rPr>
        <w:t xml:space="preserve"> </w:t>
      </w:r>
      <w:r w:rsidR="008D0D18">
        <w:rPr>
          <w:rFonts w:cstheme="minorHAnsi"/>
        </w:rPr>
        <w:t>The word epiphany</w:t>
      </w:r>
      <w:r w:rsidR="008D0D18" w:rsidRPr="008D0D18">
        <w:rPr>
          <w:rFonts w:cstheme="minorHAnsi"/>
        </w:rPr>
        <w:t xml:space="preserve">, </w:t>
      </w:r>
      <w:r w:rsidR="008D0D18" w:rsidRPr="008D0D18">
        <w:rPr>
          <w:rFonts w:eastAsia="Times New Roman" w:cstheme="minorHAnsi"/>
          <w:color w:val="333333"/>
          <w:bdr w:val="none" w:sz="0" w:space="0" w:color="auto" w:frame="1"/>
          <w:shd w:val="clear" w:color="auto" w:fill="FFFFFF"/>
        </w:rPr>
        <w:t>a sudden and surprising moment of understanding</w:t>
      </w:r>
      <w:r w:rsidR="008D0D18">
        <w:rPr>
          <w:rFonts w:eastAsia="Times New Roman" w:cstheme="minorHAnsi"/>
          <w:color w:val="333333"/>
          <w:bdr w:val="none" w:sz="0" w:space="0" w:color="auto" w:frame="1"/>
          <w:shd w:val="clear" w:color="auto" w:fill="FFFFFF"/>
        </w:rPr>
        <w:t xml:space="preserve">, </w:t>
      </w:r>
      <w:r w:rsidR="00DF25AF">
        <w:rPr>
          <w:rFonts w:eastAsia="Times New Roman" w:cstheme="minorHAnsi"/>
          <w:color w:val="333333"/>
          <w:bdr w:val="none" w:sz="0" w:space="0" w:color="auto" w:frame="1"/>
          <w:shd w:val="clear" w:color="auto" w:fill="FFFFFF"/>
        </w:rPr>
        <w:t>could be suggested as</w:t>
      </w:r>
      <w:r w:rsidR="00DF5710">
        <w:rPr>
          <w:rFonts w:eastAsia="Times New Roman" w:cstheme="minorHAnsi"/>
          <w:color w:val="333333"/>
          <w:bdr w:val="none" w:sz="0" w:space="0" w:color="auto" w:frame="1"/>
          <w:shd w:val="clear" w:color="auto" w:fill="FFFFFF"/>
        </w:rPr>
        <w:t xml:space="preserve"> similar to</w:t>
      </w:r>
      <w:r w:rsidR="008D0D18">
        <w:rPr>
          <w:rFonts w:eastAsia="Times New Roman" w:cstheme="minorHAnsi"/>
          <w:color w:val="333333"/>
          <w:bdr w:val="none" w:sz="0" w:space="0" w:color="auto" w:frame="1"/>
          <w:shd w:val="clear" w:color="auto" w:fill="FFFFFF"/>
        </w:rPr>
        <w:t xml:space="preserve"> hierophany.</w:t>
      </w:r>
      <w:r w:rsidR="008D0D18">
        <w:rPr>
          <w:rStyle w:val="FootnoteReference"/>
          <w:rFonts w:eastAsia="Times New Roman" w:cstheme="minorHAnsi"/>
          <w:color w:val="333333"/>
          <w:bdr w:val="none" w:sz="0" w:space="0" w:color="auto" w:frame="1"/>
          <w:shd w:val="clear" w:color="auto" w:fill="FFFFFF"/>
        </w:rPr>
        <w:footnoteReference w:id="32"/>
      </w:r>
      <w:r w:rsidR="00DF25AF">
        <w:rPr>
          <w:rFonts w:eastAsia="Times New Roman" w:cstheme="minorHAnsi"/>
          <w:color w:val="333333"/>
          <w:bdr w:val="none" w:sz="0" w:space="0" w:color="auto" w:frame="1"/>
          <w:shd w:val="clear" w:color="auto" w:fill="FFFFFF"/>
        </w:rPr>
        <w:t xml:space="preserve"> </w:t>
      </w:r>
    </w:p>
    <w:p w14:paraId="1706F9FB" w14:textId="77777777" w:rsidR="00737BEB" w:rsidRDefault="006934FC" w:rsidP="00737BEB">
      <w:pPr>
        <w:rPr>
          <w:rFonts w:cstheme="minorHAnsi"/>
        </w:rPr>
      </w:pPr>
      <w:r>
        <w:rPr>
          <w:rFonts w:cstheme="minorHAnsi"/>
        </w:rPr>
        <w:t>For Eliade, 'every sacred place implies a hierophany.</w:t>
      </w:r>
      <w:r w:rsidR="001956D5">
        <w:rPr>
          <w:rFonts w:cstheme="minorHAnsi"/>
        </w:rPr>
        <w:t>'</w:t>
      </w:r>
      <w:r>
        <w:rPr>
          <w:rStyle w:val="FootnoteReference"/>
          <w:rFonts w:cstheme="minorHAnsi"/>
        </w:rPr>
        <w:footnoteReference w:id="33"/>
      </w:r>
      <w:r>
        <w:rPr>
          <w:rFonts w:cstheme="minorHAnsi"/>
        </w:rPr>
        <w:t xml:space="preserve"> Eliade uses the example of a church threshold as a boundary between the</w:t>
      </w:r>
      <w:r w:rsidR="00DF25AF">
        <w:rPr>
          <w:rFonts w:cstheme="minorHAnsi"/>
        </w:rPr>
        <w:t xml:space="preserve"> sacred and profane</w:t>
      </w:r>
      <w:r>
        <w:rPr>
          <w:rFonts w:cstheme="minorHAnsi"/>
        </w:rPr>
        <w:t xml:space="preserve"> world</w:t>
      </w:r>
      <w:r w:rsidR="00DF25AF">
        <w:rPr>
          <w:rFonts w:cstheme="minorHAnsi"/>
        </w:rPr>
        <w:t>.</w:t>
      </w:r>
      <w:r>
        <w:rPr>
          <w:rStyle w:val="FootnoteReference"/>
          <w:rFonts w:cstheme="minorHAnsi"/>
        </w:rPr>
        <w:footnoteReference w:id="34"/>
      </w:r>
      <w:r>
        <w:rPr>
          <w:rFonts w:cstheme="minorHAnsi"/>
        </w:rPr>
        <w:t xml:space="preserve"> Detachment from the patterns of religion empties it of religious content and the cycle of time and fails to integrate the primordial into a meaningful sacred state.</w:t>
      </w:r>
      <w:r>
        <w:rPr>
          <w:rStyle w:val="FootnoteReference"/>
          <w:rFonts w:cstheme="minorHAnsi"/>
        </w:rPr>
        <w:footnoteReference w:id="35"/>
      </w:r>
      <w:r>
        <w:rPr>
          <w:rFonts w:cstheme="minorHAnsi"/>
        </w:rPr>
        <w:t xml:space="preserve">  'The religious man can live only in a sacred world…where he can participate </w:t>
      </w:r>
      <w:r w:rsidRPr="008B11F6">
        <w:rPr>
          <w:rFonts w:cstheme="minorHAnsi"/>
          <w:i/>
          <w:iCs/>
        </w:rPr>
        <w:t>in being</w:t>
      </w:r>
      <w:r>
        <w:rPr>
          <w:rFonts w:cstheme="minorHAnsi"/>
        </w:rPr>
        <w:t xml:space="preserve"> and has </w:t>
      </w:r>
      <w:r w:rsidRPr="008B11F6">
        <w:rPr>
          <w:rFonts w:cstheme="minorHAnsi"/>
          <w:i/>
          <w:iCs/>
        </w:rPr>
        <w:t>real existence.</w:t>
      </w:r>
      <w:r>
        <w:rPr>
          <w:rFonts w:cstheme="minorHAnsi"/>
        </w:rPr>
        <w:t>'</w:t>
      </w:r>
      <w:r>
        <w:rPr>
          <w:rStyle w:val="FootnoteReference"/>
          <w:rFonts w:cstheme="minorHAnsi"/>
        </w:rPr>
        <w:footnoteReference w:id="36"/>
      </w:r>
      <w:r>
        <w:rPr>
          <w:rFonts w:cstheme="minorHAnsi"/>
        </w:rPr>
        <w:t xml:space="preserve"> </w:t>
      </w:r>
      <w:r w:rsidR="00737BEB">
        <w:rPr>
          <w:rFonts w:cstheme="minorHAnsi"/>
        </w:rPr>
        <w:t xml:space="preserve">According to Bryan Rennie: </w:t>
      </w:r>
    </w:p>
    <w:p w14:paraId="01B0D027" w14:textId="18A0607C" w:rsidR="00737BEB" w:rsidRDefault="00737BEB" w:rsidP="00737BEB">
      <w:pPr>
        <w:ind w:left="720" w:right="720"/>
      </w:pPr>
      <w:r>
        <w:t>The apparently irrational respect for ritual and mysticism "in their own terms" that Eliade embraced is often seen as an echo of the ritualism of the Eastern Church, whose veneration of icons… appears to be a model for Eliade's notion of hierophany.</w:t>
      </w:r>
      <w:r>
        <w:rPr>
          <w:rStyle w:val="FootnoteReference"/>
        </w:rPr>
        <w:footnoteReference w:id="37"/>
      </w:r>
      <w:r w:rsidRPr="00CB39D1">
        <w:t xml:space="preserve"> </w:t>
      </w:r>
      <w:r>
        <w:t xml:space="preserve"> Eliade's philosophical, literary, romantic, and emotional history contributed to his development easily as much as did his church.</w:t>
      </w:r>
      <w:r>
        <w:rPr>
          <w:rStyle w:val="FootnoteReference"/>
        </w:rPr>
        <w:footnoteReference w:id="38"/>
      </w:r>
    </w:p>
    <w:p w14:paraId="335B6109" w14:textId="5C354EDA" w:rsidR="00F17F01" w:rsidRDefault="006934FC" w:rsidP="006934FC">
      <w:r>
        <w:rPr>
          <w:rFonts w:cstheme="minorHAnsi"/>
        </w:rPr>
        <w:t>Eliade has a complex and detailed approach to explaining his view of sacred and profane space</w:t>
      </w:r>
      <w:r w:rsidR="00737BEB">
        <w:rPr>
          <w:rFonts w:cstheme="minorHAnsi"/>
        </w:rPr>
        <w:t xml:space="preserve"> and man's place in it</w:t>
      </w:r>
      <w:r>
        <w:rPr>
          <w:rFonts w:cstheme="minorHAnsi"/>
        </w:rPr>
        <w:t xml:space="preserve">. His detailed analysis gives profound insight </w:t>
      </w:r>
      <w:r w:rsidR="00F17F01">
        <w:rPr>
          <w:rFonts w:cstheme="minorHAnsi"/>
        </w:rPr>
        <w:t xml:space="preserve">into </w:t>
      </w:r>
      <w:r>
        <w:rPr>
          <w:rFonts w:cstheme="minorHAnsi"/>
        </w:rPr>
        <w:t xml:space="preserve">understanding the </w:t>
      </w:r>
      <w:r w:rsidR="00F17F01">
        <w:rPr>
          <w:rFonts w:cstheme="minorHAnsi"/>
        </w:rPr>
        <w:t xml:space="preserve">concept </w:t>
      </w:r>
      <w:r>
        <w:rPr>
          <w:rFonts w:cstheme="minorHAnsi"/>
        </w:rPr>
        <w:t xml:space="preserve">of the sacred </w:t>
      </w:r>
      <w:r w:rsidR="00F17F01">
        <w:rPr>
          <w:rFonts w:cstheme="minorHAnsi"/>
        </w:rPr>
        <w:t>in its</w:t>
      </w:r>
      <w:r>
        <w:rPr>
          <w:rFonts w:cstheme="minorHAnsi"/>
        </w:rPr>
        <w:t xml:space="preserve"> meaning </w:t>
      </w:r>
      <w:r w:rsidR="00F17F01">
        <w:rPr>
          <w:rFonts w:cstheme="minorHAnsi"/>
        </w:rPr>
        <w:t>in</w:t>
      </w:r>
      <w:r>
        <w:rPr>
          <w:rFonts w:cstheme="minorHAnsi"/>
        </w:rPr>
        <w:t xml:space="preserve"> life. His writing is clear and logical</w:t>
      </w:r>
      <w:r w:rsidR="00A86CF4">
        <w:rPr>
          <w:rFonts w:cstheme="minorHAnsi"/>
        </w:rPr>
        <w:t>. T</w:t>
      </w:r>
      <w:r>
        <w:rPr>
          <w:rFonts w:cstheme="minorHAnsi"/>
        </w:rPr>
        <w:t xml:space="preserve">he depth of analysis behind the ideas requires repeated reading and thinking to grasp the significance of his work. According to Mc Dowell, citing an anonymous </w:t>
      </w:r>
      <w:r w:rsidRPr="00674468">
        <w:rPr>
          <w:rFonts w:cstheme="minorHAnsi"/>
        </w:rPr>
        <w:t xml:space="preserve">critic, </w:t>
      </w:r>
      <w:r w:rsidRPr="00674468">
        <w:rPr>
          <w:rFonts w:cstheme="minorHAnsi"/>
          <w:color w:val="363636"/>
          <w:shd w:val="clear" w:color="auto" w:fill="FFFFFF"/>
        </w:rPr>
        <w:t>'One critic wrote of him, ''The whole of human spirituality, from Stone Age mythmakers and shamans to the modern desacralization of the cosmos, has been his parish.''’</w:t>
      </w:r>
      <w:r w:rsidRPr="00674468">
        <w:rPr>
          <w:rStyle w:val="FootnoteReference"/>
          <w:rFonts w:cstheme="minorHAnsi"/>
          <w:color w:val="363636"/>
          <w:shd w:val="clear" w:color="auto" w:fill="FFFFFF"/>
        </w:rPr>
        <w:footnoteReference w:id="39"/>
      </w:r>
      <w:r w:rsidR="00737BEB">
        <w:rPr>
          <w:rFonts w:cstheme="minorHAnsi"/>
          <w:color w:val="363636"/>
          <w:shd w:val="clear" w:color="auto" w:fill="FFFFFF"/>
        </w:rPr>
        <w:t xml:space="preserve"> </w:t>
      </w:r>
    </w:p>
    <w:p w14:paraId="1A469CB0" w14:textId="53A66D43" w:rsidR="00D0528E" w:rsidRPr="00F17F01" w:rsidRDefault="006934FC" w:rsidP="006934FC">
      <w:r w:rsidRPr="00C34B5F">
        <w:rPr>
          <w:rFonts w:cstheme="minorHAnsi"/>
          <w:b/>
          <w:bCs/>
        </w:rPr>
        <w:t xml:space="preserve">Comparison and Contrast </w:t>
      </w:r>
      <w:r>
        <w:rPr>
          <w:rFonts w:cstheme="minorHAnsi"/>
          <w:b/>
          <w:bCs/>
        </w:rPr>
        <w:t>of</w:t>
      </w:r>
      <w:r w:rsidR="00D0528E">
        <w:rPr>
          <w:rFonts w:cstheme="minorHAnsi"/>
          <w:b/>
          <w:bCs/>
        </w:rPr>
        <w:t xml:space="preserve"> Views</w:t>
      </w:r>
    </w:p>
    <w:p w14:paraId="26963392" w14:textId="1979352B" w:rsidR="00D0528E" w:rsidRDefault="006934FC" w:rsidP="006934FC">
      <w:pPr>
        <w:rPr>
          <w:rFonts w:cstheme="minorHAnsi"/>
        </w:rPr>
      </w:pPr>
      <w:r>
        <w:rPr>
          <w:rFonts w:cstheme="minorHAnsi"/>
        </w:rPr>
        <w:t xml:space="preserve">Durkheim was innovative in bringing a subjective approach to the sociology of religion. </w:t>
      </w:r>
      <w:r w:rsidR="00D0528E">
        <w:rPr>
          <w:rFonts w:cstheme="minorHAnsi"/>
        </w:rPr>
        <w:t>Influenced by</w:t>
      </w:r>
      <w:r>
        <w:rPr>
          <w:rFonts w:cstheme="minorHAnsi"/>
        </w:rPr>
        <w:t xml:space="preserve"> </w:t>
      </w:r>
      <w:r w:rsidR="00D0528E">
        <w:rPr>
          <w:rFonts w:cstheme="minorHAnsi"/>
        </w:rPr>
        <w:t>Durkheim</w:t>
      </w:r>
      <w:r w:rsidR="00E52B38">
        <w:rPr>
          <w:rFonts w:cstheme="minorHAnsi"/>
        </w:rPr>
        <w:t>'</w:t>
      </w:r>
      <w:r w:rsidR="00D0528E">
        <w:rPr>
          <w:rFonts w:cstheme="minorHAnsi"/>
        </w:rPr>
        <w:t xml:space="preserve">s theories, </w:t>
      </w:r>
      <w:r>
        <w:rPr>
          <w:rFonts w:cstheme="minorHAnsi"/>
        </w:rPr>
        <w:t>Eliade seems to take this subjective approach further</w:t>
      </w:r>
      <w:r w:rsidR="00737BEB">
        <w:rPr>
          <w:rFonts w:cstheme="minorHAnsi"/>
        </w:rPr>
        <w:t xml:space="preserve"> </w:t>
      </w:r>
      <w:r w:rsidR="00D0528E">
        <w:rPr>
          <w:rFonts w:cstheme="minorHAnsi"/>
        </w:rPr>
        <w:t>us</w:t>
      </w:r>
      <w:r w:rsidR="00737BEB">
        <w:rPr>
          <w:rFonts w:cstheme="minorHAnsi"/>
        </w:rPr>
        <w:t>ing</w:t>
      </w:r>
      <w:r w:rsidR="00D0528E">
        <w:rPr>
          <w:rFonts w:cstheme="minorHAnsi"/>
        </w:rPr>
        <w:t xml:space="preserve"> the </w:t>
      </w:r>
      <w:r>
        <w:rPr>
          <w:rFonts w:cstheme="minorHAnsi"/>
        </w:rPr>
        <w:t>worldview of many religions and cultures</w:t>
      </w:r>
      <w:r w:rsidR="00737BEB">
        <w:rPr>
          <w:rFonts w:cstheme="minorHAnsi"/>
        </w:rPr>
        <w:t>. In contrast,</w:t>
      </w:r>
      <w:r>
        <w:rPr>
          <w:rFonts w:cstheme="minorHAnsi"/>
        </w:rPr>
        <w:t xml:space="preserve"> Durkheim</w:t>
      </w:r>
      <w:r w:rsidR="00D0528E">
        <w:rPr>
          <w:rFonts w:cstheme="minorHAnsi"/>
        </w:rPr>
        <w:t xml:space="preserve"> uses a </w:t>
      </w:r>
      <w:r>
        <w:rPr>
          <w:rFonts w:cstheme="minorHAnsi"/>
        </w:rPr>
        <w:t xml:space="preserve">social and national mission as motivation to evolve </w:t>
      </w:r>
      <w:r w:rsidR="00D0528E">
        <w:rPr>
          <w:rFonts w:cstheme="minorHAnsi"/>
        </w:rPr>
        <w:t>his theories</w:t>
      </w:r>
      <w:r>
        <w:rPr>
          <w:rFonts w:cstheme="minorHAnsi"/>
        </w:rPr>
        <w:t xml:space="preserve"> of sacred and profane space.</w:t>
      </w:r>
      <w:r w:rsidR="00D0528E">
        <w:rPr>
          <w:rStyle w:val="FootnoteReference"/>
          <w:rFonts w:cstheme="minorHAnsi"/>
        </w:rPr>
        <w:footnoteReference w:id="40"/>
      </w:r>
      <w:r>
        <w:rPr>
          <w:rFonts w:cstheme="minorHAnsi"/>
        </w:rPr>
        <w:t xml:space="preserve"> Eliade and Durkheim show </w:t>
      </w:r>
      <w:r w:rsidR="00F17F01">
        <w:rPr>
          <w:rFonts w:cstheme="minorHAnsi"/>
        </w:rPr>
        <w:t xml:space="preserve">the </w:t>
      </w:r>
      <w:r>
        <w:rPr>
          <w:rFonts w:cstheme="minorHAnsi"/>
        </w:rPr>
        <w:t xml:space="preserve">influences </w:t>
      </w:r>
      <w:r w:rsidR="00F17F01">
        <w:rPr>
          <w:rFonts w:cstheme="minorHAnsi"/>
        </w:rPr>
        <w:t>of their</w:t>
      </w:r>
      <w:r>
        <w:rPr>
          <w:rFonts w:cstheme="minorHAnsi"/>
        </w:rPr>
        <w:t xml:space="preserve"> </w:t>
      </w:r>
      <w:r w:rsidR="00D0528E">
        <w:rPr>
          <w:rFonts w:cstheme="minorHAnsi"/>
        </w:rPr>
        <w:t>ancestry and religion</w:t>
      </w:r>
      <w:r>
        <w:rPr>
          <w:rFonts w:cstheme="minorHAnsi"/>
        </w:rPr>
        <w:t xml:space="preserve"> in their theories. Eliade's hierophany is similar to eastern orthodoxy, and Durkheim's idea of space and sacred reflect the Jewish tradition.</w:t>
      </w:r>
      <w:r w:rsidR="00737BEB">
        <w:rPr>
          <w:rStyle w:val="FootnoteReference"/>
          <w:rFonts w:cstheme="minorHAnsi"/>
        </w:rPr>
        <w:footnoteReference w:id="41"/>
      </w:r>
      <w:r>
        <w:rPr>
          <w:rFonts w:cstheme="minorHAnsi"/>
        </w:rPr>
        <w:t xml:space="preserve"> </w:t>
      </w:r>
      <w:r w:rsidR="00D0528E">
        <w:rPr>
          <w:rFonts w:cstheme="minorHAnsi"/>
        </w:rPr>
        <w:t>T</w:t>
      </w:r>
      <w:r>
        <w:rPr>
          <w:rFonts w:cstheme="minorHAnsi"/>
        </w:rPr>
        <w:t>he views of these men seem different</w:t>
      </w:r>
      <w:r w:rsidR="00D0528E">
        <w:rPr>
          <w:rFonts w:cstheme="minorHAnsi"/>
        </w:rPr>
        <w:t>,</w:t>
      </w:r>
      <w:r>
        <w:rPr>
          <w:rFonts w:cstheme="minorHAnsi"/>
        </w:rPr>
        <w:t xml:space="preserve"> yet</w:t>
      </w:r>
      <w:r w:rsidR="00D0528E">
        <w:rPr>
          <w:rFonts w:cstheme="minorHAnsi"/>
        </w:rPr>
        <w:t xml:space="preserve"> </w:t>
      </w:r>
      <w:r w:rsidR="00F17F01">
        <w:rPr>
          <w:rFonts w:cstheme="minorHAnsi"/>
        </w:rPr>
        <w:t xml:space="preserve">they </w:t>
      </w:r>
      <w:r w:rsidR="00D0528E">
        <w:rPr>
          <w:rFonts w:cstheme="minorHAnsi"/>
        </w:rPr>
        <w:t>are</w:t>
      </w:r>
      <w:r>
        <w:rPr>
          <w:rFonts w:cstheme="minorHAnsi"/>
        </w:rPr>
        <w:t xml:space="preserve"> similar on many levels. They both agree with the dichotomy of sacred and profane and </w:t>
      </w:r>
      <w:r w:rsidR="00F17F01">
        <w:rPr>
          <w:rFonts w:cstheme="minorHAnsi"/>
        </w:rPr>
        <w:t xml:space="preserve">the distinct </w:t>
      </w:r>
      <w:r w:rsidR="00F17F01">
        <w:rPr>
          <w:rFonts w:cstheme="minorHAnsi"/>
        </w:rPr>
        <w:lastRenderedPageBreak/>
        <w:t>qualities of those spaces</w:t>
      </w:r>
      <w:r>
        <w:rPr>
          <w:rFonts w:cstheme="minorHAnsi"/>
        </w:rPr>
        <w:t>. Eliade</w:t>
      </w:r>
      <w:r w:rsidR="00D0528E">
        <w:rPr>
          <w:rFonts w:cstheme="minorHAnsi"/>
        </w:rPr>
        <w:t xml:space="preserve"> describes the sacred as a hierophany bursting out of nature</w:t>
      </w:r>
      <w:r w:rsidR="00737BEB">
        <w:rPr>
          <w:rFonts w:cstheme="minorHAnsi"/>
        </w:rPr>
        <w:t xml:space="preserve">. </w:t>
      </w:r>
      <w:r w:rsidR="00F17F01">
        <w:rPr>
          <w:rFonts w:cstheme="minorHAnsi"/>
        </w:rPr>
        <w:t>Nevertheless</w:t>
      </w:r>
      <w:r w:rsidR="00737BEB">
        <w:rPr>
          <w:rFonts w:cstheme="minorHAnsi"/>
        </w:rPr>
        <w:t>,</w:t>
      </w:r>
      <w:r w:rsidR="00D0528E">
        <w:rPr>
          <w:rFonts w:cstheme="minorHAnsi"/>
        </w:rPr>
        <w:t xml:space="preserve"> he agrees with</w:t>
      </w:r>
      <w:r>
        <w:rPr>
          <w:rFonts w:cstheme="minorHAnsi"/>
        </w:rPr>
        <w:t xml:space="preserve"> </w:t>
      </w:r>
      <w:r w:rsidR="00D0528E">
        <w:rPr>
          <w:rFonts w:cstheme="minorHAnsi"/>
        </w:rPr>
        <w:t>Durkheim</w:t>
      </w:r>
      <w:r w:rsidR="00E52B38">
        <w:rPr>
          <w:rFonts w:cstheme="minorHAnsi"/>
        </w:rPr>
        <w:t>'</w:t>
      </w:r>
      <w:r w:rsidR="00D0528E">
        <w:rPr>
          <w:rFonts w:cstheme="minorHAnsi"/>
        </w:rPr>
        <w:t>s idea of the sacred as a human construct</w:t>
      </w:r>
      <w:r>
        <w:rPr>
          <w:rFonts w:cstheme="minorHAnsi"/>
        </w:rPr>
        <w:t xml:space="preserve"> requir</w:t>
      </w:r>
      <w:r w:rsidR="00D0528E">
        <w:rPr>
          <w:rFonts w:cstheme="minorHAnsi"/>
        </w:rPr>
        <w:t xml:space="preserve">ing </w:t>
      </w:r>
      <w:r>
        <w:rPr>
          <w:rFonts w:cstheme="minorHAnsi"/>
        </w:rPr>
        <w:t>religious attention</w:t>
      </w:r>
      <w:r w:rsidR="006E2A38">
        <w:rPr>
          <w:rFonts w:cstheme="minorHAnsi"/>
        </w:rPr>
        <w:t xml:space="preserve"> and rituals</w:t>
      </w:r>
      <w:r>
        <w:rPr>
          <w:rFonts w:cstheme="minorHAnsi"/>
        </w:rPr>
        <w:t xml:space="preserve"> to keep the </w:t>
      </w:r>
      <w:r w:rsidR="00E52B38">
        <w:rPr>
          <w:rFonts w:cstheme="minorHAnsi"/>
        </w:rPr>
        <w:t>'</w:t>
      </w:r>
      <w:r>
        <w:rPr>
          <w:rFonts w:cstheme="minorHAnsi"/>
        </w:rPr>
        <w:t>cycle of the primordial moving to a sacred state.</w:t>
      </w:r>
      <w:r w:rsidR="00E52B38">
        <w:rPr>
          <w:rFonts w:cstheme="minorHAnsi"/>
        </w:rPr>
        <w:t>'</w:t>
      </w:r>
      <w:r>
        <w:rPr>
          <w:rStyle w:val="FootnoteReference"/>
          <w:rFonts w:cstheme="minorHAnsi"/>
        </w:rPr>
        <w:footnoteReference w:id="42"/>
      </w:r>
      <w:r>
        <w:rPr>
          <w:rFonts w:cstheme="minorHAnsi"/>
        </w:rPr>
        <w:t xml:space="preserve"> </w:t>
      </w:r>
    </w:p>
    <w:p w14:paraId="246F2A19" w14:textId="3FB19509" w:rsidR="006934FC" w:rsidRPr="00C55463" w:rsidRDefault="006934FC" w:rsidP="006934FC">
      <w:pPr>
        <w:rPr>
          <w:rFonts w:cstheme="minorHAnsi"/>
        </w:rPr>
      </w:pPr>
      <w:r>
        <w:rPr>
          <w:rFonts w:cstheme="minorHAnsi"/>
        </w:rPr>
        <w:t>Eliade presents</w:t>
      </w:r>
      <w:r w:rsidR="00F17F01">
        <w:rPr>
          <w:rFonts w:cstheme="minorHAnsi"/>
        </w:rPr>
        <w:t xml:space="preserve"> </w:t>
      </w:r>
      <w:r>
        <w:rPr>
          <w:rFonts w:cstheme="minorHAnsi"/>
        </w:rPr>
        <w:t>more mystical than Durkheim, who is more sociological in how the sacred is experienced. Both men used anthropological, mythological or religious evidence as a testimonial in developing their theories.</w:t>
      </w:r>
      <w:r w:rsidR="00F17F01">
        <w:rPr>
          <w:rStyle w:val="FootnoteReference"/>
          <w:rFonts w:cstheme="minorHAnsi"/>
        </w:rPr>
        <w:footnoteReference w:id="43"/>
      </w:r>
      <w:r>
        <w:rPr>
          <w:rFonts w:cstheme="minorHAnsi"/>
        </w:rPr>
        <w:t xml:space="preserve">  </w:t>
      </w:r>
      <w:r w:rsidR="00D0528E">
        <w:rPr>
          <w:rFonts w:cstheme="minorHAnsi"/>
        </w:rPr>
        <w:t>Eliade views the</w:t>
      </w:r>
      <w:r w:rsidRPr="00DA6232">
        <w:rPr>
          <w:rFonts w:cstheme="minorHAnsi"/>
        </w:rPr>
        <w:t xml:space="preserve"> sacred</w:t>
      </w:r>
      <w:r>
        <w:rPr>
          <w:rFonts w:cstheme="minorHAnsi"/>
        </w:rPr>
        <w:t>,</w:t>
      </w:r>
      <w:r w:rsidRPr="00DA6232">
        <w:rPr>
          <w:rFonts w:cstheme="minorHAnsi"/>
        </w:rPr>
        <w:t xml:space="preserve"> profane</w:t>
      </w:r>
      <w:r>
        <w:rPr>
          <w:rFonts w:cstheme="minorHAnsi"/>
        </w:rPr>
        <w:t>, and hierophany as a cyclic human experience.</w:t>
      </w:r>
      <w:r>
        <w:rPr>
          <w:rStyle w:val="FootnoteReference"/>
          <w:rFonts w:cstheme="minorHAnsi"/>
        </w:rPr>
        <w:footnoteReference w:id="44"/>
      </w:r>
      <w:r>
        <w:rPr>
          <w:rFonts w:cstheme="minorHAnsi"/>
        </w:rPr>
        <w:t xml:space="preserve"> Durkheim's philosophy is that religion is grounded in the nature of things and is a social experience.</w:t>
      </w:r>
      <w:r>
        <w:rPr>
          <w:rStyle w:val="FootnoteReference"/>
          <w:rFonts w:cstheme="minorHAnsi"/>
        </w:rPr>
        <w:footnoteReference w:id="45"/>
      </w:r>
      <w:r>
        <w:rPr>
          <w:rFonts w:cstheme="minorHAnsi"/>
        </w:rPr>
        <w:t xml:space="preserve"> </w:t>
      </w:r>
      <w:r w:rsidR="00F17F01">
        <w:rPr>
          <w:rFonts w:cstheme="minorHAnsi"/>
        </w:rPr>
        <w:t xml:space="preserve">Both men broke with the norms of </w:t>
      </w:r>
      <w:r w:rsidR="00F17F01">
        <w:rPr>
          <w:rFonts w:cstheme="minorHAnsi"/>
        </w:rPr>
        <w:t>their times</w:t>
      </w:r>
      <w:r w:rsidR="006E2A38">
        <w:rPr>
          <w:rFonts w:cstheme="minorHAnsi"/>
        </w:rPr>
        <w:t xml:space="preserve">; </w:t>
      </w:r>
      <w:r w:rsidR="00737BEB">
        <w:rPr>
          <w:rFonts w:cstheme="minorHAnsi"/>
        </w:rPr>
        <w:t xml:space="preserve">Durkheim </w:t>
      </w:r>
      <w:r w:rsidR="00F17F01">
        <w:rPr>
          <w:rFonts w:cstheme="minorHAnsi"/>
        </w:rPr>
        <w:t>did so</w:t>
      </w:r>
      <w:r>
        <w:rPr>
          <w:rFonts w:cstheme="minorHAnsi"/>
        </w:rPr>
        <w:t xml:space="preserve"> by relating religion to totemism, comparing the idea of the clan and shared experience of the sacred symbol of an animal as a religion.</w:t>
      </w:r>
      <w:r>
        <w:rPr>
          <w:rStyle w:val="FootnoteReference"/>
          <w:rFonts w:cstheme="minorHAnsi"/>
        </w:rPr>
        <w:footnoteReference w:id="46"/>
      </w:r>
      <w:r w:rsidR="00F17F01">
        <w:rPr>
          <w:rFonts w:cstheme="minorHAnsi"/>
        </w:rPr>
        <w:t xml:space="preserve"> Eliade</w:t>
      </w:r>
      <w:r w:rsidR="00C55463">
        <w:rPr>
          <w:rFonts w:cstheme="minorHAnsi"/>
        </w:rPr>
        <w:t>'</w:t>
      </w:r>
      <w:r w:rsidR="00F17F01">
        <w:rPr>
          <w:rFonts w:cstheme="minorHAnsi"/>
        </w:rPr>
        <w:t>s innovation was in</w:t>
      </w:r>
      <w:r>
        <w:rPr>
          <w:rFonts w:cstheme="minorHAnsi"/>
        </w:rPr>
        <w:t xml:space="preserve"> </w:t>
      </w:r>
      <w:r w:rsidR="00C55463">
        <w:rPr>
          <w:rFonts w:cstheme="minorHAnsi"/>
        </w:rPr>
        <w:t>'</w:t>
      </w:r>
      <w:r w:rsidR="00F17F01">
        <w:rPr>
          <w:rFonts w:cstheme="minorHAnsi"/>
        </w:rPr>
        <w:t>universalizing an interpretation of religion that used non-historical, cosmic, pr</w:t>
      </w:r>
      <w:r w:rsidR="009C6387">
        <w:rPr>
          <w:rFonts w:cstheme="minorHAnsi"/>
        </w:rPr>
        <w:t xml:space="preserve">e-Christian </w:t>
      </w:r>
      <w:r w:rsidR="00F17F01">
        <w:rPr>
          <w:rFonts w:cstheme="minorHAnsi"/>
        </w:rPr>
        <w:t>and non-Christian roots.</w:t>
      </w:r>
      <w:r w:rsidR="00C55463">
        <w:rPr>
          <w:rFonts w:cstheme="minorHAnsi"/>
        </w:rPr>
        <w:t>'</w:t>
      </w:r>
      <w:r w:rsidR="00F17F01">
        <w:rPr>
          <w:rStyle w:val="FootnoteReference"/>
          <w:rFonts w:cstheme="minorHAnsi"/>
        </w:rPr>
        <w:footnoteReference w:id="47"/>
      </w:r>
      <w:r w:rsidR="00F17F01">
        <w:rPr>
          <w:rFonts w:cstheme="minorHAnsi"/>
        </w:rPr>
        <w:t xml:space="preserve"> </w:t>
      </w:r>
    </w:p>
    <w:p w14:paraId="57AECD0F" w14:textId="77777777" w:rsidR="006934FC" w:rsidRPr="00674468" w:rsidRDefault="006934FC" w:rsidP="006934FC">
      <w:pPr>
        <w:rPr>
          <w:b/>
          <w:bCs/>
        </w:rPr>
      </w:pPr>
      <w:r w:rsidRPr="00C34B5F">
        <w:rPr>
          <w:b/>
          <w:bCs/>
        </w:rPr>
        <w:t>Conclusion</w:t>
      </w:r>
    </w:p>
    <w:p w14:paraId="06F02667" w14:textId="1AAF5A7B" w:rsidR="006934FC" w:rsidRDefault="00D0528E" w:rsidP="006934FC">
      <w:r>
        <w:t>Durkheim and Eliade</w:t>
      </w:r>
      <w:r w:rsidRPr="001B71CE">
        <w:t>, distinguished scholars and very influential in sociology and religion, were born at different times in history. Their lives were shaped by historical events specific to their place of birth, nationality, and education. Family and cultural background</w:t>
      </w:r>
      <w:r>
        <w:t>s</w:t>
      </w:r>
      <w:r w:rsidRPr="001B71CE">
        <w:t>, politics and religion affected how they developed and expressed their philosophies and theories</w:t>
      </w:r>
      <w:r w:rsidR="006934FC">
        <w:t>. Cladis, Fields, and Rennie describe how religious backgrounds were significant in Durkheim's and Eliade's views of sacredness.</w:t>
      </w:r>
      <w:r w:rsidR="006934FC">
        <w:rPr>
          <w:rStyle w:val="FootnoteReference"/>
        </w:rPr>
        <w:footnoteReference w:id="48"/>
      </w:r>
      <w:r w:rsidR="006934FC">
        <w:t xml:space="preserve"> It could be suggested that Durkheim's influenced Eliade, accounting for the similarities of views of sacred space as exemplified by their views of collective action, making and remaking the quality of sacredness.</w:t>
      </w:r>
      <w:r w:rsidR="006934FC">
        <w:rPr>
          <w:rStyle w:val="FootnoteReference"/>
        </w:rPr>
        <w:footnoteReference w:id="49"/>
      </w:r>
      <w:r w:rsidR="006934FC">
        <w:t xml:space="preserve"> One could </w:t>
      </w:r>
      <w:r>
        <w:t>also view Durkheim</w:t>
      </w:r>
      <w:r w:rsidR="00E52B38">
        <w:t>'</w:t>
      </w:r>
      <w:r>
        <w:t>s</w:t>
      </w:r>
      <w:r w:rsidR="009C6387">
        <w:t xml:space="preserve"> experience with an animal or object made sacred or</w:t>
      </w:r>
      <w:r>
        <w:t xml:space="preserve"> </w:t>
      </w:r>
      <w:r w:rsidR="009C6387">
        <w:t xml:space="preserve">a </w:t>
      </w:r>
      <w:r>
        <w:t>totem</w:t>
      </w:r>
      <w:r w:rsidR="006934FC">
        <w:t xml:space="preserve"> as a hierophany</w:t>
      </w:r>
      <w:r>
        <w:t xml:space="preserve"> conceived by Eliade</w:t>
      </w:r>
      <w:r w:rsidR="009C6387">
        <w:t>.</w:t>
      </w:r>
      <w:r w:rsidR="006934FC">
        <w:t xml:space="preserve"> </w:t>
      </w:r>
      <w:bookmarkEnd w:id="0"/>
      <w:r w:rsidRPr="001B71CE">
        <w:t>Durkheim and Eliade contributed to social change and advancement in literary style, religious and social structure, culture, education, and thought.</w:t>
      </w:r>
      <w:r>
        <w:t xml:space="preserve"> As innovative thinkers, the differences and similarities in their views of sacred space are interesting</w:t>
      </w:r>
      <w:r w:rsidR="00C55463">
        <w:t>, insightful</w:t>
      </w:r>
      <w:bookmarkStart w:id="44" w:name="_Hlk118359272"/>
      <w:r w:rsidR="00C55463">
        <w:t xml:space="preserve"> and significant</w:t>
      </w:r>
      <w:r>
        <w:t>.</w:t>
      </w:r>
    </w:p>
    <w:bookmarkEnd w:id="44"/>
    <w:p w14:paraId="5ACD9A93" w14:textId="5AADD7BB" w:rsidR="00986246" w:rsidRDefault="00986246"/>
    <w:p w14:paraId="5A3A088F" w14:textId="7F6737CD" w:rsidR="006D1BB8" w:rsidRDefault="006D1BB8"/>
    <w:p w14:paraId="35D4BC38" w14:textId="3D4576DA" w:rsidR="006D1BB8" w:rsidRDefault="006D1BB8"/>
    <w:p w14:paraId="2CED601D" w14:textId="298D06FD" w:rsidR="006D1BB8" w:rsidRDefault="006D1BB8"/>
    <w:p w14:paraId="2251D235" w14:textId="37F9FADE" w:rsidR="006D1BB8" w:rsidRDefault="006D1BB8"/>
    <w:p w14:paraId="0C19F8A8" w14:textId="5B650EFC" w:rsidR="006D1BB8" w:rsidRDefault="006D1BB8"/>
    <w:p w14:paraId="4EFCBE1A" w14:textId="5115BC24" w:rsidR="006D1BB8" w:rsidRDefault="006D1BB8"/>
    <w:p w14:paraId="6CB51607" w14:textId="77777777" w:rsidR="006D1BB8" w:rsidRPr="00577C74" w:rsidRDefault="006D1BB8" w:rsidP="006D1BB8">
      <w:pPr>
        <w:rPr>
          <w:b/>
          <w:bCs/>
          <w:sz w:val="24"/>
          <w:szCs w:val="24"/>
        </w:rPr>
      </w:pPr>
      <w:r w:rsidRPr="00577C74">
        <w:rPr>
          <w:b/>
          <w:bCs/>
          <w:sz w:val="24"/>
          <w:szCs w:val="24"/>
        </w:rPr>
        <w:t>Bibliography</w:t>
      </w:r>
    </w:p>
    <w:p w14:paraId="7A1AF131" w14:textId="77777777" w:rsidR="006D1BB8" w:rsidRPr="00577C74" w:rsidRDefault="006D1BB8" w:rsidP="006D1BB8">
      <w:pPr>
        <w:rPr>
          <w:b/>
          <w:bCs/>
        </w:rPr>
      </w:pPr>
      <w:r w:rsidRPr="00577C74">
        <w:rPr>
          <w:b/>
          <w:bCs/>
        </w:rPr>
        <w:t xml:space="preserve">Primary Sources </w:t>
      </w:r>
    </w:p>
    <w:p w14:paraId="76A3DF4E" w14:textId="77777777" w:rsidR="006D1BB8" w:rsidRPr="00247910" w:rsidRDefault="006D1BB8" w:rsidP="006D1BB8">
      <w:pPr>
        <w:ind w:left="720" w:hanging="720"/>
      </w:pPr>
      <w:bookmarkStart w:id="45" w:name="_Hlk117529225"/>
      <w:r w:rsidRPr="00247910">
        <w:t>Durkheim, Emile</w:t>
      </w:r>
      <w:r w:rsidRPr="00247910">
        <w:rPr>
          <w:i/>
          <w:iCs/>
        </w:rPr>
        <w:t>, The Elemental Forms of Religious Life</w:t>
      </w:r>
      <w:r w:rsidRPr="00247910">
        <w:t>, trans. by Karen Fields, (New York: Free Press 1995)</w:t>
      </w:r>
      <w:r>
        <w:t>.</w:t>
      </w:r>
    </w:p>
    <w:bookmarkEnd w:id="45"/>
    <w:p w14:paraId="07BAB2F1" w14:textId="77777777" w:rsidR="006D1BB8" w:rsidRPr="00247910" w:rsidRDefault="006D1BB8" w:rsidP="006D1BB8">
      <w:pPr>
        <w:ind w:left="720" w:hanging="720"/>
      </w:pPr>
      <w:r w:rsidRPr="00247910">
        <w:t>Durkheim</w:t>
      </w:r>
      <w:r w:rsidRPr="00247910">
        <w:rPr>
          <w:i/>
          <w:iCs/>
        </w:rPr>
        <w:t xml:space="preserve">, </w:t>
      </w:r>
      <w:r w:rsidRPr="00247910">
        <w:t>Emile,</w:t>
      </w:r>
      <w:r w:rsidRPr="00247910">
        <w:rPr>
          <w:i/>
          <w:iCs/>
        </w:rPr>
        <w:t xml:space="preserve"> Emile Durkheim: The Elementary Forms of Religious Life</w:t>
      </w:r>
      <w:r w:rsidRPr="00247910">
        <w:t xml:space="preserve">, trans. by Carol </w:t>
      </w:r>
      <w:proofErr w:type="spellStart"/>
      <w:r w:rsidRPr="00247910">
        <w:t>Cosman</w:t>
      </w:r>
      <w:proofErr w:type="spellEnd"/>
      <w:r w:rsidRPr="00247910">
        <w:t>, abridgement and editorial matter, Mark S. Cladis, (New York: Oxford University Press 2001).</w:t>
      </w:r>
    </w:p>
    <w:p w14:paraId="206F87EB" w14:textId="77777777" w:rsidR="006D1BB8" w:rsidRDefault="006D1BB8" w:rsidP="006D1BB8">
      <w:pPr>
        <w:ind w:left="720" w:hanging="720"/>
      </w:pPr>
      <w:r w:rsidRPr="00247910">
        <w:t xml:space="preserve">Eliade, Mircea, </w:t>
      </w:r>
      <w:r w:rsidRPr="00247910">
        <w:rPr>
          <w:i/>
          <w:iCs/>
        </w:rPr>
        <w:t>The Sacred and the Profane: The Nature of Religion</w:t>
      </w:r>
      <w:r w:rsidRPr="00247910">
        <w:t>, trans. by Willard Trask, (New York: Harcourt Brace, 1959)</w:t>
      </w:r>
      <w:r>
        <w:t>.</w:t>
      </w:r>
    </w:p>
    <w:p w14:paraId="71BDF6F8" w14:textId="77777777" w:rsidR="006D1BB8" w:rsidRPr="00247910" w:rsidRDefault="006D1BB8" w:rsidP="006D1BB8">
      <w:pPr>
        <w:ind w:left="720" w:hanging="720"/>
      </w:pPr>
      <w:r>
        <w:t xml:space="preserve">Frankel, Viktor E., </w:t>
      </w:r>
      <w:r w:rsidRPr="00B2113D">
        <w:rPr>
          <w:i/>
          <w:iCs/>
        </w:rPr>
        <w:t xml:space="preserve">Man’s search for </w:t>
      </w:r>
      <w:r>
        <w:rPr>
          <w:i/>
          <w:iCs/>
        </w:rPr>
        <w:t>M</w:t>
      </w:r>
      <w:r w:rsidRPr="00B2113D">
        <w:rPr>
          <w:i/>
          <w:iCs/>
        </w:rPr>
        <w:t>eaning,</w:t>
      </w:r>
      <w:r>
        <w:t xml:space="preserve"> Part One trans. by Ilse </w:t>
      </w:r>
      <w:proofErr w:type="spellStart"/>
      <w:r>
        <w:t>Lasch</w:t>
      </w:r>
      <w:proofErr w:type="spellEnd"/>
      <w:r>
        <w:t>, (Boston: Beacon Press, 2006).</w:t>
      </w:r>
    </w:p>
    <w:p w14:paraId="1FB87591" w14:textId="77777777" w:rsidR="006D1BB8" w:rsidRPr="00247910" w:rsidRDefault="006D1BB8" w:rsidP="006D1BB8"/>
    <w:p w14:paraId="0282FDB1" w14:textId="77777777" w:rsidR="006D1BB8" w:rsidRPr="00243957" w:rsidRDefault="006D1BB8" w:rsidP="006D1BB8">
      <w:pPr>
        <w:rPr>
          <w:b/>
          <w:bCs/>
        </w:rPr>
      </w:pPr>
      <w:r w:rsidRPr="00243957">
        <w:rPr>
          <w:b/>
          <w:bCs/>
        </w:rPr>
        <w:t>Secondary Sources</w:t>
      </w:r>
    </w:p>
    <w:p w14:paraId="764B23BF" w14:textId="77777777" w:rsidR="006D1BB8" w:rsidRPr="00247910" w:rsidRDefault="006D1BB8" w:rsidP="006D1BB8">
      <w:pPr>
        <w:ind w:left="720" w:hanging="720"/>
      </w:pPr>
      <w:r w:rsidRPr="00247910">
        <w:t xml:space="preserve">Allen, Douglas, ‘Eliade and History,’ </w:t>
      </w:r>
      <w:r w:rsidRPr="00247910">
        <w:rPr>
          <w:i/>
          <w:iCs/>
        </w:rPr>
        <w:t xml:space="preserve">The Journal of Religion, </w:t>
      </w:r>
      <w:r w:rsidRPr="00247910">
        <w:t xml:space="preserve">Vol.68, No.4, (1988) p. 545-546. </w:t>
      </w:r>
    </w:p>
    <w:p w14:paraId="3BA75C49" w14:textId="77777777" w:rsidR="006D1BB8" w:rsidRPr="00247910" w:rsidRDefault="006D1BB8" w:rsidP="006D1BB8">
      <w:pPr>
        <w:ind w:left="720" w:hanging="720"/>
      </w:pPr>
      <w:r w:rsidRPr="00247910">
        <w:t>Altizer, Thomas J.J, ’Mircea Eliade and the Recovery of the Sacred,</w:t>
      </w:r>
      <w:r w:rsidRPr="00247910">
        <w:rPr>
          <w:i/>
          <w:iCs/>
        </w:rPr>
        <w:t>’ The Christian Scholar,</w:t>
      </w:r>
      <w:r w:rsidRPr="00247910">
        <w:t xml:space="preserve"> Vol.45, No.4 (1962) pp. 267-289</w:t>
      </w:r>
      <w:r>
        <w:t>.</w:t>
      </w:r>
      <w:r w:rsidRPr="00247910">
        <w:t xml:space="preserve"> </w:t>
      </w:r>
    </w:p>
    <w:p w14:paraId="1E8C3DB4" w14:textId="77777777" w:rsidR="006D1BB8" w:rsidRPr="00247910" w:rsidRDefault="006D1BB8" w:rsidP="006D1BB8">
      <w:pPr>
        <w:ind w:left="720" w:hanging="720"/>
      </w:pPr>
      <w:r w:rsidRPr="00247910">
        <w:t xml:space="preserve">Cladis, Mark S., ‘Introduction’ in </w:t>
      </w:r>
      <w:r w:rsidRPr="00247910">
        <w:rPr>
          <w:i/>
          <w:iCs/>
        </w:rPr>
        <w:t>Emile Durkheim: The Elementary Forms of Religious Life</w:t>
      </w:r>
      <w:r w:rsidRPr="00247910">
        <w:t xml:space="preserve">, trans. by Carol </w:t>
      </w:r>
      <w:proofErr w:type="spellStart"/>
      <w:r w:rsidRPr="00247910">
        <w:t>Cosman</w:t>
      </w:r>
      <w:proofErr w:type="spellEnd"/>
      <w:r w:rsidRPr="00247910">
        <w:t>, abridgement and editorial matter, Mark S. Cladis, (New York: Oxford University Press 2001).</w:t>
      </w:r>
    </w:p>
    <w:p w14:paraId="0527EC6C" w14:textId="77777777" w:rsidR="006D1BB8" w:rsidRDefault="006D1BB8" w:rsidP="006D1BB8">
      <w:pPr>
        <w:ind w:left="720" w:hanging="720"/>
      </w:pPr>
      <w:r w:rsidRPr="00247910">
        <w:t xml:space="preserve">Fields, Karen ‘Introduction’ in </w:t>
      </w:r>
      <w:r w:rsidRPr="00247910">
        <w:rPr>
          <w:i/>
          <w:iCs/>
        </w:rPr>
        <w:t>Emile Durkheim</w:t>
      </w:r>
      <w:r w:rsidRPr="00247910">
        <w:t>:</w:t>
      </w:r>
      <w:r w:rsidRPr="00247910">
        <w:rPr>
          <w:i/>
          <w:iCs/>
        </w:rPr>
        <w:t xml:space="preserve"> The Elemental Forms of Religious Life</w:t>
      </w:r>
      <w:r w:rsidRPr="00247910">
        <w:t xml:space="preserve">, trans. by </w:t>
      </w:r>
      <w:bookmarkStart w:id="46" w:name="_Hlk117529280"/>
      <w:r w:rsidRPr="00247910">
        <w:t>Karen Fields</w:t>
      </w:r>
      <w:bookmarkEnd w:id="46"/>
      <w:r w:rsidRPr="00247910">
        <w:t>, (New York: Free Press 1995).</w:t>
      </w:r>
    </w:p>
    <w:p w14:paraId="67A5B064" w14:textId="77777777" w:rsidR="006D1BB8" w:rsidRDefault="006D1BB8" w:rsidP="006D1BB8">
      <w:pPr>
        <w:ind w:left="720" w:hanging="720"/>
      </w:pPr>
      <w:r>
        <w:t>Goldenweiser, A.A,</w:t>
      </w:r>
      <w:r w:rsidRPr="00165D16">
        <w:t xml:space="preserve"> </w:t>
      </w:r>
      <w:r>
        <w:t xml:space="preserve">‘Religion and Society: A Critique of Emile Durkheim’s Theory of the Origin and Nature of Religion’, in </w:t>
      </w:r>
      <w:r w:rsidRPr="006D1BB8">
        <w:rPr>
          <w:i/>
          <w:iCs/>
        </w:rPr>
        <w:t>The Journal of Philosophy, Psychology and Scientific Methods</w:t>
      </w:r>
      <w:r>
        <w:rPr>
          <w:i/>
          <w:iCs/>
        </w:rPr>
        <w:t>,</w:t>
      </w:r>
      <w:r>
        <w:t xml:space="preserve"> Vol.14, No. 5 (1917), pp.113-124.</w:t>
      </w:r>
    </w:p>
    <w:p w14:paraId="5A6CDF44" w14:textId="77777777" w:rsidR="006D1BB8" w:rsidRDefault="006D1BB8" w:rsidP="006D1BB8">
      <w:pPr>
        <w:ind w:left="720" w:hanging="720"/>
      </w:pPr>
      <w:bookmarkStart w:id="47" w:name="_Hlk117946445"/>
      <w:r>
        <w:t xml:space="preserve">Miller, William Watts, ‘Total Aesthetics: Art and The </w:t>
      </w:r>
      <w:r>
        <w:rPr>
          <w:i/>
          <w:iCs/>
        </w:rPr>
        <w:t>E</w:t>
      </w:r>
      <w:r w:rsidRPr="004C7AEB">
        <w:rPr>
          <w:i/>
          <w:iCs/>
        </w:rPr>
        <w:t>lemental Forms</w:t>
      </w:r>
      <w:r>
        <w:rPr>
          <w:i/>
          <w:iCs/>
        </w:rPr>
        <w:t xml:space="preserve">’, </w:t>
      </w:r>
      <w:r>
        <w:t xml:space="preserve">in </w:t>
      </w:r>
      <w:r w:rsidRPr="004C7AEB">
        <w:rPr>
          <w:i/>
          <w:iCs/>
        </w:rPr>
        <w:t>Durkheim, the Durkheimians and the Arts</w:t>
      </w:r>
      <w:r>
        <w:t>, eds, Alexander Tristan Riley, W.S.F Pickering and William Watts Miller, (New York: Durkheim Press 2013). 16-42.</w:t>
      </w:r>
    </w:p>
    <w:p w14:paraId="1DBE25F9" w14:textId="77777777" w:rsidR="006D1BB8" w:rsidRDefault="006D1BB8" w:rsidP="006D1BB8">
      <w:pPr>
        <w:ind w:left="720" w:hanging="720"/>
        <w:rPr>
          <w:i/>
          <w:iCs/>
        </w:rPr>
      </w:pPr>
      <w:r w:rsidRPr="00247910">
        <w:t xml:space="preserve">McDowell, Edwin ‘Professor Mircea Eliade, 79; Writer and Religious Scholar’, </w:t>
      </w:r>
      <w:r w:rsidRPr="00247910">
        <w:rPr>
          <w:i/>
          <w:iCs/>
        </w:rPr>
        <w:t>The New York Times</w:t>
      </w:r>
      <w:r w:rsidRPr="00247910">
        <w:t>, Section B, (1986) p.6.</w:t>
      </w:r>
      <w:r w:rsidRPr="00247910">
        <w:rPr>
          <w:i/>
          <w:iCs/>
        </w:rPr>
        <w:t xml:space="preserve"> {</w:t>
      </w:r>
      <w:r w:rsidRPr="00247910">
        <w:t>accessed 25 October 2022,</w:t>
      </w:r>
      <w:r w:rsidRPr="00247910">
        <w:rPr>
          <w:i/>
          <w:iCs/>
        </w:rPr>
        <w:t xml:space="preserve"> </w:t>
      </w:r>
      <w:hyperlink r:id="rId8" w:history="1">
        <w:r w:rsidRPr="00247910">
          <w:rPr>
            <w:rStyle w:val="Hyperlink"/>
            <w:i/>
            <w:iCs/>
          </w:rPr>
          <w:t>https://nytimes.com</w:t>
        </w:r>
      </w:hyperlink>
      <w:r w:rsidRPr="00247910">
        <w:rPr>
          <w:i/>
          <w:iCs/>
        </w:rPr>
        <w:t>}.</w:t>
      </w:r>
    </w:p>
    <w:p w14:paraId="22C37503" w14:textId="77777777" w:rsidR="006D1BB8" w:rsidRPr="000C1A80" w:rsidRDefault="006D1BB8" w:rsidP="006D1BB8">
      <w:pPr>
        <w:ind w:left="720" w:hanging="720"/>
      </w:pPr>
      <w:r>
        <w:t xml:space="preserve">Oxford Dictionary, </w:t>
      </w:r>
      <w:hyperlink r:id="rId9" w:history="1">
        <w:r w:rsidRPr="008D0B4D">
          <w:rPr>
            <w:rStyle w:val="Hyperlink"/>
            <w:i/>
            <w:iCs/>
          </w:rPr>
          <w:t>https://www.oxfordlearnersdictionaries.com</w:t>
        </w:r>
      </w:hyperlink>
      <w:r>
        <w:rPr>
          <w:i/>
          <w:iCs/>
        </w:rPr>
        <w:t xml:space="preserve">, </w:t>
      </w:r>
      <w:r>
        <w:t>{accessed 5 November 2022}.</w:t>
      </w:r>
    </w:p>
    <w:bookmarkEnd w:id="47"/>
    <w:p w14:paraId="3F6CA65E" w14:textId="77777777" w:rsidR="006D1BB8" w:rsidRPr="00247910" w:rsidRDefault="006D1BB8" w:rsidP="006D1BB8">
      <w:pPr>
        <w:ind w:left="720" w:hanging="720"/>
      </w:pPr>
      <w:r w:rsidRPr="00247910">
        <w:t xml:space="preserve">Rennie, Bryan, ‘The Influence of Eastern Orthodox Christian Theology on Mircea Eliade’s Understanding of Religion’ in </w:t>
      </w:r>
      <w:r w:rsidRPr="00247910">
        <w:rPr>
          <w:i/>
          <w:iCs/>
        </w:rPr>
        <w:t xml:space="preserve">Hermeneutics, Politics and the History of Religions: The Contested Legacies of Joachim </w:t>
      </w:r>
      <w:proofErr w:type="spellStart"/>
      <w:r w:rsidRPr="00247910">
        <w:rPr>
          <w:i/>
          <w:iCs/>
        </w:rPr>
        <w:t>Wach</w:t>
      </w:r>
      <w:proofErr w:type="spellEnd"/>
      <w:r w:rsidRPr="00247910">
        <w:rPr>
          <w:i/>
          <w:iCs/>
        </w:rPr>
        <w:t xml:space="preserve"> and Mircea Eliade,</w:t>
      </w:r>
      <w:r w:rsidRPr="00247910">
        <w:t xml:space="preserve"> eds.</w:t>
      </w:r>
      <w:r w:rsidRPr="00247910">
        <w:rPr>
          <w:i/>
          <w:iCs/>
        </w:rPr>
        <w:t xml:space="preserve">  </w:t>
      </w:r>
      <w:r w:rsidRPr="00247910">
        <w:t xml:space="preserve">Christian </w:t>
      </w:r>
      <w:proofErr w:type="spellStart"/>
      <w:r w:rsidRPr="00247910">
        <w:t>Wedemeyer</w:t>
      </w:r>
      <w:proofErr w:type="spellEnd"/>
      <w:r w:rsidRPr="00247910">
        <w:t xml:space="preserve"> and Wendy </w:t>
      </w:r>
      <w:proofErr w:type="spellStart"/>
      <w:r w:rsidRPr="00247910">
        <w:t>Doniger</w:t>
      </w:r>
      <w:proofErr w:type="spellEnd"/>
      <w:r w:rsidRPr="00247910">
        <w:t xml:space="preserve"> (New York: Oxford University, 2010). pp, 197-214.   </w:t>
      </w:r>
    </w:p>
    <w:p w14:paraId="4637396B" w14:textId="77777777" w:rsidR="006D1BB8" w:rsidRDefault="006D1BB8" w:rsidP="006D1BB8">
      <w:pPr>
        <w:ind w:left="720" w:hanging="720"/>
      </w:pPr>
      <w:r w:rsidRPr="00247910">
        <w:lastRenderedPageBreak/>
        <w:t xml:space="preserve">Studstill, Randall, ‘Eliade, Phenomenology, and the Sacred’ </w:t>
      </w:r>
      <w:r w:rsidRPr="00247910">
        <w:rPr>
          <w:i/>
          <w:iCs/>
        </w:rPr>
        <w:t>Journal: Religious Studies,</w:t>
      </w:r>
      <w:r w:rsidRPr="00247910">
        <w:t xml:space="preserve"> Vol.36 No.2, (2002) pp. 177-184.</w:t>
      </w:r>
    </w:p>
    <w:p w14:paraId="49DFA2F8" w14:textId="77777777" w:rsidR="006D1BB8" w:rsidRDefault="006D1BB8"/>
    <w:sectPr w:rsidR="006D1BB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B34C1" w14:textId="77777777" w:rsidR="006934FC" w:rsidRDefault="006934FC" w:rsidP="006934FC">
      <w:pPr>
        <w:spacing w:after="0" w:line="240" w:lineRule="auto"/>
      </w:pPr>
      <w:r>
        <w:separator/>
      </w:r>
    </w:p>
  </w:endnote>
  <w:endnote w:type="continuationSeparator" w:id="0">
    <w:p w14:paraId="1A34B2FD" w14:textId="77777777" w:rsidR="006934FC" w:rsidRDefault="006934FC" w:rsidP="0069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temporary/>
      <w:showingPlcHdr/>
      <w15:appearance w15:val="hidden"/>
    </w:sdtPr>
    <w:sdtEndPr/>
    <w:sdtContent>
      <w:p w14:paraId="62B3E98E" w14:textId="77777777" w:rsidR="007D4526" w:rsidRDefault="00FC6A0B">
        <w:pPr>
          <w:pStyle w:val="Footer"/>
        </w:pPr>
        <w:r>
          <w:t>[Type here]</w:t>
        </w:r>
      </w:p>
    </w:sdtContent>
  </w:sdt>
  <w:p w14:paraId="2B13DA0F" w14:textId="77777777" w:rsidR="007D4526" w:rsidRDefault="00FC6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4C790" w14:textId="77777777" w:rsidR="006934FC" w:rsidRDefault="006934FC" w:rsidP="006934FC">
      <w:pPr>
        <w:spacing w:after="0" w:line="240" w:lineRule="auto"/>
      </w:pPr>
      <w:r>
        <w:separator/>
      </w:r>
    </w:p>
  </w:footnote>
  <w:footnote w:type="continuationSeparator" w:id="0">
    <w:p w14:paraId="5E9A4EDF" w14:textId="77777777" w:rsidR="006934FC" w:rsidRDefault="006934FC" w:rsidP="006934FC">
      <w:pPr>
        <w:spacing w:after="0" w:line="240" w:lineRule="auto"/>
      </w:pPr>
      <w:r>
        <w:continuationSeparator/>
      </w:r>
    </w:p>
  </w:footnote>
  <w:footnote w:id="1">
    <w:p w14:paraId="388CFC08" w14:textId="77777777" w:rsidR="00D0528E" w:rsidRDefault="00D0528E" w:rsidP="00D0528E">
      <w:pPr>
        <w:pStyle w:val="FootnoteText"/>
      </w:pPr>
      <w:r>
        <w:rPr>
          <w:rStyle w:val="FootnoteReference"/>
        </w:rPr>
        <w:footnoteRef/>
      </w:r>
      <w:r>
        <w:t xml:space="preserve"> Viktor E. Frankel, Man’s search for meaning, pt.1 trans by Ilse Lasch, (Boston: Beacon Press 2006) p.89.</w:t>
      </w:r>
    </w:p>
  </w:footnote>
  <w:footnote w:id="2">
    <w:p w14:paraId="45FDECB3" w14:textId="77777777" w:rsidR="006934FC" w:rsidRPr="00154115" w:rsidRDefault="006934FC" w:rsidP="006934FC">
      <w:pPr>
        <w:pStyle w:val="FootnoteText"/>
        <w:ind w:left="720" w:hanging="720"/>
      </w:pPr>
      <w:r w:rsidRPr="00154115">
        <w:rPr>
          <w:rStyle w:val="FootnoteReference"/>
        </w:rPr>
        <w:footnoteRef/>
      </w:r>
      <w:r w:rsidRPr="00154115">
        <w:t xml:space="preserve"> </w:t>
      </w:r>
      <w:bookmarkStart w:id="6" w:name="_Hlk117238041"/>
      <w:bookmarkStart w:id="7" w:name="_Hlk117361224"/>
      <w:bookmarkStart w:id="8" w:name="_Hlk117701567"/>
      <w:r w:rsidRPr="00154115">
        <w:t xml:space="preserve">Emile Durkheim, </w:t>
      </w:r>
      <w:r w:rsidRPr="00154115">
        <w:rPr>
          <w:i/>
          <w:iCs/>
        </w:rPr>
        <w:t>The Elemental Forms of Religious Life</w:t>
      </w:r>
      <w:bookmarkEnd w:id="6"/>
      <w:r w:rsidRPr="00154115">
        <w:t xml:space="preserve">, trans. by Karen Fields, (New York: Free Press 1995) </w:t>
      </w:r>
      <w:bookmarkEnd w:id="7"/>
    </w:p>
    <w:bookmarkStart w:id="9" w:name="_Hlk117360946"/>
    <w:bookmarkEnd w:id="8"/>
  </w:footnote>
  <w:footnote w:id="3">
    <w:p w14:paraId="396E5A1B" w14:textId="77777777" w:rsidR="006934FC" w:rsidRPr="00154115" w:rsidRDefault="006934FC" w:rsidP="006934FC">
      <w:pPr>
        <w:pStyle w:val="FootnoteText"/>
        <w:ind w:left="720" w:hanging="720"/>
      </w:pPr>
      <w:bookmarkStart w:id="10" w:name="_Hlk117360946"/>
      <w:r w:rsidRPr="00154115">
        <w:rPr>
          <w:rStyle w:val="FootnoteReference"/>
        </w:rPr>
        <w:footnoteRef/>
      </w:r>
      <w:r w:rsidRPr="00154115">
        <w:t xml:space="preserve"> Mircea Eliade, </w:t>
      </w:r>
      <w:r w:rsidRPr="00154115">
        <w:rPr>
          <w:i/>
          <w:iCs/>
        </w:rPr>
        <w:t>The Sacred and the Profane: The Nature of Religion</w:t>
      </w:r>
      <w:r w:rsidRPr="00154115">
        <w:t xml:space="preserve">, </w:t>
      </w:r>
      <w:bookmarkStart w:id="11" w:name="_Hlk117950887"/>
      <w:r w:rsidRPr="00154115">
        <w:t>trans. by Willard Trask</w:t>
      </w:r>
      <w:bookmarkEnd w:id="11"/>
      <w:r w:rsidRPr="00154115">
        <w:t>, (New York: Harcourt Brace, 1959)</w:t>
      </w:r>
      <w:bookmarkEnd w:id="10"/>
      <w:r w:rsidRPr="00154115">
        <w:t xml:space="preserve">. </w:t>
      </w:r>
    </w:p>
  </w:footnote>
  <w:footnote w:id="4">
    <w:p w14:paraId="598397CC" w14:textId="77777777" w:rsidR="006934FC" w:rsidRPr="00154115" w:rsidRDefault="006934FC" w:rsidP="006934FC">
      <w:pPr>
        <w:pStyle w:val="FootnoteText"/>
        <w:ind w:left="720" w:hanging="720"/>
      </w:pPr>
      <w:bookmarkStart w:id="12" w:name="_Hlk117947575"/>
      <w:r w:rsidRPr="00154115">
        <w:rPr>
          <w:rStyle w:val="FootnoteReference"/>
        </w:rPr>
        <w:footnoteRef/>
      </w:r>
      <w:r w:rsidRPr="00154115">
        <w:t xml:space="preserve"> Mark S. Cladis, ‘Introduction’ in </w:t>
      </w:r>
      <w:bookmarkStart w:id="13" w:name="_Hlk117358694"/>
      <w:bookmarkStart w:id="14" w:name="_Hlk117360477"/>
      <w:r w:rsidRPr="00154115">
        <w:rPr>
          <w:i/>
          <w:iCs/>
        </w:rPr>
        <w:t>Emile Durkheim: The Elementary Forms of Religious Life</w:t>
      </w:r>
      <w:r w:rsidRPr="00154115">
        <w:t>, trans. by Carol Cosman, abridgement and editorial matter, Mark S. Cladis, (New York: Oxford University Press 2001</w:t>
      </w:r>
      <w:bookmarkEnd w:id="14"/>
      <w:r w:rsidRPr="00154115">
        <w:t xml:space="preserve">), </w:t>
      </w:r>
      <w:bookmarkEnd w:id="13"/>
      <w:r w:rsidRPr="00154115">
        <w:t>pp. ix-xii.</w:t>
      </w:r>
    </w:p>
  </w:footnote>
  <w:footnote w:id="5">
    <w:p w14:paraId="28634CB8" w14:textId="77777777" w:rsidR="006934FC" w:rsidRDefault="006934FC" w:rsidP="006934FC">
      <w:pPr>
        <w:pStyle w:val="FootnoteText"/>
        <w:ind w:left="720" w:hanging="720"/>
      </w:pPr>
      <w:r>
        <w:rPr>
          <w:rStyle w:val="FootnoteReference"/>
        </w:rPr>
        <w:footnoteRef/>
      </w:r>
      <w:r>
        <w:t xml:space="preserve"> Karen Fields, ‘Introduction’ in</w:t>
      </w:r>
      <w:r w:rsidRPr="00674468">
        <w:t xml:space="preserve"> </w:t>
      </w:r>
      <w:r w:rsidRPr="0040676F">
        <w:rPr>
          <w:i/>
          <w:iCs/>
        </w:rPr>
        <w:t>Emile Durkheim</w:t>
      </w:r>
      <w:r>
        <w:t xml:space="preserve">, </w:t>
      </w:r>
      <w:r w:rsidRPr="002D3A33">
        <w:rPr>
          <w:i/>
          <w:iCs/>
        </w:rPr>
        <w:t>The Elemental Forms of Religious Life</w:t>
      </w:r>
      <w:r>
        <w:t>, trans. by Karen Fields, (New York: Free Press 1995) p. xxii.</w:t>
      </w:r>
    </w:p>
  </w:footnote>
  <w:footnote w:id="6">
    <w:p w14:paraId="33ACF14A" w14:textId="714E4AEF" w:rsidR="006D1BB8" w:rsidRDefault="006D1BB8" w:rsidP="006D1BB8">
      <w:pPr>
        <w:pStyle w:val="FootnoteText"/>
        <w:ind w:left="720" w:hanging="720"/>
      </w:pPr>
      <w:r>
        <w:rPr>
          <w:rStyle w:val="FootnoteReference"/>
        </w:rPr>
        <w:footnoteRef/>
      </w:r>
      <w:r>
        <w:t xml:space="preserve"> A.A. Goldenweiser, </w:t>
      </w:r>
      <w:bookmarkStart w:id="15" w:name="_Hlk118715397"/>
      <w:r>
        <w:t xml:space="preserve">‘Religion and Society: A Critique of Emile Durkheim’s Theory of the Origin and Nature of Religion’, in </w:t>
      </w:r>
      <w:r w:rsidRPr="006D1BB8">
        <w:rPr>
          <w:i/>
          <w:iCs/>
        </w:rPr>
        <w:t>The Journal of Philosophy, Psychology and Scientific Methods</w:t>
      </w:r>
      <w:r>
        <w:rPr>
          <w:i/>
          <w:iCs/>
        </w:rPr>
        <w:t>,</w:t>
      </w:r>
      <w:r>
        <w:t xml:space="preserve"> Vol.14, No. 5 (1917), pp.113-124 </w:t>
      </w:r>
      <w:bookmarkEnd w:id="15"/>
      <w:r>
        <w:t>(p.124).</w:t>
      </w:r>
      <w:r>
        <w:rPr>
          <w:i/>
          <w:iCs/>
        </w:rPr>
        <w:t xml:space="preserve"> </w:t>
      </w:r>
    </w:p>
  </w:footnote>
  <w:footnote w:id="7">
    <w:p w14:paraId="0482FFFF" w14:textId="77777777" w:rsidR="006934FC" w:rsidRPr="00154115" w:rsidRDefault="006934FC" w:rsidP="006934FC">
      <w:pPr>
        <w:pStyle w:val="FootnoteText"/>
        <w:ind w:left="720" w:hanging="720"/>
      </w:pPr>
      <w:r w:rsidRPr="00154115">
        <w:rPr>
          <w:rStyle w:val="FootnoteReference"/>
        </w:rPr>
        <w:footnoteRef/>
      </w:r>
      <w:r w:rsidRPr="00154115">
        <w:t xml:space="preserve"> </w:t>
      </w:r>
      <w:bookmarkStart w:id="16" w:name="_Hlk117360181"/>
      <w:r w:rsidRPr="00154115">
        <w:t>Emile Durkheim</w:t>
      </w:r>
      <w:r w:rsidRPr="00154115">
        <w:rPr>
          <w:i/>
          <w:iCs/>
        </w:rPr>
        <w:t>, Emile Durkheim: The Elementary Forms of Religious Life</w:t>
      </w:r>
      <w:r w:rsidRPr="00154115">
        <w:t>, trans. by Carol Cosman, abridgement and editorial matter, Mark S. Cladis, (New York: Oxford University Press 2001).</w:t>
      </w:r>
      <w:bookmarkEnd w:id="16"/>
    </w:p>
  </w:footnote>
  <w:footnote w:id="8">
    <w:p w14:paraId="30A38240" w14:textId="77777777" w:rsidR="006934FC" w:rsidRDefault="006934FC" w:rsidP="006934FC">
      <w:pPr>
        <w:pStyle w:val="FootnoteText"/>
      </w:pPr>
      <w:r>
        <w:rPr>
          <w:rStyle w:val="FootnoteReference"/>
        </w:rPr>
        <w:footnoteRef/>
      </w:r>
      <w:r>
        <w:t xml:space="preserve"> </w:t>
      </w:r>
      <w:bookmarkStart w:id="17" w:name="_Hlk118196559"/>
      <w:r>
        <w:t>C</w:t>
      </w:r>
      <w:bookmarkStart w:id="18" w:name="_Hlk118625491"/>
      <w:r>
        <w:t>ladis, ‘Introduction’, p. xii.</w:t>
      </w:r>
      <w:bookmarkEnd w:id="17"/>
      <w:bookmarkEnd w:id="18"/>
    </w:p>
  </w:footnote>
  <w:footnote w:id="9">
    <w:p w14:paraId="0BC895F6" w14:textId="77777777" w:rsidR="006934FC" w:rsidRDefault="006934FC" w:rsidP="006934FC">
      <w:pPr>
        <w:pStyle w:val="FootnoteText"/>
        <w:ind w:left="720" w:hanging="720"/>
      </w:pPr>
      <w:r>
        <w:rPr>
          <w:rStyle w:val="FootnoteReference"/>
        </w:rPr>
        <w:footnoteRef/>
      </w:r>
      <w:r>
        <w:t xml:space="preserve"> </w:t>
      </w:r>
      <w:bookmarkStart w:id="19" w:name="_Hlk117238006"/>
      <w:r>
        <w:t xml:space="preserve">Karen Fields,’ Introduction’ </w:t>
      </w:r>
      <w:bookmarkStart w:id="20" w:name="_Hlk118196321"/>
      <w:r>
        <w:t xml:space="preserve">in </w:t>
      </w:r>
      <w:r w:rsidRPr="0040676F">
        <w:rPr>
          <w:i/>
          <w:iCs/>
        </w:rPr>
        <w:t>Emile Durkheim</w:t>
      </w:r>
      <w:r>
        <w:t xml:space="preserve">, </w:t>
      </w:r>
      <w:r w:rsidRPr="002D3A33">
        <w:rPr>
          <w:i/>
          <w:iCs/>
        </w:rPr>
        <w:t>The Elemental Forms of Religious Life</w:t>
      </w:r>
      <w:r>
        <w:t xml:space="preserve">, trans. by Karen Fields, (New York: Free Press 1995) </w:t>
      </w:r>
      <w:bookmarkEnd w:id="20"/>
      <w:r>
        <w:t>pp. xvii-xviii.</w:t>
      </w:r>
      <w:bookmarkEnd w:id="19"/>
    </w:p>
  </w:footnote>
  <w:footnote w:id="10">
    <w:p w14:paraId="08142128" w14:textId="4F95DA0E" w:rsidR="005F3805" w:rsidRDefault="005F3805">
      <w:pPr>
        <w:pStyle w:val="FootnoteText"/>
      </w:pPr>
      <w:r>
        <w:rPr>
          <w:rStyle w:val="FootnoteReference"/>
        </w:rPr>
        <w:footnoteRef/>
      </w:r>
      <w:r>
        <w:t xml:space="preserve"> </w:t>
      </w:r>
      <w:bookmarkStart w:id="21" w:name="_Hlk118700450"/>
      <w:r>
        <w:t>Fields, ‘Introduction’, p</w:t>
      </w:r>
      <w:bookmarkEnd w:id="21"/>
      <w:r>
        <w:t>. xlv-xlvi</w:t>
      </w:r>
    </w:p>
  </w:footnote>
  <w:footnote w:id="11">
    <w:p w14:paraId="292DC780" w14:textId="77777777" w:rsidR="006934FC" w:rsidRDefault="006934FC" w:rsidP="006934FC">
      <w:pPr>
        <w:pStyle w:val="FootnoteText"/>
        <w:ind w:left="720" w:hanging="720"/>
      </w:pPr>
      <w:r>
        <w:rPr>
          <w:rStyle w:val="FootnoteReference"/>
        </w:rPr>
        <w:footnoteRef/>
      </w:r>
      <w:r>
        <w:t xml:space="preserve"> </w:t>
      </w:r>
      <w:r w:rsidRPr="00154115">
        <w:t>Edwin</w:t>
      </w:r>
      <w:r>
        <w:t>, McDowell,</w:t>
      </w:r>
      <w:r w:rsidRPr="00154115">
        <w:t xml:space="preserve"> ‘Professor Mircea Eliade, 79</w:t>
      </w:r>
      <w:r w:rsidRPr="00154115">
        <w:t xml:space="preserve">; Writer and Religious Scholar’, </w:t>
      </w:r>
      <w:r w:rsidRPr="00154115">
        <w:rPr>
          <w:i/>
          <w:iCs/>
        </w:rPr>
        <w:t>The New York Times</w:t>
      </w:r>
      <w:r w:rsidRPr="00154115">
        <w:t>, Section B, (1986) p.6.</w:t>
      </w:r>
      <w:r w:rsidRPr="00154115">
        <w:rPr>
          <w:i/>
          <w:iCs/>
        </w:rPr>
        <w:t xml:space="preserve"> {</w:t>
      </w:r>
      <w:r w:rsidRPr="00154115">
        <w:t>accessed 25 October 2022,</w:t>
      </w:r>
      <w:r w:rsidRPr="00154115">
        <w:rPr>
          <w:i/>
          <w:iCs/>
        </w:rPr>
        <w:t xml:space="preserve"> </w:t>
      </w:r>
      <w:hyperlink r:id="rId1" w:history="1">
        <w:r w:rsidRPr="00154115">
          <w:rPr>
            <w:rStyle w:val="Hyperlink"/>
            <w:i/>
            <w:iCs/>
          </w:rPr>
          <w:t>https://nytimes.com</w:t>
        </w:r>
      </w:hyperlink>
      <w:r w:rsidRPr="00154115">
        <w:rPr>
          <w:i/>
          <w:iCs/>
        </w:rPr>
        <w:t>}.</w:t>
      </w:r>
      <w:r>
        <w:t xml:space="preserve"> </w:t>
      </w:r>
    </w:p>
  </w:footnote>
  <w:footnote w:id="12">
    <w:p w14:paraId="5C4B37C4" w14:textId="2B1E6323" w:rsidR="006934FC" w:rsidRPr="00154115" w:rsidRDefault="006934FC" w:rsidP="006934FC">
      <w:pPr>
        <w:pStyle w:val="FootnoteText"/>
        <w:ind w:left="720" w:hanging="720"/>
      </w:pPr>
      <w:r w:rsidRPr="00154115">
        <w:rPr>
          <w:rStyle w:val="FootnoteReference"/>
        </w:rPr>
        <w:footnoteRef/>
      </w:r>
      <w:r w:rsidRPr="00154115">
        <w:t xml:space="preserve"> </w:t>
      </w:r>
      <w:bookmarkStart w:id="22" w:name="_Hlk117360848"/>
      <w:r w:rsidRPr="00154115">
        <w:t>Thomas J.J Altizer,’ Mircea Eliade and the Recovery of the Sacred,</w:t>
      </w:r>
      <w:r w:rsidRPr="00154115">
        <w:rPr>
          <w:i/>
          <w:iCs/>
        </w:rPr>
        <w:t>’ The Christian Scholar,</w:t>
      </w:r>
      <w:r w:rsidRPr="00154115">
        <w:t xml:space="preserve"> Vol.45. No.4 (1962) pp. 267-289 </w:t>
      </w:r>
      <w:bookmarkEnd w:id="22"/>
      <w:r w:rsidRPr="00154115">
        <w:t>(p.267)</w:t>
      </w:r>
      <w:r w:rsidR="006D1BB8">
        <w:t>.</w:t>
      </w:r>
    </w:p>
  </w:footnote>
  <w:footnote w:id="13">
    <w:p w14:paraId="4CA731DE" w14:textId="77777777" w:rsidR="006934FC" w:rsidRPr="00154115" w:rsidRDefault="006934FC" w:rsidP="006934FC">
      <w:pPr>
        <w:pStyle w:val="FootnoteText"/>
        <w:ind w:left="720" w:hanging="720"/>
      </w:pPr>
      <w:bookmarkStart w:id="23" w:name="_Hlk117611198"/>
      <w:r w:rsidRPr="00154115">
        <w:rPr>
          <w:rStyle w:val="FootnoteReference"/>
        </w:rPr>
        <w:footnoteRef/>
      </w:r>
      <w:r w:rsidRPr="00154115">
        <w:t xml:space="preserve"> Randall Studstill, ‘Eliade, Phenomenology </w:t>
      </w:r>
      <w:bookmarkEnd w:id="23"/>
      <w:r w:rsidRPr="00154115">
        <w:t xml:space="preserve">and the Sacred,’ </w:t>
      </w:r>
      <w:r w:rsidRPr="00154115">
        <w:rPr>
          <w:i/>
          <w:iCs/>
        </w:rPr>
        <w:t>Journal: Religious Studies</w:t>
      </w:r>
      <w:r w:rsidRPr="00154115">
        <w:t>, Vol.36 Issue (2000), pp.177- 194, (p.177).</w:t>
      </w:r>
    </w:p>
  </w:footnote>
  <w:footnote w:id="14">
    <w:p w14:paraId="4530FF6B" w14:textId="639DB280" w:rsidR="006934FC" w:rsidRPr="00154115" w:rsidRDefault="006934FC" w:rsidP="006934FC">
      <w:pPr>
        <w:pStyle w:val="FootnoteText"/>
      </w:pPr>
      <w:r w:rsidRPr="00154115">
        <w:rPr>
          <w:rStyle w:val="FootnoteReference"/>
        </w:rPr>
        <w:footnoteRef/>
      </w:r>
      <w:r w:rsidRPr="00154115">
        <w:t xml:space="preserve"> </w:t>
      </w:r>
      <w:bookmarkStart w:id="24" w:name="_Hlk117360664"/>
      <w:r w:rsidRPr="00154115">
        <w:t xml:space="preserve">Douglas Allen, ‘Eliade and History,’ </w:t>
      </w:r>
      <w:r w:rsidRPr="00154115">
        <w:rPr>
          <w:i/>
          <w:iCs/>
        </w:rPr>
        <w:t xml:space="preserve">The Journal of Religion, </w:t>
      </w:r>
      <w:r w:rsidRPr="00154115">
        <w:t>Vol.68 No.4 (1988) p.545-546 (p. 545)</w:t>
      </w:r>
      <w:bookmarkEnd w:id="24"/>
      <w:r w:rsidR="006D1BB8">
        <w:t>.</w:t>
      </w:r>
      <w:r w:rsidRPr="00154115">
        <w:t xml:space="preserve"> </w:t>
      </w:r>
    </w:p>
  </w:footnote>
  <w:footnote w:id="15">
    <w:p w14:paraId="03C389AF" w14:textId="77777777" w:rsidR="006934FC" w:rsidRPr="00154115" w:rsidRDefault="006934FC" w:rsidP="006934FC">
      <w:pPr>
        <w:pStyle w:val="FootnoteText"/>
      </w:pPr>
      <w:r w:rsidRPr="00154115">
        <w:rPr>
          <w:rStyle w:val="FootnoteReference"/>
        </w:rPr>
        <w:footnoteRef/>
      </w:r>
      <w:r w:rsidRPr="00154115">
        <w:t xml:space="preserve"> </w:t>
      </w:r>
      <w:bookmarkStart w:id="25" w:name="_Hlk118651278"/>
      <w:r w:rsidRPr="00154115">
        <w:t>Allen, ‘Eliade and History’, p. 548</w:t>
      </w:r>
      <w:bookmarkEnd w:id="25"/>
      <w:r w:rsidRPr="00154115">
        <w:t>.</w:t>
      </w:r>
    </w:p>
  </w:footnote>
  <w:footnote w:id="16">
    <w:p w14:paraId="7F85C1EE" w14:textId="33D5C61F" w:rsidR="006934FC" w:rsidRDefault="006934FC" w:rsidP="006934FC">
      <w:pPr>
        <w:pStyle w:val="FootnoteText"/>
        <w:ind w:left="720" w:hanging="720"/>
      </w:pPr>
      <w:r>
        <w:rPr>
          <w:rStyle w:val="FootnoteReference"/>
        </w:rPr>
        <w:footnoteRef/>
      </w:r>
      <w:r>
        <w:t xml:space="preserve"> </w:t>
      </w:r>
      <w:bookmarkStart w:id="26" w:name="_Hlk118196448"/>
      <w:bookmarkStart w:id="27" w:name="_Hlk118655886"/>
      <w:r>
        <w:t>Fields, ‘Introduction’</w:t>
      </w:r>
      <w:bookmarkEnd w:id="26"/>
      <w:r>
        <w:t>, p. xlv-xlvi</w:t>
      </w:r>
      <w:r w:rsidR="006D1BB8">
        <w:t>.</w:t>
      </w:r>
      <w:r>
        <w:t xml:space="preserve"> </w:t>
      </w:r>
      <w:bookmarkEnd w:id="27"/>
    </w:p>
  </w:footnote>
  <w:footnote w:id="17">
    <w:p w14:paraId="496DD2FA" w14:textId="77777777" w:rsidR="006934FC" w:rsidRDefault="006934FC" w:rsidP="006934FC">
      <w:pPr>
        <w:pStyle w:val="FootnoteText"/>
      </w:pPr>
      <w:r>
        <w:rPr>
          <w:rStyle w:val="FootnoteReference"/>
        </w:rPr>
        <w:footnoteRef/>
      </w:r>
      <w:r>
        <w:t xml:space="preserve"> Durkheim, </w:t>
      </w:r>
      <w:r w:rsidRPr="002D3A33">
        <w:rPr>
          <w:i/>
          <w:iCs/>
        </w:rPr>
        <w:t>The Elemental Forms</w:t>
      </w:r>
      <w:r>
        <w:rPr>
          <w:i/>
          <w:iCs/>
        </w:rPr>
        <w:t>,</w:t>
      </w:r>
      <w:r>
        <w:t xml:space="preserve"> Fields, p.10.</w:t>
      </w:r>
    </w:p>
  </w:footnote>
  <w:footnote w:id="18">
    <w:p w14:paraId="436CE6FC" w14:textId="5890AF3B" w:rsidR="00E52B38" w:rsidRDefault="00E52B38">
      <w:pPr>
        <w:pStyle w:val="FootnoteText"/>
      </w:pPr>
      <w:r>
        <w:rPr>
          <w:rStyle w:val="FootnoteReference"/>
        </w:rPr>
        <w:footnoteRef/>
      </w:r>
      <w:r>
        <w:t xml:space="preserve"> Field’s, ‘Introduction’ p.xlv</w:t>
      </w:r>
    </w:p>
  </w:footnote>
  <w:footnote w:id="19">
    <w:p w14:paraId="1543A30E" w14:textId="77777777" w:rsidR="006934FC" w:rsidRDefault="006934FC" w:rsidP="006934FC">
      <w:pPr>
        <w:pStyle w:val="FootnoteText"/>
      </w:pPr>
      <w:r>
        <w:rPr>
          <w:rStyle w:val="FootnoteReference"/>
        </w:rPr>
        <w:footnoteRef/>
      </w:r>
      <w:r>
        <w:t xml:space="preserve"> Fields, ‘Introduction’, p. xlvii.</w:t>
      </w:r>
    </w:p>
  </w:footnote>
  <w:footnote w:id="20">
    <w:p w14:paraId="5ED30895" w14:textId="77777777" w:rsidR="006934FC" w:rsidRDefault="006934FC" w:rsidP="006934FC">
      <w:pPr>
        <w:pStyle w:val="FootnoteText"/>
      </w:pPr>
      <w:r>
        <w:rPr>
          <w:rStyle w:val="FootnoteReference"/>
        </w:rPr>
        <w:footnoteRef/>
      </w:r>
      <w:r>
        <w:t xml:space="preserve"> </w:t>
      </w:r>
      <w:bookmarkStart w:id="28" w:name="_Hlk117962265"/>
      <w:bookmarkStart w:id="29" w:name="_Hlk118055041"/>
      <w:bookmarkStart w:id="30" w:name="_Hlk118573643"/>
      <w:r>
        <w:t xml:space="preserve">Durkheim, </w:t>
      </w:r>
      <w:r w:rsidRPr="002D3A33">
        <w:rPr>
          <w:i/>
          <w:iCs/>
        </w:rPr>
        <w:t>The Elemental Forms</w:t>
      </w:r>
      <w:r>
        <w:rPr>
          <w:i/>
          <w:iCs/>
        </w:rPr>
        <w:t>,</w:t>
      </w:r>
      <w:r>
        <w:t xml:space="preserve"> Fields,</w:t>
      </w:r>
      <w:bookmarkEnd w:id="28"/>
      <w:r>
        <w:t xml:space="preserve"> </w:t>
      </w:r>
      <w:bookmarkEnd w:id="29"/>
      <w:r>
        <w:t>p.38.</w:t>
      </w:r>
      <w:bookmarkEnd w:id="30"/>
    </w:p>
  </w:footnote>
  <w:footnote w:id="21">
    <w:p w14:paraId="60FD1451" w14:textId="77777777" w:rsidR="006934FC" w:rsidRDefault="006934FC" w:rsidP="006934FC">
      <w:pPr>
        <w:pStyle w:val="FootnoteText"/>
      </w:pPr>
      <w:r>
        <w:rPr>
          <w:rStyle w:val="FootnoteReference"/>
        </w:rPr>
        <w:footnoteRef/>
      </w:r>
      <w:r>
        <w:t xml:space="preserve"> </w:t>
      </w:r>
      <w:bookmarkStart w:id="31" w:name="_Hlk118051755"/>
      <w:r>
        <w:t xml:space="preserve">Durkheim, </w:t>
      </w:r>
      <w:r w:rsidRPr="002D3A33">
        <w:rPr>
          <w:i/>
          <w:iCs/>
        </w:rPr>
        <w:t>The Elemental Forms</w:t>
      </w:r>
      <w:r>
        <w:rPr>
          <w:i/>
          <w:iCs/>
        </w:rPr>
        <w:t xml:space="preserve">, </w:t>
      </w:r>
      <w:r>
        <w:t>Fields</w:t>
      </w:r>
      <w:bookmarkEnd w:id="31"/>
      <w:r>
        <w:t>, pp. 174, 181.</w:t>
      </w:r>
    </w:p>
  </w:footnote>
  <w:footnote w:id="22">
    <w:p w14:paraId="6A39A22F" w14:textId="1A1EA498" w:rsidR="00E52B38" w:rsidRDefault="00E52B38">
      <w:pPr>
        <w:pStyle w:val="FootnoteText"/>
      </w:pPr>
      <w:r>
        <w:rPr>
          <w:rStyle w:val="FootnoteReference"/>
        </w:rPr>
        <w:footnoteRef/>
      </w:r>
      <w:r>
        <w:t xml:space="preserve"> </w:t>
      </w:r>
      <w:r>
        <w:t xml:space="preserve">Durkheim, </w:t>
      </w:r>
      <w:r w:rsidRPr="002D3A33">
        <w:rPr>
          <w:i/>
          <w:iCs/>
        </w:rPr>
        <w:t>The Elemental Forms</w:t>
      </w:r>
      <w:r>
        <w:rPr>
          <w:i/>
          <w:iCs/>
        </w:rPr>
        <w:t>,</w:t>
      </w:r>
      <w:r>
        <w:t xml:space="preserve"> Fields, p.38.</w:t>
      </w:r>
    </w:p>
  </w:footnote>
  <w:footnote w:id="23">
    <w:p w14:paraId="6FEDF038" w14:textId="77777777" w:rsidR="001956D5" w:rsidRDefault="001956D5" w:rsidP="001956D5">
      <w:pPr>
        <w:pStyle w:val="FootnoteText"/>
      </w:pPr>
      <w:r>
        <w:rPr>
          <w:rStyle w:val="FootnoteReference"/>
        </w:rPr>
        <w:footnoteRef/>
      </w:r>
      <w:r>
        <w:t xml:space="preserve"> Williams, ‘Total Aesthetics’ p.16 </w:t>
      </w:r>
    </w:p>
  </w:footnote>
  <w:footnote w:id="24">
    <w:p w14:paraId="68015F9C" w14:textId="77777777" w:rsidR="006934FC" w:rsidRPr="004C7AEB" w:rsidRDefault="006934FC" w:rsidP="006934FC">
      <w:pPr>
        <w:pStyle w:val="FootnoteText"/>
        <w:ind w:left="720" w:hanging="720"/>
      </w:pPr>
      <w:r>
        <w:rPr>
          <w:rStyle w:val="FootnoteReference"/>
        </w:rPr>
        <w:footnoteRef/>
      </w:r>
      <w:bookmarkStart w:id="33" w:name="_Hlk118193809"/>
      <w:r>
        <w:t xml:space="preserve"> William Watts Miller, ‘Total Aesthetics: Art and The </w:t>
      </w:r>
      <w:r>
        <w:rPr>
          <w:i/>
          <w:iCs/>
        </w:rPr>
        <w:t>E</w:t>
      </w:r>
      <w:r w:rsidRPr="004C7AEB">
        <w:rPr>
          <w:i/>
          <w:iCs/>
        </w:rPr>
        <w:t>lemental Forms</w:t>
      </w:r>
      <w:r>
        <w:rPr>
          <w:i/>
          <w:iCs/>
        </w:rPr>
        <w:t xml:space="preserve">’, </w:t>
      </w:r>
      <w:r>
        <w:t xml:space="preserve">in </w:t>
      </w:r>
      <w:r w:rsidRPr="004C7AEB">
        <w:rPr>
          <w:i/>
          <w:iCs/>
        </w:rPr>
        <w:t>Durkheim, the Durkheimians and the Arts</w:t>
      </w:r>
      <w:r>
        <w:t>, eds, Alexander Tristan Riley, W.S.F Pickering and William Watts Miller, (New York: Durkheim Press 2013). pp. 16-42, (p.16)</w:t>
      </w:r>
      <w:bookmarkEnd w:id="33"/>
    </w:p>
  </w:footnote>
  <w:footnote w:id="25">
    <w:p w14:paraId="4415CB7F" w14:textId="54BDAE48" w:rsidR="008D0D18" w:rsidRDefault="008D0D18">
      <w:pPr>
        <w:pStyle w:val="FootnoteText"/>
      </w:pPr>
      <w:r>
        <w:rPr>
          <w:rStyle w:val="FootnoteReference"/>
        </w:rPr>
        <w:footnoteRef/>
      </w:r>
      <w:r>
        <w:t xml:space="preserve"> </w:t>
      </w:r>
      <w:r>
        <w:t xml:space="preserve">Eliade, </w:t>
      </w:r>
      <w:r w:rsidRPr="007D4526">
        <w:rPr>
          <w:i/>
          <w:iCs/>
        </w:rPr>
        <w:t>The Sacred and the Profane</w:t>
      </w:r>
      <w:r>
        <w:rPr>
          <w:i/>
          <w:iCs/>
        </w:rPr>
        <w:t>,</w:t>
      </w:r>
      <w:r w:rsidRPr="007D4526">
        <w:t xml:space="preserve"> </w:t>
      </w:r>
      <w:r w:rsidRPr="00154115">
        <w:t>Trask</w:t>
      </w:r>
      <w:r>
        <w:t>. p..20</w:t>
      </w:r>
    </w:p>
  </w:footnote>
  <w:footnote w:id="26">
    <w:p w14:paraId="672184FB" w14:textId="75180A05" w:rsidR="006934FC" w:rsidRDefault="006934FC" w:rsidP="006934FC">
      <w:pPr>
        <w:pStyle w:val="FootnoteText"/>
      </w:pPr>
      <w:r>
        <w:rPr>
          <w:rStyle w:val="FootnoteReference"/>
        </w:rPr>
        <w:footnoteRef/>
      </w:r>
      <w:r>
        <w:t xml:space="preserve"> </w:t>
      </w:r>
      <w:bookmarkStart w:id="34" w:name="_Hlk118575165"/>
      <w:r>
        <w:t xml:space="preserve">Eliade, </w:t>
      </w:r>
      <w:r w:rsidRPr="007D4526">
        <w:rPr>
          <w:i/>
          <w:iCs/>
        </w:rPr>
        <w:t>The Sacred and the Profane</w:t>
      </w:r>
      <w:r>
        <w:rPr>
          <w:i/>
          <w:iCs/>
        </w:rPr>
        <w:t>,</w:t>
      </w:r>
      <w:r w:rsidRPr="00154115">
        <w:t xml:space="preserve"> Trask</w:t>
      </w:r>
      <w:bookmarkEnd w:id="34"/>
      <w:r>
        <w:t>,</w:t>
      </w:r>
      <w:r w:rsidRPr="007D4526">
        <w:t xml:space="preserve"> p.20</w:t>
      </w:r>
      <w:r>
        <w:t xml:space="preserve">. </w:t>
      </w:r>
    </w:p>
  </w:footnote>
  <w:footnote w:id="27">
    <w:p w14:paraId="12B30B5F" w14:textId="77777777" w:rsidR="00DF25AF" w:rsidRDefault="00DF25AF" w:rsidP="00DF25AF">
      <w:pPr>
        <w:pStyle w:val="FootnoteText"/>
      </w:pPr>
      <w:r>
        <w:rPr>
          <w:rStyle w:val="FootnoteReference"/>
        </w:rPr>
        <w:footnoteRef/>
      </w:r>
      <w:r>
        <w:t xml:space="preserve"> Studstill, ‘Eliade, Phenomenology’, p.180.</w:t>
      </w:r>
    </w:p>
  </w:footnote>
  <w:footnote w:id="28">
    <w:p w14:paraId="79C7ED69" w14:textId="77777777" w:rsidR="00DF25AF" w:rsidRDefault="00DF25AF" w:rsidP="00DF25AF">
      <w:pPr>
        <w:pStyle w:val="FootnoteText"/>
      </w:pPr>
      <w:r>
        <w:rPr>
          <w:rStyle w:val="FootnoteReference"/>
        </w:rPr>
        <w:footnoteRef/>
      </w:r>
      <w:r>
        <w:t xml:space="preserve"> </w:t>
      </w:r>
      <w:bookmarkStart w:id="35" w:name="_Hlk117612087"/>
      <w:r>
        <w:t xml:space="preserve">Studstill, ‘Eliade, Phenomenology’ </w:t>
      </w:r>
      <w:bookmarkEnd w:id="35"/>
      <w:r>
        <w:t>p.181.</w:t>
      </w:r>
    </w:p>
  </w:footnote>
  <w:footnote w:id="29">
    <w:p w14:paraId="5617A984" w14:textId="52BAB72C" w:rsidR="008D0D18" w:rsidRDefault="008D0D18">
      <w:pPr>
        <w:pStyle w:val="FootnoteText"/>
      </w:pPr>
      <w:r>
        <w:rPr>
          <w:rStyle w:val="FootnoteReference"/>
        </w:rPr>
        <w:footnoteRef/>
      </w:r>
      <w:r>
        <w:t xml:space="preserve"> </w:t>
      </w:r>
      <w:r>
        <w:t xml:space="preserve">Eliade, </w:t>
      </w:r>
      <w:r w:rsidRPr="007D4526">
        <w:rPr>
          <w:i/>
          <w:iCs/>
        </w:rPr>
        <w:t>The Sacred and the Profane</w:t>
      </w:r>
      <w:r>
        <w:rPr>
          <w:i/>
          <w:iCs/>
        </w:rPr>
        <w:t>,</w:t>
      </w:r>
      <w:r w:rsidRPr="00154115">
        <w:t xml:space="preserve"> Trask</w:t>
      </w:r>
      <w:r>
        <w:t>. p.21</w:t>
      </w:r>
    </w:p>
  </w:footnote>
  <w:footnote w:id="30">
    <w:p w14:paraId="0BF7840D" w14:textId="77777777" w:rsidR="006934FC" w:rsidRDefault="006934FC" w:rsidP="006934FC">
      <w:pPr>
        <w:pStyle w:val="FootnoteText"/>
        <w:ind w:left="720" w:hanging="720"/>
      </w:pPr>
      <w:r>
        <w:rPr>
          <w:rStyle w:val="FootnoteReference"/>
        </w:rPr>
        <w:footnoteRef/>
      </w:r>
      <w:bookmarkStart w:id="36" w:name="_Hlk117238771"/>
      <w:r>
        <w:t xml:space="preserve"> Eliade, </w:t>
      </w:r>
      <w:r w:rsidRPr="00E44FD7">
        <w:rPr>
          <w:i/>
          <w:iCs/>
        </w:rPr>
        <w:t>The Sacred and the Profane</w:t>
      </w:r>
      <w:r>
        <w:t xml:space="preserve">, Trask, </w:t>
      </w:r>
      <w:bookmarkEnd w:id="36"/>
      <w:r>
        <w:t>pp. 20-22.</w:t>
      </w:r>
    </w:p>
  </w:footnote>
  <w:footnote w:id="31">
    <w:p w14:paraId="3191ABA8" w14:textId="77777777" w:rsidR="006934FC" w:rsidRDefault="006934FC" w:rsidP="006934FC">
      <w:pPr>
        <w:pStyle w:val="FootnoteText"/>
      </w:pPr>
      <w:r>
        <w:rPr>
          <w:rStyle w:val="FootnoteReference"/>
        </w:rPr>
        <w:footnoteRef/>
      </w:r>
      <w:r>
        <w:t xml:space="preserve"> Eliade, </w:t>
      </w:r>
      <w:r w:rsidRPr="0081152A">
        <w:rPr>
          <w:i/>
          <w:iCs/>
        </w:rPr>
        <w:t>The Sacred and the Profane</w:t>
      </w:r>
      <w:r>
        <w:t>, p.29.</w:t>
      </w:r>
    </w:p>
  </w:footnote>
  <w:footnote w:id="32">
    <w:p w14:paraId="2C832871" w14:textId="355C92FF" w:rsidR="008D0D18" w:rsidRDefault="008D0D18">
      <w:pPr>
        <w:pStyle w:val="FootnoteText"/>
      </w:pPr>
      <w:r>
        <w:rPr>
          <w:rStyle w:val="FootnoteReference"/>
        </w:rPr>
        <w:footnoteRef/>
      </w:r>
      <w:r>
        <w:t xml:space="preserve"> Oxford Dictionary, </w:t>
      </w:r>
      <w:hyperlink r:id="rId2" w:history="1">
        <w:r w:rsidRPr="008D0B4D">
          <w:rPr>
            <w:rStyle w:val="Hyperlink"/>
            <w:i/>
            <w:iCs/>
          </w:rPr>
          <w:t>https://www.oxfordlearnersdictionaries.com</w:t>
        </w:r>
      </w:hyperlink>
      <w:r>
        <w:t>. {accessed 5 November 2022}.</w:t>
      </w:r>
    </w:p>
  </w:footnote>
  <w:footnote w:id="33">
    <w:p w14:paraId="5D81BC4F" w14:textId="77777777" w:rsidR="006934FC" w:rsidRDefault="006934FC" w:rsidP="006934FC">
      <w:pPr>
        <w:pStyle w:val="FootnoteText"/>
      </w:pPr>
      <w:r>
        <w:rPr>
          <w:rStyle w:val="FootnoteReference"/>
        </w:rPr>
        <w:footnoteRef/>
      </w:r>
      <w:r>
        <w:t xml:space="preserve"> Eliade, </w:t>
      </w:r>
      <w:r w:rsidRPr="00770D11">
        <w:rPr>
          <w:i/>
          <w:iCs/>
        </w:rPr>
        <w:t>The Sacred and the Profane</w:t>
      </w:r>
      <w:r w:rsidRPr="0081152A">
        <w:t xml:space="preserve">, </w:t>
      </w:r>
      <w:r>
        <w:t>Trask, p.26</w:t>
      </w:r>
    </w:p>
  </w:footnote>
  <w:footnote w:id="34">
    <w:p w14:paraId="55220F6B" w14:textId="77777777" w:rsidR="006934FC" w:rsidRDefault="006934FC" w:rsidP="006934FC">
      <w:pPr>
        <w:pStyle w:val="FootnoteText"/>
      </w:pPr>
      <w:r>
        <w:rPr>
          <w:rStyle w:val="FootnoteReference"/>
        </w:rPr>
        <w:footnoteRef/>
      </w:r>
      <w:r>
        <w:t xml:space="preserve"> </w:t>
      </w:r>
      <w:bookmarkStart w:id="37" w:name="_Hlk117518581"/>
      <w:bookmarkStart w:id="38" w:name="_Hlk118128799"/>
      <w:r>
        <w:t xml:space="preserve">Eliade, </w:t>
      </w:r>
      <w:r w:rsidRPr="00770D11">
        <w:rPr>
          <w:i/>
          <w:iCs/>
        </w:rPr>
        <w:t>The Sacred and the Profane</w:t>
      </w:r>
      <w:r w:rsidRPr="0081152A">
        <w:t xml:space="preserve">, </w:t>
      </w:r>
      <w:r>
        <w:t>Trask</w:t>
      </w:r>
      <w:bookmarkEnd w:id="38"/>
      <w:r>
        <w:t xml:space="preserve">, </w:t>
      </w:r>
      <w:r w:rsidRPr="0081152A">
        <w:t>p</w:t>
      </w:r>
      <w:r>
        <w:rPr>
          <w:i/>
          <w:iCs/>
        </w:rPr>
        <w:t>.</w:t>
      </w:r>
      <w:r>
        <w:t>23</w:t>
      </w:r>
      <w:bookmarkEnd w:id="37"/>
      <w:r>
        <w:t>.</w:t>
      </w:r>
    </w:p>
  </w:footnote>
  <w:footnote w:id="35">
    <w:p w14:paraId="16B66B38" w14:textId="77777777" w:rsidR="006934FC" w:rsidRDefault="006934FC" w:rsidP="006934FC">
      <w:pPr>
        <w:pStyle w:val="FootnoteText"/>
      </w:pPr>
      <w:r>
        <w:rPr>
          <w:rStyle w:val="FootnoteReference"/>
        </w:rPr>
        <w:footnoteRef/>
      </w:r>
      <w:r>
        <w:t xml:space="preserve"> </w:t>
      </w:r>
      <w:bookmarkStart w:id="39" w:name="_Hlk117966031"/>
      <w:bookmarkStart w:id="40" w:name="_Hlk118131256"/>
      <w:r>
        <w:t xml:space="preserve">Eliade, </w:t>
      </w:r>
      <w:r w:rsidRPr="00770D11">
        <w:rPr>
          <w:i/>
          <w:iCs/>
        </w:rPr>
        <w:t>The Sacred and the Profane</w:t>
      </w:r>
      <w:r w:rsidRPr="0081152A">
        <w:t>,</w:t>
      </w:r>
      <w:r>
        <w:t xml:space="preserve"> Trask</w:t>
      </w:r>
      <w:bookmarkEnd w:id="40"/>
      <w:r>
        <w:t>,</w:t>
      </w:r>
      <w:r w:rsidRPr="0081152A">
        <w:t xml:space="preserve"> p</w:t>
      </w:r>
      <w:r>
        <w:rPr>
          <w:i/>
          <w:iCs/>
        </w:rPr>
        <w:t>.</w:t>
      </w:r>
      <w:r>
        <w:t>64.</w:t>
      </w:r>
      <w:bookmarkEnd w:id="39"/>
    </w:p>
  </w:footnote>
  <w:footnote w:id="36">
    <w:p w14:paraId="6F3BF3AC" w14:textId="77777777" w:rsidR="006934FC" w:rsidRDefault="006934FC" w:rsidP="006934FC">
      <w:pPr>
        <w:pStyle w:val="FootnoteText"/>
      </w:pPr>
      <w:r>
        <w:rPr>
          <w:rStyle w:val="FootnoteReference"/>
        </w:rPr>
        <w:footnoteRef/>
      </w:r>
      <w:r>
        <w:t xml:space="preserve"> Eliade, </w:t>
      </w:r>
      <w:r w:rsidRPr="00770D11">
        <w:rPr>
          <w:i/>
          <w:iCs/>
        </w:rPr>
        <w:t>The Sacred and the Profane</w:t>
      </w:r>
      <w:r w:rsidRPr="0081152A">
        <w:t>,</w:t>
      </w:r>
      <w:r>
        <w:t xml:space="preserve"> Trask, p.64.</w:t>
      </w:r>
    </w:p>
  </w:footnote>
  <w:footnote w:id="37">
    <w:p w14:paraId="40266C43" w14:textId="164C4946" w:rsidR="00737BEB" w:rsidRPr="00946918" w:rsidRDefault="00737BEB" w:rsidP="00737BEB">
      <w:pPr>
        <w:pStyle w:val="FootnoteText"/>
        <w:ind w:left="720" w:hanging="720"/>
      </w:pPr>
      <w:r>
        <w:rPr>
          <w:rStyle w:val="FootnoteReference"/>
        </w:rPr>
        <w:footnoteRef/>
      </w:r>
      <w:r>
        <w:t xml:space="preserve"> Bryan Rennie, ‘The Influence of Eastern Orthodox Christian Theology on Mircea Eliade’s Understanding of Religion’ in </w:t>
      </w:r>
      <w:r w:rsidRPr="00946918">
        <w:rPr>
          <w:i/>
          <w:iCs/>
        </w:rPr>
        <w:t>Hermeneutics, Politics and the History of Religions: The Contested Legacies of Joachim Wach and Mircea Eliade</w:t>
      </w:r>
      <w:r>
        <w:rPr>
          <w:i/>
          <w:iCs/>
        </w:rPr>
        <w:t>,</w:t>
      </w:r>
      <w:r>
        <w:t xml:space="preserve"> eds.</w:t>
      </w:r>
      <w:r>
        <w:rPr>
          <w:i/>
          <w:iCs/>
        </w:rPr>
        <w:t xml:space="preserve">  </w:t>
      </w:r>
      <w:r>
        <w:t>Christian Wedemeyer and Wendy Doniger, (New York: Oxford University, 2010). pp, 197-214 (p. 198)</w:t>
      </w:r>
      <w:r>
        <w:t>.</w:t>
      </w:r>
    </w:p>
  </w:footnote>
  <w:footnote w:id="38">
    <w:p w14:paraId="1D14134B" w14:textId="07A3C199" w:rsidR="00737BEB" w:rsidRDefault="00737BEB" w:rsidP="00737BEB">
      <w:pPr>
        <w:pStyle w:val="FootnoteText"/>
      </w:pPr>
      <w:r>
        <w:rPr>
          <w:rStyle w:val="FootnoteReference"/>
        </w:rPr>
        <w:footnoteRef/>
      </w:r>
      <w:r>
        <w:t xml:space="preserve"> </w:t>
      </w:r>
      <w:bookmarkStart w:id="41" w:name="_Hlk118196616"/>
      <w:bookmarkStart w:id="42" w:name="_Hlk118625923"/>
      <w:r>
        <w:t>Rennie, ‘The Influence of Eastern Orthodox’</w:t>
      </w:r>
      <w:bookmarkEnd w:id="42"/>
      <w:r>
        <w:t>,</w:t>
      </w:r>
      <w:r>
        <w:t xml:space="preserve"> p 211.</w:t>
      </w:r>
      <w:bookmarkEnd w:id="41"/>
    </w:p>
  </w:footnote>
  <w:footnote w:id="39">
    <w:p w14:paraId="69FFED64" w14:textId="25CB54F4" w:rsidR="006934FC" w:rsidRDefault="006934FC" w:rsidP="006934FC">
      <w:pPr>
        <w:pStyle w:val="FootnoteText"/>
      </w:pPr>
      <w:r>
        <w:rPr>
          <w:rStyle w:val="FootnoteReference"/>
        </w:rPr>
        <w:footnoteRef/>
      </w:r>
      <w:r>
        <w:t xml:space="preserve"> McDowell,</w:t>
      </w:r>
      <w:r w:rsidRPr="00154115">
        <w:t xml:space="preserve"> ‘Professor Mircea Eliade</w:t>
      </w:r>
      <w:r w:rsidR="009C6387">
        <w:t>,</w:t>
      </w:r>
      <w:r w:rsidR="006D1BB8">
        <w:t xml:space="preserve"> </w:t>
      </w:r>
      <w:r w:rsidR="009C6387">
        <w:t>’</w:t>
      </w:r>
      <w:r w:rsidRPr="00154115">
        <w:t>79</w:t>
      </w:r>
      <w:r>
        <w:t xml:space="preserve">,’ p.6. </w:t>
      </w:r>
    </w:p>
  </w:footnote>
  <w:footnote w:id="40">
    <w:p w14:paraId="6E805A4E" w14:textId="14509125" w:rsidR="00D0528E" w:rsidRPr="00D0528E" w:rsidRDefault="00D0528E" w:rsidP="00D0528E">
      <w:pPr>
        <w:pStyle w:val="FootnoteText"/>
        <w:ind w:left="720" w:hanging="720"/>
      </w:pPr>
      <w:r>
        <w:rPr>
          <w:rStyle w:val="FootnoteReference"/>
        </w:rPr>
        <w:footnoteRef/>
      </w:r>
      <w:r>
        <w:t xml:space="preserve"> </w:t>
      </w:r>
      <w:r w:rsidR="006D1BB8">
        <w:t xml:space="preserve">McDowell, </w:t>
      </w:r>
      <w:r w:rsidRPr="00247910">
        <w:t xml:space="preserve">‘Professor Mircea Eliade, </w:t>
      </w:r>
      <w:r w:rsidR="006D1BB8">
        <w:t>’</w:t>
      </w:r>
      <w:r w:rsidRPr="00247910">
        <w:t>79</w:t>
      </w:r>
      <w:r w:rsidR="006D1BB8">
        <w:t>,’</w:t>
      </w:r>
      <w:r w:rsidRPr="00247910">
        <w:t>p.6.</w:t>
      </w:r>
      <w:r w:rsidR="006D1BB8">
        <w:t xml:space="preserve">, </w:t>
      </w:r>
      <w:r w:rsidR="00737BEB">
        <w:t>C</w:t>
      </w:r>
      <w:r w:rsidR="00737BEB">
        <w:t>ladis, ‘Introduction’, p. xii.</w:t>
      </w:r>
      <w:r w:rsidR="00737BEB">
        <w:rPr>
          <w:rStyle w:val="Hyperlink"/>
          <w:u w:val="none"/>
        </w:rPr>
        <w:t xml:space="preserve"> </w:t>
      </w:r>
    </w:p>
  </w:footnote>
  <w:footnote w:id="41">
    <w:p w14:paraId="24749BB4" w14:textId="5AF266BC" w:rsidR="00737BEB" w:rsidRDefault="00737BEB">
      <w:pPr>
        <w:pStyle w:val="FootnoteText"/>
      </w:pPr>
      <w:r>
        <w:rPr>
          <w:rStyle w:val="FootnoteReference"/>
        </w:rPr>
        <w:footnoteRef/>
      </w:r>
      <w:r>
        <w:t xml:space="preserve"> Cladis, ‘Introduction’, p. ix-xxi</w:t>
      </w:r>
      <w:r w:rsidR="006D1BB8">
        <w:t>i,</w:t>
      </w:r>
      <w:r w:rsidRPr="00737BEB">
        <w:t xml:space="preserve"> </w:t>
      </w:r>
      <w:r>
        <w:t>Rennie, ‘The Influence of Eastern Orthodox’</w:t>
      </w:r>
      <w:r>
        <w:t xml:space="preserve">, p.198. </w:t>
      </w:r>
    </w:p>
  </w:footnote>
  <w:footnote w:id="42">
    <w:p w14:paraId="6D73F8A5" w14:textId="7BFD0C61" w:rsidR="006934FC" w:rsidRDefault="006934FC" w:rsidP="006934FC">
      <w:pPr>
        <w:pStyle w:val="FootnoteText"/>
      </w:pPr>
      <w:r>
        <w:rPr>
          <w:rStyle w:val="FootnoteReference"/>
        </w:rPr>
        <w:footnoteRef/>
      </w:r>
      <w:r>
        <w:t xml:space="preserve"> Eliade, </w:t>
      </w:r>
      <w:r w:rsidRPr="00770D11">
        <w:rPr>
          <w:i/>
          <w:iCs/>
        </w:rPr>
        <w:t>The Sacred and the Profane</w:t>
      </w:r>
      <w:r w:rsidRPr="0081152A">
        <w:t>,</w:t>
      </w:r>
      <w:r>
        <w:t xml:space="preserve"> Trask,</w:t>
      </w:r>
      <w:r w:rsidRPr="0081152A">
        <w:t xml:space="preserve"> p</w:t>
      </w:r>
      <w:r>
        <w:rPr>
          <w:i/>
          <w:iCs/>
        </w:rPr>
        <w:t>.</w:t>
      </w:r>
      <w:r>
        <w:t>23.</w:t>
      </w:r>
      <w:r w:rsidR="006E2A38">
        <w:t>,</w:t>
      </w:r>
      <w:r w:rsidR="006E2A38" w:rsidRPr="006E2A38">
        <w:t xml:space="preserve"> </w:t>
      </w:r>
      <w:r w:rsidR="006E2A38">
        <w:t>Fields, ‘Introduction’, p</w:t>
      </w:r>
      <w:r w:rsidR="006E2A38">
        <w:t>. xlvi</w:t>
      </w:r>
      <w:r w:rsidR="006D1BB8">
        <w:t>.</w:t>
      </w:r>
    </w:p>
  </w:footnote>
  <w:footnote w:id="43">
    <w:p w14:paraId="37C15AA0" w14:textId="6DE6E13E" w:rsidR="00F17F01" w:rsidRDefault="00F17F01">
      <w:pPr>
        <w:pStyle w:val="FootnoteText"/>
      </w:pPr>
      <w:r>
        <w:rPr>
          <w:rStyle w:val="FootnoteReference"/>
        </w:rPr>
        <w:footnoteRef/>
      </w:r>
      <w:r>
        <w:t xml:space="preserve"> </w:t>
      </w:r>
      <w:r w:rsidRPr="00154115">
        <w:t>Allen, ‘Eliade and History’, p. 548</w:t>
      </w:r>
      <w:r>
        <w:t>,</w:t>
      </w:r>
      <w:r w:rsidRPr="00F17F01">
        <w:t xml:space="preserve"> </w:t>
      </w:r>
      <w:r>
        <w:t xml:space="preserve">Durkheim, </w:t>
      </w:r>
      <w:r w:rsidRPr="002D3A33">
        <w:rPr>
          <w:i/>
          <w:iCs/>
        </w:rPr>
        <w:t>The Elemental Forms</w:t>
      </w:r>
      <w:r>
        <w:rPr>
          <w:i/>
          <w:iCs/>
        </w:rPr>
        <w:t>,</w:t>
      </w:r>
      <w:r>
        <w:t xml:space="preserve"> Fields, p.174</w:t>
      </w:r>
      <w:r w:rsidR="006D1BB8">
        <w:t>.</w:t>
      </w:r>
    </w:p>
  </w:footnote>
  <w:footnote w:id="44">
    <w:p w14:paraId="3573DBDD" w14:textId="77777777" w:rsidR="006934FC" w:rsidRDefault="006934FC" w:rsidP="006934FC">
      <w:pPr>
        <w:pStyle w:val="FootnoteText"/>
      </w:pPr>
      <w:r>
        <w:rPr>
          <w:rStyle w:val="FootnoteReference"/>
        </w:rPr>
        <w:footnoteRef/>
      </w:r>
      <w:r>
        <w:t xml:space="preserve"> Eliade, </w:t>
      </w:r>
      <w:r w:rsidRPr="00770D11">
        <w:rPr>
          <w:i/>
          <w:iCs/>
        </w:rPr>
        <w:t>The Sacred and the Profane</w:t>
      </w:r>
      <w:r w:rsidRPr="0081152A">
        <w:t>,</w:t>
      </w:r>
      <w:r>
        <w:t xml:space="preserve"> Trask,</w:t>
      </w:r>
      <w:r w:rsidRPr="0081152A">
        <w:t xml:space="preserve"> p</w:t>
      </w:r>
      <w:r>
        <w:rPr>
          <w:i/>
          <w:iCs/>
        </w:rPr>
        <w:t>.</w:t>
      </w:r>
      <w:r>
        <w:t>23.</w:t>
      </w:r>
    </w:p>
  </w:footnote>
  <w:footnote w:id="45">
    <w:p w14:paraId="38C67AFD" w14:textId="77777777" w:rsidR="006934FC" w:rsidRDefault="006934FC" w:rsidP="006934FC">
      <w:pPr>
        <w:pStyle w:val="FootnoteText"/>
      </w:pPr>
      <w:r>
        <w:rPr>
          <w:rStyle w:val="FootnoteReference"/>
        </w:rPr>
        <w:footnoteRef/>
      </w:r>
      <w:r>
        <w:t xml:space="preserve"> Fields,’ Introduction’, pp. xvii-xviii.</w:t>
      </w:r>
    </w:p>
  </w:footnote>
  <w:footnote w:id="46">
    <w:p w14:paraId="3168FD40" w14:textId="77777777" w:rsidR="006934FC" w:rsidRDefault="006934FC" w:rsidP="006934FC">
      <w:pPr>
        <w:pStyle w:val="FootnoteText"/>
      </w:pPr>
      <w:r>
        <w:rPr>
          <w:rStyle w:val="FootnoteReference"/>
        </w:rPr>
        <w:footnoteRef/>
      </w:r>
      <w:r>
        <w:t xml:space="preserve"> </w:t>
      </w:r>
      <w:bookmarkStart w:id="43" w:name="_Hlk118055511"/>
      <w:r>
        <w:t xml:space="preserve">Durkheim, </w:t>
      </w:r>
      <w:r w:rsidRPr="002D3A33">
        <w:rPr>
          <w:i/>
          <w:iCs/>
        </w:rPr>
        <w:t>The Elemental Forms</w:t>
      </w:r>
      <w:r>
        <w:rPr>
          <w:i/>
          <w:iCs/>
        </w:rPr>
        <w:t>,</w:t>
      </w:r>
      <w:r>
        <w:t xml:space="preserve"> Fields, </w:t>
      </w:r>
      <w:bookmarkEnd w:id="43"/>
      <w:r>
        <w:t>p.208.</w:t>
      </w:r>
    </w:p>
  </w:footnote>
  <w:footnote w:id="47">
    <w:p w14:paraId="5F2A26A5" w14:textId="205C23A6" w:rsidR="00F17F01" w:rsidRDefault="00F17F01">
      <w:pPr>
        <w:pStyle w:val="FootnoteText"/>
      </w:pPr>
      <w:r>
        <w:rPr>
          <w:rStyle w:val="FootnoteReference"/>
        </w:rPr>
        <w:footnoteRef/>
      </w:r>
      <w:r>
        <w:t xml:space="preserve"> </w:t>
      </w:r>
      <w:r w:rsidRPr="00154115">
        <w:t>Allen, ‘Eliade and History’, p. 548</w:t>
      </w:r>
      <w:r w:rsidR="006D1BB8">
        <w:t>.</w:t>
      </w:r>
    </w:p>
  </w:footnote>
  <w:footnote w:id="48">
    <w:p w14:paraId="1CFE360C" w14:textId="77777777" w:rsidR="006934FC" w:rsidRDefault="006934FC" w:rsidP="006934FC">
      <w:pPr>
        <w:pStyle w:val="FootnoteText"/>
      </w:pPr>
      <w:r>
        <w:rPr>
          <w:rStyle w:val="FootnoteReference"/>
        </w:rPr>
        <w:footnoteRef/>
      </w:r>
      <w:r>
        <w:t xml:space="preserve"> Cladis, ‘Introduction’, p. xii, Fields, ‘Introduction’ p. xxii, Rennie, ‘The Influence of Eastern Orthodox’ p. 211.</w:t>
      </w:r>
    </w:p>
  </w:footnote>
  <w:footnote w:id="49">
    <w:p w14:paraId="5F6C36C9" w14:textId="77777777" w:rsidR="006934FC" w:rsidRDefault="006934FC" w:rsidP="006934FC">
      <w:pPr>
        <w:pStyle w:val="FootnoteText"/>
      </w:pPr>
      <w:r>
        <w:rPr>
          <w:rStyle w:val="FootnoteReference"/>
        </w:rPr>
        <w:footnoteRef/>
      </w:r>
      <w:r>
        <w:t xml:space="preserve"> Durkheim, </w:t>
      </w:r>
      <w:r w:rsidRPr="00C228DF">
        <w:rPr>
          <w:i/>
          <w:iCs/>
        </w:rPr>
        <w:t>The Elemental Forms</w:t>
      </w:r>
      <w:r>
        <w:t xml:space="preserve">, Fields p. xlvi. Eliade, </w:t>
      </w:r>
      <w:r w:rsidRPr="00C228DF">
        <w:rPr>
          <w:i/>
          <w:iCs/>
        </w:rPr>
        <w:t>Sacred and Profane</w:t>
      </w:r>
      <w:r>
        <w:t>, p.14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676623"/>
      <w:docPartObj>
        <w:docPartGallery w:val="Page Numbers (Top of Page)"/>
        <w:docPartUnique/>
      </w:docPartObj>
    </w:sdtPr>
    <w:sdtEndPr>
      <w:rPr>
        <w:noProof/>
      </w:rPr>
    </w:sdtEndPr>
    <w:sdtContent>
      <w:p w14:paraId="7600B57C" w14:textId="77777777" w:rsidR="007D4526" w:rsidRDefault="00FC6A0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3F544E" w14:textId="77777777" w:rsidR="007D4526" w:rsidRDefault="00FC6A0B">
    <w:pPr>
      <w:pStyle w:val="Header"/>
    </w:pPr>
    <w:r>
      <w:t>Francine Goteiner</w:t>
    </w:r>
  </w:p>
  <w:p w14:paraId="5C91EA5C" w14:textId="77777777" w:rsidR="007D4526" w:rsidRDefault="00FC6A0B">
    <w:pPr>
      <w:pStyle w:val="Header"/>
    </w:pPr>
    <w:r>
      <w:t>2022484</w:t>
    </w:r>
  </w:p>
  <w:p w14:paraId="64D8A3D6" w14:textId="77777777" w:rsidR="007D4526" w:rsidRDefault="00FC6A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wMDUyMzExMTA2MTRX0lEKTi0uzszPAykwrAUALINkaywAAAA="/>
  </w:docVars>
  <w:rsids>
    <w:rsidRoot w:val="006934FC"/>
    <w:rsid w:val="0001336C"/>
    <w:rsid w:val="0001436C"/>
    <w:rsid w:val="000226B8"/>
    <w:rsid w:val="000C1B98"/>
    <w:rsid w:val="000F2B99"/>
    <w:rsid w:val="001956D5"/>
    <w:rsid w:val="001B6BAA"/>
    <w:rsid w:val="0028180E"/>
    <w:rsid w:val="002848CD"/>
    <w:rsid w:val="00297EC5"/>
    <w:rsid w:val="002B5ADB"/>
    <w:rsid w:val="002D6577"/>
    <w:rsid w:val="0032176D"/>
    <w:rsid w:val="003E77D4"/>
    <w:rsid w:val="00415E9A"/>
    <w:rsid w:val="00422DC8"/>
    <w:rsid w:val="004325E0"/>
    <w:rsid w:val="004423FC"/>
    <w:rsid w:val="004C07E4"/>
    <w:rsid w:val="004D200E"/>
    <w:rsid w:val="004E5334"/>
    <w:rsid w:val="0058696C"/>
    <w:rsid w:val="00594DD7"/>
    <w:rsid w:val="005F06B7"/>
    <w:rsid w:val="005F3805"/>
    <w:rsid w:val="006473F5"/>
    <w:rsid w:val="006877B7"/>
    <w:rsid w:val="006934FC"/>
    <w:rsid w:val="006A0B4A"/>
    <w:rsid w:val="006D1BB8"/>
    <w:rsid w:val="006D7937"/>
    <w:rsid w:val="006E2A38"/>
    <w:rsid w:val="00737BEB"/>
    <w:rsid w:val="007901A1"/>
    <w:rsid w:val="007A7D1D"/>
    <w:rsid w:val="008236F6"/>
    <w:rsid w:val="00892305"/>
    <w:rsid w:val="008C1E39"/>
    <w:rsid w:val="008D0D18"/>
    <w:rsid w:val="00923D86"/>
    <w:rsid w:val="00966396"/>
    <w:rsid w:val="00986246"/>
    <w:rsid w:val="009C6387"/>
    <w:rsid w:val="009C6EC4"/>
    <w:rsid w:val="009F2B0C"/>
    <w:rsid w:val="00A05292"/>
    <w:rsid w:val="00A86CF4"/>
    <w:rsid w:val="00B2454D"/>
    <w:rsid w:val="00B96F77"/>
    <w:rsid w:val="00BA4ADE"/>
    <w:rsid w:val="00BC06C5"/>
    <w:rsid w:val="00BC209B"/>
    <w:rsid w:val="00BD5BCD"/>
    <w:rsid w:val="00BE698D"/>
    <w:rsid w:val="00C54AE1"/>
    <w:rsid w:val="00C55463"/>
    <w:rsid w:val="00CA4AC1"/>
    <w:rsid w:val="00CC10C8"/>
    <w:rsid w:val="00CD2AC3"/>
    <w:rsid w:val="00D01857"/>
    <w:rsid w:val="00D03DDF"/>
    <w:rsid w:val="00D0528E"/>
    <w:rsid w:val="00D13AA1"/>
    <w:rsid w:val="00D51FAE"/>
    <w:rsid w:val="00D565BD"/>
    <w:rsid w:val="00D670F0"/>
    <w:rsid w:val="00DD3765"/>
    <w:rsid w:val="00DF111E"/>
    <w:rsid w:val="00DF25AF"/>
    <w:rsid w:val="00DF5710"/>
    <w:rsid w:val="00E33E6F"/>
    <w:rsid w:val="00E52B38"/>
    <w:rsid w:val="00E77C08"/>
    <w:rsid w:val="00EA7143"/>
    <w:rsid w:val="00EC665E"/>
    <w:rsid w:val="00F17F01"/>
    <w:rsid w:val="00F5259C"/>
    <w:rsid w:val="00FC6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ECA3"/>
  <w15:docId w15:val="{70EC0155-F73B-46B5-904A-56C280A9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4FC"/>
  </w:style>
  <w:style w:type="paragraph" w:styleId="Footer">
    <w:name w:val="footer"/>
    <w:basedOn w:val="Normal"/>
    <w:link w:val="FooterChar"/>
    <w:uiPriority w:val="99"/>
    <w:unhideWhenUsed/>
    <w:rsid w:val="0069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4FC"/>
  </w:style>
  <w:style w:type="paragraph" w:styleId="FootnoteText">
    <w:name w:val="footnote text"/>
    <w:basedOn w:val="Normal"/>
    <w:link w:val="FootnoteTextChar"/>
    <w:uiPriority w:val="99"/>
    <w:unhideWhenUsed/>
    <w:rsid w:val="006934FC"/>
    <w:pPr>
      <w:spacing w:after="0" w:line="240" w:lineRule="auto"/>
    </w:pPr>
    <w:rPr>
      <w:sz w:val="20"/>
      <w:szCs w:val="20"/>
    </w:rPr>
  </w:style>
  <w:style w:type="character" w:customStyle="1" w:styleId="FootnoteTextChar">
    <w:name w:val="Footnote Text Char"/>
    <w:basedOn w:val="DefaultParagraphFont"/>
    <w:link w:val="FootnoteText"/>
    <w:uiPriority w:val="99"/>
    <w:rsid w:val="006934FC"/>
    <w:rPr>
      <w:sz w:val="20"/>
      <w:szCs w:val="20"/>
    </w:rPr>
  </w:style>
  <w:style w:type="character" w:styleId="FootnoteReference">
    <w:name w:val="footnote reference"/>
    <w:basedOn w:val="DefaultParagraphFont"/>
    <w:uiPriority w:val="99"/>
    <w:semiHidden/>
    <w:unhideWhenUsed/>
    <w:rsid w:val="006934FC"/>
    <w:rPr>
      <w:vertAlign w:val="superscript"/>
    </w:rPr>
  </w:style>
  <w:style w:type="character" w:styleId="Hyperlink">
    <w:name w:val="Hyperlink"/>
    <w:basedOn w:val="DefaultParagraphFont"/>
    <w:uiPriority w:val="99"/>
    <w:unhideWhenUsed/>
    <w:rsid w:val="006934FC"/>
    <w:rPr>
      <w:color w:val="0563C1" w:themeColor="hyperlink"/>
      <w:u w:val="single"/>
    </w:rPr>
  </w:style>
  <w:style w:type="character" w:styleId="UnresolvedMention">
    <w:name w:val="Unresolved Mention"/>
    <w:basedOn w:val="DefaultParagraphFont"/>
    <w:uiPriority w:val="99"/>
    <w:semiHidden/>
    <w:unhideWhenUsed/>
    <w:rsid w:val="006934FC"/>
    <w:rPr>
      <w:color w:val="605E5C"/>
      <w:shd w:val="clear" w:color="auto" w:fill="E1DFDD"/>
    </w:rPr>
  </w:style>
  <w:style w:type="paragraph" w:styleId="Revision">
    <w:name w:val="Revision"/>
    <w:hidden/>
    <w:uiPriority w:val="99"/>
    <w:semiHidden/>
    <w:rsid w:val="006934FC"/>
    <w:pPr>
      <w:spacing w:after="0" w:line="240" w:lineRule="auto"/>
    </w:pPr>
  </w:style>
  <w:style w:type="character" w:styleId="CommentReference">
    <w:name w:val="annotation reference"/>
    <w:basedOn w:val="DefaultParagraphFont"/>
    <w:uiPriority w:val="99"/>
    <w:semiHidden/>
    <w:unhideWhenUsed/>
    <w:rsid w:val="006934FC"/>
    <w:rPr>
      <w:sz w:val="16"/>
      <w:szCs w:val="16"/>
    </w:rPr>
  </w:style>
  <w:style w:type="paragraph" w:styleId="CommentText">
    <w:name w:val="annotation text"/>
    <w:basedOn w:val="Normal"/>
    <w:link w:val="CommentTextChar"/>
    <w:uiPriority w:val="99"/>
    <w:semiHidden/>
    <w:unhideWhenUsed/>
    <w:rsid w:val="006934FC"/>
    <w:pPr>
      <w:spacing w:line="240" w:lineRule="auto"/>
    </w:pPr>
    <w:rPr>
      <w:sz w:val="20"/>
      <w:szCs w:val="20"/>
    </w:rPr>
  </w:style>
  <w:style w:type="character" w:customStyle="1" w:styleId="CommentTextChar">
    <w:name w:val="Comment Text Char"/>
    <w:basedOn w:val="DefaultParagraphFont"/>
    <w:link w:val="CommentText"/>
    <w:uiPriority w:val="99"/>
    <w:semiHidden/>
    <w:rsid w:val="006934FC"/>
    <w:rPr>
      <w:sz w:val="20"/>
      <w:szCs w:val="20"/>
    </w:rPr>
  </w:style>
  <w:style w:type="paragraph" w:styleId="CommentSubject">
    <w:name w:val="annotation subject"/>
    <w:basedOn w:val="CommentText"/>
    <w:next w:val="CommentText"/>
    <w:link w:val="CommentSubjectChar"/>
    <w:uiPriority w:val="99"/>
    <w:semiHidden/>
    <w:unhideWhenUsed/>
    <w:rsid w:val="006934FC"/>
    <w:rPr>
      <w:b/>
      <w:bCs/>
    </w:rPr>
  </w:style>
  <w:style w:type="character" w:customStyle="1" w:styleId="CommentSubjectChar">
    <w:name w:val="Comment Subject Char"/>
    <w:basedOn w:val="CommentTextChar"/>
    <w:link w:val="CommentSubject"/>
    <w:uiPriority w:val="99"/>
    <w:semiHidden/>
    <w:rsid w:val="006934FC"/>
    <w:rPr>
      <w:b/>
      <w:bCs/>
      <w:sz w:val="20"/>
      <w:szCs w:val="20"/>
    </w:rPr>
  </w:style>
  <w:style w:type="paragraph" w:styleId="ListParagraph">
    <w:name w:val="List Paragraph"/>
    <w:basedOn w:val="Normal"/>
    <w:uiPriority w:val="34"/>
    <w:qFormat/>
    <w:rsid w:val="001956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826144">
      <w:bodyDiv w:val="1"/>
      <w:marLeft w:val="0"/>
      <w:marRight w:val="0"/>
      <w:marTop w:val="0"/>
      <w:marBottom w:val="0"/>
      <w:divBdr>
        <w:top w:val="none" w:sz="0" w:space="0" w:color="auto"/>
        <w:left w:val="none" w:sz="0" w:space="0" w:color="auto"/>
        <w:bottom w:val="none" w:sz="0" w:space="0" w:color="auto"/>
        <w:right w:val="none" w:sz="0" w:space="0" w:color="auto"/>
      </w:divBdr>
      <w:divsChild>
        <w:div w:id="1214805221">
          <w:marLeft w:val="0"/>
          <w:marRight w:val="0"/>
          <w:marTop w:val="0"/>
          <w:marBottom w:val="0"/>
          <w:divBdr>
            <w:top w:val="none" w:sz="0" w:space="0" w:color="auto"/>
            <w:left w:val="none" w:sz="0" w:space="0" w:color="auto"/>
            <w:bottom w:val="none" w:sz="0" w:space="0" w:color="auto"/>
            <w:right w:val="none" w:sz="0" w:space="0" w:color="auto"/>
          </w:divBdr>
        </w:div>
      </w:divsChild>
    </w:div>
    <w:div w:id="1450589115">
      <w:bodyDiv w:val="1"/>
      <w:marLeft w:val="0"/>
      <w:marRight w:val="0"/>
      <w:marTop w:val="0"/>
      <w:marBottom w:val="0"/>
      <w:divBdr>
        <w:top w:val="none" w:sz="0" w:space="0" w:color="auto"/>
        <w:left w:val="none" w:sz="0" w:space="0" w:color="auto"/>
        <w:bottom w:val="none" w:sz="0" w:space="0" w:color="auto"/>
        <w:right w:val="none" w:sz="0" w:space="0" w:color="auto"/>
      </w:divBdr>
      <w:divsChild>
        <w:div w:id="9347466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ytime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xfordlearnersdictionaries.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oxfordlearnersdictionaries.com" TargetMode="External"/><Relationship Id="rId1" Type="http://schemas.openxmlformats.org/officeDocument/2006/relationships/hyperlink" Target="https://nytim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01894-7408-416C-BCBB-A502F431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2343</Words>
  <Characters>13404</Characters>
  <Application>Microsoft Office Word</Application>
  <DocSecurity>0</DocSecurity>
  <Lines>1218</Lines>
  <Paragraphs>524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3</cp:revision>
  <dcterms:created xsi:type="dcterms:W3CDTF">2022-11-07T20:39:00Z</dcterms:created>
  <dcterms:modified xsi:type="dcterms:W3CDTF">2022-11-07T20:56:00Z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11d9f155aa47a79f740030947f4d0cf6ab339b0a8177c53162d523c47e53b0b5</vt:lpwstr>
  </property>
</Properties>
</file>