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347EAE" w14:textId="77777777" w:rsidR="00646B10" w:rsidRPr="00053D77" w:rsidRDefault="00646B10" w:rsidP="00041A5A">
      <w:pPr>
        <w:spacing w:line="360" w:lineRule="auto"/>
        <w:jc w:val="center"/>
        <w:rPr>
          <w:rFonts w:ascii="Arial" w:hAnsi="Arial" w:cs="Arial"/>
          <w:b/>
          <w:bCs/>
          <w:sz w:val="28"/>
          <w:szCs w:val="28"/>
        </w:rPr>
      </w:pPr>
    </w:p>
    <w:p w14:paraId="7CAFB8A8" w14:textId="77777777" w:rsidR="00646B10" w:rsidRPr="00053D77" w:rsidRDefault="00646B10" w:rsidP="00041A5A">
      <w:pPr>
        <w:spacing w:line="360" w:lineRule="auto"/>
        <w:jc w:val="center"/>
        <w:rPr>
          <w:rFonts w:ascii="Arial" w:hAnsi="Arial" w:cs="Arial"/>
          <w:b/>
          <w:bCs/>
          <w:sz w:val="28"/>
          <w:szCs w:val="28"/>
        </w:rPr>
      </w:pPr>
    </w:p>
    <w:p w14:paraId="09103BF7" w14:textId="77777777" w:rsidR="00646B10" w:rsidRPr="00053D77" w:rsidRDefault="00646B10" w:rsidP="00041A5A">
      <w:pPr>
        <w:spacing w:line="360" w:lineRule="auto"/>
        <w:jc w:val="center"/>
        <w:rPr>
          <w:rFonts w:ascii="Arial" w:hAnsi="Arial" w:cs="Arial"/>
          <w:b/>
          <w:bCs/>
          <w:sz w:val="28"/>
          <w:szCs w:val="28"/>
        </w:rPr>
      </w:pPr>
    </w:p>
    <w:p w14:paraId="75E38F7F" w14:textId="7C4BF558" w:rsidR="00715990" w:rsidRPr="00053D77" w:rsidRDefault="00715990" w:rsidP="00041A5A">
      <w:pPr>
        <w:spacing w:line="360" w:lineRule="auto"/>
        <w:jc w:val="center"/>
        <w:rPr>
          <w:rFonts w:ascii="Arial" w:hAnsi="Arial" w:cs="Arial"/>
          <w:b/>
          <w:bCs/>
          <w:sz w:val="28"/>
          <w:szCs w:val="28"/>
        </w:rPr>
      </w:pPr>
      <w:r w:rsidRPr="00053D77">
        <w:rPr>
          <w:rFonts w:ascii="Arial" w:hAnsi="Arial" w:cs="Arial"/>
          <w:b/>
          <w:bCs/>
          <w:sz w:val="28"/>
          <w:szCs w:val="28"/>
        </w:rPr>
        <w:t>Course: BSc (</w:t>
      </w:r>
      <w:proofErr w:type="spellStart"/>
      <w:r w:rsidRPr="00053D77">
        <w:rPr>
          <w:rFonts w:ascii="Arial" w:hAnsi="Arial" w:cs="Arial"/>
          <w:b/>
          <w:bCs/>
          <w:sz w:val="28"/>
          <w:szCs w:val="28"/>
        </w:rPr>
        <w:t>Hons</w:t>
      </w:r>
      <w:proofErr w:type="spellEnd"/>
      <w:r w:rsidRPr="00053D77">
        <w:rPr>
          <w:rFonts w:ascii="Arial" w:hAnsi="Arial" w:cs="Arial"/>
          <w:b/>
          <w:bCs/>
          <w:sz w:val="28"/>
          <w:szCs w:val="28"/>
        </w:rPr>
        <w:t>) Health and Social Care</w:t>
      </w:r>
    </w:p>
    <w:p w14:paraId="7680A4B0" w14:textId="43F6E3D7" w:rsidR="00715990" w:rsidRPr="00053D77" w:rsidRDefault="00715990" w:rsidP="00041A5A">
      <w:pPr>
        <w:spacing w:line="360" w:lineRule="auto"/>
        <w:jc w:val="center"/>
        <w:rPr>
          <w:rFonts w:ascii="Arial" w:hAnsi="Arial" w:cs="Arial"/>
          <w:b/>
          <w:bCs/>
          <w:sz w:val="28"/>
          <w:szCs w:val="28"/>
        </w:rPr>
      </w:pPr>
      <w:r w:rsidRPr="00053D77">
        <w:rPr>
          <w:rFonts w:ascii="Arial" w:hAnsi="Arial" w:cs="Arial"/>
          <w:b/>
          <w:bCs/>
          <w:sz w:val="28"/>
          <w:szCs w:val="28"/>
        </w:rPr>
        <w:t>Module: Independent Project (BMHP6020_</w:t>
      </w:r>
      <w:r w:rsidR="00646B10" w:rsidRPr="00053D77">
        <w:rPr>
          <w:rFonts w:ascii="Arial" w:hAnsi="Arial" w:cs="Arial"/>
          <w:b/>
          <w:bCs/>
          <w:sz w:val="28"/>
          <w:szCs w:val="28"/>
        </w:rPr>
        <w:t>BIRM</w:t>
      </w:r>
      <w:r w:rsidRPr="00053D77">
        <w:rPr>
          <w:rFonts w:ascii="Arial" w:hAnsi="Arial" w:cs="Arial"/>
          <w:b/>
          <w:bCs/>
          <w:sz w:val="28"/>
          <w:szCs w:val="28"/>
        </w:rPr>
        <w:t>)</w:t>
      </w:r>
    </w:p>
    <w:p w14:paraId="3157DF3C" w14:textId="77777777" w:rsidR="00715990" w:rsidRPr="00053D77" w:rsidRDefault="00715990" w:rsidP="00041A5A">
      <w:pPr>
        <w:spacing w:line="360" w:lineRule="auto"/>
        <w:jc w:val="center"/>
        <w:rPr>
          <w:rFonts w:ascii="Arial" w:hAnsi="Arial" w:cs="Arial"/>
          <w:sz w:val="28"/>
          <w:szCs w:val="28"/>
        </w:rPr>
      </w:pPr>
    </w:p>
    <w:p w14:paraId="08BDA311" w14:textId="6E55C9BE" w:rsidR="00041A5A" w:rsidRPr="00053D77" w:rsidRDefault="00FB4301" w:rsidP="00FB4301">
      <w:pPr>
        <w:spacing w:line="360" w:lineRule="auto"/>
        <w:jc w:val="center"/>
        <w:rPr>
          <w:rFonts w:ascii="Arial" w:hAnsi="Arial" w:cs="Arial"/>
          <w:b/>
          <w:bCs/>
          <w:sz w:val="28"/>
          <w:szCs w:val="28"/>
        </w:rPr>
      </w:pPr>
      <w:r w:rsidRPr="00053D77">
        <w:rPr>
          <w:rFonts w:ascii="Arial" w:hAnsi="Arial" w:cs="Arial"/>
          <w:b/>
          <w:bCs/>
          <w:sz w:val="28"/>
          <w:szCs w:val="28"/>
        </w:rPr>
        <w:t>Component 1</w:t>
      </w:r>
      <w:r w:rsidR="00715990" w:rsidRPr="00053D77">
        <w:rPr>
          <w:rFonts w:ascii="Arial" w:hAnsi="Arial" w:cs="Arial"/>
          <w:b/>
          <w:bCs/>
          <w:sz w:val="28"/>
          <w:szCs w:val="28"/>
        </w:rPr>
        <w:t xml:space="preserve">: </w:t>
      </w:r>
      <w:r w:rsidRPr="00053D77">
        <w:rPr>
          <w:rFonts w:ascii="Arial" w:hAnsi="Arial" w:cs="Arial"/>
          <w:sz w:val="28"/>
          <w:szCs w:val="28"/>
        </w:rPr>
        <w:t>Element 1</w:t>
      </w:r>
      <w:r w:rsidR="00715990" w:rsidRPr="00053D77">
        <w:rPr>
          <w:rFonts w:ascii="Arial" w:hAnsi="Arial" w:cs="Arial"/>
          <w:sz w:val="28"/>
          <w:szCs w:val="28"/>
        </w:rPr>
        <w:t xml:space="preserve"> - Project Proposal</w:t>
      </w:r>
      <w:r w:rsidR="00545684" w:rsidRPr="00053D77">
        <w:rPr>
          <w:rFonts w:ascii="Arial" w:hAnsi="Arial" w:cs="Arial"/>
          <w:sz w:val="28"/>
          <w:szCs w:val="28"/>
        </w:rPr>
        <w:t xml:space="preserve"> </w:t>
      </w:r>
    </w:p>
    <w:p w14:paraId="2EDEAE0B" w14:textId="149B09BE" w:rsidR="00715990" w:rsidRPr="00053D77" w:rsidRDefault="00715990" w:rsidP="00041A5A">
      <w:pPr>
        <w:spacing w:line="360" w:lineRule="auto"/>
        <w:rPr>
          <w:rFonts w:ascii="Arial" w:hAnsi="Arial" w:cs="Arial"/>
          <w:sz w:val="28"/>
          <w:szCs w:val="28"/>
        </w:rPr>
      </w:pPr>
    </w:p>
    <w:p w14:paraId="1AD185BB" w14:textId="77777777" w:rsidR="00FF5B70" w:rsidRPr="00053D77" w:rsidRDefault="00FF5B70" w:rsidP="00041A5A">
      <w:pPr>
        <w:spacing w:line="360" w:lineRule="auto"/>
        <w:rPr>
          <w:rFonts w:ascii="Arial" w:hAnsi="Arial" w:cs="Arial"/>
          <w:sz w:val="28"/>
          <w:szCs w:val="28"/>
        </w:rPr>
      </w:pPr>
    </w:p>
    <w:p w14:paraId="684DDF82" w14:textId="00CF3F24" w:rsidR="00715990" w:rsidRPr="00053D77" w:rsidRDefault="00715990" w:rsidP="00041A5A">
      <w:pPr>
        <w:spacing w:line="360" w:lineRule="auto"/>
        <w:rPr>
          <w:rFonts w:ascii="Arial" w:hAnsi="Arial" w:cs="Arial"/>
          <w:sz w:val="28"/>
          <w:szCs w:val="28"/>
        </w:rPr>
      </w:pPr>
      <w:r w:rsidRPr="00053D77">
        <w:rPr>
          <w:rFonts w:ascii="Arial" w:hAnsi="Arial" w:cs="Arial"/>
          <w:b/>
          <w:bCs/>
          <w:sz w:val="28"/>
          <w:szCs w:val="28"/>
        </w:rPr>
        <w:t>Student ID</w:t>
      </w:r>
      <w:r w:rsidRPr="00053D77">
        <w:rPr>
          <w:rFonts w:ascii="Arial" w:hAnsi="Arial" w:cs="Arial"/>
          <w:sz w:val="28"/>
          <w:szCs w:val="28"/>
        </w:rPr>
        <w:t xml:space="preserve">: </w:t>
      </w:r>
      <w:r w:rsidR="000C645F" w:rsidRPr="00053D77">
        <w:rPr>
          <w:rFonts w:ascii="Arial" w:hAnsi="Arial" w:cs="Arial"/>
          <w:sz w:val="28"/>
          <w:szCs w:val="28"/>
        </w:rPr>
        <w:t>233</w:t>
      </w:r>
      <w:r w:rsidR="00DA01E9" w:rsidRPr="00053D77">
        <w:rPr>
          <w:rFonts w:ascii="Arial" w:hAnsi="Arial" w:cs="Arial"/>
          <w:sz w:val="28"/>
          <w:szCs w:val="28"/>
        </w:rPr>
        <w:t>2</w:t>
      </w:r>
      <w:r w:rsidR="000C645F" w:rsidRPr="00053D77">
        <w:rPr>
          <w:rFonts w:ascii="Arial" w:hAnsi="Arial" w:cs="Arial"/>
          <w:sz w:val="28"/>
          <w:szCs w:val="28"/>
        </w:rPr>
        <w:t>587</w:t>
      </w:r>
    </w:p>
    <w:p w14:paraId="01D5D8DB" w14:textId="03ED09ED" w:rsidR="00FF5B70" w:rsidRPr="00053D77" w:rsidRDefault="00FF5B70" w:rsidP="00041A5A">
      <w:pPr>
        <w:spacing w:line="360" w:lineRule="auto"/>
        <w:rPr>
          <w:rFonts w:ascii="Arial" w:hAnsi="Arial" w:cs="Arial"/>
          <w:sz w:val="28"/>
          <w:szCs w:val="28"/>
        </w:rPr>
      </w:pPr>
    </w:p>
    <w:p w14:paraId="7B4B148B" w14:textId="6495F5B7" w:rsidR="00646B10" w:rsidRPr="00053D77" w:rsidRDefault="00FF5B70" w:rsidP="00646B10">
      <w:pPr>
        <w:spacing w:line="360" w:lineRule="auto"/>
        <w:rPr>
          <w:rFonts w:ascii="Arial" w:hAnsi="Arial" w:cs="Arial"/>
          <w:sz w:val="28"/>
          <w:szCs w:val="28"/>
        </w:rPr>
      </w:pPr>
      <w:r w:rsidRPr="00053D77">
        <w:rPr>
          <w:rFonts w:ascii="Arial" w:hAnsi="Arial" w:cs="Arial"/>
          <w:b/>
          <w:bCs/>
          <w:sz w:val="28"/>
          <w:szCs w:val="28"/>
        </w:rPr>
        <w:t>Student Name</w:t>
      </w:r>
      <w:r w:rsidRPr="00053D77">
        <w:rPr>
          <w:rFonts w:ascii="Arial" w:hAnsi="Arial" w:cs="Arial"/>
          <w:sz w:val="28"/>
          <w:szCs w:val="28"/>
        </w:rPr>
        <w:t xml:space="preserve">: </w:t>
      </w:r>
      <w:r w:rsidR="000C645F" w:rsidRPr="00053D77">
        <w:rPr>
          <w:rFonts w:ascii="Arial" w:hAnsi="Arial" w:cs="Arial"/>
          <w:sz w:val="28"/>
          <w:szCs w:val="28"/>
        </w:rPr>
        <w:t xml:space="preserve">Alexandru </w:t>
      </w:r>
      <w:proofErr w:type="spellStart"/>
      <w:r w:rsidR="000C645F" w:rsidRPr="00053D77">
        <w:rPr>
          <w:rFonts w:ascii="Arial" w:hAnsi="Arial" w:cs="Arial"/>
          <w:sz w:val="28"/>
          <w:szCs w:val="28"/>
        </w:rPr>
        <w:t>Lavinel</w:t>
      </w:r>
      <w:proofErr w:type="spellEnd"/>
      <w:r w:rsidR="000C645F" w:rsidRPr="00053D77">
        <w:rPr>
          <w:rFonts w:ascii="Arial" w:hAnsi="Arial" w:cs="Arial"/>
          <w:sz w:val="28"/>
          <w:szCs w:val="28"/>
        </w:rPr>
        <w:t xml:space="preserve"> Gaiu</w:t>
      </w:r>
    </w:p>
    <w:p w14:paraId="5A95D394" w14:textId="5B415360" w:rsidR="009D0416" w:rsidRPr="00053D77" w:rsidRDefault="009D0416" w:rsidP="00646B10">
      <w:pPr>
        <w:spacing w:line="360" w:lineRule="auto"/>
        <w:rPr>
          <w:rFonts w:ascii="Arial" w:hAnsi="Arial" w:cs="Arial"/>
          <w:sz w:val="28"/>
          <w:szCs w:val="28"/>
        </w:rPr>
      </w:pPr>
    </w:p>
    <w:p w14:paraId="638A4615" w14:textId="270EAF3B" w:rsidR="00715990" w:rsidRPr="00053D77" w:rsidRDefault="009D0416" w:rsidP="00041A5A">
      <w:pPr>
        <w:spacing w:line="360" w:lineRule="auto"/>
        <w:rPr>
          <w:rFonts w:ascii="Arial" w:hAnsi="Arial" w:cs="Arial"/>
          <w:sz w:val="28"/>
          <w:szCs w:val="28"/>
        </w:rPr>
      </w:pPr>
      <w:r w:rsidRPr="00053D77">
        <w:rPr>
          <w:rFonts w:ascii="Arial" w:hAnsi="Arial" w:cs="Arial"/>
          <w:b/>
          <w:bCs/>
          <w:sz w:val="28"/>
          <w:szCs w:val="28"/>
        </w:rPr>
        <w:t>Lecturer Name</w:t>
      </w:r>
      <w:r w:rsidRPr="00053D77">
        <w:rPr>
          <w:rFonts w:ascii="Arial" w:hAnsi="Arial" w:cs="Arial"/>
          <w:sz w:val="28"/>
          <w:szCs w:val="28"/>
        </w:rPr>
        <w:t>:</w:t>
      </w:r>
      <w:r w:rsidR="00F56ECD" w:rsidRPr="00053D77">
        <w:rPr>
          <w:rFonts w:ascii="Arial" w:hAnsi="Arial" w:cs="Arial"/>
          <w:sz w:val="28"/>
          <w:szCs w:val="28"/>
        </w:rPr>
        <w:t xml:space="preserve"> Danielle </w:t>
      </w:r>
      <w:proofErr w:type="spellStart"/>
      <w:r w:rsidR="00F56ECD" w:rsidRPr="00053D77">
        <w:rPr>
          <w:rFonts w:ascii="Arial" w:hAnsi="Arial" w:cs="Arial"/>
          <w:sz w:val="28"/>
          <w:szCs w:val="28"/>
        </w:rPr>
        <w:t>D</w:t>
      </w:r>
      <w:r w:rsidR="006E61B7" w:rsidRPr="00053D77">
        <w:rPr>
          <w:rFonts w:ascii="Arial" w:hAnsi="Arial" w:cs="Arial"/>
          <w:sz w:val="28"/>
          <w:szCs w:val="28"/>
        </w:rPr>
        <w:t>unne</w:t>
      </w:r>
      <w:proofErr w:type="spellEnd"/>
    </w:p>
    <w:p w14:paraId="35E27B36" w14:textId="77777777" w:rsidR="006F171C" w:rsidRPr="00053D77" w:rsidRDefault="006F171C" w:rsidP="00041A5A">
      <w:pPr>
        <w:spacing w:line="360" w:lineRule="auto"/>
        <w:rPr>
          <w:rFonts w:ascii="Arial" w:hAnsi="Arial" w:cs="Arial"/>
          <w:sz w:val="28"/>
          <w:szCs w:val="28"/>
        </w:rPr>
      </w:pPr>
    </w:p>
    <w:p w14:paraId="32494F64" w14:textId="12812E5A" w:rsidR="00292FF7" w:rsidRPr="00053D77" w:rsidRDefault="002C0045" w:rsidP="00041A5A">
      <w:pPr>
        <w:spacing w:line="360" w:lineRule="auto"/>
        <w:rPr>
          <w:rFonts w:ascii="Arial" w:hAnsi="Arial" w:cs="Arial"/>
          <w:sz w:val="28"/>
          <w:szCs w:val="28"/>
        </w:rPr>
      </w:pPr>
      <w:r w:rsidRPr="00053D77">
        <w:rPr>
          <w:rFonts w:ascii="Arial" w:hAnsi="Arial" w:cs="Arial"/>
          <w:b/>
          <w:bCs/>
          <w:sz w:val="28"/>
          <w:szCs w:val="28"/>
        </w:rPr>
        <w:t>Module</w:t>
      </w:r>
      <w:r w:rsidR="006F171C" w:rsidRPr="00053D77">
        <w:rPr>
          <w:rFonts w:ascii="Arial" w:hAnsi="Arial" w:cs="Arial"/>
          <w:sz w:val="28"/>
          <w:szCs w:val="28"/>
        </w:rPr>
        <w:t>:</w:t>
      </w:r>
      <w:r w:rsidR="00490AA7" w:rsidRPr="00053D77">
        <w:rPr>
          <w:rFonts w:ascii="Arial" w:hAnsi="Arial" w:cs="Arial"/>
          <w:sz w:val="28"/>
          <w:szCs w:val="28"/>
        </w:rPr>
        <w:t xml:space="preserve"> Inde</w:t>
      </w:r>
      <w:r w:rsidR="00F56ECD" w:rsidRPr="00053D77">
        <w:rPr>
          <w:rFonts w:ascii="Arial" w:hAnsi="Arial" w:cs="Arial"/>
          <w:sz w:val="28"/>
          <w:szCs w:val="28"/>
        </w:rPr>
        <w:t>pendent Project</w:t>
      </w:r>
      <w:r w:rsidR="00F9470F" w:rsidRPr="00053D77">
        <w:rPr>
          <w:rFonts w:ascii="Arial" w:hAnsi="Arial" w:cs="Arial"/>
          <w:sz w:val="28"/>
          <w:szCs w:val="28"/>
        </w:rPr>
        <w:t xml:space="preserve"> (BMHP</w:t>
      </w:r>
      <w:r w:rsidR="006E61B7" w:rsidRPr="00053D77">
        <w:rPr>
          <w:rFonts w:ascii="Arial" w:hAnsi="Arial" w:cs="Arial"/>
          <w:sz w:val="28"/>
          <w:szCs w:val="28"/>
        </w:rPr>
        <w:t>6020)</w:t>
      </w:r>
    </w:p>
    <w:p w14:paraId="73797D56" w14:textId="77777777" w:rsidR="001C578E" w:rsidRPr="00053D77" w:rsidRDefault="001C578E" w:rsidP="00041A5A">
      <w:pPr>
        <w:spacing w:line="360" w:lineRule="auto"/>
        <w:rPr>
          <w:rFonts w:ascii="Arial" w:hAnsi="Arial" w:cs="Arial"/>
          <w:sz w:val="28"/>
          <w:szCs w:val="28"/>
        </w:rPr>
      </w:pPr>
    </w:p>
    <w:p w14:paraId="65E43133" w14:textId="05C208D2" w:rsidR="001C578E" w:rsidRPr="00053D77" w:rsidRDefault="001C578E" w:rsidP="00041A5A">
      <w:pPr>
        <w:spacing w:line="360" w:lineRule="auto"/>
        <w:rPr>
          <w:rFonts w:ascii="Arial" w:hAnsi="Arial" w:cs="Arial"/>
          <w:sz w:val="28"/>
          <w:szCs w:val="28"/>
        </w:rPr>
      </w:pPr>
    </w:p>
    <w:p w14:paraId="5BD313B6" w14:textId="4BA804DC" w:rsidR="00715990" w:rsidRPr="00053D77" w:rsidRDefault="00715990" w:rsidP="00041A5A">
      <w:pPr>
        <w:spacing w:line="360" w:lineRule="auto"/>
        <w:rPr>
          <w:rFonts w:ascii="Arial" w:hAnsi="Arial" w:cs="Arial"/>
        </w:rPr>
      </w:pPr>
    </w:p>
    <w:p w14:paraId="07CF3A4D" w14:textId="4AAF8C7D" w:rsidR="00715990" w:rsidRPr="00053D77" w:rsidRDefault="00715990" w:rsidP="00041A5A">
      <w:pPr>
        <w:spacing w:line="360" w:lineRule="auto"/>
        <w:rPr>
          <w:rFonts w:ascii="Arial" w:hAnsi="Arial" w:cs="Arial"/>
        </w:rPr>
      </w:pPr>
      <w:r w:rsidRPr="00053D77">
        <w:rPr>
          <w:rFonts w:ascii="Arial" w:hAnsi="Arial" w:cs="Arial"/>
        </w:rPr>
        <w:br w:type="page"/>
      </w:r>
    </w:p>
    <w:p w14:paraId="75E7FD5C" w14:textId="1070B52D" w:rsidR="00545684" w:rsidRPr="00053D77" w:rsidRDefault="00FB4301" w:rsidP="00FF5B70">
      <w:pPr>
        <w:pStyle w:val="Heading1"/>
        <w:rPr>
          <w:rFonts w:cs="Arial"/>
        </w:rPr>
      </w:pPr>
      <w:r w:rsidRPr="00053D77">
        <w:rPr>
          <w:rFonts w:cs="Arial"/>
        </w:rPr>
        <w:lastRenderedPageBreak/>
        <w:t>Element 1 -</w:t>
      </w:r>
      <w:r w:rsidR="00866B7B" w:rsidRPr="00053D77">
        <w:rPr>
          <w:rFonts w:cs="Arial"/>
        </w:rPr>
        <w:t xml:space="preserve"> Project</w:t>
      </w:r>
      <w:r w:rsidR="00545684" w:rsidRPr="00053D77">
        <w:rPr>
          <w:rFonts w:cs="Arial"/>
        </w:rPr>
        <w:t xml:space="preserve"> </w:t>
      </w:r>
      <w:r w:rsidR="000B7CD5" w:rsidRPr="00053D77">
        <w:rPr>
          <w:rFonts w:cs="Arial"/>
        </w:rPr>
        <w:t>P</w:t>
      </w:r>
      <w:r w:rsidR="00545684" w:rsidRPr="00053D77">
        <w:rPr>
          <w:rFonts w:cs="Arial"/>
        </w:rPr>
        <w:t>roposal</w:t>
      </w:r>
    </w:p>
    <w:p w14:paraId="6630FBCE" w14:textId="0038F936" w:rsidR="00D769F0" w:rsidRPr="00053D77" w:rsidRDefault="00D769F0" w:rsidP="00D769F0">
      <w:pPr>
        <w:rPr>
          <w:rFonts w:ascii="Arial" w:hAnsi="Arial" w:cs="Arial"/>
        </w:rPr>
      </w:pPr>
    </w:p>
    <w:p w14:paraId="674E191E" w14:textId="77777777" w:rsidR="003646C3" w:rsidRPr="00053D77" w:rsidRDefault="00FF5B70" w:rsidP="003646C3">
      <w:pPr>
        <w:pStyle w:val="Heading2"/>
      </w:pPr>
      <w:r w:rsidRPr="00053D77">
        <w:t>My p</w:t>
      </w:r>
      <w:r w:rsidR="00D769F0" w:rsidRPr="00053D77">
        <w:t xml:space="preserve">roject title: </w:t>
      </w:r>
    </w:p>
    <w:p w14:paraId="33CEE1AA" w14:textId="1EB85E6C" w:rsidR="00EF3762" w:rsidRPr="00053D77" w:rsidRDefault="003646C3" w:rsidP="003646C3">
      <w:pPr>
        <w:pStyle w:val="Heading2"/>
      </w:pPr>
      <w:r w:rsidRPr="00053D77">
        <w:t xml:space="preserve">Beyond Policy: Evaluating Mental Healthcare Access Inequalities and Organisational Responses for Children Aged </w:t>
      </w:r>
      <w:r w:rsidR="00A400EC" w:rsidRPr="00053D77">
        <w:t>5</w:t>
      </w:r>
      <w:r w:rsidRPr="00053D77">
        <w:t>–1</w:t>
      </w:r>
      <w:r w:rsidR="004C5EAD" w:rsidRPr="00053D77">
        <w:t xml:space="preserve">7 </w:t>
      </w:r>
      <w:r w:rsidRPr="00053D77">
        <w:t>in Lancashire, England</w:t>
      </w:r>
    </w:p>
    <w:p w14:paraId="3A570907" w14:textId="77777777" w:rsidR="00A400EC" w:rsidRPr="00053D77" w:rsidRDefault="00A400EC" w:rsidP="00A400EC">
      <w:pPr>
        <w:rPr>
          <w:rFonts w:ascii="Arial" w:hAnsi="Arial" w:cs="Arial"/>
        </w:rPr>
      </w:pPr>
    </w:p>
    <w:p w14:paraId="40C7BB25" w14:textId="63754B6D" w:rsidR="00784670" w:rsidRPr="00053D77" w:rsidRDefault="00FF5B70" w:rsidP="00784670">
      <w:pPr>
        <w:pStyle w:val="Heading2"/>
      </w:pPr>
      <w:r w:rsidRPr="00053D77">
        <w:t>1</w:t>
      </w:r>
      <w:r w:rsidR="00784670" w:rsidRPr="00053D77">
        <w:t xml:space="preserve">) </w:t>
      </w:r>
      <w:r w:rsidR="00545684" w:rsidRPr="00053D77">
        <w:t>Aim</w:t>
      </w:r>
      <w:r w:rsidR="00784670" w:rsidRPr="00053D77">
        <w:t>:</w:t>
      </w:r>
    </w:p>
    <w:p w14:paraId="2601A787" w14:textId="499CF429" w:rsidR="004667F4" w:rsidRPr="00053D77" w:rsidRDefault="00543D83" w:rsidP="00784670">
      <w:pPr>
        <w:pStyle w:val="Heading2"/>
        <w:rPr>
          <w:rFonts w:eastAsiaTheme="minorHAnsi"/>
          <w:b w:val="0"/>
          <w:bCs w:val="0"/>
          <w:i w:val="0"/>
          <w:sz w:val="24"/>
          <w:szCs w:val="22"/>
        </w:rPr>
      </w:pPr>
      <w:r w:rsidRPr="00053D77">
        <w:rPr>
          <w:rFonts w:eastAsiaTheme="minorHAnsi"/>
          <w:b w:val="0"/>
          <w:bCs w:val="0"/>
          <w:i w:val="0"/>
          <w:sz w:val="24"/>
          <w:szCs w:val="22"/>
        </w:rPr>
        <w:t xml:space="preserve">The aim of this research is to critically evaluate inequalities in access to mental healthcare among children aged </w:t>
      </w:r>
      <w:r w:rsidR="00445815">
        <w:rPr>
          <w:rFonts w:eastAsiaTheme="minorHAnsi"/>
          <w:b w:val="0"/>
          <w:bCs w:val="0"/>
          <w:i w:val="0"/>
          <w:sz w:val="24"/>
          <w:szCs w:val="22"/>
        </w:rPr>
        <w:t>5</w:t>
      </w:r>
      <w:r w:rsidRPr="00053D77">
        <w:rPr>
          <w:rFonts w:eastAsiaTheme="minorHAnsi"/>
          <w:b w:val="0"/>
          <w:bCs w:val="0"/>
          <w:i w:val="0"/>
          <w:sz w:val="24"/>
          <w:szCs w:val="22"/>
        </w:rPr>
        <w:t>–1</w:t>
      </w:r>
      <w:r w:rsidR="00445815">
        <w:rPr>
          <w:rFonts w:eastAsiaTheme="minorHAnsi"/>
          <w:b w:val="0"/>
          <w:bCs w:val="0"/>
          <w:i w:val="0"/>
          <w:sz w:val="24"/>
          <w:szCs w:val="22"/>
        </w:rPr>
        <w:t>7</w:t>
      </w:r>
      <w:r w:rsidRPr="00053D77">
        <w:rPr>
          <w:rFonts w:eastAsiaTheme="minorHAnsi"/>
          <w:b w:val="0"/>
          <w:bCs w:val="0"/>
          <w:i w:val="0"/>
          <w:sz w:val="24"/>
          <w:szCs w:val="22"/>
        </w:rPr>
        <w:t xml:space="preserve"> in Lancashire, England. The research will examine gaps between organisational policies and service delivery, assess the effectiveness of early interventions and interagency collaboration, and formulate evidence-based recommendations to improve equitable access to mental health support.</w:t>
      </w:r>
    </w:p>
    <w:p w14:paraId="358C0B58" w14:textId="00CBD0BB" w:rsidR="00F83AA7" w:rsidRPr="00053D77" w:rsidRDefault="00921593" w:rsidP="00F83AA7">
      <w:pPr>
        <w:rPr>
          <w:rFonts w:ascii="Arial" w:hAnsi="Arial" w:cs="Arial"/>
          <w:b/>
          <w:bCs/>
        </w:rPr>
      </w:pPr>
      <w:r w:rsidRPr="00053D77">
        <w:rPr>
          <w:rFonts w:ascii="Arial" w:hAnsi="Arial" w:cs="Arial"/>
          <w:b/>
          <w:bCs/>
        </w:rPr>
        <w:t>Research Question:</w:t>
      </w:r>
    </w:p>
    <w:p w14:paraId="633A6828" w14:textId="6E28D46C" w:rsidR="004667F4" w:rsidRPr="00053D77" w:rsidRDefault="004A2E23" w:rsidP="00784670">
      <w:pPr>
        <w:pStyle w:val="Heading2"/>
        <w:rPr>
          <w:rFonts w:eastAsiaTheme="minorHAnsi"/>
          <w:b w:val="0"/>
          <w:bCs w:val="0"/>
          <w:i w:val="0"/>
          <w:sz w:val="24"/>
          <w:szCs w:val="22"/>
        </w:rPr>
      </w:pPr>
      <w:r w:rsidRPr="00053D77">
        <w:rPr>
          <w:rFonts w:eastAsiaTheme="minorHAnsi"/>
          <w:b w:val="0"/>
          <w:bCs w:val="0"/>
          <w:i w:val="0"/>
          <w:sz w:val="24"/>
          <w:szCs w:val="22"/>
        </w:rPr>
        <w:t xml:space="preserve">To what extent do organisational policies, early interventions and interagency collaboration address inequalities in access to mental healthcare among children aged </w:t>
      </w:r>
      <w:r w:rsidR="002C5D24" w:rsidRPr="00053D77">
        <w:rPr>
          <w:rFonts w:eastAsiaTheme="minorHAnsi"/>
          <w:b w:val="0"/>
          <w:bCs w:val="0"/>
          <w:i w:val="0"/>
          <w:sz w:val="24"/>
          <w:szCs w:val="22"/>
        </w:rPr>
        <w:t>5</w:t>
      </w:r>
      <w:r w:rsidRPr="00053D77">
        <w:rPr>
          <w:rFonts w:eastAsiaTheme="minorHAnsi"/>
          <w:b w:val="0"/>
          <w:bCs w:val="0"/>
          <w:i w:val="0"/>
          <w:sz w:val="24"/>
          <w:szCs w:val="22"/>
        </w:rPr>
        <w:t>–1</w:t>
      </w:r>
      <w:r w:rsidR="008B0966" w:rsidRPr="00053D77">
        <w:rPr>
          <w:rFonts w:eastAsiaTheme="minorHAnsi"/>
          <w:b w:val="0"/>
          <w:bCs w:val="0"/>
          <w:i w:val="0"/>
          <w:sz w:val="24"/>
          <w:szCs w:val="22"/>
        </w:rPr>
        <w:t>7</w:t>
      </w:r>
      <w:r w:rsidRPr="00053D77">
        <w:rPr>
          <w:rFonts w:eastAsiaTheme="minorHAnsi"/>
          <w:b w:val="0"/>
          <w:bCs w:val="0"/>
          <w:i w:val="0"/>
          <w:sz w:val="24"/>
          <w:szCs w:val="22"/>
        </w:rPr>
        <w:t xml:space="preserve"> in Lancashire, and what barriers limit their effectiveness</w:t>
      </w:r>
      <w:r w:rsidR="005160FD" w:rsidRPr="00053D77">
        <w:rPr>
          <w:rFonts w:eastAsiaTheme="minorHAnsi"/>
          <w:b w:val="0"/>
          <w:bCs w:val="0"/>
          <w:i w:val="0"/>
          <w:sz w:val="24"/>
          <w:szCs w:val="22"/>
        </w:rPr>
        <w:t>?</w:t>
      </w:r>
    </w:p>
    <w:p w14:paraId="2B00F95C" w14:textId="2BC2977D" w:rsidR="00545684" w:rsidRPr="00053D77" w:rsidRDefault="00FF5B70" w:rsidP="00784670">
      <w:pPr>
        <w:pStyle w:val="Heading2"/>
      </w:pPr>
      <w:r w:rsidRPr="00053D77">
        <w:t>2</w:t>
      </w:r>
      <w:r w:rsidR="00784670" w:rsidRPr="00053D77">
        <w:t>) O</w:t>
      </w:r>
      <w:r w:rsidR="00545684" w:rsidRPr="00053D77">
        <w:t>bjectives:</w:t>
      </w:r>
    </w:p>
    <w:p w14:paraId="5E6C624B" w14:textId="687DA217" w:rsidR="00F708C4" w:rsidRPr="00053D77" w:rsidRDefault="00F708C4" w:rsidP="00F708C4">
      <w:pPr>
        <w:spacing w:line="360" w:lineRule="auto"/>
        <w:rPr>
          <w:rFonts w:ascii="Arial" w:hAnsi="Arial" w:cs="Arial"/>
        </w:rPr>
      </w:pPr>
      <w:r w:rsidRPr="00053D77">
        <w:rPr>
          <w:rFonts w:ascii="Arial" w:hAnsi="Arial" w:cs="Arial"/>
        </w:rPr>
        <w:t xml:space="preserve">1. To identify and examine inequalities in access to mental healthcare among children aged </w:t>
      </w:r>
      <w:r w:rsidR="00C95EA5">
        <w:rPr>
          <w:rFonts w:ascii="Arial" w:hAnsi="Arial" w:cs="Arial"/>
        </w:rPr>
        <w:t>5</w:t>
      </w:r>
      <w:r w:rsidRPr="00053D77">
        <w:rPr>
          <w:rFonts w:ascii="Arial" w:hAnsi="Arial" w:cs="Arial"/>
        </w:rPr>
        <w:t>–1</w:t>
      </w:r>
      <w:r w:rsidR="00C95EA5">
        <w:rPr>
          <w:rFonts w:ascii="Arial" w:hAnsi="Arial" w:cs="Arial"/>
        </w:rPr>
        <w:t xml:space="preserve">7 </w:t>
      </w:r>
      <w:r w:rsidRPr="00053D77">
        <w:rPr>
          <w:rFonts w:ascii="Arial" w:hAnsi="Arial" w:cs="Arial"/>
        </w:rPr>
        <w:t>in Lancashire, drawing on relevant local and UK evidence.</w:t>
      </w:r>
    </w:p>
    <w:p w14:paraId="7F03C89C" w14:textId="77777777" w:rsidR="00F708C4" w:rsidRPr="00053D77" w:rsidRDefault="00F708C4" w:rsidP="00F708C4">
      <w:pPr>
        <w:spacing w:line="360" w:lineRule="auto"/>
        <w:rPr>
          <w:rFonts w:ascii="Arial" w:hAnsi="Arial" w:cs="Arial"/>
        </w:rPr>
      </w:pPr>
      <w:r w:rsidRPr="00053D77">
        <w:rPr>
          <w:rFonts w:ascii="Arial" w:hAnsi="Arial" w:cs="Arial"/>
        </w:rPr>
        <w:t>2. To critically analyse socioeconomic, geographical and organisational factors contributing to unequal access, including service availability, referral barriers and delayed interventions.</w:t>
      </w:r>
    </w:p>
    <w:p w14:paraId="4F34020E" w14:textId="77777777" w:rsidR="00F708C4" w:rsidRPr="00053D77" w:rsidRDefault="00F708C4" w:rsidP="00F708C4">
      <w:pPr>
        <w:spacing w:line="360" w:lineRule="auto"/>
        <w:rPr>
          <w:rFonts w:ascii="Arial" w:hAnsi="Arial" w:cs="Arial"/>
        </w:rPr>
      </w:pPr>
      <w:r w:rsidRPr="00053D77">
        <w:rPr>
          <w:rFonts w:ascii="Arial" w:hAnsi="Arial" w:cs="Arial"/>
        </w:rPr>
        <w:t>3. To critically evaluate organisational policies, early intervention strategies and interagency collaboration, assessing their implementation and effectiveness in reducing inequalities and addressing gaps between policy and practice.</w:t>
      </w:r>
    </w:p>
    <w:p w14:paraId="4DE92F51" w14:textId="458BBF8D" w:rsidR="00041A5A" w:rsidRPr="00053D77" w:rsidRDefault="00F708C4" w:rsidP="00801132">
      <w:pPr>
        <w:spacing w:line="360" w:lineRule="auto"/>
        <w:rPr>
          <w:rFonts w:ascii="Arial" w:hAnsi="Arial" w:cs="Arial"/>
        </w:rPr>
      </w:pPr>
      <w:r w:rsidRPr="00053D77">
        <w:rPr>
          <w:rFonts w:ascii="Arial" w:hAnsi="Arial" w:cs="Arial"/>
        </w:rPr>
        <w:lastRenderedPageBreak/>
        <w:t>4. To formulate evidence-based recommendations for improving equitable access, strengthening integrated service provision and addressing persistent inequalities in children’s mental healthcare across Lancashire.</w:t>
      </w:r>
    </w:p>
    <w:p w14:paraId="4C242DE7" w14:textId="77777777" w:rsidR="00D963AF" w:rsidRPr="00053D77" w:rsidRDefault="00D963AF" w:rsidP="00801132">
      <w:pPr>
        <w:spacing w:line="360" w:lineRule="auto"/>
        <w:rPr>
          <w:rFonts w:ascii="Arial" w:hAnsi="Arial" w:cs="Arial"/>
          <w:i/>
          <w:iCs/>
        </w:rPr>
      </w:pPr>
    </w:p>
    <w:p w14:paraId="3AC96963" w14:textId="42E0D23A" w:rsidR="00545684" w:rsidRPr="00053D77" w:rsidRDefault="00FF5B70" w:rsidP="00784670">
      <w:pPr>
        <w:pStyle w:val="Heading2"/>
      </w:pPr>
      <w:r w:rsidRPr="00053D77">
        <w:t>3</w:t>
      </w:r>
      <w:r w:rsidR="008E5015" w:rsidRPr="00053D77">
        <w:t xml:space="preserve">) </w:t>
      </w:r>
      <w:r w:rsidR="00545684" w:rsidRPr="00053D77">
        <w:t>Background</w:t>
      </w:r>
      <w:r w:rsidR="00FB4301" w:rsidRPr="00053D77">
        <w:t>/Rationale</w:t>
      </w:r>
      <w:r w:rsidR="00545684" w:rsidRPr="00053D77">
        <w:t>:</w:t>
      </w:r>
    </w:p>
    <w:p w14:paraId="0185F1B1" w14:textId="77777777" w:rsidR="00D963AF" w:rsidRPr="00053D77" w:rsidRDefault="00D963AF" w:rsidP="00D963AF">
      <w:pPr>
        <w:spacing w:line="360" w:lineRule="auto"/>
        <w:rPr>
          <w:rFonts w:ascii="Arial" w:hAnsi="Arial" w:cs="Arial"/>
        </w:rPr>
      </w:pPr>
      <w:r w:rsidRPr="00053D77">
        <w:rPr>
          <w:rFonts w:ascii="Arial" w:hAnsi="Arial" w:cs="Arial"/>
        </w:rPr>
        <w:t>Equitable access to children’s mental healthcare remains a significant challenge amid persistent socioeconomic and geographical inequalities (Marmot et al., 2020; House of Commons Health and Social Care Committee, 2021). In Lancashire County Council’s administrative area, 36.5% of children aged 0–15 live in income-deprived families (Lancashire County Council, 2026), highlighting the importance of examining whether service provision responds proportionately to disadvantage. National evidence identifies rejected referrals, prolonged waiting times and geographical variation in mental healthcare access (House of Commons Health and Social Care Committee, 2021). However, national findings cannot automatically explain local service inequalities. Lambert et al. (2020) provide valuable qualitative evidence from Pennine Lancashire, although professional perspectives alone cannot establish the effectiveness of organisational interventions.</w:t>
      </w:r>
    </w:p>
    <w:p w14:paraId="0A95BA7E" w14:textId="77777777" w:rsidR="00D963AF" w:rsidRPr="00053D77" w:rsidRDefault="00D963AF" w:rsidP="00D963AF">
      <w:pPr>
        <w:spacing w:line="360" w:lineRule="auto"/>
        <w:rPr>
          <w:rFonts w:ascii="Arial" w:hAnsi="Arial" w:cs="Arial"/>
        </w:rPr>
      </w:pPr>
    </w:p>
    <w:p w14:paraId="48B3D1A4" w14:textId="2D20272D" w:rsidR="00041A5A" w:rsidRPr="00053D77" w:rsidRDefault="00D963AF" w:rsidP="00041A5A">
      <w:pPr>
        <w:spacing w:line="360" w:lineRule="auto"/>
        <w:rPr>
          <w:rFonts w:ascii="Arial" w:hAnsi="Arial" w:cs="Arial"/>
        </w:rPr>
      </w:pPr>
      <w:r w:rsidRPr="00053D77">
        <w:rPr>
          <w:rFonts w:ascii="Arial" w:hAnsi="Arial" w:cs="Arial"/>
        </w:rPr>
        <w:t>While NHS England’s Core20PLUS5 framework prioritises reducing inequalities in children’s mental healthcare (NHS England, 2022), policy commitments must be distinguished from demonstrable improvements in access, particularly for children experiencing socioeconomic disadvantage. Furthermore, the expansion of early intervention and interagency collaboration does not necessarily guarantee equitable service provision without evidence of improved referral pathways, reduced waiting times and accessible support (House of Commons Health and Social Care Committee, 2021; Lancaster University, 2021). This study therefore critically examines the relationship between local deprivation, barriers to mental healthcare and organisational responses in Lancashire, identifying gaps between policy intentions and measurable outcomes to inform evidence-based recommendations.</w:t>
      </w:r>
    </w:p>
    <w:p w14:paraId="332E5A12" w14:textId="051972BF" w:rsidR="00545684" w:rsidRPr="00053D77" w:rsidRDefault="00FF5B70" w:rsidP="00784670">
      <w:pPr>
        <w:pStyle w:val="Heading2"/>
      </w:pPr>
      <w:r w:rsidRPr="00053D77">
        <w:t>4</w:t>
      </w:r>
      <w:r w:rsidR="008E5015" w:rsidRPr="00053D77">
        <w:t xml:space="preserve">) </w:t>
      </w:r>
      <w:r w:rsidR="00545684" w:rsidRPr="00053D77">
        <w:t>Methods:</w:t>
      </w:r>
    </w:p>
    <w:p w14:paraId="5ABD7664" w14:textId="036EA4E4" w:rsidR="00EC5D0C" w:rsidRPr="00053D77" w:rsidRDefault="00EC5D0C" w:rsidP="00EC5D0C">
      <w:pPr>
        <w:spacing w:line="360" w:lineRule="auto"/>
        <w:rPr>
          <w:rFonts w:ascii="Arial" w:hAnsi="Arial" w:cs="Arial"/>
        </w:rPr>
      </w:pPr>
      <w:r w:rsidRPr="00053D77">
        <w:rPr>
          <w:rFonts w:ascii="Arial" w:hAnsi="Arial" w:cs="Arial"/>
        </w:rPr>
        <w:t xml:space="preserve">This project will adopt a secondary </w:t>
      </w:r>
      <w:r w:rsidR="00C342D3" w:rsidRPr="00053D77">
        <w:rPr>
          <w:rFonts w:ascii="Arial" w:hAnsi="Arial" w:cs="Arial"/>
        </w:rPr>
        <w:t xml:space="preserve">mixed </w:t>
      </w:r>
      <w:r w:rsidRPr="00053D77">
        <w:rPr>
          <w:rFonts w:ascii="Arial" w:hAnsi="Arial" w:cs="Arial"/>
        </w:rPr>
        <w:t>approach through a structured review of academic and policy literature.</w:t>
      </w:r>
    </w:p>
    <w:p w14:paraId="3173B5F7" w14:textId="526F602E" w:rsidR="00EC5D0C" w:rsidRPr="00053D77" w:rsidRDefault="00EC5D0C" w:rsidP="00234BAC">
      <w:pPr>
        <w:pStyle w:val="ListParagraph"/>
        <w:numPr>
          <w:ilvl w:val="0"/>
          <w:numId w:val="11"/>
        </w:numPr>
        <w:spacing w:line="360" w:lineRule="auto"/>
        <w:rPr>
          <w:rFonts w:ascii="Arial" w:hAnsi="Arial" w:cs="Arial"/>
        </w:rPr>
      </w:pPr>
      <w:r w:rsidRPr="00053D77">
        <w:rPr>
          <w:rFonts w:ascii="Arial" w:hAnsi="Arial" w:cs="Arial"/>
        </w:rPr>
        <w:t>Data sources: Peer-reviewed UK studies, NHS publications, NICE guidance and Lancashire policy reports (2016–2026).</w:t>
      </w:r>
    </w:p>
    <w:p w14:paraId="3F18A431" w14:textId="06B5CE63" w:rsidR="00EC5D0C" w:rsidRPr="00053D77" w:rsidRDefault="00EC5D0C" w:rsidP="00234BAC">
      <w:pPr>
        <w:pStyle w:val="ListParagraph"/>
        <w:numPr>
          <w:ilvl w:val="0"/>
          <w:numId w:val="11"/>
        </w:numPr>
        <w:spacing w:line="360" w:lineRule="auto"/>
        <w:rPr>
          <w:rFonts w:ascii="Arial" w:hAnsi="Arial" w:cs="Arial"/>
        </w:rPr>
      </w:pPr>
      <w:r w:rsidRPr="00053D77">
        <w:rPr>
          <w:rFonts w:ascii="Arial" w:hAnsi="Arial" w:cs="Arial"/>
        </w:rPr>
        <w:t xml:space="preserve">Inclusion criteria: UK research examining </w:t>
      </w:r>
      <w:r w:rsidR="00586FF1" w:rsidRPr="00053D77">
        <w:rPr>
          <w:rFonts w:ascii="Arial" w:hAnsi="Arial" w:cs="Arial"/>
        </w:rPr>
        <w:t xml:space="preserve">children </w:t>
      </w:r>
      <w:r w:rsidRPr="00053D77">
        <w:rPr>
          <w:rFonts w:ascii="Arial" w:hAnsi="Arial" w:cs="Arial"/>
        </w:rPr>
        <w:t>mental health, inequalities in service access, family support and interagency collaboration</w:t>
      </w:r>
      <w:r w:rsidR="009657E8" w:rsidRPr="00053D77">
        <w:rPr>
          <w:rFonts w:ascii="Arial" w:hAnsi="Arial" w:cs="Arial"/>
        </w:rPr>
        <w:t>.</w:t>
      </w:r>
    </w:p>
    <w:p w14:paraId="2F5FAF03" w14:textId="66D2A103" w:rsidR="00EC5D0C" w:rsidRPr="00053D77" w:rsidRDefault="00EC5D0C" w:rsidP="00234BAC">
      <w:pPr>
        <w:pStyle w:val="ListParagraph"/>
        <w:numPr>
          <w:ilvl w:val="0"/>
          <w:numId w:val="11"/>
        </w:numPr>
        <w:spacing w:line="360" w:lineRule="auto"/>
        <w:rPr>
          <w:rFonts w:ascii="Arial" w:hAnsi="Arial" w:cs="Arial"/>
        </w:rPr>
      </w:pPr>
      <w:r w:rsidRPr="00053D77">
        <w:rPr>
          <w:rFonts w:ascii="Arial" w:hAnsi="Arial" w:cs="Arial"/>
        </w:rPr>
        <w:t>Exclusion criteria: Non-credible sources, irrelevant populations and studies unrelated to the research aim</w:t>
      </w:r>
      <w:r w:rsidR="002755DE" w:rsidRPr="00053D77">
        <w:rPr>
          <w:rFonts w:ascii="Arial" w:hAnsi="Arial" w:cs="Arial"/>
        </w:rPr>
        <w:t>, non-UK sources</w:t>
      </w:r>
      <w:r w:rsidR="00234BAC" w:rsidRPr="00053D77">
        <w:rPr>
          <w:rFonts w:ascii="Arial" w:hAnsi="Arial" w:cs="Arial"/>
        </w:rPr>
        <w:t xml:space="preserve"> and older than 10 years.</w:t>
      </w:r>
    </w:p>
    <w:p w14:paraId="04C9DD4F" w14:textId="5963023C" w:rsidR="00EC5D0C" w:rsidRPr="00053D77" w:rsidRDefault="00EC5D0C" w:rsidP="00234BAC">
      <w:pPr>
        <w:pStyle w:val="ListParagraph"/>
        <w:numPr>
          <w:ilvl w:val="0"/>
          <w:numId w:val="11"/>
        </w:numPr>
        <w:spacing w:line="360" w:lineRule="auto"/>
        <w:rPr>
          <w:rFonts w:ascii="Arial" w:hAnsi="Arial" w:cs="Arial"/>
        </w:rPr>
      </w:pPr>
      <w:r w:rsidRPr="00053D77">
        <w:rPr>
          <w:rFonts w:ascii="Arial" w:hAnsi="Arial" w:cs="Arial"/>
        </w:rPr>
        <w:t>Analysis: Braun and Clarke’s (2006) thematic analysis framework will be applied to identify recurring patterns, inequalities, organisational responses and gaps between policy and practice.</w:t>
      </w:r>
    </w:p>
    <w:p w14:paraId="2FE332DF" w14:textId="45E4E80A" w:rsidR="00331F5A" w:rsidRPr="00053D77" w:rsidRDefault="00EC5D0C" w:rsidP="00234BAC">
      <w:pPr>
        <w:pStyle w:val="ListParagraph"/>
        <w:numPr>
          <w:ilvl w:val="0"/>
          <w:numId w:val="11"/>
        </w:numPr>
        <w:spacing w:line="360" w:lineRule="auto"/>
        <w:rPr>
          <w:rFonts w:ascii="Arial" w:hAnsi="Arial" w:cs="Arial"/>
        </w:rPr>
      </w:pPr>
      <w:r w:rsidRPr="00053D77">
        <w:rPr>
          <w:rFonts w:ascii="Arial" w:hAnsi="Arial" w:cs="Arial"/>
        </w:rPr>
        <w:t>Ethical considerations: Accurate Harvard referencing, transparent source selection, minimisation of bias and avoidance of plagiarism.</w:t>
      </w:r>
    </w:p>
    <w:p w14:paraId="232DCC93" w14:textId="74A66EC3" w:rsidR="0061260B" w:rsidRPr="00053D77" w:rsidRDefault="00FF5B70" w:rsidP="00784670">
      <w:pPr>
        <w:pStyle w:val="Heading2"/>
      </w:pPr>
      <w:r w:rsidRPr="00053D77">
        <w:t>5</w:t>
      </w:r>
      <w:r w:rsidR="0061260B" w:rsidRPr="00053D77">
        <w:t>) Resources</w:t>
      </w:r>
      <w:r w:rsidR="00260277" w:rsidRPr="00053D77">
        <w:t>:</w:t>
      </w:r>
      <w:r w:rsidR="0061260B" w:rsidRPr="00053D77">
        <w:t xml:space="preserve"> </w:t>
      </w:r>
    </w:p>
    <w:p w14:paraId="30B5B22C" w14:textId="1574963A" w:rsidR="00BD46A5" w:rsidRPr="00053D77" w:rsidRDefault="00BD46A5" w:rsidP="00DC658D">
      <w:pPr>
        <w:pStyle w:val="ListParagraph"/>
        <w:numPr>
          <w:ilvl w:val="0"/>
          <w:numId w:val="9"/>
        </w:numPr>
        <w:rPr>
          <w:rFonts w:ascii="Arial" w:hAnsi="Arial" w:cs="Arial"/>
        </w:rPr>
      </w:pPr>
      <w:r w:rsidRPr="00053D77">
        <w:rPr>
          <w:rFonts w:ascii="Arial" w:hAnsi="Arial" w:cs="Arial"/>
        </w:rPr>
        <w:t xml:space="preserve">Databases: </w:t>
      </w:r>
      <w:r w:rsidR="00862AD4" w:rsidRPr="00053D77">
        <w:rPr>
          <w:rFonts w:ascii="Arial" w:hAnsi="Arial" w:cs="Arial"/>
        </w:rPr>
        <w:t xml:space="preserve">UWTSD Library, </w:t>
      </w:r>
      <w:r w:rsidRPr="00053D77">
        <w:rPr>
          <w:rFonts w:ascii="Arial" w:hAnsi="Arial" w:cs="Arial"/>
        </w:rPr>
        <w:t>PubMed, CINAHL, ProQuest, EBSCO</w:t>
      </w:r>
    </w:p>
    <w:p w14:paraId="4580FE14" w14:textId="69B905A1" w:rsidR="00BD46A5" w:rsidRPr="00053D77" w:rsidRDefault="00BD46A5" w:rsidP="00BD46A5">
      <w:pPr>
        <w:pStyle w:val="ListParagraph"/>
        <w:numPr>
          <w:ilvl w:val="0"/>
          <w:numId w:val="8"/>
        </w:numPr>
        <w:rPr>
          <w:rFonts w:ascii="Arial" w:hAnsi="Arial" w:cs="Arial"/>
        </w:rPr>
      </w:pPr>
      <w:r w:rsidRPr="00053D77">
        <w:rPr>
          <w:rFonts w:ascii="Arial" w:hAnsi="Arial" w:cs="Arial"/>
        </w:rPr>
        <w:t>Organisational sources: NHS England, NICE, GOV</w:t>
      </w:r>
      <w:r w:rsidR="00905F2E" w:rsidRPr="00053D77">
        <w:rPr>
          <w:rFonts w:ascii="Arial" w:hAnsi="Arial" w:cs="Arial"/>
        </w:rPr>
        <w:t xml:space="preserve"> </w:t>
      </w:r>
      <w:r w:rsidRPr="00053D77">
        <w:rPr>
          <w:rFonts w:ascii="Arial" w:hAnsi="Arial" w:cs="Arial"/>
        </w:rPr>
        <w:t>UK and Lancashire County Council.</w:t>
      </w:r>
    </w:p>
    <w:p w14:paraId="00A012AC" w14:textId="0BF7F754" w:rsidR="00BD46A5" w:rsidRPr="00053D77" w:rsidRDefault="00BD46A5" w:rsidP="00BD46A5">
      <w:pPr>
        <w:pStyle w:val="ListParagraph"/>
        <w:numPr>
          <w:ilvl w:val="0"/>
          <w:numId w:val="7"/>
        </w:numPr>
        <w:rPr>
          <w:rFonts w:ascii="Arial" w:hAnsi="Arial" w:cs="Arial"/>
        </w:rPr>
      </w:pPr>
      <w:r w:rsidRPr="00053D77">
        <w:rPr>
          <w:rFonts w:ascii="Arial" w:hAnsi="Arial" w:cs="Arial"/>
        </w:rPr>
        <w:t>Software: MS Word</w:t>
      </w:r>
    </w:p>
    <w:p w14:paraId="64C3045A" w14:textId="390381E7" w:rsidR="0061260B" w:rsidRPr="00053D77" w:rsidRDefault="00BD46A5" w:rsidP="00BD46A5">
      <w:pPr>
        <w:pStyle w:val="ListParagraph"/>
        <w:numPr>
          <w:ilvl w:val="0"/>
          <w:numId w:val="6"/>
        </w:numPr>
        <w:rPr>
          <w:rFonts w:ascii="Arial" w:hAnsi="Arial" w:cs="Arial"/>
        </w:rPr>
      </w:pPr>
      <w:r w:rsidRPr="00053D77">
        <w:rPr>
          <w:rFonts w:ascii="Arial" w:hAnsi="Arial" w:cs="Arial"/>
        </w:rPr>
        <w:t>Support: Supervisor feedback and university library resources</w:t>
      </w:r>
    </w:p>
    <w:p w14:paraId="376E10FA" w14:textId="77777777" w:rsidR="00260277" w:rsidRPr="00053D77" w:rsidRDefault="00260277" w:rsidP="00260277">
      <w:pPr>
        <w:rPr>
          <w:rFonts w:ascii="Arial" w:hAnsi="Arial" w:cs="Arial"/>
        </w:rPr>
      </w:pPr>
    </w:p>
    <w:p w14:paraId="25EB4EC4" w14:textId="175295F7" w:rsidR="00A91E26" w:rsidRPr="00053D77" w:rsidRDefault="00FF5B70" w:rsidP="00612182">
      <w:pPr>
        <w:pStyle w:val="Heading2"/>
      </w:pPr>
      <w:r w:rsidRPr="00053D77">
        <w:lastRenderedPageBreak/>
        <w:t>6</w:t>
      </w:r>
      <w:r w:rsidR="0061260B" w:rsidRPr="00053D77">
        <w:t>) Timescale:</w:t>
      </w:r>
    </w:p>
    <w:p w14:paraId="3729697D" w14:textId="1D10755F" w:rsidR="00612182" w:rsidRPr="00053D77" w:rsidRDefault="00612182" w:rsidP="00612182">
      <w:pPr>
        <w:spacing w:line="360" w:lineRule="auto"/>
        <w:rPr>
          <w:rFonts w:ascii="Arial" w:hAnsi="Arial" w:cs="Arial"/>
        </w:rPr>
      </w:pPr>
      <w:r w:rsidRPr="00053D77">
        <w:rPr>
          <w:rFonts w:ascii="Arial" w:hAnsi="Arial" w:cs="Arial"/>
        </w:rPr>
        <w:t>Weeks - Research Task</w:t>
      </w:r>
    </w:p>
    <w:p w14:paraId="4AC09EFA" w14:textId="77777777" w:rsidR="00612182" w:rsidRPr="00053D77" w:rsidRDefault="00612182" w:rsidP="00612182">
      <w:pPr>
        <w:spacing w:line="360" w:lineRule="auto"/>
        <w:rPr>
          <w:rFonts w:ascii="Arial" w:hAnsi="Arial" w:cs="Arial"/>
        </w:rPr>
      </w:pPr>
      <w:r w:rsidRPr="00053D77">
        <w:rPr>
          <w:rFonts w:ascii="Arial" w:hAnsi="Arial" w:cs="Arial"/>
        </w:rPr>
        <w:t>1–3</w:t>
      </w:r>
      <w:r w:rsidRPr="00053D77">
        <w:rPr>
          <w:rFonts w:ascii="Arial" w:hAnsi="Arial" w:cs="Arial"/>
        </w:rPr>
        <w:tab/>
        <w:t>Finalise proposal, examine Lancashire inequalities and obtain supervisor approval.</w:t>
      </w:r>
    </w:p>
    <w:p w14:paraId="5A9FA9FF" w14:textId="4433E780" w:rsidR="00612182" w:rsidRPr="00053D77" w:rsidRDefault="00612182" w:rsidP="00612182">
      <w:pPr>
        <w:spacing w:line="360" w:lineRule="auto"/>
        <w:rPr>
          <w:rFonts w:ascii="Arial" w:hAnsi="Arial" w:cs="Arial"/>
        </w:rPr>
      </w:pPr>
      <w:r w:rsidRPr="00053D77">
        <w:rPr>
          <w:rFonts w:ascii="Arial" w:hAnsi="Arial" w:cs="Arial"/>
        </w:rPr>
        <w:t>4–7</w:t>
      </w:r>
      <w:r w:rsidRPr="00053D77">
        <w:rPr>
          <w:rFonts w:ascii="Arial" w:hAnsi="Arial" w:cs="Arial"/>
        </w:rPr>
        <w:tab/>
        <w:t xml:space="preserve">Search UK literature, Lancashire policies and </w:t>
      </w:r>
      <w:r w:rsidR="00C14441" w:rsidRPr="00053D77">
        <w:rPr>
          <w:rFonts w:ascii="Arial" w:hAnsi="Arial" w:cs="Arial"/>
        </w:rPr>
        <w:t>children</w:t>
      </w:r>
      <w:r w:rsidRPr="00053D77">
        <w:rPr>
          <w:rFonts w:ascii="Arial" w:hAnsi="Arial" w:cs="Arial"/>
        </w:rPr>
        <w:t xml:space="preserve"> mental health research.</w:t>
      </w:r>
    </w:p>
    <w:p w14:paraId="3A4978EC" w14:textId="77777777" w:rsidR="00612182" w:rsidRPr="00053D77" w:rsidRDefault="00612182" w:rsidP="00612182">
      <w:pPr>
        <w:spacing w:line="360" w:lineRule="auto"/>
        <w:rPr>
          <w:rFonts w:ascii="Arial" w:hAnsi="Arial" w:cs="Arial"/>
        </w:rPr>
      </w:pPr>
      <w:r w:rsidRPr="00053D77">
        <w:rPr>
          <w:rFonts w:ascii="Arial" w:hAnsi="Arial" w:cs="Arial"/>
        </w:rPr>
        <w:t>8–11</w:t>
      </w:r>
      <w:r w:rsidRPr="00053D77">
        <w:rPr>
          <w:rFonts w:ascii="Arial" w:hAnsi="Arial" w:cs="Arial"/>
        </w:rPr>
        <w:tab/>
        <w:t>Screen evidence, critically appraise studies and draft the introduction.</w:t>
      </w:r>
    </w:p>
    <w:p w14:paraId="2FB0D50B" w14:textId="77777777" w:rsidR="00612182" w:rsidRPr="00053D77" w:rsidRDefault="00612182" w:rsidP="00612182">
      <w:pPr>
        <w:spacing w:line="360" w:lineRule="auto"/>
        <w:rPr>
          <w:rFonts w:ascii="Arial" w:hAnsi="Arial" w:cs="Arial"/>
        </w:rPr>
      </w:pPr>
      <w:r w:rsidRPr="00053D77">
        <w:rPr>
          <w:rFonts w:ascii="Arial" w:hAnsi="Arial" w:cs="Arial"/>
        </w:rPr>
        <w:t>12–15</w:t>
      </w:r>
      <w:r w:rsidRPr="00053D77">
        <w:rPr>
          <w:rFonts w:ascii="Arial" w:hAnsi="Arial" w:cs="Arial"/>
        </w:rPr>
        <w:tab/>
        <w:t>Complete background, methodology and academic methods poster.</w:t>
      </w:r>
    </w:p>
    <w:p w14:paraId="2DE9E2A3" w14:textId="77777777" w:rsidR="00612182" w:rsidRPr="00053D77" w:rsidRDefault="00612182" w:rsidP="00612182">
      <w:pPr>
        <w:spacing w:line="360" w:lineRule="auto"/>
        <w:rPr>
          <w:rFonts w:ascii="Arial" w:hAnsi="Arial" w:cs="Arial"/>
        </w:rPr>
      </w:pPr>
      <w:r w:rsidRPr="00053D77">
        <w:rPr>
          <w:rFonts w:ascii="Arial" w:hAnsi="Arial" w:cs="Arial"/>
        </w:rPr>
        <w:t>16–20</w:t>
      </w:r>
      <w:r w:rsidRPr="00053D77">
        <w:rPr>
          <w:rFonts w:ascii="Arial" w:hAnsi="Arial" w:cs="Arial"/>
        </w:rPr>
        <w:tab/>
        <w:t>Apply Braun and Clarke’s thematic analysis, comparing inequalities and organisational responses.</w:t>
      </w:r>
    </w:p>
    <w:p w14:paraId="00A84050" w14:textId="77777777" w:rsidR="00612182" w:rsidRPr="00053D77" w:rsidRDefault="00612182" w:rsidP="00612182">
      <w:pPr>
        <w:spacing w:line="360" w:lineRule="auto"/>
        <w:rPr>
          <w:rFonts w:ascii="Arial" w:hAnsi="Arial" w:cs="Arial"/>
        </w:rPr>
      </w:pPr>
      <w:r w:rsidRPr="00053D77">
        <w:rPr>
          <w:rFonts w:ascii="Arial" w:hAnsi="Arial" w:cs="Arial"/>
        </w:rPr>
        <w:t>21–24</w:t>
      </w:r>
      <w:r w:rsidRPr="00053D77">
        <w:rPr>
          <w:rFonts w:ascii="Arial" w:hAnsi="Arial" w:cs="Arial"/>
        </w:rPr>
        <w:tab/>
        <w:t>Evaluate intervention effectiveness, discuss findings and develop recommendations.</w:t>
      </w:r>
    </w:p>
    <w:p w14:paraId="6A8F33BA" w14:textId="77777777" w:rsidR="00612182" w:rsidRPr="00053D77" w:rsidRDefault="00612182" w:rsidP="00041A5A">
      <w:pPr>
        <w:spacing w:line="360" w:lineRule="auto"/>
        <w:rPr>
          <w:rFonts w:ascii="Arial" w:hAnsi="Arial" w:cs="Arial"/>
        </w:rPr>
      </w:pPr>
      <w:r w:rsidRPr="00053D77">
        <w:rPr>
          <w:rFonts w:ascii="Arial" w:hAnsi="Arial" w:cs="Arial"/>
        </w:rPr>
        <w:t>25–28</w:t>
      </w:r>
      <w:r w:rsidRPr="00053D77">
        <w:rPr>
          <w:rFonts w:ascii="Arial" w:hAnsi="Arial" w:cs="Arial"/>
        </w:rPr>
        <w:tab/>
        <w:t>Finalise conclusions, incorporate feedback, proofread and submit.</w:t>
      </w:r>
    </w:p>
    <w:p w14:paraId="778D2A1F" w14:textId="77777777" w:rsidR="00612182" w:rsidRPr="00053D77" w:rsidRDefault="00612182" w:rsidP="00041A5A">
      <w:pPr>
        <w:spacing w:line="360" w:lineRule="auto"/>
        <w:rPr>
          <w:rFonts w:ascii="Arial" w:hAnsi="Arial" w:cs="Arial"/>
        </w:rPr>
      </w:pPr>
    </w:p>
    <w:p w14:paraId="5713A915" w14:textId="12C05518" w:rsidR="00FF5B70" w:rsidRPr="00053D77" w:rsidRDefault="00FF5B70" w:rsidP="00041A5A">
      <w:pPr>
        <w:spacing w:line="360" w:lineRule="auto"/>
        <w:rPr>
          <w:rFonts w:ascii="Arial" w:hAnsi="Arial" w:cs="Arial"/>
          <w:b/>
          <w:bCs/>
          <w:i/>
          <w:iCs/>
          <w:sz w:val="28"/>
          <w:szCs w:val="28"/>
        </w:rPr>
      </w:pPr>
      <w:r w:rsidRPr="00053D77">
        <w:rPr>
          <w:rFonts w:ascii="Arial" w:hAnsi="Arial" w:cs="Arial"/>
          <w:b/>
          <w:bCs/>
          <w:i/>
          <w:iCs/>
          <w:sz w:val="28"/>
          <w:szCs w:val="28"/>
        </w:rPr>
        <w:t>7) Self-reflection as researcher (any strengths or challenges):</w:t>
      </w:r>
    </w:p>
    <w:p w14:paraId="449212CA" w14:textId="3AE53B1E" w:rsidR="00545684" w:rsidRPr="00053D77" w:rsidRDefault="00EF3096" w:rsidP="00041A5A">
      <w:pPr>
        <w:spacing w:line="360" w:lineRule="auto"/>
        <w:rPr>
          <w:rFonts w:ascii="Arial" w:hAnsi="Arial" w:cs="Arial"/>
        </w:rPr>
      </w:pPr>
      <w:r w:rsidRPr="00053D77">
        <w:rPr>
          <w:rFonts w:ascii="Arial" w:hAnsi="Arial" w:cs="Arial"/>
        </w:rPr>
        <w:t>The researcher’s professional experience in health and social care provides insight into organisational practices and service inequalities. Challenges may include interpreting conflicting secondary evidence, recognising potential bias and evaluating policy effectiveness. Systematic critical appraisal, reflective analysis and supervisory guidance will support methodological transparency, objectivity and the credibility of research findings.</w:t>
      </w:r>
      <w:r w:rsidR="00545684" w:rsidRPr="00053D77">
        <w:rPr>
          <w:rFonts w:ascii="Arial" w:hAnsi="Arial" w:cs="Arial"/>
        </w:rPr>
        <w:br w:type="page"/>
      </w:r>
    </w:p>
    <w:p w14:paraId="262C8CA3" w14:textId="4D2FF9E1" w:rsidR="00545684" w:rsidRPr="00053D77" w:rsidRDefault="00545684" w:rsidP="00FF5B70">
      <w:pPr>
        <w:pStyle w:val="Heading1"/>
        <w:rPr>
          <w:rFonts w:cs="Arial"/>
        </w:rPr>
      </w:pPr>
      <w:r w:rsidRPr="00053D77">
        <w:rPr>
          <w:rFonts w:cs="Arial"/>
        </w:rPr>
        <w:lastRenderedPageBreak/>
        <w:t>References</w:t>
      </w:r>
    </w:p>
    <w:p w14:paraId="6D871C44" w14:textId="77777777" w:rsidR="00331F5A" w:rsidRPr="00053D77" w:rsidRDefault="00331F5A" w:rsidP="00331F5A">
      <w:pPr>
        <w:spacing w:line="360" w:lineRule="auto"/>
        <w:rPr>
          <w:rFonts w:ascii="Arial" w:hAnsi="Arial" w:cs="Arial"/>
        </w:rPr>
      </w:pPr>
    </w:p>
    <w:p w14:paraId="2DAD36D9" w14:textId="7C972CB1" w:rsidR="00651BF1" w:rsidRPr="00053D77" w:rsidRDefault="00062F9B" w:rsidP="00331F5A">
      <w:pPr>
        <w:spacing w:line="360" w:lineRule="auto"/>
        <w:rPr>
          <w:rFonts w:ascii="Arial" w:hAnsi="Arial" w:cs="Arial"/>
        </w:rPr>
      </w:pPr>
      <w:r w:rsidRPr="00053D77">
        <w:rPr>
          <w:rFonts w:ascii="Arial" w:hAnsi="Arial" w:cs="Arial"/>
        </w:rPr>
        <w:t xml:space="preserve">Braun, V. and Clarke, V. (2006) ‘Using thematic analysis in psychology’, </w:t>
      </w:r>
      <w:r w:rsidRPr="00053D77">
        <w:rPr>
          <w:rFonts w:ascii="Arial" w:hAnsi="Arial" w:cs="Arial"/>
          <w:i/>
          <w:iCs/>
        </w:rPr>
        <w:t>Qualitative</w:t>
      </w:r>
      <w:r w:rsidRPr="00053D77">
        <w:rPr>
          <w:rFonts w:ascii="Arial" w:hAnsi="Arial" w:cs="Arial"/>
        </w:rPr>
        <w:t xml:space="preserve"> </w:t>
      </w:r>
      <w:r w:rsidRPr="00053D77">
        <w:rPr>
          <w:rFonts w:ascii="Arial" w:hAnsi="Arial" w:cs="Arial"/>
          <w:i/>
          <w:iCs/>
        </w:rPr>
        <w:t>Research in Psychology</w:t>
      </w:r>
      <w:r w:rsidRPr="00053D77">
        <w:rPr>
          <w:rFonts w:ascii="Arial" w:hAnsi="Arial" w:cs="Arial"/>
        </w:rPr>
        <w:t xml:space="preserve">, 3(2), pp. 77–101. </w:t>
      </w:r>
      <w:hyperlink r:id="rId7" w:history="1">
        <w:r w:rsidR="00651BF1" w:rsidRPr="00053D77">
          <w:rPr>
            <w:rStyle w:val="Hyperlink"/>
            <w:rFonts w:ascii="Arial" w:hAnsi="Arial" w:cs="Arial"/>
          </w:rPr>
          <w:t>https://doi.org/10.1191/1478088706qp063oa</w:t>
        </w:r>
      </w:hyperlink>
    </w:p>
    <w:p w14:paraId="757E2BC2" w14:textId="69A447E4" w:rsidR="00AE53A6" w:rsidRPr="00053D77" w:rsidRDefault="00062F9B" w:rsidP="00331F5A">
      <w:pPr>
        <w:spacing w:line="360" w:lineRule="auto"/>
        <w:rPr>
          <w:rFonts w:ascii="Arial" w:hAnsi="Arial" w:cs="Arial"/>
        </w:rPr>
      </w:pPr>
      <w:r w:rsidRPr="00053D77">
        <w:rPr>
          <w:rFonts w:ascii="Segoe UI Symbol" w:hAnsi="Segoe UI Symbol" w:cs="Segoe UI Symbol"/>
        </w:rPr>
        <w:t>⁠</w:t>
      </w:r>
      <w:r w:rsidR="00603653" w:rsidRPr="00053D77">
        <w:rPr>
          <w:rFonts w:ascii="Arial" w:hAnsi="Arial" w:cs="Arial"/>
        </w:rPr>
        <w:t xml:space="preserve">Department for Education (2026) </w:t>
      </w:r>
      <w:r w:rsidR="00603653" w:rsidRPr="00053D77">
        <w:rPr>
          <w:rFonts w:ascii="Arial" w:hAnsi="Arial" w:cs="Arial"/>
          <w:i/>
          <w:iCs/>
        </w:rPr>
        <w:t>Working together to safeguard children 2026: statutory guidance</w:t>
      </w:r>
      <w:r w:rsidR="00603653" w:rsidRPr="00053D77">
        <w:rPr>
          <w:rFonts w:ascii="Arial" w:hAnsi="Arial" w:cs="Arial"/>
        </w:rPr>
        <w:t xml:space="preserve">. Available at: </w:t>
      </w:r>
      <w:hyperlink r:id="rId8" w:history="1">
        <w:r w:rsidR="00B659E1" w:rsidRPr="00053D77">
          <w:rPr>
            <w:rStyle w:val="Hyperlink"/>
            <w:rFonts w:ascii="Arial" w:hAnsi="Arial" w:cs="Arial"/>
          </w:rPr>
          <w:t>https://www.gov.uk/government/publications/working-together-to-safeguard-children--2</w:t>
        </w:r>
      </w:hyperlink>
      <w:r w:rsidR="00AE53A6" w:rsidRPr="00053D77">
        <w:rPr>
          <w:rFonts w:ascii="Arial" w:hAnsi="Arial" w:cs="Arial"/>
        </w:rPr>
        <w:t xml:space="preserve"> (Accessed: 18 October 2026).</w:t>
      </w:r>
    </w:p>
    <w:p w14:paraId="2A677737" w14:textId="13201C31" w:rsidR="00AE53A6" w:rsidRPr="00053D77" w:rsidRDefault="001B563E" w:rsidP="00331F5A">
      <w:pPr>
        <w:spacing w:line="360" w:lineRule="auto"/>
        <w:rPr>
          <w:rFonts w:ascii="Arial" w:hAnsi="Arial" w:cs="Arial"/>
        </w:rPr>
      </w:pPr>
      <w:r w:rsidRPr="00053D77">
        <w:rPr>
          <w:rFonts w:ascii="Arial" w:hAnsi="Arial" w:cs="Arial"/>
        </w:rPr>
        <w:t>The Families First Partnership (FFP) programme guide. Available at: https://www.gov.uk/government/publications/families-first-partnership-programme</w:t>
      </w:r>
      <w:r w:rsidRPr="00053D77">
        <w:rPr>
          <w:rFonts w:ascii="Segoe UI Symbol" w:hAnsi="Segoe UI Symbol" w:cs="Segoe UI Symbol"/>
        </w:rPr>
        <w:t>⁠</w:t>
      </w:r>
      <w:r w:rsidR="00F13D5E" w:rsidRPr="00053D77">
        <w:rPr>
          <w:rFonts w:ascii="Arial" w:hAnsi="Arial" w:cs="Arial"/>
        </w:rPr>
        <w:t xml:space="preserve"> </w:t>
      </w:r>
      <w:r w:rsidRPr="00053D77">
        <w:rPr>
          <w:rFonts w:ascii="Arial" w:hAnsi="Arial" w:cs="Arial"/>
        </w:rPr>
        <w:t>(Accessed: 18 October 2026).</w:t>
      </w:r>
    </w:p>
    <w:p w14:paraId="5B878A12" w14:textId="2C2889B2" w:rsidR="00B659E1" w:rsidRPr="00053D77" w:rsidRDefault="00B659E1">
      <w:pPr>
        <w:pStyle w:val="p1"/>
        <w:rPr>
          <w:rStyle w:val="s2"/>
          <w:rFonts w:ascii="Arial" w:hAnsi="Arial" w:cs="Arial"/>
        </w:rPr>
      </w:pPr>
      <w:r w:rsidRPr="00053D77">
        <w:rPr>
          <w:rStyle w:val="s1"/>
          <w:rFonts w:ascii="Arial" w:hAnsi="Arial" w:cs="Arial"/>
        </w:rPr>
        <w:t>Equality Act 2010</w:t>
      </w:r>
      <w:r w:rsidRPr="00053D77">
        <w:rPr>
          <w:rStyle w:val="s2"/>
          <w:rFonts w:ascii="Arial" w:hAnsi="Arial" w:cs="Arial"/>
        </w:rPr>
        <w:t>. Available at: https://www.legislation.gov.uk/</w:t>
      </w:r>
      <w:proofErr w:type="spellStart"/>
      <w:r w:rsidRPr="00053D77">
        <w:rPr>
          <w:rStyle w:val="s2"/>
          <w:rFonts w:ascii="Arial" w:hAnsi="Arial" w:cs="Arial"/>
        </w:rPr>
        <w:t>ukpga</w:t>
      </w:r>
      <w:proofErr w:type="spellEnd"/>
      <w:r w:rsidRPr="00053D77">
        <w:rPr>
          <w:rStyle w:val="s2"/>
          <w:rFonts w:ascii="Arial" w:hAnsi="Arial" w:cs="Arial"/>
        </w:rPr>
        <w:t>/2010/15/contents</w:t>
      </w:r>
      <w:r w:rsidRPr="00053D77">
        <w:rPr>
          <w:rStyle w:val="s2"/>
          <w:rFonts w:ascii="Segoe UI Symbol" w:hAnsi="Segoe UI Symbol" w:cs="Segoe UI Symbol"/>
        </w:rPr>
        <w:t>⁠</w:t>
      </w:r>
      <w:r w:rsidRPr="00053D77">
        <w:rPr>
          <w:rStyle w:val="s2"/>
          <w:rFonts w:ascii="Arial" w:hAnsi="Arial" w:cs="Arial"/>
        </w:rPr>
        <w:t xml:space="preserve"> (Accessed: 18 October 2026).</w:t>
      </w:r>
    </w:p>
    <w:p w14:paraId="1DBA8098" w14:textId="77777777" w:rsidR="005F6A71" w:rsidRPr="00053D77" w:rsidRDefault="005F6A71">
      <w:pPr>
        <w:pStyle w:val="p1"/>
        <w:rPr>
          <w:rStyle w:val="s2"/>
          <w:rFonts w:ascii="Arial" w:hAnsi="Arial" w:cs="Arial"/>
        </w:rPr>
      </w:pPr>
    </w:p>
    <w:p w14:paraId="4548B6FD" w14:textId="7E004D6A" w:rsidR="005F6A71" w:rsidRPr="00053D77" w:rsidRDefault="00A14B4B">
      <w:pPr>
        <w:pStyle w:val="p1"/>
        <w:rPr>
          <w:rFonts w:ascii="Arial" w:hAnsi="Arial" w:cs="Arial"/>
        </w:rPr>
      </w:pPr>
      <w:r w:rsidRPr="00053D77">
        <w:rPr>
          <w:rFonts w:ascii="Arial" w:hAnsi="Arial" w:cs="Arial"/>
        </w:rPr>
        <w:t>Department of Health and Social Care (2025) Fit for the future: 10 Year Health Plan for England. London: Department of Health and Social Care. Available at: https://www.gov.uk/government/publications/10-year-health-plan-for-england-fit-for-the-future</w:t>
      </w:r>
      <w:r w:rsidRPr="00053D77">
        <w:rPr>
          <w:rFonts w:ascii="Segoe UI Symbol" w:hAnsi="Segoe UI Symbol" w:cs="Segoe UI Symbol"/>
        </w:rPr>
        <w:t>⁠</w:t>
      </w:r>
      <w:r w:rsidRPr="00053D77">
        <w:rPr>
          <w:rFonts w:ascii="Arial" w:hAnsi="Arial" w:cs="Arial"/>
        </w:rPr>
        <w:t xml:space="preserve"> (Accessed: 18 October 2026).</w:t>
      </w:r>
    </w:p>
    <w:p w14:paraId="1BC8963A" w14:textId="77777777" w:rsidR="00B659E1" w:rsidRPr="00053D77" w:rsidRDefault="00B659E1" w:rsidP="00331F5A">
      <w:pPr>
        <w:spacing w:line="360" w:lineRule="auto"/>
        <w:rPr>
          <w:rFonts w:ascii="Arial" w:hAnsi="Arial" w:cs="Arial"/>
        </w:rPr>
      </w:pPr>
    </w:p>
    <w:p w14:paraId="55B77F43" w14:textId="7587C3C3" w:rsidR="009125CE" w:rsidRPr="00053D77" w:rsidRDefault="00992C73">
      <w:pPr>
        <w:pStyle w:val="p1"/>
        <w:rPr>
          <w:rFonts w:ascii="Arial" w:hAnsi="Arial" w:cs="Arial"/>
        </w:rPr>
      </w:pPr>
      <w:r w:rsidRPr="00053D77">
        <w:rPr>
          <w:rFonts w:ascii="Arial" w:hAnsi="Arial" w:cs="Arial"/>
        </w:rPr>
        <w:t>N</w:t>
      </w:r>
      <w:r w:rsidR="00AE7233" w:rsidRPr="00053D77">
        <w:rPr>
          <w:rFonts w:ascii="Arial" w:hAnsi="Arial" w:cs="Arial"/>
          <w:position w:val="3"/>
        </w:rPr>
        <w:t>HS</w:t>
      </w:r>
      <w:r w:rsidR="009125CE" w:rsidRPr="00053D77">
        <w:rPr>
          <w:rFonts w:ascii="Arial" w:hAnsi="Arial" w:cs="Arial"/>
          <w:position w:val="3"/>
        </w:rPr>
        <w:t xml:space="preserve"> England (2022) </w:t>
      </w:r>
      <w:r w:rsidR="009125CE" w:rsidRPr="00053D77">
        <w:rPr>
          <w:rFonts w:ascii="Arial" w:hAnsi="Arial" w:cs="Arial"/>
          <w:i/>
          <w:iCs/>
          <w:position w:val="3"/>
        </w:rPr>
        <w:t>Core20PLUS5 – An approach to reducing health inequalities for children and young people</w:t>
      </w:r>
      <w:r w:rsidR="009125CE" w:rsidRPr="00053D77">
        <w:rPr>
          <w:rFonts w:ascii="Arial" w:hAnsi="Arial" w:cs="Arial"/>
          <w:position w:val="3"/>
        </w:rPr>
        <w:t>. Available at: https://www.england.nhs.uk/about/equality/equality-hub/national-healthcare-inequalities-improvement-programme/core20plus5/core20plus5-cyp/</w:t>
      </w:r>
      <w:r w:rsidR="009125CE" w:rsidRPr="00053D77">
        <w:rPr>
          <w:rFonts w:ascii="Segoe UI Symbol" w:hAnsi="Segoe UI Symbol" w:cs="Segoe UI Symbol"/>
          <w:position w:val="3"/>
        </w:rPr>
        <w:t>⁠</w:t>
      </w:r>
      <w:r w:rsidR="009125CE" w:rsidRPr="00053D77">
        <w:rPr>
          <w:rFonts w:ascii="Arial" w:hAnsi="Arial" w:cs="Arial"/>
          <w:position w:val="3"/>
        </w:rPr>
        <w:t xml:space="preserve"> (Accessed: 18 October 20</w:t>
      </w:r>
      <w:r w:rsidR="00AE7233" w:rsidRPr="00053D77">
        <w:rPr>
          <w:rFonts w:ascii="Arial" w:hAnsi="Arial" w:cs="Arial"/>
          <w:position w:val="3"/>
        </w:rPr>
        <w:t>26).</w:t>
      </w:r>
    </w:p>
    <w:p w14:paraId="0CE97436" w14:textId="7B9A0AFF" w:rsidR="00A66DB7" w:rsidRPr="00053D77" w:rsidRDefault="00CE5D3D" w:rsidP="00331F5A">
      <w:pPr>
        <w:spacing w:line="360" w:lineRule="auto"/>
        <w:rPr>
          <w:rFonts w:ascii="Arial" w:hAnsi="Arial" w:cs="Arial"/>
        </w:rPr>
      </w:pPr>
      <w:r w:rsidRPr="00053D77">
        <w:rPr>
          <w:rFonts w:ascii="Arial" w:hAnsi="Arial" w:cs="Arial"/>
        </w:rPr>
        <w:t>National Institute for Health and Care Excellence (NICE) (20</w:t>
      </w:r>
      <w:r w:rsidR="003468BD" w:rsidRPr="00053D77">
        <w:rPr>
          <w:rFonts w:ascii="Arial" w:hAnsi="Arial" w:cs="Arial"/>
        </w:rPr>
        <w:t>20</w:t>
      </w:r>
      <w:r w:rsidRPr="00053D77">
        <w:rPr>
          <w:rFonts w:ascii="Arial" w:hAnsi="Arial" w:cs="Arial"/>
        </w:rPr>
        <w:t>)</w:t>
      </w:r>
      <w:r w:rsidRPr="00053D77">
        <w:rPr>
          <w:rFonts w:ascii="Arial" w:hAnsi="Arial" w:cs="Arial"/>
          <w:i/>
          <w:iCs/>
        </w:rPr>
        <w:t xml:space="preserve"> Antenatal and postnatal mental health: clinical management and service guidance</w:t>
      </w:r>
      <w:r w:rsidRPr="00053D77">
        <w:rPr>
          <w:rFonts w:ascii="Arial" w:hAnsi="Arial" w:cs="Arial"/>
        </w:rPr>
        <w:t>. Available at: https://www.nice.org.uk/guidance/cg192</w:t>
      </w:r>
      <w:r w:rsidRPr="00053D77">
        <w:rPr>
          <w:rFonts w:ascii="Segoe UI Symbol" w:hAnsi="Segoe UI Symbol" w:cs="Segoe UI Symbol"/>
        </w:rPr>
        <w:t>⁠</w:t>
      </w:r>
      <w:r w:rsidRPr="00053D77">
        <w:rPr>
          <w:rFonts w:ascii="Arial" w:hAnsi="Arial" w:cs="Arial"/>
        </w:rPr>
        <w:t xml:space="preserve"> (Accessed: 18 October 2026).</w:t>
      </w:r>
    </w:p>
    <w:p w14:paraId="0B59CA8B" w14:textId="4C0FE637" w:rsidR="00A738A5" w:rsidRPr="00053D77" w:rsidRDefault="00A738A5" w:rsidP="00A738A5">
      <w:pPr>
        <w:spacing w:after="0" w:line="402" w:lineRule="atLeast"/>
        <w:rPr>
          <w:rFonts w:ascii="Arial" w:eastAsiaTheme="minorEastAsia" w:hAnsi="Arial" w:cs="Arial"/>
          <w:color w:val="0D0D0D"/>
          <w:position w:val="3"/>
          <w:sz w:val="29"/>
          <w:szCs w:val="29"/>
          <w:lang w:eastAsia="en-GB"/>
        </w:rPr>
      </w:pPr>
      <w:r w:rsidRPr="00053D77">
        <w:rPr>
          <w:rFonts w:ascii="Arial" w:eastAsiaTheme="minorEastAsia" w:hAnsi="Arial" w:cs="Arial"/>
          <w:color w:val="0D0D0D"/>
          <w:position w:val="3"/>
          <w:sz w:val="29"/>
          <w:szCs w:val="29"/>
          <w:lang w:eastAsia="en-GB"/>
        </w:rPr>
        <w:lastRenderedPageBreak/>
        <w:t xml:space="preserve">NHS England (2019) </w:t>
      </w:r>
      <w:r w:rsidRPr="00053D77">
        <w:rPr>
          <w:rFonts w:ascii="Arial" w:eastAsiaTheme="minorEastAsia" w:hAnsi="Arial" w:cs="Arial"/>
          <w:i/>
          <w:iCs/>
          <w:color w:val="0D0D0D"/>
          <w:position w:val="3"/>
          <w:sz w:val="29"/>
          <w:szCs w:val="29"/>
          <w:lang w:eastAsia="en-GB"/>
        </w:rPr>
        <w:t>The NHS Long Term Plan</w:t>
      </w:r>
      <w:r w:rsidRPr="00053D77">
        <w:rPr>
          <w:rFonts w:ascii="Arial" w:eastAsiaTheme="minorEastAsia" w:hAnsi="Arial" w:cs="Arial"/>
          <w:color w:val="0D0D0D"/>
          <w:position w:val="3"/>
          <w:sz w:val="29"/>
          <w:szCs w:val="29"/>
          <w:lang w:eastAsia="en-GB"/>
        </w:rPr>
        <w:t>. Available at:</w:t>
      </w:r>
      <w:r w:rsidR="006D11C6" w:rsidRPr="00053D77">
        <w:rPr>
          <w:rFonts w:ascii="Arial" w:eastAsiaTheme="minorEastAsia" w:hAnsi="Arial" w:cs="Arial"/>
          <w:color w:val="0D0D0D"/>
          <w:position w:val="3"/>
          <w:sz w:val="29"/>
          <w:szCs w:val="29"/>
          <w:lang w:eastAsia="en-GB"/>
        </w:rPr>
        <w:t xml:space="preserve"> </w:t>
      </w:r>
      <w:r w:rsidR="009B2296" w:rsidRPr="00053D77">
        <w:rPr>
          <w:rFonts w:ascii="Arial" w:eastAsiaTheme="minorEastAsia" w:hAnsi="Arial" w:cs="Arial"/>
          <w:color w:val="0D0D0D"/>
          <w:position w:val="3"/>
          <w:sz w:val="29"/>
          <w:szCs w:val="29"/>
          <w:lang w:eastAsia="en-GB"/>
        </w:rPr>
        <w:t>https://webarchive.nationalarchives.gov.uk/ukgwa/20250511091243/https://www.longtermplan.nhs.uk/</w:t>
      </w:r>
      <w:r w:rsidR="00D30D30" w:rsidRPr="00053D77">
        <w:rPr>
          <w:rFonts w:ascii="Arial" w:eastAsiaTheme="minorEastAsia" w:hAnsi="Arial" w:cs="Arial"/>
          <w:color w:val="0D0D0D"/>
          <w:position w:val="3"/>
          <w:sz w:val="29"/>
          <w:szCs w:val="29"/>
          <w:lang w:eastAsia="en-GB"/>
        </w:rPr>
        <w:t xml:space="preserve"> (Accessed 18 October 2026).</w:t>
      </w:r>
    </w:p>
    <w:p w14:paraId="25B6B65D" w14:textId="77777777" w:rsidR="00D30D30" w:rsidRPr="00053D77" w:rsidRDefault="00D30D30" w:rsidP="00A738A5">
      <w:pPr>
        <w:spacing w:after="0" w:line="402" w:lineRule="atLeast"/>
        <w:rPr>
          <w:rFonts w:ascii="Arial" w:eastAsiaTheme="minorEastAsia" w:hAnsi="Arial" w:cs="Arial"/>
          <w:color w:val="0D0D0D"/>
          <w:position w:val="3"/>
          <w:sz w:val="29"/>
          <w:szCs w:val="29"/>
          <w:lang w:eastAsia="en-GB"/>
        </w:rPr>
      </w:pPr>
    </w:p>
    <w:p w14:paraId="3ED7A89A" w14:textId="43D7E843" w:rsidR="00E80581" w:rsidRPr="00053D77" w:rsidRDefault="00E80581">
      <w:pPr>
        <w:pStyle w:val="p1"/>
        <w:rPr>
          <w:rStyle w:val="s2"/>
          <w:rFonts w:ascii="Arial" w:hAnsi="Arial" w:cs="Arial"/>
        </w:rPr>
      </w:pPr>
      <w:r w:rsidRPr="00053D77">
        <w:rPr>
          <w:rStyle w:val="s1"/>
          <w:rFonts w:ascii="Arial" w:hAnsi="Arial" w:cs="Arial"/>
        </w:rPr>
        <w:t>Children and Families Act 2014</w:t>
      </w:r>
      <w:r w:rsidRPr="00053D77">
        <w:rPr>
          <w:rStyle w:val="s2"/>
          <w:rFonts w:ascii="Arial" w:hAnsi="Arial" w:cs="Arial"/>
        </w:rPr>
        <w:t>. Available at: https://www.legislation.gov.uk/</w:t>
      </w:r>
      <w:proofErr w:type="spellStart"/>
      <w:r w:rsidRPr="00053D77">
        <w:rPr>
          <w:rStyle w:val="s2"/>
          <w:rFonts w:ascii="Arial" w:hAnsi="Arial" w:cs="Arial"/>
        </w:rPr>
        <w:t>ukpga</w:t>
      </w:r>
      <w:proofErr w:type="spellEnd"/>
      <w:r w:rsidRPr="00053D77">
        <w:rPr>
          <w:rStyle w:val="s2"/>
          <w:rFonts w:ascii="Arial" w:hAnsi="Arial" w:cs="Arial"/>
        </w:rPr>
        <w:t>/2014/6/contents</w:t>
      </w:r>
      <w:r w:rsidRPr="00053D77">
        <w:rPr>
          <w:rStyle w:val="s2"/>
          <w:rFonts w:ascii="Segoe UI Symbol" w:hAnsi="Segoe UI Symbol" w:cs="Segoe UI Symbol"/>
        </w:rPr>
        <w:t>⁠</w:t>
      </w:r>
      <w:r w:rsidRPr="00053D77">
        <w:rPr>
          <w:rStyle w:val="s2"/>
          <w:rFonts w:ascii="Arial" w:hAnsi="Arial" w:cs="Arial"/>
        </w:rPr>
        <w:t xml:space="preserve"> (Accessed: 18 October 2026).</w:t>
      </w:r>
    </w:p>
    <w:p w14:paraId="58D043D8" w14:textId="77777777" w:rsidR="00C605F8" w:rsidRPr="00053D77" w:rsidRDefault="00C605F8">
      <w:pPr>
        <w:pStyle w:val="p1"/>
        <w:rPr>
          <w:rFonts w:ascii="Arial" w:hAnsi="Arial" w:cs="Arial"/>
        </w:rPr>
      </w:pPr>
    </w:p>
    <w:p w14:paraId="05B2EE6F" w14:textId="7AEC92E9" w:rsidR="00C605F8" w:rsidRPr="00053D77" w:rsidRDefault="00C605F8" w:rsidP="00C605F8">
      <w:pPr>
        <w:spacing w:after="0" w:line="402" w:lineRule="atLeast"/>
        <w:rPr>
          <w:rFonts w:ascii="Arial" w:eastAsiaTheme="minorEastAsia" w:hAnsi="Arial" w:cs="Arial"/>
          <w:color w:val="0D0D0D"/>
          <w:position w:val="3"/>
          <w:sz w:val="29"/>
          <w:szCs w:val="29"/>
          <w:lang w:eastAsia="en-GB"/>
        </w:rPr>
      </w:pPr>
      <w:r w:rsidRPr="00053D77">
        <w:rPr>
          <w:rFonts w:ascii="Arial" w:eastAsiaTheme="minorEastAsia" w:hAnsi="Arial" w:cs="Arial"/>
          <w:color w:val="0D0D0D"/>
          <w:position w:val="3"/>
          <w:sz w:val="29"/>
          <w:szCs w:val="29"/>
          <w:lang w:eastAsia="en-GB"/>
        </w:rPr>
        <w:t xml:space="preserve">The NHS Alliance (2026) </w:t>
      </w:r>
      <w:r w:rsidRPr="00053D77">
        <w:rPr>
          <w:rFonts w:ascii="Arial" w:eastAsiaTheme="minorEastAsia" w:hAnsi="Arial" w:cs="Arial"/>
          <w:i/>
          <w:iCs/>
          <w:color w:val="0D0D0D"/>
          <w:position w:val="3"/>
          <w:sz w:val="29"/>
          <w:szCs w:val="29"/>
          <w:lang w:eastAsia="en-GB"/>
        </w:rPr>
        <w:t>Transforming access to children and young people’s mental health support</w:t>
      </w:r>
      <w:r w:rsidRPr="00053D77">
        <w:rPr>
          <w:rFonts w:ascii="Arial" w:eastAsiaTheme="minorEastAsia" w:hAnsi="Arial" w:cs="Arial"/>
          <w:color w:val="0D0D0D"/>
          <w:position w:val="3"/>
          <w:sz w:val="29"/>
          <w:szCs w:val="29"/>
          <w:lang w:eastAsia="en-GB"/>
        </w:rPr>
        <w:t>. 17 February. Available at: https://thenhsalliance.org/resources/transforming-access-to-children-and-young-people-s-mental-health-support</w:t>
      </w:r>
      <w:r w:rsidRPr="00053D77">
        <w:rPr>
          <w:rFonts w:ascii="Segoe UI Symbol" w:eastAsiaTheme="minorEastAsia" w:hAnsi="Segoe UI Symbol" w:cs="Segoe UI Symbol"/>
          <w:color w:val="0D0D0D"/>
          <w:position w:val="3"/>
          <w:sz w:val="29"/>
          <w:szCs w:val="29"/>
          <w:lang w:eastAsia="en-GB"/>
        </w:rPr>
        <w:t>⁠</w:t>
      </w:r>
      <w:r w:rsidR="00800E76" w:rsidRPr="00053D77">
        <w:rPr>
          <w:rFonts w:ascii="Arial" w:eastAsiaTheme="minorEastAsia" w:hAnsi="Arial" w:cs="Arial"/>
          <w:noProof/>
          <w:color w:val="0D0D0D"/>
          <w:position w:val="3"/>
          <w:sz w:val="29"/>
          <w:szCs w:val="29"/>
          <w:lang w:eastAsia="en-GB"/>
        </w:rPr>
        <w:t xml:space="preserve"> </w:t>
      </w:r>
      <w:r w:rsidRPr="00053D77">
        <w:rPr>
          <w:rFonts w:ascii="Arial" w:eastAsiaTheme="minorEastAsia" w:hAnsi="Arial" w:cs="Arial"/>
          <w:color w:val="0D0D0D"/>
          <w:position w:val="3"/>
          <w:sz w:val="29"/>
          <w:szCs w:val="29"/>
          <w:lang w:eastAsia="en-GB"/>
        </w:rPr>
        <w:t xml:space="preserve"> (Accessed: 18 October 20</w:t>
      </w:r>
      <w:r w:rsidR="00800E76" w:rsidRPr="00053D77">
        <w:rPr>
          <w:rFonts w:ascii="Arial" w:eastAsiaTheme="minorEastAsia" w:hAnsi="Arial" w:cs="Arial"/>
          <w:color w:val="0D0D0D"/>
          <w:position w:val="3"/>
          <w:sz w:val="29"/>
          <w:szCs w:val="29"/>
          <w:lang w:eastAsia="en-GB"/>
        </w:rPr>
        <w:t>26).</w:t>
      </w:r>
    </w:p>
    <w:p w14:paraId="3B9358B7" w14:textId="77777777" w:rsidR="008B5AB5" w:rsidRPr="00053D77" w:rsidRDefault="008B5AB5" w:rsidP="00C605F8">
      <w:pPr>
        <w:spacing w:after="0" w:line="402" w:lineRule="atLeast"/>
        <w:rPr>
          <w:rFonts w:ascii="Arial" w:eastAsiaTheme="minorEastAsia" w:hAnsi="Arial" w:cs="Arial"/>
          <w:color w:val="0D0D0D"/>
          <w:position w:val="3"/>
          <w:sz w:val="29"/>
          <w:szCs w:val="29"/>
          <w:lang w:eastAsia="en-GB"/>
        </w:rPr>
      </w:pPr>
    </w:p>
    <w:p w14:paraId="2EC2A0F0" w14:textId="1272982B" w:rsidR="00F52F6B" w:rsidRPr="00053D77" w:rsidRDefault="00F52F6B" w:rsidP="00C605F8">
      <w:pPr>
        <w:spacing w:after="0" w:line="402" w:lineRule="atLeast"/>
        <w:rPr>
          <w:rFonts w:ascii="Arial" w:eastAsiaTheme="minorEastAsia" w:hAnsi="Arial" w:cs="Arial"/>
          <w:color w:val="0D0D0D"/>
          <w:sz w:val="29"/>
          <w:szCs w:val="29"/>
          <w:lang w:eastAsia="en-GB"/>
        </w:rPr>
      </w:pPr>
      <w:proofErr w:type="spellStart"/>
      <w:r w:rsidRPr="00053D77">
        <w:rPr>
          <w:rFonts w:ascii="Arial" w:eastAsiaTheme="minorEastAsia" w:hAnsi="Arial" w:cs="Arial"/>
          <w:color w:val="0D0D0D"/>
          <w:position w:val="3"/>
          <w:sz w:val="29"/>
          <w:szCs w:val="29"/>
          <w:lang w:eastAsia="en-GB"/>
        </w:rPr>
        <w:t>Nowland</w:t>
      </w:r>
      <w:proofErr w:type="spellEnd"/>
      <w:r w:rsidRPr="00053D77">
        <w:rPr>
          <w:rFonts w:ascii="Arial" w:eastAsiaTheme="minorEastAsia" w:hAnsi="Arial" w:cs="Arial"/>
          <w:color w:val="0D0D0D"/>
          <w:position w:val="3"/>
          <w:sz w:val="29"/>
          <w:szCs w:val="29"/>
          <w:lang w:eastAsia="en-GB"/>
        </w:rPr>
        <w:t xml:space="preserve">, R., Aspinall, G., Christian, D.L., </w:t>
      </w:r>
      <w:proofErr w:type="spellStart"/>
      <w:r w:rsidRPr="00053D77">
        <w:rPr>
          <w:rFonts w:ascii="Arial" w:eastAsiaTheme="minorEastAsia" w:hAnsi="Arial" w:cs="Arial"/>
          <w:color w:val="0D0D0D"/>
          <w:position w:val="3"/>
          <w:sz w:val="29"/>
          <w:szCs w:val="29"/>
          <w:lang w:eastAsia="en-GB"/>
        </w:rPr>
        <w:t>Berzins</w:t>
      </w:r>
      <w:proofErr w:type="spellEnd"/>
      <w:r w:rsidRPr="00053D77">
        <w:rPr>
          <w:rFonts w:ascii="Arial" w:eastAsiaTheme="minorEastAsia" w:hAnsi="Arial" w:cs="Arial"/>
          <w:color w:val="0D0D0D"/>
          <w:position w:val="3"/>
          <w:sz w:val="29"/>
          <w:szCs w:val="29"/>
          <w:lang w:eastAsia="en-GB"/>
        </w:rPr>
        <w:t xml:space="preserve">, K., Crook, D.J., Khalid, S., </w:t>
      </w:r>
      <w:proofErr w:type="spellStart"/>
      <w:r w:rsidRPr="00053D77">
        <w:rPr>
          <w:rFonts w:ascii="Arial" w:eastAsiaTheme="minorEastAsia" w:hAnsi="Arial" w:cs="Arial"/>
          <w:color w:val="0D0D0D"/>
          <w:position w:val="3"/>
          <w:sz w:val="29"/>
          <w:szCs w:val="29"/>
          <w:lang w:eastAsia="en-GB"/>
        </w:rPr>
        <w:t>Ahuja</w:t>
      </w:r>
      <w:proofErr w:type="spellEnd"/>
      <w:r w:rsidRPr="00053D77">
        <w:rPr>
          <w:rFonts w:ascii="Arial" w:eastAsiaTheme="minorEastAsia" w:hAnsi="Arial" w:cs="Arial"/>
          <w:color w:val="0D0D0D"/>
          <w:position w:val="3"/>
          <w:sz w:val="29"/>
          <w:szCs w:val="29"/>
          <w:lang w:eastAsia="en-GB"/>
        </w:rPr>
        <w:t xml:space="preserve">, S., Gallagher, L., Gee, B., </w:t>
      </w:r>
      <w:proofErr w:type="spellStart"/>
      <w:r w:rsidRPr="00053D77">
        <w:rPr>
          <w:rFonts w:ascii="Arial" w:eastAsiaTheme="minorEastAsia" w:hAnsi="Arial" w:cs="Arial"/>
          <w:color w:val="0D0D0D"/>
          <w:position w:val="3"/>
          <w:sz w:val="29"/>
          <w:szCs w:val="29"/>
          <w:lang w:eastAsia="en-GB"/>
        </w:rPr>
        <w:t>Mickleburgh</w:t>
      </w:r>
      <w:proofErr w:type="spellEnd"/>
      <w:r w:rsidRPr="00053D77">
        <w:rPr>
          <w:rFonts w:ascii="Arial" w:eastAsiaTheme="minorEastAsia" w:hAnsi="Arial" w:cs="Arial"/>
          <w:color w:val="0D0D0D"/>
          <w:position w:val="3"/>
          <w:sz w:val="29"/>
          <w:szCs w:val="29"/>
          <w:lang w:eastAsia="en-GB"/>
        </w:rPr>
        <w:t xml:space="preserve">, E., </w:t>
      </w:r>
      <w:proofErr w:type="spellStart"/>
      <w:r w:rsidRPr="00053D77">
        <w:rPr>
          <w:rFonts w:ascii="Arial" w:eastAsiaTheme="minorEastAsia" w:hAnsi="Arial" w:cs="Arial"/>
          <w:color w:val="0D0D0D"/>
          <w:position w:val="3"/>
          <w:sz w:val="29"/>
          <w:szCs w:val="29"/>
          <w:lang w:eastAsia="en-GB"/>
        </w:rPr>
        <w:t>Fernandes</w:t>
      </w:r>
      <w:proofErr w:type="spellEnd"/>
      <w:r w:rsidRPr="00053D77">
        <w:rPr>
          <w:rFonts w:ascii="Arial" w:eastAsiaTheme="minorEastAsia" w:hAnsi="Arial" w:cs="Arial"/>
          <w:color w:val="0D0D0D"/>
          <w:position w:val="3"/>
          <w:sz w:val="29"/>
          <w:szCs w:val="29"/>
          <w:lang w:eastAsia="en-GB"/>
        </w:rPr>
        <w:t xml:space="preserve">, B., Randell, B., </w:t>
      </w:r>
      <w:proofErr w:type="spellStart"/>
      <w:r w:rsidRPr="00053D77">
        <w:rPr>
          <w:rFonts w:ascii="Arial" w:eastAsiaTheme="minorEastAsia" w:hAnsi="Arial" w:cs="Arial"/>
          <w:color w:val="0D0D0D"/>
          <w:position w:val="3"/>
          <w:sz w:val="29"/>
          <w:szCs w:val="29"/>
          <w:lang w:eastAsia="en-GB"/>
        </w:rPr>
        <w:t>Kelsall</w:t>
      </w:r>
      <w:proofErr w:type="spellEnd"/>
      <w:r w:rsidRPr="00053D77">
        <w:rPr>
          <w:rFonts w:ascii="Arial" w:eastAsiaTheme="minorEastAsia" w:hAnsi="Arial" w:cs="Arial"/>
          <w:color w:val="0D0D0D"/>
          <w:position w:val="3"/>
          <w:sz w:val="29"/>
          <w:szCs w:val="29"/>
          <w:lang w:eastAsia="en-GB"/>
        </w:rPr>
        <w:t xml:space="preserve">, A. and Michelson, D. (2026) ‘Children’s participation in the development and evaluation of parent-led interventions for children’s mental health: a scoping review and consultation with children’, </w:t>
      </w:r>
      <w:r w:rsidRPr="00053D77">
        <w:rPr>
          <w:rFonts w:ascii="Arial" w:eastAsiaTheme="minorEastAsia" w:hAnsi="Arial" w:cs="Arial"/>
          <w:i/>
          <w:iCs/>
          <w:color w:val="0D0D0D"/>
          <w:position w:val="3"/>
          <w:sz w:val="29"/>
          <w:szCs w:val="29"/>
          <w:lang w:eastAsia="en-GB"/>
        </w:rPr>
        <w:t>European Child &amp; Adolescent Psychiatry</w:t>
      </w:r>
      <w:r w:rsidRPr="00053D77">
        <w:rPr>
          <w:rFonts w:ascii="Arial" w:eastAsiaTheme="minorEastAsia" w:hAnsi="Arial" w:cs="Arial"/>
          <w:color w:val="0D0D0D"/>
          <w:position w:val="3"/>
          <w:sz w:val="29"/>
          <w:szCs w:val="29"/>
          <w:lang w:eastAsia="en-GB"/>
        </w:rPr>
        <w:t>. Available at: https://doi.org/10.1007/s00787-026-03187-0</w:t>
      </w:r>
      <w:r w:rsidRPr="00053D77">
        <w:rPr>
          <w:rFonts w:ascii="Segoe UI Symbol" w:eastAsiaTheme="minorEastAsia" w:hAnsi="Segoe UI Symbol" w:cs="Segoe UI Symbol"/>
          <w:color w:val="0D0D0D"/>
          <w:position w:val="3"/>
          <w:sz w:val="29"/>
          <w:szCs w:val="29"/>
          <w:lang w:eastAsia="en-GB"/>
        </w:rPr>
        <w:t>⁠</w:t>
      </w:r>
      <w:r w:rsidR="007B1F88" w:rsidRPr="00053D77">
        <w:rPr>
          <w:rFonts w:ascii="Arial" w:eastAsiaTheme="minorEastAsia" w:hAnsi="Arial" w:cs="Arial"/>
          <w:noProof/>
          <w:color w:val="0D0D0D"/>
          <w:position w:val="3"/>
          <w:sz w:val="29"/>
          <w:szCs w:val="29"/>
          <w:lang w:eastAsia="en-GB"/>
        </w:rPr>
        <w:t xml:space="preserve"> </w:t>
      </w:r>
      <w:r w:rsidRPr="00053D77">
        <w:rPr>
          <w:rFonts w:ascii="Arial" w:eastAsiaTheme="minorEastAsia" w:hAnsi="Arial" w:cs="Arial"/>
          <w:color w:val="0D0D0D"/>
          <w:position w:val="3"/>
          <w:sz w:val="29"/>
          <w:szCs w:val="29"/>
          <w:lang w:eastAsia="en-GB"/>
        </w:rPr>
        <w:t xml:space="preserve"> (Accessed: 18 October 2026).</w:t>
      </w:r>
    </w:p>
    <w:p w14:paraId="4A4C305F" w14:textId="77777777" w:rsidR="005636E8" w:rsidRPr="00053D77" w:rsidRDefault="005636E8" w:rsidP="00C605F8">
      <w:pPr>
        <w:spacing w:after="0" w:line="402" w:lineRule="atLeast"/>
        <w:rPr>
          <w:rFonts w:ascii="Arial" w:eastAsiaTheme="minorEastAsia" w:hAnsi="Arial" w:cs="Arial"/>
          <w:color w:val="0D0D0D"/>
          <w:sz w:val="29"/>
          <w:szCs w:val="29"/>
          <w:lang w:eastAsia="en-GB"/>
        </w:rPr>
      </w:pPr>
    </w:p>
    <w:p w14:paraId="26096C87" w14:textId="1D509C78" w:rsidR="008B5AB5" w:rsidRPr="00053D77" w:rsidRDefault="00387FF5" w:rsidP="00C605F8">
      <w:pPr>
        <w:spacing w:after="0" w:line="402" w:lineRule="atLeast"/>
        <w:rPr>
          <w:rFonts w:ascii="Arial" w:eastAsiaTheme="minorEastAsia" w:hAnsi="Arial" w:cs="Arial"/>
          <w:color w:val="0D0D0D"/>
          <w:sz w:val="29"/>
          <w:szCs w:val="29"/>
          <w:lang w:eastAsia="en-GB"/>
        </w:rPr>
      </w:pPr>
      <w:r w:rsidRPr="00053D77">
        <w:rPr>
          <w:rFonts w:ascii="Arial" w:eastAsiaTheme="minorEastAsia" w:hAnsi="Arial" w:cs="Arial"/>
          <w:color w:val="0D0D0D"/>
          <w:sz w:val="29"/>
          <w:szCs w:val="29"/>
          <w:lang w:eastAsia="en-GB"/>
        </w:rPr>
        <w:t xml:space="preserve">Lambert, A.K., Doherty, A.J., Wilson, N., </w:t>
      </w:r>
      <w:proofErr w:type="spellStart"/>
      <w:r w:rsidRPr="00053D77">
        <w:rPr>
          <w:rFonts w:ascii="Arial" w:eastAsiaTheme="minorEastAsia" w:hAnsi="Arial" w:cs="Arial"/>
          <w:color w:val="0D0D0D"/>
          <w:sz w:val="29"/>
          <w:szCs w:val="29"/>
          <w:lang w:eastAsia="en-GB"/>
        </w:rPr>
        <w:t>Chauhan</w:t>
      </w:r>
      <w:proofErr w:type="spellEnd"/>
      <w:r w:rsidRPr="00053D77">
        <w:rPr>
          <w:rFonts w:ascii="Arial" w:eastAsiaTheme="minorEastAsia" w:hAnsi="Arial" w:cs="Arial"/>
          <w:color w:val="0D0D0D"/>
          <w:sz w:val="29"/>
          <w:szCs w:val="29"/>
          <w:lang w:eastAsia="en-GB"/>
        </w:rPr>
        <w:t xml:space="preserve">, U. and </w:t>
      </w:r>
      <w:proofErr w:type="spellStart"/>
      <w:r w:rsidRPr="00053D77">
        <w:rPr>
          <w:rFonts w:ascii="Arial" w:eastAsiaTheme="minorEastAsia" w:hAnsi="Arial" w:cs="Arial"/>
          <w:color w:val="0D0D0D"/>
          <w:sz w:val="29"/>
          <w:szCs w:val="29"/>
          <w:lang w:eastAsia="en-GB"/>
        </w:rPr>
        <w:t>Mahadevan</w:t>
      </w:r>
      <w:proofErr w:type="spellEnd"/>
      <w:r w:rsidRPr="00053D77">
        <w:rPr>
          <w:rFonts w:ascii="Arial" w:eastAsiaTheme="minorEastAsia" w:hAnsi="Arial" w:cs="Arial"/>
          <w:color w:val="0D0D0D"/>
          <w:sz w:val="29"/>
          <w:szCs w:val="29"/>
          <w:lang w:eastAsia="en-GB"/>
        </w:rPr>
        <w:t xml:space="preserve">, D. (2020) ‘GP perceptions of community-based children’s mental health services in Pennine Lancashire: a qualitative study’, BJGP Open, 4(4), </w:t>
      </w:r>
      <w:proofErr w:type="spellStart"/>
      <w:r w:rsidRPr="00053D77">
        <w:rPr>
          <w:rFonts w:ascii="Arial" w:eastAsiaTheme="minorEastAsia" w:hAnsi="Arial" w:cs="Arial"/>
          <w:color w:val="0D0D0D"/>
          <w:sz w:val="29"/>
          <w:szCs w:val="29"/>
          <w:lang w:eastAsia="en-GB"/>
        </w:rPr>
        <w:t>bjgpopen20X101075</w:t>
      </w:r>
      <w:proofErr w:type="spellEnd"/>
      <w:r w:rsidRPr="00053D77">
        <w:rPr>
          <w:rFonts w:ascii="Arial" w:eastAsiaTheme="minorEastAsia" w:hAnsi="Arial" w:cs="Arial"/>
          <w:color w:val="0D0D0D"/>
          <w:sz w:val="29"/>
          <w:szCs w:val="29"/>
          <w:lang w:eastAsia="en-GB"/>
        </w:rPr>
        <w:t>. Available at: https://doi.org/10.3399/bjgpopen20X101075</w:t>
      </w:r>
      <w:r w:rsidRPr="00053D77">
        <w:rPr>
          <w:rFonts w:ascii="Segoe UI Symbol" w:eastAsiaTheme="minorEastAsia" w:hAnsi="Segoe UI Symbol" w:cs="Segoe UI Symbol"/>
          <w:color w:val="0D0D0D"/>
          <w:sz w:val="29"/>
          <w:szCs w:val="29"/>
          <w:lang w:eastAsia="en-GB"/>
        </w:rPr>
        <w:t>⁠</w:t>
      </w:r>
      <w:r w:rsidR="005C51DD" w:rsidRPr="00053D77">
        <w:rPr>
          <w:rFonts w:ascii="Arial" w:eastAsiaTheme="minorEastAsia" w:hAnsi="Arial" w:cs="Arial"/>
          <w:color w:val="0D0D0D"/>
          <w:sz w:val="29"/>
          <w:szCs w:val="29"/>
          <w:lang w:eastAsia="en-GB"/>
        </w:rPr>
        <w:t xml:space="preserve"> </w:t>
      </w:r>
      <w:r w:rsidRPr="00053D77">
        <w:rPr>
          <w:rFonts w:ascii="Arial" w:eastAsiaTheme="minorEastAsia" w:hAnsi="Arial" w:cs="Arial"/>
          <w:color w:val="0D0D0D"/>
          <w:sz w:val="29"/>
          <w:szCs w:val="29"/>
          <w:lang w:eastAsia="en-GB"/>
        </w:rPr>
        <w:t>(Accessed: 18 October 2026).</w:t>
      </w:r>
    </w:p>
    <w:p w14:paraId="0B01FE88" w14:textId="77777777" w:rsidR="002919E1" w:rsidRPr="00053D77" w:rsidRDefault="002919E1" w:rsidP="00C605F8">
      <w:pPr>
        <w:spacing w:after="0" w:line="402" w:lineRule="atLeast"/>
        <w:rPr>
          <w:rFonts w:ascii="Arial" w:eastAsiaTheme="minorEastAsia" w:hAnsi="Arial" w:cs="Arial"/>
          <w:color w:val="0D0D0D"/>
          <w:sz w:val="29"/>
          <w:szCs w:val="29"/>
          <w:lang w:eastAsia="en-GB"/>
        </w:rPr>
      </w:pPr>
    </w:p>
    <w:p w14:paraId="3E32B886" w14:textId="059D5297" w:rsidR="0034099E" w:rsidRPr="00053D77" w:rsidRDefault="0034099E" w:rsidP="0034099E">
      <w:pPr>
        <w:spacing w:after="0" w:line="402" w:lineRule="atLeast"/>
        <w:rPr>
          <w:rFonts w:ascii="Arial" w:eastAsiaTheme="minorEastAsia" w:hAnsi="Arial" w:cs="Arial"/>
          <w:color w:val="0D0D0D"/>
          <w:position w:val="3"/>
          <w:sz w:val="29"/>
          <w:szCs w:val="29"/>
          <w:lang w:eastAsia="en-GB"/>
        </w:rPr>
      </w:pPr>
      <w:r w:rsidRPr="00053D77">
        <w:rPr>
          <w:rFonts w:ascii="Arial" w:eastAsiaTheme="minorEastAsia" w:hAnsi="Arial" w:cs="Arial"/>
          <w:color w:val="0D0D0D"/>
          <w:position w:val="3"/>
          <w:sz w:val="29"/>
          <w:szCs w:val="29"/>
          <w:lang w:eastAsia="en-GB"/>
        </w:rPr>
        <w:t xml:space="preserve">Romeu, D., </w:t>
      </w:r>
      <w:proofErr w:type="spellStart"/>
      <w:r w:rsidRPr="00053D77">
        <w:rPr>
          <w:rFonts w:ascii="Arial" w:eastAsiaTheme="minorEastAsia" w:hAnsi="Arial" w:cs="Arial"/>
          <w:color w:val="0D0D0D"/>
          <w:position w:val="3"/>
          <w:sz w:val="29"/>
          <w:szCs w:val="29"/>
          <w:lang w:eastAsia="en-GB"/>
        </w:rPr>
        <w:t>Chitsabesan</w:t>
      </w:r>
      <w:proofErr w:type="spellEnd"/>
      <w:r w:rsidRPr="00053D77">
        <w:rPr>
          <w:rFonts w:ascii="Arial" w:eastAsiaTheme="minorEastAsia" w:hAnsi="Arial" w:cs="Arial"/>
          <w:color w:val="0D0D0D"/>
          <w:position w:val="3"/>
          <w:sz w:val="29"/>
          <w:szCs w:val="29"/>
          <w:lang w:eastAsia="en-GB"/>
        </w:rPr>
        <w:t xml:space="preserve">, P. and Mughal, F. (2026) ‘Young people’s mental health: an NHS primary care perspective, 10 years on’, </w:t>
      </w:r>
      <w:r w:rsidRPr="00053D77">
        <w:rPr>
          <w:rFonts w:ascii="Arial" w:eastAsiaTheme="minorEastAsia" w:hAnsi="Arial" w:cs="Arial"/>
          <w:i/>
          <w:iCs/>
          <w:color w:val="0D0D0D"/>
          <w:position w:val="3"/>
          <w:sz w:val="29"/>
          <w:szCs w:val="29"/>
          <w:lang w:eastAsia="en-GB"/>
        </w:rPr>
        <w:t>British Journal of General Practice</w:t>
      </w:r>
      <w:r w:rsidRPr="00053D77">
        <w:rPr>
          <w:rFonts w:ascii="Arial" w:eastAsiaTheme="minorEastAsia" w:hAnsi="Arial" w:cs="Arial"/>
          <w:color w:val="0D0D0D"/>
          <w:position w:val="3"/>
          <w:sz w:val="29"/>
          <w:szCs w:val="29"/>
          <w:lang w:eastAsia="en-GB"/>
        </w:rPr>
        <w:t>, 76(762), pp. 4–6. Available at:</w:t>
      </w:r>
      <w:r w:rsidR="00F23187" w:rsidRPr="00053D77">
        <w:rPr>
          <w:rFonts w:ascii="Arial" w:eastAsiaTheme="minorEastAsia" w:hAnsi="Arial" w:cs="Arial"/>
          <w:color w:val="0D0D0D"/>
          <w:position w:val="3"/>
          <w:sz w:val="29"/>
          <w:szCs w:val="29"/>
          <w:lang w:eastAsia="en-GB"/>
        </w:rPr>
        <w:t xml:space="preserve"> </w:t>
      </w:r>
      <w:r w:rsidRPr="00053D77">
        <w:rPr>
          <w:rFonts w:ascii="Arial" w:eastAsiaTheme="minorEastAsia" w:hAnsi="Arial" w:cs="Arial"/>
          <w:color w:val="0D0D0D"/>
          <w:position w:val="3"/>
          <w:sz w:val="29"/>
          <w:szCs w:val="29"/>
          <w:lang w:eastAsia="en-GB"/>
        </w:rPr>
        <w:t>https://doi.org/10.3399/BJGP.2025.0743</w:t>
      </w:r>
      <w:r w:rsidRPr="00053D77">
        <w:rPr>
          <w:rFonts w:ascii="Segoe UI Symbol" w:eastAsiaTheme="minorEastAsia" w:hAnsi="Segoe UI Symbol" w:cs="Segoe UI Symbol"/>
          <w:color w:val="0D0D0D"/>
          <w:position w:val="3"/>
          <w:sz w:val="29"/>
          <w:szCs w:val="29"/>
          <w:lang w:eastAsia="en-GB"/>
        </w:rPr>
        <w:t>⁠</w:t>
      </w:r>
      <w:r w:rsidRPr="00053D77">
        <w:rPr>
          <w:rFonts w:ascii="Arial" w:eastAsiaTheme="minorEastAsia" w:hAnsi="Arial" w:cs="Arial"/>
          <w:color w:val="0D0D0D"/>
          <w:position w:val="3"/>
          <w:sz w:val="29"/>
          <w:szCs w:val="29"/>
          <w:lang w:eastAsia="en-GB"/>
        </w:rPr>
        <w:t xml:space="preserve"> (Accessed: 18 October 2026).</w:t>
      </w:r>
    </w:p>
    <w:p w14:paraId="4C67E4E6" w14:textId="04B8BC61" w:rsidR="00D60D11" w:rsidRPr="00053D77" w:rsidRDefault="00D60D11" w:rsidP="00D60D11">
      <w:pPr>
        <w:spacing w:after="0" w:line="402" w:lineRule="atLeast"/>
        <w:rPr>
          <w:rFonts w:ascii="Arial" w:eastAsiaTheme="minorEastAsia" w:hAnsi="Arial" w:cs="Arial"/>
          <w:color w:val="0D0D0D"/>
          <w:sz w:val="29"/>
          <w:szCs w:val="29"/>
          <w:lang w:eastAsia="en-GB"/>
        </w:rPr>
      </w:pPr>
      <w:r w:rsidRPr="00053D77">
        <w:rPr>
          <w:rFonts w:ascii="Arial" w:eastAsiaTheme="minorEastAsia" w:hAnsi="Arial" w:cs="Arial"/>
          <w:color w:val="0D0D0D"/>
          <w:position w:val="3"/>
          <w:sz w:val="29"/>
          <w:szCs w:val="29"/>
          <w:lang w:eastAsia="en-GB"/>
        </w:rPr>
        <w:t>Lancashire Teaching Hospitals NHS Foundation Trust (</w:t>
      </w:r>
      <w:r w:rsidR="00BA7E3F" w:rsidRPr="00053D77">
        <w:rPr>
          <w:rFonts w:ascii="Arial" w:eastAsiaTheme="minorEastAsia" w:hAnsi="Arial" w:cs="Arial"/>
          <w:color w:val="0D0D0D"/>
          <w:position w:val="3"/>
          <w:sz w:val="29"/>
          <w:szCs w:val="29"/>
          <w:lang w:eastAsia="en-GB"/>
        </w:rPr>
        <w:t>2026</w:t>
      </w:r>
      <w:r w:rsidRPr="00053D77">
        <w:rPr>
          <w:rFonts w:ascii="Arial" w:eastAsiaTheme="minorEastAsia" w:hAnsi="Arial" w:cs="Arial"/>
          <w:color w:val="0D0D0D"/>
          <w:position w:val="3"/>
          <w:sz w:val="29"/>
          <w:szCs w:val="29"/>
          <w:lang w:eastAsia="en-GB"/>
        </w:rPr>
        <w:t xml:space="preserve">) </w:t>
      </w:r>
      <w:r w:rsidRPr="00053D77">
        <w:rPr>
          <w:rFonts w:ascii="Arial" w:eastAsiaTheme="minorEastAsia" w:hAnsi="Arial" w:cs="Arial"/>
          <w:i/>
          <w:iCs/>
          <w:color w:val="0D0D0D"/>
          <w:position w:val="3"/>
          <w:sz w:val="29"/>
          <w:szCs w:val="29"/>
          <w:lang w:eastAsia="en-GB"/>
        </w:rPr>
        <w:t>Health Improvement Plan</w:t>
      </w:r>
      <w:r w:rsidRPr="00053D77">
        <w:rPr>
          <w:rFonts w:ascii="Arial" w:eastAsiaTheme="minorEastAsia" w:hAnsi="Arial" w:cs="Arial"/>
          <w:color w:val="0D0D0D"/>
          <w:position w:val="3"/>
          <w:sz w:val="29"/>
          <w:szCs w:val="29"/>
          <w:lang w:eastAsia="en-GB"/>
        </w:rPr>
        <w:t>. Available at: https://www.lancsteachinghospitals.nhs.uk/health-inequalities</w:t>
      </w:r>
      <w:r w:rsidRPr="00053D77">
        <w:rPr>
          <w:rFonts w:ascii="Segoe UI Symbol" w:eastAsiaTheme="minorEastAsia" w:hAnsi="Segoe UI Symbol" w:cs="Segoe UI Symbol"/>
          <w:color w:val="0D0D0D"/>
          <w:position w:val="3"/>
          <w:sz w:val="29"/>
          <w:szCs w:val="29"/>
          <w:lang w:eastAsia="en-GB"/>
        </w:rPr>
        <w:t>⁠</w:t>
      </w:r>
      <w:r w:rsidRPr="00053D77">
        <w:rPr>
          <w:rFonts w:ascii="Arial" w:eastAsiaTheme="minorEastAsia" w:hAnsi="Arial" w:cs="Arial"/>
          <w:noProof/>
          <w:color w:val="0D0D0D"/>
          <w:position w:val="3"/>
          <w:sz w:val="29"/>
          <w:szCs w:val="29"/>
          <w:lang w:eastAsia="en-GB"/>
        </w:rPr>
        <mc:AlternateContent>
          <mc:Choice Requires="wps">
            <w:drawing>
              <wp:inline distT="0" distB="0" distL="0" distR="0" wp14:anchorId="48C52432" wp14:editId="4E0A676F">
                <wp:extent cx="299720" cy="299720"/>
                <wp:effectExtent l="0" t="0" r="0" b="0"/>
                <wp:docPr id="11178112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594B60" id="Rectangle 1" o:spid="_x0000_s1026"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" filled="f" stroked="f">
                <o:lock v:ext="edit" aspectratio="t"/>
                <w10:anchorlock/>
              </v:rect>
            </w:pict>
          </mc:Fallback>
        </mc:AlternateContent>
      </w:r>
      <w:r w:rsidRPr="00053D77">
        <w:rPr>
          <w:rFonts w:ascii="Arial" w:eastAsiaTheme="minorEastAsia" w:hAnsi="Arial" w:cs="Arial"/>
          <w:color w:val="0D0D0D"/>
          <w:position w:val="3"/>
          <w:sz w:val="29"/>
          <w:szCs w:val="29"/>
          <w:lang w:eastAsia="en-GB"/>
        </w:rPr>
        <w:t xml:space="preserve"> (Accessed: 18 October 2026).</w:t>
      </w:r>
    </w:p>
    <w:p w14:paraId="6D797DC5" w14:textId="77777777" w:rsidR="00D60D11" w:rsidRPr="00053D77" w:rsidRDefault="00D60D11" w:rsidP="0034099E">
      <w:pPr>
        <w:spacing w:after="0" w:line="402" w:lineRule="atLeast"/>
        <w:rPr>
          <w:rFonts w:ascii="Arial" w:eastAsiaTheme="minorEastAsia" w:hAnsi="Arial" w:cs="Arial"/>
          <w:color w:val="0D0D0D"/>
          <w:sz w:val="29"/>
          <w:szCs w:val="29"/>
          <w:lang w:eastAsia="en-GB"/>
        </w:rPr>
      </w:pPr>
    </w:p>
    <w:p w14:paraId="7FD0F728" w14:textId="7A991C6E" w:rsidR="00F52F6B" w:rsidRPr="00053D77" w:rsidRDefault="008419C8" w:rsidP="00A738A5">
      <w:pPr>
        <w:spacing w:after="0" w:line="402" w:lineRule="atLeast"/>
        <w:rPr>
          <w:rFonts w:ascii="Arial" w:eastAsiaTheme="minorEastAsia" w:hAnsi="Arial" w:cs="Arial"/>
          <w:color w:val="0D0D0D"/>
          <w:sz w:val="29"/>
          <w:szCs w:val="29"/>
          <w:lang w:eastAsia="en-GB"/>
        </w:rPr>
      </w:pPr>
      <w:r w:rsidRPr="00053D77">
        <w:rPr>
          <w:rFonts w:ascii="Arial" w:eastAsiaTheme="minorEastAsia" w:hAnsi="Arial" w:cs="Arial"/>
          <w:color w:val="0D0D0D"/>
          <w:sz w:val="29"/>
          <w:szCs w:val="29"/>
          <w:lang w:eastAsia="en-GB"/>
        </w:rPr>
        <w:t xml:space="preserve">Marmot, M., Allen, J., Boyce, T., </w:t>
      </w:r>
      <w:proofErr w:type="spellStart"/>
      <w:r w:rsidRPr="00053D77">
        <w:rPr>
          <w:rFonts w:ascii="Arial" w:eastAsiaTheme="minorEastAsia" w:hAnsi="Arial" w:cs="Arial"/>
          <w:color w:val="0D0D0D"/>
          <w:sz w:val="29"/>
          <w:szCs w:val="29"/>
          <w:lang w:eastAsia="en-GB"/>
        </w:rPr>
        <w:t>Goldblatt</w:t>
      </w:r>
      <w:proofErr w:type="spellEnd"/>
      <w:r w:rsidRPr="00053D77">
        <w:rPr>
          <w:rFonts w:ascii="Arial" w:eastAsiaTheme="minorEastAsia" w:hAnsi="Arial" w:cs="Arial"/>
          <w:color w:val="0D0D0D"/>
          <w:sz w:val="29"/>
          <w:szCs w:val="29"/>
          <w:lang w:eastAsia="en-GB"/>
        </w:rPr>
        <w:t>, P. and Morrison, J. (2020) Health equity in England: The Marmot Review 10 years on. London: Institute of Health Equity. Available at: https://www.health.org.uk/reports-and-analysis/reports/health-equity-in-england-the-marmot-review-10-years-on-0</w:t>
      </w:r>
      <w:r w:rsidRPr="00053D77">
        <w:rPr>
          <w:rFonts w:ascii="Segoe UI Symbol" w:eastAsiaTheme="minorEastAsia" w:hAnsi="Segoe UI Symbol" w:cs="Segoe UI Symbol"/>
          <w:color w:val="0D0D0D"/>
          <w:sz w:val="29"/>
          <w:szCs w:val="29"/>
          <w:lang w:eastAsia="en-GB"/>
        </w:rPr>
        <w:t>⁠</w:t>
      </w:r>
      <w:r w:rsidRPr="00053D77">
        <w:rPr>
          <w:rFonts w:ascii="Arial" w:eastAsiaTheme="minorEastAsia" w:hAnsi="Arial" w:cs="Arial"/>
          <w:color w:val="0D0D0D"/>
          <w:sz w:val="29"/>
          <w:szCs w:val="29"/>
          <w:lang w:eastAsia="en-GB"/>
        </w:rPr>
        <w:t xml:space="preserve"> (Accessed: 18 October 2026).</w:t>
      </w:r>
    </w:p>
    <w:p w14:paraId="57A4C185" w14:textId="77777777" w:rsidR="006E634E" w:rsidRPr="00053D77" w:rsidRDefault="006E634E" w:rsidP="00A738A5">
      <w:pPr>
        <w:spacing w:after="0" w:line="402" w:lineRule="atLeast"/>
        <w:rPr>
          <w:rFonts w:ascii="Arial" w:eastAsiaTheme="minorEastAsia" w:hAnsi="Arial" w:cs="Arial"/>
          <w:color w:val="0D0D0D"/>
          <w:sz w:val="29"/>
          <w:szCs w:val="29"/>
          <w:lang w:eastAsia="en-GB"/>
        </w:rPr>
      </w:pPr>
    </w:p>
    <w:p w14:paraId="46307972" w14:textId="66ABEDD6" w:rsidR="006E634E" w:rsidRPr="00053D77" w:rsidRDefault="0089379C" w:rsidP="00A738A5">
      <w:pPr>
        <w:spacing w:after="0" w:line="402" w:lineRule="atLeast"/>
        <w:rPr>
          <w:rFonts w:ascii="Arial" w:eastAsiaTheme="minorEastAsia" w:hAnsi="Arial" w:cs="Arial"/>
          <w:color w:val="0D0D0D"/>
          <w:sz w:val="29"/>
          <w:szCs w:val="29"/>
          <w:lang w:eastAsia="en-GB"/>
        </w:rPr>
      </w:pPr>
      <w:proofErr w:type="spellStart"/>
      <w:r w:rsidRPr="00053D77">
        <w:rPr>
          <w:rFonts w:ascii="Arial" w:eastAsiaTheme="minorEastAsia" w:hAnsi="Arial" w:cs="Arial"/>
          <w:color w:val="0D0D0D"/>
          <w:sz w:val="29"/>
          <w:szCs w:val="29"/>
          <w:lang w:eastAsia="en-GB"/>
        </w:rPr>
        <w:t>Prunty</w:t>
      </w:r>
      <w:proofErr w:type="spellEnd"/>
      <w:r w:rsidRPr="00053D77">
        <w:rPr>
          <w:rFonts w:ascii="Arial" w:eastAsiaTheme="minorEastAsia" w:hAnsi="Arial" w:cs="Arial"/>
          <w:color w:val="0D0D0D"/>
          <w:sz w:val="29"/>
          <w:szCs w:val="29"/>
          <w:lang w:eastAsia="en-GB"/>
        </w:rPr>
        <w:t xml:space="preserve">, E., </w:t>
      </w:r>
      <w:proofErr w:type="spellStart"/>
      <w:r w:rsidRPr="00053D77">
        <w:rPr>
          <w:rFonts w:ascii="Arial" w:eastAsiaTheme="minorEastAsia" w:hAnsi="Arial" w:cs="Arial"/>
          <w:color w:val="0D0D0D"/>
          <w:sz w:val="29"/>
          <w:szCs w:val="29"/>
          <w:lang w:eastAsia="en-GB"/>
        </w:rPr>
        <w:t>Castledine</w:t>
      </w:r>
      <w:proofErr w:type="spellEnd"/>
      <w:r w:rsidRPr="00053D77">
        <w:rPr>
          <w:rFonts w:ascii="Arial" w:eastAsiaTheme="minorEastAsia" w:hAnsi="Arial" w:cs="Arial"/>
          <w:color w:val="0D0D0D"/>
          <w:sz w:val="29"/>
          <w:szCs w:val="29"/>
          <w:lang w:eastAsia="en-GB"/>
        </w:rPr>
        <w:t xml:space="preserve">, L., </w:t>
      </w:r>
      <w:proofErr w:type="spellStart"/>
      <w:r w:rsidRPr="00053D77">
        <w:rPr>
          <w:rFonts w:ascii="Arial" w:eastAsiaTheme="minorEastAsia" w:hAnsi="Arial" w:cs="Arial"/>
          <w:color w:val="0D0D0D"/>
          <w:sz w:val="29"/>
          <w:szCs w:val="29"/>
          <w:lang w:eastAsia="en-GB"/>
        </w:rPr>
        <w:t>Kazmi</w:t>
      </w:r>
      <w:proofErr w:type="spellEnd"/>
      <w:r w:rsidRPr="00053D77">
        <w:rPr>
          <w:rFonts w:ascii="Arial" w:eastAsiaTheme="minorEastAsia" w:hAnsi="Arial" w:cs="Arial"/>
          <w:color w:val="0D0D0D"/>
          <w:sz w:val="29"/>
          <w:szCs w:val="29"/>
          <w:lang w:eastAsia="en-GB"/>
        </w:rPr>
        <w:t>, N., Savage, J., Tudor, M. and Harrison, J. (2026) ‘Supporting young minds: Mental health interventions and the role of social work for children and young people’, Child and Adolescent Social Work Journal. Published 20 August 2026. Available at: https://doi.org/10.1007/s10560-026-01157-8 (Accessed: 18 October 2026).</w:t>
      </w:r>
    </w:p>
    <w:p w14:paraId="162E861F" w14:textId="77777777" w:rsidR="00A379FA" w:rsidRPr="00053D77" w:rsidRDefault="00A379FA" w:rsidP="00A738A5">
      <w:pPr>
        <w:spacing w:after="0" w:line="402" w:lineRule="atLeast"/>
        <w:rPr>
          <w:rFonts w:ascii="Arial" w:eastAsiaTheme="minorEastAsia" w:hAnsi="Arial" w:cs="Arial"/>
          <w:color w:val="0D0D0D"/>
          <w:sz w:val="29"/>
          <w:szCs w:val="29"/>
          <w:lang w:eastAsia="en-GB"/>
        </w:rPr>
      </w:pPr>
    </w:p>
    <w:p w14:paraId="41826C41" w14:textId="17BA4232" w:rsidR="00A379FA" w:rsidRPr="00053D77" w:rsidRDefault="00F54A8E" w:rsidP="00A738A5">
      <w:pPr>
        <w:spacing w:after="0" w:line="402" w:lineRule="atLeast"/>
        <w:rPr>
          <w:rFonts w:ascii="Arial" w:eastAsiaTheme="minorEastAsia" w:hAnsi="Arial" w:cs="Arial"/>
          <w:color w:val="0D0D0D"/>
          <w:sz w:val="29"/>
          <w:szCs w:val="29"/>
          <w:lang w:eastAsia="en-GB"/>
        </w:rPr>
      </w:pPr>
      <w:r w:rsidRPr="00053D77">
        <w:rPr>
          <w:rFonts w:ascii="Arial" w:eastAsiaTheme="minorEastAsia" w:hAnsi="Arial" w:cs="Arial"/>
          <w:color w:val="0D0D0D"/>
          <w:sz w:val="29"/>
          <w:szCs w:val="29"/>
          <w:lang w:eastAsia="en-GB"/>
        </w:rPr>
        <w:t>House of Commons Health and Social Care Committee (2021) Children and young people’s mental health. Eighth Report of Session 2021–22, HC 17. London: House of Commons. Available at: https://committees.parliament.uk/publications/8153/documents/170201/default/ (Accessed: 18 October 2026).</w:t>
      </w:r>
    </w:p>
    <w:p w14:paraId="472B5E05" w14:textId="77777777" w:rsidR="00D1551F" w:rsidRPr="00053D77" w:rsidRDefault="00D1551F" w:rsidP="00A738A5">
      <w:pPr>
        <w:spacing w:after="0" w:line="402" w:lineRule="atLeast"/>
        <w:rPr>
          <w:rFonts w:ascii="Arial" w:eastAsiaTheme="minorEastAsia" w:hAnsi="Arial" w:cs="Arial"/>
          <w:color w:val="0D0D0D"/>
          <w:sz w:val="29"/>
          <w:szCs w:val="29"/>
          <w:lang w:eastAsia="en-GB"/>
        </w:rPr>
      </w:pPr>
    </w:p>
    <w:p w14:paraId="4F7436D4" w14:textId="2A98E84E" w:rsidR="00D1551F" w:rsidRPr="00053D77" w:rsidRDefault="00D1551F" w:rsidP="00D1551F">
      <w:pPr>
        <w:spacing w:after="0" w:line="402" w:lineRule="atLeast"/>
        <w:rPr>
          <w:rFonts w:ascii="Arial" w:eastAsiaTheme="minorEastAsia" w:hAnsi="Arial" w:cs="Arial"/>
          <w:color w:val="0D0D0D"/>
          <w:position w:val="3"/>
          <w:sz w:val="29"/>
          <w:szCs w:val="29"/>
          <w:lang w:eastAsia="en-GB"/>
        </w:rPr>
      </w:pPr>
      <w:r w:rsidRPr="00053D77">
        <w:rPr>
          <w:rFonts w:ascii="Arial" w:eastAsiaTheme="minorEastAsia" w:hAnsi="Arial" w:cs="Arial"/>
          <w:color w:val="0D0D0D"/>
          <w:position w:val="3"/>
          <w:sz w:val="29"/>
          <w:szCs w:val="29"/>
          <w:lang w:eastAsia="en-GB"/>
        </w:rPr>
        <w:t xml:space="preserve">Lancashire and South Cumbria Integrated Care Board (2025) </w:t>
      </w:r>
      <w:r w:rsidRPr="00053D77">
        <w:rPr>
          <w:rFonts w:ascii="Arial" w:eastAsiaTheme="minorEastAsia" w:hAnsi="Arial" w:cs="Arial"/>
          <w:i/>
          <w:iCs/>
          <w:color w:val="0D0D0D"/>
          <w:position w:val="3"/>
          <w:sz w:val="29"/>
          <w:szCs w:val="29"/>
          <w:lang w:eastAsia="en-GB"/>
        </w:rPr>
        <w:t>Prevention and health inequalities</w:t>
      </w:r>
      <w:r w:rsidRPr="00053D77">
        <w:rPr>
          <w:rFonts w:ascii="Arial" w:eastAsiaTheme="minorEastAsia" w:hAnsi="Arial" w:cs="Arial"/>
          <w:color w:val="0D0D0D"/>
          <w:position w:val="3"/>
          <w:sz w:val="29"/>
          <w:szCs w:val="29"/>
          <w:lang w:eastAsia="en-GB"/>
        </w:rPr>
        <w:t>. Available at: https://www.lancashireandsouthcumbria.icb.nhs.uk/our-work/prevention-and-health-inequalities</w:t>
      </w:r>
      <w:r w:rsidRPr="00053D77">
        <w:rPr>
          <w:rFonts w:ascii="Segoe UI Symbol" w:eastAsiaTheme="minorEastAsia" w:hAnsi="Segoe UI Symbol" w:cs="Segoe UI Symbol"/>
          <w:color w:val="0D0D0D"/>
          <w:position w:val="3"/>
          <w:sz w:val="29"/>
          <w:szCs w:val="29"/>
          <w:lang w:eastAsia="en-GB"/>
        </w:rPr>
        <w:t>⁠</w:t>
      </w:r>
      <w:r w:rsidRPr="00053D77">
        <w:rPr>
          <w:rFonts w:ascii="Arial" w:eastAsiaTheme="minorEastAsia" w:hAnsi="Arial" w:cs="Arial"/>
          <w:noProof/>
          <w:color w:val="0D0D0D"/>
          <w:position w:val="3"/>
          <w:sz w:val="29"/>
          <w:szCs w:val="29"/>
          <w:lang w:eastAsia="en-GB"/>
        </w:rPr>
        <w:t xml:space="preserve"> </w:t>
      </w:r>
      <w:r w:rsidRPr="00053D77">
        <w:rPr>
          <w:rFonts w:ascii="Arial" w:eastAsiaTheme="minorEastAsia" w:hAnsi="Arial" w:cs="Arial"/>
          <w:color w:val="0D0D0D"/>
          <w:position w:val="3"/>
          <w:sz w:val="29"/>
          <w:szCs w:val="29"/>
          <w:lang w:eastAsia="en-GB"/>
        </w:rPr>
        <w:t xml:space="preserve"> (Accessed: 18 October 2026).</w:t>
      </w:r>
    </w:p>
    <w:p w14:paraId="384102A7" w14:textId="77777777" w:rsidR="00D86405" w:rsidRPr="00053D77" w:rsidRDefault="00D86405" w:rsidP="00D1551F">
      <w:pPr>
        <w:spacing w:after="0" w:line="402" w:lineRule="atLeast"/>
        <w:rPr>
          <w:rFonts w:ascii="Arial" w:eastAsiaTheme="minorEastAsia" w:hAnsi="Arial" w:cs="Arial"/>
          <w:color w:val="0D0D0D"/>
          <w:position w:val="3"/>
          <w:sz w:val="29"/>
          <w:szCs w:val="29"/>
          <w:lang w:eastAsia="en-GB"/>
        </w:rPr>
      </w:pPr>
    </w:p>
    <w:p w14:paraId="3DDE07F4" w14:textId="41FCF825" w:rsidR="00D86405" w:rsidRPr="00053D77" w:rsidRDefault="009C16B8" w:rsidP="00D1551F">
      <w:pPr>
        <w:spacing w:after="0" w:line="402" w:lineRule="atLeast"/>
        <w:rPr>
          <w:rFonts w:ascii="Arial" w:eastAsiaTheme="minorEastAsia" w:hAnsi="Arial" w:cs="Arial"/>
          <w:color w:val="0D0D0D"/>
          <w:sz w:val="29"/>
          <w:szCs w:val="29"/>
          <w:lang w:eastAsia="en-GB"/>
        </w:rPr>
      </w:pPr>
      <w:r w:rsidRPr="00053D77">
        <w:rPr>
          <w:rFonts w:ascii="Arial" w:eastAsiaTheme="minorEastAsia" w:hAnsi="Arial" w:cs="Arial"/>
          <w:color w:val="0D0D0D"/>
          <w:sz w:val="29"/>
          <w:szCs w:val="29"/>
          <w:lang w:eastAsia="en-GB"/>
        </w:rPr>
        <w:t>Lancashire County Council (2026) Indices of deprivation 2025. Lancashire Insight. Available at: https://www.lancashire.gov.uk/lancashire-insight/deprivation/indices-of-deprivation-2025/ (Accessed: 18 October 2026).</w:t>
      </w:r>
    </w:p>
    <w:p w14:paraId="2E74FD71" w14:textId="77777777" w:rsidR="00E81400" w:rsidRPr="00053D77" w:rsidRDefault="00E81400" w:rsidP="00D1551F">
      <w:pPr>
        <w:spacing w:after="0" w:line="402" w:lineRule="atLeast"/>
        <w:rPr>
          <w:rFonts w:ascii="Arial" w:eastAsiaTheme="minorEastAsia" w:hAnsi="Arial" w:cs="Arial"/>
          <w:color w:val="0D0D0D"/>
          <w:sz w:val="29"/>
          <w:szCs w:val="29"/>
          <w:lang w:eastAsia="en-GB"/>
        </w:rPr>
      </w:pPr>
    </w:p>
    <w:p w14:paraId="77E4DC95" w14:textId="7860E85B" w:rsidR="00E81400" w:rsidRDefault="00EC0BC0" w:rsidP="00D1551F">
      <w:pPr>
        <w:spacing w:after="0" w:line="402" w:lineRule="atLeast"/>
        <w:rPr>
          <w:rFonts w:ascii="Arial" w:eastAsiaTheme="minorEastAsia" w:hAnsi="Arial" w:cs="Arial"/>
          <w:color w:val="0D0D0D"/>
          <w:sz w:val="29"/>
          <w:szCs w:val="29"/>
          <w:lang w:eastAsia="en-GB"/>
        </w:rPr>
      </w:pPr>
      <w:r w:rsidRPr="00053D77">
        <w:rPr>
          <w:rFonts w:ascii="Arial" w:eastAsiaTheme="minorEastAsia" w:hAnsi="Arial" w:cs="Arial"/>
          <w:color w:val="0D0D0D"/>
          <w:sz w:val="29"/>
          <w:szCs w:val="29"/>
          <w:lang w:eastAsia="en-GB"/>
        </w:rPr>
        <w:t>Lancaster University (2021) Supporting children and young people’s mental health in schools and colleges. June. Available at: https://www.lancaster.ac.uk/health-and-medicine/work-with-us/engagement-case-studies/supporting-children-and-young-peoples-mental-health-in-schools-and-colleges (Accessed: 18 October 2026).</w:t>
      </w:r>
    </w:p>
    <w:p w14:paraId="1E0BFAE1" w14:textId="77777777" w:rsidR="0058321A" w:rsidRDefault="0058321A" w:rsidP="00D1551F">
      <w:pPr>
        <w:spacing w:after="0" w:line="402" w:lineRule="atLeast"/>
        <w:rPr>
          <w:rFonts w:ascii="Arial" w:eastAsiaTheme="minorEastAsia" w:hAnsi="Arial" w:cs="Arial"/>
          <w:color w:val="0D0D0D"/>
          <w:sz w:val="29"/>
          <w:szCs w:val="29"/>
          <w:lang w:eastAsia="en-GB"/>
        </w:rPr>
      </w:pPr>
    </w:p>
    <w:p w14:paraId="53FB3695" w14:textId="24382C09" w:rsidR="0058321A" w:rsidRPr="00053D77" w:rsidRDefault="00A66DC3" w:rsidP="00D1551F">
      <w:pPr>
        <w:spacing w:after="0" w:line="402" w:lineRule="atLeast"/>
        <w:rPr>
          <w:rFonts w:ascii="Arial" w:eastAsiaTheme="minorEastAsia" w:hAnsi="Arial" w:cs="Arial"/>
          <w:color w:val="0D0D0D"/>
          <w:sz w:val="29"/>
          <w:szCs w:val="29"/>
          <w:lang w:eastAsia="en-GB"/>
        </w:rPr>
      </w:pPr>
      <w:proofErr w:type="spellStart"/>
      <w:r w:rsidRPr="00A66DC3">
        <w:rPr>
          <w:rFonts w:ascii="Arial" w:eastAsiaTheme="minorEastAsia" w:hAnsi="Arial" w:cs="Arial"/>
          <w:color w:val="0D0D0D"/>
          <w:sz w:val="29"/>
          <w:szCs w:val="29"/>
          <w:lang w:eastAsia="en-GB"/>
        </w:rPr>
        <w:t>Nair</w:t>
      </w:r>
      <w:proofErr w:type="spellEnd"/>
      <w:r w:rsidRPr="00A66DC3">
        <w:rPr>
          <w:rFonts w:ascii="Arial" w:eastAsiaTheme="minorEastAsia" w:hAnsi="Arial" w:cs="Arial"/>
          <w:color w:val="0D0D0D"/>
          <w:sz w:val="29"/>
          <w:szCs w:val="29"/>
          <w:lang w:eastAsia="en-GB"/>
        </w:rPr>
        <w:t xml:space="preserve">, M., </w:t>
      </w:r>
      <w:proofErr w:type="spellStart"/>
      <w:r w:rsidRPr="00A66DC3">
        <w:rPr>
          <w:rFonts w:ascii="Arial" w:eastAsiaTheme="minorEastAsia" w:hAnsi="Arial" w:cs="Arial"/>
          <w:color w:val="0D0D0D"/>
          <w:sz w:val="29"/>
          <w:szCs w:val="29"/>
          <w:lang w:eastAsia="en-GB"/>
        </w:rPr>
        <w:t>Ramamurthy</w:t>
      </w:r>
      <w:proofErr w:type="spellEnd"/>
      <w:r w:rsidRPr="00A66DC3">
        <w:rPr>
          <w:rFonts w:ascii="Arial" w:eastAsiaTheme="minorEastAsia" w:hAnsi="Arial" w:cs="Arial"/>
          <w:color w:val="0D0D0D"/>
          <w:sz w:val="29"/>
          <w:szCs w:val="29"/>
          <w:lang w:eastAsia="en-GB"/>
        </w:rPr>
        <w:t xml:space="preserve">, K. and </w:t>
      </w:r>
      <w:proofErr w:type="spellStart"/>
      <w:r w:rsidRPr="00A66DC3">
        <w:rPr>
          <w:rFonts w:ascii="Arial" w:eastAsiaTheme="minorEastAsia" w:hAnsi="Arial" w:cs="Arial"/>
          <w:color w:val="0D0D0D"/>
          <w:sz w:val="29"/>
          <w:szCs w:val="29"/>
          <w:lang w:eastAsia="en-GB"/>
        </w:rPr>
        <w:t>Duddu</w:t>
      </w:r>
      <w:proofErr w:type="spellEnd"/>
      <w:r w:rsidRPr="00A66DC3">
        <w:rPr>
          <w:rFonts w:ascii="Arial" w:eastAsiaTheme="minorEastAsia" w:hAnsi="Arial" w:cs="Arial"/>
          <w:color w:val="0D0D0D"/>
          <w:sz w:val="29"/>
          <w:szCs w:val="29"/>
          <w:lang w:eastAsia="en-GB"/>
        </w:rPr>
        <w:t>, V. (2026) ‘Ethnicity recording and equity of access in child and adolescent mental health services: A re-audit of East Lancashire CAMHS’, BJPsych Open, 12(S1), p. S10. Available at: https://doi.org/10.1192/bjo.2026.11169 (Accessed: 18 October 2026).</w:t>
      </w:r>
    </w:p>
    <w:p w14:paraId="355C58A8" w14:textId="77777777" w:rsidR="00E47D21" w:rsidRPr="00053D77" w:rsidRDefault="00E47D21" w:rsidP="00331F5A">
      <w:pPr>
        <w:spacing w:line="360" w:lineRule="auto"/>
        <w:rPr>
          <w:rFonts w:ascii="Arial" w:hAnsi="Arial" w:cs="Arial"/>
        </w:rPr>
      </w:pPr>
    </w:p>
    <w:p w14:paraId="42A77A62" w14:textId="77777777" w:rsidR="00D1551F" w:rsidRPr="00053D77" w:rsidRDefault="00D1551F" w:rsidP="00331F5A">
      <w:pPr>
        <w:spacing w:line="360" w:lineRule="auto"/>
        <w:rPr>
          <w:rFonts w:ascii="Arial" w:hAnsi="Arial" w:cs="Arial"/>
        </w:rPr>
      </w:pPr>
    </w:p>
    <w:p w14:paraId="732D0AEC" w14:textId="4F2FA1D9" w:rsidR="00E47D21" w:rsidRPr="00053D77" w:rsidRDefault="00E47D21" w:rsidP="00331F5A">
      <w:pPr>
        <w:spacing w:line="360" w:lineRule="auto"/>
        <w:rPr>
          <w:rFonts w:ascii="Arial" w:hAnsi="Arial" w:cs="Arial"/>
        </w:rPr>
      </w:pPr>
    </w:p>
    <w:p w14:paraId="122C4F5C" w14:textId="5F0BCEB8" w:rsidR="00331F5A" w:rsidRPr="00053D77" w:rsidRDefault="00331F5A" w:rsidP="00331F5A">
      <w:pPr>
        <w:spacing w:line="360" w:lineRule="auto"/>
        <w:rPr>
          <w:rFonts w:ascii="Arial" w:hAnsi="Arial" w:cs="Arial"/>
        </w:rPr>
      </w:pPr>
      <w:r w:rsidRPr="00053D77">
        <w:rPr>
          <w:rFonts w:ascii="Arial" w:hAnsi="Arial" w:cs="Arial"/>
        </w:rPr>
        <w:br/>
      </w:r>
    </w:p>
    <w:p w14:paraId="4F674FD0" w14:textId="7B679175" w:rsidR="00331F5A" w:rsidRPr="00053D77" w:rsidRDefault="00331F5A" w:rsidP="00331F5A">
      <w:pPr>
        <w:spacing w:line="360" w:lineRule="auto"/>
        <w:rPr>
          <w:rFonts w:ascii="Arial" w:hAnsi="Arial" w:cs="Arial"/>
        </w:rPr>
      </w:pPr>
    </w:p>
    <w:p w14:paraId="5BC91157" w14:textId="2E98F5EB" w:rsidR="00545684" w:rsidRPr="00053D77" w:rsidRDefault="00331F5A" w:rsidP="00331F5A">
      <w:pPr>
        <w:spacing w:line="360" w:lineRule="auto"/>
        <w:rPr>
          <w:rFonts w:ascii="Arial" w:hAnsi="Arial" w:cs="Arial"/>
        </w:rPr>
      </w:pPr>
      <w:r w:rsidRPr="00053D77">
        <w:rPr>
          <w:rFonts w:ascii="Arial" w:hAnsi="Arial" w:cs="Arial"/>
        </w:rPr>
        <w:br/>
      </w:r>
    </w:p>
    <w:sectPr w:rsidR="00545684" w:rsidRPr="00053D77"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98C8880" w14:textId="77777777" w:rsidR="0057749D" w:rsidRDefault="0057749D" w:rsidP="00545684">
      <w:pPr>
        <w:spacing w:after="0" w:line="240" w:lineRule="auto"/>
      </w:pPr>
      <w:r>
        <w:separator/>
      </w:r>
    </w:p>
  </w:endnote>
  <w:endnote w:type="continuationSeparator" w:id="0">
    <w:p w14:paraId="7AF6F5F4" w14:textId="77777777" w:rsidR="0057749D" w:rsidRDefault="0057749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SFUI-SemiboldItalic">
    <w:altName w:val="Cambria"/>
    <w:panose1 w:val="020B0604020202020204"/>
    <w:charset w:val="00"/>
    <w:family w:val="roman"/>
    <w:pitch w:val="default"/>
  </w:font>
  <w:font w:name=".SFUI-Semibol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3AA7CBF" w14:textId="77777777" w:rsidR="0057749D" w:rsidRDefault="0057749D" w:rsidP="00545684">
      <w:pPr>
        <w:spacing w:after="0" w:line="240" w:lineRule="auto"/>
      </w:pPr>
      <w:r>
        <w:separator/>
      </w:r>
    </w:p>
  </w:footnote>
  <w:footnote w:type="continuationSeparator" w:id="0">
    <w:p w14:paraId="601FBACC" w14:textId="77777777" w:rsidR="0057749D" w:rsidRDefault="0057749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EB24E89"/>
    <w:multiLevelType w:val="hybridMultilevel"/>
    <w:tmpl w:val="2ED87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282AD1"/>
    <w:multiLevelType w:val="hybridMultilevel"/>
    <w:tmpl w:val="93B40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32612"/>
    <w:multiLevelType w:val="hybridMultilevel"/>
    <w:tmpl w:val="8A929B5E"/>
    <w:lvl w:ilvl="0" w:tplc="FFFFFFFF">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32740F"/>
    <w:multiLevelType w:val="hybridMultilevel"/>
    <w:tmpl w:val="862E0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2F0098"/>
    <w:multiLevelType w:val="hybridMultilevel"/>
    <w:tmpl w:val="E3CC8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1F28DC"/>
    <w:multiLevelType w:val="hybridMultilevel"/>
    <w:tmpl w:val="75001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933321522">
    <w:abstractNumId w:val="5"/>
  </w:num>
  <w:num w:numId="3" w16cid:durableId="875194671">
    <w:abstractNumId w:val="1"/>
  </w:num>
  <w:num w:numId="4" w16cid:durableId="1703288516">
    <w:abstractNumId w:val="8"/>
  </w:num>
  <w:num w:numId="5" w16cid:durableId="1208763282">
    <w:abstractNumId w:val="9"/>
  </w:num>
  <w:num w:numId="6" w16cid:durableId="1722484484">
    <w:abstractNumId w:val="7"/>
  </w:num>
  <w:num w:numId="7" w16cid:durableId="510922734">
    <w:abstractNumId w:val="4"/>
  </w:num>
  <w:num w:numId="8" w16cid:durableId="1360008146">
    <w:abstractNumId w:val="0"/>
  </w:num>
  <w:num w:numId="9" w16cid:durableId="1821190591">
    <w:abstractNumId w:val="2"/>
  </w:num>
  <w:num w:numId="10" w16cid:durableId="1764060289">
    <w:abstractNumId w:val="6"/>
  </w:num>
  <w:num w:numId="11" w16cid:durableId="1028608286">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74B"/>
    <w:rsid w:val="000041C2"/>
    <w:rsid w:val="00006D79"/>
    <w:rsid w:val="000267F4"/>
    <w:rsid w:val="00041A5A"/>
    <w:rsid w:val="00053D77"/>
    <w:rsid w:val="00062F9B"/>
    <w:rsid w:val="000A5161"/>
    <w:rsid w:val="000B67B3"/>
    <w:rsid w:val="000B6C9E"/>
    <w:rsid w:val="000B7CD5"/>
    <w:rsid w:val="000C645F"/>
    <w:rsid w:val="0011594F"/>
    <w:rsid w:val="001A6B9A"/>
    <w:rsid w:val="001B563E"/>
    <w:rsid w:val="001C42DA"/>
    <w:rsid w:val="001C578E"/>
    <w:rsid w:val="0020643B"/>
    <w:rsid w:val="00216C85"/>
    <w:rsid w:val="002206C3"/>
    <w:rsid w:val="00234BAC"/>
    <w:rsid w:val="00241D09"/>
    <w:rsid w:val="00245A44"/>
    <w:rsid w:val="0025028B"/>
    <w:rsid w:val="00260277"/>
    <w:rsid w:val="00273D23"/>
    <w:rsid w:val="00273EDD"/>
    <w:rsid w:val="002755DE"/>
    <w:rsid w:val="002919E1"/>
    <w:rsid w:val="00292FF7"/>
    <w:rsid w:val="002A15DA"/>
    <w:rsid w:val="002A2BE4"/>
    <w:rsid w:val="002C0045"/>
    <w:rsid w:val="002C3965"/>
    <w:rsid w:val="002C5D24"/>
    <w:rsid w:val="002D6FF0"/>
    <w:rsid w:val="002E0358"/>
    <w:rsid w:val="002F0EF1"/>
    <w:rsid w:val="003018F0"/>
    <w:rsid w:val="00321C4C"/>
    <w:rsid w:val="00331F5A"/>
    <w:rsid w:val="0034099E"/>
    <w:rsid w:val="003468BD"/>
    <w:rsid w:val="0035477D"/>
    <w:rsid w:val="0035694E"/>
    <w:rsid w:val="00362CF0"/>
    <w:rsid w:val="003646C3"/>
    <w:rsid w:val="00387FF5"/>
    <w:rsid w:val="003924F8"/>
    <w:rsid w:val="003A2FDF"/>
    <w:rsid w:val="003A7E7E"/>
    <w:rsid w:val="003B5B7F"/>
    <w:rsid w:val="003C3701"/>
    <w:rsid w:val="004241BA"/>
    <w:rsid w:val="00433DFC"/>
    <w:rsid w:val="00436BEF"/>
    <w:rsid w:val="00445815"/>
    <w:rsid w:val="004667F4"/>
    <w:rsid w:val="004903AA"/>
    <w:rsid w:val="00490AA7"/>
    <w:rsid w:val="004A2E23"/>
    <w:rsid w:val="004A3824"/>
    <w:rsid w:val="004A61B3"/>
    <w:rsid w:val="004B75C3"/>
    <w:rsid w:val="004C10BA"/>
    <w:rsid w:val="004C5EAD"/>
    <w:rsid w:val="004E6C3B"/>
    <w:rsid w:val="00501AC3"/>
    <w:rsid w:val="005160FD"/>
    <w:rsid w:val="005268E6"/>
    <w:rsid w:val="00543D83"/>
    <w:rsid w:val="00545684"/>
    <w:rsid w:val="0056139A"/>
    <w:rsid w:val="005636E8"/>
    <w:rsid w:val="0057749D"/>
    <w:rsid w:val="0058321A"/>
    <w:rsid w:val="00586FF1"/>
    <w:rsid w:val="00594462"/>
    <w:rsid w:val="005C51DD"/>
    <w:rsid w:val="005F6A71"/>
    <w:rsid w:val="00603653"/>
    <w:rsid w:val="0060715A"/>
    <w:rsid w:val="00612182"/>
    <w:rsid w:val="0061260B"/>
    <w:rsid w:val="00613EA4"/>
    <w:rsid w:val="00621682"/>
    <w:rsid w:val="00646B10"/>
    <w:rsid w:val="00651BF1"/>
    <w:rsid w:val="00696036"/>
    <w:rsid w:val="006B5315"/>
    <w:rsid w:val="006D11C6"/>
    <w:rsid w:val="006D298C"/>
    <w:rsid w:val="006E61B7"/>
    <w:rsid w:val="006E634E"/>
    <w:rsid w:val="006F082B"/>
    <w:rsid w:val="006F171C"/>
    <w:rsid w:val="00715990"/>
    <w:rsid w:val="00726F53"/>
    <w:rsid w:val="0074234F"/>
    <w:rsid w:val="00760B9A"/>
    <w:rsid w:val="00784670"/>
    <w:rsid w:val="007849B3"/>
    <w:rsid w:val="007A0BB2"/>
    <w:rsid w:val="007B1F88"/>
    <w:rsid w:val="007D2EA6"/>
    <w:rsid w:val="007E0599"/>
    <w:rsid w:val="00800E76"/>
    <w:rsid w:val="00801132"/>
    <w:rsid w:val="00803778"/>
    <w:rsid w:val="008419C8"/>
    <w:rsid w:val="00862AD4"/>
    <w:rsid w:val="00866B7B"/>
    <w:rsid w:val="0089379C"/>
    <w:rsid w:val="008A7632"/>
    <w:rsid w:val="008B0966"/>
    <w:rsid w:val="008B5AB5"/>
    <w:rsid w:val="008E5015"/>
    <w:rsid w:val="008E65D0"/>
    <w:rsid w:val="00905F2E"/>
    <w:rsid w:val="00907185"/>
    <w:rsid w:val="009125CE"/>
    <w:rsid w:val="00921593"/>
    <w:rsid w:val="009657E8"/>
    <w:rsid w:val="00992C73"/>
    <w:rsid w:val="009B2296"/>
    <w:rsid w:val="009C16B8"/>
    <w:rsid w:val="009D0416"/>
    <w:rsid w:val="009D1D1E"/>
    <w:rsid w:val="009F6B26"/>
    <w:rsid w:val="009F7E3A"/>
    <w:rsid w:val="00A035FD"/>
    <w:rsid w:val="00A14B4B"/>
    <w:rsid w:val="00A276A0"/>
    <w:rsid w:val="00A379FA"/>
    <w:rsid w:val="00A400EC"/>
    <w:rsid w:val="00A4332A"/>
    <w:rsid w:val="00A5270F"/>
    <w:rsid w:val="00A6153D"/>
    <w:rsid w:val="00A63AAF"/>
    <w:rsid w:val="00A66DB7"/>
    <w:rsid w:val="00A66DC3"/>
    <w:rsid w:val="00A738A5"/>
    <w:rsid w:val="00A91E26"/>
    <w:rsid w:val="00A97B05"/>
    <w:rsid w:val="00AE53A6"/>
    <w:rsid w:val="00AE7233"/>
    <w:rsid w:val="00B40E63"/>
    <w:rsid w:val="00B6334E"/>
    <w:rsid w:val="00B659E1"/>
    <w:rsid w:val="00BA4A90"/>
    <w:rsid w:val="00BA7E3F"/>
    <w:rsid w:val="00BC5369"/>
    <w:rsid w:val="00BD46A5"/>
    <w:rsid w:val="00BE0FF1"/>
    <w:rsid w:val="00BF1C0B"/>
    <w:rsid w:val="00C138AE"/>
    <w:rsid w:val="00C14441"/>
    <w:rsid w:val="00C2133F"/>
    <w:rsid w:val="00C268B2"/>
    <w:rsid w:val="00C342D3"/>
    <w:rsid w:val="00C54573"/>
    <w:rsid w:val="00C605F8"/>
    <w:rsid w:val="00C95EA5"/>
    <w:rsid w:val="00CE5D3D"/>
    <w:rsid w:val="00D025CA"/>
    <w:rsid w:val="00D074AD"/>
    <w:rsid w:val="00D109D1"/>
    <w:rsid w:val="00D1551F"/>
    <w:rsid w:val="00D20AC5"/>
    <w:rsid w:val="00D27F09"/>
    <w:rsid w:val="00D30D30"/>
    <w:rsid w:val="00D31729"/>
    <w:rsid w:val="00D421A3"/>
    <w:rsid w:val="00D60D11"/>
    <w:rsid w:val="00D7005B"/>
    <w:rsid w:val="00D75BD7"/>
    <w:rsid w:val="00D769F0"/>
    <w:rsid w:val="00D86405"/>
    <w:rsid w:val="00D87342"/>
    <w:rsid w:val="00D90874"/>
    <w:rsid w:val="00D963AF"/>
    <w:rsid w:val="00DA01E9"/>
    <w:rsid w:val="00DC58EE"/>
    <w:rsid w:val="00DC658D"/>
    <w:rsid w:val="00DD455D"/>
    <w:rsid w:val="00E06D2B"/>
    <w:rsid w:val="00E47D21"/>
    <w:rsid w:val="00E614D4"/>
    <w:rsid w:val="00E80581"/>
    <w:rsid w:val="00E81400"/>
    <w:rsid w:val="00EC0BC0"/>
    <w:rsid w:val="00EC5D0C"/>
    <w:rsid w:val="00EC68DA"/>
    <w:rsid w:val="00EF3096"/>
    <w:rsid w:val="00EF3762"/>
    <w:rsid w:val="00F04212"/>
    <w:rsid w:val="00F13D5E"/>
    <w:rsid w:val="00F23187"/>
    <w:rsid w:val="00F278D4"/>
    <w:rsid w:val="00F41F4E"/>
    <w:rsid w:val="00F4420E"/>
    <w:rsid w:val="00F52F6B"/>
    <w:rsid w:val="00F54A8E"/>
    <w:rsid w:val="00F56ECD"/>
    <w:rsid w:val="00F708C4"/>
    <w:rsid w:val="00F73C6B"/>
    <w:rsid w:val="00F83AA7"/>
    <w:rsid w:val="00F9470F"/>
    <w:rsid w:val="00FB4301"/>
    <w:rsid w:val="00FC2B9B"/>
    <w:rsid w:val="00FD0912"/>
    <w:rsid w:val="00FF5B70"/>
    <w:rsid w:val="00FF64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651BF1"/>
    <w:rPr>
      <w:color w:val="0563C1" w:themeColor="hyperlink"/>
      <w:u w:val="single"/>
    </w:rPr>
  </w:style>
  <w:style w:type="character" w:styleId="UnresolvedMention">
    <w:name w:val="Unresolved Mention"/>
    <w:basedOn w:val="DefaultParagraphFont"/>
    <w:uiPriority w:val="99"/>
    <w:semiHidden/>
    <w:unhideWhenUsed/>
    <w:rsid w:val="00651BF1"/>
    <w:rPr>
      <w:color w:val="605E5C"/>
      <w:shd w:val="clear" w:color="auto" w:fill="E1DFDD"/>
    </w:rPr>
  </w:style>
  <w:style w:type="paragraph" w:customStyle="1" w:styleId="p1">
    <w:name w:val="p1"/>
    <w:basedOn w:val="Normal"/>
    <w:rsid w:val="00B659E1"/>
    <w:pPr>
      <w:spacing w:after="0" w:line="402" w:lineRule="atLeast"/>
    </w:pPr>
    <w:rPr>
      <w:rFonts w:ascii=".AppleSystemUIFont" w:eastAsiaTheme="minorEastAsia" w:hAnsi=".AppleSystemUIFont" w:cs="Times New Roman"/>
      <w:color w:val="0D0D0D"/>
      <w:sz w:val="29"/>
      <w:szCs w:val="29"/>
      <w:lang w:eastAsia="en-GB"/>
    </w:rPr>
  </w:style>
  <w:style w:type="character" w:customStyle="1" w:styleId="s1">
    <w:name w:val="s1"/>
    <w:basedOn w:val="DefaultParagraphFont"/>
    <w:rsid w:val="00B659E1"/>
    <w:rPr>
      <w:rFonts w:ascii=".SFUI-SemiboldItalic" w:hAnsi=".SFUI-SemiboldItalic" w:hint="default"/>
      <w:b w:val="0"/>
      <w:bCs w:val="0"/>
      <w:i/>
      <w:iCs/>
      <w:position w:val="3"/>
      <w:sz w:val="29"/>
      <w:szCs w:val="29"/>
    </w:rPr>
  </w:style>
  <w:style w:type="character" w:customStyle="1" w:styleId="s2">
    <w:name w:val="s2"/>
    <w:basedOn w:val="DefaultParagraphFont"/>
    <w:rsid w:val="00B659E1"/>
    <w:rPr>
      <w:rFonts w:ascii=".SFUI-Semibold" w:hAnsi=".SFUI-Semibold" w:hint="default"/>
      <w:b w:val="0"/>
      <w:bCs w:val="0"/>
      <w:i w:val="0"/>
      <w:iCs w:val="0"/>
      <w:position w:val="3"/>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safeguard-children--2" TargetMode="External"/><Relationship Id="rId3" Type="http://schemas.openxmlformats.org/officeDocument/2006/relationships/settings" Target="settings.xml"/><Relationship Id="rId7" Type="http://schemas.openxmlformats.org/officeDocument/2006/relationships/hyperlink" Target="https://doi.org/10.1191/1478088706qp063o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1718</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Mariana Cristina Tudor</cp:lastModifiedBy>
  <cp:revision>2</cp:revision>
  <dcterms:created xsi:type="dcterms:W3CDTF">2026-10-18T12:55:00Z</dcterms:created>
  <dcterms:modified xsi:type="dcterms:W3CDTF">2026-10-18T12:55:00Z</dcterms:modified>
</cp:coreProperties>
</file>