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81D3A" w14:textId="77777777" w:rsidR="003F43E7" w:rsidRPr="003F43E7" w:rsidRDefault="003F43E7" w:rsidP="003F43E7">
      <w:pPr>
        <w:jc w:val="center"/>
        <w:rPr>
          <w:b/>
          <w:bCs/>
          <w:sz w:val="72"/>
          <w:szCs w:val="72"/>
        </w:rPr>
      </w:pPr>
      <w:r w:rsidRPr="003F43E7">
        <w:rPr>
          <w:b/>
          <w:bCs/>
          <w:sz w:val="72"/>
          <w:szCs w:val="72"/>
          <w:lang w:val="en-US"/>
        </w:rPr>
        <w:t>Name: Mercy Tshikombwe</w:t>
      </w:r>
    </w:p>
    <w:p w14:paraId="7BF63CAB" w14:textId="3CC83204" w:rsidR="003F43E7" w:rsidRPr="003F43E7" w:rsidRDefault="003F43E7" w:rsidP="003F43E7">
      <w:pPr>
        <w:jc w:val="center"/>
        <w:rPr>
          <w:b/>
          <w:bCs/>
          <w:sz w:val="72"/>
          <w:szCs w:val="72"/>
        </w:rPr>
      </w:pPr>
      <w:r w:rsidRPr="00B67EE2">
        <w:rPr>
          <w:b/>
          <w:bCs/>
          <w:sz w:val="72"/>
          <w:szCs w:val="72"/>
          <w:lang w:val="en-US"/>
        </w:rPr>
        <w:t>Student Number</w:t>
      </w:r>
      <w:r w:rsidRPr="003F43E7">
        <w:rPr>
          <w:b/>
          <w:bCs/>
          <w:sz w:val="72"/>
          <w:szCs w:val="72"/>
          <w:lang w:val="en-US"/>
        </w:rPr>
        <w:t xml:space="preserve"> :2424792</w:t>
      </w:r>
    </w:p>
    <w:p w14:paraId="30825D0A" w14:textId="7F7E10FA" w:rsidR="003F43E7" w:rsidRPr="003F43E7" w:rsidRDefault="003F43E7" w:rsidP="003F43E7">
      <w:pPr>
        <w:jc w:val="center"/>
        <w:rPr>
          <w:b/>
          <w:bCs/>
          <w:sz w:val="72"/>
          <w:szCs w:val="72"/>
        </w:rPr>
      </w:pPr>
      <w:r w:rsidRPr="003F43E7">
        <w:rPr>
          <w:b/>
          <w:bCs/>
          <w:sz w:val="72"/>
          <w:szCs w:val="72"/>
          <w:lang w:val="en-US"/>
        </w:rPr>
        <w:t xml:space="preserve">Module </w:t>
      </w:r>
      <w:r w:rsidRPr="00B67EE2">
        <w:rPr>
          <w:b/>
          <w:bCs/>
          <w:sz w:val="72"/>
          <w:szCs w:val="72"/>
          <w:lang w:val="en-US"/>
        </w:rPr>
        <w:t>code: LCHS</w:t>
      </w:r>
      <w:r w:rsidRPr="003F43E7">
        <w:rPr>
          <w:b/>
          <w:bCs/>
          <w:sz w:val="72"/>
          <w:szCs w:val="72"/>
          <w:lang w:val="en-US"/>
        </w:rPr>
        <w:t>4010</w:t>
      </w:r>
    </w:p>
    <w:p w14:paraId="14381849" w14:textId="07970AF6" w:rsidR="003F43E7" w:rsidRPr="003F43E7" w:rsidRDefault="003F43E7" w:rsidP="003F43E7">
      <w:pPr>
        <w:jc w:val="center"/>
        <w:rPr>
          <w:b/>
          <w:bCs/>
          <w:sz w:val="72"/>
          <w:szCs w:val="72"/>
        </w:rPr>
      </w:pPr>
      <w:r w:rsidRPr="003F43E7">
        <w:rPr>
          <w:b/>
          <w:bCs/>
          <w:sz w:val="72"/>
          <w:szCs w:val="72"/>
          <w:lang w:val="en-US"/>
        </w:rPr>
        <w:t>Module Title: Psychology in</w:t>
      </w:r>
    </w:p>
    <w:p w14:paraId="47085F38" w14:textId="488C43A0" w:rsidR="003F43E7" w:rsidRPr="003F43E7" w:rsidRDefault="003F43E7" w:rsidP="003F43E7">
      <w:pPr>
        <w:jc w:val="center"/>
        <w:rPr>
          <w:b/>
          <w:bCs/>
          <w:sz w:val="72"/>
          <w:szCs w:val="72"/>
        </w:rPr>
      </w:pPr>
      <w:r w:rsidRPr="003F43E7">
        <w:rPr>
          <w:b/>
          <w:bCs/>
          <w:sz w:val="72"/>
          <w:szCs w:val="72"/>
          <w:lang w:val="en-US"/>
        </w:rPr>
        <w:t>Health and social care</w:t>
      </w:r>
    </w:p>
    <w:p w14:paraId="2739B1C0" w14:textId="480B3D2C" w:rsidR="003F43E7" w:rsidRPr="003F43E7" w:rsidRDefault="003F43E7" w:rsidP="003F43E7">
      <w:pPr>
        <w:jc w:val="center"/>
        <w:rPr>
          <w:b/>
          <w:bCs/>
          <w:sz w:val="72"/>
          <w:szCs w:val="72"/>
        </w:rPr>
      </w:pPr>
      <w:r w:rsidRPr="003F43E7">
        <w:rPr>
          <w:b/>
          <w:bCs/>
          <w:sz w:val="72"/>
          <w:szCs w:val="72"/>
          <w:lang w:val="en-US"/>
        </w:rPr>
        <w:t>Lecture Name: Dr Helen Parsons</w:t>
      </w:r>
    </w:p>
    <w:p w14:paraId="6B64D463" w14:textId="4C4886A8" w:rsidR="003F43E7" w:rsidRPr="00B67EE2" w:rsidRDefault="003F43E7" w:rsidP="003F43E7">
      <w:pPr>
        <w:jc w:val="center"/>
        <w:rPr>
          <w:b/>
          <w:bCs/>
          <w:sz w:val="72"/>
          <w:szCs w:val="72"/>
          <w:lang w:val="en-US"/>
        </w:rPr>
      </w:pPr>
      <w:r w:rsidRPr="003F43E7">
        <w:rPr>
          <w:b/>
          <w:bCs/>
          <w:sz w:val="72"/>
          <w:szCs w:val="72"/>
          <w:lang w:val="en-US"/>
        </w:rPr>
        <w:t xml:space="preserve">Assignment </w:t>
      </w:r>
      <w:r w:rsidR="00B67EE2" w:rsidRPr="00B67EE2">
        <w:rPr>
          <w:b/>
          <w:bCs/>
          <w:sz w:val="72"/>
          <w:szCs w:val="72"/>
          <w:lang w:val="en-US"/>
        </w:rPr>
        <w:t xml:space="preserve">Title: Part A Annotated Bibliography  </w:t>
      </w:r>
    </w:p>
    <w:p w14:paraId="1634B84D" w14:textId="2C080485" w:rsidR="003F43E7" w:rsidRPr="003F43E7" w:rsidRDefault="00B67EE2" w:rsidP="00B67EE2">
      <w:pPr>
        <w:jc w:val="center"/>
        <w:rPr>
          <w:b/>
          <w:bCs/>
          <w:sz w:val="72"/>
          <w:szCs w:val="72"/>
        </w:rPr>
      </w:pPr>
      <w:r w:rsidRPr="00B67EE2">
        <w:rPr>
          <w:b/>
          <w:bCs/>
          <w:sz w:val="72"/>
          <w:szCs w:val="72"/>
          <w:lang w:val="en-US"/>
        </w:rPr>
        <w:t xml:space="preserve">Part B: Short Report </w:t>
      </w:r>
    </w:p>
    <w:p w14:paraId="7F8F2FD2" w14:textId="67FCBAD3" w:rsidR="003F43E7" w:rsidRPr="003F43E7" w:rsidRDefault="003F43E7" w:rsidP="003F43E7">
      <w:pPr>
        <w:jc w:val="center"/>
        <w:rPr>
          <w:b/>
          <w:bCs/>
          <w:sz w:val="56"/>
          <w:szCs w:val="56"/>
        </w:rPr>
      </w:pPr>
      <w:r w:rsidRPr="003F43E7">
        <w:rPr>
          <w:b/>
          <w:bCs/>
          <w:sz w:val="72"/>
          <w:szCs w:val="72"/>
          <w:lang w:val="en-US"/>
        </w:rPr>
        <w:t>Date:</w:t>
      </w:r>
      <w:r w:rsidR="00B67EE2" w:rsidRPr="00B67EE2">
        <w:rPr>
          <w:b/>
          <w:bCs/>
          <w:sz w:val="72"/>
          <w:szCs w:val="72"/>
          <w:lang w:val="en-US"/>
        </w:rPr>
        <w:t>24</w:t>
      </w:r>
      <w:r w:rsidRPr="003F43E7">
        <w:rPr>
          <w:b/>
          <w:bCs/>
          <w:sz w:val="72"/>
          <w:szCs w:val="72"/>
          <w:lang w:val="en-US"/>
        </w:rPr>
        <w:t xml:space="preserve">/ </w:t>
      </w:r>
      <w:r w:rsidR="00B67EE2" w:rsidRPr="00B67EE2">
        <w:rPr>
          <w:b/>
          <w:bCs/>
          <w:sz w:val="72"/>
          <w:szCs w:val="72"/>
          <w:lang w:val="en-US"/>
        </w:rPr>
        <w:t>March</w:t>
      </w:r>
      <w:r w:rsidR="00B67EE2" w:rsidRPr="00B67EE2">
        <w:rPr>
          <w:b/>
          <w:bCs/>
          <w:sz w:val="56"/>
          <w:szCs w:val="56"/>
          <w:lang w:val="en-US"/>
        </w:rPr>
        <w:t xml:space="preserve"> </w:t>
      </w:r>
      <w:r w:rsidRPr="003F43E7">
        <w:rPr>
          <w:b/>
          <w:bCs/>
          <w:sz w:val="56"/>
          <w:szCs w:val="56"/>
          <w:lang w:val="en-US"/>
        </w:rPr>
        <w:t>/2026</w:t>
      </w:r>
    </w:p>
    <w:p w14:paraId="7D39597C" w14:textId="77777777" w:rsidR="003F43E7" w:rsidRDefault="003F43E7">
      <w:pPr>
        <w:rPr>
          <w:b/>
          <w:bCs/>
        </w:rPr>
      </w:pPr>
    </w:p>
    <w:p w14:paraId="6C5A56F2" w14:textId="77777777" w:rsidR="00B67EE2" w:rsidRDefault="00B67EE2">
      <w:pPr>
        <w:rPr>
          <w:b/>
          <w:bCs/>
        </w:rPr>
      </w:pPr>
    </w:p>
    <w:p w14:paraId="398355C5" w14:textId="77777777" w:rsidR="00B67EE2" w:rsidRDefault="00B67EE2">
      <w:pPr>
        <w:rPr>
          <w:b/>
          <w:bCs/>
        </w:rPr>
      </w:pPr>
    </w:p>
    <w:p w14:paraId="2D1E440B" w14:textId="77777777" w:rsidR="00B67EE2" w:rsidRDefault="00B67EE2">
      <w:pPr>
        <w:rPr>
          <w:b/>
          <w:bCs/>
        </w:rPr>
      </w:pPr>
    </w:p>
    <w:p w14:paraId="31511724" w14:textId="77777777" w:rsidR="003F43E7" w:rsidRDefault="003F43E7">
      <w:pPr>
        <w:rPr>
          <w:b/>
          <w:bCs/>
        </w:rPr>
      </w:pPr>
    </w:p>
    <w:p w14:paraId="616C0EED" w14:textId="2C87FB79" w:rsidR="003F43E7" w:rsidRPr="000D5DEA" w:rsidRDefault="00B67EE2" w:rsidP="00B67EE2">
      <w:pPr>
        <w:spacing w:line="360" w:lineRule="auto"/>
        <w:rPr>
          <w:b/>
          <w:bCs/>
          <w:sz w:val="24"/>
          <w:szCs w:val="24"/>
        </w:rPr>
      </w:pPr>
      <w:r w:rsidRPr="000D5DEA">
        <w:rPr>
          <w:b/>
          <w:bCs/>
          <w:sz w:val="24"/>
          <w:szCs w:val="24"/>
        </w:rPr>
        <w:lastRenderedPageBreak/>
        <w:t>Part A</w:t>
      </w:r>
      <w:r w:rsidR="000D5DEA" w:rsidRPr="000D5DEA">
        <w:rPr>
          <w:b/>
          <w:bCs/>
          <w:sz w:val="24"/>
          <w:szCs w:val="24"/>
        </w:rPr>
        <w:t xml:space="preserve"> Annotated Bibliography</w:t>
      </w:r>
    </w:p>
    <w:p w14:paraId="358BF4FC" w14:textId="62408194" w:rsidR="003F43E7" w:rsidRPr="00703BBC" w:rsidRDefault="00943B57" w:rsidP="00B67EE2">
      <w:pPr>
        <w:spacing w:line="360" w:lineRule="auto"/>
        <w:rPr>
          <w:b/>
          <w:bCs/>
        </w:rPr>
      </w:pPr>
      <w:r w:rsidRPr="00703BBC">
        <w:rPr>
          <w:b/>
          <w:bCs/>
        </w:rPr>
        <w:t>Source</w:t>
      </w:r>
    </w:p>
    <w:p w14:paraId="6443E6A7" w14:textId="0F95D0FB" w:rsidR="00943B57" w:rsidRPr="00943B57" w:rsidRDefault="00943B57" w:rsidP="00B67EE2">
      <w:pPr>
        <w:spacing w:line="360" w:lineRule="auto"/>
      </w:pPr>
      <w:r w:rsidRPr="003F43E7">
        <w:t>Erikson, E.H. (1950) Childhood and society. New York: W.W. Norton.</w:t>
      </w:r>
    </w:p>
    <w:p w14:paraId="75187AB7" w14:textId="1C2AEB27" w:rsidR="003F43E7" w:rsidRPr="00524940" w:rsidRDefault="00524940" w:rsidP="00B67EE2">
      <w:pPr>
        <w:spacing w:line="360" w:lineRule="auto"/>
        <w:rPr>
          <w:b/>
          <w:bCs/>
        </w:rPr>
      </w:pPr>
      <w:r w:rsidRPr="00524940">
        <w:rPr>
          <w:b/>
          <w:bCs/>
        </w:rPr>
        <w:t>ERIKSON’S PSYCHOSOCIAL DEVELOPMENT THEORY</w:t>
      </w:r>
    </w:p>
    <w:p w14:paraId="4BB268AD" w14:textId="562E3DB3" w:rsidR="00524940" w:rsidRDefault="00524940" w:rsidP="00B67EE2">
      <w:pPr>
        <w:spacing w:line="360" w:lineRule="auto"/>
      </w:pPr>
      <w:r w:rsidRPr="00524940">
        <w:t>Erikson’s psychosocial theory explains that development continues throughout the whole lifespan. In older adulthood, the final stage is called Integrity versus Despair. At this stage, individuals look back on their lives and evaluate their experiences. If they feel their life had meaning and value, they develop integrity. This leads to acceptance, emotional peace, and reduced fear of death. If they feel regret, guilt, or missed opportunities, they may experience despair, sadness, or bitterness</w:t>
      </w:r>
      <w:r>
        <w:t>.</w:t>
      </w:r>
    </w:p>
    <w:p w14:paraId="2BE99DA9" w14:textId="1A14D3B1" w:rsidR="00524940" w:rsidRDefault="00524940" w:rsidP="00B67EE2">
      <w:pPr>
        <w:spacing w:line="360" w:lineRule="auto"/>
      </w:pPr>
      <w:r w:rsidRPr="00524940">
        <w:t>Erikson emphasises that social relationships and recognition from others influence this outcome. When older adults feel respected and listened to, they are more likely to achieve integrity.</w:t>
      </w:r>
    </w:p>
    <w:p w14:paraId="4F24A7A5" w14:textId="5FB80725" w:rsidR="00D948DA" w:rsidRPr="00D948DA" w:rsidRDefault="00D948DA" w:rsidP="00B67EE2">
      <w:pPr>
        <w:spacing w:line="360" w:lineRule="auto"/>
        <w:rPr>
          <w:b/>
          <w:bCs/>
        </w:rPr>
      </w:pPr>
      <w:r w:rsidRPr="00D948DA">
        <w:rPr>
          <w:b/>
          <w:bCs/>
        </w:rPr>
        <w:t>source</w:t>
      </w:r>
    </w:p>
    <w:p w14:paraId="7E2202B6" w14:textId="39AA0EAB" w:rsidR="00F45E23" w:rsidRDefault="00F45E23" w:rsidP="00B67EE2">
      <w:pPr>
        <w:spacing w:line="360" w:lineRule="auto"/>
      </w:pPr>
      <w:r>
        <w:t>Westerhof, G.J. and Bohlmeijer, E.T. (2014) ‘Celebrating fifty years of research and applications in reminiscence and life review: State of the art and new directions’, Journal of Aging Studies, 29, pp. 107–114.</w:t>
      </w:r>
    </w:p>
    <w:p w14:paraId="7146D1DF" w14:textId="49F22FE3" w:rsidR="00F45E23" w:rsidRDefault="00F45E23" w:rsidP="00B67EE2">
      <w:pPr>
        <w:spacing w:line="360" w:lineRule="auto"/>
      </w:pPr>
      <w:r>
        <w:t>Research on ageing also supports Erikson’s view that reflecting on life experiences contributes to emotional wellbeing in older adulthood. Structured life review activities can help older adults develop a sense of meaning and reduce feelings of regret or depression (Westerhof and Bohlmeijer, 2014)</w:t>
      </w:r>
    </w:p>
    <w:p w14:paraId="522AA9D2" w14:textId="5CE63FB1" w:rsidR="00524940" w:rsidRPr="000D5DEA" w:rsidRDefault="00524940" w:rsidP="00B67EE2">
      <w:pPr>
        <w:spacing w:line="360" w:lineRule="auto"/>
        <w:rPr>
          <w:b/>
          <w:bCs/>
          <w:sz w:val="24"/>
          <w:szCs w:val="24"/>
        </w:rPr>
      </w:pPr>
      <w:r w:rsidRPr="000D5DEA">
        <w:rPr>
          <w:b/>
          <w:bCs/>
          <w:sz w:val="24"/>
          <w:szCs w:val="24"/>
        </w:rPr>
        <w:t>Critical Comment and Relevance to Health and Social Care</w:t>
      </w:r>
    </w:p>
    <w:p w14:paraId="7A1AE50C" w14:textId="28AC7F3B" w:rsidR="00524940" w:rsidRDefault="00524940" w:rsidP="00B67EE2">
      <w:pPr>
        <w:spacing w:line="360" w:lineRule="auto"/>
      </w:pPr>
      <w:r w:rsidRPr="00524940">
        <w:t>This theory is highly relevant in UK residential care homes. Many residents spend time reflecting on their past. Care professionals can support integrity by encouraging life review conversations, reminiscence therapy, storytelling sessions, and family engagement. When staff validate residents’ life experiences, residents feel valued rather than forgotten.</w:t>
      </w:r>
    </w:p>
    <w:p w14:paraId="43AE9FAE" w14:textId="61D809D9" w:rsidR="00524940" w:rsidRDefault="00524940" w:rsidP="00B67EE2">
      <w:pPr>
        <w:spacing w:line="360" w:lineRule="auto"/>
      </w:pPr>
      <w:r w:rsidRPr="00524940">
        <w:t xml:space="preserve">However, the theory focuses strongly on personal reflection and does not fully address environmental factors such as rigid routines or limited staffing. If residents lack autonomy or privacy, achieving integrity becomes more difficult. Therefore, while Erikson provides a strong </w:t>
      </w:r>
      <w:r w:rsidRPr="00524940">
        <w:lastRenderedPageBreak/>
        <w:t>emotional framework, it must be combined with person-centred care practices that promote dignity and choice.</w:t>
      </w:r>
    </w:p>
    <w:p w14:paraId="7E7FE267" w14:textId="37D82A38" w:rsidR="00943B57" w:rsidRPr="00703BBC" w:rsidRDefault="00943B57" w:rsidP="00B67EE2">
      <w:pPr>
        <w:spacing w:line="360" w:lineRule="auto"/>
        <w:rPr>
          <w:b/>
          <w:bCs/>
          <w:i/>
          <w:iCs/>
        </w:rPr>
      </w:pPr>
      <w:r w:rsidRPr="00703BBC">
        <w:rPr>
          <w:b/>
          <w:bCs/>
          <w:i/>
          <w:iCs/>
        </w:rPr>
        <w:t>Source</w:t>
      </w:r>
      <w:r w:rsidR="00F45E23" w:rsidRPr="00703BBC">
        <w:rPr>
          <w:b/>
          <w:bCs/>
          <w:i/>
          <w:iCs/>
        </w:rPr>
        <w:t>s</w:t>
      </w:r>
    </w:p>
    <w:p w14:paraId="5B50840F" w14:textId="751FDA08" w:rsidR="00F45E23" w:rsidRPr="00943B57" w:rsidRDefault="00943B57" w:rsidP="00B67EE2">
      <w:pPr>
        <w:spacing w:line="360" w:lineRule="auto"/>
      </w:pPr>
      <w:r w:rsidRPr="003F43E7">
        <w:t>Bowlby, J. (1969) Attachment and loss: Vol. 1. Attachment. London: Hogarth Press.</w:t>
      </w:r>
    </w:p>
    <w:p w14:paraId="7D6B5F30" w14:textId="66C183CF" w:rsidR="00524940" w:rsidRDefault="00524940" w:rsidP="00B67EE2">
      <w:pPr>
        <w:spacing w:line="360" w:lineRule="auto"/>
        <w:rPr>
          <w:b/>
          <w:bCs/>
        </w:rPr>
      </w:pPr>
      <w:r w:rsidRPr="00524940">
        <w:rPr>
          <w:b/>
          <w:bCs/>
        </w:rPr>
        <w:t>BOWLBY’S ATTACHMENT THEORY</w:t>
      </w:r>
    </w:p>
    <w:p w14:paraId="14CF1512" w14:textId="7B995D80" w:rsidR="00524940" w:rsidRDefault="00524940" w:rsidP="00B67EE2">
      <w:pPr>
        <w:spacing w:line="360" w:lineRule="auto"/>
        <w:rPr>
          <w:b/>
          <w:bCs/>
        </w:rPr>
      </w:pPr>
      <w:r w:rsidRPr="00524940">
        <w:t>Bowlby’s attachment theory explains that humans naturally seek closeness and emotional security. Although first developed to explain child development, the theory applies across the lifespan. In older adulthood, attachment needs remain important, especially during times of vulnerability</w:t>
      </w:r>
      <w:r>
        <w:rPr>
          <w:b/>
          <w:bCs/>
        </w:rPr>
        <w:t>.</w:t>
      </w:r>
    </w:p>
    <w:p w14:paraId="630A99CB" w14:textId="6DBB3009" w:rsidR="00524940" w:rsidRDefault="00524940" w:rsidP="00B67EE2">
      <w:pPr>
        <w:spacing w:line="360" w:lineRule="auto"/>
      </w:pPr>
      <w:r w:rsidRPr="00524940">
        <w:t>Moving into residential care can feel like a major loss. Older adults may be separated from their homes, communities, or partners. This can create anxiety, confusion, or withdrawal. Secure and consistent relationships with care staff can reduce distress and improve emotional wellbeing.</w:t>
      </w:r>
    </w:p>
    <w:p w14:paraId="267E45DC" w14:textId="6C6F292B" w:rsidR="003F48D1" w:rsidRPr="00703BBC" w:rsidRDefault="003F48D1" w:rsidP="00B67EE2">
      <w:pPr>
        <w:spacing w:line="360" w:lineRule="auto"/>
        <w:rPr>
          <w:b/>
          <w:bCs/>
        </w:rPr>
      </w:pPr>
      <w:r w:rsidRPr="00703BBC">
        <w:rPr>
          <w:b/>
          <w:bCs/>
        </w:rPr>
        <w:t>Source</w:t>
      </w:r>
    </w:p>
    <w:p w14:paraId="17614F55" w14:textId="331A51F9" w:rsidR="003F48D1" w:rsidRDefault="003F48D1" w:rsidP="00B67EE2">
      <w:pPr>
        <w:spacing w:line="360" w:lineRule="auto"/>
      </w:pPr>
      <w:r>
        <w:t>Cassidy, J. and Shaver, P.R. (2016) Handbook of attachment: Theory, research, and clinical applications. 3rd edn. New York: Guilford Press.</w:t>
      </w:r>
    </w:p>
    <w:p w14:paraId="019DA77C" w14:textId="71ECE4BE" w:rsidR="003F48D1" w:rsidRDefault="003F48D1" w:rsidP="00B67EE2">
      <w:pPr>
        <w:spacing w:line="360" w:lineRule="auto"/>
      </w:pPr>
      <w:r>
        <w:t>Research shows that attachment needs continue into later life and can influence how older adults respond to transitions such as moving into residential care. Supportive and consistent relationships with caregivers can reduce anxiety and improve emotional security (Cassidy and Shaver, 2016).</w:t>
      </w:r>
    </w:p>
    <w:p w14:paraId="243F75B7" w14:textId="287DC4B8" w:rsidR="00524940" w:rsidRDefault="00524940" w:rsidP="00B67EE2">
      <w:pPr>
        <w:spacing w:line="360" w:lineRule="auto"/>
        <w:rPr>
          <w:b/>
          <w:bCs/>
        </w:rPr>
      </w:pPr>
      <w:r w:rsidRPr="00524940">
        <w:rPr>
          <w:b/>
          <w:bCs/>
        </w:rPr>
        <w:t>Critical Comment and Relevance to Health and Social Care</w:t>
      </w:r>
    </w:p>
    <w:p w14:paraId="6DF39900" w14:textId="0EDA1204" w:rsidR="00524940" w:rsidRDefault="00524940" w:rsidP="00B67EE2">
      <w:pPr>
        <w:spacing w:line="360" w:lineRule="auto"/>
        <w:rPr>
          <w:b/>
          <w:bCs/>
        </w:rPr>
      </w:pPr>
      <w:r w:rsidRPr="00524940">
        <w:t>Attachment theory helps staff understand behaviour in a more compassionate way. For example, a resident who frequently calls for staff may not be “difficult” but may feel insecure. Recognising attachment needs encourages patience, reassurance, and emotional presence</w:t>
      </w:r>
      <w:r w:rsidRPr="00524940">
        <w:rPr>
          <w:b/>
          <w:bCs/>
        </w:rPr>
        <w:t>.</w:t>
      </w:r>
    </w:p>
    <w:p w14:paraId="2F5387AE" w14:textId="155060FB" w:rsidR="00524940" w:rsidRDefault="00524940" w:rsidP="00B67EE2">
      <w:pPr>
        <w:spacing w:line="360" w:lineRule="auto"/>
      </w:pPr>
      <w:r w:rsidRPr="00524940">
        <w:t>In UK care homes, continuity of care is essential. When residents see familiar staff members regularly, trust develops. However, high staff turnover can disrupt secure attachments. The theory also does not directly address dementia-related cognitive changes. Professionals must therefore integrate attachment-informed practice with dementia care training. Despite this limitation, the theory strongly supports relational, person-centred approaches in residential settings.</w:t>
      </w:r>
    </w:p>
    <w:p w14:paraId="4534D4E2" w14:textId="77777777" w:rsidR="00140520" w:rsidRDefault="00140520" w:rsidP="00B67EE2">
      <w:pPr>
        <w:spacing w:line="360" w:lineRule="auto"/>
      </w:pPr>
    </w:p>
    <w:p w14:paraId="568DB7CB" w14:textId="77777777" w:rsidR="00B67EE2" w:rsidRDefault="00B67EE2" w:rsidP="00B67EE2">
      <w:pPr>
        <w:spacing w:line="360" w:lineRule="auto"/>
      </w:pPr>
    </w:p>
    <w:p w14:paraId="34E275D4" w14:textId="77777777" w:rsidR="00283197" w:rsidRDefault="00283197" w:rsidP="00B67EE2">
      <w:pPr>
        <w:spacing w:line="360" w:lineRule="auto"/>
      </w:pPr>
    </w:p>
    <w:p w14:paraId="14959605" w14:textId="6ECF0E52" w:rsidR="00283197" w:rsidRPr="00B67EE2" w:rsidRDefault="00283197" w:rsidP="00B67EE2">
      <w:pPr>
        <w:spacing w:line="360" w:lineRule="auto"/>
        <w:jc w:val="center"/>
        <w:rPr>
          <w:b/>
          <w:bCs/>
        </w:rPr>
      </w:pPr>
      <w:r w:rsidRPr="00B67EE2">
        <w:rPr>
          <w:b/>
          <w:bCs/>
        </w:rPr>
        <w:t>PART B</w:t>
      </w:r>
    </w:p>
    <w:p w14:paraId="296A487E" w14:textId="24DB854D" w:rsidR="00283197" w:rsidRDefault="00283197" w:rsidP="00B67EE2">
      <w:pPr>
        <w:spacing w:line="360" w:lineRule="auto"/>
        <w:rPr>
          <w:b/>
          <w:bCs/>
        </w:rPr>
      </w:pPr>
      <w:r w:rsidRPr="00283197">
        <w:rPr>
          <w:b/>
          <w:bCs/>
        </w:rPr>
        <w:t>APPLICATION OF ACTIVITY THEORY IN A UK RESIDENTIAL CARE HOME</w:t>
      </w:r>
    </w:p>
    <w:p w14:paraId="00017469" w14:textId="34AAB12B" w:rsidR="00283197" w:rsidRDefault="00283197" w:rsidP="00B67EE2">
      <w:pPr>
        <w:spacing w:line="360" w:lineRule="auto"/>
        <w:rPr>
          <w:b/>
          <w:bCs/>
          <w:sz w:val="28"/>
          <w:szCs w:val="28"/>
        </w:rPr>
      </w:pPr>
      <w:r w:rsidRPr="00283197">
        <w:rPr>
          <w:b/>
          <w:bCs/>
          <w:sz w:val="28"/>
          <w:szCs w:val="28"/>
        </w:rPr>
        <w:t>Introduction</w:t>
      </w:r>
    </w:p>
    <w:p w14:paraId="5E3D799A" w14:textId="4DDAF995" w:rsidR="00283197" w:rsidRDefault="00283197" w:rsidP="00B67EE2">
      <w:pPr>
        <w:spacing w:line="360" w:lineRule="auto"/>
      </w:pPr>
      <w:r w:rsidRPr="00283197">
        <w:t>This report applies Havighurst’s Activity Theory to practice in a UK residential care home. It explains how the theory can guide care professionals to improve wellbeing, maintain dignity, and promote meaningful engagement among older residents.</w:t>
      </w:r>
    </w:p>
    <w:p w14:paraId="36517668" w14:textId="20DAB7FC" w:rsidR="00283197" w:rsidRDefault="00283197" w:rsidP="00B67EE2">
      <w:pPr>
        <w:spacing w:line="360" w:lineRule="auto"/>
        <w:rPr>
          <w:b/>
          <w:bCs/>
        </w:rPr>
      </w:pPr>
      <w:r w:rsidRPr="00283197">
        <w:rPr>
          <w:b/>
          <w:bCs/>
        </w:rPr>
        <w:t>OVERVIEW OF ACTIVITY THEORY</w:t>
      </w:r>
    </w:p>
    <w:p w14:paraId="042FF184" w14:textId="4483A8E7" w:rsidR="00283197" w:rsidRDefault="00283197" w:rsidP="00B67EE2">
      <w:pPr>
        <w:spacing w:line="360" w:lineRule="auto"/>
      </w:pPr>
      <w:r w:rsidRPr="00283197">
        <w:t>Havighurst’s Activity Theory suggests that older adults experience greater life satisfaction when they remain socially, mentally, and physically active. The theory argues that continued participation in meaningful roles helps older adults maintain identity and purpose. When individuals withdraw from activity and social interaction, their wellbeing may decline.</w:t>
      </w:r>
    </w:p>
    <w:p w14:paraId="590B9661" w14:textId="79F0BAE4" w:rsidR="00283197" w:rsidRDefault="00D44551" w:rsidP="00B67EE2">
      <w:pPr>
        <w:spacing w:line="360" w:lineRule="auto"/>
      </w:pPr>
      <w:r w:rsidRPr="00D44551">
        <w:t>In residential care settings, residents often lose previous roles such as employment, parenting responsibilities, or community leadership. If no new roles replace them, residents may feel useless or isolated. Activity Theory encourages care professionals to support continued participation, adapted to each person’s abilities.</w:t>
      </w:r>
    </w:p>
    <w:p w14:paraId="11CF8E9D" w14:textId="7ADF0B31" w:rsidR="00D44551" w:rsidRPr="00D44551" w:rsidRDefault="00D44551" w:rsidP="00B67EE2">
      <w:pPr>
        <w:spacing w:line="360" w:lineRule="auto"/>
        <w:rPr>
          <w:b/>
          <w:bCs/>
        </w:rPr>
      </w:pPr>
      <w:r w:rsidRPr="00D44551">
        <w:rPr>
          <w:b/>
          <w:bCs/>
        </w:rPr>
        <w:t>APPLICATION IN RESIDENTIAL CARE PRACTIVE</w:t>
      </w:r>
    </w:p>
    <w:p w14:paraId="16B893F3" w14:textId="5A9EC921" w:rsidR="00D44551" w:rsidRDefault="00090B55" w:rsidP="00B67EE2">
      <w:pPr>
        <w:spacing w:line="360" w:lineRule="auto"/>
      </w:pPr>
      <w:r w:rsidRPr="00090B55">
        <w:t>In a UK care home, Activity Theory can be applied through structured but flexible engagement programmes. However, the focus should not only be on “keeping residents busy.” Activities must be meaningful and linked to personal history, interests, and abilities.</w:t>
      </w:r>
    </w:p>
    <w:p w14:paraId="00055176" w14:textId="6920E6C2" w:rsidR="00090B55" w:rsidRDefault="00090B55" w:rsidP="00B67EE2">
      <w:pPr>
        <w:spacing w:line="360" w:lineRule="auto"/>
      </w:pPr>
      <w:r w:rsidRPr="00090B55">
        <w:t>For example:</w:t>
      </w:r>
    </w:p>
    <w:p w14:paraId="663C6D23" w14:textId="77777777" w:rsidR="00090B55" w:rsidRDefault="00090B55" w:rsidP="00B67EE2">
      <w:pPr>
        <w:spacing w:line="360" w:lineRule="auto"/>
      </w:pPr>
      <w:r w:rsidRPr="00090B55">
        <w:t>1. A former teacher may enjoy reading groups or helping other residents with writing letters.</w:t>
      </w:r>
    </w:p>
    <w:p w14:paraId="58E9BB52" w14:textId="77777777" w:rsidR="00090B55" w:rsidRDefault="00090B55" w:rsidP="00B67EE2">
      <w:pPr>
        <w:spacing w:line="360" w:lineRule="auto"/>
      </w:pPr>
      <w:r w:rsidRPr="00090B55">
        <w:t xml:space="preserve"> 2. A resident who previously enjoyed gardening can participate in light planting activities.</w:t>
      </w:r>
    </w:p>
    <w:p w14:paraId="13E8A6B2" w14:textId="77777777" w:rsidR="00090B55" w:rsidRDefault="00090B55" w:rsidP="00B67EE2">
      <w:pPr>
        <w:spacing w:line="360" w:lineRule="auto"/>
      </w:pPr>
      <w:r w:rsidRPr="00090B55">
        <w:t xml:space="preserve"> 3. Someone who values faith can be supported to attend in-house religious services or virtual worship sessions.</w:t>
      </w:r>
    </w:p>
    <w:p w14:paraId="4A022805" w14:textId="55423BC4" w:rsidR="00090B55" w:rsidRDefault="00090B55" w:rsidP="00B67EE2">
      <w:pPr>
        <w:spacing w:line="360" w:lineRule="auto"/>
      </w:pPr>
      <w:r w:rsidRPr="00090B55">
        <w:t xml:space="preserve"> 4. Residents with limited mobility can engage in music appreciation, storytelling, or chair-based exercises</w:t>
      </w:r>
      <w:r w:rsidR="003F43E7">
        <w:t>.</w:t>
      </w:r>
    </w:p>
    <w:p w14:paraId="324CD287" w14:textId="5FA19F1F" w:rsidR="00090B55" w:rsidRPr="003F43E7" w:rsidRDefault="00090B55" w:rsidP="00B67EE2">
      <w:pPr>
        <w:spacing w:line="360" w:lineRule="auto"/>
      </w:pPr>
      <w:r w:rsidRPr="003F43E7">
        <w:lastRenderedPageBreak/>
        <w:t>This approach supports dignity and identity. Instead of seeing residents as passive recipients of care, staff recognise them as individuals with experiences, skills, and preferences.</w:t>
      </w:r>
    </w:p>
    <w:p w14:paraId="2D404741" w14:textId="2C42390B" w:rsidR="00090B55" w:rsidRDefault="00090B55" w:rsidP="00B67EE2">
      <w:pPr>
        <w:spacing w:line="360" w:lineRule="auto"/>
      </w:pPr>
      <w:r w:rsidRPr="00090B55">
        <w:t>Activity programmes should also encourage social interaction. Shared meals, celebration of birthdays, cultural events, and discussion groups reduce loneliness. Social isolation is a serious concern in UK care homes, especially for residents without regular family visits. Group engagement helps maintain emotional wellbeing.</w:t>
      </w:r>
    </w:p>
    <w:p w14:paraId="22AA9EDD" w14:textId="37106BB5" w:rsidR="00090B55" w:rsidRDefault="00090B55" w:rsidP="00B67EE2">
      <w:pPr>
        <w:spacing w:line="360" w:lineRule="auto"/>
      </w:pPr>
      <w:r w:rsidRPr="00090B55">
        <w:t>Mrs. Thompson, aged 84, moved into a residential care home after a fall. Before admission, she was active in her local church and community choir. After moving into care, she became withdrawn and rarely left her room. Staff initially focused only on her physical rehabilitation.</w:t>
      </w:r>
    </w:p>
    <w:p w14:paraId="223DEC53" w14:textId="2ADAAFCC" w:rsidR="00187033" w:rsidRDefault="00187033" w:rsidP="00B67EE2">
      <w:pPr>
        <w:spacing w:line="360" w:lineRule="auto"/>
      </w:pPr>
      <w:r w:rsidRPr="00187033">
        <w:t>Using Activity Theory, the care team reviewed her life history. They discovered her strong interest in music and faith. The home organised weekly hymn sessions and encouraged her to help choose songs. She gradually began attending group activities and interacting with others. Her mood improved, and she reported feeling “useful again.”</w:t>
      </w:r>
    </w:p>
    <w:p w14:paraId="032447B4" w14:textId="53277241" w:rsidR="00187033" w:rsidRDefault="00187033" w:rsidP="00B67EE2">
      <w:pPr>
        <w:spacing w:line="360" w:lineRule="auto"/>
      </w:pPr>
      <w:r w:rsidRPr="00187033">
        <w:t>This example shows how engagement linked to personal identity can improve emotional wellbeing. Although Activity Theory is practical, several challenges exist in real care settings.</w:t>
      </w:r>
    </w:p>
    <w:p w14:paraId="149AE787" w14:textId="7AC78A1A" w:rsidR="00187033" w:rsidRDefault="00187033" w:rsidP="00B67EE2">
      <w:pPr>
        <w:pStyle w:val="ListParagraph"/>
        <w:numPr>
          <w:ilvl w:val="0"/>
          <w:numId w:val="1"/>
        </w:numPr>
        <w:spacing w:line="360" w:lineRule="auto"/>
      </w:pPr>
      <w:r w:rsidRPr="00187033">
        <w:t>Staffing pressures can limit time for meaningful engagement. When staff focus mainly on medication rounds and personal care, social interaction may be reduced.</w:t>
      </w:r>
    </w:p>
    <w:p w14:paraId="407DF37C" w14:textId="37FEAC4F" w:rsidR="00187033" w:rsidRDefault="00187033" w:rsidP="00B67EE2">
      <w:pPr>
        <w:pStyle w:val="ListParagraph"/>
        <w:numPr>
          <w:ilvl w:val="0"/>
          <w:numId w:val="1"/>
        </w:numPr>
        <w:spacing w:line="360" w:lineRule="auto"/>
      </w:pPr>
      <w:r w:rsidRPr="00187033">
        <w:t>Some residents have dementia or severe physical limitations. They may not be able to participate in group activities in traditional ways.</w:t>
      </w:r>
    </w:p>
    <w:p w14:paraId="15BE6689" w14:textId="72CA6EF9" w:rsidR="00187033" w:rsidRDefault="00187033" w:rsidP="00B67EE2">
      <w:pPr>
        <w:pStyle w:val="ListParagraph"/>
        <w:numPr>
          <w:ilvl w:val="0"/>
          <w:numId w:val="1"/>
        </w:numPr>
        <w:spacing w:line="360" w:lineRule="auto"/>
      </w:pPr>
      <w:r w:rsidRPr="00187033">
        <w:t>Not all residents want constant social interaction. Some prefer quiet reflection. If activities are imposed, residents may feel overwhelmed.</w:t>
      </w:r>
    </w:p>
    <w:p w14:paraId="52EA7B69" w14:textId="77777777" w:rsidR="00187033" w:rsidRDefault="00187033" w:rsidP="00B67EE2">
      <w:pPr>
        <w:pStyle w:val="ListParagraph"/>
        <w:spacing w:line="360" w:lineRule="auto"/>
      </w:pPr>
    </w:p>
    <w:p w14:paraId="386EF4A0" w14:textId="0BBD375B" w:rsidR="00187033" w:rsidRDefault="00187033" w:rsidP="00B67EE2">
      <w:pPr>
        <w:spacing w:line="360" w:lineRule="auto"/>
      </w:pPr>
      <w:r w:rsidRPr="00187033">
        <w:t>To address staffing challenges, care homes can adopt a whole-team approach. Engagement should not be the responsibility of activity coordinators alone. All staff, including carers, can integrate small meaningful interactions into daily routines. For example, conversation during personal care or involving residents in simple decisions supports engagement.</w:t>
      </w:r>
    </w:p>
    <w:p w14:paraId="6C288192" w14:textId="06EF719E" w:rsidR="00187033" w:rsidRDefault="003F43E7" w:rsidP="00B67EE2">
      <w:pPr>
        <w:spacing w:line="360" w:lineRule="auto"/>
      </w:pPr>
      <w:r w:rsidRPr="003F43E7">
        <w:t>For residents with dementia, activities can be adapted. Sensory stimulation, music therapy, and short, structured sessions can support participation without causing stress.</w:t>
      </w:r>
    </w:p>
    <w:p w14:paraId="01205C73" w14:textId="7C7DA849" w:rsidR="003F43E7" w:rsidRDefault="003F43E7" w:rsidP="00B67EE2">
      <w:pPr>
        <w:spacing w:line="360" w:lineRule="auto"/>
      </w:pPr>
      <w:r w:rsidRPr="003F43E7">
        <w:t>For residents who prefer solitude, personalised activity plans are essential. Activity does not always mean group events. Reading, knitting, listening to music, or one-to-one conversations are also meaningful forms of engagement.</w:t>
      </w:r>
    </w:p>
    <w:p w14:paraId="0648E006" w14:textId="019867F6" w:rsidR="003F43E7" w:rsidRDefault="003F43E7" w:rsidP="00B67EE2">
      <w:pPr>
        <w:spacing w:line="360" w:lineRule="auto"/>
      </w:pPr>
      <w:r w:rsidRPr="003F43E7">
        <w:lastRenderedPageBreak/>
        <w:t>Regular care plan reviews should ensure activities match changing needs. This reflects person centred practice and supports regulatory standards in UK care services.</w:t>
      </w:r>
    </w:p>
    <w:p w14:paraId="453814F8" w14:textId="5A35ED7C" w:rsidR="003F43E7" w:rsidRDefault="003F43E7" w:rsidP="00B67EE2">
      <w:pPr>
        <w:spacing w:line="360" w:lineRule="auto"/>
      </w:pPr>
      <w:r w:rsidRPr="003F43E7">
        <w:t>Activity Theory provides a strong framework for promoting wellbeing in residential care. It shifts focus from decline to participation. However, it should not be applied rigidly. Successful ageing looks different for everyone. The goal is not constant activity, but meaningful engagement.</w:t>
      </w:r>
    </w:p>
    <w:p w14:paraId="1BE10BBA" w14:textId="1B23605D" w:rsidR="003F43E7" w:rsidRDefault="003F43E7" w:rsidP="00B67EE2">
      <w:pPr>
        <w:spacing w:line="360" w:lineRule="auto"/>
      </w:pPr>
      <w:r w:rsidRPr="003F43E7">
        <w:t>When combined with person-centred values and professional judgement, Activity Theory supports dignity, identity, and emotional wellbeing in older adults.</w:t>
      </w:r>
    </w:p>
    <w:p w14:paraId="726916AB" w14:textId="6803CB80" w:rsidR="003F43E7" w:rsidRDefault="003F43E7" w:rsidP="00B67EE2">
      <w:pPr>
        <w:spacing w:line="360" w:lineRule="auto"/>
      </w:pPr>
      <w:r w:rsidRPr="003F43E7">
        <w:t>Activity Theory offers practical guidance for care professionals working in UK residential settings. By promoting meaningful engagement, maintaining social roles, and adapting activities to individual abilities, staff can enhance residents’ quality of life. When applied flexibly and compassionately, the theory strengthens holistic and person-centred care.</w:t>
      </w:r>
    </w:p>
    <w:p w14:paraId="266D1378" w14:textId="77777777" w:rsidR="00A00BA0" w:rsidRDefault="00A00BA0" w:rsidP="00B67EE2">
      <w:pPr>
        <w:spacing w:line="360" w:lineRule="auto"/>
      </w:pPr>
    </w:p>
    <w:p w14:paraId="0E4228B8" w14:textId="77777777" w:rsidR="00A00BA0" w:rsidRPr="00A00BA0" w:rsidRDefault="00A00BA0" w:rsidP="00B67EE2">
      <w:pPr>
        <w:spacing w:line="360" w:lineRule="auto"/>
      </w:pPr>
    </w:p>
    <w:p w14:paraId="5632FEF7" w14:textId="77777777" w:rsidR="00A00BA0" w:rsidRDefault="00A00BA0" w:rsidP="00B67EE2">
      <w:pPr>
        <w:spacing w:line="360" w:lineRule="auto"/>
      </w:pPr>
    </w:p>
    <w:p w14:paraId="50355C09" w14:textId="77777777" w:rsidR="003F43E7" w:rsidRDefault="003F43E7" w:rsidP="00B67EE2">
      <w:pPr>
        <w:spacing w:line="360" w:lineRule="auto"/>
      </w:pPr>
    </w:p>
    <w:p w14:paraId="07D05813" w14:textId="224FB09B" w:rsidR="003F43E7" w:rsidRDefault="003F43E7" w:rsidP="00B67EE2">
      <w:pPr>
        <w:spacing w:line="360" w:lineRule="auto"/>
      </w:pPr>
      <w:r w:rsidRPr="003F43E7">
        <w:t>REFERENCES</w:t>
      </w:r>
    </w:p>
    <w:p w14:paraId="10841CFF" w14:textId="340724E5" w:rsidR="003F43E7" w:rsidRPr="00090B55" w:rsidRDefault="003F43E7" w:rsidP="00B67EE2">
      <w:pPr>
        <w:spacing w:line="360" w:lineRule="auto"/>
      </w:pPr>
      <w:r w:rsidRPr="003F43E7">
        <w:t>Seligman, M.E.P. (2011) Flourish: A visionary new understanding of happiness and well-being. New York: Free Press</w:t>
      </w:r>
      <w:r>
        <w:t>.</w:t>
      </w:r>
    </w:p>
    <w:sectPr w:rsidR="003F43E7" w:rsidRPr="00090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D24686"/>
    <w:multiLevelType w:val="hybridMultilevel"/>
    <w:tmpl w:val="24A65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980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940"/>
    <w:rsid w:val="00090B55"/>
    <w:rsid w:val="000D5DEA"/>
    <w:rsid w:val="00140520"/>
    <w:rsid w:val="00187033"/>
    <w:rsid w:val="00212BCF"/>
    <w:rsid w:val="00271DD6"/>
    <w:rsid w:val="00283197"/>
    <w:rsid w:val="003F43E7"/>
    <w:rsid w:val="003F48D1"/>
    <w:rsid w:val="00433E6D"/>
    <w:rsid w:val="00524940"/>
    <w:rsid w:val="00703BBC"/>
    <w:rsid w:val="00826513"/>
    <w:rsid w:val="00943B57"/>
    <w:rsid w:val="009B3397"/>
    <w:rsid w:val="009B457E"/>
    <w:rsid w:val="00A00BA0"/>
    <w:rsid w:val="00AF256F"/>
    <w:rsid w:val="00B20910"/>
    <w:rsid w:val="00B42BD6"/>
    <w:rsid w:val="00B67EE2"/>
    <w:rsid w:val="00BB15F2"/>
    <w:rsid w:val="00C311B2"/>
    <w:rsid w:val="00D44551"/>
    <w:rsid w:val="00D816D0"/>
    <w:rsid w:val="00D948DA"/>
    <w:rsid w:val="00DC3276"/>
    <w:rsid w:val="00E30791"/>
    <w:rsid w:val="00F45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BA75B"/>
  <w15:chartTrackingRefBased/>
  <w15:docId w15:val="{82217297-42BA-4DB3-9497-4E30782A0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9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9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9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9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9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9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9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9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9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9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9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9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9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9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940"/>
    <w:rPr>
      <w:rFonts w:eastAsiaTheme="majorEastAsia" w:cstheme="majorBidi"/>
      <w:color w:val="272727" w:themeColor="text1" w:themeTint="D8"/>
    </w:rPr>
  </w:style>
  <w:style w:type="paragraph" w:styleId="Title">
    <w:name w:val="Title"/>
    <w:basedOn w:val="Normal"/>
    <w:next w:val="Normal"/>
    <w:link w:val="TitleChar"/>
    <w:uiPriority w:val="10"/>
    <w:qFormat/>
    <w:rsid w:val="005249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940"/>
    <w:pPr>
      <w:spacing w:before="160"/>
      <w:jc w:val="center"/>
    </w:pPr>
    <w:rPr>
      <w:i/>
      <w:iCs/>
      <w:color w:val="404040" w:themeColor="text1" w:themeTint="BF"/>
    </w:rPr>
  </w:style>
  <w:style w:type="character" w:customStyle="1" w:styleId="QuoteChar">
    <w:name w:val="Quote Char"/>
    <w:basedOn w:val="DefaultParagraphFont"/>
    <w:link w:val="Quote"/>
    <w:uiPriority w:val="29"/>
    <w:rsid w:val="00524940"/>
    <w:rPr>
      <w:i/>
      <w:iCs/>
      <w:color w:val="404040" w:themeColor="text1" w:themeTint="BF"/>
    </w:rPr>
  </w:style>
  <w:style w:type="paragraph" w:styleId="ListParagraph">
    <w:name w:val="List Paragraph"/>
    <w:basedOn w:val="Normal"/>
    <w:uiPriority w:val="34"/>
    <w:qFormat/>
    <w:rsid w:val="00524940"/>
    <w:pPr>
      <w:ind w:left="720"/>
      <w:contextualSpacing/>
    </w:pPr>
  </w:style>
  <w:style w:type="character" w:styleId="IntenseEmphasis">
    <w:name w:val="Intense Emphasis"/>
    <w:basedOn w:val="DefaultParagraphFont"/>
    <w:uiPriority w:val="21"/>
    <w:qFormat/>
    <w:rsid w:val="00524940"/>
    <w:rPr>
      <w:i/>
      <w:iCs/>
      <w:color w:val="0F4761" w:themeColor="accent1" w:themeShade="BF"/>
    </w:rPr>
  </w:style>
  <w:style w:type="paragraph" w:styleId="IntenseQuote">
    <w:name w:val="Intense Quote"/>
    <w:basedOn w:val="Normal"/>
    <w:next w:val="Normal"/>
    <w:link w:val="IntenseQuoteChar"/>
    <w:uiPriority w:val="30"/>
    <w:qFormat/>
    <w:rsid w:val="005249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940"/>
    <w:rPr>
      <w:i/>
      <w:iCs/>
      <w:color w:val="0F4761" w:themeColor="accent1" w:themeShade="BF"/>
    </w:rPr>
  </w:style>
  <w:style w:type="character" w:styleId="IntenseReference">
    <w:name w:val="Intense Reference"/>
    <w:basedOn w:val="DefaultParagraphFont"/>
    <w:uiPriority w:val="32"/>
    <w:qFormat/>
    <w:rsid w:val="005249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1449</Words>
  <Characters>8262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2</cp:revision>
  <dcterms:created xsi:type="dcterms:W3CDTF">2026-03-22T07:16:00Z</dcterms:created>
  <dcterms:modified xsi:type="dcterms:W3CDTF">2026-03-22T07:16:00Z</dcterms:modified>
</cp:coreProperties>
</file>