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02F2E7" w14:textId="568E6982" w:rsidR="00114CBF" w:rsidRDefault="009715D9" w:rsidP="009715D9">
      <w:pPr>
        <w:jc w:val="center"/>
        <w:rPr>
          <w:sz w:val="28"/>
          <w:szCs w:val="28"/>
          <w:u w:val="single"/>
          <w:lang w:val="en-US"/>
        </w:rPr>
      </w:pPr>
      <w:r w:rsidRPr="009715D9">
        <w:rPr>
          <w:sz w:val="28"/>
          <w:szCs w:val="28"/>
          <w:u w:val="single"/>
          <w:lang w:val="en-US"/>
        </w:rPr>
        <w:t>Illustrated Glossary of Key Terms for Material Culture Studies, Materiality and New Materialisms</w:t>
      </w:r>
    </w:p>
    <w:p w14:paraId="28366639" w14:textId="7D4CFA7A" w:rsidR="00CE7CC4" w:rsidRPr="00CE7CC4" w:rsidRDefault="009715D9" w:rsidP="00CE7CC4">
      <w:pPr>
        <w:pStyle w:val="ListParagraph"/>
        <w:numPr>
          <w:ilvl w:val="0"/>
          <w:numId w:val="2"/>
        </w:numPr>
        <w:rPr>
          <w:b/>
          <w:bCs/>
          <w:lang w:val="en-US"/>
        </w:rPr>
      </w:pPr>
      <w:r w:rsidRPr="009715D9">
        <w:rPr>
          <w:b/>
          <w:bCs/>
          <w:lang w:val="en-US"/>
        </w:rPr>
        <w:t>Materiality:</w:t>
      </w:r>
      <w:r>
        <w:rPr>
          <w:b/>
          <w:bCs/>
          <w:lang w:val="en-US"/>
        </w:rPr>
        <w:t xml:space="preserve"> </w:t>
      </w:r>
      <w:r w:rsidR="00AE1F1C" w:rsidRPr="0098505D">
        <w:rPr>
          <w:lang w:val="en-US"/>
        </w:rPr>
        <w:t xml:space="preserve">The </w:t>
      </w:r>
      <w:r w:rsidR="00313C8F">
        <w:rPr>
          <w:lang w:val="en-US"/>
        </w:rPr>
        <w:t>quality or character of the material(s) of an object. Materiality shapes the way in which an object is perceived</w:t>
      </w:r>
      <w:r w:rsidR="0005594F">
        <w:rPr>
          <w:lang w:val="en-US"/>
        </w:rPr>
        <w:t>, its relationships with humans and other material things and</w:t>
      </w:r>
      <w:r w:rsidR="00313C8F">
        <w:rPr>
          <w:lang w:val="en-US"/>
        </w:rPr>
        <w:t xml:space="preserve"> the ways it can be used or shaped</w:t>
      </w:r>
      <w:r w:rsidR="0005594F">
        <w:rPr>
          <w:lang w:val="en-US"/>
        </w:rPr>
        <w:t>, both physically and socially.</w:t>
      </w:r>
      <w:r w:rsidR="003C4DB4">
        <w:rPr>
          <w:lang w:val="en-US"/>
        </w:rPr>
        <w:t xml:space="preserve"> </w:t>
      </w:r>
      <w:r w:rsidR="00CE7CC4">
        <w:rPr>
          <w:lang w:val="en-US"/>
        </w:rPr>
        <w:t>While primarily characterized by the physicality of things, materiality is present in concepts and debates across a wide range of disciplines, including but not limited to archaeology, anthropology and philosophy, and thus cannot be restricted to its role within one single school of thought. The term materiality can also be synonymous with relevance and significance, which relates to other concepts within this discussion topic such as vibrancy and object agency.</w:t>
      </w:r>
    </w:p>
    <w:p w14:paraId="10EA18DD" w14:textId="2A7A12F7" w:rsidR="00A24338" w:rsidRPr="00CE7CC4" w:rsidRDefault="0005594F" w:rsidP="00CE7CC4">
      <w:pPr>
        <w:rPr>
          <w:b/>
          <w:bCs/>
          <w:lang w:val="en-US"/>
        </w:rPr>
      </w:pPr>
      <w:r>
        <w:rPr>
          <w:noProof/>
        </w:rPr>
        <w:drawing>
          <wp:inline distT="0" distB="0" distL="0" distR="0" wp14:anchorId="326016D2" wp14:editId="707BEC07">
            <wp:extent cx="5715000" cy="3810000"/>
            <wp:effectExtent l="0" t="0" r="0" b="0"/>
            <wp:docPr id="1746649566" name="Picture 1" descr="Types of Clay for Pottery - The Main Clay Types – Soul Ceram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Clay for Pottery - The Main Clay Types – Soul Ceramic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14:paraId="78979723" w14:textId="6C5D3C39" w:rsidR="005D28D3" w:rsidRDefault="00A24338" w:rsidP="00A24338">
      <w:pPr>
        <w:rPr>
          <w:sz w:val="16"/>
          <w:szCs w:val="16"/>
          <w:lang w:val="en-US"/>
        </w:rPr>
      </w:pPr>
      <w:r w:rsidRPr="00A24338">
        <w:rPr>
          <w:sz w:val="16"/>
          <w:szCs w:val="16"/>
          <w:lang w:val="en-US"/>
        </w:rPr>
        <w:t>Figure 1: The hands of a person, manipulating clay on a pottery wheel. Image via soulceramics.com</w:t>
      </w:r>
    </w:p>
    <w:p w14:paraId="4EAF42FB" w14:textId="77777777" w:rsidR="005802D2" w:rsidRPr="00A24338" w:rsidRDefault="005802D2" w:rsidP="00A24338">
      <w:pPr>
        <w:rPr>
          <w:sz w:val="16"/>
          <w:szCs w:val="16"/>
          <w:lang w:val="en-US"/>
        </w:rPr>
      </w:pPr>
    </w:p>
    <w:p w14:paraId="75F33531" w14:textId="6B2E72AB" w:rsidR="00676A07" w:rsidRPr="00676A07" w:rsidRDefault="0098505D" w:rsidP="00676A07">
      <w:pPr>
        <w:pStyle w:val="ListParagraph"/>
        <w:numPr>
          <w:ilvl w:val="0"/>
          <w:numId w:val="2"/>
        </w:numPr>
        <w:rPr>
          <w:b/>
          <w:bCs/>
          <w:lang w:val="en-US"/>
        </w:rPr>
      </w:pPr>
      <w:r w:rsidRPr="00A24338">
        <w:rPr>
          <w:b/>
          <w:bCs/>
          <w:lang w:val="en-US"/>
        </w:rPr>
        <w:t>New Materialisms</w:t>
      </w:r>
      <w:r w:rsidR="001C43B7">
        <w:rPr>
          <w:b/>
          <w:bCs/>
          <w:lang w:val="en-US"/>
        </w:rPr>
        <w:t xml:space="preserve">: </w:t>
      </w:r>
      <w:r w:rsidR="001C43B7" w:rsidRPr="001C43B7">
        <w:rPr>
          <w:lang w:val="en-US"/>
        </w:rPr>
        <w:t>R</w:t>
      </w:r>
      <w:r w:rsidR="00FE2649">
        <w:rPr>
          <w:lang w:val="en-US"/>
        </w:rPr>
        <w:t>efers to a broad interdisciplinary field within the humanities born from a greater shift in the way we think about the world, moving away from an anthropocentric approach towards a more material or object-oriented worldview. New materialisms question the privileging of human agency over that of objects and explores matter’s agency and transformative role in the world. New materialisms seek to engage with material philosophies while bringing new interdisciplinary connections into the discussion, most notably the sciences, borrowing and incorporating ideas from chemistry, quantum physics and more</w:t>
      </w:r>
      <w:r w:rsidR="00042FEF">
        <w:rPr>
          <w:lang w:val="en-US"/>
        </w:rPr>
        <w:t>, creating new philosophies within the world of materiality studies.</w:t>
      </w:r>
    </w:p>
    <w:p w14:paraId="312A1F01" w14:textId="77777777" w:rsidR="00676A07" w:rsidRPr="00676A07" w:rsidRDefault="00676A07" w:rsidP="00676A07">
      <w:pPr>
        <w:rPr>
          <w:b/>
          <w:bCs/>
          <w:lang w:val="en-US"/>
        </w:rPr>
      </w:pPr>
    </w:p>
    <w:p w14:paraId="2C328E99" w14:textId="644A50AB" w:rsidR="00676A07" w:rsidRPr="00676A07" w:rsidRDefault="00AE3282" w:rsidP="00676A07">
      <w:pPr>
        <w:pStyle w:val="ListParagraph"/>
        <w:numPr>
          <w:ilvl w:val="0"/>
          <w:numId w:val="2"/>
        </w:numPr>
        <w:rPr>
          <w:b/>
          <w:bCs/>
          <w:lang w:val="en-US"/>
        </w:rPr>
      </w:pPr>
      <w:r>
        <w:rPr>
          <w:b/>
          <w:bCs/>
          <w:lang w:val="en-US"/>
        </w:rPr>
        <w:lastRenderedPageBreak/>
        <w:t>Object</w:t>
      </w:r>
      <w:r w:rsidR="00B36EA8">
        <w:rPr>
          <w:b/>
          <w:bCs/>
          <w:lang w:val="en-US"/>
        </w:rPr>
        <w:t xml:space="preserve">: </w:t>
      </w:r>
      <w:r w:rsidR="00B36EA8">
        <w:rPr>
          <w:lang w:val="en-US"/>
        </w:rPr>
        <w:t xml:space="preserve">There is no singular ‘correct’ definition of what an object is in the context of materiality. Within this field of study academics are more concerned with what objects are not, namely things, artefacts and </w:t>
      </w:r>
      <w:proofErr w:type="spellStart"/>
      <w:r w:rsidR="00B36EA8">
        <w:rPr>
          <w:lang w:val="en-US"/>
        </w:rPr>
        <w:t>ecofacts</w:t>
      </w:r>
      <w:proofErr w:type="spellEnd"/>
      <w:r w:rsidR="00B36EA8">
        <w:rPr>
          <w:lang w:val="en-US"/>
        </w:rPr>
        <w:t xml:space="preserve">. Artefacts imply human </w:t>
      </w:r>
      <w:r w:rsidR="008C6E0F">
        <w:rPr>
          <w:lang w:val="en-US"/>
        </w:rPr>
        <w:t>agency,</w:t>
      </w:r>
      <w:r w:rsidR="00B36EA8">
        <w:rPr>
          <w:lang w:val="en-US"/>
        </w:rPr>
        <w:t xml:space="preserve"> and objects imply a perceiving subject</w:t>
      </w:r>
      <w:r w:rsidR="008C6E0F">
        <w:rPr>
          <w:lang w:val="en-US"/>
        </w:rPr>
        <w:t>, yet parts of the material world can be defined by any of the above terms depending on an individual’s personal perception of their meanings. Unless heading an argument about the differences between an object and a thing, many academics do use the terms interchangeably, although object is the most common and is the term used most widely by far in books, articles and theories related to the subject of materiality, and is used to describe any one entity existing in the material world</w:t>
      </w:r>
      <w:r w:rsidR="00676A07">
        <w:rPr>
          <w:lang w:val="en-US"/>
        </w:rPr>
        <w:t xml:space="preserve"> both natural and man-made, both sentient and not.</w:t>
      </w:r>
      <w:r w:rsidR="00676A07" w:rsidRPr="00676A07">
        <w:rPr>
          <w:noProof/>
        </w:rPr>
        <w:t xml:space="preserve"> </w:t>
      </w:r>
    </w:p>
    <w:p w14:paraId="36117AC8" w14:textId="7B8B5B17" w:rsidR="00676A07" w:rsidRPr="00676A07" w:rsidRDefault="00676A07" w:rsidP="00676A07">
      <w:pPr>
        <w:rPr>
          <w:b/>
          <w:bCs/>
          <w:lang w:val="en-US"/>
        </w:rPr>
      </w:pPr>
      <w:r w:rsidRPr="00676A07">
        <w:drawing>
          <wp:inline distT="0" distB="0" distL="0" distR="0" wp14:anchorId="758B8755" wp14:editId="1B252865">
            <wp:extent cx="5731510" cy="3076575"/>
            <wp:effectExtent l="0" t="0" r="2540" b="9525"/>
            <wp:docPr id="1656856307" name="Picture 1" descr="A table top view of various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856307" name="Picture 1" descr="A table top view of various objects&#10;&#10;Description automatically generated"/>
                    <pic:cNvPicPr/>
                  </pic:nvPicPr>
                  <pic:blipFill>
                    <a:blip r:embed="rId7"/>
                    <a:stretch>
                      <a:fillRect/>
                    </a:stretch>
                  </pic:blipFill>
                  <pic:spPr>
                    <a:xfrm>
                      <a:off x="0" y="0"/>
                      <a:ext cx="5731510" cy="3076575"/>
                    </a:xfrm>
                    <a:prstGeom prst="rect">
                      <a:avLst/>
                    </a:prstGeom>
                  </pic:spPr>
                </pic:pic>
              </a:graphicData>
            </a:graphic>
          </wp:inline>
        </w:drawing>
      </w:r>
    </w:p>
    <w:p w14:paraId="5F64965F" w14:textId="2EDD86BD" w:rsidR="008C6E0F" w:rsidRPr="00676A07" w:rsidRDefault="00676A07" w:rsidP="008C6E0F">
      <w:pPr>
        <w:rPr>
          <w:sz w:val="16"/>
          <w:szCs w:val="16"/>
          <w:lang w:val="en-US"/>
        </w:rPr>
      </w:pPr>
      <w:r>
        <w:rPr>
          <w:sz w:val="16"/>
          <w:szCs w:val="16"/>
          <w:lang w:val="en-US"/>
        </w:rPr>
        <w:t>Figure 2: A collection of common household objects displayed on a pink background. Image via itsnicethat.com</w:t>
      </w:r>
    </w:p>
    <w:p w14:paraId="179A369C" w14:textId="23E5C4AD" w:rsidR="005D28D3" w:rsidRPr="00AE3282" w:rsidRDefault="005D28D3" w:rsidP="00D65678">
      <w:pPr>
        <w:pStyle w:val="ListParagraph"/>
        <w:numPr>
          <w:ilvl w:val="0"/>
          <w:numId w:val="2"/>
        </w:numPr>
        <w:rPr>
          <w:b/>
          <w:bCs/>
          <w:lang w:val="en-US"/>
        </w:rPr>
      </w:pPr>
      <w:r w:rsidRPr="0098505D">
        <w:rPr>
          <w:b/>
          <w:bCs/>
          <w:lang w:val="en-US"/>
        </w:rPr>
        <w:t xml:space="preserve">Anthropomorphism: </w:t>
      </w:r>
      <w:r w:rsidRPr="0098505D">
        <w:rPr>
          <w:lang w:val="en-US"/>
        </w:rPr>
        <w:t xml:space="preserve">The attributing of human characteristics to a non-human entity. As applied to material culture studies, </w:t>
      </w:r>
      <w:r>
        <w:rPr>
          <w:lang w:val="en-US"/>
        </w:rPr>
        <w:t>an anthropo</w:t>
      </w:r>
      <w:r w:rsidR="007B1362">
        <w:rPr>
          <w:lang w:val="en-US"/>
        </w:rPr>
        <w:t>centric</w:t>
      </w:r>
      <w:r>
        <w:rPr>
          <w:lang w:val="en-US"/>
        </w:rPr>
        <w:t xml:space="preserve"> approach is one that considers objects secondary to that of people. This approach views objects only as creations of and belongings of people, and that the meaning of an object can only be ascribed by humans, believing that objects do not possess meaning or agency independently.</w:t>
      </w:r>
      <w:r w:rsidR="00A80917">
        <w:rPr>
          <w:lang w:val="en-US"/>
        </w:rPr>
        <w:t xml:space="preserve"> </w:t>
      </w:r>
      <w:r w:rsidR="007B1362">
        <w:rPr>
          <w:lang w:val="en-US"/>
        </w:rPr>
        <w:t>In many contemporary discussions around materiality, anthropocentric views and philosophies are increasingly being challenged by academics such as Latour (1999) and Joyce (2015).</w:t>
      </w:r>
    </w:p>
    <w:p w14:paraId="4E28F243" w14:textId="77777777" w:rsidR="00AE3282" w:rsidRPr="00AE3282" w:rsidRDefault="00AE3282" w:rsidP="00AE3282">
      <w:pPr>
        <w:rPr>
          <w:b/>
          <w:bCs/>
          <w:lang w:val="en-US"/>
        </w:rPr>
      </w:pPr>
    </w:p>
    <w:p w14:paraId="28C2F049" w14:textId="1D330B4B" w:rsidR="005D28D3" w:rsidRDefault="005D28D3" w:rsidP="005D28D3">
      <w:pPr>
        <w:pStyle w:val="ListParagraph"/>
        <w:numPr>
          <w:ilvl w:val="0"/>
          <w:numId w:val="2"/>
        </w:numPr>
        <w:rPr>
          <w:b/>
          <w:bCs/>
          <w:lang w:val="en-US"/>
        </w:rPr>
      </w:pPr>
      <w:r>
        <w:rPr>
          <w:b/>
          <w:bCs/>
          <w:lang w:val="en-US"/>
        </w:rPr>
        <w:t>Agency</w:t>
      </w:r>
    </w:p>
    <w:p w14:paraId="11479FFF" w14:textId="3E492842" w:rsidR="00AE1F1C" w:rsidRDefault="00AE1F1C" w:rsidP="005D28D3">
      <w:pPr>
        <w:pStyle w:val="ListParagraph"/>
        <w:numPr>
          <w:ilvl w:val="0"/>
          <w:numId w:val="2"/>
        </w:numPr>
        <w:rPr>
          <w:b/>
          <w:bCs/>
          <w:lang w:val="en-US"/>
        </w:rPr>
      </w:pPr>
      <w:r>
        <w:rPr>
          <w:b/>
          <w:bCs/>
          <w:lang w:val="en-US"/>
        </w:rPr>
        <w:t>Fragmentation</w:t>
      </w:r>
    </w:p>
    <w:p w14:paraId="0774E554" w14:textId="7F90548E" w:rsidR="008A4263" w:rsidRDefault="008A4263" w:rsidP="008A4263">
      <w:pPr>
        <w:rPr>
          <w:b/>
          <w:bCs/>
          <w:lang w:val="en-US"/>
        </w:rPr>
      </w:pPr>
      <w:r>
        <w:rPr>
          <w:noProof/>
        </w:rPr>
        <w:lastRenderedPageBreak/>
        <w:drawing>
          <wp:inline distT="0" distB="0" distL="0" distR="0" wp14:anchorId="065DC2EC" wp14:editId="0CCDB2D6">
            <wp:extent cx="5731510" cy="3816350"/>
            <wp:effectExtent l="0" t="0" r="2540" b="0"/>
            <wp:docPr id="1562363362" name="Picture 2" descr="Ravi Phase Pottery Fragments | Harapp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avi Phase Pottery Fragments | Harapp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16350"/>
                    </a:xfrm>
                    <a:prstGeom prst="rect">
                      <a:avLst/>
                    </a:prstGeom>
                    <a:noFill/>
                    <a:ln>
                      <a:noFill/>
                    </a:ln>
                  </pic:spPr>
                </pic:pic>
              </a:graphicData>
            </a:graphic>
          </wp:inline>
        </w:drawing>
      </w:r>
    </w:p>
    <w:p w14:paraId="57C3A60A" w14:textId="6687BD08" w:rsidR="008A4263" w:rsidRPr="008A4263" w:rsidRDefault="008A4263" w:rsidP="008A4263">
      <w:pPr>
        <w:rPr>
          <w:sz w:val="16"/>
          <w:szCs w:val="16"/>
          <w:lang w:val="en-US"/>
        </w:rPr>
      </w:pPr>
      <w:r w:rsidRPr="008A4263">
        <w:rPr>
          <w:sz w:val="16"/>
          <w:szCs w:val="16"/>
          <w:lang w:val="en-US"/>
        </w:rPr>
        <w:t xml:space="preserve">Figure </w:t>
      </w:r>
      <w:r w:rsidR="00676A07">
        <w:rPr>
          <w:sz w:val="16"/>
          <w:szCs w:val="16"/>
          <w:lang w:val="en-US"/>
        </w:rPr>
        <w:t>3</w:t>
      </w:r>
      <w:r>
        <w:rPr>
          <w:sz w:val="16"/>
          <w:szCs w:val="16"/>
          <w:lang w:val="en-US"/>
        </w:rPr>
        <w:t>: Ravi Phase pottery fragments. Image via harappa.com</w:t>
      </w:r>
    </w:p>
    <w:p w14:paraId="2EE6B123" w14:textId="40511966" w:rsidR="00AE1F1C" w:rsidRPr="005D28D3" w:rsidRDefault="00AE1F1C" w:rsidP="005D28D3">
      <w:pPr>
        <w:pStyle w:val="ListParagraph"/>
        <w:numPr>
          <w:ilvl w:val="0"/>
          <w:numId w:val="2"/>
        </w:numPr>
        <w:rPr>
          <w:b/>
          <w:bCs/>
          <w:lang w:val="en-US"/>
        </w:rPr>
      </w:pPr>
      <w:r>
        <w:rPr>
          <w:b/>
          <w:bCs/>
          <w:lang w:val="en-US"/>
        </w:rPr>
        <w:t>Enchainment</w:t>
      </w:r>
    </w:p>
    <w:p w14:paraId="6B179C0E" w14:textId="19B61A5F" w:rsidR="00AE1F1C" w:rsidRDefault="007866A4" w:rsidP="009715D9">
      <w:pPr>
        <w:pStyle w:val="ListParagraph"/>
        <w:numPr>
          <w:ilvl w:val="0"/>
          <w:numId w:val="2"/>
        </w:numPr>
        <w:rPr>
          <w:b/>
          <w:bCs/>
          <w:lang w:val="en-US"/>
        </w:rPr>
      </w:pPr>
      <w:r>
        <w:rPr>
          <w:b/>
          <w:bCs/>
          <w:lang w:val="en-US"/>
        </w:rPr>
        <w:t>Bounded Entity</w:t>
      </w:r>
    </w:p>
    <w:p w14:paraId="4C8F7540" w14:textId="423F0ADE" w:rsidR="007866A4" w:rsidRDefault="007866A4" w:rsidP="009715D9">
      <w:pPr>
        <w:pStyle w:val="ListParagraph"/>
        <w:numPr>
          <w:ilvl w:val="0"/>
          <w:numId w:val="2"/>
        </w:numPr>
        <w:rPr>
          <w:b/>
          <w:bCs/>
          <w:lang w:val="en-US"/>
        </w:rPr>
      </w:pPr>
      <w:r>
        <w:rPr>
          <w:b/>
          <w:bCs/>
          <w:lang w:val="en-US"/>
        </w:rPr>
        <w:t>Relation</w:t>
      </w:r>
      <w:r w:rsidR="005802D2">
        <w:rPr>
          <w:b/>
          <w:bCs/>
          <w:lang w:val="en-US"/>
        </w:rPr>
        <w:t>al</w:t>
      </w:r>
      <w:r>
        <w:rPr>
          <w:b/>
          <w:bCs/>
          <w:lang w:val="en-US"/>
        </w:rPr>
        <w:t>ism</w:t>
      </w:r>
      <w:r w:rsidR="00A24338">
        <w:rPr>
          <w:b/>
          <w:bCs/>
          <w:lang w:val="en-US"/>
        </w:rPr>
        <w:t xml:space="preserve">: </w:t>
      </w:r>
      <w:r w:rsidR="00A24338">
        <w:rPr>
          <w:lang w:val="en-US"/>
        </w:rPr>
        <w:t>A philosophical theory</w:t>
      </w:r>
      <w:r w:rsidR="00240C12">
        <w:rPr>
          <w:lang w:val="en-US"/>
        </w:rPr>
        <w:t xml:space="preserve"> put forward by Joseph Kaipayil</w:t>
      </w:r>
      <w:r w:rsidR="00A24338">
        <w:rPr>
          <w:lang w:val="en-US"/>
        </w:rPr>
        <w:t xml:space="preserve"> that interprets the physicality and meanings of objects and people in terms of their relationships to </w:t>
      </w:r>
      <w:r w:rsidR="00240C12">
        <w:rPr>
          <w:lang w:val="en-US"/>
        </w:rPr>
        <w:t>each other. Relationism does not define the boundaries of objects or beings by their differences in materials or physical boundaries, but where they differ from each other is in the mutual relations between subjects</w:t>
      </w:r>
      <w:r w:rsidR="00AB688C">
        <w:rPr>
          <w:lang w:val="en-US"/>
        </w:rPr>
        <w:t xml:space="preserve"> and subjects,</w:t>
      </w:r>
      <w:r w:rsidR="00240C12">
        <w:rPr>
          <w:lang w:val="en-US"/>
        </w:rPr>
        <w:t xml:space="preserve"> </w:t>
      </w:r>
      <w:r w:rsidR="00AB688C">
        <w:rPr>
          <w:lang w:val="en-US"/>
        </w:rPr>
        <w:t xml:space="preserve">subjects </w:t>
      </w:r>
      <w:r w:rsidR="00240C12">
        <w:rPr>
          <w:lang w:val="en-US"/>
        </w:rPr>
        <w:t>and objects</w:t>
      </w:r>
      <w:r w:rsidR="00AB688C">
        <w:rPr>
          <w:lang w:val="en-US"/>
        </w:rPr>
        <w:t xml:space="preserve"> &amp; objects and objects.</w:t>
      </w:r>
      <w:r w:rsidR="005802D2">
        <w:rPr>
          <w:lang w:val="en-US"/>
        </w:rPr>
        <w:t xml:space="preserve"> While not referencing materiality or new materialisms, </w:t>
      </w:r>
      <w:proofErr w:type="spellStart"/>
      <w:r w:rsidR="005802D2">
        <w:rPr>
          <w:lang w:val="en-US"/>
        </w:rPr>
        <w:t>Kaipayil’s</w:t>
      </w:r>
      <w:proofErr w:type="spellEnd"/>
      <w:r w:rsidR="005802D2">
        <w:rPr>
          <w:lang w:val="en-US"/>
        </w:rPr>
        <w:t xml:space="preserve"> theories relate to many key concepts within these topics, and many theories within new materialisms follow his line of thought regarding the boundaries between things and the importance of considering their relationships within their respective material and cultural spheres.</w:t>
      </w:r>
    </w:p>
    <w:p w14:paraId="132E0AD5" w14:textId="09F86C11" w:rsidR="007866A4" w:rsidRDefault="007866A4" w:rsidP="009715D9">
      <w:pPr>
        <w:pStyle w:val="ListParagraph"/>
        <w:numPr>
          <w:ilvl w:val="0"/>
          <w:numId w:val="2"/>
        </w:numPr>
        <w:rPr>
          <w:b/>
          <w:bCs/>
          <w:lang w:val="en-US"/>
        </w:rPr>
      </w:pPr>
      <w:r>
        <w:rPr>
          <w:b/>
          <w:bCs/>
          <w:lang w:val="en-US"/>
        </w:rPr>
        <w:t>Representationalism</w:t>
      </w:r>
    </w:p>
    <w:p w14:paraId="494CCF51" w14:textId="78E2EC62" w:rsidR="007866A4" w:rsidRDefault="007866A4" w:rsidP="009715D9">
      <w:pPr>
        <w:pStyle w:val="ListParagraph"/>
        <w:numPr>
          <w:ilvl w:val="0"/>
          <w:numId w:val="2"/>
        </w:numPr>
        <w:rPr>
          <w:b/>
          <w:bCs/>
          <w:lang w:val="en-US"/>
        </w:rPr>
      </w:pPr>
      <w:r>
        <w:rPr>
          <w:b/>
          <w:bCs/>
          <w:lang w:val="en-US"/>
        </w:rPr>
        <w:t>Embodiment</w:t>
      </w:r>
    </w:p>
    <w:p w14:paraId="165F3260" w14:textId="149C1F3E" w:rsidR="007866A4" w:rsidRDefault="007866A4" w:rsidP="009715D9">
      <w:pPr>
        <w:pStyle w:val="ListParagraph"/>
        <w:numPr>
          <w:ilvl w:val="0"/>
          <w:numId w:val="2"/>
        </w:numPr>
        <w:rPr>
          <w:b/>
          <w:bCs/>
          <w:lang w:val="en-US"/>
        </w:rPr>
      </w:pPr>
      <w:r>
        <w:rPr>
          <w:b/>
          <w:bCs/>
          <w:lang w:val="en-US"/>
        </w:rPr>
        <w:t>Sensory Archaeology/Anthropology</w:t>
      </w:r>
    </w:p>
    <w:p w14:paraId="7E2C3084" w14:textId="05E48BAA" w:rsidR="00910CC5" w:rsidRPr="00D65678" w:rsidRDefault="007866A4" w:rsidP="00942C20">
      <w:pPr>
        <w:pStyle w:val="ListParagraph"/>
        <w:numPr>
          <w:ilvl w:val="0"/>
          <w:numId w:val="2"/>
        </w:numPr>
        <w:rPr>
          <w:b/>
          <w:bCs/>
          <w:lang w:val="en-US"/>
        </w:rPr>
      </w:pPr>
      <w:r>
        <w:rPr>
          <w:b/>
          <w:bCs/>
          <w:lang w:val="en-US"/>
        </w:rPr>
        <w:t>Actor Network Theory</w:t>
      </w:r>
      <w:r w:rsidR="001C43B7">
        <w:rPr>
          <w:b/>
          <w:bCs/>
          <w:lang w:val="en-US"/>
        </w:rPr>
        <w:t>:</w:t>
      </w:r>
      <w:r w:rsidR="00400D31">
        <w:rPr>
          <w:b/>
          <w:bCs/>
          <w:lang w:val="en-US"/>
        </w:rPr>
        <w:t xml:space="preserve"> </w:t>
      </w:r>
      <w:r w:rsidR="00942C20" w:rsidRPr="00942C20">
        <w:rPr>
          <w:lang w:val="en-US"/>
        </w:rPr>
        <w:t>Posited by Latour,</w:t>
      </w:r>
      <w:r w:rsidR="00942C20">
        <w:rPr>
          <w:b/>
          <w:bCs/>
          <w:lang w:val="en-US"/>
        </w:rPr>
        <w:t xml:space="preserve"> </w:t>
      </w:r>
      <w:r w:rsidR="00942C20">
        <w:rPr>
          <w:lang w:val="en-US"/>
        </w:rPr>
        <w:t>ANT c</w:t>
      </w:r>
      <w:r w:rsidR="00D55605" w:rsidRPr="00942C20">
        <w:rPr>
          <w:lang w:val="en-US"/>
        </w:rPr>
        <w:t>enters around</w:t>
      </w:r>
      <w:r w:rsidR="00910CC5" w:rsidRPr="00942C20">
        <w:rPr>
          <w:lang w:val="en-US"/>
        </w:rPr>
        <w:t xml:space="preserve"> how associations are made between actors/actants, defined as someone or something that modifies a </w:t>
      </w:r>
      <w:proofErr w:type="gramStart"/>
      <w:r w:rsidR="00910CC5" w:rsidRPr="00942C20">
        <w:rPr>
          <w:lang w:val="en-US"/>
        </w:rPr>
        <w:t>state of affairs</w:t>
      </w:r>
      <w:proofErr w:type="gramEnd"/>
      <w:r w:rsidR="00910CC5" w:rsidRPr="00942C20">
        <w:rPr>
          <w:lang w:val="en-US"/>
        </w:rPr>
        <w:t xml:space="preserve"> and has a perceptible impact. This network of connections</w:t>
      </w:r>
      <w:r w:rsidR="00D55605" w:rsidRPr="00942C20">
        <w:rPr>
          <w:lang w:val="en-US"/>
        </w:rPr>
        <w:t xml:space="preserve"> between actors leaves a recordable, followable trace. ANT </w:t>
      </w:r>
      <w:r w:rsidR="00942C20">
        <w:rPr>
          <w:lang w:val="en-US"/>
        </w:rPr>
        <w:t xml:space="preserve">suggests </w:t>
      </w:r>
      <w:r w:rsidR="00D55605" w:rsidRPr="00942C20">
        <w:rPr>
          <w:lang w:val="en-US"/>
        </w:rPr>
        <w:t>that these networks include objects as participants or ‘actors’ as the theory assumes symmetry between people and the material world as objects have noticeable affects and contribute to the impact of the network at large and how relationships within the network are made and transformed</w:t>
      </w:r>
      <w:r w:rsidR="00942C20">
        <w:rPr>
          <w:lang w:val="en-US"/>
        </w:rPr>
        <w:t xml:space="preserve">. However, neither human nor inhuman actors within the network have agency </w:t>
      </w:r>
      <w:r w:rsidR="00942C20">
        <w:rPr>
          <w:i/>
          <w:iCs/>
          <w:lang w:val="en-US"/>
        </w:rPr>
        <w:t xml:space="preserve">a priori, </w:t>
      </w:r>
      <w:r w:rsidR="00942C20">
        <w:rPr>
          <w:lang w:val="en-US"/>
        </w:rPr>
        <w:t>instead actors “</w:t>
      </w:r>
      <w:r w:rsidR="00942C20" w:rsidRPr="00942C20">
        <w:t>draw</w:t>
      </w:r>
      <w:r w:rsidR="00942C20">
        <w:t>[s]</w:t>
      </w:r>
      <w:r w:rsidR="00942C20" w:rsidRPr="00942C20">
        <w:t xml:space="preserve"> upon constellations that have a traceable effect</w:t>
      </w:r>
      <w:r w:rsidR="00942C20">
        <w:t>.</w:t>
      </w:r>
      <w:r w:rsidR="00942C20" w:rsidRPr="00942C20">
        <w:t>” (Van Oyen 2015, 65</w:t>
      </w:r>
      <w:r w:rsidR="00942C20">
        <w:t>.)</w:t>
      </w:r>
    </w:p>
    <w:p w14:paraId="45043765" w14:textId="1E4973B5" w:rsidR="00D65678" w:rsidRDefault="00D65678" w:rsidP="00D65678">
      <w:pPr>
        <w:rPr>
          <w:b/>
          <w:bCs/>
          <w:lang w:val="en-US"/>
        </w:rPr>
      </w:pPr>
      <w:r>
        <w:rPr>
          <w:noProof/>
        </w:rPr>
        <w:lastRenderedPageBreak/>
        <w:drawing>
          <wp:inline distT="0" distB="0" distL="0" distR="0" wp14:anchorId="1E92CBA0" wp14:editId="3651E010">
            <wp:extent cx="5731510" cy="3820795"/>
            <wp:effectExtent l="0" t="0" r="2540" b="8255"/>
            <wp:docPr id="590537881" name="Picture 1" descr="Front view hands interacting  with a plasma b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ont view hands interacting  with a plasma bal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68264434" w14:textId="44F92F11" w:rsidR="00D65678" w:rsidRPr="00D65678" w:rsidRDefault="00D65678" w:rsidP="00D65678">
      <w:pPr>
        <w:rPr>
          <w:sz w:val="16"/>
          <w:szCs w:val="16"/>
          <w:lang w:val="en-US"/>
        </w:rPr>
      </w:pPr>
      <w:r>
        <w:rPr>
          <w:sz w:val="16"/>
          <w:szCs w:val="16"/>
          <w:lang w:val="en-US"/>
        </w:rPr>
        <w:t xml:space="preserve">Figure </w:t>
      </w:r>
      <w:r w:rsidR="00676A07">
        <w:rPr>
          <w:sz w:val="16"/>
          <w:szCs w:val="16"/>
          <w:lang w:val="en-US"/>
        </w:rPr>
        <w:t>4</w:t>
      </w:r>
      <w:r>
        <w:rPr>
          <w:sz w:val="16"/>
          <w:szCs w:val="16"/>
          <w:lang w:val="en-US"/>
        </w:rPr>
        <w:t>: A person holding their hands up to a plasma ball. Image via freepik.com</w:t>
      </w:r>
    </w:p>
    <w:p w14:paraId="02FE9B25" w14:textId="225DD5C2" w:rsidR="007866A4" w:rsidRDefault="007866A4" w:rsidP="009715D9">
      <w:pPr>
        <w:pStyle w:val="ListParagraph"/>
        <w:numPr>
          <w:ilvl w:val="0"/>
          <w:numId w:val="2"/>
        </w:numPr>
        <w:rPr>
          <w:b/>
          <w:bCs/>
          <w:lang w:val="en-US"/>
        </w:rPr>
      </w:pPr>
      <w:r>
        <w:rPr>
          <w:b/>
          <w:bCs/>
          <w:lang w:val="en-US"/>
        </w:rPr>
        <w:t>Material Engagement Theory</w:t>
      </w:r>
    </w:p>
    <w:p w14:paraId="607F3831" w14:textId="45DF3180" w:rsidR="007866A4" w:rsidRDefault="007866A4" w:rsidP="009715D9">
      <w:pPr>
        <w:pStyle w:val="ListParagraph"/>
        <w:numPr>
          <w:ilvl w:val="0"/>
          <w:numId w:val="2"/>
        </w:numPr>
        <w:rPr>
          <w:b/>
          <w:bCs/>
          <w:lang w:val="en-US"/>
        </w:rPr>
      </w:pPr>
      <w:r>
        <w:rPr>
          <w:b/>
          <w:bCs/>
          <w:lang w:val="en-US"/>
        </w:rPr>
        <w:t>Vibrant Matter</w:t>
      </w:r>
    </w:p>
    <w:p w14:paraId="6A3D31EE" w14:textId="14182625" w:rsidR="007866A4" w:rsidRDefault="007866A4" w:rsidP="009715D9">
      <w:pPr>
        <w:pStyle w:val="ListParagraph"/>
        <w:numPr>
          <w:ilvl w:val="0"/>
          <w:numId w:val="2"/>
        </w:numPr>
        <w:rPr>
          <w:b/>
          <w:bCs/>
          <w:lang w:val="en-US"/>
        </w:rPr>
      </w:pPr>
      <w:r>
        <w:rPr>
          <w:b/>
          <w:bCs/>
          <w:lang w:val="en-US"/>
        </w:rPr>
        <w:t>Assemblages</w:t>
      </w:r>
    </w:p>
    <w:p w14:paraId="1ABAC88A" w14:textId="4306353C" w:rsidR="007866A4" w:rsidRDefault="007866A4" w:rsidP="009715D9">
      <w:pPr>
        <w:pStyle w:val="ListParagraph"/>
        <w:numPr>
          <w:ilvl w:val="0"/>
          <w:numId w:val="2"/>
        </w:numPr>
        <w:rPr>
          <w:b/>
          <w:bCs/>
          <w:lang w:val="en-US"/>
        </w:rPr>
      </w:pPr>
      <w:r>
        <w:rPr>
          <w:b/>
          <w:bCs/>
          <w:lang w:val="en-US"/>
        </w:rPr>
        <w:t>Agential Realism</w:t>
      </w:r>
    </w:p>
    <w:p w14:paraId="709FEFA4" w14:textId="477BAEF2" w:rsidR="007866A4" w:rsidRDefault="007866A4" w:rsidP="009715D9">
      <w:pPr>
        <w:pStyle w:val="ListParagraph"/>
        <w:numPr>
          <w:ilvl w:val="0"/>
          <w:numId w:val="2"/>
        </w:numPr>
        <w:rPr>
          <w:b/>
          <w:bCs/>
          <w:lang w:val="en-US"/>
        </w:rPr>
      </w:pPr>
      <w:r>
        <w:rPr>
          <w:b/>
          <w:bCs/>
          <w:lang w:val="en-US"/>
        </w:rPr>
        <w:t>Phenomenology</w:t>
      </w:r>
    </w:p>
    <w:p w14:paraId="09DDADE6" w14:textId="41DEC129" w:rsidR="007866A4" w:rsidRDefault="007866A4" w:rsidP="009715D9">
      <w:pPr>
        <w:pStyle w:val="ListParagraph"/>
        <w:numPr>
          <w:ilvl w:val="0"/>
          <w:numId w:val="2"/>
        </w:numPr>
        <w:rPr>
          <w:b/>
          <w:bCs/>
          <w:lang w:val="en-US"/>
        </w:rPr>
      </w:pPr>
      <w:r>
        <w:rPr>
          <w:b/>
          <w:bCs/>
          <w:lang w:val="en-US"/>
        </w:rPr>
        <w:t>Intra-Actions</w:t>
      </w:r>
    </w:p>
    <w:p w14:paraId="615597C8" w14:textId="339370A4" w:rsidR="0005594F" w:rsidRDefault="0005594F" w:rsidP="009715D9">
      <w:pPr>
        <w:pStyle w:val="ListParagraph"/>
        <w:numPr>
          <w:ilvl w:val="0"/>
          <w:numId w:val="2"/>
        </w:numPr>
        <w:rPr>
          <w:b/>
          <w:bCs/>
          <w:lang w:val="en-US"/>
        </w:rPr>
      </w:pPr>
      <w:r>
        <w:rPr>
          <w:b/>
          <w:bCs/>
          <w:lang w:val="en-US"/>
        </w:rPr>
        <w:t>Object Oriented Ontology</w:t>
      </w:r>
    </w:p>
    <w:p w14:paraId="47BB8380" w14:textId="77777777" w:rsidR="00042FEF" w:rsidRDefault="00042FEF" w:rsidP="00042FEF">
      <w:pPr>
        <w:rPr>
          <w:b/>
          <w:bCs/>
          <w:lang w:val="en-US"/>
        </w:rPr>
      </w:pPr>
    </w:p>
    <w:p w14:paraId="0852CD79" w14:textId="77777777" w:rsidR="00042FEF" w:rsidRDefault="00042FEF" w:rsidP="00042FEF">
      <w:pPr>
        <w:rPr>
          <w:b/>
          <w:bCs/>
          <w:lang w:val="en-US"/>
        </w:rPr>
      </w:pPr>
    </w:p>
    <w:p w14:paraId="264AC9FF" w14:textId="77777777" w:rsidR="00042FEF" w:rsidRDefault="00042FEF" w:rsidP="00042FEF">
      <w:pPr>
        <w:rPr>
          <w:b/>
          <w:bCs/>
          <w:lang w:val="en-US"/>
        </w:rPr>
      </w:pPr>
    </w:p>
    <w:p w14:paraId="4F1D3B82" w14:textId="77777777" w:rsidR="00042FEF" w:rsidRDefault="00042FEF" w:rsidP="00042FEF">
      <w:pPr>
        <w:rPr>
          <w:b/>
          <w:bCs/>
          <w:lang w:val="en-US"/>
        </w:rPr>
      </w:pPr>
    </w:p>
    <w:p w14:paraId="7C55B62B" w14:textId="77777777" w:rsidR="00042FEF" w:rsidRDefault="00042FEF" w:rsidP="00042FEF">
      <w:pPr>
        <w:rPr>
          <w:b/>
          <w:bCs/>
          <w:lang w:val="en-US"/>
        </w:rPr>
      </w:pPr>
    </w:p>
    <w:p w14:paraId="04AC6367" w14:textId="77777777" w:rsidR="00042FEF" w:rsidRDefault="00042FEF" w:rsidP="00042FEF">
      <w:pPr>
        <w:rPr>
          <w:b/>
          <w:bCs/>
          <w:lang w:val="en-US"/>
        </w:rPr>
      </w:pPr>
    </w:p>
    <w:p w14:paraId="6FE12C7B" w14:textId="77777777" w:rsidR="00042FEF" w:rsidRDefault="00042FEF" w:rsidP="00042FEF">
      <w:pPr>
        <w:rPr>
          <w:b/>
          <w:bCs/>
          <w:lang w:val="en-US"/>
        </w:rPr>
      </w:pPr>
    </w:p>
    <w:p w14:paraId="068936FF" w14:textId="77777777" w:rsidR="00042FEF" w:rsidRDefault="00042FEF" w:rsidP="00042FEF">
      <w:pPr>
        <w:rPr>
          <w:b/>
          <w:bCs/>
          <w:lang w:val="en-US"/>
        </w:rPr>
      </w:pPr>
    </w:p>
    <w:p w14:paraId="426183AB" w14:textId="77777777" w:rsidR="00042FEF" w:rsidRDefault="00042FEF" w:rsidP="00042FEF">
      <w:pPr>
        <w:rPr>
          <w:b/>
          <w:bCs/>
          <w:lang w:val="en-US"/>
        </w:rPr>
      </w:pPr>
    </w:p>
    <w:p w14:paraId="047A40CC" w14:textId="77777777" w:rsidR="00042FEF" w:rsidRDefault="00042FEF" w:rsidP="00042FEF">
      <w:pPr>
        <w:rPr>
          <w:b/>
          <w:bCs/>
          <w:lang w:val="en-US"/>
        </w:rPr>
      </w:pPr>
    </w:p>
    <w:p w14:paraId="6B7AFB7B" w14:textId="77777777" w:rsidR="00042FEF" w:rsidRDefault="00042FEF" w:rsidP="00042FEF">
      <w:pPr>
        <w:rPr>
          <w:b/>
          <w:bCs/>
          <w:lang w:val="en-US"/>
        </w:rPr>
      </w:pPr>
    </w:p>
    <w:p w14:paraId="11731A52" w14:textId="77777777" w:rsidR="00042FEF" w:rsidRDefault="00042FEF" w:rsidP="00042FEF">
      <w:pPr>
        <w:rPr>
          <w:b/>
          <w:bCs/>
          <w:lang w:val="en-US"/>
        </w:rPr>
      </w:pPr>
    </w:p>
    <w:p w14:paraId="3B280270" w14:textId="259FAA88" w:rsidR="00042FEF" w:rsidRDefault="00042FEF" w:rsidP="00042FEF">
      <w:pPr>
        <w:rPr>
          <w:u w:val="single"/>
          <w:lang w:val="en-US"/>
        </w:rPr>
      </w:pPr>
      <w:r>
        <w:rPr>
          <w:u w:val="single"/>
          <w:lang w:val="en-US"/>
        </w:rPr>
        <w:t>Bibliography</w:t>
      </w:r>
    </w:p>
    <w:p w14:paraId="22A72FA5" w14:textId="5B2EE1FE" w:rsidR="00042FEF" w:rsidRDefault="00042FEF" w:rsidP="00042FEF">
      <w:r w:rsidRPr="00042FEF">
        <w:t xml:space="preserve">Joyce, R.A. (2015). </w:t>
      </w:r>
      <w:r w:rsidRPr="00042FEF">
        <w:rPr>
          <w:i/>
          <w:iCs/>
        </w:rPr>
        <w:t>Things in Motion</w:t>
      </w:r>
      <w:r w:rsidRPr="00042FEF">
        <w:t xml:space="preserve">: </w:t>
      </w:r>
      <w:r w:rsidRPr="00042FEF">
        <w:rPr>
          <w:i/>
          <w:iCs/>
        </w:rPr>
        <w:t>Object Itineraries in Anthropological Practice</w:t>
      </w:r>
      <w:r w:rsidRPr="00042FEF">
        <w:t>. (first ed.).</w:t>
      </w:r>
      <w:r>
        <w:t xml:space="preserve"> </w:t>
      </w:r>
      <w:r w:rsidRPr="00042FEF">
        <w:t xml:space="preserve">Santa Fe: SAR Press. </w:t>
      </w:r>
      <w:hyperlink r:id="rId10" w:history="1">
        <w:r w:rsidRPr="00042FEF">
          <w:rPr>
            <w:rStyle w:val="Hyperlink"/>
            <w:u w:val="none"/>
          </w:rPr>
          <w:t>https://muse.jhu.edu/book/40217</w:t>
        </w:r>
      </w:hyperlink>
      <w:r w:rsidRPr="00042FEF">
        <w:t>.</w:t>
      </w:r>
    </w:p>
    <w:p w14:paraId="08613742" w14:textId="11914F0F" w:rsidR="00042FEF" w:rsidRDefault="00042FEF" w:rsidP="00042FEF">
      <w:proofErr w:type="spellStart"/>
      <w:r w:rsidRPr="00042FEF">
        <w:t>Kaipayil</w:t>
      </w:r>
      <w:proofErr w:type="spellEnd"/>
      <w:r w:rsidRPr="00042FEF">
        <w:t xml:space="preserve">, J. (2009). </w:t>
      </w:r>
      <w:proofErr w:type="spellStart"/>
      <w:r w:rsidRPr="00042FEF">
        <w:rPr>
          <w:i/>
          <w:iCs/>
        </w:rPr>
        <w:t>Relationalism</w:t>
      </w:r>
      <w:proofErr w:type="spellEnd"/>
      <w:r w:rsidRPr="00042FEF">
        <w:rPr>
          <w:i/>
          <w:iCs/>
        </w:rPr>
        <w:t>: A Theory of Being</w:t>
      </w:r>
      <w:r w:rsidRPr="00042FEF">
        <w:t>.</w:t>
      </w:r>
    </w:p>
    <w:p w14:paraId="1F43292F" w14:textId="184AE31C" w:rsidR="00042FEF" w:rsidRDefault="00042FEF" w:rsidP="00042FEF">
      <w:r w:rsidRPr="00042FEF">
        <w:t xml:space="preserve">Latour, B. (1999). Factures/fractures: From the concept of network to the concept of attachment. </w:t>
      </w:r>
      <w:r w:rsidRPr="00042FEF">
        <w:rPr>
          <w:i/>
          <w:iCs/>
        </w:rPr>
        <w:t>Res: Anthropology and aesthetics</w:t>
      </w:r>
      <w:r w:rsidRPr="00042FEF">
        <w:t xml:space="preserve">, </w:t>
      </w:r>
      <w:r w:rsidRPr="00042FEF">
        <w:rPr>
          <w:i/>
          <w:iCs/>
        </w:rPr>
        <w:t>36</w:t>
      </w:r>
      <w:r w:rsidRPr="00042FEF">
        <w:t>(1), 20-31.</w:t>
      </w:r>
    </w:p>
    <w:p w14:paraId="7B5269BF" w14:textId="77777777" w:rsidR="00942C20" w:rsidRPr="00942C20" w:rsidRDefault="00942C20" w:rsidP="00942C20">
      <w:r w:rsidRPr="00942C20">
        <w:t xml:space="preserve">Van Oyen, A. (2015). Actor-Network Theory’s Take on Archaeological Types: Becoming, Material Agency and Historical Explanation. </w:t>
      </w:r>
      <w:r w:rsidRPr="00942C20">
        <w:rPr>
          <w:i/>
          <w:iCs/>
        </w:rPr>
        <w:t>Cambridge Archaeological Journal</w:t>
      </w:r>
      <w:r w:rsidRPr="00942C20">
        <w:t xml:space="preserve">, </w:t>
      </w:r>
      <w:r w:rsidRPr="00942C20">
        <w:rPr>
          <w:i/>
          <w:iCs/>
        </w:rPr>
        <w:t>25</w:t>
      </w:r>
      <w:r w:rsidRPr="00942C20">
        <w:t xml:space="preserve">(1), 63–78. doi:10.1017/S0959774314000705 </w:t>
      </w:r>
    </w:p>
    <w:p w14:paraId="0ECA4AEB" w14:textId="77777777" w:rsidR="00942C20" w:rsidRPr="00042FEF" w:rsidRDefault="00942C20" w:rsidP="00042FEF">
      <w:pPr>
        <w:rPr>
          <w:lang w:val="en-US"/>
        </w:rPr>
      </w:pPr>
    </w:p>
    <w:sectPr w:rsidR="00942C20" w:rsidRPr="00042F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EB76F8"/>
    <w:multiLevelType w:val="hybridMultilevel"/>
    <w:tmpl w:val="9E0E1594"/>
    <w:lvl w:ilvl="0" w:tplc="21AAE90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32058E"/>
    <w:multiLevelType w:val="hybridMultilevel"/>
    <w:tmpl w:val="31CA5F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7463FF"/>
    <w:multiLevelType w:val="hybridMultilevel"/>
    <w:tmpl w:val="8BD26F4C"/>
    <w:lvl w:ilvl="0" w:tplc="4EE2AA9A">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B41A30"/>
    <w:multiLevelType w:val="hybridMultilevel"/>
    <w:tmpl w:val="8436AB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2617408">
    <w:abstractNumId w:val="1"/>
  </w:num>
  <w:num w:numId="2" w16cid:durableId="1388911902">
    <w:abstractNumId w:val="3"/>
  </w:num>
  <w:num w:numId="3" w16cid:durableId="461004893">
    <w:abstractNumId w:val="0"/>
  </w:num>
  <w:num w:numId="4" w16cid:durableId="1789363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5D9"/>
    <w:rsid w:val="00042FEF"/>
    <w:rsid w:val="0005594F"/>
    <w:rsid w:val="00062534"/>
    <w:rsid w:val="00114CBF"/>
    <w:rsid w:val="001C43B7"/>
    <w:rsid w:val="00240C12"/>
    <w:rsid w:val="00313C8F"/>
    <w:rsid w:val="00395A9C"/>
    <w:rsid w:val="003C4DB4"/>
    <w:rsid w:val="00400D31"/>
    <w:rsid w:val="00436DA8"/>
    <w:rsid w:val="005802D2"/>
    <w:rsid w:val="00584A2E"/>
    <w:rsid w:val="005D28D3"/>
    <w:rsid w:val="00676A07"/>
    <w:rsid w:val="007866A4"/>
    <w:rsid w:val="007B1362"/>
    <w:rsid w:val="008448C5"/>
    <w:rsid w:val="008A4263"/>
    <w:rsid w:val="008C6E0F"/>
    <w:rsid w:val="00910CC5"/>
    <w:rsid w:val="00942C20"/>
    <w:rsid w:val="009715D9"/>
    <w:rsid w:val="0098505D"/>
    <w:rsid w:val="00A24338"/>
    <w:rsid w:val="00A64160"/>
    <w:rsid w:val="00A76FB3"/>
    <w:rsid w:val="00A80917"/>
    <w:rsid w:val="00A92FB3"/>
    <w:rsid w:val="00AB688C"/>
    <w:rsid w:val="00AE1F1C"/>
    <w:rsid w:val="00AE3282"/>
    <w:rsid w:val="00B36EA8"/>
    <w:rsid w:val="00BA76B3"/>
    <w:rsid w:val="00BB24FF"/>
    <w:rsid w:val="00C428B5"/>
    <w:rsid w:val="00C54A88"/>
    <w:rsid w:val="00CE7CC4"/>
    <w:rsid w:val="00D55605"/>
    <w:rsid w:val="00D65678"/>
    <w:rsid w:val="00F30FFC"/>
    <w:rsid w:val="00FE2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FC01F"/>
  <w15:chartTrackingRefBased/>
  <w15:docId w15:val="{8F9A4916-8F7C-4430-90C3-F0A7AF48A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15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15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15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15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15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15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15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15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15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5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15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15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15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15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15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15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15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15D9"/>
    <w:rPr>
      <w:rFonts w:eastAsiaTheme="majorEastAsia" w:cstheme="majorBidi"/>
      <w:color w:val="272727" w:themeColor="text1" w:themeTint="D8"/>
    </w:rPr>
  </w:style>
  <w:style w:type="paragraph" w:styleId="Title">
    <w:name w:val="Title"/>
    <w:basedOn w:val="Normal"/>
    <w:next w:val="Normal"/>
    <w:link w:val="TitleChar"/>
    <w:uiPriority w:val="10"/>
    <w:qFormat/>
    <w:rsid w:val="009715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15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15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15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15D9"/>
    <w:pPr>
      <w:spacing w:before="160"/>
      <w:jc w:val="center"/>
    </w:pPr>
    <w:rPr>
      <w:i/>
      <w:iCs/>
      <w:color w:val="404040" w:themeColor="text1" w:themeTint="BF"/>
    </w:rPr>
  </w:style>
  <w:style w:type="character" w:customStyle="1" w:styleId="QuoteChar">
    <w:name w:val="Quote Char"/>
    <w:basedOn w:val="DefaultParagraphFont"/>
    <w:link w:val="Quote"/>
    <w:uiPriority w:val="29"/>
    <w:rsid w:val="009715D9"/>
    <w:rPr>
      <w:i/>
      <w:iCs/>
      <w:color w:val="404040" w:themeColor="text1" w:themeTint="BF"/>
    </w:rPr>
  </w:style>
  <w:style w:type="paragraph" w:styleId="ListParagraph">
    <w:name w:val="List Paragraph"/>
    <w:basedOn w:val="Normal"/>
    <w:uiPriority w:val="34"/>
    <w:qFormat/>
    <w:rsid w:val="009715D9"/>
    <w:pPr>
      <w:ind w:left="720"/>
      <w:contextualSpacing/>
    </w:pPr>
  </w:style>
  <w:style w:type="character" w:styleId="IntenseEmphasis">
    <w:name w:val="Intense Emphasis"/>
    <w:basedOn w:val="DefaultParagraphFont"/>
    <w:uiPriority w:val="21"/>
    <w:qFormat/>
    <w:rsid w:val="009715D9"/>
    <w:rPr>
      <w:i/>
      <w:iCs/>
      <w:color w:val="0F4761" w:themeColor="accent1" w:themeShade="BF"/>
    </w:rPr>
  </w:style>
  <w:style w:type="paragraph" w:styleId="IntenseQuote">
    <w:name w:val="Intense Quote"/>
    <w:basedOn w:val="Normal"/>
    <w:next w:val="Normal"/>
    <w:link w:val="IntenseQuoteChar"/>
    <w:uiPriority w:val="30"/>
    <w:qFormat/>
    <w:rsid w:val="009715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15D9"/>
    <w:rPr>
      <w:i/>
      <w:iCs/>
      <w:color w:val="0F4761" w:themeColor="accent1" w:themeShade="BF"/>
    </w:rPr>
  </w:style>
  <w:style w:type="character" w:styleId="IntenseReference">
    <w:name w:val="Intense Reference"/>
    <w:basedOn w:val="DefaultParagraphFont"/>
    <w:uiPriority w:val="32"/>
    <w:qFormat/>
    <w:rsid w:val="009715D9"/>
    <w:rPr>
      <w:b/>
      <w:bCs/>
      <w:smallCaps/>
      <w:color w:val="0F4761" w:themeColor="accent1" w:themeShade="BF"/>
      <w:spacing w:val="5"/>
    </w:rPr>
  </w:style>
  <w:style w:type="character" w:styleId="Hyperlink">
    <w:name w:val="Hyperlink"/>
    <w:basedOn w:val="DefaultParagraphFont"/>
    <w:uiPriority w:val="99"/>
    <w:unhideWhenUsed/>
    <w:rsid w:val="00042FEF"/>
    <w:rPr>
      <w:color w:val="467886" w:themeColor="hyperlink"/>
      <w:u w:val="single"/>
    </w:rPr>
  </w:style>
  <w:style w:type="character" w:styleId="UnresolvedMention">
    <w:name w:val="Unresolved Mention"/>
    <w:basedOn w:val="DefaultParagraphFont"/>
    <w:uiPriority w:val="99"/>
    <w:semiHidden/>
    <w:unhideWhenUsed/>
    <w:rsid w:val="00042F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2325711">
      <w:bodyDiv w:val="1"/>
      <w:marLeft w:val="0"/>
      <w:marRight w:val="0"/>
      <w:marTop w:val="0"/>
      <w:marBottom w:val="0"/>
      <w:divBdr>
        <w:top w:val="none" w:sz="0" w:space="0" w:color="auto"/>
        <w:left w:val="none" w:sz="0" w:space="0" w:color="auto"/>
        <w:bottom w:val="none" w:sz="0" w:space="0" w:color="auto"/>
        <w:right w:val="none" w:sz="0" w:space="0" w:color="auto"/>
      </w:divBdr>
      <w:divsChild>
        <w:div w:id="180362990">
          <w:marLeft w:val="480"/>
          <w:marRight w:val="0"/>
          <w:marTop w:val="0"/>
          <w:marBottom w:val="0"/>
          <w:divBdr>
            <w:top w:val="none" w:sz="0" w:space="0" w:color="auto"/>
            <w:left w:val="none" w:sz="0" w:space="0" w:color="auto"/>
            <w:bottom w:val="none" w:sz="0" w:space="0" w:color="auto"/>
            <w:right w:val="none" w:sz="0" w:space="0" w:color="auto"/>
          </w:divBdr>
          <w:divsChild>
            <w:div w:id="1813139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410268">
      <w:bodyDiv w:val="1"/>
      <w:marLeft w:val="0"/>
      <w:marRight w:val="0"/>
      <w:marTop w:val="0"/>
      <w:marBottom w:val="0"/>
      <w:divBdr>
        <w:top w:val="none" w:sz="0" w:space="0" w:color="auto"/>
        <w:left w:val="none" w:sz="0" w:space="0" w:color="auto"/>
        <w:bottom w:val="none" w:sz="0" w:space="0" w:color="auto"/>
        <w:right w:val="none" w:sz="0" w:space="0" w:color="auto"/>
      </w:divBdr>
      <w:divsChild>
        <w:div w:id="1479804786">
          <w:marLeft w:val="0"/>
          <w:marRight w:val="0"/>
          <w:marTop w:val="0"/>
          <w:marBottom w:val="0"/>
          <w:divBdr>
            <w:top w:val="none" w:sz="0" w:space="0" w:color="auto"/>
            <w:left w:val="none" w:sz="0" w:space="0" w:color="auto"/>
            <w:bottom w:val="none" w:sz="0" w:space="0" w:color="auto"/>
            <w:right w:val="none" w:sz="0" w:space="0" w:color="auto"/>
          </w:divBdr>
          <w:divsChild>
            <w:div w:id="1436170833">
              <w:marLeft w:val="0"/>
              <w:marRight w:val="0"/>
              <w:marTop w:val="0"/>
              <w:marBottom w:val="0"/>
              <w:divBdr>
                <w:top w:val="none" w:sz="0" w:space="0" w:color="auto"/>
                <w:left w:val="none" w:sz="0" w:space="0" w:color="auto"/>
                <w:bottom w:val="none" w:sz="0" w:space="0" w:color="auto"/>
                <w:right w:val="none" w:sz="0" w:space="0" w:color="auto"/>
              </w:divBdr>
              <w:divsChild>
                <w:div w:id="8122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278674">
      <w:bodyDiv w:val="1"/>
      <w:marLeft w:val="0"/>
      <w:marRight w:val="0"/>
      <w:marTop w:val="0"/>
      <w:marBottom w:val="0"/>
      <w:divBdr>
        <w:top w:val="none" w:sz="0" w:space="0" w:color="auto"/>
        <w:left w:val="none" w:sz="0" w:space="0" w:color="auto"/>
        <w:bottom w:val="none" w:sz="0" w:space="0" w:color="auto"/>
        <w:right w:val="none" w:sz="0" w:space="0" w:color="auto"/>
      </w:divBdr>
      <w:divsChild>
        <w:div w:id="995300492">
          <w:marLeft w:val="480"/>
          <w:marRight w:val="0"/>
          <w:marTop w:val="0"/>
          <w:marBottom w:val="0"/>
          <w:divBdr>
            <w:top w:val="none" w:sz="0" w:space="0" w:color="auto"/>
            <w:left w:val="none" w:sz="0" w:space="0" w:color="auto"/>
            <w:bottom w:val="none" w:sz="0" w:space="0" w:color="auto"/>
            <w:right w:val="none" w:sz="0" w:space="0" w:color="auto"/>
          </w:divBdr>
          <w:divsChild>
            <w:div w:id="45999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100440">
      <w:bodyDiv w:val="1"/>
      <w:marLeft w:val="0"/>
      <w:marRight w:val="0"/>
      <w:marTop w:val="0"/>
      <w:marBottom w:val="0"/>
      <w:divBdr>
        <w:top w:val="none" w:sz="0" w:space="0" w:color="auto"/>
        <w:left w:val="none" w:sz="0" w:space="0" w:color="auto"/>
        <w:bottom w:val="none" w:sz="0" w:space="0" w:color="auto"/>
        <w:right w:val="none" w:sz="0" w:space="0" w:color="auto"/>
      </w:divBdr>
      <w:divsChild>
        <w:div w:id="1614441836">
          <w:marLeft w:val="0"/>
          <w:marRight w:val="0"/>
          <w:marTop w:val="0"/>
          <w:marBottom w:val="0"/>
          <w:divBdr>
            <w:top w:val="none" w:sz="0" w:space="0" w:color="auto"/>
            <w:left w:val="none" w:sz="0" w:space="0" w:color="auto"/>
            <w:bottom w:val="none" w:sz="0" w:space="0" w:color="auto"/>
            <w:right w:val="none" w:sz="0" w:space="0" w:color="auto"/>
          </w:divBdr>
          <w:divsChild>
            <w:div w:id="1320498205">
              <w:marLeft w:val="0"/>
              <w:marRight w:val="0"/>
              <w:marTop w:val="0"/>
              <w:marBottom w:val="0"/>
              <w:divBdr>
                <w:top w:val="none" w:sz="0" w:space="0" w:color="auto"/>
                <w:left w:val="none" w:sz="0" w:space="0" w:color="auto"/>
                <w:bottom w:val="none" w:sz="0" w:space="0" w:color="auto"/>
                <w:right w:val="none" w:sz="0" w:space="0" w:color="auto"/>
              </w:divBdr>
              <w:divsChild>
                <w:div w:id="48051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muse.jhu.edu/book/40217" TargetMode="Externa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8EAFFC-1CF4-440F-A377-AFF57794B6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1076</TotalTime>
  <Pages>5</Pages>
  <Words>854</Words>
  <Characters>4871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Apollo Caddy (2305582)</dc:creator>
  <cp:keywords/>
  <dc:description/>
  <cp:lastModifiedBy>Apollo Caddy (2305582)</cp:lastModifiedBy>
  <cp:revision>11</cp:revision>
  <dcterms:created xsi:type="dcterms:W3CDTF">2024-11-07T17:07:00Z</dcterms:created>
  <dcterms:modified xsi:type="dcterms:W3CDTF">2024-11-19T14:39:00Z</dcterms:modified>
</cp:coreProperties>
</file>