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A8469" w14:textId="77777777" w:rsidR="00112762" w:rsidRPr="00CF59B0" w:rsidRDefault="00112762" w:rsidP="00CF59B0">
      <w:pPr>
        <w:spacing w:line="360" w:lineRule="auto"/>
        <w:jc w:val="both"/>
        <w:rPr>
          <w:rFonts w:ascii="Arial" w:hAnsi="Arial" w:cs="Arial"/>
          <w:b/>
          <w:sz w:val="24"/>
          <w:szCs w:val="24"/>
          <w:u w:val="single"/>
        </w:rPr>
      </w:pPr>
    </w:p>
    <w:p w14:paraId="58B680D7" w14:textId="77777777" w:rsidR="00112762" w:rsidRPr="00CF59B0" w:rsidRDefault="00112762" w:rsidP="00CF59B0">
      <w:pPr>
        <w:spacing w:line="360" w:lineRule="auto"/>
        <w:jc w:val="both"/>
        <w:rPr>
          <w:rFonts w:ascii="Arial" w:hAnsi="Arial" w:cs="Arial"/>
          <w:b/>
          <w:sz w:val="24"/>
          <w:szCs w:val="24"/>
          <w:u w:val="single"/>
        </w:rPr>
      </w:pPr>
    </w:p>
    <w:p w14:paraId="6C79A9FE" w14:textId="77777777" w:rsidR="00112762" w:rsidRPr="00CF59B0" w:rsidRDefault="00112762" w:rsidP="00CF59B0">
      <w:pPr>
        <w:spacing w:line="360" w:lineRule="auto"/>
        <w:jc w:val="both"/>
        <w:rPr>
          <w:rFonts w:ascii="Arial" w:hAnsi="Arial" w:cs="Arial"/>
          <w:b/>
          <w:sz w:val="24"/>
          <w:szCs w:val="24"/>
          <w:u w:val="single"/>
        </w:rPr>
      </w:pPr>
    </w:p>
    <w:p w14:paraId="127B7913" w14:textId="77777777" w:rsidR="00112762" w:rsidRPr="00CF59B0" w:rsidRDefault="00112762" w:rsidP="00CF59B0">
      <w:pPr>
        <w:spacing w:line="360" w:lineRule="auto"/>
        <w:jc w:val="both"/>
        <w:rPr>
          <w:rFonts w:ascii="Arial" w:hAnsi="Arial" w:cs="Arial"/>
          <w:b/>
          <w:sz w:val="24"/>
          <w:szCs w:val="24"/>
          <w:u w:val="single"/>
        </w:rPr>
      </w:pPr>
    </w:p>
    <w:p w14:paraId="25E094DD" w14:textId="77777777" w:rsidR="00112762" w:rsidRPr="00CF59B0" w:rsidRDefault="00112762" w:rsidP="00CF59B0">
      <w:pPr>
        <w:spacing w:line="360" w:lineRule="auto"/>
        <w:jc w:val="both"/>
        <w:rPr>
          <w:rFonts w:ascii="Arial" w:hAnsi="Arial" w:cs="Arial"/>
          <w:b/>
          <w:sz w:val="24"/>
          <w:szCs w:val="24"/>
          <w:u w:val="single"/>
        </w:rPr>
      </w:pPr>
    </w:p>
    <w:p w14:paraId="33BB9649" w14:textId="77777777" w:rsidR="00112762" w:rsidRPr="00CF59B0" w:rsidRDefault="00112762" w:rsidP="00CF59B0">
      <w:pPr>
        <w:spacing w:line="360" w:lineRule="auto"/>
        <w:jc w:val="both"/>
        <w:rPr>
          <w:rFonts w:ascii="Arial" w:hAnsi="Arial" w:cs="Arial"/>
          <w:b/>
          <w:sz w:val="24"/>
          <w:szCs w:val="24"/>
          <w:u w:val="single"/>
        </w:rPr>
      </w:pPr>
    </w:p>
    <w:p w14:paraId="3E814A9B" w14:textId="77777777" w:rsidR="0021033E" w:rsidRPr="00CF59B0" w:rsidRDefault="0021033E" w:rsidP="00D01905">
      <w:pPr>
        <w:spacing w:line="360" w:lineRule="auto"/>
        <w:jc w:val="center"/>
        <w:rPr>
          <w:rFonts w:ascii="Arial" w:hAnsi="Arial" w:cs="Arial"/>
          <w:b/>
          <w:sz w:val="24"/>
          <w:szCs w:val="24"/>
          <w:u w:val="single"/>
        </w:rPr>
      </w:pPr>
      <w:r w:rsidRPr="00CF59B0">
        <w:rPr>
          <w:rFonts w:ascii="Arial" w:hAnsi="Arial" w:cs="Arial"/>
          <w:b/>
          <w:sz w:val="24"/>
          <w:szCs w:val="24"/>
          <w:u w:val="single"/>
        </w:rPr>
        <w:t>Essay</w:t>
      </w:r>
    </w:p>
    <w:p w14:paraId="0117FF38" w14:textId="77777777" w:rsidR="00112762" w:rsidRPr="00DC12B1" w:rsidRDefault="00112762" w:rsidP="00D01905">
      <w:pPr>
        <w:spacing w:line="360" w:lineRule="auto"/>
        <w:jc w:val="center"/>
        <w:rPr>
          <w:rFonts w:ascii="Arial" w:hAnsi="Arial" w:cs="Arial"/>
          <w:b/>
          <w:sz w:val="24"/>
          <w:szCs w:val="24"/>
          <w:u w:val="single"/>
        </w:rPr>
      </w:pPr>
    </w:p>
    <w:p w14:paraId="10A6B1D5" w14:textId="77777777" w:rsidR="0021033E" w:rsidRPr="00DC12B1" w:rsidRDefault="0021033E" w:rsidP="00D01905">
      <w:pPr>
        <w:spacing w:line="360" w:lineRule="auto"/>
        <w:jc w:val="center"/>
        <w:rPr>
          <w:rFonts w:ascii="Arial" w:hAnsi="Arial" w:cs="Arial"/>
          <w:b/>
          <w:sz w:val="24"/>
          <w:szCs w:val="24"/>
          <w:u w:val="single"/>
        </w:rPr>
      </w:pPr>
      <w:r w:rsidRPr="00DC12B1">
        <w:rPr>
          <w:rFonts w:ascii="Arial" w:hAnsi="Arial" w:cs="Arial"/>
          <w:b/>
          <w:sz w:val="24"/>
          <w:szCs w:val="24"/>
          <w:u w:val="single"/>
        </w:rPr>
        <w:t>How to engage employees (Generation Y’s or Generation Z’s) throughout the employee lifecycle?</w:t>
      </w:r>
    </w:p>
    <w:p w14:paraId="0F7E2760" w14:textId="5D6EFDFD" w:rsidR="00DC12B1" w:rsidRPr="00CF59B0" w:rsidRDefault="00DC12B1" w:rsidP="00D01905">
      <w:pPr>
        <w:spacing w:line="360" w:lineRule="auto"/>
        <w:jc w:val="center"/>
        <w:rPr>
          <w:rFonts w:ascii="Arial" w:hAnsi="Arial" w:cs="Arial"/>
          <w:b/>
          <w:sz w:val="24"/>
          <w:szCs w:val="24"/>
        </w:rPr>
      </w:pPr>
      <w:r>
        <w:rPr>
          <w:rFonts w:ascii="Arial" w:hAnsi="Arial" w:cs="Arial"/>
          <w:b/>
          <w:sz w:val="24"/>
          <w:szCs w:val="24"/>
        </w:rPr>
        <w:t>By</w:t>
      </w:r>
    </w:p>
    <w:p w14:paraId="6600EB7B" w14:textId="77777777" w:rsidR="0021033E" w:rsidRPr="00CF59B0" w:rsidRDefault="0021033E" w:rsidP="00D01905">
      <w:pPr>
        <w:spacing w:line="360" w:lineRule="auto"/>
        <w:jc w:val="center"/>
        <w:rPr>
          <w:rFonts w:ascii="Arial" w:hAnsi="Arial" w:cs="Arial"/>
          <w:b/>
          <w:sz w:val="24"/>
          <w:szCs w:val="24"/>
        </w:rPr>
      </w:pPr>
    </w:p>
    <w:p w14:paraId="2E25D6C0" w14:textId="77777777" w:rsidR="00DC12B1" w:rsidRPr="00C13C12" w:rsidRDefault="00DC12B1" w:rsidP="00DC12B1">
      <w:pPr>
        <w:jc w:val="center"/>
        <w:rPr>
          <w:b/>
          <w:sz w:val="32"/>
          <w:szCs w:val="32"/>
          <w:shd w:val="clear" w:color="auto" w:fill="FFFFFF"/>
        </w:rPr>
      </w:pPr>
      <w:r w:rsidRPr="00C13C12">
        <w:rPr>
          <w:b/>
          <w:sz w:val="32"/>
          <w:szCs w:val="32"/>
          <w:shd w:val="clear" w:color="auto" w:fill="FFFFFF"/>
        </w:rPr>
        <w:t>Rifat Jahan</w:t>
      </w:r>
    </w:p>
    <w:p w14:paraId="7CAC46F5" w14:textId="77777777" w:rsidR="00DC12B1" w:rsidRPr="00C13C12" w:rsidRDefault="00DC12B1" w:rsidP="00DC12B1">
      <w:pPr>
        <w:jc w:val="center"/>
        <w:rPr>
          <w:b/>
          <w:sz w:val="32"/>
          <w:szCs w:val="32"/>
          <w:shd w:val="clear" w:color="auto" w:fill="FFFFFF"/>
        </w:rPr>
      </w:pPr>
      <w:r w:rsidRPr="00C13C12">
        <w:rPr>
          <w:b/>
          <w:sz w:val="32"/>
          <w:szCs w:val="32"/>
          <w:shd w:val="clear" w:color="auto" w:fill="FFFFFF"/>
        </w:rPr>
        <w:t>Student ID: 2212255</w:t>
      </w:r>
    </w:p>
    <w:p w14:paraId="782B2295" w14:textId="01B68F39" w:rsidR="00DC12B1" w:rsidRPr="007F455F" w:rsidRDefault="00DC12B1" w:rsidP="00DC12B1">
      <w:pPr>
        <w:jc w:val="center"/>
        <w:rPr>
          <w:rFonts w:ascii="Arial" w:hAnsi="Arial" w:cs="Arial"/>
          <w:b/>
          <w:sz w:val="32"/>
          <w:szCs w:val="32"/>
        </w:rPr>
      </w:pPr>
      <w:r w:rsidRPr="007F455F">
        <w:rPr>
          <w:rFonts w:eastAsia="Times New Roman"/>
          <w:b/>
          <w:sz w:val="32"/>
          <w:szCs w:val="32"/>
        </w:rPr>
        <w:t xml:space="preserve">Module Title: </w:t>
      </w:r>
      <w:r>
        <w:rPr>
          <w:rFonts w:eastAsia="Times New Roman"/>
          <w:b/>
          <w:sz w:val="32"/>
          <w:szCs w:val="32"/>
        </w:rPr>
        <w:t xml:space="preserve">Personal Resourcing and Development </w:t>
      </w:r>
    </w:p>
    <w:p w14:paraId="29DA9874" w14:textId="62338A5F" w:rsidR="00DC12B1" w:rsidRPr="00C13C12" w:rsidRDefault="00DC12B1" w:rsidP="00DC12B1">
      <w:pPr>
        <w:jc w:val="center"/>
        <w:rPr>
          <w:rFonts w:ascii="Arial" w:hAnsi="Arial" w:cs="Arial"/>
          <w:b/>
          <w:bCs/>
          <w:sz w:val="32"/>
          <w:szCs w:val="32"/>
        </w:rPr>
      </w:pPr>
      <w:r w:rsidRPr="00C13C12">
        <w:rPr>
          <w:rFonts w:ascii="Arial" w:hAnsi="Arial" w:cs="Arial"/>
          <w:b/>
          <w:sz w:val="32"/>
          <w:szCs w:val="32"/>
        </w:rPr>
        <w:t xml:space="preserve">Module Code: </w:t>
      </w:r>
      <w:r w:rsidRPr="00C13C12">
        <w:rPr>
          <w:rFonts w:ascii="Arial" w:hAnsi="Arial" w:cs="Arial"/>
          <w:b/>
          <w:bCs/>
          <w:sz w:val="32"/>
          <w:szCs w:val="32"/>
        </w:rPr>
        <w:t>BMIH400</w:t>
      </w:r>
      <w:r>
        <w:rPr>
          <w:rFonts w:ascii="Arial" w:hAnsi="Arial" w:cs="Arial"/>
          <w:b/>
          <w:bCs/>
          <w:sz w:val="32"/>
          <w:szCs w:val="32"/>
        </w:rPr>
        <w:t>5</w:t>
      </w:r>
    </w:p>
    <w:p w14:paraId="42176A64" w14:textId="68B8812A" w:rsidR="00DC12B1" w:rsidRPr="00C13C12" w:rsidRDefault="00DC12B1" w:rsidP="00DC12B1">
      <w:pPr>
        <w:jc w:val="center"/>
        <w:rPr>
          <w:rFonts w:ascii="Arial" w:hAnsi="Arial" w:cs="Arial"/>
          <w:b/>
          <w:bCs/>
          <w:sz w:val="32"/>
          <w:szCs w:val="32"/>
        </w:rPr>
      </w:pPr>
      <w:r w:rsidRPr="00C13C12">
        <w:rPr>
          <w:rFonts w:ascii="Arial" w:hAnsi="Arial" w:cs="Arial"/>
          <w:b/>
          <w:bCs/>
          <w:sz w:val="32"/>
          <w:szCs w:val="32"/>
        </w:rPr>
        <w:t xml:space="preserve">Tutor Name: </w:t>
      </w:r>
      <w:r>
        <w:rPr>
          <w:rFonts w:ascii="Arial" w:hAnsi="Arial" w:cs="Arial"/>
          <w:b/>
          <w:bCs/>
          <w:sz w:val="32"/>
          <w:szCs w:val="32"/>
        </w:rPr>
        <w:t>Helen Lee</w:t>
      </w:r>
    </w:p>
    <w:p w14:paraId="17594669" w14:textId="181DD922" w:rsidR="00DC12B1" w:rsidRPr="00C13C12" w:rsidRDefault="00DC12B1" w:rsidP="00DC12B1">
      <w:pPr>
        <w:jc w:val="center"/>
        <w:rPr>
          <w:rFonts w:eastAsia="Times New Roman"/>
          <w:b/>
          <w:sz w:val="32"/>
          <w:szCs w:val="32"/>
        </w:rPr>
      </w:pPr>
      <w:r w:rsidRPr="00C13C12">
        <w:rPr>
          <w:rFonts w:ascii="Arial" w:hAnsi="Arial" w:cs="Arial"/>
          <w:b/>
          <w:bCs/>
          <w:sz w:val="32"/>
          <w:szCs w:val="32"/>
        </w:rPr>
        <w:t xml:space="preserve">Wordcount: </w:t>
      </w:r>
      <w:r>
        <w:rPr>
          <w:rFonts w:ascii="Arial" w:hAnsi="Arial" w:cs="Arial"/>
          <w:b/>
          <w:bCs/>
          <w:sz w:val="32"/>
          <w:szCs w:val="32"/>
        </w:rPr>
        <w:t>2001</w:t>
      </w:r>
    </w:p>
    <w:p w14:paraId="56EEF9F1" w14:textId="74A33419" w:rsidR="00DC12B1" w:rsidRPr="00C13C12" w:rsidRDefault="00DC12B1" w:rsidP="00DC12B1">
      <w:pPr>
        <w:jc w:val="center"/>
        <w:rPr>
          <w:b/>
          <w:sz w:val="32"/>
          <w:szCs w:val="32"/>
          <w:shd w:val="clear" w:color="auto" w:fill="FFFFFF"/>
        </w:rPr>
      </w:pPr>
      <w:r w:rsidRPr="00C13C12">
        <w:rPr>
          <w:rFonts w:eastAsia="Times New Roman"/>
          <w:b/>
          <w:sz w:val="32"/>
          <w:szCs w:val="32"/>
        </w:rPr>
        <w:t xml:space="preserve">Date: </w:t>
      </w:r>
      <w:r>
        <w:rPr>
          <w:rFonts w:eastAsia="Times New Roman"/>
          <w:b/>
          <w:sz w:val="32"/>
          <w:szCs w:val="32"/>
        </w:rPr>
        <w:t>2</w:t>
      </w:r>
      <w:r>
        <w:rPr>
          <w:rFonts w:eastAsia="Times New Roman"/>
          <w:b/>
          <w:sz w:val="32"/>
          <w:szCs w:val="32"/>
        </w:rPr>
        <w:t>2</w:t>
      </w:r>
      <w:r w:rsidRPr="00C13C12">
        <w:rPr>
          <w:rFonts w:eastAsia="Times New Roman"/>
          <w:b/>
          <w:sz w:val="32"/>
          <w:szCs w:val="32"/>
        </w:rPr>
        <w:t>/</w:t>
      </w:r>
      <w:r>
        <w:rPr>
          <w:rFonts w:eastAsia="Times New Roman"/>
          <w:b/>
          <w:sz w:val="32"/>
          <w:szCs w:val="32"/>
        </w:rPr>
        <w:t>10</w:t>
      </w:r>
      <w:r w:rsidRPr="00C13C12">
        <w:rPr>
          <w:rFonts w:eastAsia="Times New Roman"/>
          <w:b/>
          <w:sz w:val="32"/>
          <w:szCs w:val="32"/>
        </w:rPr>
        <w:t>/202</w:t>
      </w:r>
      <w:r>
        <w:rPr>
          <w:rFonts w:eastAsia="Times New Roman"/>
          <w:b/>
          <w:sz w:val="32"/>
          <w:szCs w:val="32"/>
        </w:rPr>
        <w:t>3</w:t>
      </w:r>
    </w:p>
    <w:p w14:paraId="738CC9AE" w14:textId="77777777" w:rsidR="0021033E" w:rsidRPr="00CF59B0" w:rsidRDefault="0021033E" w:rsidP="00CF59B0">
      <w:pPr>
        <w:spacing w:line="360" w:lineRule="auto"/>
        <w:jc w:val="both"/>
        <w:rPr>
          <w:rFonts w:ascii="Arial" w:hAnsi="Arial" w:cs="Arial"/>
          <w:sz w:val="24"/>
          <w:szCs w:val="24"/>
        </w:rPr>
      </w:pPr>
      <w:r w:rsidRPr="00CF59B0">
        <w:rPr>
          <w:rFonts w:ascii="Arial" w:hAnsi="Arial" w:cs="Arial"/>
          <w:sz w:val="24"/>
          <w:szCs w:val="24"/>
        </w:rPr>
        <w:br w:type="page"/>
      </w:r>
    </w:p>
    <w:sdt>
      <w:sdtPr>
        <w:rPr>
          <w:rFonts w:asciiTheme="minorHAnsi" w:eastAsiaTheme="minorHAnsi" w:hAnsiTheme="minorHAnsi" w:cstheme="minorBidi"/>
          <w:color w:val="auto"/>
          <w:sz w:val="22"/>
          <w:szCs w:val="22"/>
        </w:rPr>
        <w:id w:val="-2147430273"/>
        <w:docPartObj>
          <w:docPartGallery w:val="Table of Contents"/>
          <w:docPartUnique/>
        </w:docPartObj>
      </w:sdtPr>
      <w:sdtEndPr>
        <w:rPr>
          <w:b/>
          <w:bCs/>
          <w:noProof/>
        </w:rPr>
      </w:sdtEndPr>
      <w:sdtContent>
        <w:p w14:paraId="7B2213EA" w14:textId="77777777" w:rsidR="005B47A6" w:rsidRPr="005B47A6" w:rsidRDefault="005B47A6" w:rsidP="005B47A6">
          <w:pPr>
            <w:pStyle w:val="TOCHeading"/>
            <w:spacing w:line="360" w:lineRule="auto"/>
            <w:jc w:val="center"/>
            <w:rPr>
              <w:rFonts w:ascii="Arial" w:hAnsi="Arial" w:cs="Arial"/>
              <w:b/>
              <w:color w:val="auto"/>
              <w:sz w:val="24"/>
              <w:szCs w:val="24"/>
            </w:rPr>
          </w:pPr>
          <w:r w:rsidRPr="005B47A6">
            <w:rPr>
              <w:rFonts w:ascii="Arial" w:hAnsi="Arial" w:cs="Arial"/>
              <w:b/>
              <w:color w:val="auto"/>
              <w:sz w:val="24"/>
              <w:szCs w:val="24"/>
            </w:rPr>
            <w:t>Table of Contents</w:t>
          </w:r>
        </w:p>
        <w:p w14:paraId="6562F403" w14:textId="77777777" w:rsidR="005B47A6" w:rsidRPr="005B47A6" w:rsidRDefault="005B47A6" w:rsidP="005B47A6">
          <w:pPr>
            <w:pStyle w:val="TOC1"/>
            <w:tabs>
              <w:tab w:val="right" w:leader="dot" w:pos="9350"/>
            </w:tabs>
            <w:spacing w:line="360" w:lineRule="auto"/>
            <w:rPr>
              <w:rFonts w:ascii="Arial" w:hAnsi="Arial" w:cs="Arial"/>
              <w:noProof/>
              <w:sz w:val="24"/>
              <w:szCs w:val="24"/>
            </w:rPr>
          </w:pPr>
          <w:r w:rsidRPr="005B47A6">
            <w:rPr>
              <w:rFonts w:ascii="Arial" w:hAnsi="Arial" w:cs="Arial"/>
              <w:sz w:val="24"/>
              <w:szCs w:val="24"/>
            </w:rPr>
            <w:fldChar w:fldCharType="begin"/>
          </w:r>
          <w:r w:rsidRPr="005B47A6">
            <w:rPr>
              <w:rFonts w:ascii="Arial" w:hAnsi="Arial" w:cs="Arial"/>
              <w:sz w:val="24"/>
              <w:szCs w:val="24"/>
            </w:rPr>
            <w:instrText xml:space="preserve"> TOC \o "1-3" \h \z \u </w:instrText>
          </w:r>
          <w:r w:rsidRPr="005B47A6">
            <w:rPr>
              <w:rFonts w:ascii="Arial" w:hAnsi="Arial" w:cs="Arial"/>
              <w:sz w:val="24"/>
              <w:szCs w:val="24"/>
            </w:rPr>
            <w:fldChar w:fldCharType="separate"/>
          </w:r>
          <w:hyperlink w:anchor="_Toc147847968" w:history="1">
            <w:r w:rsidRPr="005B47A6">
              <w:rPr>
                <w:rStyle w:val="Hyperlink"/>
                <w:rFonts w:ascii="Arial" w:hAnsi="Arial" w:cs="Arial"/>
                <w:noProof/>
                <w:sz w:val="24"/>
                <w:szCs w:val="24"/>
              </w:rPr>
              <w:t>Introduction</w:t>
            </w:r>
            <w:r w:rsidRPr="005B47A6">
              <w:rPr>
                <w:rFonts w:ascii="Arial" w:hAnsi="Arial" w:cs="Arial"/>
                <w:noProof/>
                <w:webHidden/>
                <w:sz w:val="24"/>
                <w:szCs w:val="24"/>
              </w:rPr>
              <w:tab/>
            </w:r>
            <w:r w:rsidRPr="005B47A6">
              <w:rPr>
                <w:rFonts w:ascii="Arial" w:hAnsi="Arial" w:cs="Arial"/>
                <w:noProof/>
                <w:webHidden/>
                <w:sz w:val="24"/>
                <w:szCs w:val="24"/>
              </w:rPr>
              <w:fldChar w:fldCharType="begin"/>
            </w:r>
            <w:r w:rsidRPr="005B47A6">
              <w:rPr>
                <w:rFonts w:ascii="Arial" w:hAnsi="Arial" w:cs="Arial"/>
                <w:noProof/>
                <w:webHidden/>
                <w:sz w:val="24"/>
                <w:szCs w:val="24"/>
              </w:rPr>
              <w:instrText xml:space="preserve"> PAGEREF _Toc147847968 \h </w:instrText>
            </w:r>
            <w:r w:rsidRPr="005B47A6">
              <w:rPr>
                <w:rFonts w:ascii="Arial" w:hAnsi="Arial" w:cs="Arial"/>
                <w:noProof/>
                <w:webHidden/>
                <w:sz w:val="24"/>
                <w:szCs w:val="24"/>
              </w:rPr>
              <w:fldChar w:fldCharType="separate"/>
            </w:r>
            <w:r>
              <w:rPr>
                <w:rFonts w:ascii="Arial" w:hAnsi="Arial" w:cs="Arial"/>
                <w:noProof/>
                <w:webHidden/>
                <w:sz w:val="24"/>
                <w:szCs w:val="24"/>
              </w:rPr>
              <w:t>3</w:t>
            </w:r>
            <w:r w:rsidRPr="005B47A6">
              <w:rPr>
                <w:rFonts w:ascii="Arial" w:hAnsi="Arial" w:cs="Arial"/>
                <w:noProof/>
                <w:webHidden/>
                <w:sz w:val="24"/>
                <w:szCs w:val="24"/>
              </w:rPr>
              <w:fldChar w:fldCharType="end"/>
            </w:r>
          </w:hyperlink>
        </w:p>
        <w:p w14:paraId="2038089C" w14:textId="77777777" w:rsidR="005B47A6" w:rsidRPr="005B47A6" w:rsidRDefault="00000000" w:rsidP="005B47A6">
          <w:pPr>
            <w:pStyle w:val="TOC1"/>
            <w:tabs>
              <w:tab w:val="right" w:leader="dot" w:pos="9350"/>
            </w:tabs>
            <w:spacing w:line="360" w:lineRule="auto"/>
            <w:rPr>
              <w:rFonts w:ascii="Arial" w:hAnsi="Arial" w:cs="Arial"/>
              <w:noProof/>
              <w:sz w:val="24"/>
              <w:szCs w:val="24"/>
            </w:rPr>
          </w:pPr>
          <w:hyperlink w:anchor="_Toc147847969" w:history="1">
            <w:r w:rsidR="005B47A6" w:rsidRPr="005B47A6">
              <w:rPr>
                <w:rStyle w:val="Hyperlink"/>
                <w:rFonts w:ascii="Arial" w:hAnsi="Arial" w:cs="Arial"/>
                <w:noProof/>
                <w:sz w:val="24"/>
                <w:szCs w:val="24"/>
              </w:rPr>
              <w:t>Main body</w:t>
            </w:r>
            <w:r w:rsidR="005B47A6" w:rsidRPr="005B47A6">
              <w:rPr>
                <w:rFonts w:ascii="Arial" w:hAnsi="Arial" w:cs="Arial"/>
                <w:noProof/>
                <w:webHidden/>
                <w:sz w:val="24"/>
                <w:szCs w:val="24"/>
              </w:rPr>
              <w:tab/>
            </w:r>
            <w:r w:rsidR="005B47A6" w:rsidRPr="005B47A6">
              <w:rPr>
                <w:rFonts w:ascii="Arial" w:hAnsi="Arial" w:cs="Arial"/>
                <w:noProof/>
                <w:webHidden/>
                <w:sz w:val="24"/>
                <w:szCs w:val="24"/>
              </w:rPr>
              <w:fldChar w:fldCharType="begin"/>
            </w:r>
            <w:r w:rsidR="005B47A6" w:rsidRPr="005B47A6">
              <w:rPr>
                <w:rFonts w:ascii="Arial" w:hAnsi="Arial" w:cs="Arial"/>
                <w:noProof/>
                <w:webHidden/>
                <w:sz w:val="24"/>
                <w:szCs w:val="24"/>
              </w:rPr>
              <w:instrText xml:space="preserve"> PAGEREF _Toc147847969 \h </w:instrText>
            </w:r>
            <w:r w:rsidR="005B47A6" w:rsidRPr="005B47A6">
              <w:rPr>
                <w:rFonts w:ascii="Arial" w:hAnsi="Arial" w:cs="Arial"/>
                <w:noProof/>
                <w:webHidden/>
                <w:sz w:val="24"/>
                <w:szCs w:val="24"/>
              </w:rPr>
              <w:fldChar w:fldCharType="separate"/>
            </w:r>
            <w:r w:rsidR="005B47A6">
              <w:rPr>
                <w:rFonts w:ascii="Arial" w:hAnsi="Arial" w:cs="Arial"/>
                <w:noProof/>
                <w:webHidden/>
                <w:sz w:val="24"/>
                <w:szCs w:val="24"/>
              </w:rPr>
              <w:t>3</w:t>
            </w:r>
            <w:r w:rsidR="005B47A6" w:rsidRPr="005B47A6">
              <w:rPr>
                <w:rFonts w:ascii="Arial" w:hAnsi="Arial" w:cs="Arial"/>
                <w:noProof/>
                <w:webHidden/>
                <w:sz w:val="24"/>
                <w:szCs w:val="24"/>
              </w:rPr>
              <w:fldChar w:fldCharType="end"/>
            </w:r>
          </w:hyperlink>
        </w:p>
        <w:p w14:paraId="20AF0345" w14:textId="77777777" w:rsidR="005B47A6" w:rsidRPr="005B47A6" w:rsidRDefault="00000000" w:rsidP="005B47A6">
          <w:pPr>
            <w:pStyle w:val="TOC1"/>
            <w:tabs>
              <w:tab w:val="right" w:leader="dot" w:pos="9350"/>
            </w:tabs>
            <w:spacing w:line="360" w:lineRule="auto"/>
            <w:rPr>
              <w:rFonts w:ascii="Arial" w:hAnsi="Arial" w:cs="Arial"/>
              <w:noProof/>
              <w:sz w:val="24"/>
              <w:szCs w:val="24"/>
            </w:rPr>
          </w:pPr>
          <w:hyperlink w:anchor="_Toc147847970" w:history="1">
            <w:r w:rsidR="005B47A6" w:rsidRPr="005B47A6">
              <w:rPr>
                <w:rStyle w:val="Hyperlink"/>
                <w:rFonts w:ascii="Arial" w:hAnsi="Arial" w:cs="Arial"/>
                <w:noProof/>
                <w:sz w:val="24"/>
                <w:szCs w:val="24"/>
              </w:rPr>
              <w:t>Conclusion</w:t>
            </w:r>
            <w:r w:rsidR="005B47A6" w:rsidRPr="005B47A6">
              <w:rPr>
                <w:rFonts w:ascii="Arial" w:hAnsi="Arial" w:cs="Arial"/>
                <w:noProof/>
                <w:webHidden/>
                <w:sz w:val="24"/>
                <w:szCs w:val="24"/>
              </w:rPr>
              <w:tab/>
            </w:r>
            <w:r w:rsidR="005B47A6" w:rsidRPr="005B47A6">
              <w:rPr>
                <w:rFonts w:ascii="Arial" w:hAnsi="Arial" w:cs="Arial"/>
                <w:noProof/>
                <w:webHidden/>
                <w:sz w:val="24"/>
                <w:szCs w:val="24"/>
              </w:rPr>
              <w:fldChar w:fldCharType="begin"/>
            </w:r>
            <w:r w:rsidR="005B47A6" w:rsidRPr="005B47A6">
              <w:rPr>
                <w:rFonts w:ascii="Arial" w:hAnsi="Arial" w:cs="Arial"/>
                <w:noProof/>
                <w:webHidden/>
                <w:sz w:val="24"/>
                <w:szCs w:val="24"/>
              </w:rPr>
              <w:instrText xml:space="preserve"> PAGEREF _Toc147847970 \h </w:instrText>
            </w:r>
            <w:r w:rsidR="005B47A6" w:rsidRPr="005B47A6">
              <w:rPr>
                <w:rFonts w:ascii="Arial" w:hAnsi="Arial" w:cs="Arial"/>
                <w:noProof/>
                <w:webHidden/>
                <w:sz w:val="24"/>
                <w:szCs w:val="24"/>
              </w:rPr>
              <w:fldChar w:fldCharType="separate"/>
            </w:r>
            <w:r w:rsidR="005B47A6">
              <w:rPr>
                <w:rFonts w:ascii="Arial" w:hAnsi="Arial" w:cs="Arial"/>
                <w:noProof/>
                <w:webHidden/>
                <w:sz w:val="24"/>
                <w:szCs w:val="24"/>
              </w:rPr>
              <w:t>8</w:t>
            </w:r>
            <w:r w:rsidR="005B47A6" w:rsidRPr="005B47A6">
              <w:rPr>
                <w:rFonts w:ascii="Arial" w:hAnsi="Arial" w:cs="Arial"/>
                <w:noProof/>
                <w:webHidden/>
                <w:sz w:val="24"/>
                <w:szCs w:val="24"/>
              </w:rPr>
              <w:fldChar w:fldCharType="end"/>
            </w:r>
          </w:hyperlink>
        </w:p>
        <w:p w14:paraId="751D2330" w14:textId="77777777" w:rsidR="005B47A6" w:rsidRPr="005B47A6" w:rsidRDefault="00000000" w:rsidP="005B47A6">
          <w:pPr>
            <w:pStyle w:val="TOC1"/>
            <w:tabs>
              <w:tab w:val="right" w:leader="dot" w:pos="9350"/>
            </w:tabs>
            <w:spacing w:line="360" w:lineRule="auto"/>
            <w:rPr>
              <w:rFonts w:ascii="Arial" w:hAnsi="Arial" w:cs="Arial"/>
              <w:noProof/>
              <w:sz w:val="24"/>
              <w:szCs w:val="24"/>
            </w:rPr>
          </w:pPr>
          <w:hyperlink w:anchor="_Toc147847971" w:history="1">
            <w:r w:rsidR="005B47A6" w:rsidRPr="005B47A6">
              <w:rPr>
                <w:rStyle w:val="Hyperlink"/>
                <w:rFonts w:ascii="Arial" w:hAnsi="Arial" w:cs="Arial"/>
                <w:noProof/>
                <w:sz w:val="24"/>
                <w:szCs w:val="24"/>
              </w:rPr>
              <w:t>References</w:t>
            </w:r>
            <w:r w:rsidR="005B47A6" w:rsidRPr="005B47A6">
              <w:rPr>
                <w:rFonts w:ascii="Arial" w:hAnsi="Arial" w:cs="Arial"/>
                <w:noProof/>
                <w:webHidden/>
                <w:sz w:val="24"/>
                <w:szCs w:val="24"/>
              </w:rPr>
              <w:tab/>
            </w:r>
            <w:r w:rsidR="005B47A6" w:rsidRPr="005B47A6">
              <w:rPr>
                <w:rFonts w:ascii="Arial" w:hAnsi="Arial" w:cs="Arial"/>
                <w:noProof/>
                <w:webHidden/>
                <w:sz w:val="24"/>
                <w:szCs w:val="24"/>
              </w:rPr>
              <w:fldChar w:fldCharType="begin"/>
            </w:r>
            <w:r w:rsidR="005B47A6" w:rsidRPr="005B47A6">
              <w:rPr>
                <w:rFonts w:ascii="Arial" w:hAnsi="Arial" w:cs="Arial"/>
                <w:noProof/>
                <w:webHidden/>
                <w:sz w:val="24"/>
                <w:szCs w:val="24"/>
              </w:rPr>
              <w:instrText xml:space="preserve"> PAGEREF _Toc147847971 \h </w:instrText>
            </w:r>
            <w:r w:rsidR="005B47A6" w:rsidRPr="005B47A6">
              <w:rPr>
                <w:rFonts w:ascii="Arial" w:hAnsi="Arial" w:cs="Arial"/>
                <w:noProof/>
                <w:webHidden/>
                <w:sz w:val="24"/>
                <w:szCs w:val="24"/>
              </w:rPr>
              <w:fldChar w:fldCharType="separate"/>
            </w:r>
            <w:r w:rsidR="005B47A6">
              <w:rPr>
                <w:rFonts w:ascii="Arial" w:hAnsi="Arial" w:cs="Arial"/>
                <w:noProof/>
                <w:webHidden/>
                <w:sz w:val="24"/>
                <w:szCs w:val="24"/>
              </w:rPr>
              <w:t>9</w:t>
            </w:r>
            <w:r w:rsidR="005B47A6" w:rsidRPr="005B47A6">
              <w:rPr>
                <w:rFonts w:ascii="Arial" w:hAnsi="Arial" w:cs="Arial"/>
                <w:noProof/>
                <w:webHidden/>
                <w:sz w:val="24"/>
                <w:szCs w:val="24"/>
              </w:rPr>
              <w:fldChar w:fldCharType="end"/>
            </w:r>
          </w:hyperlink>
        </w:p>
        <w:p w14:paraId="79DBE052" w14:textId="77777777" w:rsidR="005B47A6" w:rsidRDefault="005B47A6" w:rsidP="005B47A6">
          <w:pPr>
            <w:spacing w:line="360" w:lineRule="auto"/>
          </w:pPr>
          <w:r w:rsidRPr="005B47A6">
            <w:rPr>
              <w:rFonts w:ascii="Arial" w:hAnsi="Arial" w:cs="Arial"/>
              <w:b/>
              <w:bCs/>
              <w:noProof/>
              <w:sz w:val="24"/>
              <w:szCs w:val="24"/>
            </w:rPr>
            <w:fldChar w:fldCharType="end"/>
          </w:r>
        </w:p>
      </w:sdtContent>
    </w:sdt>
    <w:p w14:paraId="03399B9C" w14:textId="77777777" w:rsidR="005B47A6" w:rsidRDefault="005B47A6" w:rsidP="00CF59B0">
      <w:pPr>
        <w:pStyle w:val="Heading1"/>
        <w:spacing w:line="360" w:lineRule="auto"/>
        <w:jc w:val="both"/>
        <w:rPr>
          <w:rFonts w:cs="Arial"/>
          <w:szCs w:val="24"/>
        </w:rPr>
      </w:pPr>
    </w:p>
    <w:p w14:paraId="54135FDA" w14:textId="77777777" w:rsidR="005B47A6" w:rsidRDefault="005B47A6">
      <w:pPr>
        <w:rPr>
          <w:rFonts w:ascii="Arial" w:eastAsiaTheme="majorEastAsia" w:hAnsi="Arial" w:cs="Arial"/>
          <w:b/>
          <w:sz w:val="24"/>
          <w:szCs w:val="24"/>
        </w:rPr>
      </w:pPr>
      <w:bookmarkStart w:id="0" w:name="_Toc147847968"/>
      <w:r>
        <w:rPr>
          <w:rFonts w:cs="Arial"/>
          <w:szCs w:val="24"/>
        </w:rPr>
        <w:br w:type="page"/>
      </w:r>
    </w:p>
    <w:p w14:paraId="0651002C" w14:textId="77777777" w:rsidR="003D24EE" w:rsidRDefault="0021033E" w:rsidP="00CF59B0">
      <w:pPr>
        <w:pStyle w:val="Heading1"/>
        <w:spacing w:line="360" w:lineRule="auto"/>
        <w:jc w:val="both"/>
        <w:rPr>
          <w:rFonts w:cs="Arial"/>
          <w:szCs w:val="24"/>
        </w:rPr>
      </w:pPr>
      <w:r w:rsidRPr="00CF59B0">
        <w:rPr>
          <w:rFonts w:cs="Arial"/>
          <w:szCs w:val="24"/>
        </w:rPr>
        <w:lastRenderedPageBreak/>
        <w:t>Introduction</w:t>
      </w:r>
      <w:bookmarkEnd w:id="0"/>
    </w:p>
    <w:p w14:paraId="6C805785" w14:textId="11C42E1C" w:rsidR="001A7338" w:rsidRPr="001A7338" w:rsidRDefault="001A7338" w:rsidP="001A7338">
      <w:pPr>
        <w:spacing w:line="360" w:lineRule="auto"/>
        <w:ind w:firstLine="720"/>
        <w:jc w:val="both"/>
        <w:rPr>
          <w:rFonts w:ascii="Arial" w:hAnsi="Arial" w:cs="Arial"/>
          <w:sz w:val="24"/>
        </w:rPr>
      </w:pPr>
      <w:r w:rsidRPr="001A7338">
        <w:rPr>
          <w:rFonts w:ascii="Arial" w:hAnsi="Arial" w:cs="Arial"/>
          <w:sz w:val="24"/>
        </w:rPr>
        <w:t xml:space="preserve">The active involvement of employees throughout their entire duration of employment is a vital factor in determining the success of an organisation, especially in industries that focus on providing services, such as the hospitality sector (Rana and Sharma, 2019). The Human </w:t>
      </w:r>
      <w:r w:rsidR="002B010F">
        <w:rPr>
          <w:rFonts w:ascii="Arial" w:hAnsi="Arial" w:cs="Arial"/>
          <w:sz w:val="24"/>
        </w:rPr>
        <w:t>Resources</w:t>
      </w:r>
      <w:r w:rsidRPr="001A7338">
        <w:rPr>
          <w:rFonts w:ascii="Arial" w:hAnsi="Arial" w:cs="Arial"/>
          <w:sz w:val="24"/>
        </w:rPr>
        <w:t xml:space="preserve"> (HR) departments assume a crucial role in coordinating and upholding employee engagement, which becomes particularly noteworthy when managing employees from Generation Y and Generation Z. The aforementioned two distinct generations exhibit their distinct characteristics and expectations when entering the workforce (Saks, 2022).</w:t>
      </w:r>
      <w:r>
        <w:rPr>
          <w:rFonts w:ascii="Arial" w:hAnsi="Arial" w:cs="Arial"/>
          <w:sz w:val="24"/>
        </w:rPr>
        <w:t xml:space="preserve"> </w:t>
      </w:r>
      <w:r w:rsidRPr="001A7338">
        <w:rPr>
          <w:rFonts w:ascii="Arial" w:hAnsi="Arial" w:cs="Arial"/>
          <w:sz w:val="24"/>
        </w:rPr>
        <w:t xml:space="preserve">This essay aims to explore the diverse strategies and practises that human resources departments in large hotels can utilise to successfully engage employees from Generation Y and Generation Z throughout different stages of the employee lifecycle. The </w:t>
      </w:r>
      <w:r w:rsidR="00DC12B1">
        <w:rPr>
          <w:rFonts w:ascii="Arial" w:hAnsi="Arial" w:cs="Arial"/>
          <w:sz w:val="24"/>
        </w:rPr>
        <w:t>stages mentioned above</w:t>
      </w:r>
      <w:r w:rsidRPr="001A7338">
        <w:rPr>
          <w:rFonts w:ascii="Arial" w:hAnsi="Arial" w:cs="Arial"/>
          <w:sz w:val="24"/>
        </w:rPr>
        <w:t xml:space="preserve"> encompass the processes of attraction and recruitment, development, retention, and separation. </w:t>
      </w:r>
      <w:r w:rsidR="002B010F">
        <w:rPr>
          <w:rFonts w:ascii="Arial" w:hAnsi="Arial" w:cs="Arial"/>
          <w:sz w:val="24"/>
        </w:rPr>
        <w:t>We aim</w:t>
      </w:r>
      <w:r w:rsidRPr="001A7338">
        <w:rPr>
          <w:rFonts w:ascii="Arial" w:hAnsi="Arial" w:cs="Arial"/>
          <w:sz w:val="24"/>
        </w:rPr>
        <w:t xml:space="preserve"> to provide valuable insights into the cultivation of a motivated and dedicated workforce, specifically tailored to the unique needs and preferences of these generational cohorts, through a comprehensive examination of these aspects.</w:t>
      </w:r>
    </w:p>
    <w:p w14:paraId="12AA8AB8" w14:textId="77777777" w:rsidR="00112762" w:rsidRPr="00CF59B0" w:rsidRDefault="00112762" w:rsidP="00CF59B0">
      <w:pPr>
        <w:pStyle w:val="Heading1"/>
        <w:spacing w:line="360" w:lineRule="auto"/>
        <w:jc w:val="both"/>
        <w:rPr>
          <w:rFonts w:cs="Arial"/>
          <w:szCs w:val="24"/>
        </w:rPr>
      </w:pPr>
      <w:bookmarkStart w:id="1" w:name="_Toc147847969"/>
      <w:r w:rsidRPr="00CF59B0">
        <w:rPr>
          <w:rFonts w:cs="Arial"/>
          <w:szCs w:val="24"/>
        </w:rPr>
        <w:t>Main body</w:t>
      </w:r>
      <w:bookmarkEnd w:id="1"/>
      <w:r w:rsidRPr="00CF59B0">
        <w:rPr>
          <w:rFonts w:cs="Arial"/>
          <w:szCs w:val="24"/>
        </w:rPr>
        <w:t xml:space="preserve"> </w:t>
      </w:r>
    </w:p>
    <w:p w14:paraId="339882FF" w14:textId="1B29A8ED" w:rsidR="001A7338" w:rsidRDefault="001A7338" w:rsidP="00CF59B0">
      <w:pPr>
        <w:spacing w:line="360" w:lineRule="auto"/>
        <w:ind w:firstLine="720"/>
        <w:jc w:val="both"/>
        <w:rPr>
          <w:rFonts w:ascii="Arial" w:hAnsi="Arial" w:cs="Arial"/>
          <w:sz w:val="24"/>
          <w:szCs w:val="24"/>
        </w:rPr>
      </w:pPr>
      <w:r w:rsidRPr="001A7338">
        <w:rPr>
          <w:rFonts w:ascii="Arial" w:hAnsi="Arial" w:cs="Arial"/>
          <w:sz w:val="24"/>
          <w:szCs w:val="24"/>
        </w:rPr>
        <w:t xml:space="preserve">The degree of emotional passion and commitment that workers show to their businesses is known as employee engagement. Engaged workers demonstrate a deep connection with the organization's values, goals, and objectives in addition to job happiness (Basic, 2018). Workers are motivated by a desire to contribute meaningfully, which boosts output, improves customer satisfaction, and ultimately propels the company to success (Saks, 2022). Since HR serves as a vital bridge between organisational management and the workforce, </w:t>
      </w:r>
      <w:r w:rsidR="002B010F">
        <w:rPr>
          <w:rFonts w:ascii="Arial" w:hAnsi="Arial" w:cs="Arial"/>
          <w:sz w:val="24"/>
          <w:szCs w:val="24"/>
        </w:rPr>
        <w:t>the HR department must be</w:t>
      </w:r>
      <w:r w:rsidRPr="001A7338">
        <w:rPr>
          <w:rFonts w:ascii="Arial" w:hAnsi="Arial" w:cs="Arial"/>
          <w:sz w:val="24"/>
          <w:szCs w:val="24"/>
        </w:rPr>
        <w:t xml:space="preserve"> involved in promoting engagement among employees from Generation Y and Generation Z. </w:t>
      </w:r>
      <w:r w:rsidR="002B010F">
        <w:rPr>
          <w:rFonts w:ascii="Arial" w:hAnsi="Arial" w:cs="Arial"/>
          <w:sz w:val="24"/>
          <w:szCs w:val="24"/>
        </w:rPr>
        <w:t>To</w:t>
      </w:r>
      <w:r w:rsidRPr="001A7338">
        <w:rPr>
          <w:rFonts w:ascii="Arial" w:hAnsi="Arial" w:cs="Arial"/>
          <w:sz w:val="24"/>
          <w:szCs w:val="24"/>
        </w:rPr>
        <w:t xml:space="preserve"> create a work environment that meets the various demands of various age cohorts, human resources (HR) are essential (Adisa et al., 2023). To begin with, it is essential to understand the different expectations, values, and career preferences of Generations Y and Z (Davidescu et al., 2020). These generations are characterised by certain characteristics, including a strong technological aptitude, a </w:t>
      </w:r>
      <w:r w:rsidR="00DC12B1">
        <w:rPr>
          <w:rFonts w:ascii="Arial" w:hAnsi="Arial" w:cs="Arial"/>
          <w:sz w:val="24"/>
          <w:szCs w:val="24"/>
        </w:rPr>
        <w:t>propensity</w:t>
      </w:r>
      <w:r w:rsidRPr="001A7338">
        <w:rPr>
          <w:rFonts w:ascii="Arial" w:hAnsi="Arial" w:cs="Arial"/>
          <w:sz w:val="24"/>
          <w:szCs w:val="24"/>
        </w:rPr>
        <w:t xml:space="preserve"> for meaningful work, and a focus on preserving </w:t>
      </w:r>
      <w:r w:rsidRPr="001A7338">
        <w:rPr>
          <w:rFonts w:ascii="Arial" w:hAnsi="Arial" w:cs="Arial"/>
          <w:sz w:val="24"/>
          <w:szCs w:val="24"/>
        </w:rPr>
        <w:lastRenderedPageBreak/>
        <w:t>a positive work-life balance. Human resources departments have to do extensive study to gain a more profound comprehension of the elements that inspire and propel people.</w:t>
      </w:r>
    </w:p>
    <w:p w14:paraId="7CE6356B" w14:textId="2A5AB886" w:rsidR="00112762" w:rsidRPr="00CF59B0" w:rsidRDefault="008D12B3" w:rsidP="008D12B3">
      <w:pPr>
        <w:spacing w:line="360" w:lineRule="auto"/>
        <w:ind w:firstLine="720"/>
        <w:jc w:val="both"/>
        <w:rPr>
          <w:rFonts w:ascii="Arial" w:hAnsi="Arial" w:cs="Arial"/>
          <w:sz w:val="24"/>
          <w:szCs w:val="24"/>
        </w:rPr>
      </w:pPr>
      <w:r w:rsidRPr="008D12B3">
        <w:rPr>
          <w:rFonts w:ascii="Arial" w:hAnsi="Arial" w:cs="Arial"/>
          <w:sz w:val="24"/>
          <w:szCs w:val="24"/>
        </w:rPr>
        <w:t xml:space="preserve">HR professionals may create customised policies and </w:t>
      </w:r>
      <w:r w:rsidR="002B010F">
        <w:rPr>
          <w:rFonts w:ascii="Arial" w:hAnsi="Arial" w:cs="Arial"/>
          <w:sz w:val="24"/>
          <w:szCs w:val="24"/>
        </w:rPr>
        <w:t>practices</w:t>
      </w:r>
      <w:r w:rsidRPr="008D12B3">
        <w:rPr>
          <w:rFonts w:ascii="Arial" w:hAnsi="Arial" w:cs="Arial"/>
          <w:sz w:val="24"/>
          <w:szCs w:val="24"/>
        </w:rPr>
        <w:t xml:space="preserve"> that closely match the distinct tastes and characteristics of Generation Y and Generation Z if they have a thorough knowledge of these dynamics (Goh and Lee, 2018). Offering flexible work schedules, for example, enables staff members to successfully combine their home and professional lives—a skill that these generational groups greatly value. Moreover, offering lots of chances for skill improvement and ongoing education aligns with their mutual goal of advancing both personally and professionally.</w:t>
      </w:r>
      <w:r>
        <w:rPr>
          <w:rFonts w:ascii="Arial" w:hAnsi="Arial" w:cs="Arial"/>
          <w:sz w:val="24"/>
          <w:szCs w:val="24"/>
        </w:rPr>
        <w:t xml:space="preserve"> </w:t>
      </w:r>
      <w:r w:rsidR="00112762" w:rsidRPr="00CF59B0">
        <w:rPr>
          <w:rFonts w:ascii="Arial" w:hAnsi="Arial" w:cs="Arial"/>
          <w:sz w:val="24"/>
          <w:szCs w:val="24"/>
        </w:rPr>
        <w:t xml:space="preserve">Recruitment and selection are pivotal stages in effectively engaging these generations (Adisa et al., 2023). Human resources departments should adopt contemporary recruitment channels, such as online platforms and social media, </w:t>
      </w:r>
      <w:r w:rsidR="002B010F">
        <w:rPr>
          <w:rFonts w:ascii="Arial" w:hAnsi="Arial" w:cs="Arial"/>
          <w:sz w:val="24"/>
          <w:szCs w:val="24"/>
        </w:rPr>
        <w:t>to</w:t>
      </w:r>
      <w:r w:rsidR="00112762" w:rsidRPr="00CF59B0">
        <w:rPr>
          <w:rFonts w:ascii="Arial" w:hAnsi="Arial" w:cs="Arial"/>
          <w:sz w:val="24"/>
          <w:szCs w:val="24"/>
        </w:rPr>
        <w:t xml:space="preserve"> effectively engage and appeal to candidates from Generation Y and Generation Z. These platforms serve as popular destinations for individuals with a strong affinity for technology, rendering them highly susceptible to recruitment </w:t>
      </w:r>
      <w:r w:rsidR="002B010F">
        <w:rPr>
          <w:rFonts w:ascii="Arial" w:hAnsi="Arial" w:cs="Arial"/>
          <w:sz w:val="24"/>
          <w:szCs w:val="24"/>
        </w:rPr>
        <w:t>endeavours</w:t>
      </w:r>
      <w:r w:rsidR="005B47A6">
        <w:rPr>
          <w:rFonts w:ascii="Arial" w:hAnsi="Arial" w:cs="Arial"/>
          <w:sz w:val="24"/>
          <w:szCs w:val="24"/>
        </w:rPr>
        <w:t xml:space="preserve"> (</w:t>
      </w:r>
      <w:r w:rsidR="005B47A6">
        <w:rPr>
          <w:rFonts w:ascii="Arial" w:hAnsi="Arial" w:cs="Arial"/>
          <w:color w:val="222222"/>
          <w:sz w:val="24"/>
          <w:szCs w:val="24"/>
          <w:shd w:val="clear" w:color="auto" w:fill="FFFFFF"/>
        </w:rPr>
        <w:t>Dick., 2019</w:t>
      </w:r>
      <w:r w:rsidR="005B47A6">
        <w:rPr>
          <w:rFonts w:ascii="Arial" w:hAnsi="Arial" w:cs="Arial"/>
          <w:sz w:val="24"/>
          <w:szCs w:val="24"/>
        </w:rPr>
        <w:t>)</w:t>
      </w:r>
      <w:r w:rsidR="00112762" w:rsidRPr="00CF59B0">
        <w:rPr>
          <w:rFonts w:ascii="Arial" w:hAnsi="Arial" w:cs="Arial"/>
          <w:sz w:val="24"/>
          <w:szCs w:val="24"/>
        </w:rPr>
        <w:t xml:space="preserve">. Furthermore, the demonstration of the hotel's dedication to innovation and sustainability has the potential to resonate with the values held by these </w:t>
      </w:r>
      <w:r w:rsidR="005B47A6" w:rsidRPr="00CF59B0">
        <w:rPr>
          <w:rFonts w:ascii="Arial" w:hAnsi="Arial" w:cs="Arial"/>
          <w:sz w:val="24"/>
          <w:szCs w:val="24"/>
        </w:rPr>
        <w:t>associates</w:t>
      </w:r>
      <w:r w:rsidR="00112762" w:rsidRPr="00CF59B0">
        <w:rPr>
          <w:rFonts w:ascii="Arial" w:hAnsi="Arial" w:cs="Arial"/>
          <w:sz w:val="24"/>
          <w:szCs w:val="24"/>
        </w:rPr>
        <w:t>.</w:t>
      </w:r>
    </w:p>
    <w:p w14:paraId="269C4056" w14:textId="5B417C36" w:rsidR="00112762" w:rsidRPr="00CF59B0" w:rsidRDefault="00112762" w:rsidP="00CF59B0">
      <w:pPr>
        <w:spacing w:line="360" w:lineRule="auto"/>
        <w:ind w:firstLine="720"/>
        <w:jc w:val="both"/>
        <w:rPr>
          <w:rFonts w:ascii="Arial" w:hAnsi="Arial" w:cs="Arial"/>
          <w:sz w:val="24"/>
          <w:szCs w:val="24"/>
        </w:rPr>
      </w:pPr>
      <w:r w:rsidRPr="00CF59B0">
        <w:rPr>
          <w:rFonts w:ascii="Arial" w:hAnsi="Arial" w:cs="Arial"/>
          <w:sz w:val="24"/>
          <w:szCs w:val="24"/>
        </w:rPr>
        <w:t xml:space="preserve">In addition, it is crucial to implement personalised onboarding programs </w:t>
      </w:r>
      <w:r w:rsidR="002B010F">
        <w:rPr>
          <w:rFonts w:ascii="Arial" w:hAnsi="Arial" w:cs="Arial"/>
          <w:sz w:val="24"/>
          <w:szCs w:val="24"/>
        </w:rPr>
        <w:t>to</w:t>
      </w:r>
      <w:r w:rsidRPr="00CF59B0">
        <w:rPr>
          <w:rFonts w:ascii="Arial" w:hAnsi="Arial" w:cs="Arial"/>
          <w:sz w:val="24"/>
          <w:szCs w:val="24"/>
        </w:rPr>
        <w:t xml:space="preserve"> effectively integrate new employees into the hotel's culture, values, and expectations (Basic, 2018). Human resources (HR) departments should establish a hospitable atmosphere that facilitates the integration and active participation of new employees right from the beginning. The facilitation of this process can be enhanced through the assignment of mentors, who offer guidance and support to individuals during the early stages of their employment</w:t>
      </w:r>
      <w:r w:rsidR="005B47A6">
        <w:rPr>
          <w:rFonts w:ascii="Arial" w:hAnsi="Arial" w:cs="Arial"/>
          <w:sz w:val="24"/>
          <w:szCs w:val="24"/>
        </w:rPr>
        <w:t xml:space="preserve"> (</w:t>
      </w:r>
      <w:proofErr w:type="spellStart"/>
      <w:r w:rsidR="005B47A6">
        <w:rPr>
          <w:rFonts w:ascii="Arial" w:hAnsi="Arial" w:cs="Arial"/>
          <w:color w:val="222222"/>
          <w:sz w:val="24"/>
          <w:szCs w:val="24"/>
          <w:shd w:val="clear" w:color="auto" w:fill="FFFFFF"/>
        </w:rPr>
        <w:t>Hamadamin</w:t>
      </w:r>
      <w:proofErr w:type="spellEnd"/>
      <w:r w:rsidR="005B47A6">
        <w:rPr>
          <w:rFonts w:ascii="Arial" w:hAnsi="Arial" w:cs="Arial"/>
          <w:color w:val="222222"/>
          <w:sz w:val="24"/>
          <w:szCs w:val="24"/>
          <w:shd w:val="clear" w:color="auto" w:fill="FFFFFF"/>
        </w:rPr>
        <w:t xml:space="preserve"> and Atan., 2019</w:t>
      </w:r>
      <w:r w:rsidR="005B47A6">
        <w:rPr>
          <w:rFonts w:ascii="Arial" w:hAnsi="Arial" w:cs="Arial"/>
          <w:sz w:val="24"/>
          <w:szCs w:val="24"/>
        </w:rPr>
        <w:t>)</w:t>
      </w:r>
      <w:r w:rsidRPr="00CF59B0">
        <w:rPr>
          <w:rFonts w:ascii="Arial" w:hAnsi="Arial" w:cs="Arial"/>
          <w:sz w:val="24"/>
          <w:szCs w:val="24"/>
        </w:rPr>
        <w:t xml:space="preserve">. Mentors play a crucial role in assisting newly hired individuals in effectively navigating their job responsibilities, comprehending the organisational culture of the hotel, and seamlessly integrating into the team, thereby cultivating a strong sense of affiliation.  By customising human resources (HR) policies and </w:t>
      </w:r>
      <w:r w:rsidR="00CF59B0" w:rsidRPr="00CF59B0">
        <w:rPr>
          <w:rFonts w:ascii="Arial" w:hAnsi="Arial" w:cs="Arial"/>
          <w:sz w:val="24"/>
          <w:szCs w:val="24"/>
        </w:rPr>
        <w:t>practices</w:t>
      </w:r>
      <w:r w:rsidRPr="00CF59B0">
        <w:rPr>
          <w:rFonts w:ascii="Arial" w:hAnsi="Arial" w:cs="Arial"/>
          <w:sz w:val="24"/>
          <w:szCs w:val="24"/>
        </w:rPr>
        <w:t xml:space="preserve"> to align with these generational groups, leveraging contemporary recruitment platforms, and delivering individualised onboarding processes, HR departments can assume a crucial role in establishing a workplace atmosphere that cultivates engagement among employees from Generation Y and Generation Z</w:t>
      </w:r>
      <w:r w:rsidR="005B47A6">
        <w:rPr>
          <w:rFonts w:ascii="Arial" w:hAnsi="Arial" w:cs="Arial"/>
          <w:sz w:val="24"/>
          <w:szCs w:val="24"/>
        </w:rPr>
        <w:t xml:space="preserve"> (</w:t>
      </w:r>
      <w:proofErr w:type="spellStart"/>
      <w:r w:rsidR="005B47A6">
        <w:rPr>
          <w:rFonts w:ascii="Arial" w:hAnsi="Arial" w:cs="Arial"/>
          <w:color w:val="222222"/>
          <w:sz w:val="24"/>
          <w:szCs w:val="24"/>
          <w:shd w:val="clear" w:color="auto" w:fill="FFFFFF"/>
        </w:rPr>
        <w:t>Kuzior</w:t>
      </w:r>
      <w:proofErr w:type="spellEnd"/>
      <w:r w:rsidR="005B47A6">
        <w:rPr>
          <w:rFonts w:ascii="Arial" w:hAnsi="Arial" w:cs="Arial"/>
          <w:color w:val="222222"/>
          <w:sz w:val="24"/>
          <w:szCs w:val="24"/>
          <w:shd w:val="clear" w:color="auto" w:fill="FFFFFF"/>
        </w:rPr>
        <w:t xml:space="preserve"> </w:t>
      </w:r>
      <w:r w:rsidR="005B47A6">
        <w:rPr>
          <w:rFonts w:ascii="Arial" w:hAnsi="Arial" w:cs="Arial"/>
          <w:color w:val="222222"/>
          <w:sz w:val="24"/>
          <w:szCs w:val="24"/>
          <w:shd w:val="clear" w:color="auto" w:fill="FFFFFF"/>
        </w:rPr>
        <w:lastRenderedPageBreak/>
        <w:t>et al., 2022</w:t>
      </w:r>
      <w:r w:rsidR="005B47A6">
        <w:rPr>
          <w:rFonts w:ascii="Arial" w:hAnsi="Arial" w:cs="Arial"/>
          <w:sz w:val="24"/>
          <w:szCs w:val="24"/>
        </w:rPr>
        <w:t>)</w:t>
      </w:r>
      <w:r w:rsidRPr="00CF59B0">
        <w:rPr>
          <w:rFonts w:ascii="Arial" w:hAnsi="Arial" w:cs="Arial"/>
          <w:sz w:val="24"/>
          <w:szCs w:val="24"/>
        </w:rPr>
        <w:t>. This phenomenon, in turn, contributes to the sustained success of large hotels within the hospitality industry.</w:t>
      </w:r>
    </w:p>
    <w:p w14:paraId="535CDD76" w14:textId="38E8D42E" w:rsidR="00CF59B0" w:rsidRPr="00CF59B0" w:rsidRDefault="005B47A6" w:rsidP="00CF59B0">
      <w:pPr>
        <w:spacing w:line="360" w:lineRule="auto"/>
        <w:ind w:firstLine="720"/>
        <w:jc w:val="both"/>
        <w:rPr>
          <w:rFonts w:ascii="Arial" w:hAnsi="Arial" w:cs="Arial"/>
          <w:sz w:val="24"/>
          <w:szCs w:val="24"/>
        </w:rPr>
      </w:pPr>
      <w:r>
        <w:rPr>
          <w:rFonts w:ascii="Arial" w:hAnsi="Arial" w:cs="Arial"/>
          <w:sz w:val="24"/>
          <w:szCs w:val="24"/>
        </w:rPr>
        <w:t xml:space="preserve">Whereas, </w:t>
      </w:r>
      <w:r>
        <w:rPr>
          <w:rFonts w:ascii="Arial" w:hAnsi="Arial" w:cs="Arial"/>
          <w:color w:val="222222"/>
          <w:sz w:val="24"/>
          <w:szCs w:val="24"/>
          <w:shd w:val="clear" w:color="auto" w:fill="FFFFFF"/>
        </w:rPr>
        <w:t xml:space="preserve">Pandita and Ray., (2018) </w:t>
      </w:r>
      <w:r w:rsidR="002B010F">
        <w:rPr>
          <w:rFonts w:ascii="Arial" w:hAnsi="Arial" w:cs="Arial"/>
          <w:color w:val="222222"/>
          <w:sz w:val="24"/>
          <w:szCs w:val="24"/>
          <w:shd w:val="clear" w:color="auto" w:fill="FFFFFF"/>
        </w:rPr>
        <w:t>infer</w:t>
      </w:r>
      <w:r>
        <w:rPr>
          <w:rFonts w:ascii="Arial" w:hAnsi="Arial" w:cs="Arial"/>
          <w:color w:val="222222"/>
          <w:sz w:val="24"/>
          <w:szCs w:val="24"/>
          <w:shd w:val="clear" w:color="auto" w:fill="FFFFFF"/>
        </w:rPr>
        <w:t xml:space="preserve"> that e</w:t>
      </w:r>
      <w:r w:rsidR="00CF59B0" w:rsidRPr="00CF59B0">
        <w:rPr>
          <w:rFonts w:ascii="Arial" w:hAnsi="Arial" w:cs="Arial"/>
          <w:sz w:val="24"/>
          <w:szCs w:val="24"/>
        </w:rPr>
        <w:t xml:space="preserve">ffectively engaging employees throughout their lifecycle is of utmost importance in the hospitality industry, particularly when it comes to managing Generation Y and Generation Z. The process of development plays a crucial role in fostering employee engagement. </w:t>
      </w:r>
      <w:r w:rsidR="002B010F">
        <w:rPr>
          <w:rFonts w:ascii="Arial" w:hAnsi="Arial" w:cs="Arial"/>
          <w:sz w:val="24"/>
          <w:szCs w:val="24"/>
        </w:rPr>
        <w:t>To</w:t>
      </w:r>
      <w:r w:rsidR="00CF59B0" w:rsidRPr="00CF59B0">
        <w:rPr>
          <w:rFonts w:ascii="Arial" w:hAnsi="Arial" w:cs="Arial"/>
          <w:sz w:val="24"/>
          <w:szCs w:val="24"/>
        </w:rPr>
        <w:t xml:space="preserve"> fulfil the ambitions of these cohorts, it is imperative to provide them with ongoing opportunities for learning and development (</w:t>
      </w:r>
      <w:proofErr w:type="spellStart"/>
      <w:r w:rsidR="00CF59B0" w:rsidRPr="00CF59B0">
        <w:rPr>
          <w:rFonts w:ascii="Arial" w:hAnsi="Arial" w:cs="Arial"/>
          <w:sz w:val="24"/>
          <w:szCs w:val="24"/>
        </w:rPr>
        <w:t>Hitka</w:t>
      </w:r>
      <w:proofErr w:type="spellEnd"/>
      <w:r w:rsidR="00CF59B0" w:rsidRPr="00CF59B0">
        <w:rPr>
          <w:rFonts w:ascii="Arial" w:hAnsi="Arial" w:cs="Arial"/>
          <w:sz w:val="24"/>
          <w:szCs w:val="24"/>
        </w:rPr>
        <w:t xml:space="preserve"> et al., 2019). Human resources departments should consider providing skill-enhancing programs and resources that are in line with the aspirations of Generation Y and Generation Z, who seek both personal and professional development. Furthermore, the adoption of cross-functional projects can serve as a potent strategic approach (</w:t>
      </w:r>
      <w:proofErr w:type="spellStart"/>
      <w:r w:rsidR="00CF59B0" w:rsidRPr="00CF59B0">
        <w:rPr>
          <w:rFonts w:ascii="Arial" w:hAnsi="Arial" w:cs="Arial"/>
          <w:sz w:val="24"/>
          <w:szCs w:val="24"/>
        </w:rPr>
        <w:t>Kuzior</w:t>
      </w:r>
      <w:proofErr w:type="spellEnd"/>
      <w:r w:rsidR="00CF59B0" w:rsidRPr="00CF59B0">
        <w:rPr>
          <w:rFonts w:ascii="Arial" w:hAnsi="Arial" w:cs="Arial"/>
          <w:sz w:val="24"/>
          <w:szCs w:val="24"/>
        </w:rPr>
        <w:t xml:space="preserve"> et al., 2022). These projects </w:t>
      </w:r>
      <w:r w:rsidR="002B010F">
        <w:rPr>
          <w:rFonts w:ascii="Arial" w:hAnsi="Arial" w:cs="Arial"/>
          <w:sz w:val="24"/>
          <w:szCs w:val="24"/>
        </w:rPr>
        <w:t>allow employees</w:t>
      </w:r>
      <w:r w:rsidR="00CF59B0" w:rsidRPr="00CF59B0">
        <w:rPr>
          <w:rFonts w:ascii="Arial" w:hAnsi="Arial" w:cs="Arial"/>
          <w:sz w:val="24"/>
          <w:szCs w:val="24"/>
        </w:rPr>
        <w:t xml:space="preserve"> to broaden their range of experiences, engage in collaborative efforts with colleagues from various departments, and demonstrate their competencies. These initiatives not only facilitate the development of skills but also enhance a sense of accomplishment and involvement among employees.</w:t>
      </w:r>
    </w:p>
    <w:p w14:paraId="2CA8D6E1" w14:textId="40C66B58" w:rsidR="00CF59B0" w:rsidRPr="00CF59B0" w:rsidRDefault="005B47A6" w:rsidP="00CF59B0">
      <w:pPr>
        <w:spacing w:line="360" w:lineRule="auto"/>
        <w:ind w:firstLine="720"/>
        <w:jc w:val="both"/>
        <w:rPr>
          <w:rFonts w:ascii="Arial" w:hAnsi="Arial" w:cs="Arial"/>
          <w:sz w:val="24"/>
          <w:szCs w:val="24"/>
        </w:rPr>
      </w:pPr>
      <w:r>
        <w:rPr>
          <w:rFonts w:ascii="Arial" w:hAnsi="Arial" w:cs="Arial"/>
          <w:sz w:val="24"/>
          <w:szCs w:val="24"/>
        </w:rPr>
        <w:t>On the contrary, r</w:t>
      </w:r>
      <w:r w:rsidR="00CF59B0" w:rsidRPr="00CF59B0">
        <w:rPr>
          <w:rFonts w:ascii="Arial" w:hAnsi="Arial" w:cs="Arial"/>
          <w:sz w:val="24"/>
          <w:szCs w:val="24"/>
        </w:rPr>
        <w:t xml:space="preserve">etention strategies play a vital role in the preservation of highly skilled employees. The </w:t>
      </w:r>
      <w:r w:rsidR="002B010F">
        <w:rPr>
          <w:rFonts w:ascii="Arial" w:hAnsi="Arial" w:cs="Arial"/>
          <w:sz w:val="24"/>
          <w:szCs w:val="24"/>
        </w:rPr>
        <w:t>acknowledgement</w:t>
      </w:r>
      <w:r w:rsidR="00CF59B0" w:rsidRPr="00CF59B0">
        <w:rPr>
          <w:rFonts w:ascii="Arial" w:hAnsi="Arial" w:cs="Arial"/>
          <w:sz w:val="24"/>
          <w:szCs w:val="24"/>
        </w:rPr>
        <w:t xml:space="preserve"> and incentives provided to employees for their contributions are essential (Pandita</w:t>
      </w:r>
      <w:r>
        <w:rPr>
          <w:rFonts w:ascii="Arial" w:hAnsi="Arial" w:cs="Arial"/>
          <w:sz w:val="24"/>
          <w:szCs w:val="24"/>
        </w:rPr>
        <w:t xml:space="preserve"> and </w:t>
      </w:r>
      <w:r w:rsidR="00CF59B0" w:rsidRPr="00CF59B0">
        <w:rPr>
          <w:rFonts w:ascii="Arial" w:hAnsi="Arial" w:cs="Arial"/>
          <w:sz w:val="24"/>
          <w:szCs w:val="24"/>
        </w:rPr>
        <w:t xml:space="preserve">Ray, 2018). Recognising and valuing the </w:t>
      </w:r>
      <w:r w:rsidR="002B010F">
        <w:rPr>
          <w:rFonts w:ascii="Arial" w:hAnsi="Arial" w:cs="Arial"/>
          <w:sz w:val="24"/>
          <w:szCs w:val="24"/>
        </w:rPr>
        <w:t>endeavours</w:t>
      </w:r>
      <w:r w:rsidR="00CF59B0" w:rsidRPr="00CF59B0">
        <w:rPr>
          <w:rFonts w:ascii="Arial" w:hAnsi="Arial" w:cs="Arial"/>
          <w:sz w:val="24"/>
          <w:szCs w:val="24"/>
        </w:rPr>
        <w:t xml:space="preserve"> of individuals enhances morale and fosters job satisfaction. In addition, it is crucial to provide competitive compensation and benefits packages (</w:t>
      </w:r>
      <w:proofErr w:type="spellStart"/>
      <w:r w:rsidR="00CF59B0" w:rsidRPr="00CF59B0">
        <w:rPr>
          <w:rFonts w:ascii="Arial" w:hAnsi="Arial" w:cs="Arial"/>
          <w:sz w:val="24"/>
          <w:szCs w:val="24"/>
        </w:rPr>
        <w:t>Hamadamin</w:t>
      </w:r>
      <w:proofErr w:type="spellEnd"/>
      <w:r w:rsidR="00CF59B0" w:rsidRPr="00CF59B0">
        <w:rPr>
          <w:rFonts w:ascii="Arial" w:hAnsi="Arial" w:cs="Arial"/>
          <w:sz w:val="24"/>
          <w:szCs w:val="24"/>
        </w:rPr>
        <w:t xml:space="preserve"> </w:t>
      </w:r>
      <w:r>
        <w:rPr>
          <w:rFonts w:ascii="Arial" w:hAnsi="Arial" w:cs="Arial"/>
          <w:sz w:val="24"/>
          <w:szCs w:val="24"/>
        </w:rPr>
        <w:t>and</w:t>
      </w:r>
      <w:r w:rsidR="00CF59B0" w:rsidRPr="00CF59B0">
        <w:rPr>
          <w:rFonts w:ascii="Arial" w:hAnsi="Arial" w:cs="Arial"/>
          <w:sz w:val="24"/>
          <w:szCs w:val="24"/>
        </w:rPr>
        <w:t xml:space="preserve"> Atan, 2019). These compensation packages are designed to enhance employee satisfaction and retention by providing a sense of value and fair remuneration for their contributions, thereby mitigating the probability of employee turnover. The careful and professional management of employee departures is </w:t>
      </w:r>
      <w:r w:rsidR="002B010F">
        <w:rPr>
          <w:rFonts w:ascii="Arial" w:hAnsi="Arial" w:cs="Arial"/>
          <w:sz w:val="24"/>
          <w:szCs w:val="24"/>
        </w:rPr>
        <w:t>paramount</w:t>
      </w:r>
      <w:r w:rsidR="00CF59B0" w:rsidRPr="00CF59B0">
        <w:rPr>
          <w:rFonts w:ascii="Arial" w:hAnsi="Arial" w:cs="Arial"/>
          <w:sz w:val="24"/>
          <w:szCs w:val="24"/>
        </w:rPr>
        <w:t xml:space="preserve"> during the separation phase (Rana </w:t>
      </w:r>
      <w:r>
        <w:rPr>
          <w:rFonts w:ascii="Arial" w:hAnsi="Arial" w:cs="Arial"/>
          <w:sz w:val="24"/>
          <w:szCs w:val="24"/>
        </w:rPr>
        <w:t>and</w:t>
      </w:r>
      <w:r w:rsidR="00CF59B0" w:rsidRPr="00CF59B0">
        <w:rPr>
          <w:rFonts w:ascii="Arial" w:hAnsi="Arial" w:cs="Arial"/>
          <w:sz w:val="24"/>
          <w:szCs w:val="24"/>
        </w:rPr>
        <w:t xml:space="preserve"> Sharma, 2019). This approach not only upholds the dignity of individuals but also sustains a </w:t>
      </w:r>
      <w:r w:rsidR="002B010F">
        <w:rPr>
          <w:rFonts w:ascii="Arial" w:hAnsi="Arial" w:cs="Arial"/>
          <w:sz w:val="24"/>
          <w:szCs w:val="24"/>
        </w:rPr>
        <w:t>favourable</w:t>
      </w:r>
      <w:r w:rsidR="00CF59B0" w:rsidRPr="00CF59B0">
        <w:rPr>
          <w:rFonts w:ascii="Arial" w:hAnsi="Arial" w:cs="Arial"/>
          <w:sz w:val="24"/>
          <w:szCs w:val="24"/>
        </w:rPr>
        <w:t xml:space="preserve"> employer brand. Employees who depart from the hotel with a </w:t>
      </w:r>
      <w:r w:rsidR="002B010F">
        <w:rPr>
          <w:rFonts w:ascii="Arial" w:hAnsi="Arial" w:cs="Arial"/>
          <w:sz w:val="24"/>
          <w:szCs w:val="24"/>
        </w:rPr>
        <w:t>favourable</w:t>
      </w:r>
      <w:r w:rsidR="00CF59B0" w:rsidRPr="00CF59B0">
        <w:rPr>
          <w:rFonts w:ascii="Arial" w:hAnsi="Arial" w:cs="Arial"/>
          <w:sz w:val="24"/>
          <w:szCs w:val="24"/>
        </w:rPr>
        <w:t xml:space="preserve"> impression possess the potential to serve as advocates for the establishment and potentially generate referrals</w:t>
      </w:r>
      <w:r>
        <w:rPr>
          <w:rFonts w:ascii="Arial" w:hAnsi="Arial" w:cs="Arial"/>
          <w:sz w:val="24"/>
          <w:szCs w:val="24"/>
        </w:rPr>
        <w:t xml:space="preserve"> (</w:t>
      </w:r>
      <w:proofErr w:type="spellStart"/>
      <w:r>
        <w:rPr>
          <w:rFonts w:ascii="Arial" w:hAnsi="Arial" w:cs="Arial"/>
          <w:color w:val="222222"/>
          <w:sz w:val="24"/>
          <w:szCs w:val="24"/>
          <w:shd w:val="clear" w:color="auto" w:fill="FFFFFF"/>
        </w:rPr>
        <w:t>Revutska</w:t>
      </w:r>
      <w:proofErr w:type="spellEnd"/>
      <w:r>
        <w:rPr>
          <w:rFonts w:ascii="Arial" w:hAnsi="Arial" w:cs="Arial"/>
          <w:color w:val="222222"/>
          <w:sz w:val="24"/>
          <w:szCs w:val="24"/>
          <w:shd w:val="clear" w:color="auto" w:fill="FFFFFF"/>
        </w:rPr>
        <w:t xml:space="preserve"> and </w:t>
      </w:r>
      <w:proofErr w:type="spellStart"/>
      <w:r>
        <w:rPr>
          <w:rFonts w:ascii="Arial" w:hAnsi="Arial" w:cs="Arial"/>
          <w:color w:val="222222"/>
          <w:sz w:val="24"/>
          <w:szCs w:val="24"/>
          <w:shd w:val="clear" w:color="auto" w:fill="FFFFFF"/>
        </w:rPr>
        <w:t>Maršíková</w:t>
      </w:r>
      <w:proofErr w:type="spellEnd"/>
      <w:r>
        <w:rPr>
          <w:rFonts w:ascii="Arial" w:hAnsi="Arial" w:cs="Arial"/>
          <w:color w:val="222222"/>
          <w:sz w:val="24"/>
          <w:szCs w:val="24"/>
          <w:shd w:val="clear" w:color="auto" w:fill="FFFFFF"/>
        </w:rPr>
        <w:t>., 2021</w:t>
      </w:r>
      <w:r>
        <w:rPr>
          <w:rFonts w:ascii="Arial" w:hAnsi="Arial" w:cs="Arial"/>
          <w:sz w:val="24"/>
          <w:szCs w:val="24"/>
        </w:rPr>
        <w:t>)</w:t>
      </w:r>
      <w:r w:rsidR="00CF59B0" w:rsidRPr="00CF59B0">
        <w:rPr>
          <w:rFonts w:ascii="Arial" w:hAnsi="Arial" w:cs="Arial"/>
          <w:sz w:val="24"/>
          <w:szCs w:val="24"/>
        </w:rPr>
        <w:t>.</w:t>
      </w:r>
    </w:p>
    <w:p w14:paraId="64483580" w14:textId="55F106D4" w:rsidR="008D12B3" w:rsidRDefault="00CF59B0" w:rsidP="00CF59B0">
      <w:pPr>
        <w:spacing w:line="360" w:lineRule="auto"/>
        <w:ind w:firstLine="720"/>
        <w:jc w:val="both"/>
        <w:rPr>
          <w:rFonts w:ascii="Arial" w:hAnsi="Arial" w:cs="Arial"/>
          <w:sz w:val="24"/>
          <w:szCs w:val="24"/>
        </w:rPr>
      </w:pPr>
      <w:r w:rsidRPr="00CF59B0">
        <w:rPr>
          <w:rFonts w:ascii="Arial" w:hAnsi="Arial" w:cs="Arial"/>
          <w:sz w:val="24"/>
          <w:szCs w:val="24"/>
        </w:rPr>
        <w:lastRenderedPageBreak/>
        <w:t xml:space="preserve">Moreover, the practice of conducting exit interviews is considered to be highly valuable (Rana &amp; Sharma, 2019). These interviews serve as a medium for departing employees to express their feedback regarding their experiences and the factors that led to their decision to leave. Human resources (HR) departments can utilise this feedback to enhance their practices, effectively address </w:t>
      </w:r>
      <w:r w:rsidR="002B010F">
        <w:rPr>
          <w:rFonts w:ascii="Arial" w:hAnsi="Arial" w:cs="Arial"/>
          <w:sz w:val="24"/>
          <w:szCs w:val="24"/>
        </w:rPr>
        <w:t>existing issues, and continuously improve their employee engagement strategies</w:t>
      </w:r>
      <w:r w:rsidR="00E57F94">
        <w:rPr>
          <w:rFonts w:ascii="Arial" w:hAnsi="Arial" w:cs="Arial"/>
          <w:sz w:val="24"/>
          <w:szCs w:val="24"/>
        </w:rPr>
        <w:t xml:space="preserve"> (</w:t>
      </w:r>
      <w:r w:rsidR="00E57F94">
        <w:rPr>
          <w:rFonts w:ascii="Arial" w:hAnsi="Arial" w:cs="Arial"/>
          <w:color w:val="222222"/>
          <w:sz w:val="24"/>
          <w:szCs w:val="24"/>
          <w:shd w:val="clear" w:color="auto" w:fill="FFFFFF"/>
        </w:rPr>
        <w:t>Adisa et al., 2023</w:t>
      </w:r>
      <w:r w:rsidR="00E57F94">
        <w:rPr>
          <w:rFonts w:ascii="Arial" w:hAnsi="Arial" w:cs="Arial"/>
          <w:sz w:val="24"/>
          <w:szCs w:val="24"/>
        </w:rPr>
        <w:t>)</w:t>
      </w:r>
      <w:r w:rsidRPr="00CF59B0">
        <w:rPr>
          <w:rFonts w:ascii="Arial" w:hAnsi="Arial" w:cs="Arial"/>
          <w:sz w:val="24"/>
          <w:szCs w:val="24"/>
        </w:rPr>
        <w:t xml:space="preserve">. However, </w:t>
      </w:r>
      <w:r w:rsidR="002B010F">
        <w:rPr>
          <w:rFonts w:ascii="Arial" w:hAnsi="Arial" w:cs="Arial"/>
          <w:sz w:val="24"/>
          <w:szCs w:val="24"/>
        </w:rPr>
        <w:t>several advantages can</w:t>
      </w:r>
      <w:r w:rsidRPr="00CF59B0">
        <w:rPr>
          <w:rFonts w:ascii="Arial" w:hAnsi="Arial" w:cs="Arial"/>
          <w:sz w:val="24"/>
          <w:szCs w:val="24"/>
        </w:rPr>
        <w:t xml:space="preserve"> be derived from actively involving Generation Y and Generation Z employees throughout their career progression within the hotel industry. One of the foremost advantages lies in the heightened level of customer experience that engaged employees offer (Williams, 2020). When employees demonstrate commitment, motivation, and a sense of value, there is an increased likelihood that they will provide exceptional customer service, resulting in a more pleasant and memorable experience for guests. Satisfied guests possess a higher likelihood of both returning to the hotel and developing a sense of loyalty, thereby making valuable contributions to the hotel's long-term prosperity. </w:t>
      </w:r>
      <w:r w:rsidR="008D12B3" w:rsidRPr="008D12B3">
        <w:rPr>
          <w:rFonts w:ascii="Arial" w:hAnsi="Arial" w:cs="Arial"/>
          <w:sz w:val="24"/>
          <w:szCs w:val="24"/>
        </w:rPr>
        <w:t xml:space="preserve">Further investigation indicates that higher productivity among hotel employees is positively correlated with employee engagement (Bakker and Demerouti, 2018). Actively involved and dedicated workers typically exhibit greater levels of motivation, which improves output and performance in general. The prospective impact of the productivity gain on the hotel's revenue and profitability is noteworthy. This is because it has been linked to both operational excellence and better service delivery (Stahl et al., 2020). </w:t>
      </w:r>
    </w:p>
    <w:p w14:paraId="41395F71" w14:textId="1E23A3A2" w:rsidR="00112762" w:rsidRPr="00CF59B0" w:rsidRDefault="008D12B3" w:rsidP="00CF59B0">
      <w:pPr>
        <w:spacing w:line="360" w:lineRule="auto"/>
        <w:ind w:firstLine="720"/>
        <w:jc w:val="both"/>
        <w:rPr>
          <w:rFonts w:ascii="Arial" w:hAnsi="Arial" w:cs="Arial"/>
          <w:sz w:val="24"/>
          <w:szCs w:val="24"/>
        </w:rPr>
      </w:pPr>
      <w:r>
        <w:rPr>
          <w:rFonts w:ascii="Arial" w:hAnsi="Arial" w:cs="Arial"/>
          <w:sz w:val="24"/>
          <w:szCs w:val="24"/>
        </w:rPr>
        <w:t>In this regard</w:t>
      </w:r>
      <w:r w:rsidR="00CF59B0" w:rsidRPr="00CF59B0">
        <w:rPr>
          <w:rFonts w:ascii="Arial" w:hAnsi="Arial" w:cs="Arial"/>
          <w:sz w:val="24"/>
          <w:szCs w:val="24"/>
        </w:rPr>
        <w:t xml:space="preserve">, a highly committed workforce plays a </w:t>
      </w:r>
      <w:r w:rsidRPr="00CF59B0">
        <w:rPr>
          <w:rFonts w:ascii="Arial" w:hAnsi="Arial" w:cs="Arial"/>
          <w:sz w:val="24"/>
          <w:szCs w:val="24"/>
        </w:rPr>
        <w:t>critical</w:t>
      </w:r>
      <w:r w:rsidR="00CF59B0" w:rsidRPr="00CF59B0">
        <w:rPr>
          <w:rFonts w:ascii="Arial" w:hAnsi="Arial" w:cs="Arial"/>
          <w:sz w:val="24"/>
          <w:szCs w:val="24"/>
        </w:rPr>
        <w:t xml:space="preserve"> role in enhancing the hotel's ability to attract and retain talented </w:t>
      </w:r>
      <w:r>
        <w:rPr>
          <w:rFonts w:ascii="Arial" w:hAnsi="Arial" w:cs="Arial"/>
          <w:sz w:val="24"/>
          <w:szCs w:val="24"/>
        </w:rPr>
        <w:t>workers</w:t>
      </w:r>
      <w:r w:rsidR="00CF59B0" w:rsidRPr="00CF59B0">
        <w:rPr>
          <w:rFonts w:ascii="Arial" w:hAnsi="Arial" w:cs="Arial"/>
          <w:sz w:val="24"/>
          <w:szCs w:val="24"/>
        </w:rPr>
        <w:t xml:space="preserve"> (Malik et al., 2023). Having a positive reputation for employee engagement can enhance the recruitment process by attracting highly skilled individuals who are inclined to seek out workplaces that foster their growth and enable them to make meaningful contributions. This phenomenon leads to a decrease in recruitment expenses and time consumption, as the hotel becomes an appealing venue for potential employees</w:t>
      </w:r>
      <w:r w:rsidR="00E57F94">
        <w:rPr>
          <w:rFonts w:ascii="Arial" w:hAnsi="Arial" w:cs="Arial"/>
          <w:sz w:val="24"/>
          <w:szCs w:val="24"/>
        </w:rPr>
        <w:t xml:space="preserve"> (</w:t>
      </w:r>
      <w:r w:rsidR="00E57F94">
        <w:rPr>
          <w:rFonts w:ascii="Arial" w:hAnsi="Arial" w:cs="Arial"/>
          <w:color w:val="222222"/>
          <w:sz w:val="24"/>
          <w:szCs w:val="24"/>
          <w:shd w:val="clear" w:color="auto" w:fill="FFFFFF"/>
        </w:rPr>
        <w:t>Rigby and Ryan., 2018</w:t>
      </w:r>
      <w:r w:rsidR="00E57F94">
        <w:rPr>
          <w:rFonts w:ascii="Arial" w:hAnsi="Arial" w:cs="Arial"/>
          <w:sz w:val="24"/>
          <w:szCs w:val="24"/>
        </w:rPr>
        <w:t>)</w:t>
      </w:r>
      <w:r w:rsidR="00CF59B0" w:rsidRPr="00CF59B0">
        <w:rPr>
          <w:rFonts w:ascii="Arial" w:hAnsi="Arial" w:cs="Arial"/>
          <w:sz w:val="24"/>
          <w:szCs w:val="24"/>
        </w:rPr>
        <w:t xml:space="preserve">. Marriott International and Hilton Worldwide exemplify </w:t>
      </w:r>
      <w:r w:rsidR="002B010F">
        <w:rPr>
          <w:rFonts w:ascii="Arial" w:hAnsi="Arial" w:cs="Arial"/>
          <w:sz w:val="24"/>
          <w:szCs w:val="24"/>
        </w:rPr>
        <w:t xml:space="preserve">the </w:t>
      </w:r>
      <w:r w:rsidR="00CF59B0" w:rsidRPr="00CF59B0">
        <w:rPr>
          <w:rFonts w:ascii="Arial" w:hAnsi="Arial" w:cs="Arial"/>
          <w:sz w:val="24"/>
          <w:szCs w:val="24"/>
        </w:rPr>
        <w:t>successful implementation of employee engagement strategies. According to Francis and Hoefel</w:t>
      </w:r>
      <w:r w:rsidR="00E57F94">
        <w:rPr>
          <w:rFonts w:ascii="Arial" w:hAnsi="Arial" w:cs="Arial"/>
          <w:sz w:val="24"/>
          <w:szCs w:val="24"/>
        </w:rPr>
        <w:t>.,</w:t>
      </w:r>
      <w:r w:rsidR="00CF59B0" w:rsidRPr="00CF59B0">
        <w:rPr>
          <w:rFonts w:ascii="Arial" w:hAnsi="Arial" w:cs="Arial"/>
          <w:sz w:val="24"/>
          <w:szCs w:val="24"/>
        </w:rPr>
        <w:t xml:space="preserve"> (2018), Marriott's "Voyage" program provides employees with various avenues for career progression, with a particular focus on enhancing skills and fostering opportunities for advancement. This </w:t>
      </w:r>
      <w:r w:rsidR="00E57F94" w:rsidRPr="00CF59B0">
        <w:rPr>
          <w:rFonts w:ascii="Arial" w:hAnsi="Arial" w:cs="Arial"/>
          <w:sz w:val="24"/>
          <w:szCs w:val="24"/>
        </w:rPr>
        <w:t>practice</w:t>
      </w:r>
      <w:r w:rsidR="00CF59B0" w:rsidRPr="00CF59B0">
        <w:rPr>
          <w:rFonts w:ascii="Arial" w:hAnsi="Arial" w:cs="Arial"/>
          <w:sz w:val="24"/>
          <w:szCs w:val="24"/>
        </w:rPr>
        <w:t xml:space="preserve"> not only </w:t>
      </w:r>
      <w:r w:rsidR="00CF59B0" w:rsidRPr="00CF59B0">
        <w:rPr>
          <w:rFonts w:ascii="Arial" w:hAnsi="Arial" w:cs="Arial"/>
          <w:sz w:val="24"/>
          <w:szCs w:val="24"/>
        </w:rPr>
        <w:lastRenderedPageBreak/>
        <w:t xml:space="preserve">promotes the active involvement of employees but also corresponds with the professional ambitions of individuals belonging to Generation Y and Generation Z. In contrast, Hilton Worldwide </w:t>
      </w:r>
      <w:r w:rsidR="002B010F">
        <w:rPr>
          <w:rFonts w:ascii="Arial" w:hAnsi="Arial" w:cs="Arial"/>
          <w:sz w:val="24"/>
          <w:szCs w:val="24"/>
        </w:rPr>
        <w:t>emphasizes</w:t>
      </w:r>
      <w:r w:rsidR="00CF59B0" w:rsidRPr="00CF59B0">
        <w:rPr>
          <w:rFonts w:ascii="Arial" w:hAnsi="Arial" w:cs="Arial"/>
          <w:sz w:val="24"/>
          <w:szCs w:val="24"/>
        </w:rPr>
        <w:t xml:space="preserve"> the welfare of its employees by implementing the "</w:t>
      </w:r>
      <w:proofErr w:type="spellStart"/>
      <w:r w:rsidR="00CF59B0" w:rsidRPr="00CF59B0">
        <w:rPr>
          <w:rFonts w:ascii="Arial" w:hAnsi="Arial" w:cs="Arial"/>
          <w:sz w:val="24"/>
          <w:szCs w:val="24"/>
        </w:rPr>
        <w:t>Thrive@Hilton</w:t>
      </w:r>
      <w:proofErr w:type="spellEnd"/>
      <w:r w:rsidR="00CF59B0" w:rsidRPr="00CF59B0">
        <w:rPr>
          <w:rFonts w:ascii="Arial" w:hAnsi="Arial" w:cs="Arial"/>
          <w:sz w:val="24"/>
          <w:szCs w:val="24"/>
        </w:rPr>
        <w:t xml:space="preserve">" initiative (Sun and </w:t>
      </w:r>
      <w:proofErr w:type="spellStart"/>
      <w:r w:rsidR="00CF59B0" w:rsidRPr="00CF59B0">
        <w:rPr>
          <w:rFonts w:ascii="Arial" w:hAnsi="Arial" w:cs="Arial"/>
          <w:sz w:val="24"/>
          <w:szCs w:val="24"/>
        </w:rPr>
        <w:t>Bunchapattanasakda</w:t>
      </w:r>
      <w:proofErr w:type="spellEnd"/>
      <w:r w:rsidR="00CF59B0" w:rsidRPr="00CF59B0">
        <w:rPr>
          <w:rFonts w:ascii="Arial" w:hAnsi="Arial" w:cs="Arial"/>
          <w:sz w:val="24"/>
          <w:szCs w:val="24"/>
        </w:rPr>
        <w:t>, 2019). This initiative aims to tackle mental health support and offers flexible work options, thereby bolstering employee engagement through a focus on their comprehensive well-being.</w:t>
      </w:r>
    </w:p>
    <w:p w14:paraId="510F5A20" w14:textId="1AD7F5EE" w:rsidR="00CF59B0" w:rsidRPr="00CF59B0" w:rsidRDefault="00E57F94" w:rsidP="00CF59B0">
      <w:pPr>
        <w:spacing w:line="360" w:lineRule="auto"/>
        <w:ind w:firstLine="720"/>
        <w:jc w:val="both"/>
        <w:rPr>
          <w:rFonts w:ascii="Arial" w:hAnsi="Arial" w:cs="Arial"/>
          <w:sz w:val="24"/>
          <w:szCs w:val="24"/>
        </w:rPr>
      </w:pPr>
      <w:r>
        <w:rPr>
          <w:rFonts w:ascii="Arial" w:hAnsi="Arial" w:cs="Arial"/>
          <w:sz w:val="24"/>
          <w:szCs w:val="24"/>
        </w:rPr>
        <w:t xml:space="preserve">Therefore, </w:t>
      </w:r>
      <w:r w:rsidR="002B010F">
        <w:rPr>
          <w:rFonts w:ascii="Arial" w:hAnsi="Arial" w:cs="Arial"/>
          <w:sz w:val="24"/>
          <w:szCs w:val="24"/>
        </w:rPr>
        <w:t>to</w:t>
      </w:r>
      <w:r w:rsidR="00CF59B0" w:rsidRPr="00CF59B0">
        <w:rPr>
          <w:rFonts w:ascii="Arial" w:hAnsi="Arial" w:cs="Arial"/>
          <w:sz w:val="24"/>
          <w:szCs w:val="24"/>
        </w:rPr>
        <w:t xml:space="preserve"> foster meaningful involvement of employees from Generation Y and Generation Z throughout their career progression in the hotel industry, it is advisable to integrate an employee engagement model, such as the "Job Demands-Resources Model" proposed by Bakker and Demerouti., (2018). This model offers a well-organized and </w:t>
      </w:r>
      <w:r w:rsidR="002B010F">
        <w:rPr>
          <w:rFonts w:ascii="Arial" w:hAnsi="Arial" w:cs="Arial"/>
          <w:sz w:val="24"/>
          <w:szCs w:val="24"/>
        </w:rPr>
        <w:t>systematic</w:t>
      </w:r>
      <w:r w:rsidR="00CF59B0" w:rsidRPr="00CF59B0">
        <w:rPr>
          <w:rFonts w:ascii="Arial" w:hAnsi="Arial" w:cs="Arial"/>
          <w:sz w:val="24"/>
          <w:szCs w:val="24"/>
        </w:rPr>
        <w:t xml:space="preserve"> framework for enhancing employee engagement. This model holds significant value as it effectively identifies and categorises essential job demands and resources that have a substantial impact on both employee well-being and performance. Within the framework of this theoretical model, the term "job demands" pertains to various facets of employment that necessitate both physical and psychological exertion, which may consequently result in heightened levels of stress or burnout</w:t>
      </w:r>
      <w:r>
        <w:rPr>
          <w:rFonts w:ascii="Arial" w:hAnsi="Arial" w:cs="Arial"/>
          <w:sz w:val="24"/>
          <w:szCs w:val="24"/>
        </w:rPr>
        <w:t xml:space="preserve"> (</w:t>
      </w:r>
      <w:r>
        <w:rPr>
          <w:rFonts w:ascii="Arial" w:hAnsi="Arial" w:cs="Arial"/>
          <w:color w:val="222222"/>
          <w:sz w:val="24"/>
          <w:szCs w:val="24"/>
          <w:shd w:val="clear" w:color="auto" w:fill="FFFFFF"/>
        </w:rPr>
        <w:t>Rigby and Ryan., 2018</w:t>
      </w:r>
      <w:r>
        <w:rPr>
          <w:rFonts w:ascii="Arial" w:hAnsi="Arial" w:cs="Arial"/>
          <w:sz w:val="24"/>
          <w:szCs w:val="24"/>
        </w:rPr>
        <w:t>)</w:t>
      </w:r>
      <w:r w:rsidR="00CF59B0" w:rsidRPr="00CF59B0">
        <w:rPr>
          <w:rFonts w:ascii="Arial" w:hAnsi="Arial" w:cs="Arial"/>
          <w:sz w:val="24"/>
          <w:szCs w:val="24"/>
        </w:rPr>
        <w:t>. Conversely, job resources refer to elements present in the work environment that can effectively support the attainment of work-related objectives, alleviate job pressures, and foster motivation and involvement</w:t>
      </w:r>
      <w:r>
        <w:rPr>
          <w:rFonts w:ascii="Arial" w:hAnsi="Arial" w:cs="Arial"/>
          <w:sz w:val="24"/>
          <w:szCs w:val="24"/>
        </w:rPr>
        <w:t xml:space="preserve"> (</w:t>
      </w:r>
      <w:r>
        <w:rPr>
          <w:rFonts w:ascii="Arial" w:hAnsi="Arial" w:cs="Arial"/>
          <w:color w:val="222222"/>
          <w:sz w:val="24"/>
          <w:szCs w:val="24"/>
          <w:shd w:val="clear" w:color="auto" w:fill="FFFFFF"/>
        </w:rPr>
        <w:t>Williams., 2020</w:t>
      </w:r>
      <w:r>
        <w:rPr>
          <w:rFonts w:ascii="Arial" w:hAnsi="Arial" w:cs="Arial"/>
          <w:sz w:val="24"/>
          <w:szCs w:val="24"/>
        </w:rPr>
        <w:t>)</w:t>
      </w:r>
      <w:r w:rsidR="00CF59B0" w:rsidRPr="00CF59B0">
        <w:rPr>
          <w:rFonts w:ascii="Arial" w:hAnsi="Arial" w:cs="Arial"/>
          <w:sz w:val="24"/>
          <w:szCs w:val="24"/>
        </w:rPr>
        <w:t>. By utilising this model, human resources departments can acquire a more comprehensive comprehension of the distinct requirements and assets that align with Generation Y and Generation Z.</w:t>
      </w:r>
    </w:p>
    <w:p w14:paraId="550162ED" w14:textId="26272820" w:rsidR="00CF59B0" w:rsidRPr="00CF59B0" w:rsidRDefault="00CF59B0" w:rsidP="00CF59B0">
      <w:pPr>
        <w:spacing w:line="360" w:lineRule="auto"/>
        <w:ind w:firstLine="720"/>
        <w:jc w:val="both"/>
        <w:rPr>
          <w:rFonts w:ascii="Arial" w:hAnsi="Arial" w:cs="Arial"/>
          <w:sz w:val="24"/>
          <w:szCs w:val="24"/>
        </w:rPr>
      </w:pPr>
      <w:r w:rsidRPr="00CF59B0">
        <w:rPr>
          <w:rFonts w:ascii="Arial" w:hAnsi="Arial" w:cs="Arial"/>
          <w:sz w:val="24"/>
          <w:szCs w:val="24"/>
        </w:rPr>
        <w:t xml:space="preserve">For example, human resources (HR) professionals </w:t>
      </w:r>
      <w:r w:rsidR="002B010F">
        <w:rPr>
          <w:rFonts w:ascii="Arial" w:hAnsi="Arial" w:cs="Arial"/>
          <w:sz w:val="24"/>
          <w:szCs w:val="24"/>
        </w:rPr>
        <w:t>can</w:t>
      </w:r>
      <w:r w:rsidRPr="00CF59B0">
        <w:rPr>
          <w:rFonts w:ascii="Arial" w:hAnsi="Arial" w:cs="Arial"/>
          <w:sz w:val="24"/>
          <w:szCs w:val="24"/>
        </w:rPr>
        <w:t xml:space="preserve"> identify the specific demands that may pose significant challenges for these generational cohorts, such as the imperative for achieving a harmonious equilibrium between work and personal life or effectively adapting to the swift pace of technological progress</w:t>
      </w:r>
      <w:r w:rsidR="00E57F94">
        <w:rPr>
          <w:rFonts w:ascii="Arial" w:hAnsi="Arial" w:cs="Arial"/>
          <w:sz w:val="24"/>
          <w:szCs w:val="24"/>
        </w:rPr>
        <w:t xml:space="preserve"> (</w:t>
      </w:r>
      <w:proofErr w:type="spellStart"/>
      <w:r w:rsidR="00E57F94">
        <w:rPr>
          <w:rFonts w:ascii="Arial" w:hAnsi="Arial" w:cs="Arial"/>
          <w:color w:val="222222"/>
          <w:sz w:val="24"/>
          <w:szCs w:val="24"/>
          <w:shd w:val="clear" w:color="auto" w:fill="FFFFFF"/>
        </w:rPr>
        <w:t>Kuzior</w:t>
      </w:r>
      <w:proofErr w:type="spellEnd"/>
      <w:r w:rsidR="00E57F94">
        <w:rPr>
          <w:rFonts w:ascii="Arial" w:hAnsi="Arial" w:cs="Arial"/>
          <w:color w:val="222222"/>
          <w:sz w:val="24"/>
          <w:szCs w:val="24"/>
          <w:shd w:val="clear" w:color="auto" w:fill="FFFFFF"/>
        </w:rPr>
        <w:t xml:space="preserve"> et al., 2022</w:t>
      </w:r>
      <w:r w:rsidR="00E57F94">
        <w:rPr>
          <w:rFonts w:ascii="Arial" w:hAnsi="Arial" w:cs="Arial"/>
          <w:sz w:val="24"/>
          <w:szCs w:val="24"/>
        </w:rPr>
        <w:t>)</w:t>
      </w:r>
      <w:r w:rsidRPr="00CF59B0">
        <w:rPr>
          <w:rFonts w:ascii="Arial" w:hAnsi="Arial" w:cs="Arial"/>
          <w:sz w:val="24"/>
          <w:szCs w:val="24"/>
        </w:rPr>
        <w:t xml:space="preserve">. Concurrently, the model aids human resources in identifying the resources that can facilitate employee well-being and engagement, including flexible work arrangements, opportunities for skill enhancement, and meaningful </w:t>
      </w:r>
      <w:r w:rsidR="002B010F">
        <w:rPr>
          <w:rFonts w:ascii="Arial" w:hAnsi="Arial" w:cs="Arial"/>
          <w:sz w:val="24"/>
          <w:szCs w:val="24"/>
        </w:rPr>
        <w:t>acknowledgement</w:t>
      </w:r>
      <w:r w:rsidR="00E57F94">
        <w:rPr>
          <w:rFonts w:ascii="Arial" w:hAnsi="Arial" w:cs="Arial"/>
          <w:sz w:val="24"/>
          <w:szCs w:val="24"/>
        </w:rPr>
        <w:t xml:space="preserve"> (</w:t>
      </w:r>
      <w:r w:rsidR="00E57F94">
        <w:rPr>
          <w:rFonts w:ascii="Arial" w:hAnsi="Arial" w:cs="Arial"/>
          <w:color w:val="222222"/>
          <w:sz w:val="24"/>
          <w:szCs w:val="24"/>
          <w:shd w:val="clear" w:color="auto" w:fill="FFFFFF"/>
        </w:rPr>
        <w:t>Goh and Lee., 2018</w:t>
      </w:r>
      <w:r w:rsidR="00E57F94">
        <w:rPr>
          <w:rFonts w:ascii="Arial" w:hAnsi="Arial" w:cs="Arial"/>
          <w:sz w:val="24"/>
          <w:szCs w:val="24"/>
        </w:rPr>
        <w:t>)</w:t>
      </w:r>
      <w:r w:rsidRPr="00CF59B0">
        <w:rPr>
          <w:rFonts w:ascii="Arial" w:hAnsi="Arial" w:cs="Arial"/>
          <w:sz w:val="24"/>
          <w:szCs w:val="24"/>
        </w:rPr>
        <w:t xml:space="preserve">. Hotels have the potential to establish a conducive work environment that caters to the preferences and requirements of Generation Y and Generation Z employees by </w:t>
      </w:r>
      <w:r w:rsidRPr="00CF59B0">
        <w:rPr>
          <w:rFonts w:ascii="Arial" w:hAnsi="Arial" w:cs="Arial"/>
          <w:sz w:val="24"/>
          <w:szCs w:val="24"/>
        </w:rPr>
        <w:lastRenderedPageBreak/>
        <w:t xml:space="preserve">customising their human resources </w:t>
      </w:r>
      <w:r w:rsidR="00E57F94" w:rsidRPr="00CF59B0">
        <w:rPr>
          <w:rFonts w:ascii="Arial" w:hAnsi="Arial" w:cs="Arial"/>
          <w:sz w:val="24"/>
          <w:szCs w:val="24"/>
        </w:rPr>
        <w:t>practices</w:t>
      </w:r>
      <w:r w:rsidRPr="00CF59B0">
        <w:rPr>
          <w:rFonts w:ascii="Arial" w:hAnsi="Arial" w:cs="Arial"/>
          <w:sz w:val="24"/>
          <w:szCs w:val="24"/>
        </w:rPr>
        <w:t xml:space="preserve"> and policies </w:t>
      </w:r>
      <w:r w:rsidR="002B010F">
        <w:rPr>
          <w:rFonts w:ascii="Arial" w:hAnsi="Arial" w:cs="Arial"/>
          <w:sz w:val="24"/>
          <w:szCs w:val="24"/>
        </w:rPr>
        <w:t>following</w:t>
      </w:r>
      <w:r w:rsidRPr="00CF59B0">
        <w:rPr>
          <w:rFonts w:ascii="Arial" w:hAnsi="Arial" w:cs="Arial"/>
          <w:sz w:val="24"/>
          <w:szCs w:val="24"/>
        </w:rPr>
        <w:t xml:space="preserve"> the insights derived from the Job Demands-Resources Model. This customization promotes active participation by acknowledging the distinct factors that these generations might encounter and offering the necessary resources for them to excel in their respective roles</w:t>
      </w:r>
      <w:r w:rsidR="00E57F94">
        <w:rPr>
          <w:rFonts w:ascii="Arial" w:hAnsi="Arial" w:cs="Arial"/>
          <w:sz w:val="24"/>
          <w:szCs w:val="24"/>
        </w:rPr>
        <w:t xml:space="preserve"> (</w:t>
      </w:r>
      <w:proofErr w:type="spellStart"/>
      <w:r w:rsidR="00E57F94">
        <w:rPr>
          <w:rFonts w:ascii="Arial" w:hAnsi="Arial" w:cs="Arial"/>
          <w:color w:val="222222"/>
          <w:sz w:val="24"/>
          <w:szCs w:val="24"/>
          <w:shd w:val="clear" w:color="auto" w:fill="FFFFFF"/>
        </w:rPr>
        <w:t>Hitka</w:t>
      </w:r>
      <w:proofErr w:type="spellEnd"/>
      <w:r w:rsidR="00E57F94">
        <w:rPr>
          <w:rFonts w:ascii="Arial" w:hAnsi="Arial" w:cs="Arial"/>
          <w:color w:val="222222"/>
          <w:sz w:val="24"/>
          <w:szCs w:val="24"/>
          <w:shd w:val="clear" w:color="auto" w:fill="FFFFFF"/>
        </w:rPr>
        <w:t xml:space="preserve"> et al., 2019</w:t>
      </w:r>
      <w:r w:rsidR="00E57F94">
        <w:rPr>
          <w:rFonts w:ascii="Arial" w:hAnsi="Arial" w:cs="Arial"/>
          <w:sz w:val="24"/>
          <w:szCs w:val="24"/>
        </w:rPr>
        <w:t>)</w:t>
      </w:r>
      <w:r w:rsidRPr="00CF59B0">
        <w:rPr>
          <w:rFonts w:ascii="Arial" w:hAnsi="Arial" w:cs="Arial"/>
          <w:sz w:val="24"/>
          <w:szCs w:val="24"/>
        </w:rPr>
        <w:t>. By doing so, the Human Resources (HR) department can make a substantial contribution to the overall success and competitiveness of large hotels by effectively attracting, retaining, and engaging highly skilled individuals</w:t>
      </w:r>
      <w:r w:rsidR="00E57F94">
        <w:rPr>
          <w:rFonts w:ascii="Arial" w:hAnsi="Arial" w:cs="Arial"/>
          <w:sz w:val="24"/>
          <w:szCs w:val="24"/>
        </w:rPr>
        <w:t xml:space="preserve"> (</w:t>
      </w:r>
      <w:proofErr w:type="spellStart"/>
      <w:r w:rsidR="00E57F94">
        <w:rPr>
          <w:rFonts w:ascii="Arial" w:hAnsi="Arial" w:cs="Arial"/>
          <w:color w:val="222222"/>
          <w:sz w:val="24"/>
          <w:szCs w:val="24"/>
          <w:shd w:val="clear" w:color="auto" w:fill="FFFFFF"/>
        </w:rPr>
        <w:t>Hamadamin</w:t>
      </w:r>
      <w:proofErr w:type="spellEnd"/>
      <w:r w:rsidR="00E57F94">
        <w:rPr>
          <w:rFonts w:ascii="Arial" w:hAnsi="Arial" w:cs="Arial"/>
          <w:color w:val="222222"/>
          <w:sz w:val="24"/>
          <w:szCs w:val="24"/>
          <w:shd w:val="clear" w:color="auto" w:fill="FFFFFF"/>
        </w:rPr>
        <w:t xml:space="preserve"> and Atan., 2019</w:t>
      </w:r>
      <w:r w:rsidR="00E57F94">
        <w:rPr>
          <w:rFonts w:ascii="Arial" w:hAnsi="Arial" w:cs="Arial"/>
          <w:sz w:val="24"/>
          <w:szCs w:val="24"/>
        </w:rPr>
        <w:t>)</w:t>
      </w:r>
      <w:r w:rsidRPr="00CF59B0">
        <w:rPr>
          <w:rFonts w:ascii="Arial" w:hAnsi="Arial" w:cs="Arial"/>
          <w:sz w:val="24"/>
          <w:szCs w:val="24"/>
        </w:rPr>
        <w:t>.</w:t>
      </w:r>
    </w:p>
    <w:p w14:paraId="313D0E1E" w14:textId="77777777" w:rsidR="0021033E" w:rsidRPr="00CF59B0" w:rsidRDefault="0021033E" w:rsidP="00CF59B0">
      <w:pPr>
        <w:pStyle w:val="Heading1"/>
        <w:spacing w:line="360" w:lineRule="auto"/>
        <w:jc w:val="both"/>
        <w:rPr>
          <w:rFonts w:cs="Arial"/>
          <w:szCs w:val="24"/>
        </w:rPr>
      </w:pPr>
      <w:bookmarkStart w:id="2" w:name="_Toc147847970"/>
      <w:r w:rsidRPr="00CF59B0">
        <w:rPr>
          <w:rFonts w:cs="Arial"/>
          <w:szCs w:val="24"/>
        </w:rPr>
        <w:t>Conclusion</w:t>
      </w:r>
      <w:bookmarkEnd w:id="2"/>
    </w:p>
    <w:p w14:paraId="0E535D95" w14:textId="5E3018AD" w:rsidR="0021033E" w:rsidRPr="00CF59B0" w:rsidRDefault="00CF59B0" w:rsidP="00CF59B0">
      <w:pPr>
        <w:spacing w:line="360" w:lineRule="auto"/>
        <w:ind w:firstLine="720"/>
        <w:jc w:val="both"/>
        <w:rPr>
          <w:rFonts w:ascii="Arial" w:eastAsiaTheme="majorEastAsia" w:hAnsi="Arial" w:cs="Arial"/>
          <w:b/>
          <w:sz w:val="24"/>
          <w:szCs w:val="24"/>
        </w:rPr>
      </w:pPr>
      <w:r w:rsidRPr="00CF59B0">
        <w:rPr>
          <w:rFonts w:ascii="Arial" w:hAnsi="Arial" w:cs="Arial"/>
          <w:sz w:val="24"/>
          <w:szCs w:val="24"/>
        </w:rPr>
        <w:t xml:space="preserve">In conclusion, it is imperative for large hotels operating in the fiercely competitive hospitality industry to actively involve employees from Generation Y and Generation Z at every stage of the employee lifecycle. Human resources (HR) departments assume a pivotal role in comprehending the distinct expectations of these generational cohorts and subsequently adapting their strategies and procedures to align with these expectations. Through the implementation of efficient strategies </w:t>
      </w:r>
      <w:r w:rsidR="002B010F">
        <w:rPr>
          <w:rFonts w:ascii="Arial" w:hAnsi="Arial" w:cs="Arial"/>
          <w:sz w:val="24"/>
          <w:szCs w:val="24"/>
        </w:rPr>
        <w:t>for</w:t>
      </w:r>
      <w:r w:rsidRPr="00CF59B0">
        <w:rPr>
          <w:rFonts w:ascii="Arial" w:hAnsi="Arial" w:cs="Arial"/>
          <w:sz w:val="24"/>
          <w:szCs w:val="24"/>
        </w:rPr>
        <w:t xml:space="preserve"> attraction, recruitment, onboarding, development, retention, and separation, hotels </w:t>
      </w:r>
      <w:r w:rsidR="002B010F">
        <w:rPr>
          <w:rFonts w:ascii="Arial" w:hAnsi="Arial" w:cs="Arial"/>
          <w:sz w:val="24"/>
          <w:szCs w:val="24"/>
        </w:rPr>
        <w:t>can</w:t>
      </w:r>
      <w:r w:rsidRPr="00CF59B0">
        <w:rPr>
          <w:rFonts w:ascii="Arial" w:hAnsi="Arial" w:cs="Arial"/>
          <w:sz w:val="24"/>
          <w:szCs w:val="24"/>
        </w:rPr>
        <w:t xml:space="preserve"> establish a workforce that is motivated and dedicated. This workforce, in turn, plays a crucial role in enhancing customer experiences, increasing productivity, and attracting talented individuals. By integrating an employee engagement model and leveraging industry exemplars, the hotel sector can augment its efforts to foster employee engagement, thereby yielding sustained success. Employee engagement is not merely a trendy term</w:t>
      </w:r>
      <w:r w:rsidR="00DC12B1">
        <w:rPr>
          <w:rFonts w:ascii="Arial" w:hAnsi="Arial" w:cs="Arial"/>
          <w:sz w:val="24"/>
          <w:szCs w:val="24"/>
        </w:rPr>
        <w:t xml:space="preserve"> but </w:t>
      </w:r>
      <w:r w:rsidRPr="00CF59B0">
        <w:rPr>
          <w:rFonts w:ascii="Arial" w:hAnsi="Arial" w:cs="Arial"/>
          <w:sz w:val="24"/>
          <w:szCs w:val="24"/>
        </w:rPr>
        <w:t>a fundamental aspect of a prosperous hotel enterprise.</w:t>
      </w:r>
      <w:r w:rsidR="0021033E" w:rsidRPr="00CF59B0">
        <w:rPr>
          <w:rFonts w:ascii="Arial" w:hAnsi="Arial" w:cs="Arial"/>
          <w:sz w:val="24"/>
          <w:szCs w:val="24"/>
        </w:rPr>
        <w:br w:type="page"/>
      </w:r>
    </w:p>
    <w:p w14:paraId="2F39D7F3" w14:textId="77777777" w:rsidR="0021033E" w:rsidRPr="00CF59B0" w:rsidRDefault="0021033E" w:rsidP="00D01905">
      <w:pPr>
        <w:pStyle w:val="Heading1"/>
        <w:spacing w:line="360" w:lineRule="auto"/>
        <w:jc w:val="center"/>
        <w:rPr>
          <w:rFonts w:cs="Arial"/>
          <w:szCs w:val="24"/>
        </w:rPr>
      </w:pPr>
      <w:bookmarkStart w:id="3" w:name="_Toc147847971"/>
      <w:r w:rsidRPr="00CF59B0">
        <w:rPr>
          <w:rFonts w:cs="Arial"/>
          <w:szCs w:val="24"/>
        </w:rPr>
        <w:lastRenderedPageBreak/>
        <w:t>References</w:t>
      </w:r>
      <w:bookmarkEnd w:id="3"/>
    </w:p>
    <w:p w14:paraId="591E4F4E" w14:textId="2FD21FAD"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Adisa, T.A., Ogbonnaya, C. and Adekoya, O.D.,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2023</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Remote working and employee engagement: a qualitative study of British workers during the pandemic. </w:t>
      </w:r>
      <w:r w:rsidRPr="00CF59B0">
        <w:rPr>
          <w:rFonts w:ascii="Arial" w:hAnsi="Arial" w:cs="Arial"/>
          <w:i/>
          <w:iCs/>
          <w:color w:val="222222"/>
          <w:sz w:val="24"/>
          <w:szCs w:val="24"/>
          <w:shd w:val="clear" w:color="auto" w:fill="FFFFFF"/>
        </w:rPr>
        <w:t>Information Technology &amp; People</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36</w:t>
      </w:r>
      <w:r w:rsidRPr="00CF59B0">
        <w:rPr>
          <w:rFonts w:ascii="Arial" w:hAnsi="Arial" w:cs="Arial"/>
          <w:color w:val="222222"/>
          <w:sz w:val="24"/>
          <w:szCs w:val="24"/>
          <w:shd w:val="clear" w:color="auto" w:fill="FFFFFF"/>
        </w:rPr>
        <w:t xml:space="preserve">(5), pp.1835-1850. </w:t>
      </w:r>
    </w:p>
    <w:p w14:paraId="7AD54EDB" w14:textId="5886D408"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Bakker, A.B. and Demerouti, E.,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2018</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Multiple levels in job demands-resources theory: Implications for employee well-being and performance. In </w:t>
      </w:r>
      <w:r w:rsidRPr="00CF59B0">
        <w:rPr>
          <w:rFonts w:ascii="Arial" w:hAnsi="Arial" w:cs="Arial"/>
          <w:i/>
          <w:iCs/>
          <w:color w:val="222222"/>
          <w:sz w:val="24"/>
          <w:szCs w:val="24"/>
          <w:shd w:val="clear" w:color="auto" w:fill="FFFFFF"/>
        </w:rPr>
        <w:t>Handbook of well-being</w:t>
      </w:r>
      <w:r w:rsidRPr="00CF59B0">
        <w:rPr>
          <w:rFonts w:ascii="Arial" w:hAnsi="Arial" w:cs="Arial"/>
          <w:color w:val="222222"/>
          <w:sz w:val="24"/>
          <w:szCs w:val="24"/>
          <w:shd w:val="clear" w:color="auto" w:fill="FFFFFF"/>
        </w:rPr>
        <w:t>. Noba Scholar.</w:t>
      </w:r>
    </w:p>
    <w:p w14:paraId="643F1A7F" w14:textId="67D3D1CB"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Basic, L.,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2018</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Examining generational differences in the workplace: Employee engagement practices and their impact on retention of different generations of human resources employees in higher education</w:t>
      </w:r>
      <w:r w:rsidRPr="00CF59B0">
        <w:rPr>
          <w:rFonts w:ascii="Arial" w:hAnsi="Arial" w:cs="Arial"/>
          <w:color w:val="222222"/>
          <w:sz w:val="24"/>
          <w:szCs w:val="24"/>
          <w:shd w:val="clear" w:color="auto" w:fill="FFFFFF"/>
        </w:rPr>
        <w:t> (Doctoral dissertation, Brandman University).</w:t>
      </w:r>
    </w:p>
    <w:p w14:paraId="63E86C8D" w14:textId="274CA55C"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Davidescu, A.A., Apostu, S.A., Paul, A. and </w:t>
      </w:r>
      <w:proofErr w:type="spellStart"/>
      <w:r w:rsidRPr="00CF59B0">
        <w:rPr>
          <w:rFonts w:ascii="Arial" w:hAnsi="Arial" w:cs="Arial"/>
          <w:color w:val="222222"/>
          <w:sz w:val="24"/>
          <w:szCs w:val="24"/>
          <w:shd w:val="clear" w:color="auto" w:fill="FFFFFF"/>
        </w:rPr>
        <w:t>Casuneanu</w:t>
      </w:r>
      <w:proofErr w:type="spellEnd"/>
      <w:r w:rsidRPr="00CF59B0">
        <w:rPr>
          <w:rFonts w:ascii="Arial" w:hAnsi="Arial" w:cs="Arial"/>
          <w:color w:val="222222"/>
          <w:sz w:val="24"/>
          <w:szCs w:val="24"/>
          <w:shd w:val="clear" w:color="auto" w:fill="FFFFFF"/>
        </w:rPr>
        <w:t xml:space="preserve">, I.,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2020</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Work flexibility, job satisfaction, and job performance among Romanian employees—Implications for sustainable human resource management. </w:t>
      </w:r>
      <w:r w:rsidRPr="00CF59B0">
        <w:rPr>
          <w:rFonts w:ascii="Arial" w:hAnsi="Arial" w:cs="Arial"/>
          <w:i/>
          <w:iCs/>
          <w:color w:val="222222"/>
          <w:sz w:val="24"/>
          <w:szCs w:val="24"/>
          <w:shd w:val="clear" w:color="auto" w:fill="FFFFFF"/>
        </w:rPr>
        <w:t>Sustainability</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12</w:t>
      </w:r>
      <w:r w:rsidRPr="00CF59B0">
        <w:rPr>
          <w:rFonts w:ascii="Arial" w:hAnsi="Arial" w:cs="Arial"/>
          <w:color w:val="222222"/>
          <w:sz w:val="24"/>
          <w:szCs w:val="24"/>
          <w:shd w:val="clear" w:color="auto" w:fill="FFFFFF"/>
        </w:rPr>
        <w:t>(15), p.6086.</w:t>
      </w:r>
    </w:p>
    <w:p w14:paraId="66994512" w14:textId="1FEDC4F0"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Dick, S.D.,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2019</w:t>
      </w:r>
      <w:r w:rsidR="00436AFB">
        <w:rPr>
          <w:rFonts w:ascii="Arial" w:hAnsi="Arial" w:cs="Arial"/>
          <w:color w:val="222222"/>
          <w:sz w:val="24"/>
          <w:szCs w:val="24"/>
          <w:shd w:val="clear" w:color="auto" w:fill="FFFFFF"/>
        </w:rPr>
        <w:t xml:space="preserve">) </w:t>
      </w:r>
      <w:r w:rsidRPr="00CF59B0">
        <w:rPr>
          <w:rFonts w:ascii="Arial" w:hAnsi="Arial" w:cs="Arial"/>
          <w:i/>
          <w:iCs/>
          <w:color w:val="222222"/>
          <w:sz w:val="24"/>
          <w:szCs w:val="24"/>
          <w:shd w:val="clear" w:color="auto" w:fill="FFFFFF"/>
        </w:rPr>
        <w:t>A study of the generational differences in work values of Generations X, Y, and Z</w:t>
      </w:r>
      <w:r w:rsidRPr="00CF59B0">
        <w:rPr>
          <w:rFonts w:ascii="Arial" w:hAnsi="Arial" w:cs="Arial"/>
          <w:color w:val="222222"/>
          <w:sz w:val="24"/>
          <w:szCs w:val="24"/>
          <w:shd w:val="clear" w:color="auto" w:fill="FFFFFF"/>
        </w:rPr>
        <w:t> (Doctoral dissertation, Northcentral University).</w:t>
      </w:r>
    </w:p>
    <w:p w14:paraId="20FBBA4D" w14:textId="4DD42E4F"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Francis, T. and Hoefel, F.,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2018</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True Gen’: Generation Z and its implications for companies. </w:t>
      </w:r>
      <w:r w:rsidRPr="00CF59B0">
        <w:rPr>
          <w:rFonts w:ascii="Arial" w:hAnsi="Arial" w:cs="Arial"/>
          <w:i/>
          <w:iCs/>
          <w:color w:val="222222"/>
          <w:sz w:val="24"/>
          <w:szCs w:val="24"/>
          <w:shd w:val="clear" w:color="auto" w:fill="FFFFFF"/>
        </w:rPr>
        <w:t>McKinsey &amp; Company</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12</w:t>
      </w:r>
      <w:r w:rsidRPr="00CF59B0">
        <w:rPr>
          <w:rFonts w:ascii="Arial" w:hAnsi="Arial" w:cs="Arial"/>
          <w:color w:val="222222"/>
          <w:sz w:val="24"/>
          <w:szCs w:val="24"/>
          <w:shd w:val="clear" w:color="auto" w:fill="FFFFFF"/>
        </w:rPr>
        <w:t>, pp.1-10.</w:t>
      </w:r>
    </w:p>
    <w:p w14:paraId="7426F1FD" w14:textId="00782D23"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Goh, E. and Lee, C.,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2018</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A workforce to be reckoned with: The emerging pivotal Generation Z hospitality workforce. </w:t>
      </w:r>
      <w:r w:rsidRPr="00CF59B0">
        <w:rPr>
          <w:rFonts w:ascii="Arial" w:hAnsi="Arial" w:cs="Arial"/>
          <w:i/>
          <w:iCs/>
          <w:color w:val="222222"/>
          <w:sz w:val="24"/>
          <w:szCs w:val="24"/>
          <w:shd w:val="clear" w:color="auto" w:fill="FFFFFF"/>
        </w:rPr>
        <w:t>International Journal of Hospitality Management</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73</w:t>
      </w:r>
      <w:r w:rsidRPr="00CF59B0">
        <w:rPr>
          <w:rFonts w:ascii="Arial" w:hAnsi="Arial" w:cs="Arial"/>
          <w:color w:val="222222"/>
          <w:sz w:val="24"/>
          <w:szCs w:val="24"/>
          <w:shd w:val="clear" w:color="auto" w:fill="FFFFFF"/>
        </w:rPr>
        <w:t>, pp.20-28.</w:t>
      </w:r>
    </w:p>
    <w:p w14:paraId="151E64D5" w14:textId="62D5E192"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proofErr w:type="spellStart"/>
      <w:r w:rsidRPr="00CF59B0">
        <w:rPr>
          <w:rFonts w:ascii="Arial" w:hAnsi="Arial" w:cs="Arial"/>
          <w:color w:val="222222"/>
          <w:sz w:val="24"/>
          <w:szCs w:val="24"/>
          <w:shd w:val="clear" w:color="auto" w:fill="FFFFFF"/>
        </w:rPr>
        <w:t>Hamadamin</w:t>
      </w:r>
      <w:proofErr w:type="spellEnd"/>
      <w:r w:rsidRPr="00CF59B0">
        <w:rPr>
          <w:rFonts w:ascii="Arial" w:hAnsi="Arial" w:cs="Arial"/>
          <w:color w:val="222222"/>
          <w:sz w:val="24"/>
          <w:szCs w:val="24"/>
          <w:shd w:val="clear" w:color="auto" w:fill="FFFFFF"/>
        </w:rPr>
        <w:t xml:space="preserve">, H.H. and Atan, T.,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2019</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The impact of strategic human resource management practices on competitive advantage sustainability: The mediation of human capital development and employee commitment. </w:t>
      </w:r>
      <w:r w:rsidRPr="00CF59B0">
        <w:rPr>
          <w:rFonts w:ascii="Arial" w:hAnsi="Arial" w:cs="Arial"/>
          <w:i/>
          <w:iCs/>
          <w:color w:val="222222"/>
          <w:sz w:val="24"/>
          <w:szCs w:val="24"/>
          <w:shd w:val="clear" w:color="auto" w:fill="FFFFFF"/>
        </w:rPr>
        <w:t>Sustainability</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11</w:t>
      </w:r>
      <w:r w:rsidRPr="00CF59B0">
        <w:rPr>
          <w:rFonts w:ascii="Arial" w:hAnsi="Arial" w:cs="Arial"/>
          <w:color w:val="222222"/>
          <w:sz w:val="24"/>
          <w:szCs w:val="24"/>
          <w:shd w:val="clear" w:color="auto" w:fill="FFFFFF"/>
        </w:rPr>
        <w:t>(20), p.5782.</w:t>
      </w:r>
    </w:p>
    <w:p w14:paraId="4A0F04D6" w14:textId="02AC9911"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Harris, K.,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2020</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A new generation of workers: preparing for </w:t>
      </w:r>
      <w:r w:rsidR="002B010F">
        <w:rPr>
          <w:rFonts w:ascii="Arial" w:hAnsi="Arial" w:cs="Arial"/>
          <w:color w:val="222222"/>
          <w:sz w:val="24"/>
          <w:szCs w:val="24"/>
          <w:shd w:val="clear" w:color="auto" w:fill="FFFFFF"/>
        </w:rPr>
        <w:t>Generation</w:t>
      </w:r>
      <w:r w:rsidRPr="00CF59B0">
        <w:rPr>
          <w:rFonts w:ascii="Arial" w:hAnsi="Arial" w:cs="Arial"/>
          <w:color w:val="222222"/>
          <w:sz w:val="24"/>
          <w:szCs w:val="24"/>
          <w:shd w:val="clear" w:color="auto" w:fill="FFFFFF"/>
        </w:rPr>
        <w:t xml:space="preserve"> Z in the workplace.</w:t>
      </w:r>
    </w:p>
    <w:p w14:paraId="3D396E31" w14:textId="16EEECD3"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proofErr w:type="spellStart"/>
      <w:r w:rsidRPr="00CF59B0">
        <w:rPr>
          <w:rFonts w:ascii="Arial" w:hAnsi="Arial" w:cs="Arial"/>
          <w:color w:val="222222"/>
          <w:sz w:val="24"/>
          <w:szCs w:val="24"/>
          <w:shd w:val="clear" w:color="auto" w:fill="FFFFFF"/>
        </w:rPr>
        <w:lastRenderedPageBreak/>
        <w:t>Hitka</w:t>
      </w:r>
      <w:proofErr w:type="spellEnd"/>
      <w:r w:rsidRPr="00CF59B0">
        <w:rPr>
          <w:rFonts w:ascii="Arial" w:hAnsi="Arial" w:cs="Arial"/>
          <w:color w:val="222222"/>
          <w:sz w:val="24"/>
          <w:szCs w:val="24"/>
          <w:shd w:val="clear" w:color="auto" w:fill="FFFFFF"/>
        </w:rPr>
        <w:t xml:space="preserve">, M., </w:t>
      </w:r>
      <w:proofErr w:type="spellStart"/>
      <w:r w:rsidRPr="00CF59B0">
        <w:rPr>
          <w:rFonts w:ascii="Arial" w:hAnsi="Arial" w:cs="Arial"/>
          <w:color w:val="222222"/>
          <w:sz w:val="24"/>
          <w:szCs w:val="24"/>
          <w:shd w:val="clear" w:color="auto" w:fill="FFFFFF"/>
        </w:rPr>
        <w:t>Kucharčíková</w:t>
      </w:r>
      <w:proofErr w:type="spellEnd"/>
      <w:r w:rsidRPr="00CF59B0">
        <w:rPr>
          <w:rFonts w:ascii="Arial" w:hAnsi="Arial" w:cs="Arial"/>
          <w:color w:val="222222"/>
          <w:sz w:val="24"/>
          <w:szCs w:val="24"/>
          <w:shd w:val="clear" w:color="auto" w:fill="FFFFFF"/>
        </w:rPr>
        <w:t xml:space="preserve">, A., </w:t>
      </w:r>
      <w:proofErr w:type="spellStart"/>
      <w:r w:rsidRPr="00CF59B0">
        <w:rPr>
          <w:rFonts w:ascii="Arial" w:hAnsi="Arial" w:cs="Arial"/>
          <w:color w:val="222222"/>
          <w:sz w:val="24"/>
          <w:szCs w:val="24"/>
          <w:shd w:val="clear" w:color="auto" w:fill="FFFFFF"/>
        </w:rPr>
        <w:t>Štarchoň</w:t>
      </w:r>
      <w:proofErr w:type="spellEnd"/>
      <w:r w:rsidRPr="00CF59B0">
        <w:rPr>
          <w:rFonts w:ascii="Arial" w:hAnsi="Arial" w:cs="Arial"/>
          <w:color w:val="222222"/>
          <w:sz w:val="24"/>
          <w:szCs w:val="24"/>
          <w:shd w:val="clear" w:color="auto" w:fill="FFFFFF"/>
        </w:rPr>
        <w:t xml:space="preserve">, P., Balážová, Ž., </w:t>
      </w:r>
      <w:proofErr w:type="spellStart"/>
      <w:r w:rsidRPr="00CF59B0">
        <w:rPr>
          <w:rFonts w:ascii="Arial" w:hAnsi="Arial" w:cs="Arial"/>
          <w:color w:val="222222"/>
          <w:sz w:val="24"/>
          <w:szCs w:val="24"/>
          <w:shd w:val="clear" w:color="auto" w:fill="FFFFFF"/>
        </w:rPr>
        <w:t>Lukáč</w:t>
      </w:r>
      <w:proofErr w:type="spellEnd"/>
      <w:r w:rsidRPr="00CF59B0">
        <w:rPr>
          <w:rFonts w:ascii="Arial" w:hAnsi="Arial" w:cs="Arial"/>
          <w:color w:val="222222"/>
          <w:sz w:val="24"/>
          <w:szCs w:val="24"/>
          <w:shd w:val="clear" w:color="auto" w:fill="FFFFFF"/>
        </w:rPr>
        <w:t>, M. and Stacho, Z.</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2019</w:t>
      </w:r>
      <w:r w:rsidR="00436AFB">
        <w:rPr>
          <w:rFonts w:ascii="Arial" w:hAnsi="Arial" w:cs="Arial"/>
          <w:color w:val="222222"/>
          <w:sz w:val="24"/>
          <w:szCs w:val="24"/>
          <w:shd w:val="clear" w:color="auto" w:fill="FFFFFF"/>
        </w:rPr>
        <w:t xml:space="preserve">) </w:t>
      </w:r>
      <w:r w:rsidRPr="00CF59B0">
        <w:rPr>
          <w:rFonts w:ascii="Arial" w:hAnsi="Arial" w:cs="Arial"/>
          <w:color w:val="222222"/>
          <w:sz w:val="24"/>
          <w:szCs w:val="24"/>
          <w:shd w:val="clear" w:color="auto" w:fill="FFFFFF"/>
        </w:rPr>
        <w:t xml:space="preserve">Knowledge and human capital as </w:t>
      </w:r>
      <w:r w:rsidR="002B010F">
        <w:rPr>
          <w:rFonts w:ascii="Arial" w:hAnsi="Arial" w:cs="Arial"/>
          <w:color w:val="222222"/>
          <w:sz w:val="24"/>
          <w:szCs w:val="24"/>
          <w:shd w:val="clear" w:color="auto" w:fill="FFFFFF"/>
        </w:rPr>
        <w:t xml:space="preserve">a </w:t>
      </w:r>
      <w:r w:rsidRPr="00CF59B0">
        <w:rPr>
          <w:rFonts w:ascii="Arial" w:hAnsi="Arial" w:cs="Arial"/>
          <w:color w:val="222222"/>
          <w:sz w:val="24"/>
          <w:szCs w:val="24"/>
          <w:shd w:val="clear" w:color="auto" w:fill="FFFFFF"/>
        </w:rPr>
        <w:t>sustainable competitive advantage in human resource management. </w:t>
      </w:r>
      <w:r w:rsidRPr="00CF59B0">
        <w:rPr>
          <w:rFonts w:ascii="Arial" w:hAnsi="Arial" w:cs="Arial"/>
          <w:i/>
          <w:iCs/>
          <w:color w:val="222222"/>
          <w:sz w:val="24"/>
          <w:szCs w:val="24"/>
          <w:shd w:val="clear" w:color="auto" w:fill="FFFFFF"/>
        </w:rPr>
        <w:t>Sustainability</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11</w:t>
      </w:r>
      <w:r w:rsidRPr="00CF59B0">
        <w:rPr>
          <w:rFonts w:ascii="Arial" w:hAnsi="Arial" w:cs="Arial"/>
          <w:color w:val="222222"/>
          <w:sz w:val="24"/>
          <w:szCs w:val="24"/>
          <w:shd w:val="clear" w:color="auto" w:fill="FFFFFF"/>
        </w:rPr>
        <w:t>(18), p.4985.</w:t>
      </w:r>
    </w:p>
    <w:p w14:paraId="5F452F95" w14:textId="47B24D2D"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proofErr w:type="spellStart"/>
      <w:r w:rsidRPr="00CF59B0">
        <w:rPr>
          <w:rFonts w:ascii="Arial" w:hAnsi="Arial" w:cs="Arial"/>
          <w:color w:val="222222"/>
          <w:sz w:val="24"/>
          <w:szCs w:val="24"/>
          <w:shd w:val="clear" w:color="auto" w:fill="FFFFFF"/>
        </w:rPr>
        <w:t>Kuzior</w:t>
      </w:r>
      <w:proofErr w:type="spellEnd"/>
      <w:r w:rsidRPr="00CF59B0">
        <w:rPr>
          <w:rFonts w:ascii="Arial" w:hAnsi="Arial" w:cs="Arial"/>
          <w:color w:val="222222"/>
          <w:sz w:val="24"/>
          <w:szCs w:val="24"/>
          <w:shd w:val="clear" w:color="auto" w:fill="FFFFFF"/>
        </w:rPr>
        <w:t xml:space="preserve">, A., Kettler, K. and </w:t>
      </w:r>
      <w:proofErr w:type="spellStart"/>
      <w:r w:rsidRPr="00CF59B0">
        <w:rPr>
          <w:rFonts w:ascii="Arial" w:hAnsi="Arial" w:cs="Arial"/>
          <w:color w:val="222222"/>
          <w:sz w:val="24"/>
          <w:szCs w:val="24"/>
          <w:shd w:val="clear" w:color="auto" w:fill="FFFFFF"/>
        </w:rPr>
        <w:t>Rąb</w:t>
      </w:r>
      <w:proofErr w:type="spellEnd"/>
      <w:r w:rsidRPr="00CF59B0">
        <w:rPr>
          <w:rFonts w:ascii="Arial" w:hAnsi="Arial" w:cs="Arial"/>
          <w:color w:val="222222"/>
          <w:sz w:val="24"/>
          <w:szCs w:val="24"/>
          <w:shd w:val="clear" w:color="auto" w:fill="FFFFFF"/>
        </w:rPr>
        <w:t xml:space="preserve">, Ł.,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2022</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Great resignation—Ethical, cultural, relational, and personal dimensions of generation Y and Z employees’ engagement. </w:t>
      </w:r>
      <w:r w:rsidRPr="00CF59B0">
        <w:rPr>
          <w:rFonts w:ascii="Arial" w:hAnsi="Arial" w:cs="Arial"/>
          <w:i/>
          <w:iCs/>
          <w:color w:val="222222"/>
          <w:sz w:val="24"/>
          <w:szCs w:val="24"/>
          <w:shd w:val="clear" w:color="auto" w:fill="FFFFFF"/>
        </w:rPr>
        <w:t>Sustainability</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14</w:t>
      </w:r>
      <w:r w:rsidRPr="00CF59B0">
        <w:rPr>
          <w:rFonts w:ascii="Arial" w:hAnsi="Arial" w:cs="Arial"/>
          <w:color w:val="222222"/>
          <w:sz w:val="24"/>
          <w:szCs w:val="24"/>
          <w:shd w:val="clear" w:color="auto" w:fill="FFFFFF"/>
        </w:rPr>
        <w:t>(11), p.6764.</w:t>
      </w:r>
    </w:p>
    <w:p w14:paraId="7C3F428A" w14:textId="085530CD"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Malik, A., </w:t>
      </w:r>
      <w:proofErr w:type="spellStart"/>
      <w:r w:rsidRPr="00CF59B0">
        <w:rPr>
          <w:rFonts w:ascii="Arial" w:hAnsi="Arial" w:cs="Arial"/>
          <w:color w:val="222222"/>
          <w:sz w:val="24"/>
          <w:szCs w:val="24"/>
          <w:shd w:val="clear" w:color="auto" w:fill="FFFFFF"/>
        </w:rPr>
        <w:t>Budhwar</w:t>
      </w:r>
      <w:proofErr w:type="spellEnd"/>
      <w:r w:rsidRPr="00CF59B0">
        <w:rPr>
          <w:rFonts w:ascii="Arial" w:hAnsi="Arial" w:cs="Arial"/>
          <w:color w:val="222222"/>
          <w:sz w:val="24"/>
          <w:szCs w:val="24"/>
          <w:shd w:val="clear" w:color="auto" w:fill="FFFFFF"/>
        </w:rPr>
        <w:t xml:space="preserve">, P., Mohan, H. and NR, S.,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2023</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Employee experience–the missing link for engaging employees: Insights from an MNE's AI</w:t>
      </w:r>
      <w:r w:rsidRPr="00CF59B0">
        <w:rPr>
          <w:rFonts w:ascii="Cambria Math" w:hAnsi="Cambria Math" w:cs="Cambria Math"/>
          <w:color w:val="222222"/>
          <w:sz w:val="24"/>
          <w:szCs w:val="24"/>
          <w:shd w:val="clear" w:color="auto" w:fill="FFFFFF"/>
        </w:rPr>
        <w:t>‐</w:t>
      </w:r>
      <w:r w:rsidRPr="00CF59B0">
        <w:rPr>
          <w:rFonts w:ascii="Arial" w:hAnsi="Arial" w:cs="Arial"/>
          <w:color w:val="222222"/>
          <w:sz w:val="24"/>
          <w:szCs w:val="24"/>
          <w:shd w:val="clear" w:color="auto" w:fill="FFFFFF"/>
        </w:rPr>
        <w:t>based HR ecosystem. </w:t>
      </w:r>
      <w:r w:rsidRPr="00CF59B0">
        <w:rPr>
          <w:rFonts w:ascii="Arial" w:hAnsi="Arial" w:cs="Arial"/>
          <w:i/>
          <w:iCs/>
          <w:color w:val="222222"/>
          <w:sz w:val="24"/>
          <w:szCs w:val="24"/>
          <w:shd w:val="clear" w:color="auto" w:fill="FFFFFF"/>
        </w:rPr>
        <w:t>Human Resource Management</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62</w:t>
      </w:r>
      <w:r w:rsidRPr="00CF59B0">
        <w:rPr>
          <w:rFonts w:ascii="Arial" w:hAnsi="Arial" w:cs="Arial"/>
          <w:color w:val="222222"/>
          <w:sz w:val="24"/>
          <w:szCs w:val="24"/>
          <w:shd w:val="clear" w:color="auto" w:fill="FFFFFF"/>
        </w:rPr>
        <w:t>(1), pp.97-115.</w:t>
      </w:r>
    </w:p>
    <w:p w14:paraId="21E8990D" w14:textId="26A88D67" w:rsidR="00AD3DCB"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Pandita, D. and Ray, S.,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2018</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Talent management and employee engagement–a meta-analysis of their impact on talent retention. </w:t>
      </w:r>
      <w:r w:rsidRPr="00CF59B0">
        <w:rPr>
          <w:rFonts w:ascii="Arial" w:hAnsi="Arial" w:cs="Arial"/>
          <w:i/>
          <w:iCs/>
          <w:color w:val="222222"/>
          <w:sz w:val="24"/>
          <w:szCs w:val="24"/>
          <w:shd w:val="clear" w:color="auto" w:fill="FFFFFF"/>
        </w:rPr>
        <w:t>Industrial and Commercial Training</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50</w:t>
      </w:r>
      <w:r w:rsidRPr="00CF59B0">
        <w:rPr>
          <w:rFonts w:ascii="Arial" w:hAnsi="Arial" w:cs="Arial"/>
          <w:color w:val="222222"/>
          <w:sz w:val="24"/>
          <w:szCs w:val="24"/>
          <w:shd w:val="clear" w:color="auto" w:fill="FFFFFF"/>
        </w:rPr>
        <w:t>(4), pp.185-199.</w:t>
      </w:r>
    </w:p>
    <w:p w14:paraId="7344575E" w14:textId="75989A01" w:rsidR="005B47A6" w:rsidRPr="005B47A6" w:rsidRDefault="005B47A6" w:rsidP="00CF59B0">
      <w:pPr>
        <w:spacing w:line="360" w:lineRule="auto"/>
        <w:ind w:left="720" w:hanging="720"/>
        <w:jc w:val="both"/>
        <w:rPr>
          <w:rFonts w:ascii="Arial" w:hAnsi="Arial" w:cs="Arial"/>
          <w:color w:val="222222"/>
          <w:sz w:val="32"/>
          <w:szCs w:val="24"/>
          <w:shd w:val="clear" w:color="auto" w:fill="FFFFFF"/>
        </w:rPr>
      </w:pPr>
      <w:r w:rsidRPr="005B47A6">
        <w:rPr>
          <w:rFonts w:ascii="Arial" w:hAnsi="Arial" w:cs="Arial"/>
          <w:color w:val="222222"/>
          <w:sz w:val="24"/>
          <w:szCs w:val="20"/>
          <w:shd w:val="clear" w:color="auto" w:fill="FFFFFF"/>
        </w:rPr>
        <w:t xml:space="preserve">Rana, G. and Sharma, R., </w:t>
      </w:r>
      <w:r w:rsidR="00436AFB">
        <w:rPr>
          <w:rFonts w:ascii="Arial" w:hAnsi="Arial" w:cs="Arial"/>
          <w:color w:val="222222"/>
          <w:sz w:val="24"/>
          <w:szCs w:val="20"/>
          <w:shd w:val="clear" w:color="auto" w:fill="FFFFFF"/>
        </w:rPr>
        <w:t>(</w:t>
      </w:r>
      <w:r w:rsidRPr="005B47A6">
        <w:rPr>
          <w:rFonts w:ascii="Arial" w:hAnsi="Arial" w:cs="Arial"/>
          <w:color w:val="222222"/>
          <w:sz w:val="24"/>
          <w:szCs w:val="20"/>
          <w:shd w:val="clear" w:color="auto" w:fill="FFFFFF"/>
        </w:rPr>
        <w:t>2019</w:t>
      </w:r>
      <w:r w:rsidR="00436AFB">
        <w:rPr>
          <w:rFonts w:ascii="Arial" w:hAnsi="Arial" w:cs="Arial"/>
          <w:color w:val="222222"/>
          <w:sz w:val="24"/>
          <w:szCs w:val="20"/>
          <w:shd w:val="clear" w:color="auto" w:fill="FFFFFF"/>
        </w:rPr>
        <w:t>)</w:t>
      </w:r>
      <w:r w:rsidRPr="005B47A6">
        <w:rPr>
          <w:rFonts w:ascii="Arial" w:hAnsi="Arial" w:cs="Arial"/>
          <w:color w:val="222222"/>
          <w:sz w:val="24"/>
          <w:szCs w:val="20"/>
          <w:shd w:val="clear" w:color="auto" w:fill="FFFFFF"/>
        </w:rPr>
        <w:t xml:space="preserve"> Emerging human resource management practices in Industry 4.0. </w:t>
      </w:r>
      <w:r w:rsidRPr="005B47A6">
        <w:rPr>
          <w:rFonts w:ascii="Arial" w:hAnsi="Arial" w:cs="Arial"/>
          <w:i/>
          <w:iCs/>
          <w:color w:val="222222"/>
          <w:sz w:val="24"/>
          <w:szCs w:val="20"/>
          <w:shd w:val="clear" w:color="auto" w:fill="FFFFFF"/>
        </w:rPr>
        <w:t>Strategic HR Review</w:t>
      </w:r>
      <w:r w:rsidRPr="005B47A6">
        <w:rPr>
          <w:rFonts w:ascii="Arial" w:hAnsi="Arial" w:cs="Arial"/>
          <w:color w:val="222222"/>
          <w:sz w:val="24"/>
          <w:szCs w:val="20"/>
          <w:shd w:val="clear" w:color="auto" w:fill="FFFFFF"/>
        </w:rPr>
        <w:t>, </w:t>
      </w:r>
      <w:r w:rsidRPr="005B47A6">
        <w:rPr>
          <w:rFonts w:ascii="Arial" w:hAnsi="Arial" w:cs="Arial"/>
          <w:i/>
          <w:iCs/>
          <w:color w:val="222222"/>
          <w:sz w:val="24"/>
          <w:szCs w:val="20"/>
          <w:shd w:val="clear" w:color="auto" w:fill="FFFFFF"/>
        </w:rPr>
        <w:t>18</w:t>
      </w:r>
      <w:r w:rsidRPr="005B47A6">
        <w:rPr>
          <w:rFonts w:ascii="Arial" w:hAnsi="Arial" w:cs="Arial"/>
          <w:color w:val="222222"/>
          <w:sz w:val="24"/>
          <w:szCs w:val="20"/>
          <w:shd w:val="clear" w:color="auto" w:fill="FFFFFF"/>
        </w:rPr>
        <w:t>(4), pp.176-181.</w:t>
      </w:r>
    </w:p>
    <w:p w14:paraId="1FD8B493" w14:textId="4ACAA1B5"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proofErr w:type="spellStart"/>
      <w:r w:rsidRPr="00CF59B0">
        <w:rPr>
          <w:rFonts w:ascii="Arial" w:hAnsi="Arial" w:cs="Arial"/>
          <w:color w:val="222222"/>
          <w:sz w:val="24"/>
          <w:szCs w:val="24"/>
          <w:shd w:val="clear" w:color="auto" w:fill="FFFFFF"/>
        </w:rPr>
        <w:t>Revutska</w:t>
      </w:r>
      <w:proofErr w:type="spellEnd"/>
      <w:r w:rsidRPr="00CF59B0">
        <w:rPr>
          <w:rFonts w:ascii="Arial" w:hAnsi="Arial" w:cs="Arial"/>
          <w:color w:val="222222"/>
          <w:sz w:val="24"/>
          <w:szCs w:val="24"/>
          <w:shd w:val="clear" w:color="auto" w:fill="FFFFFF"/>
        </w:rPr>
        <w:t xml:space="preserve">, O. and </w:t>
      </w:r>
      <w:proofErr w:type="spellStart"/>
      <w:r w:rsidRPr="00CF59B0">
        <w:rPr>
          <w:rFonts w:ascii="Arial" w:hAnsi="Arial" w:cs="Arial"/>
          <w:color w:val="222222"/>
          <w:sz w:val="24"/>
          <w:szCs w:val="24"/>
          <w:shd w:val="clear" w:color="auto" w:fill="FFFFFF"/>
        </w:rPr>
        <w:t>Maršíková</w:t>
      </w:r>
      <w:proofErr w:type="spellEnd"/>
      <w:r w:rsidRPr="00CF59B0">
        <w:rPr>
          <w:rFonts w:ascii="Arial" w:hAnsi="Arial" w:cs="Arial"/>
          <w:color w:val="222222"/>
          <w:sz w:val="24"/>
          <w:szCs w:val="24"/>
          <w:shd w:val="clear" w:color="auto" w:fill="FFFFFF"/>
        </w:rPr>
        <w:t xml:space="preserve">, K.,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2021</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Agile approach in human resource management: focus on generation Y. </w:t>
      </w:r>
      <w:proofErr w:type="spellStart"/>
      <w:r w:rsidRPr="00CF59B0">
        <w:rPr>
          <w:rFonts w:ascii="Arial" w:hAnsi="Arial" w:cs="Arial"/>
          <w:color w:val="222222"/>
          <w:sz w:val="24"/>
          <w:szCs w:val="24"/>
          <w:shd w:val="clear" w:color="auto" w:fill="FFFFFF"/>
        </w:rPr>
        <w:t>Revutska</w:t>
      </w:r>
      <w:proofErr w:type="spellEnd"/>
      <w:r w:rsidRPr="00CF59B0">
        <w:rPr>
          <w:rFonts w:ascii="Arial" w:hAnsi="Arial" w:cs="Arial"/>
          <w:color w:val="222222"/>
          <w:sz w:val="24"/>
          <w:szCs w:val="24"/>
          <w:shd w:val="clear" w:color="auto" w:fill="FFFFFF"/>
        </w:rPr>
        <w:t xml:space="preserve">, O. and </w:t>
      </w:r>
      <w:proofErr w:type="spellStart"/>
      <w:r w:rsidRPr="00CF59B0">
        <w:rPr>
          <w:rFonts w:ascii="Arial" w:hAnsi="Arial" w:cs="Arial"/>
          <w:color w:val="222222"/>
          <w:sz w:val="24"/>
          <w:szCs w:val="24"/>
          <w:shd w:val="clear" w:color="auto" w:fill="FFFFFF"/>
        </w:rPr>
        <w:t>Maršíková</w:t>
      </w:r>
      <w:proofErr w:type="spellEnd"/>
      <w:r w:rsidRPr="00CF59B0">
        <w:rPr>
          <w:rFonts w:ascii="Arial" w:hAnsi="Arial" w:cs="Arial"/>
          <w:color w:val="222222"/>
          <w:sz w:val="24"/>
          <w:szCs w:val="24"/>
          <w:shd w:val="clear" w:color="auto" w:fill="FFFFFF"/>
        </w:rPr>
        <w:t>, K., 2021. Agile approach in human resource management: focus on generation Y.</w:t>
      </w:r>
    </w:p>
    <w:p w14:paraId="579435F4" w14:textId="28AFF1DC"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Rigby, C.S. and Ryan, R.M.,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2018</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Self-determination theory in human resource development: New directions and practical considerations. </w:t>
      </w:r>
      <w:r w:rsidRPr="00CF59B0">
        <w:rPr>
          <w:rFonts w:ascii="Arial" w:hAnsi="Arial" w:cs="Arial"/>
          <w:i/>
          <w:iCs/>
          <w:color w:val="222222"/>
          <w:sz w:val="24"/>
          <w:szCs w:val="24"/>
          <w:shd w:val="clear" w:color="auto" w:fill="FFFFFF"/>
        </w:rPr>
        <w:t>Advances in Developing Human Resources</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20</w:t>
      </w:r>
      <w:r w:rsidRPr="00CF59B0">
        <w:rPr>
          <w:rFonts w:ascii="Arial" w:hAnsi="Arial" w:cs="Arial"/>
          <w:color w:val="222222"/>
          <w:sz w:val="24"/>
          <w:szCs w:val="24"/>
          <w:shd w:val="clear" w:color="auto" w:fill="FFFFFF"/>
        </w:rPr>
        <w:t>(2), pp.133-147.</w:t>
      </w:r>
    </w:p>
    <w:p w14:paraId="6BE6C793" w14:textId="5C86F9CD"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Saks, A.M.,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2022</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Caring </w:t>
      </w:r>
      <w:r w:rsidR="002B010F">
        <w:rPr>
          <w:rFonts w:ascii="Arial" w:hAnsi="Arial" w:cs="Arial"/>
          <w:color w:val="222222"/>
          <w:sz w:val="24"/>
          <w:szCs w:val="24"/>
          <w:shd w:val="clear" w:color="auto" w:fill="FFFFFF"/>
        </w:rPr>
        <w:t xml:space="preserve">for </w:t>
      </w:r>
      <w:r w:rsidRPr="00CF59B0">
        <w:rPr>
          <w:rFonts w:ascii="Arial" w:hAnsi="Arial" w:cs="Arial"/>
          <w:color w:val="222222"/>
          <w:sz w:val="24"/>
          <w:szCs w:val="24"/>
          <w:shd w:val="clear" w:color="auto" w:fill="FFFFFF"/>
        </w:rPr>
        <w:t>human resources management and employee engagement. </w:t>
      </w:r>
      <w:r w:rsidRPr="00CF59B0">
        <w:rPr>
          <w:rFonts w:ascii="Arial" w:hAnsi="Arial" w:cs="Arial"/>
          <w:i/>
          <w:iCs/>
          <w:color w:val="222222"/>
          <w:sz w:val="24"/>
          <w:szCs w:val="24"/>
          <w:shd w:val="clear" w:color="auto" w:fill="FFFFFF"/>
        </w:rPr>
        <w:t>Human Resource Management Review</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32</w:t>
      </w:r>
      <w:r w:rsidRPr="00CF59B0">
        <w:rPr>
          <w:rFonts w:ascii="Arial" w:hAnsi="Arial" w:cs="Arial"/>
          <w:color w:val="222222"/>
          <w:sz w:val="24"/>
          <w:szCs w:val="24"/>
          <w:shd w:val="clear" w:color="auto" w:fill="FFFFFF"/>
        </w:rPr>
        <w:t>(3), p.100835.</w:t>
      </w:r>
    </w:p>
    <w:p w14:paraId="0F834EDD" w14:textId="0130A009"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Stahl, G.K., Brewster, C.J., Collings, D.G. and </w:t>
      </w:r>
      <w:proofErr w:type="spellStart"/>
      <w:r w:rsidRPr="00CF59B0">
        <w:rPr>
          <w:rFonts w:ascii="Arial" w:hAnsi="Arial" w:cs="Arial"/>
          <w:color w:val="222222"/>
          <w:sz w:val="24"/>
          <w:szCs w:val="24"/>
          <w:shd w:val="clear" w:color="auto" w:fill="FFFFFF"/>
        </w:rPr>
        <w:t>Hajro</w:t>
      </w:r>
      <w:proofErr w:type="spellEnd"/>
      <w:r w:rsidRPr="00CF59B0">
        <w:rPr>
          <w:rFonts w:ascii="Arial" w:hAnsi="Arial" w:cs="Arial"/>
          <w:color w:val="222222"/>
          <w:sz w:val="24"/>
          <w:szCs w:val="24"/>
          <w:shd w:val="clear" w:color="auto" w:fill="FFFFFF"/>
        </w:rPr>
        <w:t xml:space="preserve">, A.,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2020</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Enhancing the role of human resource management in corporate sustainability and social responsibility: A multi-stakeholder, multidimensional approach to HRM. </w:t>
      </w:r>
      <w:r w:rsidRPr="00CF59B0">
        <w:rPr>
          <w:rFonts w:ascii="Arial" w:hAnsi="Arial" w:cs="Arial"/>
          <w:i/>
          <w:iCs/>
          <w:color w:val="222222"/>
          <w:sz w:val="24"/>
          <w:szCs w:val="24"/>
          <w:shd w:val="clear" w:color="auto" w:fill="FFFFFF"/>
        </w:rPr>
        <w:t>Human Resource Management Review</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30</w:t>
      </w:r>
      <w:r w:rsidRPr="00CF59B0">
        <w:rPr>
          <w:rFonts w:ascii="Arial" w:hAnsi="Arial" w:cs="Arial"/>
          <w:color w:val="222222"/>
          <w:sz w:val="24"/>
          <w:szCs w:val="24"/>
          <w:shd w:val="clear" w:color="auto" w:fill="FFFFFF"/>
        </w:rPr>
        <w:t>(3), p.100708.</w:t>
      </w:r>
    </w:p>
    <w:p w14:paraId="3B751C86" w14:textId="4D3FC5C3"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t xml:space="preserve">Sun, L. and </w:t>
      </w:r>
      <w:proofErr w:type="spellStart"/>
      <w:r w:rsidRPr="00CF59B0">
        <w:rPr>
          <w:rFonts w:ascii="Arial" w:hAnsi="Arial" w:cs="Arial"/>
          <w:color w:val="222222"/>
          <w:sz w:val="24"/>
          <w:szCs w:val="24"/>
          <w:shd w:val="clear" w:color="auto" w:fill="FFFFFF"/>
        </w:rPr>
        <w:t>Bunchapattanasakda</w:t>
      </w:r>
      <w:proofErr w:type="spellEnd"/>
      <w:r w:rsidRPr="00CF59B0">
        <w:rPr>
          <w:rFonts w:ascii="Arial" w:hAnsi="Arial" w:cs="Arial"/>
          <w:color w:val="222222"/>
          <w:sz w:val="24"/>
          <w:szCs w:val="24"/>
          <w:shd w:val="clear" w:color="auto" w:fill="FFFFFF"/>
        </w:rPr>
        <w:t xml:space="preserve">, C.,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2019</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Employee engagement: A literature review. </w:t>
      </w:r>
      <w:r w:rsidRPr="00CF59B0">
        <w:rPr>
          <w:rFonts w:ascii="Arial" w:hAnsi="Arial" w:cs="Arial"/>
          <w:i/>
          <w:iCs/>
          <w:color w:val="222222"/>
          <w:sz w:val="24"/>
          <w:szCs w:val="24"/>
          <w:shd w:val="clear" w:color="auto" w:fill="FFFFFF"/>
        </w:rPr>
        <w:t>International Journal of Human Resource Studies</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9</w:t>
      </w:r>
      <w:r w:rsidRPr="00CF59B0">
        <w:rPr>
          <w:rFonts w:ascii="Arial" w:hAnsi="Arial" w:cs="Arial"/>
          <w:color w:val="222222"/>
          <w:sz w:val="24"/>
          <w:szCs w:val="24"/>
          <w:shd w:val="clear" w:color="auto" w:fill="FFFFFF"/>
        </w:rPr>
        <w:t>(1), pp.63-80.</w:t>
      </w:r>
    </w:p>
    <w:p w14:paraId="16D408EA" w14:textId="6416223A" w:rsidR="00AD3DCB" w:rsidRPr="00CF59B0" w:rsidRDefault="00AD3DCB" w:rsidP="00CF59B0">
      <w:pPr>
        <w:spacing w:line="360" w:lineRule="auto"/>
        <w:ind w:left="720" w:hanging="720"/>
        <w:jc w:val="both"/>
        <w:rPr>
          <w:rFonts w:ascii="Arial" w:hAnsi="Arial" w:cs="Arial"/>
          <w:color w:val="222222"/>
          <w:sz w:val="24"/>
          <w:szCs w:val="24"/>
          <w:shd w:val="clear" w:color="auto" w:fill="FFFFFF"/>
        </w:rPr>
      </w:pPr>
      <w:r w:rsidRPr="00CF59B0">
        <w:rPr>
          <w:rFonts w:ascii="Arial" w:hAnsi="Arial" w:cs="Arial"/>
          <w:color w:val="222222"/>
          <w:sz w:val="24"/>
          <w:szCs w:val="24"/>
          <w:shd w:val="clear" w:color="auto" w:fill="FFFFFF"/>
        </w:rPr>
        <w:lastRenderedPageBreak/>
        <w:t xml:space="preserve">Williams, G., </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2020</w:t>
      </w:r>
      <w:r w:rsidR="00436AFB">
        <w:rPr>
          <w:rFonts w:ascii="Arial" w:hAnsi="Arial" w:cs="Arial"/>
          <w:color w:val="222222"/>
          <w:sz w:val="24"/>
          <w:szCs w:val="24"/>
          <w:shd w:val="clear" w:color="auto" w:fill="FFFFFF"/>
        </w:rPr>
        <w:t>)</w:t>
      </w:r>
      <w:r w:rsidRPr="00CF59B0">
        <w:rPr>
          <w:rFonts w:ascii="Arial" w:hAnsi="Arial" w:cs="Arial"/>
          <w:color w:val="222222"/>
          <w:sz w:val="24"/>
          <w:szCs w:val="24"/>
          <w:shd w:val="clear" w:color="auto" w:fill="FFFFFF"/>
        </w:rPr>
        <w:t xml:space="preserve">. Management millennialism: Designing the new generation of </w:t>
      </w:r>
      <w:r w:rsidR="002B010F">
        <w:rPr>
          <w:rFonts w:ascii="Arial" w:hAnsi="Arial" w:cs="Arial"/>
          <w:color w:val="222222"/>
          <w:sz w:val="24"/>
          <w:szCs w:val="24"/>
          <w:shd w:val="clear" w:color="auto" w:fill="FFFFFF"/>
        </w:rPr>
        <w:t>employees</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Work, Employment and Society</w:t>
      </w:r>
      <w:r w:rsidRPr="00CF59B0">
        <w:rPr>
          <w:rFonts w:ascii="Arial" w:hAnsi="Arial" w:cs="Arial"/>
          <w:color w:val="222222"/>
          <w:sz w:val="24"/>
          <w:szCs w:val="24"/>
          <w:shd w:val="clear" w:color="auto" w:fill="FFFFFF"/>
        </w:rPr>
        <w:t>, </w:t>
      </w:r>
      <w:r w:rsidRPr="00CF59B0">
        <w:rPr>
          <w:rFonts w:ascii="Arial" w:hAnsi="Arial" w:cs="Arial"/>
          <w:i/>
          <w:iCs/>
          <w:color w:val="222222"/>
          <w:sz w:val="24"/>
          <w:szCs w:val="24"/>
          <w:shd w:val="clear" w:color="auto" w:fill="FFFFFF"/>
        </w:rPr>
        <w:t>34</w:t>
      </w:r>
      <w:r w:rsidRPr="00CF59B0">
        <w:rPr>
          <w:rFonts w:ascii="Arial" w:hAnsi="Arial" w:cs="Arial"/>
          <w:color w:val="222222"/>
          <w:sz w:val="24"/>
          <w:szCs w:val="24"/>
          <w:shd w:val="clear" w:color="auto" w:fill="FFFFFF"/>
        </w:rPr>
        <w:t>(3), pp.371-387.</w:t>
      </w:r>
    </w:p>
    <w:p w14:paraId="5F66B061" w14:textId="77777777" w:rsidR="00AD3DCB" w:rsidRPr="00CF59B0" w:rsidRDefault="00AD3DCB" w:rsidP="00CF59B0">
      <w:pPr>
        <w:spacing w:line="360" w:lineRule="auto"/>
        <w:jc w:val="both"/>
        <w:rPr>
          <w:rFonts w:ascii="Arial" w:hAnsi="Arial" w:cs="Arial"/>
          <w:sz w:val="24"/>
          <w:szCs w:val="24"/>
        </w:rPr>
      </w:pPr>
    </w:p>
    <w:sectPr w:rsidR="00AD3DCB" w:rsidRPr="00CF59B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DE883" w14:textId="77777777" w:rsidR="00E21798" w:rsidRDefault="00E21798" w:rsidP="00D01905">
      <w:pPr>
        <w:spacing w:after="0" w:line="240" w:lineRule="auto"/>
      </w:pPr>
      <w:r>
        <w:separator/>
      </w:r>
    </w:p>
  </w:endnote>
  <w:endnote w:type="continuationSeparator" w:id="0">
    <w:p w14:paraId="3959DD05" w14:textId="77777777" w:rsidR="00E21798" w:rsidRDefault="00E21798" w:rsidP="00D01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60842"/>
      <w:docPartObj>
        <w:docPartGallery w:val="Page Numbers (Bottom of Page)"/>
        <w:docPartUnique/>
      </w:docPartObj>
    </w:sdtPr>
    <w:sdtEndPr>
      <w:rPr>
        <w:noProof/>
      </w:rPr>
    </w:sdtEndPr>
    <w:sdtContent>
      <w:p w14:paraId="4DF64418" w14:textId="77777777" w:rsidR="00D01905" w:rsidRDefault="00D019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F1E9D" w14:textId="77777777" w:rsidR="00D01905" w:rsidRDefault="00D01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11D31" w14:textId="77777777" w:rsidR="00E21798" w:rsidRDefault="00E21798" w:rsidP="00D01905">
      <w:pPr>
        <w:spacing w:after="0" w:line="240" w:lineRule="auto"/>
      </w:pPr>
      <w:r>
        <w:separator/>
      </w:r>
    </w:p>
  </w:footnote>
  <w:footnote w:type="continuationSeparator" w:id="0">
    <w:p w14:paraId="1BF73257" w14:textId="77777777" w:rsidR="00E21798" w:rsidRDefault="00E21798" w:rsidP="00D01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749C0"/>
    <w:multiLevelType w:val="hybridMultilevel"/>
    <w:tmpl w:val="42C887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0132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33E"/>
    <w:rsid w:val="000565F9"/>
    <w:rsid w:val="000775C7"/>
    <w:rsid w:val="00112762"/>
    <w:rsid w:val="001A7338"/>
    <w:rsid w:val="0021033E"/>
    <w:rsid w:val="002B010F"/>
    <w:rsid w:val="003565E4"/>
    <w:rsid w:val="00395A48"/>
    <w:rsid w:val="00436AFB"/>
    <w:rsid w:val="00464953"/>
    <w:rsid w:val="005B47A6"/>
    <w:rsid w:val="008D12B3"/>
    <w:rsid w:val="00AD3DCB"/>
    <w:rsid w:val="00CF59B0"/>
    <w:rsid w:val="00D01905"/>
    <w:rsid w:val="00DC12B1"/>
    <w:rsid w:val="00E21798"/>
    <w:rsid w:val="00E57F94"/>
    <w:rsid w:val="00F403D8"/>
    <w:rsid w:val="00F56E97"/>
    <w:rsid w:val="00FF778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8D2554"/>
  <w15:chartTrackingRefBased/>
  <w15:docId w15:val="{26C838FD-85E8-41F1-8F90-5EE9B4DE2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12762"/>
    <w:pPr>
      <w:keepNext/>
      <w:keepLines/>
      <w:spacing w:before="360" w:after="120"/>
      <w:outlineLvl w:val="0"/>
    </w:pPr>
    <w:rPr>
      <w:rFonts w:ascii="Arial" w:eastAsiaTheme="majorEastAsia" w:hAnsi="Arial"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762"/>
    <w:rPr>
      <w:rFonts w:ascii="Arial" w:eastAsiaTheme="majorEastAsia" w:hAnsi="Arial" w:cstheme="majorBidi"/>
      <w:b/>
      <w:sz w:val="24"/>
      <w:szCs w:val="32"/>
    </w:rPr>
  </w:style>
  <w:style w:type="paragraph" w:styleId="ListParagraph">
    <w:name w:val="List Paragraph"/>
    <w:basedOn w:val="Normal"/>
    <w:uiPriority w:val="34"/>
    <w:qFormat/>
    <w:rsid w:val="00AD3DCB"/>
    <w:pPr>
      <w:ind w:left="720"/>
      <w:contextualSpacing/>
    </w:pPr>
  </w:style>
  <w:style w:type="paragraph" w:styleId="Header">
    <w:name w:val="header"/>
    <w:basedOn w:val="Normal"/>
    <w:link w:val="HeaderChar"/>
    <w:uiPriority w:val="99"/>
    <w:unhideWhenUsed/>
    <w:rsid w:val="00D019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1905"/>
  </w:style>
  <w:style w:type="paragraph" w:styleId="Footer">
    <w:name w:val="footer"/>
    <w:basedOn w:val="Normal"/>
    <w:link w:val="FooterChar"/>
    <w:uiPriority w:val="99"/>
    <w:unhideWhenUsed/>
    <w:rsid w:val="00D019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1905"/>
  </w:style>
  <w:style w:type="paragraph" w:styleId="TOCHeading">
    <w:name w:val="TOC Heading"/>
    <w:basedOn w:val="Heading1"/>
    <w:next w:val="Normal"/>
    <w:uiPriority w:val="39"/>
    <w:unhideWhenUsed/>
    <w:qFormat/>
    <w:rsid w:val="005B47A6"/>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B47A6"/>
    <w:pPr>
      <w:spacing w:after="100"/>
    </w:pPr>
  </w:style>
  <w:style w:type="character" w:styleId="Hyperlink">
    <w:name w:val="Hyperlink"/>
    <w:basedOn w:val="DefaultParagraphFont"/>
    <w:uiPriority w:val="99"/>
    <w:unhideWhenUsed/>
    <w:rsid w:val="005B47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2520</Words>
  <Characters>15643</Characters>
  <Application>Microsoft Office Word</Application>
  <DocSecurity>0</DocSecurity>
  <Lines>257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Rifat Jahan (2211255)</cp:lastModifiedBy>
  <cp:revision>8</cp:revision>
  <dcterms:created xsi:type="dcterms:W3CDTF">2023-10-10T09:54:00Z</dcterms:created>
  <dcterms:modified xsi:type="dcterms:W3CDTF">2023-10-22T14:19:00Z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a3c391460773603aa23d51952dc56a8ee7e0f9af1efd506c52d103752a3fb39e</vt:lpwstr>
  </property>
</Properties>
</file>