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406E5" w:rsidR="00DB0E8B" w:rsidP="00AA6602" w:rsidRDefault="00DB0E8B" w14:paraId="0A6B8880" w14:textId="77777777">
      <w:pPr>
        <w:jc w:val="left"/>
      </w:pPr>
      <w:r w:rsidRPr="00A406E5">
        <w:rPr>
          <w:rFonts w:cs="Arial"/>
          <w:noProof/>
          <w:lang w:val="en-US"/>
        </w:rPr>
        <w:drawing>
          <wp:anchor distT="0" distB="0" distL="114300" distR="114300" simplePos="0" relativeHeight="251659264" behindDoc="0" locked="0" layoutInCell="1" allowOverlap="1" wp14:anchorId="13881745" wp14:editId="66F1610B">
            <wp:simplePos x="0" y="0"/>
            <wp:positionH relativeFrom="column">
              <wp:posOffset>-200025</wp:posOffset>
            </wp:positionH>
            <wp:positionV relativeFrom="paragraph">
              <wp:posOffset>76200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tbl>
      <w:tblPr>
        <w:tblW w:w="9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0E8B" w:rsidTr="74E8755C" w14:paraId="56C77B65" w14:textId="77777777">
        <w:trPr>
          <w:jc w:val="center"/>
        </w:trPr>
        <w:tc>
          <w:tcPr>
            <w:tcW w:w="2093" w:type="dxa"/>
            <w:shd w:val="clear" w:color="auto" w:fill="auto"/>
            <w:tcMar/>
          </w:tcPr>
          <w:p w:rsidRPr="00A406E5" w:rsidR="00DB0E8B" w:rsidP="00E703F9" w:rsidRDefault="00DB0E8B" w14:paraId="5A6059EF" w14:textId="77777777">
            <w:pPr>
              <w:spacing w:before="120" w:after="120"/>
              <w:rPr>
                <w:rFonts w:cs="Arial"/>
                <w:b/>
              </w:rPr>
            </w:pPr>
            <w:r w:rsidRPr="00A406E5">
              <w:rPr>
                <w:rFonts w:cs="Arial"/>
                <w:b/>
                <w:sz w:val="22"/>
              </w:rPr>
              <w:t xml:space="preserve">Student </w:t>
            </w:r>
            <w:r>
              <w:rPr>
                <w:rFonts w:cs="Arial"/>
                <w:b/>
                <w:sz w:val="22"/>
              </w:rPr>
              <w:t>N</w:t>
            </w:r>
            <w:r w:rsidRPr="00A406E5">
              <w:rPr>
                <w:rFonts w:cs="Arial"/>
                <w:b/>
                <w:sz w:val="22"/>
              </w:rPr>
              <w:t>ame:</w:t>
            </w:r>
          </w:p>
        </w:tc>
        <w:tc>
          <w:tcPr>
            <w:tcW w:w="3293" w:type="dxa"/>
            <w:tcMar/>
          </w:tcPr>
          <w:p w:rsidRPr="00A406E5" w:rsidR="00DB0E8B" w:rsidP="74E8755C" w:rsidRDefault="00DB0E8B" w14:paraId="3D6711F2" w14:textId="5752D897">
            <w:pPr>
              <w:spacing w:before="120" w:after="120"/>
              <w:rPr>
                <w:rFonts w:cs="Arial"/>
                <w:b w:val="1"/>
                <w:bCs w:val="1"/>
              </w:rPr>
            </w:pPr>
            <w:r w:rsidRPr="74E8755C" w:rsidR="236B302D">
              <w:rPr>
                <w:rFonts w:cs="Arial"/>
                <w:b w:val="1"/>
                <w:bCs w:val="1"/>
              </w:rPr>
              <w:t>Gabriel Huchiu</w:t>
            </w:r>
          </w:p>
        </w:tc>
        <w:tc>
          <w:tcPr>
            <w:tcW w:w="2268" w:type="dxa"/>
            <w:shd w:val="clear" w:color="auto" w:fill="D9D9D9" w:themeFill="background1" w:themeFillShade="D9"/>
            <w:tcMar/>
          </w:tcPr>
          <w:p w:rsidRPr="00A406E5" w:rsidR="00DB0E8B" w:rsidP="00E703F9" w:rsidRDefault="00DB0E8B" w14:paraId="36284EE0" w14:textId="77777777">
            <w:pPr>
              <w:spacing w:before="120" w:after="120"/>
              <w:rPr>
                <w:rFonts w:cs="Arial"/>
                <w:b/>
              </w:rPr>
            </w:pPr>
            <w:r w:rsidRPr="00A406E5">
              <w:rPr>
                <w:rFonts w:cs="Arial"/>
                <w:b/>
                <w:sz w:val="22"/>
              </w:rPr>
              <w:t xml:space="preserve">Student ID </w:t>
            </w:r>
            <w:r>
              <w:rPr>
                <w:rFonts w:cs="Arial"/>
                <w:b/>
                <w:sz w:val="22"/>
              </w:rPr>
              <w:t>N</w:t>
            </w:r>
            <w:r w:rsidRPr="00A406E5">
              <w:rPr>
                <w:rFonts w:cs="Arial"/>
                <w:b/>
                <w:sz w:val="22"/>
              </w:rPr>
              <w:t>umber:</w:t>
            </w:r>
          </w:p>
        </w:tc>
        <w:tc>
          <w:tcPr>
            <w:tcW w:w="2268" w:type="dxa"/>
            <w:tcMar/>
          </w:tcPr>
          <w:p w:rsidRPr="00A406E5" w:rsidR="00DB0E8B" w:rsidP="74E8755C" w:rsidRDefault="00DB0E8B" w14:paraId="4366B8AC" w14:textId="74F0A072">
            <w:pPr>
              <w:spacing w:before="120" w:after="120"/>
              <w:rPr>
                <w:rFonts w:cs="Arial"/>
                <w:b w:val="1"/>
                <w:bCs w:val="1"/>
              </w:rPr>
            </w:pPr>
            <w:r w:rsidRPr="74E8755C" w:rsidR="32817F4F">
              <w:rPr>
                <w:rFonts w:cs="Arial"/>
                <w:b w:val="1"/>
                <w:bCs w:val="1"/>
              </w:rPr>
              <w:t>2233684</w:t>
            </w:r>
          </w:p>
        </w:tc>
      </w:tr>
      <w:tr w:rsidRPr="00A406E5" w:rsidR="00DB0E8B" w:rsidTr="74E8755C" w14:paraId="242E0503" w14:textId="77777777">
        <w:trPr>
          <w:jc w:val="center"/>
        </w:trPr>
        <w:tc>
          <w:tcPr>
            <w:tcW w:w="2093" w:type="dxa"/>
            <w:shd w:val="clear" w:color="auto" w:fill="auto"/>
            <w:tcMar/>
          </w:tcPr>
          <w:p w:rsidRPr="00A406E5" w:rsidR="00DB0E8B" w:rsidP="00E703F9" w:rsidRDefault="00DB0E8B" w14:paraId="3DD5B486" w14:textId="77777777">
            <w:pPr>
              <w:spacing w:before="120" w:after="120"/>
              <w:rPr>
                <w:rFonts w:cs="Arial"/>
                <w:b/>
              </w:rPr>
            </w:pPr>
            <w:r w:rsidRPr="00A406E5">
              <w:rPr>
                <w:rFonts w:cs="Arial"/>
                <w:b/>
                <w:sz w:val="22"/>
              </w:rPr>
              <w:t>Programme:</w:t>
            </w:r>
          </w:p>
        </w:tc>
        <w:tc>
          <w:tcPr>
            <w:tcW w:w="7829" w:type="dxa"/>
            <w:gridSpan w:val="3"/>
            <w:tcMar/>
          </w:tcPr>
          <w:p w:rsidR="00DB0E8B" w:rsidP="00E703F9" w:rsidRDefault="00DB0E8B" w14:paraId="4A7B428F" w14:textId="77777777">
            <w:pPr>
              <w:spacing w:before="120" w:after="120"/>
              <w:rPr>
                <w:rFonts w:cs="Arial"/>
                <w:b/>
              </w:rPr>
            </w:pPr>
            <w:r>
              <w:rPr>
                <w:rFonts w:cs="Arial"/>
                <w:b/>
                <w:sz w:val="22"/>
              </w:rPr>
              <w:t xml:space="preserve">CertHE Law and Legal Practice </w:t>
            </w:r>
          </w:p>
          <w:p w:rsidR="00DB0E8B" w:rsidP="00E703F9" w:rsidRDefault="00DB0E8B" w14:paraId="75B54588" w14:textId="77777777">
            <w:pPr>
              <w:spacing w:before="120" w:after="120"/>
              <w:rPr>
                <w:rFonts w:cs="Arial"/>
                <w:b/>
              </w:rPr>
            </w:pPr>
            <w:r>
              <w:rPr>
                <w:rFonts w:cs="Arial"/>
                <w:b/>
                <w:sz w:val="22"/>
              </w:rPr>
              <w:t>CertHE Professional Policing</w:t>
            </w:r>
          </w:p>
          <w:p w:rsidRPr="00A406E5" w:rsidR="00DB0E8B" w:rsidP="00E703F9" w:rsidRDefault="00DB0E8B" w14:paraId="46396D97" w14:textId="77777777">
            <w:pPr>
              <w:spacing w:before="120" w:after="120"/>
              <w:rPr>
                <w:rFonts w:cs="Arial"/>
                <w:b/>
              </w:rPr>
            </w:pPr>
            <w:r>
              <w:rPr>
                <w:rFonts w:cs="Arial"/>
                <w:b/>
                <w:sz w:val="22"/>
              </w:rPr>
              <w:t xml:space="preserve">Bsc Professional Policing </w:t>
            </w:r>
          </w:p>
        </w:tc>
      </w:tr>
      <w:tr w:rsidRPr="00A406E5" w:rsidR="00DB0E8B" w:rsidTr="74E8755C" w14:paraId="17BF4656" w14:textId="77777777">
        <w:trPr>
          <w:jc w:val="center"/>
        </w:trPr>
        <w:tc>
          <w:tcPr>
            <w:tcW w:w="2093" w:type="dxa"/>
            <w:shd w:val="clear" w:color="auto" w:fill="auto"/>
            <w:tcMar/>
          </w:tcPr>
          <w:p w:rsidRPr="00A406E5" w:rsidR="00DB0E8B" w:rsidP="00E703F9" w:rsidRDefault="00DB0E8B" w14:paraId="1482FEB0" w14:textId="77777777">
            <w:pPr>
              <w:spacing w:before="120" w:after="120"/>
              <w:rPr>
                <w:rFonts w:cs="Arial"/>
                <w:b/>
              </w:rPr>
            </w:pPr>
            <w:r w:rsidRPr="00A406E5">
              <w:rPr>
                <w:rFonts w:cs="Arial"/>
                <w:b/>
                <w:sz w:val="22"/>
              </w:rPr>
              <w:t>Module:</w:t>
            </w:r>
          </w:p>
        </w:tc>
        <w:tc>
          <w:tcPr>
            <w:tcW w:w="7829" w:type="dxa"/>
            <w:gridSpan w:val="3"/>
            <w:shd w:val="clear" w:color="auto" w:fill="auto"/>
            <w:tcMar/>
          </w:tcPr>
          <w:p w:rsidRPr="00A406E5" w:rsidR="00DB0E8B" w:rsidP="00E703F9" w:rsidRDefault="00DB0E8B" w14:paraId="00715B11" w14:textId="77777777">
            <w:pPr>
              <w:spacing w:before="120" w:after="120"/>
              <w:rPr>
                <w:rFonts w:cs="Arial"/>
                <w:b/>
              </w:rPr>
            </w:pPr>
            <w:r>
              <w:rPr>
                <w:rFonts w:cs="Arial"/>
                <w:b/>
                <w:sz w:val="22"/>
              </w:rPr>
              <w:t>Legal Process</w:t>
            </w:r>
          </w:p>
        </w:tc>
      </w:tr>
      <w:tr w:rsidRPr="00A406E5" w:rsidR="00DB0E8B" w:rsidTr="74E8755C" w14:paraId="09A8EE0F" w14:textId="77777777">
        <w:trPr>
          <w:jc w:val="center"/>
        </w:trPr>
        <w:tc>
          <w:tcPr>
            <w:tcW w:w="2093" w:type="dxa"/>
            <w:shd w:val="clear" w:color="auto" w:fill="auto"/>
            <w:tcMar/>
          </w:tcPr>
          <w:p w:rsidRPr="00A406E5" w:rsidR="00DB0E8B" w:rsidP="00E703F9" w:rsidRDefault="00DB0E8B" w14:paraId="1FFA1CB3" w14:textId="77777777">
            <w:pPr>
              <w:spacing w:before="120" w:after="120"/>
              <w:rPr>
                <w:rFonts w:cs="Arial"/>
                <w:b/>
              </w:rPr>
            </w:pPr>
            <w:r w:rsidRPr="00A406E5">
              <w:rPr>
                <w:rFonts w:cs="Arial"/>
                <w:b/>
                <w:sz w:val="22"/>
              </w:rPr>
              <w:t xml:space="preserve">Module </w:t>
            </w:r>
            <w:r>
              <w:rPr>
                <w:rFonts w:cs="Arial"/>
                <w:b/>
                <w:sz w:val="22"/>
              </w:rPr>
              <w:t>C</w:t>
            </w:r>
            <w:r w:rsidRPr="00A406E5">
              <w:rPr>
                <w:rFonts w:cs="Arial"/>
                <w:b/>
                <w:sz w:val="22"/>
              </w:rPr>
              <w:t>ode:</w:t>
            </w:r>
          </w:p>
        </w:tc>
        <w:tc>
          <w:tcPr>
            <w:tcW w:w="3293" w:type="dxa"/>
            <w:tcMar/>
          </w:tcPr>
          <w:p w:rsidRPr="00A406E5" w:rsidR="00DB0E8B" w:rsidP="00E703F9" w:rsidRDefault="00DB0E8B" w14:paraId="592BBAA2" w14:textId="77777777">
            <w:pPr>
              <w:spacing w:before="120" w:after="120"/>
              <w:rPr>
                <w:rFonts w:cs="Arial"/>
                <w:b/>
              </w:rPr>
            </w:pPr>
            <w:r>
              <w:rPr>
                <w:rFonts w:cs="Arial"/>
                <w:b/>
                <w:sz w:val="22"/>
              </w:rPr>
              <w:t>BMPL4005, BMLW4006</w:t>
            </w:r>
          </w:p>
        </w:tc>
        <w:tc>
          <w:tcPr>
            <w:tcW w:w="2268" w:type="dxa"/>
            <w:shd w:val="clear" w:color="auto" w:fill="D9D9D9" w:themeFill="background1" w:themeFillShade="D9"/>
            <w:tcMar/>
          </w:tcPr>
          <w:p w:rsidRPr="00DB0E8B" w:rsidR="00DB0E8B" w:rsidP="00DB0E8B" w:rsidRDefault="00DB0E8B" w14:paraId="7DA3B280" w14:textId="77777777">
            <w:pPr>
              <w:rPr>
                <w:b/>
              </w:rPr>
            </w:pPr>
            <w:r w:rsidRPr="00DB0E8B">
              <w:rPr>
                <w:b/>
              </w:rPr>
              <w:t>Contribution to Overall Module Assessment (%):</w:t>
            </w:r>
          </w:p>
        </w:tc>
        <w:tc>
          <w:tcPr>
            <w:tcW w:w="2268" w:type="dxa"/>
            <w:tcMar/>
          </w:tcPr>
          <w:p w:rsidRPr="00A406E5" w:rsidR="00DB0E8B" w:rsidP="00E703F9" w:rsidRDefault="00DB0E8B" w14:paraId="0C03D256" w14:textId="77777777">
            <w:pPr>
              <w:spacing w:before="120" w:after="120"/>
              <w:rPr>
                <w:rFonts w:cs="Arial"/>
                <w:b/>
                <w:bCs/>
              </w:rPr>
            </w:pPr>
            <w:r w:rsidRPr="3A83DF62">
              <w:rPr>
                <w:rFonts w:cs="Arial"/>
                <w:b/>
                <w:bCs/>
                <w:sz w:val="22"/>
              </w:rPr>
              <w:t xml:space="preserve">50% </w:t>
            </w:r>
          </w:p>
        </w:tc>
      </w:tr>
      <w:tr w:rsidRPr="00A406E5" w:rsidR="00DB0E8B" w:rsidTr="74E8755C" w14:paraId="1FE5A4B2" w14:textId="77777777">
        <w:trPr>
          <w:jc w:val="center"/>
        </w:trPr>
        <w:tc>
          <w:tcPr>
            <w:tcW w:w="2093" w:type="dxa"/>
            <w:shd w:val="clear" w:color="auto" w:fill="auto"/>
            <w:tcMar/>
          </w:tcPr>
          <w:p w:rsidRPr="00A406E5" w:rsidR="00DB0E8B" w:rsidP="00E703F9" w:rsidRDefault="00DB0E8B" w14:paraId="30C16D7F" w14:textId="77777777">
            <w:pPr>
              <w:spacing w:before="120" w:after="120"/>
              <w:rPr>
                <w:rFonts w:cs="Arial"/>
                <w:b/>
              </w:rPr>
            </w:pPr>
            <w:r w:rsidRPr="00A406E5">
              <w:rPr>
                <w:rFonts w:cs="Arial"/>
                <w:b/>
                <w:sz w:val="22"/>
              </w:rPr>
              <w:t>Lecturer:</w:t>
            </w:r>
          </w:p>
        </w:tc>
        <w:tc>
          <w:tcPr>
            <w:tcW w:w="3293" w:type="dxa"/>
            <w:tcMar/>
          </w:tcPr>
          <w:p w:rsidRPr="00A406E5" w:rsidR="00DB0E8B" w:rsidP="00E703F9" w:rsidRDefault="00DB0E8B" w14:paraId="079275E2" w14:textId="77777777">
            <w:pPr>
              <w:spacing w:before="120" w:after="120"/>
              <w:rPr>
                <w:rFonts w:cs="Arial"/>
                <w:b/>
              </w:rPr>
            </w:pPr>
            <w:r>
              <w:rPr>
                <w:rFonts w:cs="Arial"/>
                <w:b/>
                <w:sz w:val="22"/>
              </w:rPr>
              <w:t>Zita Draper and Sian Turvey</w:t>
            </w:r>
          </w:p>
        </w:tc>
        <w:tc>
          <w:tcPr>
            <w:tcW w:w="2268" w:type="dxa"/>
            <w:shd w:val="clear" w:color="auto" w:fill="D9D9D9" w:themeFill="background1" w:themeFillShade="D9"/>
            <w:tcMar/>
          </w:tcPr>
          <w:p w:rsidRPr="00A406E5" w:rsidR="00DB0E8B" w:rsidP="00E703F9" w:rsidRDefault="00DB0E8B" w14:paraId="18C1234A" w14:textId="77777777">
            <w:pPr>
              <w:spacing w:before="120" w:after="120"/>
              <w:rPr>
                <w:rFonts w:cs="Arial"/>
                <w:b/>
              </w:rPr>
            </w:pPr>
            <w:r w:rsidRPr="00A406E5">
              <w:rPr>
                <w:rFonts w:cs="Arial"/>
                <w:b/>
                <w:sz w:val="22"/>
              </w:rPr>
              <w:t>Internal Verifier:</w:t>
            </w:r>
          </w:p>
        </w:tc>
        <w:tc>
          <w:tcPr>
            <w:tcW w:w="2268" w:type="dxa"/>
            <w:tcMar/>
          </w:tcPr>
          <w:p w:rsidRPr="00A406E5" w:rsidR="00DB0E8B" w:rsidP="00E703F9" w:rsidRDefault="00DB0E8B" w14:paraId="44738C99" w14:textId="77777777">
            <w:pPr>
              <w:spacing w:before="120" w:after="120"/>
              <w:rPr>
                <w:rFonts w:cs="Arial"/>
                <w:b/>
              </w:rPr>
            </w:pPr>
            <w:r>
              <w:rPr>
                <w:rFonts w:cs="Arial"/>
                <w:b/>
                <w:sz w:val="22"/>
              </w:rPr>
              <w:t xml:space="preserve">Sian Turvey </w:t>
            </w:r>
          </w:p>
        </w:tc>
      </w:tr>
      <w:tr w:rsidRPr="00A406E5" w:rsidR="00DB0E8B" w:rsidTr="74E8755C" w14:paraId="572A0166" w14:textId="77777777">
        <w:trPr>
          <w:jc w:val="center"/>
        </w:trPr>
        <w:tc>
          <w:tcPr>
            <w:tcW w:w="2093" w:type="dxa"/>
            <w:shd w:val="clear" w:color="auto" w:fill="auto"/>
            <w:tcMar/>
          </w:tcPr>
          <w:p w:rsidRPr="00A406E5" w:rsidR="00DB0E8B" w:rsidP="00E703F9" w:rsidRDefault="00DB0E8B" w14:paraId="47EC15B5" w14:textId="77777777">
            <w:pPr>
              <w:spacing w:before="120" w:after="120"/>
              <w:rPr>
                <w:rFonts w:cs="Arial"/>
                <w:b/>
              </w:rPr>
            </w:pPr>
            <w:r w:rsidRPr="00A406E5">
              <w:rPr>
                <w:rFonts w:cs="Arial"/>
                <w:b/>
                <w:sz w:val="22"/>
              </w:rPr>
              <w:t>Assignment Title:</w:t>
            </w:r>
          </w:p>
        </w:tc>
        <w:tc>
          <w:tcPr>
            <w:tcW w:w="3293" w:type="dxa"/>
            <w:tcMar/>
          </w:tcPr>
          <w:p w:rsidRPr="00A406E5" w:rsidR="00DB0E8B" w:rsidP="00E703F9" w:rsidRDefault="00DB0E8B" w14:paraId="4709A0D0" w14:textId="77777777">
            <w:pPr>
              <w:spacing w:before="120" w:after="120"/>
              <w:rPr>
                <w:rFonts w:cs="Arial"/>
                <w:b/>
                <w:bCs/>
              </w:rPr>
            </w:pPr>
            <w:r>
              <w:rPr>
                <w:rFonts w:cs="Arial"/>
                <w:b/>
                <w:bCs/>
                <w:sz w:val="22"/>
              </w:rPr>
              <w:t>Common Law</w:t>
            </w:r>
            <w:r w:rsidRPr="61D7018E">
              <w:rPr>
                <w:rFonts w:cs="Arial"/>
                <w:b/>
                <w:bCs/>
                <w:sz w:val="22"/>
              </w:rPr>
              <w:t xml:space="preserve"> </w:t>
            </w:r>
          </w:p>
        </w:tc>
        <w:tc>
          <w:tcPr>
            <w:tcW w:w="2268" w:type="dxa"/>
            <w:shd w:val="clear" w:color="auto" w:fill="auto"/>
            <w:tcMar/>
          </w:tcPr>
          <w:p w:rsidRPr="00A406E5" w:rsidR="00DB0E8B" w:rsidP="00E703F9" w:rsidRDefault="00DB0E8B" w14:paraId="576B2028" w14:textId="77777777">
            <w:pPr>
              <w:spacing w:before="120" w:after="120"/>
              <w:rPr>
                <w:rFonts w:cs="Arial"/>
                <w:b/>
              </w:rPr>
            </w:pPr>
            <w:r>
              <w:rPr>
                <w:rFonts w:cs="Arial"/>
                <w:b/>
                <w:sz w:val="22"/>
              </w:rPr>
              <w:t>Word count (or equivalent):</w:t>
            </w:r>
          </w:p>
        </w:tc>
        <w:tc>
          <w:tcPr>
            <w:tcW w:w="2268" w:type="dxa"/>
            <w:tcMar/>
          </w:tcPr>
          <w:p w:rsidRPr="00A406E5" w:rsidR="00DB0E8B" w:rsidP="00E703F9" w:rsidRDefault="00DB0E8B" w14:paraId="43BD7B25" w14:textId="77777777">
            <w:pPr>
              <w:spacing w:before="120" w:after="120"/>
              <w:rPr>
                <w:rFonts w:cs="Arial"/>
                <w:b/>
              </w:rPr>
            </w:pPr>
            <w:r>
              <w:rPr>
                <w:rFonts w:cs="Arial"/>
                <w:b/>
                <w:sz w:val="22"/>
              </w:rPr>
              <w:t>1500</w:t>
            </w:r>
          </w:p>
        </w:tc>
      </w:tr>
      <w:tr w:rsidRPr="00A406E5" w:rsidR="00DB0E8B" w:rsidTr="74E8755C" w14:paraId="44338B73" w14:textId="77777777">
        <w:trPr>
          <w:jc w:val="center"/>
        </w:trPr>
        <w:tc>
          <w:tcPr>
            <w:tcW w:w="2093" w:type="dxa"/>
            <w:shd w:val="clear" w:color="auto" w:fill="auto"/>
            <w:tcMar/>
          </w:tcPr>
          <w:p w:rsidRPr="00A406E5" w:rsidR="00DB0E8B" w:rsidP="00E703F9" w:rsidRDefault="00DB0E8B" w14:paraId="0184806C" w14:textId="77777777">
            <w:pPr>
              <w:spacing w:before="120" w:after="120"/>
              <w:rPr>
                <w:rFonts w:cs="Arial"/>
                <w:b/>
              </w:rPr>
            </w:pPr>
            <w:r w:rsidRPr="00A406E5">
              <w:rPr>
                <w:rFonts w:cs="Arial"/>
                <w:b/>
                <w:sz w:val="22"/>
              </w:rPr>
              <w:t xml:space="preserve">Submission </w:t>
            </w:r>
            <w:r>
              <w:rPr>
                <w:rFonts w:cs="Arial"/>
                <w:b/>
                <w:sz w:val="22"/>
              </w:rPr>
              <w:t>D</w:t>
            </w:r>
            <w:r w:rsidRPr="00A406E5">
              <w:rPr>
                <w:rFonts w:cs="Arial"/>
                <w:b/>
                <w:sz w:val="22"/>
              </w:rPr>
              <w:t>eadline:</w:t>
            </w:r>
          </w:p>
        </w:tc>
        <w:tc>
          <w:tcPr>
            <w:tcW w:w="3293" w:type="dxa"/>
            <w:shd w:val="clear" w:color="auto" w:fill="auto"/>
            <w:tcMar/>
          </w:tcPr>
          <w:p w:rsidRPr="00A406E5" w:rsidR="00DB0E8B" w:rsidP="00E703F9" w:rsidRDefault="00DB0E8B" w14:paraId="533F64F5" w14:textId="77777777">
            <w:pPr>
              <w:spacing w:before="120" w:after="120"/>
              <w:rPr>
                <w:rFonts w:cs="Arial"/>
                <w:b/>
              </w:rPr>
            </w:pPr>
            <w:r>
              <w:rPr>
                <w:rFonts w:cs="Arial"/>
                <w:b/>
                <w:sz w:val="22"/>
              </w:rPr>
              <w:t>By 23:59pm on Friday 10</w:t>
            </w:r>
            <w:r w:rsidRPr="008222C7">
              <w:rPr>
                <w:rFonts w:cs="Arial"/>
                <w:b/>
                <w:sz w:val="22"/>
                <w:vertAlign w:val="superscript"/>
              </w:rPr>
              <w:t>th</w:t>
            </w:r>
            <w:r>
              <w:rPr>
                <w:rFonts w:cs="Arial"/>
                <w:b/>
                <w:sz w:val="22"/>
              </w:rPr>
              <w:t xml:space="preserve"> March 2023</w:t>
            </w:r>
          </w:p>
        </w:tc>
        <w:tc>
          <w:tcPr>
            <w:tcW w:w="2268" w:type="dxa"/>
            <w:shd w:val="clear" w:color="auto" w:fill="auto"/>
            <w:tcMar/>
          </w:tcPr>
          <w:p w:rsidRPr="00A406E5" w:rsidR="00DB0E8B" w:rsidP="00E703F9" w:rsidRDefault="00DB0E8B" w14:paraId="4210EDE9" w14:textId="77777777">
            <w:pPr>
              <w:spacing w:before="120" w:after="120"/>
              <w:rPr>
                <w:rFonts w:cs="Arial"/>
                <w:b/>
              </w:rPr>
            </w:pPr>
            <w:r w:rsidRPr="00A406E5">
              <w:rPr>
                <w:rFonts w:cs="Arial"/>
                <w:b/>
                <w:sz w:val="22"/>
              </w:rPr>
              <w:t>Return date of provisional marks &amp; written feedback:</w:t>
            </w:r>
          </w:p>
        </w:tc>
        <w:tc>
          <w:tcPr>
            <w:tcW w:w="2268" w:type="dxa"/>
            <w:tcMar/>
          </w:tcPr>
          <w:p w:rsidRPr="00A406E5" w:rsidR="00DB0E8B" w:rsidP="00E703F9" w:rsidRDefault="00DB0E8B" w14:paraId="1E83DFF5" w14:textId="77777777">
            <w:pPr>
              <w:spacing w:before="120" w:after="120"/>
              <w:rPr>
                <w:rFonts w:cs="Arial"/>
                <w:b/>
              </w:rPr>
            </w:pPr>
            <w:r>
              <w:rPr>
                <w:rFonts w:cs="Arial"/>
                <w:b/>
                <w:sz w:val="22"/>
              </w:rPr>
              <w:t>Monday 10</w:t>
            </w:r>
            <w:r w:rsidRPr="008222C7">
              <w:rPr>
                <w:rFonts w:cs="Arial"/>
                <w:b/>
                <w:sz w:val="22"/>
                <w:vertAlign w:val="superscript"/>
              </w:rPr>
              <w:t>th</w:t>
            </w:r>
            <w:r>
              <w:rPr>
                <w:rFonts w:cs="Arial"/>
                <w:b/>
                <w:sz w:val="22"/>
              </w:rPr>
              <w:t xml:space="preserve"> April 2023 at 10am</w:t>
            </w:r>
          </w:p>
        </w:tc>
      </w:tr>
    </w:tbl>
    <w:p w:rsidRPr="00A406E5" w:rsidR="00DB0E8B" w:rsidP="00DB0E8B" w:rsidRDefault="00DB0E8B" w14:paraId="0879A5A1" w14:textId="77777777">
      <w:pPr>
        <w:rPr>
          <w:rFonts w:cs="Arial"/>
          <w:sz w:val="32"/>
        </w:rPr>
      </w:pPr>
    </w:p>
    <w:p w:rsidRPr="00A406E5" w:rsidR="00DB0E8B" w:rsidP="00DB0E8B" w:rsidRDefault="00DB0E8B" w14:paraId="3DD3C5B7" w14:textId="77777777">
      <w:pPr>
        <w:rPr>
          <w:rFonts w:cs="Arial"/>
          <w:sz w:val="32"/>
        </w:rPr>
      </w:pPr>
    </w:p>
    <w:p w:rsidR="00DB0E8B" w:rsidRDefault="00DB0E8B" w14:paraId="0054C81D" w14:textId="77777777">
      <w:pPr>
        <w:spacing w:line="259" w:lineRule="auto"/>
        <w:jc w:val="left"/>
        <w:rPr>
          <w:rFonts w:cs="Arial"/>
          <w:sz w:val="32"/>
        </w:rPr>
      </w:pPr>
      <w:r>
        <w:rPr>
          <w:rFonts w:cs="Arial"/>
          <w:sz w:val="32"/>
        </w:rPr>
        <w:br w:type="page"/>
      </w:r>
    </w:p>
    <w:sdt>
      <w:sdtPr>
        <w:rPr>
          <w:rFonts w:ascii="Times New Roman" w:hAnsi="Times New Roman" w:eastAsiaTheme="minorHAnsi" w:cstheme="minorBidi"/>
          <w:sz w:val="24"/>
          <w:szCs w:val="22"/>
          <w:lang w:val="en-GB"/>
        </w:rPr>
        <w:id w:val="629680265"/>
        <w:docPartObj>
          <w:docPartGallery w:val="Table of Contents"/>
          <w:docPartUnique/>
        </w:docPartObj>
      </w:sdtPr>
      <w:sdtEndPr>
        <w:rPr>
          <w:rFonts w:ascii="Arial" w:hAnsi="Arial"/>
          <w:b/>
          <w:bCs/>
          <w:noProof/>
        </w:rPr>
      </w:sdtEndPr>
      <w:sdtContent>
        <w:p w:rsidRPr="00DB0E8B" w:rsidR="003F7119" w:rsidRDefault="003F7119" w14:paraId="4F8DB0B7" w14:textId="77777777">
          <w:pPr>
            <w:pStyle w:val="Titlucuprins"/>
            <w:rPr>
              <w:rFonts w:ascii="Arial" w:hAnsi="Arial" w:cs="Arial"/>
              <w:b/>
              <w:sz w:val="28"/>
            </w:rPr>
          </w:pPr>
          <w:r w:rsidRPr="00DB0E8B">
            <w:rPr>
              <w:rFonts w:ascii="Arial" w:hAnsi="Arial" w:cs="Arial"/>
              <w:b/>
              <w:sz w:val="28"/>
            </w:rPr>
            <w:t>Table of Contents</w:t>
          </w:r>
        </w:p>
        <w:p w:rsidR="00DB0E8B" w:rsidRDefault="00007B0E" w14:paraId="09C12E75" w14:textId="77777777">
          <w:pPr>
            <w:pStyle w:val="Cuprins1"/>
            <w:tabs>
              <w:tab w:val="right" w:leader="dot" w:pos="9350"/>
            </w:tabs>
            <w:rPr>
              <w:rFonts w:asciiTheme="minorHAnsi" w:hAnsiTheme="minorHAnsi" w:eastAsiaTheme="minorEastAsia"/>
              <w:noProof/>
              <w:sz w:val="22"/>
              <w:lang w:val="en-US"/>
            </w:rPr>
          </w:pPr>
          <w:r>
            <w:fldChar w:fldCharType="begin"/>
          </w:r>
          <w:r w:rsidR="003F7119">
            <w:instrText xml:space="preserve"> TOC \o "1-3" \h \z \u </w:instrText>
          </w:r>
          <w:r>
            <w:fldChar w:fldCharType="separate"/>
          </w:r>
          <w:hyperlink w:history="1" w:anchor="_Toc129298448">
            <w:r w:rsidRPr="00352FB7" w:rsidR="00DB0E8B">
              <w:rPr>
                <w:rStyle w:val="Hyperlink"/>
                <w:noProof/>
              </w:rPr>
              <w:t>Introduction</w:t>
            </w:r>
            <w:r w:rsidR="00DB0E8B">
              <w:rPr>
                <w:noProof/>
                <w:webHidden/>
              </w:rPr>
              <w:tab/>
            </w:r>
            <w:r>
              <w:rPr>
                <w:noProof/>
                <w:webHidden/>
              </w:rPr>
              <w:fldChar w:fldCharType="begin"/>
            </w:r>
            <w:r w:rsidR="00DB0E8B">
              <w:rPr>
                <w:noProof/>
                <w:webHidden/>
              </w:rPr>
              <w:instrText xml:space="preserve"> PAGEREF _Toc129298448 \h </w:instrText>
            </w:r>
            <w:r>
              <w:rPr>
                <w:noProof/>
                <w:webHidden/>
              </w:rPr>
            </w:r>
            <w:r>
              <w:rPr>
                <w:noProof/>
                <w:webHidden/>
              </w:rPr>
              <w:fldChar w:fldCharType="separate"/>
            </w:r>
            <w:r w:rsidR="00DB0E8B">
              <w:rPr>
                <w:noProof/>
                <w:webHidden/>
              </w:rPr>
              <w:t>3</w:t>
            </w:r>
            <w:r>
              <w:rPr>
                <w:noProof/>
                <w:webHidden/>
              </w:rPr>
              <w:fldChar w:fldCharType="end"/>
            </w:r>
          </w:hyperlink>
        </w:p>
        <w:p w:rsidR="00DB0E8B" w:rsidRDefault="00BE5C85" w14:paraId="531FF56D" w14:textId="77777777">
          <w:pPr>
            <w:pStyle w:val="Cuprins1"/>
            <w:tabs>
              <w:tab w:val="right" w:leader="dot" w:pos="9350"/>
            </w:tabs>
            <w:rPr>
              <w:rFonts w:asciiTheme="minorHAnsi" w:hAnsiTheme="minorHAnsi" w:eastAsiaTheme="minorEastAsia"/>
              <w:noProof/>
              <w:sz w:val="22"/>
              <w:lang w:val="en-US"/>
            </w:rPr>
          </w:pPr>
          <w:hyperlink w:history="1" w:anchor="_Toc129298449">
            <w:r w:rsidRPr="00352FB7" w:rsidR="00DB0E8B">
              <w:rPr>
                <w:rStyle w:val="Hyperlink"/>
                <w:noProof/>
              </w:rPr>
              <w:t>Common law</w:t>
            </w:r>
            <w:r w:rsidR="00DB0E8B">
              <w:rPr>
                <w:noProof/>
                <w:webHidden/>
              </w:rPr>
              <w:tab/>
            </w:r>
            <w:r w:rsidR="00007B0E">
              <w:rPr>
                <w:noProof/>
                <w:webHidden/>
              </w:rPr>
              <w:fldChar w:fldCharType="begin"/>
            </w:r>
            <w:r w:rsidR="00DB0E8B">
              <w:rPr>
                <w:noProof/>
                <w:webHidden/>
              </w:rPr>
              <w:instrText xml:space="preserve"> PAGEREF _Toc129298449 \h </w:instrText>
            </w:r>
            <w:r w:rsidR="00007B0E">
              <w:rPr>
                <w:noProof/>
                <w:webHidden/>
              </w:rPr>
            </w:r>
            <w:r w:rsidR="00007B0E">
              <w:rPr>
                <w:noProof/>
                <w:webHidden/>
              </w:rPr>
              <w:fldChar w:fldCharType="separate"/>
            </w:r>
            <w:r w:rsidR="00DB0E8B">
              <w:rPr>
                <w:noProof/>
                <w:webHidden/>
              </w:rPr>
              <w:t>4</w:t>
            </w:r>
            <w:r w:rsidR="00007B0E">
              <w:rPr>
                <w:noProof/>
                <w:webHidden/>
              </w:rPr>
              <w:fldChar w:fldCharType="end"/>
            </w:r>
          </w:hyperlink>
        </w:p>
        <w:p w:rsidR="00DB0E8B" w:rsidRDefault="00BE5C85" w14:paraId="0C1735E9" w14:textId="77777777">
          <w:pPr>
            <w:pStyle w:val="Cuprins1"/>
            <w:tabs>
              <w:tab w:val="right" w:leader="dot" w:pos="9350"/>
            </w:tabs>
            <w:rPr>
              <w:rFonts w:asciiTheme="minorHAnsi" w:hAnsiTheme="minorHAnsi" w:eastAsiaTheme="minorEastAsia"/>
              <w:noProof/>
              <w:sz w:val="22"/>
              <w:lang w:val="en-US"/>
            </w:rPr>
          </w:pPr>
          <w:hyperlink w:history="1" w:anchor="_Toc129298450">
            <w:r w:rsidRPr="00352FB7" w:rsidR="00DB0E8B">
              <w:rPr>
                <w:rStyle w:val="Hyperlink"/>
                <w:noProof/>
              </w:rPr>
              <w:t>Civil law</w:t>
            </w:r>
            <w:r w:rsidR="00DB0E8B">
              <w:rPr>
                <w:noProof/>
                <w:webHidden/>
              </w:rPr>
              <w:tab/>
            </w:r>
            <w:r w:rsidR="00007B0E">
              <w:rPr>
                <w:noProof/>
                <w:webHidden/>
              </w:rPr>
              <w:fldChar w:fldCharType="begin"/>
            </w:r>
            <w:r w:rsidR="00DB0E8B">
              <w:rPr>
                <w:noProof/>
                <w:webHidden/>
              </w:rPr>
              <w:instrText xml:space="preserve"> PAGEREF _Toc129298450 \h </w:instrText>
            </w:r>
            <w:r w:rsidR="00007B0E">
              <w:rPr>
                <w:noProof/>
                <w:webHidden/>
              </w:rPr>
            </w:r>
            <w:r w:rsidR="00007B0E">
              <w:rPr>
                <w:noProof/>
                <w:webHidden/>
              </w:rPr>
              <w:fldChar w:fldCharType="separate"/>
            </w:r>
            <w:r w:rsidR="00DB0E8B">
              <w:rPr>
                <w:noProof/>
                <w:webHidden/>
              </w:rPr>
              <w:t>4</w:t>
            </w:r>
            <w:r w:rsidR="00007B0E">
              <w:rPr>
                <w:noProof/>
                <w:webHidden/>
              </w:rPr>
              <w:fldChar w:fldCharType="end"/>
            </w:r>
          </w:hyperlink>
        </w:p>
        <w:p w:rsidR="00DB0E8B" w:rsidRDefault="00BE5C85" w14:paraId="717BE0EA" w14:textId="77777777">
          <w:pPr>
            <w:pStyle w:val="Cuprins1"/>
            <w:tabs>
              <w:tab w:val="right" w:leader="dot" w:pos="9350"/>
            </w:tabs>
            <w:rPr>
              <w:rFonts w:asciiTheme="minorHAnsi" w:hAnsiTheme="minorHAnsi" w:eastAsiaTheme="minorEastAsia"/>
              <w:noProof/>
              <w:sz w:val="22"/>
              <w:lang w:val="en-US"/>
            </w:rPr>
          </w:pPr>
          <w:hyperlink w:history="1" w:anchor="_Toc129298451">
            <w:r w:rsidRPr="00352FB7" w:rsidR="00DB0E8B">
              <w:rPr>
                <w:rStyle w:val="Hyperlink"/>
                <w:noProof/>
              </w:rPr>
              <w:t>Contrasting between civil law and case law</w:t>
            </w:r>
            <w:r w:rsidR="00DB0E8B">
              <w:rPr>
                <w:noProof/>
                <w:webHidden/>
              </w:rPr>
              <w:tab/>
            </w:r>
            <w:r w:rsidR="00007B0E">
              <w:rPr>
                <w:noProof/>
                <w:webHidden/>
              </w:rPr>
              <w:fldChar w:fldCharType="begin"/>
            </w:r>
            <w:r w:rsidR="00DB0E8B">
              <w:rPr>
                <w:noProof/>
                <w:webHidden/>
              </w:rPr>
              <w:instrText xml:space="preserve"> PAGEREF _Toc129298451 \h </w:instrText>
            </w:r>
            <w:r w:rsidR="00007B0E">
              <w:rPr>
                <w:noProof/>
                <w:webHidden/>
              </w:rPr>
            </w:r>
            <w:r w:rsidR="00007B0E">
              <w:rPr>
                <w:noProof/>
                <w:webHidden/>
              </w:rPr>
              <w:fldChar w:fldCharType="separate"/>
            </w:r>
            <w:r w:rsidR="00DB0E8B">
              <w:rPr>
                <w:noProof/>
                <w:webHidden/>
              </w:rPr>
              <w:t>5</w:t>
            </w:r>
            <w:r w:rsidR="00007B0E">
              <w:rPr>
                <w:noProof/>
                <w:webHidden/>
              </w:rPr>
              <w:fldChar w:fldCharType="end"/>
            </w:r>
          </w:hyperlink>
        </w:p>
        <w:p w:rsidR="00DB0E8B" w:rsidRDefault="00BE5C85" w14:paraId="387076D5" w14:textId="77777777">
          <w:pPr>
            <w:pStyle w:val="Cuprins1"/>
            <w:tabs>
              <w:tab w:val="right" w:leader="dot" w:pos="9350"/>
            </w:tabs>
            <w:rPr>
              <w:rFonts w:asciiTheme="minorHAnsi" w:hAnsiTheme="minorHAnsi" w:eastAsiaTheme="minorEastAsia"/>
              <w:noProof/>
              <w:sz w:val="22"/>
              <w:lang w:val="en-US"/>
            </w:rPr>
          </w:pPr>
          <w:hyperlink w:history="1" w:anchor="_Toc129298452">
            <w:r w:rsidRPr="00352FB7" w:rsidR="00DB0E8B">
              <w:rPr>
                <w:rStyle w:val="Hyperlink"/>
                <w:noProof/>
              </w:rPr>
              <w:t>Outlining the history of the common law</w:t>
            </w:r>
            <w:r w:rsidR="00DB0E8B">
              <w:rPr>
                <w:noProof/>
                <w:webHidden/>
              </w:rPr>
              <w:tab/>
            </w:r>
            <w:r w:rsidR="00007B0E">
              <w:rPr>
                <w:noProof/>
                <w:webHidden/>
              </w:rPr>
              <w:fldChar w:fldCharType="begin"/>
            </w:r>
            <w:r w:rsidR="00DB0E8B">
              <w:rPr>
                <w:noProof/>
                <w:webHidden/>
              </w:rPr>
              <w:instrText xml:space="preserve"> PAGEREF _Toc129298452 \h </w:instrText>
            </w:r>
            <w:r w:rsidR="00007B0E">
              <w:rPr>
                <w:noProof/>
                <w:webHidden/>
              </w:rPr>
            </w:r>
            <w:r w:rsidR="00007B0E">
              <w:rPr>
                <w:noProof/>
                <w:webHidden/>
              </w:rPr>
              <w:fldChar w:fldCharType="separate"/>
            </w:r>
            <w:r w:rsidR="00DB0E8B">
              <w:rPr>
                <w:noProof/>
                <w:webHidden/>
              </w:rPr>
              <w:t>6</w:t>
            </w:r>
            <w:r w:rsidR="00007B0E">
              <w:rPr>
                <w:noProof/>
                <w:webHidden/>
              </w:rPr>
              <w:fldChar w:fldCharType="end"/>
            </w:r>
          </w:hyperlink>
        </w:p>
        <w:p w:rsidR="00DB0E8B" w:rsidRDefault="00BE5C85" w14:paraId="4D8B8C97" w14:textId="77777777">
          <w:pPr>
            <w:pStyle w:val="Cuprins1"/>
            <w:tabs>
              <w:tab w:val="right" w:leader="dot" w:pos="9350"/>
            </w:tabs>
            <w:rPr>
              <w:rFonts w:asciiTheme="minorHAnsi" w:hAnsiTheme="minorHAnsi" w:eastAsiaTheme="minorEastAsia"/>
              <w:noProof/>
              <w:sz w:val="22"/>
              <w:lang w:val="en-US"/>
            </w:rPr>
          </w:pPr>
          <w:hyperlink w:history="1" w:anchor="_Toc129298453">
            <w:r w:rsidRPr="00352FB7" w:rsidR="00DB0E8B">
              <w:rPr>
                <w:rStyle w:val="Hyperlink"/>
                <w:noProof/>
              </w:rPr>
              <w:t>Examples of the common law working in practice in UK</w:t>
            </w:r>
            <w:r w:rsidR="00DB0E8B">
              <w:rPr>
                <w:noProof/>
                <w:webHidden/>
              </w:rPr>
              <w:tab/>
            </w:r>
            <w:r w:rsidR="00007B0E">
              <w:rPr>
                <w:noProof/>
                <w:webHidden/>
              </w:rPr>
              <w:fldChar w:fldCharType="begin"/>
            </w:r>
            <w:r w:rsidR="00DB0E8B">
              <w:rPr>
                <w:noProof/>
                <w:webHidden/>
              </w:rPr>
              <w:instrText xml:space="preserve"> PAGEREF _Toc129298453 \h </w:instrText>
            </w:r>
            <w:r w:rsidR="00007B0E">
              <w:rPr>
                <w:noProof/>
                <w:webHidden/>
              </w:rPr>
            </w:r>
            <w:r w:rsidR="00007B0E">
              <w:rPr>
                <w:noProof/>
                <w:webHidden/>
              </w:rPr>
              <w:fldChar w:fldCharType="separate"/>
            </w:r>
            <w:r w:rsidR="00DB0E8B">
              <w:rPr>
                <w:noProof/>
                <w:webHidden/>
              </w:rPr>
              <w:t>7</w:t>
            </w:r>
            <w:r w:rsidR="00007B0E">
              <w:rPr>
                <w:noProof/>
                <w:webHidden/>
              </w:rPr>
              <w:fldChar w:fldCharType="end"/>
            </w:r>
          </w:hyperlink>
        </w:p>
        <w:p w:rsidR="00DB0E8B" w:rsidRDefault="00BE5C85" w14:paraId="7D9D5412" w14:textId="77777777">
          <w:pPr>
            <w:pStyle w:val="Cuprins1"/>
            <w:tabs>
              <w:tab w:val="right" w:leader="dot" w:pos="9350"/>
            </w:tabs>
            <w:rPr>
              <w:rFonts w:asciiTheme="minorHAnsi" w:hAnsiTheme="minorHAnsi" w:eastAsiaTheme="minorEastAsia"/>
              <w:noProof/>
              <w:sz w:val="22"/>
              <w:lang w:val="en-US"/>
            </w:rPr>
          </w:pPr>
          <w:hyperlink w:history="1" w:anchor="_Toc129298454">
            <w:r w:rsidRPr="00352FB7" w:rsidR="00DB0E8B">
              <w:rPr>
                <w:rStyle w:val="Hyperlink"/>
                <w:noProof/>
              </w:rPr>
              <w:t>Conclusion</w:t>
            </w:r>
            <w:r w:rsidR="00DB0E8B">
              <w:rPr>
                <w:noProof/>
                <w:webHidden/>
              </w:rPr>
              <w:tab/>
            </w:r>
            <w:r w:rsidR="00007B0E">
              <w:rPr>
                <w:noProof/>
                <w:webHidden/>
              </w:rPr>
              <w:fldChar w:fldCharType="begin"/>
            </w:r>
            <w:r w:rsidR="00DB0E8B">
              <w:rPr>
                <w:noProof/>
                <w:webHidden/>
              </w:rPr>
              <w:instrText xml:space="preserve"> PAGEREF _Toc129298454 \h </w:instrText>
            </w:r>
            <w:r w:rsidR="00007B0E">
              <w:rPr>
                <w:noProof/>
                <w:webHidden/>
              </w:rPr>
            </w:r>
            <w:r w:rsidR="00007B0E">
              <w:rPr>
                <w:noProof/>
                <w:webHidden/>
              </w:rPr>
              <w:fldChar w:fldCharType="separate"/>
            </w:r>
            <w:r w:rsidR="00DB0E8B">
              <w:rPr>
                <w:noProof/>
                <w:webHidden/>
              </w:rPr>
              <w:t>8</w:t>
            </w:r>
            <w:r w:rsidR="00007B0E">
              <w:rPr>
                <w:noProof/>
                <w:webHidden/>
              </w:rPr>
              <w:fldChar w:fldCharType="end"/>
            </w:r>
          </w:hyperlink>
        </w:p>
        <w:p w:rsidR="00DB0E8B" w:rsidRDefault="00BE5C85" w14:paraId="17AF20DD" w14:textId="77777777">
          <w:pPr>
            <w:pStyle w:val="Cuprins1"/>
            <w:tabs>
              <w:tab w:val="right" w:leader="dot" w:pos="9350"/>
            </w:tabs>
            <w:rPr>
              <w:rFonts w:asciiTheme="minorHAnsi" w:hAnsiTheme="minorHAnsi" w:eastAsiaTheme="minorEastAsia"/>
              <w:noProof/>
              <w:sz w:val="22"/>
              <w:lang w:val="en-US"/>
            </w:rPr>
          </w:pPr>
          <w:hyperlink w:history="1" w:anchor="_Toc129298455">
            <w:r w:rsidRPr="00352FB7" w:rsidR="00DB0E8B">
              <w:rPr>
                <w:rStyle w:val="Hyperlink"/>
                <w:noProof/>
              </w:rPr>
              <w:t>References</w:t>
            </w:r>
            <w:r w:rsidR="00DB0E8B">
              <w:rPr>
                <w:noProof/>
                <w:webHidden/>
              </w:rPr>
              <w:tab/>
            </w:r>
            <w:r w:rsidR="00007B0E">
              <w:rPr>
                <w:noProof/>
                <w:webHidden/>
              </w:rPr>
              <w:fldChar w:fldCharType="begin"/>
            </w:r>
            <w:r w:rsidR="00DB0E8B">
              <w:rPr>
                <w:noProof/>
                <w:webHidden/>
              </w:rPr>
              <w:instrText xml:space="preserve"> PAGEREF _Toc129298455 \h </w:instrText>
            </w:r>
            <w:r w:rsidR="00007B0E">
              <w:rPr>
                <w:noProof/>
                <w:webHidden/>
              </w:rPr>
            </w:r>
            <w:r w:rsidR="00007B0E">
              <w:rPr>
                <w:noProof/>
                <w:webHidden/>
              </w:rPr>
              <w:fldChar w:fldCharType="separate"/>
            </w:r>
            <w:r w:rsidR="00DB0E8B">
              <w:rPr>
                <w:noProof/>
                <w:webHidden/>
              </w:rPr>
              <w:t>9</w:t>
            </w:r>
            <w:r w:rsidR="00007B0E">
              <w:rPr>
                <w:noProof/>
                <w:webHidden/>
              </w:rPr>
              <w:fldChar w:fldCharType="end"/>
            </w:r>
          </w:hyperlink>
        </w:p>
        <w:p w:rsidR="003F7119" w:rsidRDefault="00007B0E" w14:paraId="348C8E89" w14:textId="77777777">
          <w:r>
            <w:rPr>
              <w:b/>
              <w:bCs/>
              <w:noProof/>
            </w:rPr>
            <w:fldChar w:fldCharType="end"/>
          </w:r>
        </w:p>
      </w:sdtContent>
    </w:sdt>
    <w:p w:rsidR="0029649E" w:rsidP="003F7119" w:rsidRDefault="0029649E" w14:paraId="0F44E5DB" w14:textId="77777777">
      <w:r>
        <w:br w:type="page"/>
      </w:r>
    </w:p>
    <w:p w:rsidR="00A253C7" w:rsidP="00B25452" w:rsidRDefault="00A253C7" w14:paraId="6132ABFE" w14:textId="77777777">
      <w:pPr>
        <w:pStyle w:val="Titlu1"/>
      </w:pPr>
      <w:bookmarkStart w:name="_Toc129298448" w:id="0"/>
      <w:r>
        <w:t>Introduction</w:t>
      </w:r>
      <w:bookmarkEnd w:id="0"/>
    </w:p>
    <w:p w:rsidRPr="00A253C7" w:rsidR="00A253C7" w:rsidP="007C6920" w:rsidRDefault="00FD7122" w14:paraId="6FFD1A45" w14:textId="77777777">
      <w:r>
        <w:t>Common law is crucial in many aspects of the British legal system, including the interpretation and implementation of laws as well as the settlement of legal disputes in situations when specific legislation is irrelevant.</w:t>
      </w:r>
      <w:r w:rsidR="00361E06">
        <w:t xml:space="preserve"> Civil law deals with a wide range of legal issues, such as property disputes, family law issues, contract disagreements, and personal injury lawsuits. The basis of the civil law system in the UK is provided by common law and statute law.</w:t>
      </w:r>
    </w:p>
    <w:p w:rsidR="00370A0F" w:rsidRDefault="00370A0F" w14:paraId="5BE5B197" w14:textId="77777777">
      <w:pPr>
        <w:spacing w:line="259" w:lineRule="auto"/>
        <w:jc w:val="left"/>
        <w:rPr>
          <w:rFonts w:eastAsiaTheme="majorEastAsia" w:cstheme="majorBidi"/>
          <w:b/>
          <w:color w:val="2F5496" w:themeColor="accent1" w:themeShade="BF"/>
          <w:sz w:val="32"/>
          <w:szCs w:val="32"/>
        </w:rPr>
      </w:pPr>
      <w:r>
        <w:br w:type="page"/>
      </w:r>
    </w:p>
    <w:p w:rsidR="0029649E" w:rsidP="00B25452" w:rsidRDefault="00B25452" w14:paraId="15DAD6AF" w14:textId="77777777">
      <w:pPr>
        <w:pStyle w:val="Titlu1"/>
      </w:pPr>
      <w:bookmarkStart w:name="_Toc129298449" w:id="1"/>
      <w:r>
        <w:t>C</w:t>
      </w:r>
      <w:r w:rsidR="00166942">
        <w:t>ommon law</w:t>
      </w:r>
      <w:bookmarkEnd w:id="1"/>
    </w:p>
    <w:p w:rsidR="00A66CD6" w:rsidP="00A66CD6" w:rsidRDefault="00A66CD6" w14:paraId="076AAF79" w14:textId="46A8A433">
      <w:r w:rsidR="00A66CD6">
        <w:rPr/>
        <w:t xml:space="preserve">In the </w:t>
      </w:r>
      <w:r w:rsidR="002A7759">
        <w:rPr/>
        <w:t>UK</w:t>
      </w:r>
      <w:r w:rsidR="00A66CD6">
        <w:rPr/>
        <w:t>, common la</w:t>
      </w:r>
      <w:r w:rsidR="003D7469">
        <w:rPr/>
        <w:t xml:space="preserve">w is the dominant legal </w:t>
      </w:r>
      <w:r w:rsidR="003D7469">
        <w:rPr/>
        <w:t>system</w:t>
      </w:r>
      <w:r w:rsidR="003D7469">
        <w:rPr/>
        <w:t xml:space="preserve"> and i</w:t>
      </w:r>
      <w:r w:rsidR="00A66CD6">
        <w:rPr/>
        <w:t xml:space="preserve">t was created in England. Common law is founded on judicial precedents and decisions, as opposed to statutory laws, which are created by legislative authorities. The judgements issued by judges in the past serve as the foundation for common law in the </w:t>
      </w:r>
      <w:r w:rsidR="002A7759">
        <w:rPr/>
        <w:t>UK</w:t>
      </w:r>
      <w:r w:rsidR="00A66CD6">
        <w:rPr/>
        <w:t xml:space="preserve">. These judgements are conclusive in any later cases with circumstances </w:t>
      </w:r>
      <w:r w:rsidR="00A66CD6">
        <w:rPr/>
        <w:t>similar</w:t>
      </w:r>
      <w:r w:rsidR="67F279A0">
        <w:rPr/>
        <w:t xml:space="preserve"> </w:t>
      </w:r>
      <w:r w:rsidR="00A66CD6">
        <w:rPr/>
        <w:t xml:space="preserve">to </w:t>
      </w:r>
      <w:r w:rsidR="00A66CD6">
        <w:rPr/>
        <w:t>those in the earlier judgements</w:t>
      </w:r>
      <w:r w:rsidR="007C6ED6">
        <w:rPr/>
        <w:t xml:space="preserve"> (</w:t>
      </w:r>
      <w:r w:rsidR="00D601F0">
        <w:rPr/>
        <w:t xml:space="preserve">Teubner, </w:t>
      </w:r>
      <w:r w:rsidR="007C6ED6">
        <w:rPr/>
        <w:t>2019)</w:t>
      </w:r>
      <w:r w:rsidR="00A66CD6">
        <w:rPr/>
        <w:t xml:space="preserve">. Both these legally significant cases and evolving legal ideas throughout time serve as the foundation for UK law. In the UK's legal system, common law continues to be </w:t>
      </w:r>
      <w:r w:rsidR="00A66CD6">
        <w:rPr/>
        <w:t>very important</w:t>
      </w:r>
      <w:r w:rsidR="00A66CD6">
        <w:rPr/>
        <w:t xml:space="preserve">, especially in areas like contract law, property law, and tort law. Statutory law, or legislation enacted by Parliament, is an </w:t>
      </w:r>
      <w:r w:rsidR="00A66CD6">
        <w:rPr/>
        <w:t>additional</w:t>
      </w:r>
      <w:r w:rsidR="00A66CD6">
        <w:rPr/>
        <w:t xml:space="preserve"> essential element of the UK legal system. The common law system serves as the foundation for </w:t>
      </w:r>
      <w:r w:rsidR="00A66CD6">
        <w:rPr/>
        <w:t>the majority of</w:t>
      </w:r>
      <w:r w:rsidR="00A66CD6">
        <w:rPr/>
        <w:t xml:space="preserve"> the British court system. This shows that judges base their interpretation and application of the law in specific situations on </w:t>
      </w:r>
      <w:r w:rsidR="00A66CD6">
        <w:rPr/>
        <w:t>previous</w:t>
      </w:r>
      <w:r w:rsidR="00A66CD6">
        <w:rPr/>
        <w:t xml:space="preserve"> decisi</w:t>
      </w:r>
      <w:r w:rsidR="00EC452C">
        <w:rPr/>
        <w:t>ons and broad legal principles.</w:t>
      </w:r>
    </w:p>
    <w:p w:rsidR="007E6256" w:rsidP="00381761" w:rsidRDefault="00B826A5" w14:paraId="22DA7BC4" w14:textId="77777777">
      <w:pPr>
        <w:pStyle w:val="Titlu1"/>
      </w:pPr>
      <w:bookmarkStart w:name="_Toc129298450" w:id="2"/>
      <w:r>
        <w:t>Civil law</w:t>
      </w:r>
      <w:bookmarkEnd w:id="2"/>
    </w:p>
    <w:p w:rsidRPr="00EC452C" w:rsidR="00EC452C" w:rsidP="00EC452C" w:rsidRDefault="00EC452C" w14:paraId="32CADAA2" w14:textId="77777777">
      <w:r>
        <w:t>In the UK</w:t>
      </w:r>
      <w:r w:rsidR="00AC4F2A">
        <w:t xml:space="preserve">, </w:t>
      </w:r>
      <w:r w:rsidR="000F7D2C">
        <w:t>civil law</w:t>
      </w:r>
      <w:r>
        <w:t xml:space="preserve"> governs legal issues concerning disputes between private parties, such as people or corporations. Criminal law, on the other hand, deals with offences against the government or society as a whole. Criminal law is separate from civil law. Although statutory law is formed by Parliament and establishes the rules and regulations that govern many areas of civil law, common law is based on judicial decisions and precedents that have been established by prior court cases</w:t>
      </w:r>
      <w:r w:rsidR="00D667EA">
        <w:t xml:space="preserve"> (</w:t>
      </w:r>
      <w:r w:rsidR="00A852AC">
        <w:t>Gerner-Beuerle</w:t>
      </w:r>
      <w:r w:rsidRPr="000E5244" w:rsidR="00D667EA">
        <w:t xml:space="preserve"> </w:t>
      </w:r>
      <w:r w:rsidR="00D667EA">
        <w:t>and</w:t>
      </w:r>
      <w:r w:rsidRPr="000E5244" w:rsidR="00D667EA">
        <w:t xml:space="preserve"> </w:t>
      </w:r>
      <w:r w:rsidR="007D5862">
        <w:t xml:space="preserve">Schillig, </w:t>
      </w:r>
      <w:r w:rsidRPr="000E5244" w:rsidR="00D667EA">
        <w:t>2019)</w:t>
      </w:r>
      <w:r>
        <w:t xml:space="preserve">. Several aspects of civil law are governed by statutory law. When civil law is involved, the parties often demand restitution </w:t>
      </w:r>
      <w:r w:rsidR="00165249">
        <w:t>for</w:t>
      </w:r>
      <w:r>
        <w:t xml:space="preserve"> damages for losses or harms suffered as a direct or indirect result of the other party's actions or inactions. In civil law disputes, which are typically resolved in specialised tribunals known as civil courts, it is frequently the plaintiff's responsibility to prove that the defendant is liable for the harm or loss suffered. As it allows both private parties and public agencies to seek compensation for wrongdoing or damages, civil law is a crucial component of the legal system in the UK and supports the maintenance of an equitable and fair society.</w:t>
      </w:r>
    </w:p>
    <w:p w:rsidR="00B64447" w:rsidP="008902C7" w:rsidRDefault="00B64447" w14:paraId="2B3236D2" w14:textId="77777777">
      <w:pPr>
        <w:pStyle w:val="Titlu1"/>
      </w:pPr>
      <w:bookmarkStart w:name="_Toc129298451" w:id="3"/>
      <w:r>
        <w:t>Contrasting between civil law and case law</w:t>
      </w:r>
      <w:bookmarkEnd w:id="3"/>
    </w:p>
    <w:p w:rsidR="00F44D43" w:rsidP="00E201F2" w:rsidRDefault="00E201F2" w14:paraId="406DD215" w14:textId="77777777">
      <w:r>
        <w:t>There are some notable philosophical and practical disparities between common law and civil law in the UK's hybrid legal system.  Judges in common law nations play a crucial role in the process of interpreting and establishing the law via the judgements they provide in specific cases. Instead than creating new legal theories via their decisions, judges in civil law are primarily responsible for ensuring that the law is applied in line with the laws and codes that have been established</w:t>
      </w:r>
      <w:r w:rsidR="00D746AC">
        <w:t xml:space="preserve"> (</w:t>
      </w:r>
      <w:r w:rsidRPr="000E5244" w:rsidR="00D746AC">
        <w:t>Kischel, 2019)</w:t>
      </w:r>
      <w:r>
        <w:t xml:space="preserve">. Legal precedent, which asserts that decisions taken by courts in the past have binding authority in later cases with circumstances similar to those in the earlier judgements, is the cornerstone of common law. </w:t>
      </w:r>
    </w:p>
    <w:p w:rsidRPr="00E201F2" w:rsidR="00E201F2" w:rsidP="00E201F2" w:rsidRDefault="00E201F2" w14:paraId="50214785" w14:textId="77777777">
      <w:r>
        <w:t>This contrasts with the common law tradition, which gives legal precedent a greater priority. In instances regulated by civil law, it is often the plaintiff's responsibility to prove that the defendant is accountable for the loss or harm suffered. Depending on the specific legal issue under discussion in a common law dispute, either the plaintiff or the defendant may bear the burden of proof. The adversarial aspect of the British legal system gives each side the chance to present their case to a judge or jury, who will subsequently provide a decision based on the facts presented. This is true both under common law and civil law</w:t>
      </w:r>
      <w:r w:rsidR="001768B4">
        <w:t xml:space="preserve"> (</w:t>
      </w:r>
      <w:r w:rsidR="00CB7FAE">
        <w:t>Deakin</w:t>
      </w:r>
      <w:r w:rsidRPr="000E5244" w:rsidR="001768B4">
        <w:t xml:space="preserve"> </w:t>
      </w:r>
      <w:r w:rsidR="001768B4">
        <w:t>and</w:t>
      </w:r>
      <w:r w:rsidR="00CB7FAE">
        <w:t xml:space="preserve"> Markesinis, 2</w:t>
      </w:r>
      <w:r w:rsidRPr="000E5244" w:rsidR="001768B4">
        <w:t>019)</w:t>
      </w:r>
      <w:r>
        <w:t>. The corpus of rules that controls various disciplines is known as common law. Although though each of the common law and civil law systems in the UK has unique characteristics of its own, they coexist to provide a complete and effective legal system for individuals and organisations seeking legal rights and remedies.</w:t>
      </w:r>
      <w:r w:rsidRPr="00E201F2">
        <w:t xml:space="preserve"> </w:t>
      </w:r>
    </w:p>
    <w:p w:rsidR="00DB0E8B" w:rsidRDefault="00DB0E8B" w14:paraId="27C195A1" w14:textId="77777777">
      <w:pPr>
        <w:spacing w:line="259" w:lineRule="auto"/>
        <w:jc w:val="left"/>
        <w:rPr>
          <w:rFonts w:eastAsiaTheme="majorEastAsia" w:cstheme="majorBidi"/>
          <w:b/>
          <w:sz w:val="32"/>
          <w:szCs w:val="32"/>
        </w:rPr>
      </w:pPr>
      <w:r>
        <w:br w:type="page"/>
      </w:r>
    </w:p>
    <w:p w:rsidR="008902C7" w:rsidP="00D30F72" w:rsidRDefault="008226F3" w14:paraId="489612EF" w14:textId="77777777">
      <w:pPr>
        <w:pStyle w:val="Titlu1"/>
      </w:pPr>
      <w:bookmarkStart w:name="_Toc129298452" w:id="4"/>
      <w:r>
        <w:t>Outlining the history of the common law</w:t>
      </w:r>
      <w:bookmarkEnd w:id="4"/>
    </w:p>
    <w:p w:rsidR="009223EB" w:rsidP="00025A50" w:rsidRDefault="00025A50" w14:paraId="406145AC" w14:textId="77777777">
      <w:r>
        <w:t>Common law is seen as having originated in the UK with William the Conqueror's establishment of Norman rule over England in the 11th century after his conquest of the country in 1066. Local customs and traditions were employed to resolve legal disputes at the period since England lacked a centralised legal system. Many legal modifications that occurred throughout the 12th and 13th centuries under King Henry II eventually led to the development of the common law</w:t>
      </w:r>
      <w:r w:rsidR="007742F3">
        <w:t xml:space="preserve"> (</w:t>
      </w:r>
      <w:r w:rsidR="006523CC">
        <w:t>Schäfer</w:t>
      </w:r>
      <w:r w:rsidRPr="000E5244" w:rsidR="007742F3">
        <w:t xml:space="preserve"> </w:t>
      </w:r>
      <w:r w:rsidR="007742F3">
        <w:t>and</w:t>
      </w:r>
      <w:r w:rsidR="00CF513D">
        <w:t xml:space="preserve"> Ott, </w:t>
      </w:r>
      <w:r w:rsidRPr="000E5244" w:rsidR="007742F3">
        <w:t>2022)</w:t>
      </w:r>
      <w:r>
        <w:t xml:space="preserve">. The establishment of a system of royal courts, where judges would tour the country to hear cases and enforce the king's laws, was one of these developments. </w:t>
      </w:r>
    </w:p>
    <w:p w:rsidR="00FA270C" w:rsidP="00025A50" w:rsidRDefault="00025A50" w14:paraId="6EBAB212" w14:textId="77777777">
      <w:r>
        <w:t>A taxation system was included in this reform package along with other elements. Judges' rulings in specific instances throughout time influenced the common law in a number of ways. At some time, subsequent cases with identical facts to the original case had to abide by the rules set by these rulings. The common law had already established itself as a cornerstone of English law by the 14th century, and in the years that followed, it grew and broadened even more</w:t>
      </w:r>
      <w:r w:rsidR="005C328A">
        <w:t xml:space="preserve"> (</w:t>
      </w:r>
      <w:r w:rsidR="0053529E">
        <w:t xml:space="preserve">Siems, </w:t>
      </w:r>
      <w:r w:rsidRPr="000E5244" w:rsidR="005C328A">
        <w:t>2022)</w:t>
      </w:r>
      <w:r>
        <w:t xml:space="preserve">. Throughout the 16th and 17th centuries, there were several modifications to the common law. New ideas were added to the law in areas including contract law, tort law, and property law. </w:t>
      </w:r>
    </w:p>
    <w:p w:rsidRPr="00025A50" w:rsidR="00025A50" w:rsidP="00025A50" w:rsidRDefault="00025A50" w14:paraId="0B4E4D89" w14:textId="77777777">
      <w:r>
        <w:t>Around this time, equity law was also emerging. Several new laws and reforms were put into place during the 19th century, modernising the legal system as a whole and advancing common law. A few of these developments include the creation of new tribunals and courts, the codification of certain legal principles, and the adoption of new legal procedures. The common law continues to play a significant role in the British legal system today</w:t>
      </w:r>
      <w:r w:rsidR="004872A2">
        <w:t xml:space="preserve"> (</w:t>
      </w:r>
      <w:r w:rsidR="003345AF">
        <w:t xml:space="preserve">Postema, </w:t>
      </w:r>
      <w:r w:rsidRPr="000E5244" w:rsidR="004872A2">
        <w:t>2019)</w:t>
      </w:r>
      <w:r>
        <w:t xml:space="preserve">. In circumstances when there is no appropriate legislation, its guiding principles are utilised to interpret and implement the law as well as to settle disputes. </w:t>
      </w:r>
    </w:p>
    <w:p w:rsidR="00DB0E8B" w:rsidRDefault="00DB0E8B" w14:paraId="560130F3" w14:textId="77777777">
      <w:pPr>
        <w:spacing w:line="259" w:lineRule="auto"/>
        <w:jc w:val="left"/>
        <w:rPr>
          <w:rFonts w:eastAsiaTheme="majorEastAsia" w:cstheme="majorBidi"/>
          <w:b/>
          <w:sz w:val="32"/>
          <w:szCs w:val="32"/>
        </w:rPr>
      </w:pPr>
      <w:r>
        <w:br w:type="page"/>
      </w:r>
    </w:p>
    <w:p w:rsidR="0073264B" w:rsidP="0090445B" w:rsidRDefault="00003190" w14:paraId="06BFAC41" w14:textId="77777777">
      <w:pPr>
        <w:pStyle w:val="Titlu1"/>
      </w:pPr>
      <w:bookmarkStart w:name="_Toc129298453" w:id="5"/>
      <w:r>
        <w:t>E</w:t>
      </w:r>
      <w:r w:rsidR="005147BC">
        <w:t>xamples of the common law working in practice in UK</w:t>
      </w:r>
      <w:bookmarkEnd w:id="5"/>
    </w:p>
    <w:p w:rsidR="00A7282F" w:rsidP="002A7759" w:rsidRDefault="002A7759" w14:paraId="023FE227" w14:textId="77777777">
      <w:r>
        <w:t>The common law is an essential part of the UK's legal legacy and character and continues to evolve as a consequence of the judgements delivered by judges in particular instances. The common law is a crucial part of the British legal system, and courts often use it to interpret laws and settle disputes. Tort law, a subset of the law that deals with civil wrongs including negligence and defamation, seeks to hold perpetrators accountable</w:t>
      </w:r>
      <w:r w:rsidR="003A69DC">
        <w:t xml:space="preserve"> (</w:t>
      </w:r>
      <w:r w:rsidR="00F72157">
        <w:t xml:space="preserve">Baker, </w:t>
      </w:r>
      <w:r w:rsidRPr="000E5244" w:rsidR="003A69DC">
        <w:t>2020)</w:t>
      </w:r>
      <w:r>
        <w:t xml:space="preserve">. In tort cases, common law principles are used to determine who is at fault and how much compensation is appropriate. For instance, the duty of care idea, which is often acknowledged as a crucial aspect of negligence law, was developed in the well-known case of Donoghue v. Stevenson. </w:t>
      </w:r>
    </w:p>
    <w:p w:rsidR="00B03001" w:rsidP="002A7759" w:rsidRDefault="002A7759" w14:paraId="67D3AFE8" w14:textId="77777777">
      <w:r>
        <w:t>Contract law is another area where the common law is often used. Over centuries of established legal precedent, the common law's principles of offer, acceptance, and consideration have been refined and evolved. The courts will use common law principles to determine the rights and obligations of the parties involved where there is no specific legislation that governs the contract. The common law had a major impact on property law in the current legal system</w:t>
      </w:r>
      <w:r w:rsidR="002677C6">
        <w:t xml:space="preserve"> (Postema, </w:t>
      </w:r>
      <w:r w:rsidRPr="000E5244" w:rsidR="002677C6">
        <w:t>2019)</w:t>
      </w:r>
      <w:r>
        <w:t xml:space="preserve">. Common law is the basis for concepts such as adverse possession, which holds that a person may rightfully claim ownership of property after residing there for a certain period of time. </w:t>
      </w:r>
    </w:p>
    <w:p w:rsidR="002A7759" w:rsidP="002A7759" w:rsidRDefault="002A7759" w14:paraId="3F104AE6" w14:textId="77777777">
      <w:r>
        <w:t xml:space="preserve">Parallel to this, common law developed the concepts of easements and covenants, which restrict how other people may use property. The common law nonetheless plays a substantial role in the case, even in criminal law proceedings where the application of statute law rather than common law is the main focus. For instance, common law provides the foundation for the idea of </w:t>
      </w:r>
      <w:r w:rsidR="00DB0E8B">
        <w:t>men’s</w:t>
      </w:r>
      <w:r>
        <w:t xml:space="preserve"> rea, which holds that a person must have a guilty mindset in order to be judged guilty of a crime. According to this point of view, the behaviour had to be intentional</w:t>
      </w:r>
      <w:r w:rsidR="00231FA1">
        <w:t xml:space="preserve"> (Siems, </w:t>
      </w:r>
      <w:r w:rsidRPr="000E5244" w:rsidR="00231FA1">
        <w:t>2022)</w:t>
      </w:r>
      <w:r>
        <w:t>. The common law is usually seen as a crucial element of the legal system in the UK, and the courts commonly use its principles to resolve disputes and interpret the law.</w:t>
      </w:r>
    </w:p>
    <w:p w:rsidR="00610965" w:rsidRDefault="00610965" w14:paraId="6F162E72" w14:textId="77777777">
      <w:pPr>
        <w:spacing w:line="259" w:lineRule="auto"/>
        <w:jc w:val="left"/>
      </w:pPr>
      <w:r>
        <w:br w:type="page"/>
      </w:r>
    </w:p>
    <w:p w:rsidRPr="00A66CD6" w:rsidR="00610965" w:rsidP="00700A5C" w:rsidRDefault="00610965" w14:paraId="4100C3E6" w14:textId="77777777">
      <w:pPr>
        <w:pStyle w:val="Titlu1"/>
      </w:pPr>
      <w:bookmarkStart w:name="_Toc129298454" w:id="6"/>
      <w:r>
        <w:t>Conclusion</w:t>
      </w:r>
      <w:bookmarkEnd w:id="6"/>
    </w:p>
    <w:p w:rsidR="00C82298" w:rsidP="00C82298" w:rsidRDefault="00C82298" w14:paraId="55682B64" w14:textId="77777777">
      <w:r>
        <w:t>Common law is based on existing precedents and court decisions, while civil law is based on written rules and regulations that have been adopted by legislative authorities.</w:t>
      </w:r>
      <w:r w:rsidR="006F4C84">
        <w:t xml:space="preserve"> </w:t>
      </w:r>
      <w:r>
        <w:t xml:space="preserve">Contrarily, civil law often relies more on the application and interpretation of specified laws and regulations than it does on prior legal judgements. </w:t>
      </w:r>
      <w:r w:rsidR="00EB6751">
        <w:t xml:space="preserve"> </w:t>
      </w:r>
      <w:r>
        <w:t xml:space="preserve">Although common law is typically associated with topics like tort law, contract law, and property law, civil law frequently covers a larger range of legal topics, including family law, labour law, and administrative law. </w:t>
      </w:r>
    </w:p>
    <w:p w:rsidR="00254A81" w:rsidRDefault="00254A81" w14:paraId="18557731" w14:textId="77777777">
      <w:pPr>
        <w:spacing w:line="259" w:lineRule="auto"/>
        <w:jc w:val="left"/>
      </w:pPr>
      <w:r>
        <w:br w:type="page"/>
      </w:r>
    </w:p>
    <w:p w:rsidR="00254A81" w:rsidP="00426FB6" w:rsidRDefault="00254A81" w14:paraId="21CA60CE" w14:textId="77777777">
      <w:pPr>
        <w:pStyle w:val="Titlu1"/>
      </w:pPr>
      <w:bookmarkStart w:name="_Toc129298455" w:id="7"/>
      <w:r>
        <w:t>References</w:t>
      </w:r>
      <w:bookmarkEnd w:id="7"/>
    </w:p>
    <w:p w:rsidRPr="000E5244" w:rsidR="00DB0E8B" w:rsidP="000E5244" w:rsidRDefault="00DB0E8B" w14:paraId="6BF075AE" w14:textId="77777777">
      <w:r w:rsidRPr="000E5244">
        <w:t xml:space="preserve">Baker, J. H. (2020). Criminal courts and procedure at common law 1550–1800. In </w:t>
      </w:r>
      <w:r w:rsidRPr="000E5244">
        <w:rPr>
          <w:i/>
          <w:iCs/>
        </w:rPr>
        <w:t>Crime in England 1550–1800</w:t>
      </w:r>
      <w:r w:rsidRPr="000E5244">
        <w:t xml:space="preserve"> (pp. 15-48). Routledge.</w:t>
      </w:r>
    </w:p>
    <w:p w:rsidRPr="000E5244" w:rsidR="00DB0E8B" w:rsidP="000E5244" w:rsidRDefault="00DB0E8B" w14:paraId="02DF92EB" w14:textId="77777777">
      <w:r w:rsidRPr="000E5244">
        <w:t xml:space="preserve">Deakin, S., </w:t>
      </w:r>
      <w:r>
        <w:t>and</w:t>
      </w:r>
      <w:r w:rsidRPr="000E5244">
        <w:t xml:space="preserve"> Markesinis, B. (2019). </w:t>
      </w:r>
      <w:r w:rsidRPr="000E5244">
        <w:rPr>
          <w:i/>
          <w:iCs/>
        </w:rPr>
        <w:t>Markesinis and Deakin's tort law</w:t>
      </w:r>
      <w:r w:rsidRPr="000E5244">
        <w:t>. Oxford University Press, USA.</w:t>
      </w:r>
    </w:p>
    <w:p w:rsidRPr="000E5244" w:rsidR="00DB0E8B" w:rsidP="000E5244" w:rsidRDefault="00DB0E8B" w14:paraId="5613FAD7" w14:textId="77777777">
      <w:r w:rsidRPr="000E5244">
        <w:t xml:space="preserve">Gerner-Beuerle, C., </w:t>
      </w:r>
      <w:r>
        <w:t>and</w:t>
      </w:r>
      <w:r w:rsidRPr="000E5244">
        <w:t xml:space="preserve"> Schillig, M. A. (2019). </w:t>
      </w:r>
      <w:r w:rsidRPr="000E5244">
        <w:rPr>
          <w:i/>
          <w:iCs/>
        </w:rPr>
        <w:t>Comparative company law</w:t>
      </w:r>
      <w:r w:rsidRPr="000E5244">
        <w:t>. Oxford University Press.</w:t>
      </w:r>
    </w:p>
    <w:p w:rsidRPr="000E5244" w:rsidR="00DB0E8B" w:rsidP="000E5244" w:rsidRDefault="00DB0E8B" w14:paraId="578AF029" w14:textId="77777777">
      <w:r w:rsidRPr="000E5244">
        <w:t xml:space="preserve">Kischel, U. (2019). </w:t>
      </w:r>
      <w:r w:rsidRPr="000E5244">
        <w:rPr>
          <w:i/>
          <w:iCs/>
        </w:rPr>
        <w:t>Comparative law</w:t>
      </w:r>
      <w:r w:rsidRPr="000E5244">
        <w:t>. Oxford University Press.</w:t>
      </w:r>
    </w:p>
    <w:p w:rsidRPr="000E5244" w:rsidR="00DB0E8B" w:rsidP="000E5244" w:rsidRDefault="00DB0E8B" w14:paraId="082C2E83" w14:textId="77777777">
      <w:r w:rsidRPr="000E5244">
        <w:t xml:space="preserve">Postema, G. J. (2019). </w:t>
      </w:r>
      <w:r w:rsidRPr="000E5244">
        <w:rPr>
          <w:i/>
          <w:iCs/>
        </w:rPr>
        <w:t>Bentham and the common law tradition</w:t>
      </w:r>
      <w:r w:rsidRPr="000E5244">
        <w:t>. Oxford University Press.</w:t>
      </w:r>
    </w:p>
    <w:p w:rsidRPr="000E5244" w:rsidR="00DB0E8B" w:rsidP="000E5244" w:rsidRDefault="00DB0E8B" w14:paraId="2201145C" w14:textId="77777777">
      <w:r w:rsidRPr="000E5244">
        <w:t xml:space="preserve">Schäfer, H. B., </w:t>
      </w:r>
      <w:r>
        <w:t>and</w:t>
      </w:r>
      <w:r w:rsidRPr="000E5244">
        <w:t xml:space="preserve"> Ott, C. (2022). </w:t>
      </w:r>
      <w:r w:rsidRPr="000E5244">
        <w:rPr>
          <w:i/>
          <w:iCs/>
        </w:rPr>
        <w:t>The economic analysis of civil law</w:t>
      </w:r>
      <w:r w:rsidRPr="000E5244">
        <w:t>. Edward Elgar Publishing.</w:t>
      </w:r>
    </w:p>
    <w:p w:rsidRPr="000E5244" w:rsidR="00DB0E8B" w:rsidP="000E5244" w:rsidRDefault="00DB0E8B" w14:paraId="1E76CCD0" w14:textId="77777777">
      <w:r w:rsidRPr="000E5244">
        <w:t xml:space="preserve">Siems, M. (2022). </w:t>
      </w:r>
      <w:r w:rsidRPr="000E5244">
        <w:rPr>
          <w:i/>
          <w:iCs/>
        </w:rPr>
        <w:t>Comparative law</w:t>
      </w:r>
      <w:r w:rsidRPr="000E5244">
        <w:t>. Cambridge University Press.</w:t>
      </w:r>
    </w:p>
    <w:p w:rsidR="00DB0E8B" w:rsidP="00C82298" w:rsidRDefault="00DB0E8B" w14:paraId="4E9C14AA" w14:textId="77777777">
      <w:r w:rsidRPr="000E5244">
        <w:t xml:space="preserve">Teubner, G. (2019). After privatisation?: The many autonomies of private law. In </w:t>
      </w:r>
      <w:r w:rsidRPr="000E5244">
        <w:rPr>
          <w:i/>
          <w:iCs/>
        </w:rPr>
        <w:t>Critical theory and legal autopoiesis</w:t>
      </w:r>
      <w:r w:rsidRPr="000E5244">
        <w:t xml:space="preserve"> (pp. 128-153). Manchester University Press.</w:t>
      </w:r>
    </w:p>
    <w:p w:rsidR="000E5244" w:rsidP="00C82298" w:rsidRDefault="000E5244" w14:paraId="54D19413" w14:textId="77777777"/>
    <w:p w:rsidRPr="004E1E15" w:rsidR="00B71911" w:rsidP="00C82298" w:rsidRDefault="00B71911" w14:paraId="072A8056" w14:textId="77777777"/>
    <w:p w:rsidRPr="00D30F72" w:rsidR="00D30F72" w:rsidP="003B2548" w:rsidRDefault="00D30F72" w14:paraId="048A1825" w14:textId="77777777"/>
    <w:p w:rsidRPr="00B25452" w:rsidR="00B826A5" w:rsidP="00381761" w:rsidRDefault="00B826A5" w14:paraId="40CD000F" w14:textId="77777777"/>
    <w:sectPr w:rsidRPr="00B25452" w:rsidR="00B826A5" w:rsidSect="00007B0E">
      <w:foot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975E5" w:rsidP="00216581" w:rsidRDefault="00C975E5" w14:paraId="0BB351DA" w14:textId="77777777">
      <w:pPr>
        <w:spacing w:after="0" w:line="240" w:lineRule="auto"/>
      </w:pPr>
      <w:r>
        <w:separator/>
      </w:r>
    </w:p>
  </w:endnote>
  <w:endnote w:type="continuationSeparator" w:id="0">
    <w:p w:rsidR="00C975E5" w:rsidP="00216581" w:rsidRDefault="00C975E5" w14:paraId="3A9A3B3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4553900"/>
      <w:docPartObj>
        <w:docPartGallery w:val="Page Numbers (Bottom of Page)"/>
        <w:docPartUnique/>
      </w:docPartObj>
    </w:sdtPr>
    <w:sdtEndPr>
      <w:rPr>
        <w:noProof/>
      </w:rPr>
    </w:sdtEndPr>
    <w:sdtContent>
      <w:p w:rsidR="00DB0E8B" w:rsidRDefault="00007B0E" w14:paraId="032A41C3" w14:textId="77777777">
        <w:pPr>
          <w:pStyle w:val="Subsol"/>
          <w:jc w:val="center"/>
        </w:pPr>
        <w:r>
          <w:fldChar w:fldCharType="begin"/>
        </w:r>
        <w:r w:rsidR="00DB0E8B">
          <w:instrText xml:space="preserve"> PAGE   \* MERGEFORMAT </w:instrText>
        </w:r>
        <w:r>
          <w:fldChar w:fldCharType="separate"/>
        </w:r>
        <w:r w:rsidR="00CA3FEE">
          <w:rPr>
            <w:noProof/>
          </w:rPr>
          <w:t>4</w:t>
        </w:r>
        <w:r>
          <w:rPr>
            <w:noProof/>
          </w:rPr>
          <w:fldChar w:fldCharType="end"/>
        </w:r>
      </w:p>
    </w:sdtContent>
  </w:sdt>
  <w:p w:rsidR="00216581" w:rsidRDefault="00216581" w14:paraId="072981D4" w14:textId="777777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975E5" w:rsidP="00216581" w:rsidRDefault="00C975E5" w14:paraId="02891493" w14:textId="77777777">
      <w:pPr>
        <w:spacing w:after="0" w:line="240" w:lineRule="auto"/>
      </w:pPr>
      <w:r>
        <w:separator/>
      </w:r>
    </w:p>
  </w:footnote>
  <w:footnote w:type="continuationSeparator" w:id="0">
    <w:p w:rsidR="00C975E5" w:rsidP="00216581" w:rsidRDefault="00C975E5" w14:paraId="3C70A80B"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revisionView w:inkAnnotations="0"/>
  <w:trackRevisions w:val="false"/>
  <w:defaultTabStop w:val="720"/>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087"/>
    <w:rsid w:val="00003190"/>
    <w:rsid w:val="00007B0E"/>
    <w:rsid w:val="00025A50"/>
    <w:rsid w:val="00032600"/>
    <w:rsid w:val="000E5244"/>
    <w:rsid w:val="000F1AB2"/>
    <w:rsid w:val="000F7D2C"/>
    <w:rsid w:val="00113588"/>
    <w:rsid w:val="00165249"/>
    <w:rsid w:val="00166942"/>
    <w:rsid w:val="001768B4"/>
    <w:rsid w:val="00216581"/>
    <w:rsid w:val="00217AD6"/>
    <w:rsid w:val="00231FA1"/>
    <w:rsid w:val="00247B9A"/>
    <w:rsid w:val="00254A81"/>
    <w:rsid w:val="00265087"/>
    <w:rsid w:val="002677C6"/>
    <w:rsid w:val="0029649E"/>
    <w:rsid w:val="002A7759"/>
    <w:rsid w:val="002D5640"/>
    <w:rsid w:val="003345AF"/>
    <w:rsid w:val="00357B12"/>
    <w:rsid w:val="00361E06"/>
    <w:rsid w:val="00370A0F"/>
    <w:rsid w:val="00381761"/>
    <w:rsid w:val="003A2CA5"/>
    <w:rsid w:val="003A69DC"/>
    <w:rsid w:val="003B2548"/>
    <w:rsid w:val="003D7469"/>
    <w:rsid w:val="003F7119"/>
    <w:rsid w:val="00426FB6"/>
    <w:rsid w:val="00461D11"/>
    <w:rsid w:val="00484DC8"/>
    <w:rsid w:val="004872A2"/>
    <w:rsid w:val="004E1E15"/>
    <w:rsid w:val="005147BC"/>
    <w:rsid w:val="0053529E"/>
    <w:rsid w:val="00550655"/>
    <w:rsid w:val="00572FDF"/>
    <w:rsid w:val="005A3B55"/>
    <w:rsid w:val="005C328A"/>
    <w:rsid w:val="00610965"/>
    <w:rsid w:val="006523CC"/>
    <w:rsid w:val="0066447F"/>
    <w:rsid w:val="00666AC3"/>
    <w:rsid w:val="006A35EF"/>
    <w:rsid w:val="006D18DD"/>
    <w:rsid w:val="006F4C84"/>
    <w:rsid w:val="00700A5C"/>
    <w:rsid w:val="0073264B"/>
    <w:rsid w:val="00751390"/>
    <w:rsid w:val="007661B1"/>
    <w:rsid w:val="007742F3"/>
    <w:rsid w:val="0078396E"/>
    <w:rsid w:val="007A2DAD"/>
    <w:rsid w:val="007C451F"/>
    <w:rsid w:val="007C6920"/>
    <w:rsid w:val="007C6ED6"/>
    <w:rsid w:val="007D5862"/>
    <w:rsid w:val="007E6256"/>
    <w:rsid w:val="008002E7"/>
    <w:rsid w:val="00803E87"/>
    <w:rsid w:val="00812CED"/>
    <w:rsid w:val="008226F3"/>
    <w:rsid w:val="00824BC3"/>
    <w:rsid w:val="008728C0"/>
    <w:rsid w:val="008902C7"/>
    <w:rsid w:val="008B4605"/>
    <w:rsid w:val="0090445B"/>
    <w:rsid w:val="009223EB"/>
    <w:rsid w:val="00A22AB7"/>
    <w:rsid w:val="00A253C7"/>
    <w:rsid w:val="00A66CD6"/>
    <w:rsid w:val="00A7282F"/>
    <w:rsid w:val="00A852AC"/>
    <w:rsid w:val="00AA6602"/>
    <w:rsid w:val="00AC4F2A"/>
    <w:rsid w:val="00AF712B"/>
    <w:rsid w:val="00B03001"/>
    <w:rsid w:val="00B16FF9"/>
    <w:rsid w:val="00B25452"/>
    <w:rsid w:val="00B305A9"/>
    <w:rsid w:val="00B64447"/>
    <w:rsid w:val="00B71911"/>
    <w:rsid w:val="00B8132A"/>
    <w:rsid w:val="00B826A5"/>
    <w:rsid w:val="00B86673"/>
    <w:rsid w:val="00BC1C29"/>
    <w:rsid w:val="00BD4242"/>
    <w:rsid w:val="00BE5C85"/>
    <w:rsid w:val="00BF06F0"/>
    <w:rsid w:val="00C82298"/>
    <w:rsid w:val="00C975E5"/>
    <w:rsid w:val="00CA3FEE"/>
    <w:rsid w:val="00CB7FAE"/>
    <w:rsid w:val="00CF513D"/>
    <w:rsid w:val="00D14CE7"/>
    <w:rsid w:val="00D30F72"/>
    <w:rsid w:val="00D52FFF"/>
    <w:rsid w:val="00D601F0"/>
    <w:rsid w:val="00D667EA"/>
    <w:rsid w:val="00D746AC"/>
    <w:rsid w:val="00DA7F79"/>
    <w:rsid w:val="00DB0E8B"/>
    <w:rsid w:val="00E201F2"/>
    <w:rsid w:val="00EB6751"/>
    <w:rsid w:val="00EC10EB"/>
    <w:rsid w:val="00EC452C"/>
    <w:rsid w:val="00EF0DF3"/>
    <w:rsid w:val="00F40C9B"/>
    <w:rsid w:val="00F44D43"/>
    <w:rsid w:val="00F623B0"/>
    <w:rsid w:val="00F6598E"/>
    <w:rsid w:val="00F72157"/>
    <w:rsid w:val="00FA270C"/>
    <w:rsid w:val="00FD7122"/>
    <w:rsid w:val="236B302D"/>
    <w:rsid w:val="2C6381FE"/>
    <w:rsid w:val="32817F4F"/>
    <w:rsid w:val="67F279A0"/>
    <w:rsid w:val="74E87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33EF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B0E8B"/>
    <w:pPr>
      <w:spacing w:line="360" w:lineRule="auto"/>
      <w:jc w:val="both"/>
    </w:pPr>
    <w:rPr>
      <w:rFonts w:ascii="Arial" w:hAnsi="Arial"/>
      <w:sz w:val="24"/>
      <w:lang w:val="en-GB"/>
    </w:rPr>
  </w:style>
  <w:style w:type="paragraph" w:styleId="Titlu1">
    <w:name w:val="heading 1"/>
    <w:basedOn w:val="Normal"/>
    <w:next w:val="Normal"/>
    <w:link w:val="Titlu1Caracter"/>
    <w:uiPriority w:val="9"/>
    <w:qFormat/>
    <w:rsid w:val="00DB0E8B"/>
    <w:pPr>
      <w:keepNext/>
      <w:keepLines/>
      <w:spacing w:before="240" w:after="0"/>
      <w:outlineLvl w:val="0"/>
    </w:pPr>
    <w:rPr>
      <w:rFonts w:eastAsiaTheme="majorEastAsia" w:cstheme="majorBidi"/>
      <w:b/>
      <w:sz w:val="32"/>
      <w:szCs w:val="32"/>
    </w:rPr>
  </w:style>
  <w:style w:type="paragraph" w:styleId="Titlu2">
    <w:name w:val="heading 2"/>
    <w:basedOn w:val="Normal"/>
    <w:next w:val="Normal"/>
    <w:link w:val="Titlu2Caracter"/>
    <w:uiPriority w:val="9"/>
    <w:unhideWhenUsed/>
    <w:qFormat/>
    <w:rsid w:val="00265087"/>
    <w:pPr>
      <w:keepNext/>
      <w:keepLines/>
      <w:spacing w:before="40" w:after="0"/>
      <w:outlineLvl w:val="1"/>
    </w:pPr>
    <w:rPr>
      <w:rFonts w:eastAsiaTheme="majorEastAsia" w:cstheme="majorBidi"/>
      <w:b/>
      <w:color w:val="2F5496" w:themeColor="accent1" w:themeShade="BF"/>
      <w:sz w:val="28"/>
      <w:szCs w:val="26"/>
    </w:rPr>
  </w:style>
  <w:style w:type="paragraph" w:styleId="Titlu4">
    <w:name w:val="heading 4"/>
    <w:basedOn w:val="Normal"/>
    <w:next w:val="Normal"/>
    <w:link w:val="Titlu4Caracter"/>
    <w:uiPriority w:val="9"/>
    <w:semiHidden/>
    <w:unhideWhenUsed/>
    <w:qFormat/>
    <w:rsid w:val="00DB0E8B"/>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character" w:styleId="Titlu1Caracter" w:customStyle="1">
    <w:name w:val="Titlu 1 Caracter"/>
    <w:basedOn w:val="Fontdeparagrafimplicit"/>
    <w:link w:val="Titlu1"/>
    <w:uiPriority w:val="9"/>
    <w:rsid w:val="00DB0E8B"/>
    <w:rPr>
      <w:rFonts w:ascii="Arial" w:hAnsi="Arial" w:eastAsiaTheme="majorEastAsia" w:cstheme="majorBidi"/>
      <w:b/>
      <w:sz w:val="32"/>
      <w:szCs w:val="32"/>
      <w:lang w:val="en-GB"/>
    </w:rPr>
  </w:style>
  <w:style w:type="character" w:styleId="Titlu2Caracter" w:customStyle="1">
    <w:name w:val="Titlu 2 Caracter"/>
    <w:basedOn w:val="Fontdeparagrafimplicit"/>
    <w:link w:val="Titlu2"/>
    <w:uiPriority w:val="9"/>
    <w:rsid w:val="00265087"/>
    <w:rPr>
      <w:rFonts w:ascii="Times New Roman" w:hAnsi="Times New Roman" w:eastAsiaTheme="majorEastAsia" w:cstheme="majorBidi"/>
      <w:b/>
      <w:color w:val="2F5496" w:themeColor="accent1" w:themeShade="BF"/>
      <w:sz w:val="28"/>
      <w:szCs w:val="26"/>
      <w:lang w:val="en-GB"/>
    </w:rPr>
  </w:style>
  <w:style w:type="paragraph" w:styleId="NormalWeb">
    <w:name w:val="Normal (Web)"/>
    <w:basedOn w:val="Normal"/>
    <w:uiPriority w:val="99"/>
    <w:unhideWhenUsed/>
    <w:rsid w:val="00381761"/>
    <w:pPr>
      <w:spacing w:before="100" w:beforeAutospacing="1" w:after="100" w:afterAutospacing="1" w:line="240" w:lineRule="auto"/>
      <w:jc w:val="left"/>
    </w:pPr>
    <w:rPr>
      <w:rFonts w:eastAsia="Times New Roman" w:cs="Times New Roman"/>
      <w:szCs w:val="24"/>
      <w:lang w:eastAsia="en-GB"/>
    </w:rPr>
  </w:style>
  <w:style w:type="paragraph" w:styleId="Listparagraf">
    <w:name w:val="List Paragraph"/>
    <w:basedOn w:val="Normal"/>
    <w:uiPriority w:val="34"/>
    <w:qFormat/>
    <w:rsid w:val="00B16FF9"/>
    <w:pPr>
      <w:ind w:left="720"/>
      <w:contextualSpacing/>
    </w:pPr>
  </w:style>
  <w:style w:type="paragraph" w:styleId="Titlucuprins">
    <w:name w:val="TOC Heading"/>
    <w:basedOn w:val="Titlu1"/>
    <w:next w:val="Normal"/>
    <w:uiPriority w:val="39"/>
    <w:unhideWhenUsed/>
    <w:qFormat/>
    <w:rsid w:val="003F7119"/>
    <w:pPr>
      <w:spacing w:line="259" w:lineRule="auto"/>
      <w:jc w:val="left"/>
      <w:outlineLvl w:val="9"/>
    </w:pPr>
    <w:rPr>
      <w:rFonts w:asciiTheme="majorHAnsi" w:hAnsiTheme="majorHAnsi"/>
      <w:b w:val="0"/>
      <w:lang w:val="en-US"/>
    </w:rPr>
  </w:style>
  <w:style w:type="paragraph" w:styleId="Cuprins1">
    <w:name w:val="toc 1"/>
    <w:basedOn w:val="Normal"/>
    <w:next w:val="Normal"/>
    <w:autoRedefine/>
    <w:uiPriority w:val="39"/>
    <w:unhideWhenUsed/>
    <w:rsid w:val="003F7119"/>
    <w:pPr>
      <w:spacing w:after="100"/>
    </w:pPr>
  </w:style>
  <w:style w:type="character" w:styleId="Hyperlink">
    <w:name w:val="Hyperlink"/>
    <w:basedOn w:val="Fontdeparagrafimplicit"/>
    <w:uiPriority w:val="99"/>
    <w:unhideWhenUsed/>
    <w:rsid w:val="003F7119"/>
    <w:rPr>
      <w:color w:val="0563C1" w:themeColor="hyperlink"/>
      <w:u w:val="single"/>
    </w:rPr>
  </w:style>
  <w:style w:type="paragraph" w:styleId="Antet">
    <w:name w:val="header"/>
    <w:basedOn w:val="Normal"/>
    <w:link w:val="AntetCaracter"/>
    <w:uiPriority w:val="99"/>
    <w:unhideWhenUsed/>
    <w:rsid w:val="00216581"/>
    <w:pPr>
      <w:tabs>
        <w:tab w:val="center" w:pos="4680"/>
        <w:tab w:val="right" w:pos="9360"/>
      </w:tabs>
      <w:spacing w:after="0" w:line="240" w:lineRule="auto"/>
    </w:pPr>
  </w:style>
  <w:style w:type="character" w:styleId="AntetCaracter" w:customStyle="1">
    <w:name w:val="Antet Caracter"/>
    <w:basedOn w:val="Fontdeparagrafimplicit"/>
    <w:link w:val="Antet"/>
    <w:uiPriority w:val="99"/>
    <w:rsid w:val="00216581"/>
    <w:rPr>
      <w:rFonts w:ascii="Times New Roman" w:hAnsi="Times New Roman"/>
      <w:sz w:val="24"/>
      <w:lang w:val="en-GB"/>
    </w:rPr>
  </w:style>
  <w:style w:type="paragraph" w:styleId="Subsol">
    <w:name w:val="footer"/>
    <w:basedOn w:val="Normal"/>
    <w:link w:val="SubsolCaracter"/>
    <w:uiPriority w:val="99"/>
    <w:unhideWhenUsed/>
    <w:rsid w:val="00216581"/>
    <w:pPr>
      <w:tabs>
        <w:tab w:val="center" w:pos="4680"/>
        <w:tab w:val="right" w:pos="9360"/>
      </w:tabs>
      <w:spacing w:after="0" w:line="240" w:lineRule="auto"/>
    </w:pPr>
  </w:style>
  <w:style w:type="character" w:styleId="SubsolCaracter" w:customStyle="1">
    <w:name w:val="Subsol Caracter"/>
    <w:basedOn w:val="Fontdeparagrafimplicit"/>
    <w:link w:val="Subsol"/>
    <w:uiPriority w:val="99"/>
    <w:rsid w:val="00216581"/>
    <w:rPr>
      <w:rFonts w:ascii="Times New Roman" w:hAnsi="Times New Roman"/>
      <w:sz w:val="24"/>
      <w:lang w:val="en-GB"/>
    </w:rPr>
  </w:style>
  <w:style w:type="character" w:styleId="Titlu4Caracter" w:customStyle="1">
    <w:name w:val="Titlu 4 Caracter"/>
    <w:basedOn w:val="Fontdeparagrafimplicit"/>
    <w:link w:val="Titlu4"/>
    <w:uiPriority w:val="9"/>
    <w:semiHidden/>
    <w:rsid w:val="00DB0E8B"/>
    <w:rPr>
      <w:rFonts w:asciiTheme="majorHAnsi" w:hAnsiTheme="majorHAnsi" w:eastAsiaTheme="majorEastAsia" w:cstheme="majorBidi"/>
      <w:i/>
      <w:iCs/>
      <w:color w:val="2F5496" w:themeColor="accent1" w:themeShade="BF"/>
      <w:sz w:val="24"/>
      <w:lang w:val="en-GB"/>
    </w:rPr>
  </w:style>
  <w:style w:type="paragraph" w:styleId="Cuprins2">
    <w:name w:val="toc 2"/>
    <w:basedOn w:val="Normal"/>
    <w:next w:val="Normal"/>
    <w:autoRedefine/>
    <w:uiPriority w:val="39"/>
    <w:unhideWhenUsed/>
    <w:rsid w:val="00DB0E8B"/>
    <w:pPr>
      <w:spacing w:after="100"/>
      <w:ind w:left="240"/>
    </w:pPr>
  </w:style>
  <w:style w:type="paragraph" w:styleId="TextnBalon">
    <w:name w:val="Balloon Text"/>
    <w:basedOn w:val="Normal"/>
    <w:link w:val="TextnBalonCaracter"/>
    <w:uiPriority w:val="99"/>
    <w:semiHidden/>
    <w:unhideWhenUsed/>
    <w:rsid w:val="00AA6602"/>
    <w:pPr>
      <w:spacing w:after="0" w:line="240" w:lineRule="auto"/>
    </w:pPr>
    <w:rPr>
      <w:rFonts w:ascii="Tahoma" w:hAnsi="Tahoma" w:cs="Tahoma"/>
      <w:sz w:val="16"/>
      <w:szCs w:val="16"/>
    </w:rPr>
  </w:style>
  <w:style w:type="character" w:styleId="TextnBalonCaracter" w:customStyle="1">
    <w:name w:val="Text în Balon Caracter"/>
    <w:basedOn w:val="Fontdeparagrafimplicit"/>
    <w:link w:val="TextnBalon"/>
    <w:uiPriority w:val="99"/>
    <w:semiHidden/>
    <w:rsid w:val="00AA6602"/>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38033">
      <w:bodyDiv w:val="1"/>
      <w:marLeft w:val="0"/>
      <w:marRight w:val="0"/>
      <w:marTop w:val="0"/>
      <w:marBottom w:val="0"/>
      <w:divBdr>
        <w:top w:val="none" w:sz="0" w:space="0" w:color="auto"/>
        <w:left w:val="none" w:sz="0" w:space="0" w:color="auto"/>
        <w:bottom w:val="none" w:sz="0" w:space="0" w:color="auto"/>
        <w:right w:val="none" w:sz="0" w:space="0" w:color="auto"/>
      </w:divBdr>
      <w:divsChild>
        <w:div w:id="1765953211">
          <w:marLeft w:val="0"/>
          <w:marRight w:val="0"/>
          <w:marTop w:val="0"/>
          <w:marBottom w:val="0"/>
          <w:divBdr>
            <w:top w:val="none" w:sz="0" w:space="0" w:color="auto"/>
            <w:left w:val="none" w:sz="0" w:space="0" w:color="auto"/>
            <w:bottom w:val="none" w:sz="0" w:space="0" w:color="auto"/>
            <w:right w:val="none" w:sz="0" w:space="0" w:color="auto"/>
          </w:divBdr>
        </w:div>
      </w:divsChild>
    </w:div>
    <w:div w:id="157813576">
      <w:bodyDiv w:val="1"/>
      <w:marLeft w:val="0"/>
      <w:marRight w:val="0"/>
      <w:marTop w:val="0"/>
      <w:marBottom w:val="0"/>
      <w:divBdr>
        <w:top w:val="none" w:sz="0" w:space="0" w:color="auto"/>
        <w:left w:val="none" w:sz="0" w:space="0" w:color="auto"/>
        <w:bottom w:val="none" w:sz="0" w:space="0" w:color="auto"/>
        <w:right w:val="none" w:sz="0" w:space="0" w:color="auto"/>
      </w:divBdr>
      <w:divsChild>
        <w:div w:id="1743989283">
          <w:marLeft w:val="0"/>
          <w:marRight w:val="0"/>
          <w:marTop w:val="0"/>
          <w:marBottom w:val="0"/>
          <w:divBdr>
            <w:top w:val="none" w:sz="0" w:space="0" w:color="auto"/>
            <w:left w:val="none" w:sz="0" w:space="0" w:color="auto"/>
            <w:bottom w:val="none" w:sz="0" w:space="0" w:color="auto"/>
            <w:right w:val="none" w:sz="0" w:space="0" w:color="auto"/>
          </w:divBdr>
        </w:div>
      </w:divsChild>
    </w:div>
    <w:div w:id="162278925">
      <w:bodyDiv w:val="1"/>
      <w:marLeft w:val="0"/>
      <w:marRight w:val="0"/>
      <w:marTop w:val="0"/>
      <w:marBottom w:val="0"/>
      <w:divBdr>
        <w:top w:val="none" w:sz="0" w:space="0" w:color="auto"/>
        <w:left w:val="none" w:sz="0" w:space="0" w:color="auto"/>
        <w:bottom w:val="none" w:sz="0" w:space="0" w:color="auto"/>
        <w:right w:val="none" w:sz="0" w:space="0" w:color="auto"/>
      </w:divBdr>
      <w:divsChild>
        <w:div w:id="1332948445">
          <w:marLeft w:val="0"/>
          <w:marRight w:val="0"/>
          <w:marTop w:val="0"/>
          <w:marBottom w:val="0"/>
          <w:divBdr>
            <w:top w:val="none" w:sz="0" w:space="0" w:color="auto"/>
            <w:left w:val="none" w:sz="0" w:space="0" w:color="auto"/>
            <w:bottom w:val="none" w:sz="0" w:space="0" w:color="auto"/>
            <w:right w:val="none" w:sz="0" w:space="0" w:color="auto"/>
          </w:divBdr>
        </w:div>
      </w:divsChild>
    </w:div>
    <w:div w:id="187333592">
      <w:bodyDiv w:val="1"/>
      <w:marLeft w:val="0"/>
      <w:marRight w:val="0"/>
      <w:marTop w:val="0"/>
      <w:marBottom w:val="0"/>
      <w:divBdr>
        <w:top w:val="none" w:sz="0" w:space="0" w:color="auto"/>
        <w:left w:val="none" w:sz="0" w:space="0" w:color="auto"/>
        <w:bottom w:val="none" w:sz="0" w:space="0" w:color="auto"/>
        <w:right w:val="none" w:sz="0" w:space="0" w:color="auto"/>
      </w:divBdr>
      <w:divsChild>
        <w:div w:id="1815760298">
          <w:marLeft w:val="0"/>
          <w:marRight w:val="0"/>
          <w:marTop w:val="0"/>
          <w:marBottom w:val="0"/>
          <w:divBdr>
            <w:top w:val="none" w:sz="0" w:space="0" w:color="auto"/>
            <w:left w:val="none" w:sz="0" w:space="0" w:color="auto"/>
            <w:bottom w:val="none" w:sz="0" w:space="0" w:color="auto"/>
            <w:right w:val="none" w:sz="0" w:space="0" w:color="auto"/>
          </w:divBdr>
        </w:div>
      </w:divsChild>
    </w:div>
    <w:div w:id="256407830">
      <w:bodyDiv w:val="1"/>
      <w:marLeft w:val="0"/>
      <w:marRight w:val="0"/>
      <w:marTop w:val="0"/>
      <w:marBottom w:val="0"/>
      <w:divBdr>
        <w:top w:val="none" w:sz="0" w:space="0" w:color="auto"/>
        <w:left w:val="none" w:sz="0" w:space="0" w:color="auto"/>
        <w:bottom w:val="none" w:sz="0" w:space="0" w:color="auto"/>
        <w:right w:val="none" w:sz="0" w:space="0" w:color="auto"/>
      </w:divBdr>
      <w:divsChild>
        <w:div w:id="1375696634">
          <w:marLeft w:val="0"/>
          <w:marRight w:val="0"/>
          <w:marTop w:val="0"/>
          <w:marBottom w:val="0"/>
          <w:divBdr>
            <w:top w:val="none" w:sz="0" w:space="0" w:color="auto"/>
            <w:left w:val="none" w:sz="0" w:space="0" w:color="auto"/>
            <w:bottom w:val="none" w:sz="0" w:space="0" w:color="auto"/>
            <w:right w:val="none" w:sz="0" w:space="0" w:color="auto"/>
          </w:divBdr>
        </w:div>
      </w:divsChild>
    </w:div>
    <w:div w:id="649213616">
      <w:bodyDiv w:val="1"/>
      <w:marLeft w:val="0"/>
      <w:marRight w:val="0"/>
      <w:marTop w:val="0"/>
      <w:marBottom w:val="0"/>
      <w:divBdr>
        <w:top w:val="none" w:sz="0" w:space="0" w:color="auto"/>
        <w:left w:val="none" w:sz="0" w:space="0" w:color="auto"/>
        <w:bottom w:val="none" w:sz="0" w:space="0" w:color="auto"/>
        <w:right w:val="none" w:sz="0" w:space="0" w:color="auto"/>
      </w:divBdr>
    </w:div>
    <w:div w:id="846677131">
      <w:bodyDiv w:val="1"/>
      <w:marLeft w:val="0"/>
      <w:marRight w:val="0"/>
      <w:marTop w:val="0"/>
      <w:marBottom w:val="0"/>
      <w:divBdr>
        <w:top w:val="none" w:sz="0" w:space="0" w:color="auto"/>
        <w:left w:val="none" w:sz="0" w:space="0" w:color="auto"/>
        <w:bottom w:val="none" w:sz="0" w:space="0" w:color="auto"/>
        <w:right w:val="none" w:sz="0" w:space="0" w:color="auto"/>
      </w:divBdr>
      <w:divsChild>
        <w:div w:id="668482575">
          <w:marLeft w:val="0"/>
          <w:marRight w:val="0"/>
          <w:marTop w:val="0"/>
          <w:marBottom w:val="0"/>
          <w:divBdr>
            <w:top w:val="none" w:sz="0" w:space="0" w:color="auto"/>
            <w:left w:val="none" w:sz="0" w:space="0" w:color="auto"/>
            <w:bottom w:val="none" w:sz="0" w:space="0" w:color="auto"/>
            <w:right w:val="none" w:sz="0" w:space="0" w:color="auto"/>
          </w:divBdr>
        </w:div>
      </w:divsChild>
    </w:div>
    <w:div w:id="863135054">
      <w:bodyDiv w:val="1"/>
      <w:marLeft w:val="0"/>
      <w:marRight w:val="0"/>
      <w:marTop w:val="0"/>
      <w:marBottom w:val="0"/>
      <w:divBdr>
        <w:top w:val="none" w:sz="0" w:space="0" w:color="auto"/>
        <w:left w:val="none" w:sz="0" w:space="0" w:color="auto"/>
        <w:bottom w:val="none" w:sz="0" w:space="0" w:color="auto"/>
        <w:right w:val="none" w:sz="0" w:space="0" w:color="auto"/>
      </w:divBdr>
      <w:divsChild>
        <w:div w:id="1787700451">
          <w:marLeft w:val="0"/>
          <w:marRight w:val="0"/>
          <w:marTop w:val="0"/>
          <w:marBottom w:val="0"/>
          <w:divBdr>
            <w:top w:val="none" w:sz="0" w:space="0" w:color="auto"/>
            <w:left w:val="none" w:sz="0" w:space="0" w:color="auto"/>
            <w:bottom w:val="none" w:sz="0" w:space="0" w:color="auto"/>
            <w:right w:val="none" w:sz="0" w:space="0" w:color="auto"/>
          </w:divBdr>
          <w:divsChild>
            <w:div w:id="1298729894">
              <w:marLeft w:val="0"/>
              <w:marRight w:val="0"/>
              <w:marTop w:val="0"/>
              <w:marBottom w:val="0"/>
              <w:divBdr>
                <w:top w:val="none" w:sz="0" w:space="0" w:color="auto"/>
                <w:left w:val="none" w:sz="0" w:space="0" w:color="auto"/>
                <w:bottom w:val="none" w:sz="0" w:space="0" w:color="auto"/>
                <w:right w:val="none" w:sz="0" w:space="0" w:color="auto"/>
              </w:divBdr>
              <w:divsChild>
                <w:div w:id="17446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795216">
      <w:bodyDiv w:val="1"/>
      <w:marLeft w:val="0"/>
      <w:marRight w:val="0"/>
      <w:marTop w:val="0"/>
      <w:marBottom w:val="0"/>
      <w:divBdr>
        <w:top w:val="none" w:sz="0" w:space="0" w:color="auto"/>
        <w:left w:val="none" w:sz="0" w:space="0" w:color="auto"/>
        <w:bottom w:val="none" w:sz="0" w:space="0" w:color="auto"/>
        <w:right w:val="none" w:sz="0" w:space="0" w:color="auto"/>
      </w:divBdr>
      <w:divsChild>
        <w:div w:id="728571714">
          <w:marLeft w:val="0"/>
          <w:marRight w:val="0"/>
          <w:marTop w:val="0"/>
          <w:marBottom w:val="0"/>
          <w:divBdr>
            <w:top w:val="none" w:sz="0" w:space="0" w:color="auto"/>
            <w:left w:val="none" w:sz="0" w:space="0" w:color="auto"/>
            <w:bottom w:val="none" w:sz="0" w:space="0" w:color="auto"/>
            <w:right w:val="none" w:sz="0" w:space="0" w:color="auto"/>
          </w:divBdr>
        </w:div>
      </w:divsChild>
    </w:div>
    <w:div w:id="1280065154">
      <w:bodyDiv w:val="1"/>
      <w:marLeft w:val="0"/>
      <w:marRight w:val="0"/>
      <w:marTop w:val="0"/>
      <w:marBottom w:val="0"/>
      <w:divBdr>
        <w:top w:val="none" w:sz="0" w:space="0" w:color="auto"/>
        <w:left w:val="none" w:sz="0" w:space="0" w:color="auto"/>
        <w:bottom w:val="none" w:sz="0" w:space="0" w:color="auto"/>
        <w:right w:val="none" w:sz="0" w:space="0" w:color="auto"/>
      </w:divBdr>
    </w:div>
    <w:div w:id="1371953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glossaryDocument" Target="glossary/document.xml" Id="R3059233b5be54ae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da1e5c7-7bfa-4a99-9f65-14bfbe690bd4}"/>
      </w:docPartPr>
      <w:docPartBody>
        <w:p w14:paraId="74E8755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E5790-43D4-4FC1-B8F6-C64149AD22E7}">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Gabriel Huchiu (2233684)</lastModifiedBy>
  <revision>2</revision>
  <dcterms:created xsi:type="dcterms:W3CDTF">2023-03-11T19:09:00.0000000Z</dcterms:created>
  <dcterms:modified xsi:type="dcterms:W3CDTF">2023-03-11T19:13:01.0857106Z</dcterms:modified>
</coreProperties>
</file>