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21842" w14:textId="68EF4731" w:rsidR="00772ECA" w:rsidRPr="009912E6" w:rsidRDefault="00772ECA" w:rsidP="00715DC0">
      <w:pPr>
        <w:pStyle w:val="NormalWeb"/>
        <w:spacing w:line="360" w:lineRule="auto"/>
        <w:jc w:val="both"/>
        <w:rPr>
          <w:rFonts w:asciiTheme="minorHAnsi" w:hAnsiTheme="minorHAnsi" w:cstheme="minorHAnsi"/>
          <w:b/>
          <w:bCs/>
          <w:kern w:val="36"/>
        </w:rPr>
      </w:pPr>
    </w:p>
    <w:p w14:paraId="6B13B922" w14:textId="46BCB28D" w:rsidR="002C5D70" w:rsidRPr="009912E6" w:rsidRDefault="002C5D70" w:rsidP="00715DC0">
      <w:pPr>
        <w:pStyle w:val="NormalWeb"/>
        <w:spacing w:line="360" w:lineRule="auto"/>
        <w:jc w:val="both"/>
        <w:rPr>
          <w:rFonts w:asciiTheme="minorHAnsi" w:hAnsiTheme="minorHAnsi" w:cstheme="minorHAnsi"/>
          <w:b/>
          <w:bCs/>
          <w:kern w:val="36"/>
        </w:rPr>
      </w:pPr>
      <w:r w:rsidRPr="009912E6">
        <w:rPr>
          <w:rFonts w:asciiTheme="minorHAnsi" w:hAnsiTheme="minorHAnsi" w:cstheme="minorHAnsi"/>
          <w:noProof/>
        </w:rPr>
        <w:drawing>
          <wp:inline distT="0" distB="0" distL="0" distR="0" wp14:anchorId="49F6869A" wp14:editId="59326ACD">
            <wp:extent cx="3106302" cy="1885007"/>
            <wp:effectExtent l="0" t="0" r="0" b="1270"/>
            <wp:docPr id="1775166451"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3321" cy="1895335"/>
                    </a:xfrm>
                    <a:prstGeom prst="rect">
                      <a:avLst/>
                    </a:prstGeom>
                    <a:noFill/>
                    <a:ln>
                      <a:noFill/>
                    </a:ln>
                  </pic:spPr>
                </pic:pic>
              </a:graphicData>
            </a:graphic>
          </wp:inline>
        </w:drawing>
      </w:r>
    </w:p>
    <w:p w14:paraId="6AEF56DC" w14:textId="52D34976" w:rsidR="00772ECA" w:rsidRPr="002A53F7" w:rsidRDefault="00772ECA"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 xml:space="preserve">Module </w:t>
      </w:r>
      <w:r w:rsidR="008025E9" w:rsidRPr="002A53F7">
        <w:rPr>
          <w:rFonts w:ascii="Arial" w:hAnsi="Arial" w:cs="Arial"/>
          <w:b/>
          <w:bCs/>
          <w:kern w:val="36"/>
          <w:sz w:val="22"/>
          <w:szCs w:val="22"/>
        </w:rPr>
        <w:t>Title</w:t>
      </w:r>
      <w:r w:rsidRPr="002A53F7">
        <w:rPr>
          <w:rFonts w:ascii="Arial" w:hAnsi="Arial" w:cs="Arial"/>
          <w:b/>
          <w:bCs/>
          <w:kern w:val="36"/>
          <w:sz w:val="22"/>
          <w:szCs w:val="22"/>
        </w:rPr>
        <w:t>:</w:t>
      </w:r>
      <w:r w:rsidR="00334D08" w:rsidRPr="002A53F7">
        <w:rPr>
          <w:rFonts w:ascii="Arial" w:hAnsi="Arial" w:cs="Arial"/>
          <w:b/>
          <w:bCs/>
          <w:kern w:val="36"/>
          <w:sz w:val="22"/>
          <w:szCs w:val="22"/>
        </w:rPr>
        <w:t xml:space="preserve"> Health</w:t>
      </w:r>
      <w:r w:rsidR="00186990" w:rsidRPr="002A53F7">
        <w:rPr>
          <w:rFonts w:ascii="Arial" w:hAnsi="Arial" w:cs="Arial"/>
          <w:b/>
          <w:bCs/>
          <w:kern w:val="36"/>
          <w:sz w:val="22"/>
          <w:szCs w:val="22"/>
        </w:rPr>
        <w:t xml:space="preserve"> Care System Organisation and Lea</w:t>
      </w:r>
      <w:r w:rsidR="007B425E" w:rsidRPr="002A53F7">
        <w:rPr>
          <w:rFonts w:ascii="Arial" w:hAnsi="Arial" w:cs="Arial"/>
          <w:b/>
          <w:bCs/>
          <w:kern w:val="36"/>
          <w:sz w:val="22"/>
          <w:szCs w:val="22"/>
        </w:rPr>
        <w:t>dership</w:t>
      </w:r>
    </w:p>
    <w:p w14:paraId="0DA2A604" w14:textId="4B4F22FE" w:rsidR="00772ECA" w:rsidRPr="002A53F7" w:rsidRDefault="00772ECA"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Module Code:</w:t>
      </w:r>
      <w:r w:rsidR="007B425E" w:rsidRPr="002A53F7">
        <w:rPr>
          <w:rFonts w:ascii="Arial" w:hAnsi="Arial" w:cs="Arial"/>
          <w:b/>
          <w:bCs/>
          <w:kern w:val="36"/>
          <w:sz w:val="22"/>
          <w:szCs w:val="22"/>
        </w:rPr>
        <w:t xml:space="preserve"> LCHS7002_LON</w:t>
      </w:r>
      <w:r w:rsidR="00FB5017" w:rsidRPr="002A53F7">
        <w:rPr>
          <w:rFonts w:ascii="Arial" w:hAnsi="Arial" w:cs="Arial"/>
          <w:b/>
          <w:bCs/>
          <w:kern w:val="36"/>
          <w:sz w:val="22"/>
          <w:szCs w:val="22"/>
        </w:rPr>
        <w:t>:</w:t>
      </w:r>
    </w:p>
    <w:p w14:paraId="7906017E" w14:textId="7E9E0CFD" w:rsidR="00FB5017" w:rsidRPr="002A53F7" w:rsidRDefault="00FB5017"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Asse</w:t>
      </w:r>
      <w:r w:rsidR="00730831" w:rsidRPr="002A53F7">
        <w:rPr>
          <w:rFonts w:ascii="Arial" w:hAnsi="Arial" w:cs="Arial"/>
          <w:b/>
          <w:bCs/>
          <w:kern w:val="36"/>
          <w:sz w:val="22"/>
          <w:szCs w:val="22"/>
        </w:rPr>
        <w:t>ssment Title</w:t>
      </w:r>
      <w:r w:rsidR="001122CA" w:rsidRPr="002A53F7">
        <w:rPr>
          <w:rFonts w:ascii="Arial" w:hAnsi="Arial" w:cs="Arial"/>
          <w:b/>
          <w:bCs/>
          <w:kern w:val="36"/>
          <w:sz w:val="22"/>
          <w:szCs w:val="22"/>
        </w:rPr>
        <w:t>:</w:t>
      </w:r>
      <w:r w:rsidR="003B4A7B" w:rsidRPr="002A53F7">
        <w:rPr>
          <w:rFonts w:ascii="Arial" w:hAnsi="Arial" w:cs="Arial"/>
          <w:b/>
          <w:bCs/>
          <w:kern w:val="36"/>
          <w:sz w:val="22"/>
          <w:szCs w:val="22"/>
        </w:rPr>
        <w:t xml:space="preserve"> </w:t>
      </w:r>
      <w:r w:rsidR="003B4A7B" w:rsidRPr="002A53F7">
        <w:rPr>
          <w:rFonts w:ascii="Arial" w:hAnsi="Arial" w:cs="Arial"/>
          <w:kern w:val="36"/>
          <w:sz w:val="22"/>
          <w:szCs w:val="22"/>
        </w:rPr>
        <w:t>A Comparative Analysis of Health System Organization and Pandemic Response: Case Studies of Spain, North Korea, and Canada</w:t>
      </w:r>
    </w:p>
    <w:p w14:paraId="4F9F57D6" w14:textId="02E5D187" w:rsidR="004E7BCD" w:rsidRPr="002A53F7" w:rsidRDefault="001122CA"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Stu</w:t>
      </w:r>
      <w:r w:rsidR="00807DA8" w:rsidRPr="002A53F7">
        <w:rPr>
          <w:rFonts w:ascii="Arial" w:hAnsi="Arial" w:cs="Arial"/>
          <w:b/>
          <w:bCs/>
          <w:kern w:val="36"/>
          <w:sz w:val="22"/>
          <w:szCs w:val="22"/>
        </w:rPr>
        <w:t xml:space="preserve">dent </w:t>
      </w:r>
      <w:r w:rsidR="004E7BCD" w:rsidRPr="002A53F7">
        <w:rPr>
          <w:rFonts w:ascii="Arial" w:hAnsi="Arial" w:cs="Arial"/>
          <w:b/>
          <w:bCs/>
          <w:kern w:val="36"/>
          <w:sz w:val="22"/>
          <w:szCs w:val="22"/>
        </w:rPr>
        <w:t>Name:</w:t>
      </w:r>
      <w:r w:rsidR="00DE2DFB" w:rsidRPr="002A53F7">
        <w:rPr>
          <w:rFonts w:ascii="Arial" w:hAnsi="Arial" w:cs="Arial"/>
          <w:b/>
          <w:bCs/>
          <w:kern w:val="36"/>
          <w:sz w:val="22"/>
          <w:szCs w:val="22"/>
        </w:rPr>
        <w:t xml:space="preserve"> </w:t>
      </w:r>
      <w:r w:rsidR="00DE2DFB" w:rsidRPr="002A53F7">
        <w:rPr>
          <w:rFonts w:ascii="Arial" w:hAnsi="Arial" w:cs="Arial"/>
          <w:kern w:val="36"/>
          <w:sz w:val="22"/>
          <w:szCs w:val="22"/>
        </w:rPr>
        <w:t>Ohikhuare Irogho</w:t>
      </w:r>
    </w:p>
    <w:p w14:paraId="139AA123" w14:textId="2D2C65FA" w:rsidR="00DD646C" w:rsidRPr="002A53F7" w:rsidRDefault="004E7BCD"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t xml:space="preserve">Student </w:t>
      </w:r>
      <w:r w:rsidR="00DD646C" w:rsidRPr="002A53F7">
        <w:rPr>
          <w:rFonts w:ascii="Arial" w:hAnsi="Arial" w:cs="Arial"/>
          <w:b/>
          <w:bCs/>
          <w:kern w:val="36"/>
          <w:sz w:val="22"/>
          <w:szCs w:val="22"/>
        </w:rPr>
        <w:t>ID:</w:t>
      </w:r>
      <w:r w:rsidR="00DE2DFB" w:rsidRPr="002A53F7">
        <w:rPr>
          <w:rFonts w:ascii="Arial" w:hAnsi="Arial" w:cs="Arial"/>
          <w:b/>
          <w:bCs/>
          <w:kern w:val="36"/>
          <w:sz w:val="22"/>
          <w:szCs w:val="22"/>
        </w:rPr>
        <w:t xml:space="preserve"> </w:t>
      </w:r>
      <w:r w:rsidR="00DE2DFB" w:rsidRPr="002A53F7">
        <w:rPr>
          <w:rFonts w:ascii="Arial" w:hAnsi="Arial" w:cs="Arial"/>
          <w:kern w:val="36"/>
          <w:sz w:val="22"/>
          <w:szCs w:val="22"/>
        </w:rPr>
        <w:t>2128365</w:t>
      </w:r>
    </w:p>
    <w:p w14:paraId="3DE34AFB" w14:textId="5053DF1A" w:rsidR="00DE2DFB" w:rsidRPr="002A53F7" w:rsidRDefault="00DD646C" w:rsidP="002A53F7">
      <w:pPr>
        <w:pStyle w:val="NormalWeb"/>
        <w:spacing w:line="360" w:lineRule="auto"/>
        <w:jc w:val="both"/>
        <w:rPr>
          <w:rFonts w:ascii="Arial" w:hAnsi="Arial" w:cs="Arial"/>
          <w:kern w:val="36"/>
          <w:sz w:val="22"/>
          <w:szCs w:val="22"/>
        </w:rPr>
      </w:pPr>
      <w:r w:rsidRPr="002A53F7">
        <w:rPr>
          <w:rFonts w:ascii="Arial" w:hAnsi="Arial" w:cs="Arial"/>
          <w:b/>
          <w:bCs/>
          <w:kern w:val="36"/>
          <w:sz w:val="22"/>
          <w:szCs w:val="22"/>
        </w:rPr>
        <w:t>Lecturer Name</w:t>
      </w:r>
      <w:r w:rsidR="00DE2DFB" w:rsidRPr="002A53F7">
        <w:rPr>
          <w:rFonts w:ascii="Arial" w:hAnsi="Arial" w:cs="Arial"/>
          <w:b/>
          <w:bCs/>
          <w:kern w:val="36"/>
          <w:sz w:val="22"/>
          <w:szCs w:val="22"/>
        </w:rPr>
        <w:t>:</w:t>
      </w:r>
      <w:r w:rsidR="00D202D6" w:rsidRPr="002A53F7">
        <w:rPr>
          <w:rFonts w:ascii="Arial" w:hAnsi="Arial" w:cs="Arial"/>
          <w:b/>
          <w:bCs/>
          <w:kern w:val="36"/>
          <w:sz w:val="22"/>
          <w:szCs w:val="22"/>
        </w:rPr>
        <w:t xml:space="preserve"> </w:t>
      </w:r>
      <w:r w:rsidR="00D202D6" w:rsidRPr="002A53F7">
        <w:rPr>
          <w:rFonts w:ascii="Arial" w:hAnsi="Arial" w:cs="Arial"/>
          <w:kern w:val="36"/>
          <w:sz w:val="22"/>
          <w:szCs w:val="22"/>
        </w:rPr>
        <w:t>Dr Shepherd Ziko</w:t>
      </w:r>
    </w:p>
    <w:p w14:paraId="791F81D3" w14:textId="2316D482" w:rsidR="001122CA" w:rsidRPr="002A53F7" w:rsidRDefault="001122CA"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br/>
      </w:r>
    </w:p>
    <w:p w14:paraId="36D51B99" w14:textId="0FEC65A0" w:rsidR="00674FD1" w:rsidRPr="002A53F7" w:rsidRDefault="00E5153B" w:rsidP="002A53F7">
      <w:pPr>
        <w:pStyle w:val="NormalWeb"/>
        <w:spacing w:line="360" w:lineRule="auto"/>
        <w:jc w:val="both"/>
        <w:rPr>
          <w:rFonts w:ascii="Arial" w:hAnsi="Arial" w:cs="Arial"/>
          <w:b/>
          <w:bCs/>
          <w:kern w:val="36"/>
          <w:sz w:val="22"/>
          <w:szCs w:val="22"/>
        </w:rPr>
      </w:pPr>
      <w:r w:rsidRPr="002A53F7">
        <w:rPr>
          <w:rFonts w:ascii="Arial" w:hAnsi="Arial" w:cs="Arial"/>
          <w:b/>
          <w:bCs/>
          <w:kern w:val="36"/>
          <w:sz w:val="22"/>
          <w:szCs w:val="22"/>
        </w:rPr>
        <w:br/>
      </w:r>
    </w:p>
    <w:p w14:paraId="0A416FAA" w14:textId="77777777" w:rsidR="00674FD1" w:rsidRPr="002A53F7" w:rsidRDefault="00674FD1" w:rsidP="002A53F7">
      <w:pPr>
        <w:spacing w:line="360" w:lineRule="auto"/>
        <w:rPr>
          <w:rFonts w:ascii="Arial" w:eastAsia="Times New Roman" w:hAnsi="Arial" w:cs="Arial"/>
          <w:b/>
          <w:bCs/>
          <w:kern w:val="36"/>
          <w:lang w:eastAsia="en-GB"/>
        </w:rPr>
      </w:pPr>
      <w:r w:rsidRPr="002A53F7">
        <w:rPr>
          <w:rFonts w:ascii="Arial" w:hAnsi="Arial" w:cs="Arial"/>
          <w:b/>
          <w:bCs/>
          <w:kern w:val="36"/>
        </w:rPr>
        <w:br w:type="page"/>
      </w:r>
    </w:p>
    <w:sdt>
      <w:sdtPr>
        <w:rPr>
          <w:rFonts w:ascii="Arial" w:eastAsiaTheme="minorHAnsi" w:hAnsi="Arial" w:cs="Arial"/>
          <w:color w:val="auto"/>
          <w:sz w:val="22"/>
          <w:szCs w:val="22"/>
          <w:lang w:val="en-GB"/>
        </w:rPr>
        <w:id w:val="1146947185"/>
        <w:docPartObj>
          <w:docPartGallery w:val="Table of Contents"/>
          <w:docPartUnique/>
        </w:docPartObj>
      </w:sdtPr>
      <w:sdtEndPr>
        <w:rPr>
          <w:rFonts w:eastAsiaTheme="majorEastAsia"/>
          <w:b/>
          <w:bCs/>
          <w:lang w:val="en-US"/>
        </w:rPr>
      </w:sdtEndPr>
      <w:sdtContent>
        <w:p w14:paraId="3340DEAC" w14:textId="214F9986" w:rsidR="00AA6CAD" w:rsidRPr="002A53F7" w:rsidRDefault="00AA6CAD" w:rsidP="002A53F7">
          <w:pPr>
            <w:pStyle w:val="TOCHeading"/>
            <w:spacing w:line="360" w:lineRule="auto"/>
            <w:rPr>
              <w:rFonts w:ascii="Arial" w:hAnsi="Arial" w:cs="Arial"/>
              <w:b/>
              <w:bCs/>
              <w:color w:val="auto"/>
              <w:sz w:val="22"/>
              <w:szCs w:val="22"/>
            </w:rPr>
          </w:pPr>
          <w:r w:rsidRPr="002A53F7">
            <w:rPr>
              <w:rFonts w:ascii="Arial" w:hAnsi="Arial" w:cs="Arial"/>
              <w:b/>
              <w:bCs/>
              <w:color w:val="auto"/>
              <w:sz w:val="22"/>
              <w:szCs w:val="22"/>
            </w:rPr>
            <w:t>Table of Contents</w:t>
          </w:r>
        </w:p>
      </w:sdtContent>
    </w:sdt>
    <w:p w14:paraId="2D949574" w14:textId="35D344F1" w:rsidR="00997213" w:rsidRPr="002A53F7" w:rsidRDefault="003B4A7B" w:rsidP="002A53F7">
      <w:pPr>
        <w:pStyle w:val="ListParagraph"/>
        <w:numPr>
          <w:ilvl w:val="0"/>
          <w:numId w:val="25"/>
        </w:numPr>
        <w:spacing w:line="360" w:lineRule="auto"/>
        <w:rPr>
          <w:rFonts w:ascii="Arial" w:hAnsi="Arial" w:cs="Arial"/>
          <w:kern w:val="36"/>
        </w:rPr>
      </w:pPr>
      <w:r w:rsidRPr="002A53F7">
        <w:rPr>
          <w:rFonts w:ascii="Arial" w:hAnsi="Arial" w:cs="Arial"/>
          <w:kern w:val="36"/>
        </w:rPr>
        <w:t>Executive Summary</w:t>
      </w:r>
    </w:p>
    <w:p w14:paraId="37E63589" w14:textId="5D46FB90" w:rsidR="003B4A7B" w:rsidRPr="002A53F7" w:rsidRDefault="001E50C2" w:rsidP="002A53F7">
      <w:pPr>
        <w:pStyle w:val="ListParagraph"/>
        <w:numPr>
          <w:ilvl w:val="0"/>
          <w:numId w:val="25"/>
        </w:numPr>
        <w:spacing w:line="360" w:lineRule="auto"/>
        <w:rPr>
          <w:rFonts w:ascii="Arial" w:hAnsi="Arial" w:cs="Arial"/>
          <w:kern w:val="36"/>
        </w:rPr>
      </w:pPr>
      <w:r w:rsidRPr="002A53F7">
        <w:rPr>
          <w:rFonts w:ascii="Arial" w:hAnsi="Arial" w:cs="Arial"/>
          <w:kern w:val="36"/>
        </w:rPr>
        <w:t>Introduction</w:t>
      </w:r>
    </w:p>
    <w:p w14:paraId="7E73B5FF" w14:textId="3813D5D8" w:rsidR="001E50C2" w:rsidRPr="002A53F7" w:rsidRDefault="001E50C2" w:rsidP="002A53F7">
      <w:pPr>
        <w:pStyle w:val="ListParagraph"/>
        <w:numPr>
          <w:ilvl w:val="0"/>
          <w:numId w:val="25"/>
        </w:numPr>
        <w:spacing w:line="360" w:lineRule="auto"/>
        <w:rPr>
          <w:rFonts w:ascii="Arial" w:hAnsi="Arial" w:cs="Arial"/>
          <w:kern w:val="36"/>
        </w:rPr>
      </w:pPr>
      <w:r w:rsidRPr="002A53F7">
        <w:rPr>
          <w:rFonts w:ascii="Arial" w:hAnsi="Arial" w:cs="Arial"/>
          <w:kern w:val="36"/>
        </w:rPr>
        <w:t>Canada: Healthcare Typology and C</w:t>
      </w:r>
      <w:r w:rsidR="00216D28" w:rsidRPr="002A53F7">
        <w:rPr>
          <w:rFonts w:ascii="Arial" w:hAnsi="Arial" w:cs="Arial"/>
          <w:kern w:val="36"/>
        </w:rPr>
        <w:t>OVID</w:t>
      </w:r>
      <w:r w:rsidRPr="002A53F7">
        <w:rPr>
          <w:rFonts w:ascii="Arial" w:hAnsi="Arial" w:cs="Arial"/>
          <w:kern w:val="36"/>
        </w:rPr>
        <w:t xml:space="preserve"> – 19 System Approach</w:t>
      </w:r>
    </w:p>
    <w:p w14:paraId="77DA6591" w14:textId="2BF0496D" w:rsidR="009912E6" w:rsidRPr="002A53F7" w:rsidRDefault="001E50C2" w:rsidP="002A53F7">
      <w:pPr>
        <w:pStyle w:val="ListParagraph"/>
        <w:numPr>
          <w:ilvl w:val="1"/>
          <w:numId w:val="25"/>
        </w:numPr>
        <w:spacing w:line="360" w:lineRule="auto"/>
        <w:rPr>
          <w:rFonts w:ascii="Arial" w:hAnsi="Arial" w:cs="Arial"/>
          <w:kern w:val="36"/>
        </w:rPr>
      </w:pPr>
      <w:r w:rsidRPr="002A53F7">
        <w:rPr>
          <w:rFonts w:ascii="Arial" w:hAnsi="Arial" w:cs="Arial"/>
          <w:kern w:val="36"/>
        </w:rPr>
        <w:t>Healthcare System Typology</w:t>
      </w:r>
    </w:p>
    <w:p w14:paraId="1A8A2EED" w14:textId="0823E71F" w:rsidR="001E50C2" w:rsidRPr="002A53F7" w:rsidRDefault="001E50C2"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Early pandemic response and system functioning</w:t>
      </w:r>
    </w:p>
    <w:p w14:paraId="5CD620EA" w14:textId="24F5ED73" w:rsidR="001E50C2" w:rsidRPr="002A53F7" w:rsidRDefault="001E50C2"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Centralised and decentralised components</w:t>
      </w:r>
    </w:p>
    <w:p w14:paraId="51AB12D1" w14:textId="2FF61212" w:rsidR="001E50C2" w:rsidRPr="002A53F7" w:rsidRDefault="001E50C2"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Advantages </w:t>
      </w:r>
      <w:r w:rsidR="00533731" w:rsidRPr="002A53F7">
        <w:rPr>
          <w:rFonts w:ascii="Arial" w:hAnsi="Arial" w:cs="Arial"/>
          <w:kern w:val="36"/>
        </w:rPr>
        <w:t>of Canada’s decentralised approach</w:t>
      </w:r>
    </w:p>
    <w:p w14:paraId="7DC2B308" w14:textId="1332542B"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Disadvantages and coordinated challenges</w:t>
      </w:r>
    </w:p>
    <w:p w14:paraId="2E501E29" w14:textId="10C01329"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Outcomes and key lessons</w:t>
      </w:r>
    </w:p>
    <w:p w14:paraId="5E805531" w14:textId="07EACA5B" w:rsidR="00533731" w:rsidRPr="002A53F7" w:rsidRDefault="00533731" w:rsidP="002A53F7">
      <w:pPr>
        <w:pStyle w:val="ListParagraph"/>
        <w:numPr>
          <w:ilvl w:val="0"/>
          <w:numId w:val="25"/>
        </w:numPr>
        <w:spacing w:line="360" w:lineRule="auto"/>
        <w:rPr>
          <w:rFonts w:ascii="Arial" w:hAnsi="Arial" w:cs="Arial"/>
          <w:kern w:val="36"/>
        </w:rPr>
      </w:pPr>
      <w:r w:rsidRPr="002A53F7">
        <w:rPr>
          <w:rFonts w:ascii="Arial" w:hAnsi="Arial" w:cs="Arial"/>
          <w:kern w:val="36"/>
        </w:rPr>
        <w:t>Spain Healthcare Typology and C</w:t>
      </w:r>
      <w:r w:rsidR="00216D28" w:rsidRPr="002A53F7">
        <w:rPr>
          <w:rFonts w:ascii="Arial" w:hAnsi="Arial" w:cs="Arial"/>
          <w:kern w:val="36"/>
        </w:rPr>
        <w:t>OVID</w:t>
      </w:r>
      <w:r w:rsidRPr="002A53F7">
        <w:rPr>
          <w:rFonts w:ascii="Arial" w:hAnsi="Arial" w:cs="Arial"/>
          <w:kern w:val="36"/>
        </w:rPr>
        <w:t>– 19 System Approach</w:t>
      </w:r>
    </w:p>
    <w:p w14:paraId="69D56328" w14:textId="40EE3F48"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Healthcare system typology</w:t>
      </w:r>
    </w:p>
    <w:p w14:paraId="32960944" w14:textId="21D34A76"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Early pandemic response</w:t>
      </w:r>
    </w:p>
    <w:p w14:paraId="3AA6D099" w14:textId="63C037B1"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Centralised and Decentralised systems approach</w:t>
      </w:r>
    </w:p>
    <w:p w14:paraId="16344E16" w14:textId="337886D1"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Advantages of the Spanish system approach</w:t>
      </w:r>
    </w:p>
    <w:p w14:paraId="680A1BA8" w14:textId="696B5607" w:rsidR="00533731"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Disadvantages and coordination challenges</w:t>
      </w:r>
    </w:p>
    <w:p w14:paraId="370B432D" w14:textId="77777777" w:rsidR="00216D28" w:rsidRPr="002A53F7" w:rsidRDefault="00533731" w:rsidP="002A53F7">
      <w:pPr>
        <w:pStyle w:val="ListParagraph"/>
        <w:numPr>
          <w:ilvl w:val="1"/>
          <w:numId w:val="25"/>
        </w:numPr>
        <w:spacing w:line="360" w:lineRule="auto"/>
        <w:rPr>
          <w:rFonts w:ascii="Arial" w:hAnsi="Arial" w:cs="Arial"/>
          <w:kern w:val="36"/>
        </w:rPr>
      </w:pPr>
      <w:r w:rsidRPr="002A53F7">
        <w:rPr>
          <w:rFonts w:ascii="Arial" w:hAnsi="Arial" w:cs="Arial"/>
          <w:kern w:val="36"/>
        </w:rPr>
        <w:t>Outcomes and lesson learned</w:t>
      </w:r>
    </w:p>
    <w:p w14:paraId="27C04EC4" w14:textId="694D9A20" w:rsidR="00216D28" w:rsidRPr="002A53F7" w:rsidRDefault="00216D28" w:rsidP="002A53F7">
      <w:pPr>
        <w:pStyle w:val="ListParagraph"/>
        <w:numPr>
          <w:ilvl w:val="0"/>
          <w:numId w:val="25"/>
        </w:numPr>
        <w:spacing w:line="360" w:lineRule="auto"/>
        <w:rPr>
          <w:rFonts w:ascii="Arial" w:hAnsi="Arial" w:cs="Arial"/>
          <w:kern w:val="36"/>
        </w:rPr>
      </w:pPr>
      <w:r w:rsidRPr="002A53F7">
        <w:rPr>
          <w:rFonts w:ascii="Arial" w:hAnsi="Arial" w:cs="Arial"/>
          <w:kern w:val="36"/>
        </w:rPr>
        <w:t>South Korea Healthcare Typology and COVID-19 System Approach</w:t>
      </w:r>
    </w:p>
    <w:p w14:paraId="5085BD8D" w14:textId="091D0D9C"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Healthcare system typology</w:t>
      </w:r>
    </w:p>
    <w:p w14:paraId="250D4501" w14:textId="7EECB1E9"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Early pandemic response (Test- Trace- Isolate strategy)</w:t>
      </w:r>
    </w:p>
    <w:p w14:paraId="0C2BE4B9" w14:textId="4C604A40"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Centralised and Decentralised Elements</w:t>
      </w:r>
    </w:p>
    <w:p w14:paraId="0D1F352D" w14:textId="5D3F6605"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Advantages of the Korean systems approach</w:t>
      </w:r>
    </w:p>
    <w:p w14:paraId="14D2F355" w14:textId="027BBCE0"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Disadvantages and Challenges</w:t>
      </w:r>
    </w:p>
    <w:p w14:paraId="671B6E7E" w14:textId="7F9EEB73" w:rsidR="00216D28" w:rsidRPr="002A53F7" w:rsidRDefault="00216D28" w:rsidP="002A53F7">
      <w:pPr>
        <w:pStyle w:val="ListParagraph"/>
        <w:numPr>
          <w:ilvl w:val="1"/>
          <w:numId w:val="25"/>
        </w:numPr>
        <w:spacing w:line="360" w:lineRule="auto"/>
        <w:rPr>
          <w:rFonts w:ascii="Arial" w:hAnsi="Arial" w:cs="Arial"/>
          <w:kern w:val="36"/>
        </w:rPr>
      </w:pPr>
      <w:r w:rsidRPr="002A53F7">
        <w:rPr>
          <w:rFonts w:ascii="Arial" w:hAnsi="Arial" w:cs="Arial"/>
          <w:kern w:val="36"/>
        </w:rPr>
        <w:t>Outcomes and lessons learned</w:t>
      </w:r>
    </w:p>
    <w:p w14:paraId="777E411E" w14:textId="4879F500" w:rsidR="00CD47C5" w:rsidRPr="002A53F7" w:rsidRDefault="00CD47C5" w:rsidP="002A53F7">
      <w:pPr>
        <w:pStyle w:val="ListParagraph"/>
        <w:numPr>
          <w:ilvl w:val="0"/>
          <w:numId w:val="25"/>
        </w:numPr>
        <w:spacing w:line="360" w:lineRule="auto"/>
        <w:rPr>
          <w:rFonts w:ascii="Arial" w:hAnsi="Arial" w:cs="Arial"/>
          <w:kern w:val="36"/>
        </w:rPr>
      </w:pPr>
      <w:r w:rsidRPr="002A53F7">
        <w:rPr>
          <w:rFonts w:ascii="Arial" w:hAnsi="Arial" w:cs="Arial"/>
          <w:kern w:val="36"/>
        </w:rPr>
        <w:t>Leadership Analysis – Spain</w:t>
      </w:r>
    </w:p>
    <w:p w14:paraId="0C969642" w14:textId="4C0786BF"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Overview of leadership context</w:t>
      </w:r>
    </w:p>
    <w:p w14:paraId="2C22BF09" w14:textId="0AD5D3AC"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National leadership: Political coordination and crisis communication</w:t>
      </w:r>
    </w:p>
    <w:p w14:paraId="7810A2F4" w14:textId="07202A3E"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Regional leadership: Heterogeneity and political influence</w:t>
      </w:r>
    </w:p>
    <w:p w14:paraId="640C65A5" w14:textId="0DC237B3"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Centralised vs Decentralised leadership dynamics</w:t>
      </w:r>
    </w:p>
    <w:p w14:paraId="11552E12" w14:textId="3D54BF35"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Strengths of the Spanish leadership approach</w:t>
      </w:r>
    </w:p>
    <w:p w14:paraId="40B7A71E" w14:textId="1530700B"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Weaknesses and leadership failures</w:t>
      </w:r>
    </w:p>
    <w:p w14:paraId="05FB5BDE" w14:textId="5F3B34A4" w:rsidR="00CD47C5" w:rsidRPr="002A53F7" w:rsidRDefault="00CD47C5" w:rsidP="002A53F7">
      <w:pPr>
        <w:pStyle w:val="ListParagraph"/>
        <w:numPr>
          <w:ilvl w:val="1"/>
          <w:numId w:val="25"/>
        </w:numPr>
        <w:spacing w:line="360" w:lineRule="auto"/>
        <w:rPr>
          <w:rFonts w:ascii="Arial" w:hAnsi="Arial" w:cs="Arial"/>
          <w:kern w:val="36"/>
        </w:rPr>
      </w:pPr>
      <w:r w:rsidRPr="002A53F7">
        <w:rPr>
          <w:rFonts w:ascii="Arial" w:hAnsi="Arial" w:cs="Arial"/>
          <w:kern w:val="36"/>
        </w:rPr>
        <w:t>Overall assessment</w:t>
      </w:r>
    </w:p>
    <w:p w14:paraId="5049DEEF" w14:textId="5180308D" w:rsidR="00CD47C5" w:rsidRPr="002A53F7" w:rsidRDefault="00CD47C5" w:rsidP="002A53F7">
      <w:pPr>
        <w:pStyle w:val="ListParagraph"/>
        <w:numPr>
          <w:ilvl w:val="0"/>
          <w:numId w:val="25"/>
        </w:numPr>
        <w:spacing w:line="360" w:lineRule="auto"/>
        <w:rPr>
          <w:rFonts w:ascii="Arial" w:hAnsi="Arial" w:cs="Arial"/>
          <w:kern w:val="36"/>
        </w:rPr>
      </w:pPr>
      <w:r w:rsidRPr="002A53F7">
        <w:rPr>
          <w:rFonts w:ascii="Arial" w:hAnsi="Arial" w:cs="Arial"/>
          <w:kern w:val="36"/>
        </w:rPr>
        <w:t>Leadership Analysis – South Korea</w:t>
      </w:r>
    </w:p>
    <w:p w14:paraId="722C7D14" w14:textId="615825E3" w:rsidR="00CD47C5"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Overview of leadership context</w:t>
      </w:r>
    </w:p>
    <w:p w14:paraId="69364093" w14:textId="512B069F"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National political leadership</w:t>
      </w:r>
    </w:p>
    <w:p w14:paraId="652BC8A5" w14:textId="0A3C4F3C"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Technocratic KDCA and expert authority</w:t>
      </w:r>
    </w:p>
    <w:p w14:paraId="2D9D8411" w14:textId="6C3DF70D"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Centralisation and coordination</w:t>
      </w:r>
    </w:p>
    <w:p w14:paraId="2CB483F7" w14:textId="49F46A35"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Communication strategies</w:t>
      </w:r>
    </w:p>
    <w:p w14:paraId="23FCFFF5" w14:textId="443EF4E2"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Leadership challenges and criticisms</w:t>
      </w:r>
    </w:p>
    <w:p w14:paraId="03DF9581" w14:textId="0A6C2E87"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Overall assessment</w:t>
      </w:r>
    </w:p>
    <w:p w14:paraId="37C47A53" w14:textId="6473BC73" w:rsidR="00BA78AA" w:rsidRPr="002A53F7" w:rsidRDefault="00BA78AA" w:rsidP="002A53F7">
      <w:pPr>
        <w:pStyle w:val="ListParagraph"/>
        <w:numPr>
          <w:ilvl w:val="0"/>
          <w:numId w:val="25"/>
        </w:numPr>
        <w:spacing w:line="360" w:lineRule="auto"/>
        <w:rPr>
          <w:rFonts w:ascii="Arial" w:hAnsi="Arial" w:cs="Arial"/>
          <w:kern w:val="36"/>
        </w:rPr>
      </w:pPr>
      <w:r w:rsidRPr="002A53F7">
        <w:rPr>
          <w:rFonts w:ascii="Arial" w:hAnsi="Arial" w:cs="Arial"/>
          <w:kern w:val="36"/>
        </w:rPr>
        <w:t>Leadership Analysis – Canada</w:t>
      </w:r>
    </w:p>
    <w:p w14:paraId="2614A69F" w14:textId="36AB973B"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Overview of leadership context</w:t>
      </w:r>
    </w:p>
    <w:p w14:paraId="5C0493EB" w14:textId="65926E40" w:rsidR="00BA78AA" w:rsidRPr="002A53F7" w:rsidRDefault="00BA78AA" w:rsidP="002A53F7">
      <w:pPr>
        <w:pStyle w:val="ListParagraph"/>
        <w:numPr>
          <w:ilvl w:val="1"/>
          <w:numId w:val="25"/>
        </w:numPr>
        <w:spacing w:line="360" w:lineRule="auto"/>
        <w:rPr>
          <w:rFonts w:ascii="Arial" w:hAnsi="Arial" w:cs="Arial"/>
          <w:kern w:val="36"/>
        </w:rPr>
      </w:pPr>
      <w:r w:rsidRPr="002A53F7">
        <w:rPr>
          <w:rFonts w:ascii="Arial" w:hAnsi="Arial" w:cs="Arial"/>
          <w:kern w:val="36"/>
        </w:rPr>
        <w:t>Federal leadership coordination, communication and strategies direction</w:t>
      </w:r>
    </w:p>
    <w:p w14:paraId="39E5AD12" w14:textId="6475A348" w:rsidR="00BA78AA"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w:t>
      </w:r>
      <w:r w:rsidR="00BA78AA" w:rsidRPr="002A53F7">
        <w:rPr>
          <w:rFonts w:ascii="Arial" w:hAnsi="Arial" w:cs="Arial"/>
          <w:kern w:val="36"/>
        </w:rPr>
        <w:t>Federal – level technical leadership (PHAC)</w:t>
      </w:r>
    </w:p>
    <w:p w14:paraId="6D4BE742" w14:textId="69079F42" w:rsidR="00BA78AA"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w:t>
      </w:r>
      <w:r w:rsidR="00BA78AA" w:rsidRPr="002A53F7">
        <w:rPr>
          <w:rFonts w:ascii="Arial" w:hAnsi="Arial" w:cs="Arial"/>
          <w:kern w:val="36"/>
        </w:rPr>
        <w:t>Provincial leadership: heterogeneity and political dynamics</w:t>
      </w:r>
    </w:p>
    <w:p w14:paraId="33C0F61A" w14:textId="79AFD191" w:rsidR="00BA78AA"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w:t>
      </w:r>
      <w:r w:rsidR="00BA78AA" w:rsidRPr="002A53F7">
        <w:rPr>
          <w:rFonts w:ascii="Arial" w:hAnsi="Arial" w:cs="Arial"/>
          <w:kern w:val="36"/>
        </w:rPr>
        <w:t xml:space="preserve">Centralisation and Decentralisation </w:t>
      </w:r>
      <w:r w:rsidRPr="002A53F7">
        <w:rPr>
          <w:rFonts w:ascii="Arial" w:hAnsi="Arial" w:cs="Arial"/>
          <w:kern w:val="36"/>
        </w:rPr>
        <w:t>tensions in leadership</w:t>
      </w:r>
    </w:p>
    <w:p w14:paraId="3B14A481" w14:textId="4DA643AD"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Strengths of Canada’s leadership approach</w:t>
      </w:r>
    </w:p>
    <w:p w14:paraId="0EB46885" w14:textId="6EB98E10"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Leadership weaknesses and failures</w:t>
      </w:r>
    </w:p>
    <w:p w14:paraId="7FA52B82" w14:textId="3A44BD85"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Overall assessment</w:t>
      </w:r>
    </w:p>
    <w:p w14:paraId="52D7239D" w14:textId="0BF67C07" w:rsidR="0074396D" w:rsidRPr="002A53F7" w:rsidRDefault="0074396D" w:rsidP="002A53F7">
      <w:pPr>
        <w:pStyle w:val="ListParagraph"/>
        <w:numPr>
          <w:ilvl w:val="0"/>
          <w:numId w:val="25"/>
        </w:numPr>
        <w:spacing w:line="360" w:lineRule="auto"/>
        <w:rPr>
          <w:rFonts w:ascii="Arial" w:hAnsi="Arial" w:cs="Arial"/>
          <w:kern w:val="36"/>
        </w:rPr>
      </w:pPr>
      <w:r w:rsidRPr="002A53F7">
        <w:rPr>
          <w:rFonts w:ascii="Arial" w:hAnsi="Arial" w:cs="Arial"/>
          <w:kern w:val="36"/>
        </w:rPr>
        <w:t>Comparative synthesis and cross – countries lessons</w:t>
      </w:r>
    </w:p>
    <w:p w14:paraId="51FF9684" w14:textId="059367B4"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System typology and governance implications</w:t>
      </w:r>
    </w:p>
    <w:p w14:paraId="38F4E10C" w14:textId="0476CCCC"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Leadership styles and public trust/ compliance</w:t>
      </w:r>
    </w:p>
    <w:p w14:paraId="522EEFD1" w14:textId="40113F43"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Common strengths and vulnerabilities</w:t>
      </w:r>
    </w:p>
    <w:p w14:paraId="2A00C582" w14:textId="77777777" w:rsidR="0074396D" w:rsidRPr="002A53F7" w:rsidRDefault="0074396D" w:rsidP="002A53F7">
      <w:pPr>
        <w:pStyle w:val="ListParagraph"/>
        <w:numPr>
          <w:ilvl w:val="1"/>
          <w:numId w:val="25"/>
        </w:numPr>
        <w:spacing w:line="360" w:lineRule="auto"/>
        <w:rPr>
          <w:rFonts w:ascii="Arial" w:hAnsi="Arial" w:cs="Arial"/>
          <w:kern w:val="36"/>
        </w:rPr>
      </w:pPr>
      <w:r w:rsidRPr="002A53F7">
        <w:rPr>
          <w:rFonts w:ascii="Arial" w:hAnsi="Arial" w:cs="Arial"/>
          <w:kern w:val="36"/>
        </w:rPr>
        <w:t xml:space="preserve">  Policy recommendations for future pandemics</w:t>
      </w:r>
    </w:p>
    <w:p w14:paraId="79D44505" w14:textId="77777777" w:rsidR="0074396D" w:rsidRPr="002A53F7" w:rsidRDefault="0074396D" w:rsidP="002A53F7">
      <w:pPr>
        <w:pStyle w:val="ListParagraph"/>
        <w:numPr>
          <w:ilvl w:val="0"/>
          <w:numId w:val="25"/>
        </w:numPr>
        <w:spacing w:line="360" w:lineRule="auto"/>
        <w:rPr>
          <w:rFonts w:ascii="Arial" w:hAnsi="Arial" w:cs="Arial"/>
          <w:kern w:val="36"/>
        </w:rPr>
      </w:pPr>
      <w:r w:rsidRPr="002A53F7">
        <w:rPr>
          <w:rFonts w:ascii="Arial" w:hAnsi="Arial" w:cs="Arial"/>
          <w:kern w:val="36"/>
        </w:rPr>
        <w:t xml:space="preserve">    Conclusion</w:t>
      </w:r>
    </w:p>
    <w:p w14:paraId="27A6B5D0" w14:textId="0796D328" w:rsidR="0074396D" w:rsidRPr="002A53F7" w:rsidRDefault="002A53F7" w:rsidP="002A53F7">
      <w:pPr>
        <w:pStyle w:val="ListParagraph"/>
        <w:numPr>
          <w:ilvl w:val="0"/>
          <w:numId w:val="25"/>
        </w:numPr>
        <w:spacing w:line="360" w:lineRule="auto"/>
        <w:rPr>
          <w:rFonts w:ascii="Arial" w:hAnsi="Arial" w:cs="Arial"/>
          <w:kern w:val="36"/>
        </w:rPr>
      </w:pPr>
      <w:r w:rsidRPr="002A53F7">
        <w:rPr>
          <w:rFonts w:ascii="Arial" w:hAnsi="Arial" w:cs="Arial"/>
          <w:kern w:val="36"/>
        </w:rPr>
        <w:t xml:space="preserve">     </w:t>
      </w:r>
      <w:r w:rsidR="0074396D" w:rsidRPr="002A53F7">
        <w:rPr>
          <w:rFonts w:ascii="Arial" w:hAnsi="Arial" w:cs="Arial"/>
          <w:kern w:val="36"/>
        </w:rPr>
        <w:t xml:space="preserve">References  </w:t>
      </w:r>
    </w:p>
    <w:p w14:paraId="30692EBC" w14:textId="70385B61" w:rsidR="00533731" w:rsidRDefault="00216D28" w:rsidP="002A53F7">
      <w:pPr>
        <w:spacing w:line="360" w:lineRule="auto"/>
        <w:rPr>
          <w:rFonts w:ascii="Arial" w:hAnsi="Arial" w:cs="Arial"/>
          <w:kern w:val="36"/>
        </w:rPr>
      </w:pPr>
      <w:r w:rsidRPr="002A53F7">
        <w:rPr>
          <w:rFonts w:ascii="Arial" w:hAnsi="Arial" w:cs="Arial"/>
          <w:kern w:val="36"/>
        </w:rPr>
        <w:t xml:space="preserve">    </w:t>
      </w:r>
      <w:r w:rsidRPr="002A53F7">
        <w:rPr>
          <w:rFonts w:ascii="Arial" w:hAnsi="Arial" w:cs="Arial"/>
          <w:kern w:val="36"/>
        </w:rPr>
        <w:br/>
      </w:r>
    </w:p>
    <w:p w14:paraId="43A33BAB" w14:textId="77777777" w:rsidR="00C058F4" w:rsidRDefault="00C058F4" w:rsidP="002A53F7">
      <w:pPr>
        <w:spacing w:line="360" w:lineRule="auto"/>
        <w:rPr>
          <w:rFonts w:ascii="Arial" w:hAnsi="Arial" w:cs="Arial"/>
          <w:kern w:val="36"/>
        </w:rPr>
      </w:pPr>
    </w:p>
    <w:p w14:paraId="4EC90ED6" w14:textId="77777777" w:rsidR="00C058F4" w:rsidRDefault="00C058F4" w:rsidP="002A53F7">
      <w:pPr>
        <w:spacing w:line="360" w:lineRule="auto"/>
        <w:rPr>
          <w:rFonts w:ascii="Arial" w:hAnsi="Arial" w:cs="Arial"/>
          <w:kern w:val="36"/>
        </w:rPr>
      </w:pPr>
    </w:p>
    <w:p w14:paraId="611E5318" w14:textId="77777777" w:rsidR="00C058F4" w:rsidRDefault="00C058F4" w:rsidP="002A53F7">
      <w:pPr>
        <w:spacing w:line="360" w:lineRule="auto"/>
        <w:rPr>
          <w:rFonts w:ascii="Arial" w:hAnsi="Arial" w:cs="Arial"/>
          <w:kern w:val="36"/>
        </w:rPr>
      </w:pPr>
    </w:p>
    <w:p w14:paraId="752031F5" w14:textId="77777777" w:rsidR="00C058F4" w:rsidRDefault="00C058F4" w:rsidP="002A53F7">
      <w:pPr>
        <w:spacing w:line="360" w:lineRule="auto"/>
        <w:rPr>
          <w:rFonts w:ascii="Arial" w:hAnsi="Arial" w:cs="Arial"/>
          <w:kern w:val="36"/>
        </w:rPr>
      </w:pPr>
    </w:p>
    <w:p w14:paraId="27E6E9D0" w14:textId="77777777" w:rsidR="00C058F4" w:rsidRDefault="00C058F4" w:rsidP="002A53F7">
      <w:pPr>
        <w:spacing w:line="360" w:lineRule="auto"/>
        <w:rPr>
          <w:rFonts w:ascii="Arial" w:hAnsi="Arial" w:cs="Arial"/>
          <w:kern w:val="36"/>
        </w:rPr>
      </w:pPr>
    </w:p>
    <w:p w14:paraId="23A67715" w14:textId="77777777" w:rsidR="00C058F4" w:rsidRDefault="00C058F4" w:rsidP="002A53F7">
      <w:pPr>
        <w:spacing w:line="360" w:lineRule="auto"/>
        <w:rPr>
          <w:rFonts w:ascii="Arial" w:hAnsi="Arial" w:cs="Arial"/>
          <w:kern w:val="36"/>
        </w:rPr>
      </w:pPr>
    </w:p>
    <w:p w14:paraId="77941619" w14:textId="77777777" w:rsidR="00C058F4" w:rsidRDefault="00C058F4" w:rsidP="002A53F7">
      <w:pPr>
        <w:spacing w:line="360" w:lineRule="auto"/>
        <w:rPr>
          <w:rFonts w:ascii="Arial" w:hAnsi="Arial" w:cs="Arial"/>
          <w:kern w:val="36"/>
        </w:rPr>
      </w:pPr>
    </w:p>
    <w:p w14:paraId="0B5E4A0D" w14:textId="77777777" w:rsidR="00C058F4" w:rsidRDefault="00C058F4" w:rsidP="002A53F7">
      <w:pPr>
        <w:spacing w:line="360" w:lineRule="auto"/>
        <w:rPr>
          <w:rFonts w:ascii="Arial" w:hAnsi="Arial" w:cs="Arial"/>
          <w:kern w:val="36"/>
        </w:rPr>
      </w:pPr>
    </w:p>
    <w:p w14:paraId="5A30CFA8" w14:textId="77777777" w:rsidR="00C058F4" w:rsidRDefault="00C058F4" w:rsidP="002A53F7">
      <w:pPr>
        <w:spacing w:line="360" w:lineRule="auto"/>
        <w:rPr>
          <w:rFonts w:ascii="Arial" w:hAnsi="Arial" w:cs="Arial"/>
          <w:kern w:val="36"/>
        </w:rPr>
      </w:pPr>
    </w:p>
    <w:p w14:paraId="69D97138" w14:textId="77777777" w:rsidR="00C058F4" w:rsidRDefault="00C058F4" w:rsidP="002A53F7">
      <w:pPr>
        <w:spacing w:line="360" w:lineRule="auto"/>
        <w:rPr>
          <w:rFonts w:ascii="Arial" w:hAnsi="Arial" w:cs="Arial"/>
          <w:kern w:val="36"/>
        </w:rPr>
      </w:pPr>
    </w:p>
    <w:p w14:paraId="120B37DA" w14:textId="77777777" w:rsidR="00C058F4" w:rsidRDefault="00C058F4" w:rsidP="002A53F7">
      <w:pPr>
        <w:spacing w:line="360" w:lineRule="auto"/>
        <w:rPr>
          <w:rFonts w:ascii="Arial" w:hAnsi="Arial" w:cs="Arial"/>
          <w:kern w:val="36"/>
        </w:rPr>
      </w:pPr>
    </w:p>
    <w:p w14:paraId="3565E5F9" w14:textId="77777777" w:rsidR="00C058F4" w:rsidRPr="002A53F7" w:rsidRDefault="00C058F4" w:rsidP="002A53F7">
      <w:pPr>
        <w:spacing w:line="360" w:lineRule="auto"/>
        <w:rPr>
          <w:rFonts w:ascii="Arial" w:hAnsi="Arial" w:cs="Arial"/>
          <w:kern w:val="36"/>
        </w:rPr>
      </w:pPr>
    </w:p>
    <w:p w14:paraId="0B3D042E" w14:textId="77777777" w:rsidR="00216D28" w:rsidRPr="002A53F7" w:rsidRDefault="00216D28" w:rsidP="002A53F7">
      <w:pPr>
        <w:pStyle w:val="ListParagraph"/>
        <w:spacing w:line="360" w:lineRule="auto"/>
        <w:ind w:left="1080"/>
        <w:rPr>
          <w:rFonts w:ascii="Arial" w:hAnsi="Arial" w:cs="Arial"/>
          <w:kern w:val="36"/>
        </w:rPr>
      </w:pPr>
    </w:p>
    <w:p w14:paraId="2DB24AE7" w14:textId="65D5B5AF" w:rsidR="001E50C2" w:rsidRPr="002A53F7" w:rsidRDefault="001E50C2" w:rsidP="002A53F7">
      <w:pPr>
        <w:spacing w:line="360" w:lineRule="auto"/>
        <w:rPr>
          <w:rFonts w:ascii="Arial" w:hAnsi="Arial" w:cs="Arial"/>
          <w:kern w:val="36"/>
        </w:rPr>
      </w:pPr>
    </w:p>
    <w:p w14:paraId="14631D7A" w14:textId="27124586" w:rsidR="003858F8" w:rsidRPr="002A53F7" w:rsidRDefault="002C75F2" w:rsidP="002A53F7">
      <w:pPr>
        <w:spacing w:line="360" w:lineRule="auto"/>
        <w:rPr>
          <w:rFonts w:ascii="Arial" w:eastAsia="Times New Roman" w:hAnsi="Arial" w:cs="Arial"/>
          <w:b/>
          <w:bCs/>
          <w:kern w:val="36"/>
          <w:lang w:eastAsia="en-GB"/>
        </w:rPr>
      </w:pPr>
      <w:r w:rsidRPr="002A53F7">
        <w:rPr>
          <w:rFonts w:ascii="Arial" w:hAnsi="Arial" w:cs="Arial"/>
          <w:b/>
          <w:bCs/>
          <w:kern w:val="36"/>
        </w:rPr>
        <w:t xml:space="preserve">Executive Summary  </w:t>
      </w:r>
    </w:p>
    <w:p w14:paraId="25F9DC44" w14:textId="7590A628" w:rsidR="000B5CA6" w:rsidRPr="002A53F7" w:rsidRDefault="003858F8" w:rsidP="002A53F7">
      <w:pPr>
        <w:pStyle w:val="NormalWeb"/>
        <w:spacing w:line="360" w:lineRule="auto"/>
        <w:jc w:val="both"/>
        <w:rPr>
          <w:rFonts w:ascii="Arial" w:hAnsi="Arial" w:cs="Arial"/>
          <w:bCs/>
          <w:kern w:val="36"/>
          <w:sz w:val="22"/>
          <w:szCs w:val="22"/>
        </w:rPr>
      </w:pPr>
      <w:r w:rsidRPr="002A53F7">
        <w:rPr>
          <w:rFonts w:ascii="Arial" w:hAnsi="Arial" w:cs="Arial"/>
          <w:bCs/>
          <w:kern w:val="36"/>
          <w:sz w:val="22"/>
          <w:szCs w:val="22"/>
        </w:rPr>
        <w:t xml:space="preserve">This report discusses the </w:t>
      </w:r>
      <w:r w:rsidR="00715DC0" w:rsidRPr="002A53F7">
        <w:rPr>
          <w:rFonts w:ascii="Arial" w:hAnsi="Arial" w:cs="Arial"/>
          <w:bCs/>
          <w:kern w:val="36"/>
          <w:sz w:val="22"/>
          <w:szCs w:val="22"/>
        </w:rPr>
        <w:t>way</w:t>
      </w:r>
      <w:r w:rsidRPr="002A53F7">
        <w:rPr>
          <w:rFonts w:ascii="Arial" w:hAnsi="Arial" w:cs="Arial"/>
          <w:bCs/>
          <w:kern w:val="36"/>
          <w:sz w:val="22"/>
          <w:szCs w:val="22"/>
        </w:rPr>
        <w:t xml:space="preserve"> the countries of Spain, South Korea and Canada structured, handled and led their national responses to the COVID 19 pandemic and how health-system structures and models of governance contributed to their efforts and respective outcomes. The analysis will start with a description of the typology of healthcare in each country, namely, the level of centralisation or decentralisation and, accordingly, the level of the speed and efficiency of </w:t>
      </w:r>
      <w:r w:rsidR="00920552" w:rsidRPr="002A53F7">
        <w:rPr>
          <w:rFonts w:ascii="Arial" w:hAnsi="Arial" w:cs="Arial"/>
          <w:bCs/>
          <w:kern w:val="36"/>
          <w:sz w:val="22"/>
          <w:szCs w:val="22"/>
        </w:rPr>
        <w:t>decision-making</w:t>
      </w:r>
      <w:r w:rsidRPr="002A53F7">
        <w:rPr>
          <w:rFonts w:ascii="Arial" w:hAnsi="Arial" w:cs="Arial"/>
          <w:bCs/>
          <w:kern w:val="36"/>
          <w:sz w:val="22"/>
          <w:szCs w:val="22"/>
        </w:rPr>
        <w:t xml:space="preserve">. It subsequently assesses the COVID-19 approach of every country and determines its strengths, weaknesses, and disparities in the capacity of the population and the health system, coordination, and leadership of the crisis. The report also evaluates the role of the political and public-health leaders in communicating, implementing, and justifying the interventions that they implemented during the pandemic and the role of the leadership style in influencing the level of trust and compliance of the population. The final part is a synthesis of cross-country lessons, which underscores the need to be prepared, coordinate governance, facilitate transparent communication and </w:t>
      </w:r>
      <w:r w:rsidR="00552A50" w:rsidRPr="002A53F7">
        <w:rPr>
          <w:rFonts w:ascii="Arial" w:hAnsi="Arial" w:cs="Arial"/>
          <w:bCs/>
          <w:kern w:val="36"/>
          <w:sz w:val="22"/>
          <w:szCs w:val="22"/>
        </w:rPr>
        <w:t>a</w:t>
      </w:r>
      <w:r w:rsidRPr="002A53F7">
        <w:rPr>
          <w:rFonts w:ascii="Arial" w:hAnsi="Arial" w:cs="Arial"/>
          <w:bCs/>
          <w:kern w:val="36"/>
          <w:sz w:val="22"/>
          <w:szCs w:val="22"/>
        </w:rPr>
        <w:t xml:space="preserve"> strong public-health infrastructure. In general, the report gives a comparative insight into how various systems overcame the crisis and outlines the lessons to be learned in further emergencies.</w:t>
      </w:r>
    </w:p>
    <w:p w14:paraId="012B37E1" w14:textId="77777777" w:rsidR="00723E1B" w:rsidRPr="002A53F7" w:rsidRDefault="00723E1B" w:rsidP="002A53F7">
      <w:pPr>
        <w:pStyle w:val="NormalWeb"/>
        <w:spacing w:line="360" w:lineRule="auto"/>
        <w:jc w:val="both"/>
        <w:rPr>
          <w:rFonts w:ascii="Arial" w:hAnsi="Arial" w:cs="Arial"/>
          <w:b/>
          <w:bCs/>
          <w:kern w:val="36"/>
          <w:sz w:val="22"/>
          <w:szCs w:val="22"/>
        </w:rPr>
      </w:pPr>
    </w:p>
    <w:p w14:paraId="12C60A4C" w14:textId="77777777" w:rsidR="00723E1B" w:rsidRPr="002A53F7" w:rsidRDefault="00723E1B" w:rsidP="002A53F7">
      <w:pPr>
        <w:pStyle w:val="NormalWeb"/>
        <w:spacing w:line="360" w:lineRule="auto"/>
        <w:jc w:val="both"/>
        <w:rPr>
          <w:rFonts w:ascii="Arial" w:hAnsi="Arial" w:cs="Arial"/>
          <w:b/>
          <w:bCs/>
          <w:kern w:val="36"/>
          <w:sz w:val="22"/>
          <w:szCs w:val="22"/>
        </w:rPr>
      </w:pPr>
    </w:p>
    <w:p w14:paraId="351122A5" w14:textId="77777777" w:rsidR="00723E1B" w:rsidRPr="002A53F7" w:rsidRDefault="00723E1B" w:rsidP="002A53F7">
      <w:pPr>
        <w:pStyle w:val="NormalWeb"/>
        <w:spacing w:line="360" w:lineRule="auto"/>
        <w:jc w:val="both"/>
        <w:rPr>
          <w:rFonts w:ascii="Arial" w:hAnsi="Arial" w:cs="Arial"/>
          <w:b/>
          <w:bCs/>
          <w:kern w:val="36"/>
          <w:sz w:val="22"/>
          <w:szCs w:val="22"/>
        </w:rPr>
      </w:pPr>
    </w:p>
    <w:p w14:paraId="04905500" w14:textId="77777777" w:rsidR="00723E1B" w:rsidRPr="002A53F7" w:rsidRDefault="00723E1B" w:rsidP="002A53F7">
      <w:pPr>
        <w:pStyle w:val="NormalWeb"/>
        <w:spacing w:line="360" w:lineRule="auto"/>
        <w:jc w:val="both"/>
        <w:rPr>
          <w:rFonts w:ascii="Arial" w:hAnsi="Arial" w:cs="Arial"/>
          <w:b/>
          <w:bCs/>
          <w:kern w:val="36"/>
          <w:sz w:val="22"/>
          <w:szCs w:val="22"/>
        </w:rPr>
      </w:pPr>
    </w:p>
    <w:p w14:paraId="4F9501DC" w14:textId="77777777" w:rsidR="00723E1B" w:rsidRPr="002A53F7" w:rsidRDefault="00723E1B" w:rsidP="002A53F7">
      <w:pPr>
        <w:pStyle w:val="NormalWeb"/>
        <w:spacing w:line="360" w:lineRule="auto"/>
        <w:jc w:val="both"/>
        <w:rPr>
          <w:rFonts w:ascii="Arial" w:hAnsi="Arial" w:cs="Arial"/>
          <w:b/>
          <w:bCs/>
          <w:kern w:val="36"/>
          <w:sz w:val="22"/>
          <w:szCs w:val="22"/>
        </w:rPr>
      </w:pPr>
    </w:p>
    <w:p w14:paraId="13EA3751" w14:textId="77777777" w:rsidR="00723E1B" w:rsidRPr="002A53F7" w:rsidRDefault="00723E1B" w:rsidP="002A53F7">
      <w:pPr>
        <w:pStyle w:val="NormalWeb"/>
        <w:spacing w:line="360" w:lineRule="auto"/>
        <w:jc w:val="both"/>
        <w:rPr>
          <w:rFonts w:ascii="Arial" w:hAnsi="Arial" w:cs="Arial"/>
          <w:b/>
          <w:bCs/>
          <w:kern w:val="36"/>
          <w:sz w:val="22"/>
          <w:szCs w:val="22"/>
        </w:rPr>
      </w:pPr>
    </w:p>
    <w:p w14:paraId="0538558A" w14:textId="77777777" w:rsidR="00723E1B" w:rsidRPr="002A53F7" w:rsidRDefault="00723E1B" w:rsidP="002A53F7">
      <w:pPr>
        <w:pStyle w:val="NormalWeb"/>
        <w:spacing w:line="360" w:lineRule="auto"/>
        <w:jc w:val="both"/>
        <w:rPr>
          <w:rFonts w:ascii="Arial" w:hAnsi="Arial" w:cs="Arial"/>
          <w:b/>
          <w:bCs/>
          <w:kern w:val="36"/>
          <w:sz w:val="22"/>
          <w:szCs w:val="22"/>
        </w:rPr>
      </w:pPr>
    </w:p>
    <w:p w14:paraId="614D5F87" w14:textId="77777777" w:rsidR="00723E1B" w:rsidRPr="002A53F7" w:rsidRDefault="00723E1B" w:rsidP="002A53F7">
      <w:pPr>
        <w:pStyle w:val="NormalWeb"/>
        <w:spacing w:line="360" w:lineRule="auto"/>
        <w:jc w:val="both"/>
        <w:rPr>
          <w:rFonts w:ascii="Arial" w:hAnsi="Arial" w:cs="Arial"/>
          <w:b/>
          <w:bCs/>
          <w:kern w:val="36"/>
          <w:sz w:val="22"/>
          <w:szCs w:val="22"/>
        </w:rPr>
      </w:pPr>
    </w:p>
    <w:p w14:paraId="554D520F" w14:textId="736BDFC1" w:rsidR="00723E1B" w:rsidRPr="002A53F7" w:rsidRDefault="00723E1B" w:rsidP="002A53F7">
      <w:pPr>
        <w:pStyle w:val="NormalWeb"/>
        <w:spacing w:line="360" w:lineRule="auto"/>
        <w:jc w:val="both"/>
        <w:rPr>
          <w:rFonts w:ascii="Arial" w:hAnsi="Arial" w:cs="Arial"/>
          <w:b/>
          <w:bCs/>
          <w:kern w:val="36"/>
          <w:sz w:val="22"/>
          <w:szCs w:val="22"/>
        </w:rPr>
      </w:pPr>
    </w:p>
    <w:p w14:paraId="7D83DB31" w14:textId="2E6434E0" w:rsidR="003858F8" w:rsidRPr="002A53F7" w:rsidRDefault="003858F8" w:rsidP="002A53F7">
      <w:pPr>
        <w:spacing w:line="360" w:lineRule="auto"/>
        <w:jc w:val="both"/>
        <w:rPr>
          <w:rFonts w:ascii="Arial" w:hAnsi="Arial" w:cs="Arial"/>
          <w:b/>
        </w:rPr>
      </w:pPr>
      <w:r w:rsidRPr="002A53F7">
        <w:rPr>
          <w:rFonts w:ascii="Arial" w:hAnsi="Arial" w:cs="Arial"/>
          <w:b/>
        </w:rPr>
        <w:t xml:space="preserve">Introduction  </w:t>
      </w:r>
    </w:p>
    <w:p w14:paraId="467CD35F" w14:textId="3CE70A23" w:rsidR="003858F8" w:rsidRPr="002A53F7" w:rsidRDefault="003858F8" w:rsidP="002A53F7">
      <w:pPr>
        <w:spacing w:line="360" w:lineRule="auto"/>
        <w:jc w:val="both"/>
        <w:rPr>
          <w:rFonts w:ascii="Arial" w:hAnsi="Arial" w:cs="Arial"/>
        </w:rPr>
      </w:pPr>
      <w:r w:rsidRPr="002A53F7">
        <w:rPr>
          <w:rFonts w:ascii="Arial" w:hAnsi="Arial" w:cs="Arial"/>
        </w:rPr>
        <w:t>This report entails a comparative analysis of the way Spain, South Korea and Canada structured their healthcare systems and reacted to the COVID-19 pandemic</w:t>
      </w:r>
      <w:r w:rsidR="00920552" w:rsidRPr="002A53F7">
        <w:rPr>
          <w:rFonts w:ascii="Arial" w:hAnsi="Arial" w:cs="Arial"/>
        </w:rPr>
        <w:t>,</w:t>
      </w:r>
      <w:r w:rsidRPr="002A53F7">
        <w:rPr>
          <w:rFonts w:ascii="Arial" w:hAnsi="Arial" w:cs="Arial"/>
        </w:rPr>
        <w:t xml:space="preserve"> with specific attention given to the role of centralised and decentralised governance. Centralisation is a decision-making </w:t>
      </w:r>
      <w:r w:rsidR="004D25FB" w:rsidRPr="002A53F7">
        <w:rPr>
          <w:rFonts w:ascii="Arial" w:hAnsi="Arial" w:cs="Arial"/>
        </w:rPr>
        <w:t xml:space="preserve">process </w:t>
      </w:r>
      <w:r w:rsidRPr="002A53F7">
        <w:rPr>
          <w:rFonts w:ascii="Arial" w:hAnsi="Arial" w:cs="Arial"/>
        </w:rPr>
        <w:t>that is mainly based at the national level and enables uniformity of policies, quick coordination</w:t>
      </w:r>
      <w:r w:rsidR="00304F11" w:rsidRPr="002A53F7">
        <w:rPr>
          <w:rFonts w:ascii="Arial" w:hAnsi="Arial" w:cs="Arial"/>
        </w:rPr>
        <w:t>,</w:t>
      </w:r>
      <w:r w:rsidRPr="002A53F7">
        <w:rPr>
          <w:rFonts w:ascii="Arial" w:hAnsi="Arial" w:cs="Arial"/>
        </w:rPr>
        <w:t xml:space="preserve"> but decentralisation is the distribution of power to regional or provincial levels and enables flexible and context-specific response (Saltman, 2018). It is vital to comprehend these structures since they </w:t>
      </w:r>
      <w:r w:rsidR="00304F11" w:rsidRPr="002A53F7">
        <w:rPr>
          <w:rFonts w:ascii="Arial" w:hAnsi="Arial" w:cs="Arial"/>
        </w:rPr>
        <w:t>determine</w:t>
      </w:r>
      <w:r w:rsidRPr="002A53F7">
        <w:rPr>
          <w:rFonts w:ascii="Arial" w:hAnsi="Arial" w:cs="Arial"/>
        </w:rPr>
        <w:t xml:space="preserve"> the testing, tracing, restriction, and public-health capabilities of every country in the face of the crisis (Greer et al., 2020). The styles of leadership also play a crucial role: crisis leadership has an impact on the level of trust among the population, adherence to it, and the efficacy of health preparations (Ansell et al., 2021). As such, the report analyses the manner through which national leaders and the public-health authorities of the three countries communicated risk, mobilisation institutions, as well as </w:t>
      </w:r>
      <w:r w:rsidR="004D25FB" w:rsidRPr="002A53F7">
        <w:rPr>
          <w:rFonts w:ascii="Arial" w:hAnsi="Arial" w:cs="Arial"/>
        </w:rPr>
        <w:t>coordinated</w:t>
      </w:r>
      <w:r w:rsidRPr="002A53F7">
        <w:rPr>
          <w:rFonts w:ascii="Arial" w:hAnsi="Arial" w:cs="Arial"/>
        </w:rPr>
        <w:t xml:space="preserve"> their populations. The combination of system typologies, pandemic strategies, and leadership styles allows making crucial similarities, differences, and lessons to be learned</w:t>
      </w:r>
      <w:r w:rsidR="00D71F80" w:rsidRPr="002A53F7">
        <w:rPr>
          <w:rFonts w:ascii="Arial" w:hAnsi="Arial" w:cs="Arial"/>
        </w:rPr>
        <w:t xml:space="preserve"> by future health crises.  </w:t>
      </w:r>
    </w:p>
    <w:p w14:paraId="3DC5C4FE" w14:textId="7F5046D4" w:rsidR="00D71F80" w:rsidRPr="002A53F7" w:rsidRDefault="00D71F80" w:rsidP="002A53F7">
      <w:pPr>
        <w:spacing w:line="360" w:lineRule="auto"/>
        <w:jc w:val="both"/>
        <w:rPr>
          <w:rFonts w:ascii="Arial" w:hAnsi="Arial" w:cs="Arial"/>
          <w:b/>
        </w:rPr>
      </w:pPr>
      <w:r w:rsidRPr="002A53F7">
        <w:rPr>
          <w:rFonts w:ascii="Arial" w:hAnsi="Arial" w:cs="Arial"/>
          <w:b/>
        </w:rPr>
        <w:t xml:space="preserve">Canada: Healthcare Typology and COVID-19 Systems Approach </w:t>
      </w:r>
    </w:p>
    <w:p w14:paraId="67232A2D" w14:textId="77777777" w:rsidR="00D71F80" w:rsidRPr="002A53F7" w:rsidRDefault="00D71F80" w:rsidP="002A53F7">
      <w:pPr>
        <w:spacing w:line="360" w:lineRule="auto"/>
        <w:jc w:val="both"/>
        <w:rPr>
          <w:rFonts w:ascii="Arial" w:hAnsi="Arial" w:cs="Arial"/>
          <w:i/>
        </w:rPr>
      </w:pPr>
      <w:r w:rsidRPr="002A53F7">
        <w:rPr>
          <w:rFonts w:ascii="Arial" w:hAnsi="Arial" w:cs="Arial"/>
          <w:i/>
        </w:rPr>
        <w:t>Healthcare system typology</w:t>
      </w:r>
    </w:p>
    <w:p w14:paraId="4B15DB63" w14:textId="62FBF938" w:rsidR="003858F8" w:rsidRPr="002A53F7" w:rsidRDefault="003858F8" w:rsidP="002A53F7">
      <w:pPr>
        <w:spacing w:line="360" w:lineRule="auto"/>
        <w:jc w:val="both"/>
        <w:rPr>
          <w:rFonts w:ascii="Arial" w:hAnsi="Arial" w:cs="Arial"/>
        </w:rPr>
      </w:pPr>
      <w:r w:rsidRPr="002A53F7">
        <w:rPr>
          <w:rFonts w:ascii="Arial" w:hAnsi="Arial" w:cs="Arial"/>
        </w:rPr>
        <w:t xml:space="preserve">In Canada, there is a highly decentralised, publicly funded health system with provincial and territorial </w:t>
      </w:r>
      <w:r w:rsidR="004D25FB" w:rsidRPr="002A53F7">
        <w:rPr>
          <w:rFonts w:ascii="Arial" w:hAnsi="Arial" w:cs="Arial"/>
        </w:rPr>
        <w:t>governments</w:t>
      </w:r>
      <w:r w:rsidRPr="002A53F7">
        <w:rPr>
          <w:rFonts w:ascii="Arial" w:hAnsi="Arial" w:cs="Arial"/>
        </w:rPr>
        <w:t xml:space="preserve"> having the primary responsibility </w:t>
      </w:r>
      <w:r w:rsidR="004D25FB" w:rsidRPr="002A53F7">
        <w:rPr>
          <w:rFonts w:ascii="Arial" w:hAnsi="Arial" w:cs="Arial"/>
        </w:rPr>
        <w:t>for</w:t>
      </w:r>
      <w:r w:rsidRPr="002A53F7">
        <w:rPr>
          <w:rFonts w:ascii="Arial" w:hAnsi="Arial" w:cs="Arial"/>
        </w:rPr>
        <w:t xml:space="preserve"> the organisation and delivery of healthcare as well as population-based </w:t>
      </w:r>
      <w:r w:rsidR="004D25FB" w:rsidRPr="002A53F7">
        <w:rPr>
          <w:rFonts w:ascii="Arial" w:hAnsi="Arial" w:cs="Arial"/>
        </w:rPr>
        <w:t>health decision-making</w:t>
      </w:r>
      <w:r w:rsidRPr="002A53F7">
        <w:rPr>
          <w:rFonts w:ascii="Arial" w:hAnsi="Arial" w:cs="Arial"/>
        </w:rPr>
        <w:t xml:space="preserve">. The federal government offers funding via Canada Health Transfer, border control, national surveillance control, and vaccines and medical supplies (Marchildon, 2021). </w:t>
      </w:r>
      <w:r w:rsidR="00047A76" w:rsidRPr="002A53F7">
        <w:rPr>
          <w:rFonts w:ascii="Arial" w:hAnsi="Arial" w:cs="Arial"/>
        </w:rPr>
        <w:t>Even though</w:t>
      </w:r>
      <w:r w:rsidRPr="002A53F7">
        <w:rPr>
          <w:rFonts w:ascii="Arial" w:hAnsi="Arial" w:cs="Arial"/>
        </w:rPr>
        <w:t xml:space="preserve"> the system of Canada is universal, fragmentation between 13 provincial and territorial jurisdictions tends to create disparities in the capacities of public-health, data systems, and health resources (Flood and Thomas, 2020). This decentralised structure had a potent influence on the response to COVID-19 in Canada.  </w:t>
      </w:r>
    </w:p>
    <w:p w14:paraId="208E330B" w14:textId="77777777" w:rsidR="00946273" w:rsidRPr="002A53F7" w:rsidRDefault="00946273" w:rsidP="002A53F7">
      <w:pPr>
        <w:spacing w:line="360" w:lineRule="auto"/>
        <w:jc w:val="both"/>
        <w:rPr>
          <w:rFonts w:ascii="Arial" w:hAnsi="Arial" w:cs="Arial"/>
          <w:i/>
        </w:rPr>
      </w:pPr>
      <w:r w:rsidRPr="002A53F7">
        <w:rPr>
          <w:rFonts w:ascii="Arial" w:hAnsi="Arial" w:cs="Arial"/>
          <w:i/>
        </w:rPr>
        <w:t>Early pandemic response and system functioning</w:t>
      </w:r>
    </w:p>
    <w:p w14:paraId="0A48EAD1" w14:textId="22326C5A" w:rsidR="003858F8" w:rsidRPr="002A53F7" w:rsidRDefault="003858F8" w:rsidP="002A53F7">
      <w:pPr>
        <w:spacing w:line="360" w:lineRule="auto"/>
        <w:jc w:val="both"/>
        <w:rPr>
          <w:rFonts w:ascii="Arial" w:hAnsi="Arial" w:cs="Arial"/>
        </w:rPr>
      </w:pPr>
      <w:r w:rsidRPr="002A53F7">
        <w:rPr>
          <w:rFonts w:ascii="Arial" w:hAnsi="Arial" w:cs="Arial"/>
        </w:rPr>
        <w:t xml:space="preserve">COVID-19 came along, and the provinces used their constitutional power to impose emergency actions, such as </w:t>
      </w:r>
      <w:r w:rsidR="00047A76" w:rsidRPr="002A53F7">
        <w:rPr>
          <w:rFonts w:ascii="Arial" w:hAnsi="Arial" w:cs="Arial"/>
        </w:rPr>
        <w:t>lockdowns</w:t>
      </w:r>
      <w:r w:rsidRPr="002A53F7">
        <w:rPr>
          <w:rFonts w:ascii="Arial" w:hAnsi="Arial" w:cs="Arial"/>
        </w:rPr>
        <w:t xml:space="preserve">, school closures, wearing masks, and testing policies. The federal government organised border closures, global travelling </w:t>
      </w:r>
      <w:r w:rsidR="00047A76" w:rsidRPr="002A53F7">
        <w:rPr>
          <w:rFonts w:ascii="Arial" w:hAnsi="Arial" w:cs="Arial"/>
        </w:rPr>
        <w:t>restrictions</w:t>
      </w:r>
      <w:r w:rsidRPr="002A53F7">
        <w:rPr>
          <w:rFonts w:ascii="Arial" w:hAnsi="Arial" w:cs="Arial"/>
        </w:rPr>
        <w:t xml:space="preserve">, and </w:t>
      </w:r>
      <w:proofErr w:type="gramStart"/>
      <w:r w:rsidR="00525E77" w:rsidRPr="002A53F7">
        <w:rPr>
          <w:rFonts w:ascii="Arial" w:hAnsi="Arial" w:cs="Arial"/>
        </w:rPr>
        <w:t>national-level</w:t>
      </w:r>
      <w:proofErr w:type="gramEnd"/>
      <w:r w:rsidRPr="002A53F7">
        <w:rPr>
          <w:rFonts w:ascii="Arial" w:hAnsi="Arial" w:cs="Arial"/>
        </w:rPr>
        <w:t xml:space="preserve"> purchasing of PPE and vaccines (Wilson et al., 2020). Nevertheless, the lack of early surveillance (such as non-uniformity in testing criteria, large delays in reporting cases, or inadequate digital infrastructure) constrained the capacity of Canada to monitor surfacing outbreaks (Murthy et al., 2021). The care environments that were the most susceptible were long-term care environments</w:t>
      </w:r>
      <w:r w:rsidR="00047A76" w:rsidRPr="002A53F7">
        <w:rPr>
          <w:rFonts w:ascii="Arial" w:hAnsi="Arial" w:cs="Arial"/>
        </w:rPr>
        <w:t>,</w:t>
      </w:r>
      <w:r w:rsidRPr="002A53F7">
        <w:rPr>
          <w:rFonts w:ascii="Arial" w:hAnsi="Arial" w:cs="Arial"/>
        </w:rPr>
        <w:t xml:space="preserve"> and they were the manifestation of chronic understaffing and the lack of control between provinces (Stall et al., 2020).  Nonetheless, lower transmission in the initial wave was observed in places like British Columbia and Atlantic Canada, which took early precautionary steps rapidly and were supported by robust institutions of </w:t>
      </w:r>
      <w:r w:rsidR="00047A76" w:rsidRPr="002A53F7">
        <w:rPr>
          <w:rFonts w:ascii="Arial" w:hAnsi="Arial" w:cs="Arial"/>
        </w:rPr>
        <w:t>public health</w:t>
      </w:r>
      <w:r w:rsidRPr="002A53F7">
        <w:rPr>
          <w:rFonts w:ascii="Arial" w:hAnsi="Arial" w:cs="Arial"/>
        </w:rPr>
        <w:t>, which indicate the possible value of decentralised local decisi</w:t>
      </w:r>
      <w:r w:rsidR="00946273" w:rsidRPr="002A53F7">
        <w:rPr>
          <w:rFonts w:ascii="Arial" w:hAnsi="Arial" w:cs="Arial"/>
        </w:rPr>
        <w:t xml:space="preserve">on-making (Marchildon, 2021).  </w:t>
      </w:r>
    </w:p>
    <w:p w14:paraId="2A6501C9" w14:textId="77777777" w:rsidR="003858F8" w:rsidRPr="002A53F7" w:rsidRDefault="003858F8" w:rsidP="002A53F7">
      <w:pPr>
        <w:spacing w:line="360" w:lineRule="auto"/>
        <w:jc w:val="both"/>
        <w:rPr>
          <w:rFonts w:ascii="Arial" w:hAnsi="Arial" w:cs="Arial"/>
          <w:b/>
        </w:rPr>
      </w:pPr>
      <w:r w:rsidRPr="002A53F7">
        <w:rPr>
          <w:rFonts w:ascii="Arial" w:hAnsi="Arial" w:cs="Arial"/>
          <w:b/>
        </w:rPr>
        <w:t xml:space="preserve">The centralised and decentralised approaches.  </w:t>
      </w:r>
    </w:p>
    <w:p w14:paraId="000235CB" w14:textId="77777777" w:rsidR="003858F8" w:rsidRPr="002A53F7" w:rsidRDefault="003858F8" w:rsidP="002A53F7">
      <w:pPr>
        <w:spacing w:line="360" w:lineRule="auto"/>
        <w:jc w:val="both"/>
        <w:rPr>
          <w:rFonts w:ascii="Arial" w:hAnsi="Arial" w:cs="Arial"/>
        </w:rPr>
      </w:pPr>
      <w:r w:rsidRPr="002A53F7">
        <w:rPr>
          <w:rFonts w:ascii="Arial" w:hAnsi="Arial" w:cs="Arial"/>
        </w:rPr>
        <w:t xml:space="preserve">Canada proved to have a dual pattern of </w:t>
      </w:r>
      <w:r w:rsidR="00946273" w:rsidRPr="002A53F7">
        <w:rPr>
          <w:rFonts w:ascii="Arial" w:hAnsi="Arial" w:cs="Arial"/>
        </w:rPr>
        <w:t xml:space="preserve">governance:  </w:t>
      </w:r>
    </w:p>
    <w:p w14:paraId="6FD661F1" w14:textId="77777777" w:rsidR="003858F8" w:rsidRPr="002A53F7" w:rsidRDefault="003858F8" w:rsidP="002A53F7">
      <w:pPr>
        <w:spacing w:line="360" w:lineRule="auto"/>
        <w:jc w:val="both"/>
        <w:rPr>
          <w:rFonts w:ascii="Arial" w:hAnsi="Arial" w:cs="Arial"/>
          <w:i/>
        </w:rPr>
      </w:pPr>
      <w:r w:rsidRPr="002A53F7">
        <w:rPr>
          <w:rFonts w:ascii="Arial" w:hAnsi="Arial" w:cs="Arial"/>
          <w:i/>
        </w:rPr>
        <w:t xml:space="preserve">Decentralised components  </w:t>
      </w:r>
    </w:p>
    <w:p w14:paraId="0E785969" w14:textId="77777777" w:rsidR="003858F8" w:rsidRPr="002A53F7" w:rsidRDefault="003858F8" w:rsidP="002A53F7">
      <w:pPr>
        <w:pStyle w:val="ListParagraph"/>
        <w:numPr>
          <w:ilvl w:val="0"/>
          <w:numId w:val="24"/>
        </w:numPr>
        <w:spacing w:line="360" w:lineRule="auto"/>
        <w:jc w:val="both"/>
        <w:rPr>
          <w:rFonts w:ascii="Arial" w:hAnsi="Arial" w:cs="Arial"/>
        </w:rPr>
      </w:pPr>
      <w:r w:rsidRPr="002A53F7">
        <w:rPr>
          <w:rFonts w:ascii="Arial" w:hAnsi="Arial" w:cs="Arial"/>
        </w:rPr>
        <w:t xml:space="preserve">The timing and intensity of public-health restrictions were decided at the provincial level, creating tremendous inter-provincial differences.  </w:t>
      </w:r>
    </w:p>
    <w:p w14:paraId="3A0ABFFA" w14:textId="77777777" w:rsidR="003858F8" w:rsidRPr="002A53F7" w:rsidRDefault="003858F8" w:rsidP="002A53F7">
      <w:pPr>
        <w:pStyle w:val="ListParagraph"/>
        <w:numPr>
          <w:ilvl w:val="0"/>
          <w:numId w:val="24"/>
        </w:numPr>
        <w:spacing w:line="360" w:lineRule="auto"/>
        <w:jc w:val="both"/>
        <w:rPr>
          <w:rFonts w:ascii="Arial" w:hAnsi="Arial" w:cs="Arial"/>
        </w:rPr>
      </w:pPr>
      <w:r w:rsidRPr="002A53F7">
        <w:rPr>
          <w:rFonts w:ascii="Arial" w:hAnsi="Arial" w:cs="Arial"/>
        </w:rPr>
        <w:t xml:space="preserve">Contact-tracing and testing were done separately in the provinces.  </w:t>
      </w:r>
    </w:p>
    <w:p w14:paraId="4973A174" w14:textId="4A9391A1" w:rsidR="003858F8" w:rsidRPr="002A53F7" w:rsidRDefault="00047A76" w:rsidP="002A53F7">
      <w:pPr>
        <w:pStyle w:val="ListParagraph"/>
        <w:numPr>
          <w:ilvl w:val="0"/>
          <w:numId w:val="24"/>
        </w:numPr>
        <w:spacing w:line="360" w:lineRule="auto"/>
        <w:jc w:val="both"/>
        <w:rPr>
          <w:rFonts w:ascii="Arial" w:hAnsi="Arial" w:cs="Arial"/>
        </w:rPr>
      </w:pPr>
      <w:r w:rsidRPr="002A53F7">
        <w:rPr>
          <w:rFonts w:ascii="Arial" w:hAnsi="Arial" w:cs="Arial"/>
        </w:rPr>
        <w:t>Long-term</w:t>
      </w:r>
      <w:r w:rsidR="003858F8" w:rsidRPr="002A53F7">
        <w:rPr>
          <w:rFonts w:ascii="Arial" w:hAnsi="Arial" w:cs="Arial"/>
        </w:rPr>
        <w:t xml:space="preserve"> care homes were controlled at </w:t>
      </w:r>
      <w:r w:rsidRPr="002A53F7">
        <w:rPr>
          <w:rFonts w:ascii="Arial" w:hAnsi="Arial" w:cs="Arial"/>
        </w:rPr>
        <w:t xml:space="preserve">the </w:t>
      </w:r>
      <w:r w:rsidR="003858F8" w:rsidRPr="002A53F7">
        <w:rPr>
          <w:rFonts w:ascii="Arial" w:hAnsi="Arial" w:cs="Arial"/>
        </w:rPr>
        <w:t>provincial level</w:t>
      </w:r>
      <w:r w:rsidRPr="002A53F7">
        <w:rPr>
          <w:rFonts w:ascii="Arial" w:hAnsi="Arial" w:cs="Arial"/>
        </w:rPr>
        <w:t>,</w:t>
      </w:r>
      <w:r w:rsidR="003858F8" w:rsidRPr="002A53F7">
        <w:rPr>
          <w:rFonts w:ascii="Arial" w:hAnsi="Arial" w:cs="Arial"/>
        </w:rPr>
        <w:t xml:space="preserve"> giving u</w:t>
      </w:r>
      <w:r w:rsidR="00946273" w:rsidRPr="002A53F7">
        <w:rPr>
          <w:rFonts w:ascii="Arial" w:hAnsi="Arial" w:cs="Arial"/>
        </w:rPr>
        <w:t xml:space="preserve">nequal standards and results.  </w:t>
      </w:r>
    </w:p>
    <w:p w14:paraId="7405AB7D" w14:textId="77777777" w:rsidR="003858F8" w:rsidRPr="002A53F7" w:rsidRDefault="003858F8" w:rsidP="002A53F7">
      <w:pPr>
        <w:spacing w:line="360" w:lineRule="auto"/>
        <w:jc w:val="both"/>
        <w:rPr>
          <w:rFonts w:ascii="Arial" w:hAnsi="Arial" w:cs="Arial"/>
          <w:i/>
        </w:rPr>
      </w:pPr>
      <w:r w:rsidRPr="002A53F7">
        <w:rPr>
          <w:rFonts w:ascii="Arial" w:hAnsi="Arial" w:cs="Arial"/>
          <w:i/>
        </w:rPr>
        <w:t xml:space="preserve">Centralised components  </w:t>
      </w:r>
    </w:p>
    <w:p w14:paraId="1890DE23" w14:textId="1661F848" w:rsidR="003858F8" w:rsidRPr="002A53F7" w:rsidRDefault="003858F8" w:rsidP="002A53F7">
      <w:pPr>
        <w:pStyle w:val="ListParagraph"/>
        <w:numPr>
          <w:ilvl w:val="0"/>
          <w:numId w:val="23"/>
        </w:numPr>
        <w:spacing w:line="360" w:lineRule="auto"/>
        <w:jc w:val="both"/>
        <w:rPr>
          <w:rFonts w:ascii="Arial" w:hAnsi="Arial" w:cs="Arial"/>
        </w:rPr>
      </w:pPr>
      <w:r w:rsidRPr="002A53F7">
        <w:rPr>
          <w:rFonts w:ascii="Arial" w:hAnsi="Arial" w:cs="Arial"/>
        </w:rPr>
        <w:t xml:space="preserve">The federal </w:t>
      </w:r>
      <w:r w:rsidR="003E0BCA" w:rsidRPr="002A53F7">
        <w:rPr>
          <w:rFonts w:ascii="Arial" w:hAnsi="Arial" w:cs="Arial"/>
        </w:rPr>
        <w:t>government-controlled</w:t>
      </w:r>
      <w:r w:rsidRPr="002A53F7">
        <w:rPr>
          <w:rFonts w:ascii="Arial" w:hAnsi="Arial" w:cs="Arial"/>
        </w:rPr>
        <w:t xml:space="preserve"> border closures, travel nationwide recommendations, and quarantine demands.  </w:t>
      </w:r>
    </w:p>
    <w:p w14:paraId="08A6A4C8" w14:textId="77777777" w:rsidR="003858F8" w:rsidRPr="002A53F7" w:rsidRDefault="003858F8" w:rsidP="002A53F7">
      <w:pPr>
        <w:pStyle w:val="ListParagraph"/>
        <w:numPr>
          <w:ilvl w:val="0"/>
          <w:numId w:val="23"/>
        </w:numPr>
        <w:spacing w:line="360" w:lineRule="auto"/>
        <w:jc w:val="both"/>
        <w:rPr>
          <w:rFonts w:ascii="Arial" w:hAnsi="Arial" w:cs="Arial"/>
        </w:rPr>
      </w:pPr>
      <w:r w:rsidRPr="002A53F7">
        <w:rPr>
          <w:rFonts w:ascii="Arial" w:hAnsi="Arial" w:cs="Arial"/>
        </w:rPr>
        <w:t xml:space="preserve">London procurement Centralised procurement obtained vaccines and subsequently delivered them to provinces.  </w:t>
      </w:r>
    </w:p>
    <w:p w14:paraId="7C0C4BBE" w14:textId="16A4B66D" w:rsidR="003858F8" w:rsidRPr="002A53F7" w:rsidRDefault="003858F8" w:rsidP="002A53F7">
      <w:pPr>
        <w:pStyle w:val="ListParagraph"/>
        <w:numPr>
          <w:ilvl w:val="0"/>
          <w:numId w:val="23"/>
        </w:numPr>
        <w:spacing w:line="360" w:lineRule="auto"/>
        <w:jc w:val="both"/>
        <w:rPr>
          <w:rFonts w:ascii="Arial" w:hAnsi="Arial" w:cs="Arial"/>
        </w:rPr>
      </w:pPr>
      <w:r w:rsidRPr="002A53F7">
        <w:rPr>
          <w:rFonts w:ascii="Arial" w:hAnsi="Arial" w:cs="Arial"/>
        </w:rPr>
        <w:t xml:space="preserve">Federal directions by the Public Health Agency of Canada (PHAC) tried to </w:t>
      </w:r>
      <w:r w:rsidR="00BA1303" w:rsidRPr="002A53F7">
        <w:rPr>
          <w:rFonts w:ascii="Arial" w:hAnsi="Arial" w:cs="Arial"/>
        </w:rPr>
        <w:t>coordinate</w:t>
      </w:r>
      <w:r w:rsidRPr="002A53F7">
        <w:rPr>
          <w:rFonts w:ascii="Arial" w:hAnsi="Arial" w:cs="Arial"/>
        </w:rPr>
        <w:t xml:space="preserve"> the national communications.  </w:t>
      </w:r>
    </w:p>
    <w:p w14:paraId="7EC2B5F9" w14:textId="7E529B6C" w:rsidR="003858F8" w:rsidRPr="002A53F7" w:rsidRDefault="003858F8" w:rsidP="002A53F7">
      <w:pPr>
        <w:spacing w:line="360" w:lineRule="auto"/>
        <w:jc w:val="both"/>
        <w:rPr>
          <w:rFonts w:ascii="Arial" w:hAnsi="Arial" w:cs="Arial"/>
        </w:rPr>
      </w:pPr>
      <w:r w:rsidRPr="002A53F7">
        <w:rPr>
          <w:rFonts w:ascii="Arial" w:hAnsi="Arial" w:cs="Arial"/>
        </w:rPr>
        <w:t xml:space="preserve">Such interaction implied that the Canadian system had certain problems related to coordination at </w:t>
      </w:r>
      <w:r w:rsidR="005503B6" w:rsidRPr="002A53F7">
        <w:rPr>
          <w:rFonts w:ascii="Arial" w:hAnsi="Arial" w:cs="Arial"/>
        </w:rPr>
        <w:t>times but</w:t>
      </w:r>
      <w:r w:rsidRPr="002A53F7">
        <w:rPr>
          <w:rFonts w:ascii="Arial" w:hAnsi="Arial" w:cs="Arial"/>
        </w:rPr>
        <w:t xml:space="preserve"> also gave </w:t>
      </w:r>
      <w:r w:rsidR="00BA1303" w:rsidRPr="002A53F7">
        <w:rPr>
          <w:rFonts w:ascii="Arial" w:hAnsi="Arial" w:cs="Arial"/>
        </w:rPr>
        <w:t xml:space="preserve">provinces </w:t>
      </w:r>
      <w:r w:rsidRPr="002A53F7">
        <w:rPr>
          <w:rFonts w:ascii="Arial" w:hAnsi="Arial" w:cs="Arial"/>
        </w:rPr>
        <w:t xml:space="preserve">the possibility of provinces to </w:t>
      </w:r>
      <w:r w:rsidR="005A1F19" w:rsidRPr="002A53F7">
        <w:rPr>
          <w:rFonts w:ascii="Arial" w:hAnsi="Arial" w:cs="Arial"/>
        </w:rPr>
        <w:t>respond</w:t>
      </w:r>
      <w:r w:rsidRPr="002A53F7">
        <w:rPr>
          <w:rFonts w:ascii="Arial" w:hAnsi="Arial" w:cs="Arial"/>
        </w:rPr>
        <w:t xml:space="preserve"> to </w:t>
      </w:r>
      <w:r w:rsidR="00946273" w:rsidRPr="002A53F7">
        <w:rPr>
          <w:rFonts w:ascii="Arial" w:hAnsi="Arial" w:cs="Arial"/>
        </w:rPr>
        <w:t xml:space="preserve">the epidemiological patterns.  </w:t>
      </w:r>
    </w:p>
    <w:p w14:paraId="0ECC1EB3" w14:textId="77777777" w:rsidR="00946273" w:rsidRPr="002A53F7" w:rsidRDefault="00946273" w:rsidP="002A53F7">
      <w:pPr>
        <w:spacing w:line="360" w:lineRule="auto"/>
        <w:jc w:val="both"/>
        <w:rPr>
          <w:rFonts w:ascii="Arial" w:hAnsi="Arial" w:cs="Arial"/>
          <w:i/>
        </w:rPr>
      </w:pPr>
      <w:r w:rsidRPr="002A53F7">
        <w:rPr>
          <w:rFonts w:ascii="Arial" w:hAnsi="Arial" w:cs="Arial"/>
          <w:i/>
        </w:rPr>
        <w:t>Advantages of Canada’s decentralised approach</w:t>
      </w:r>
    </w:p>
    <w:p w14:paraId="47C27BA3" w14:textId="77777777" w:rsidR="003858F8" w:rsidRPr="002A53F7" w:rsidRDefault="003858F8" w:rsidP="002A53F7">
      <w:pPr>
        <w:spacing w:line="360" w:lineRule="auto"/>
        <w:jc w:val="both"/>
        <w:rPr>
          <w:rFonts w:ascii="Arial" w:hAnsi="Arial" w:cs="Arial"/>
        </w:rPr>
      </w:pPr>
      <w:r w:rsidRPr="002A53F7">
        <w:rPr>
          <w:rFonts w:ascii="Arial" w:hAnsi="Arial" w:cs="Arial"/>
        </w:rPr>
        <w:t>One of the advantages of decentralisation was that it allowed provinces to adopt certain measures which were rather local and specific. Provinces that had robust public health infrastructures (e.g., British Columbia) responded rapidly, overly depended on local public health officers and showed comparatively better results in the initial waves (Asadi et al., 2020). Atlantic Canada used a “regional bubble, limiting the movement of people between provinces, which immensely minimised the importation of cases and transmission in communities</w:t>
      </w:r>
      <w:r w:rsidR="00946273" w:rsidRPr="002A53F7">
        <w:rPr>
          <w:rFonts w:ascii="Arial" w:hAnsi="Arial" w:cs="Arial"/>
        </w:rPr>
        <w:t xml:space="preserve"> (Murison and Mallory, 2021).  </w:t>
      </w:r>
    </w:p>
    <w:p w14:paraId="34658913" w14:textId="77777777" w:rsidR="00946273" w:rsidRPr="002A53F7" w:rsidRDefault="00946273" w:rsidP="002A53F7">
      <w:pPr>
        <w:spacing w:line="360" w:lineRule="auto"/>
        <w:jc w:val="both"/>
        <w:rPr>
          <w:rFonts w:ascii="Arial" w:hAnsi="Arial" w:cs="Arial"/>
          <w:i/>
        </w:rPr>
      </w:pPr>
      <w:r w:rsidRPr="002A53F7">
        <w:rPr>
          <w:rFonts w:ascii="Arial" w:hAnsi="Arial" w:cs="Arial"/>
          <w:i/>
        </w:rPr>
        <w:t>Disadvantages and coordination challenges</w:t>
      </w:r>
    </w:p>
    <w:p w14:paraId="36486B14" w14:textId="7EF1DA92" w:rsidR="003858F8" w:rsidRPr="002A53F7" w:rsidRDefault="003858F8" w:rsidP="002A53F7">
      <w:pPr>
        <w:spacing w:line="360" w:lineRule="auto"/>
        <w:jc w:val="both"/>
        <w:rPr>
          <w:rFonts w:ascii="Arial" w:hAnsi="Arial" w:cs="Arial"/>
        </w:rPr>
      </w:pPr>
      <w:r w:rsidRPr="002A53F7">
        <w:rPr>
          <w:rFonts w:ascii="Arial" w:hAnsi="Arial" w:cs="Arial"/>
        </w:rPr>
        <w:t xml:space="preserve">Nonetheless, decentralisation also created significant problems in coordination, which are widely known in academic assessments. Independent decisions on tests, masks, and eligibility </w:t>
      </w:r>
      <w:r w:rsidR="005A1F19" w:rsidRPr="002A53F7">
        <w:rPr>
          <w:rFonts w:ascii="Arial" w:hAnsi="Arial" w:cs="Arial"/>
        </w:rPr>
        <w:t>for</w:t>
      </w:r>
      <w:r w:rsidRPr="002A53F7">
        <w:rPr>
          <w:rFonts w:ascii="Arial" w:hAnsi="Arial" w:cs="Arial"/>
        </w:rPr>
        <w:t xml:space="preserve"> vaccination were made at the provincial level, thus resulting in a fragmented policy (Flood &amp; Thomas, 2020). This brought about confusion in society, hampered travel between the provinces and reduced ha</w:t>
      </w:r>
      <w:r w:rsidR="00946273" w:rsidRPr="002A53F7">
        <w:rPr>
          <w:rFonts w:ascii="Arial" w:hAnsi="Arial" w:cs="Arial"/>
        </w:rPr>
        <w:t xml:space="preserve">rmonisation of national data.  </w:t>
      </w:r>
      <w:r w:rsidRPr="002A53F7">
        <w:rPr>
          <w:rFonts w:ascii="Arial" w:hAnsi="Arial" w:cs="Arial"/>
        </w:rPr>
        <w:t xml:space="preserve">There were also serious failures of long-term care LTC in Canada, where LTC contributed to </w:t>
      </w:r>
      <w:r w:rsidR="00096CBB" w:rsidRPr="002A53F7">
        <w:rPr>
          <w:rFonts w:ascii="Arial" w:hAnsi="Arial" w:cs="Arial"/>
        </w:rPr>
        <w:t>most of</w:t>
      </w:r>
      <w:r w:rsidRPr="002A53F7">
        <w:rPr>
          <w:rFonts w:ascii="Arial" w:hAnsi="Arial" w:cs="Arial"/>
        </w:rPr>
        <w:t xml:space="preserve"> the deaths during the first wave. Analysts claim that bad LTC outcomes were directly associated with decentralised governance, absence of federal standards</w:t>
      </w:r>
      <w:r w:rsidR="005A1F19" w:rsidRPr="002A53F7">
        <w:rPr>
          <w:rFonts w:ascii="Arial" w:hAnsi="Arial" w:cs="Arial"/>
        </w:rPr>
        <w:t>,</w:t>
      </w:r>
      <w:r w:rsidRPr="002A53F7">
        <w:rPr>
          <w:rFonts w:ascii="Arial" w:hAnsi="Arial" w:cs="Arial"/>
        </w:rPr>
        <w:t xml:space="preserve"> as well as provincial underreg</w:t>
      </w:r>
      <w:r w:rsidR="00946273" w:rsidRPr="002A53F7">
        <w:rPr>
          <w:rFonts w:ascii="Arial" w:hAnsi="Arial" w:cs="Arial"/>
        </w:rPr>
        <w:t xml:space="preserve">ulation (Stall et al., 2020).  </w:t>
      </w:r>
    </w:p>
    <w:p w14:paraId="3567EF88" w14:textId="77777777" w:rsidR="003858F8" w:rsidRPr="002A53F7" w:rsidRDefault="003858F8" w:rsidP="002A53F7">
      <w:pPr>
        <w:spacing w:line="360" w:lineRule="auto"/>
        <w:jc w:val="both"/>
        <w:rPr>
          <w:rFonts w:ascii="Arial" w:hAnsi="Arial" w:cs="Arial"/>
          <w:i/>
        </w:rPr>
      </w:pPr>
      <w:r w:rsidRPr="002A53F7">
        <w:rPr>
          <w:rFonts w:ascii="Arial" w:hAnsi="Arial" w:cs="Arial"/>
          <w:i/>
        </w:rPr>
        <w:t>Did Canada’s system yield positive outcomes?</w:t>
      </w:r>
    </w:p>
    <w:p w14:paraId="6F5D100A" w14:textId="3B3E24BE" w:rsidR="006A4A8A" w:rsidRPr="002A53F7" w:rsidRDefault="003858F8" w:rsidP="002A53F7">
      <w:pPr>
        <w:spacing w:line="360" w:lineRule="auto"/>
        <w:jc w:val="both"/>
        <w:rPr>
          <w:rFonts w:ascii="Arial" w:hAnsi="Arial" w:cs="Arial"/>
        </w:rPr>
      </w:pPr>
      <w:r w:rsidRPr="002A53F7">
        <w:rPr>
          <w:rFonts w:ascii="Arial" w:hAnsi="Arial" w:cs="Arial"/>
        </w:rPr>
        <w:t xml:space="preserve">Canada eventually reached high vaccination rates, which was largely due to centralised federal buying and nationwide investing in distribution (Wilson et al., 2020). The death rate in the Delta and Omicron </w:t>
      </w:r>
      <w:r w:rsidR="00AA52CC" w:rsidRPr="002A53F7">
        <w:rPr>
          <w:rFonts w:ascii="Arial" w:hAnsi="Arial" w:cs="Arial"/>
        </w:rPr>
        <w:t>waves</w:t>
      </w:r>
      <w:r w:rsidRPr="002A53F7">
        <w:rPr>
          <w:rFonts w:ascii="Arial" w:hAnsi="Arial" w:cs="Arial"/>
        </w:rPr>
        <w:t xml:space="preserve"> was lower than in most other high-income nations. Nevertheless, initial waves revealed infrastructure weaknesses in the system, especially in long-term care, surveillance, and data infrastructure. Canadian results are mixed, and the system has been characterised by </w:t>
      </w:r>
      <w:r w:rsidR="00AA52CC" w:rsidRPr="002A53F7">
        <w:rPr>
          <w:rFonts w:ascii="Arial" w:hAnsi="Arial" w:cs="Arial"/>
        </w:rPr>
        <w:t xml:space="preserve">a </w:t>
      </w:r>
      <w:r w:rsidRPr="002A53F7">
        <w:rPr>
          <w:rFonts w:ascii="Arial" w:hAnsi="Arial" w:cs="Arial"/>
        </w:rPr>
        <w:t xml:space="preserve">dual nature because it </w:t>
      </w:r>
      <w:r w:rsidR="00AA52CC" w:rsidRPr="002A53F7">
        <w:rPr>
          <w:rFonts w:ascii="Arial" w:hAnsi="Arial" w:cs="Arial"/>
        </w:rPr>
        <w:t xml:space="preserve">is </w:t>
      </w:r>
      <w:r w:rsidRPr="002A53F7">
        <w:rPr>
          <w:rFonts w:ascii="Arial" w:hAnsi="Arial" w:cs="Arial"/>
        </w:rPr>
        <w:t>decentralised, thereby facilitating local adaptation of the system, but at the expen</w:t>
      </w:r>
      <w:r w:rsidR="00946273" w:rsidRPr="002A53F7">
        <w:rPr>
          <w:rFonts w:ascii="Arial" w:hAnsi="Arial" w:cs="Arial"/>
        </w:rPr>
        <w:t xml:space="preserve">se of national coherence.  </w:t>
      </w:r>
      <w:r w:rsidRPr="002A53F7">
        <w:rPr>
          <w:rFonts w:ascii="Arial" w:hAnsi="Arial" w:cs="Arial"/>
        </w:rPr>
        <w:t>According to comparative research, Canada had an overall good performance, although it had preventable mortality because of fractured governance and insufficient timeliness in major provinces (Marchildon, 2021).</w:t>
      </w:r>
    </w:p>
    <w:p w14:paraId="603D5574" w14:textId="77777777" w:rsidR="006A4A8A" w:rsidRPr="002A53F7" w:rsidRDefault="006A4A8A" w:rsidP="002A53F7">
      <w:pPr>
        <w:spacing w:line="360" w:lineRule="auto"/>
        <w:jc w:val="both"/>
        <w:rPr>
          <w:rFonts w:ascii="Arial" w:hAnsi="Arial" w:cs="Arial"/>
          <w:i/>
        </w:rPr>
      </w:pPr>
      <w:r w:rsidRPr="002A53F7">
        <w:rPr>
          <w:rFonts w:ascii="Arial" w:hAnsi="Arial" w:cs="Arial"/>
          <w:i/>
        </w:rPr>
        <w:t>Key lessons and implications</w:t>
      </w:r>
    </w:p>
    <w:p w14:paraId="2C042CDE" w14:textId="4E2B3517" w:rsidR="006A4A8A" w:rsidRDefault="006A4A8A" w:rsidP="002A53F7">
      <w:pPr>
        <w:spacing w:line="360" w:lineRule="auto"/>
        <w:jc w:val="both"/>
        <w:rPr>
          <w:rFonts w:ascii="Arial" w:hAnsi="Arial" w:cs="Arial"/>
        </w:rPr>
      </w:pPr>
      <w:r w:rsidRPr="002A53F7">
        <w:rPr>
          <w:rFonts w:ascii="Arial" w:hAnsi="Arial" w:cs="Arial"/>
        </w:rPr>
        <w:t xml:space="preserve">The Canadian experience of the pandemic brings out three salient lessons. To begin with, decentralised health systems require effective national coordination structures and data infrastructure that are interoperable to work efficiently during </w:t>
      </w:r>
      <w:r w:rsidR="00AA52CC" w:rsidRPr="002A53F7">
        <w:rPr>
          <w:rFonts w:ascii="Arial" w:hAnsi="Arial" w:cs="Arial"/>
        </w:rPr>
        <w:t>crises</w:t>
      </w:r>
      <w:r w:rsidRPr="002A53F7">
        <w:rPr>
          <w:rFonts w:ascii="Arial" w:hAnsi="Arial" w:cs="Arial"/>
        </w:rPr>
        <w:t xml:space="preserve">. Secondly, the necessity of reforming long-term care is supported by the harmful effects of regulatory fragmentation and long-term underinvestment, which are emphasised by Stall et al. (2020). Third, provincial and federal leaders should focus on the possibility of consistent communication; the lack of alignment in the message led to the loss of understanding in the population and adherence to it, and this process was studied by Murthy et al. (2021). Overall, the Canadian case shows that decentralisation may be used to promote flexibility, but it needs to have a high federal scaffolding, common data platforms and decisive leadership to prevent fragmentation at the national level in times of national emergencies.  </w:t>
      </w:r>
    </w:p>
    <w:p w14:paraId="6D664965" w14:textId="77777777" w:rsidR="00C058F4" w:rsidRPr="002A53F7" w:rsidRDefault="00C058F4" w:rsidP="002A53F7">
      <w:pPr>
        <w:spacing w:line="360" w:lineRule="auto"/>
        <w:jc w:val="both"/>
        <w:rPr>
          <w:rFonts w:ascii="Arial" w:hAnsi="Arial" w:cs="Arial"/>
        </w:rPr>
      </w:pPr>
    </w:p>
    <w:p w14:paraId="3739FF70" w14:textId="77777777" w:rsidR="006A4A8A" w:rsidRPr="002A53F7" w:rsidRDefault="006A4A8A" w:rsidP="002A53F7">
      <w:pPr>
        <w:spacing w:line="360" w:lineRule="auto"/>
        <w:jc w:val="both"/>
        <w:rPr>
          <w:rFonts w:ascii="Arial" w:hAnsi="Arial" w:cs="Arial"/>
          <w:b/>
        </w:rPr>
      </w:pPr>
      <w:r w:rsidRPr="002A53F7">
        <w:rPr>
          <w:rFonts w:ascii="Arial" w:hAnsi="Arial" w:cs="Arial"/>
          <w:b/>
        </w:rPr>
        <w:t xml:space="preserve">Spain: Healthcare Typology and COVID-19 Systems Approach </w:t>
      </w:r>
    </w:p>
    <w:p w14:paraId="47094DC5" w14:textId="77777777" w:rsidR="006A4A8A" w:rsidRPr="002A53F7" w:rsidRDefault="006A4A8A" w:rsidP="002A53F7">
      <w:pPr>
        <w:spacing w:line="360" w:lineRule="auto"/>
        <w:jc w:val="both"/>
        <w:rPr>
          <w:rFonts w:ascii="Arial" w:hAnsi="Arial" w:cs="Arial"/>
          <w:i/>
        </w:rPr>
      </w:pPr>
      <w:r w:rsidRPr="002A53F7">
        <w:rPr>
          <w:rFonts w:ascii="Arial" w:hAnsi="Arial" w:cs="Arial"/>
          <w:i/>
        </w:rPr>
        <w:t>Healthcare typology</w:t>
      </w:r>
    </w:p>
    <w:p w14:paraId="4AF94F7D" w14:textId="77777777" w:rsidR="006A4A8A" w:rsidRPr="002A53F7" w:rsidRDefault="006A4A8A" w:rsidP="002A53F7">
      <w:pPr>
        <w:spacing w:line="360" w:lineRule="auto"/>
        <w:jc w:val="both"/>
        <w:rPr>
          <w:rFonts w:ascii="Arial" w:hAnsi="Arial" w:cs="Arial"/>
        </w:rPr>
      </w:pPr>
      <w:r w:rsidRPr="002A53F7">
        <w:rPr>
          <w:rFonts w:ascii="Arial" w:hAnsi="Arial" w:cs="Arial"/>
        </w:rPr>
        <w:t>Spain has a national health system (NHS) which offers universal, tax-financed coverage; however, the administration of the health services is highly decentralised in Western Europe. Since the devolution reforms of 2001, health planning, service delivery, hospital administration, and public-health interventions have been mostly within the territory of the 17 autonomous communities (ACs) in Spain, whereas the Ministry of Health continues to have over-coordinating and strategic policy structures (Valle, 2021). This structure grants significant local control in spending, human resources, surveillance, as well as response to crises. Even though the system of Spain has a robust primary-care base, the austerity measures introduced following the 2008 financial crisis reduced the number of employees, the infrastructure of the public-health system, and the capacity in emergencies, which made some regions vulnerable to COVID-19 in the first place (G</w:t>
      </w:r>
      <w:r w:rsidR="000B5CA6" w:rsidRPr="002A53F7">
        <w:rPr>
          <w:rFonts w:ascii="Arial" w:hAnsi="Arial" w:cs="Arial"/>
        </w:rPr>
        <w:t xml:space="preserve">arcia-Basteiro et al., 2020).  </w:t>
      </w:r>
    </w:p>
    <w:p w14:paraId="4139A038" w14:textId="77777777" w:rsidR="00323DB8" w:rsidRPr="002A53F7" w:rsidRDefault="00323DB8" w:rsidP="002A53F7">
      <w:pPr>
        <w:spacing w:line="360" w:lineRule="auto"/>
        <w:jc w:val="both"/>
        <w:rPr>
          <w:rFonts w:ascii="Arial" w:hAnsi="Arial" w:cs="Arial"/>
        </w:rPr>
      </w:pPr>
    </w:p>
    <w:p w14:paraId="596B4ED7" w14:textId="77777777" w:rsidR="006A4A8A" w:rsidRPr="002A53F7" w:rsidRDefault="006A4A8A" w:rsidP="002A53F7">
      <w:pPr>
        <w:spacing w:line="360" w:lineRule="auto"/>
        <w:jc w:val="both"/>
        <w:rPr>
          <w:rFonts w:ascii="Arial" w:hAnsi="Arial" w:cs="Arial"/>
          <w:i/>
        </w:rPr>
      </w:pPr>
      <w:r w:rsidRPr="002A53F7">
        <w:rPr>
          <w:rFonts w:ascii="Arial" w:hAnsi="Arial" w:cs="Arial"/>
          <w:i/>
        </w:rPr>
        <w:t>Early pandemic response</w:t>
      </w:r>
    </w:p>
    <w:p w14:paraId="04BC858C" w14:textId="74AC30D6" w:rsidR="006A4A8A" w:rsidRPr="002A53F7" w:rsidRDefault="006A4A8A" w:rsidP="002A53F7">
      <w:pPr>
        <w:spacing w:line="360" w:lineRule="auto"/>
        <w:jc w:val="both"/>
        <w:rPr>
          <w:rFonts w:ascii="Arial" w:hAnsi="Arial" w:cs="Arial"/>
        </w:rPr>
      </w:pPr>
      <w:r w:rsidRPr="002A53F7">
        <w:rPr>
          <w:rFonts w:ascii="Arial" w:hAnsi="Arial" w:cs="Arial"/>
        </w:rPr>
        <w:t xml:space="preserve">One of the first and worst first-wave epidemics in Europe occurred in Spain. First, surveillance, testing, and contact tracing were both the responsibility of regional public-health agencies, but the rapid transmission of COVID-19 between February and March 2020 soon placed undue strain on local resources. The lack of testing, improper reporting systems, and the lack of epidemiological facilities were obstacles to proper transmission evaluation, and the central government declared a state of alarm on 14 March 2020, and temporarily centralised health authority (Erkoreka, 2022). Strict lockdowns, limited movement and </w:t>
      </w:r>
      <w:r w:rsidR="00AA52CC" w:rsidRPr="002A53F7">
        <w:rPr>
          <w:rFonts w:ascii="Arial" w:hAnsi="Arial" w:cs="Arial"/>
        </w:rPr>
        <w:t>the organised</w:t>
      </w:r>
      <w:r w:rsidRPr="002A53F7">
        <w:rPr>
          <w:rFonts w:ascii="Arial" w:hAnsi="Arial" w:cs="Arial"/>
        </w:rPr>
        <w:t xml:space="preserve"> purchase of personal protective equipment (PPE) and medical equipment were introduced to the national government. This centralisation was to bring about harmony in the interventions</w:t>
      </w:r>
      <w:r w:rsidR="00AA52CC" w:rsidRPr="002A53F7">
        <w:rPr>
          <w:rFonts w:ascii="Arial" w:hAnsi="Arial" w:cs="Arial"/>
        </w:rPr>
        <w:t>,</w:t>
      </w:r>
      <w:r w:rsidRPr="002A53F7">
        <w:rPr>
          <w:rFonts w:ascii="Arial" w:hAnsi="Arial" w:cs="Arial"/>
        </w:rPr>
        <w:t xml:space="preserve"> but created tensions with the ACs</w:t>
      </w:r>
      <w:r w:rsidR="00AA52CC" w:rsidRPr="002A53F7">
        <w:rPr>
          <w:rFonts w:ascii="Arial" w:hAnsi="Arial" w:cs="Arial"/>
        </w:rPr>
        <w:t>,</w:t>
      </w:r>
      <w:r w:rsidRPr="002A53F7">
        <w:rPr>
          <w:rFonts w:ascii="Arial" w:hAnsi="Arial" w:cs="Arial"/>
        </w:rPr>
        <w:t xml:space="preserve"> with some of them claiming that the measures unde</w:t>
      </w:r>
      <w:r w:rsidR="000B5CA6" w:rsidRPr="002A53F7">
        <w:rPr>
          <w:rFonts w:ascii="Arial" w:hAnsi="Arial" w:cs="Arial"/>
        </w:rPr>
        <w:t xml:space="preserve">rmined regional competencies.  </w:t>
      </w:r>
    </w:p>
    <w:p w14:paraId="4F5BED80" w14:textId="22F5F4AE" w:rsidR="006A4A8A" w:rsidRPr="002A53F7" w:rsidRDefault="006A4A8A" w:rsidP="002A53F7">
      <w:pPr>
        <w:spacing w:line="360" w:lineRule="auto"/>
        <w:jc w:val="both"/>
        <w:rPr>
          <w:rFonts w:ascii="Arial" w:hAnsi="Arial" w:cs="Arial"/>
          <w:i/>
        </w:rPr>
      </w:pPr>
      <w:r w:rsidRPr="002A53F7">
        <w:rPr>
          <w:rFonts w:ascii="Arial" w:hAnsi="Arial" w:cs="Arial"/>
          <w:i/>
        </w:rPr>
        <w:t xml:space="preserve">Centralised and decentralised systems </w:t>
      </w:r>
      <w:r w:rsidR="00AA52CC" w:rsidRPr="002A53F7">
        <w:rPr>
          <w:rFonts w:ascii="Arial" w:hAnsi="Arial" w:cs="Arial"/>
          <w:i/>
        </w:rPr>
        <w:t>approach</w:t>
      </w:r>
    </w:p>
    <w:p w14:paraId="14B336B2" w14:textId="50B88E0D" w:rsidR="006A4A8A" w:rsidRPr="002A53F7" w:rsidRDefault="006A4A8A" w:rsidP="002A53F7">
      <w:pPr>
        <w:spacing w:line="360" w:lineRule="auto"/>
        <w:jc w:val="both"/>
        <w:rPr>
          <w:rFonts w:ascii="Arial" w:hAnsi="Arial" w:cs="Arial"/>
        </w:rPr>
      </w:pPr>
      <w:r w:rsidRPr="002A53F7">
        <w:rPr>
          <w:rFonts w:ascii="Arial" w:hAnsi="Arial" w:cs="Arial"/>
        </w:rPr>
        <w:t>The response to the pandemic in Spain alternated between c</w:t>
      </w:r>
      <w:r w:rsidR="00EC2159" w:rsidRPr="002A53F7">
        <w:rPr>
          <w:rFonts w:ascii="Arial" w:hAnsi="Arial" w:cs="Arial"/>
        </w:rPr>
        <w:t xml:space="preserve">entralised and decentralised:  </w:t>
      </w:r>
    </w:p>
    <w:p w14:paraId="3A46136C" w14:textId="77777777" w:rsidR="00EC2159" w:rsidRPr="002A53F7" w:rsidRDefault="00EC2159" w:rsidP="002A53F7">
      <w:pPr>
        <w:spacing w:line="360" w:lineRule="auto"/>
        <w:jc w:val="both"/>
        <w:rPr>
          <w:rFonts w:ascii="Arial" w:hAnsi="Arial" w:cs="Arial"/>
          <w:i/>
        </w:rPr>
      </w:pPr>
      <w:r w:rsidRPr="002A53F7">
        <w:rPr>
          <w:rFonts w:ascii="Arial" w:hAnsi="Arial" w:cs="Arial"/>
          <w:i/>
        </w:rPr>
        <w:t>Centralised elements</w:t>
      </w:r>
    </w:p>
    <w:p w14:paraId="2D63D806" w14:textId="77777777" w:rsidR="006A4A8A" w:rsidRPr="002A53F7" w:rsidRDefault="006A4A8A" w:rsidP="002A53F7">
      <w:pPr>
        <w:spacing w:line="360" w:lineRule="auto"/>
        <w:jc w:val="both"/>
        <w:rPr>
          <w:rFonts w:ascii="Arial" w:hAnsi="Arial" w:cs="Arial"/>
        </w:rPr>
      </w:pPr>
      <w:r w:rsidRPr="002A53F7">
        <w:rPr>
          <w:rFonts w:ascii="Arial" w:hAnsi="Arial" w:cs="Arial"/>
        </w:rPr>
        <w:t>The national government used its emergency powers to impose mobility restrictions on the whole country, interregional travel, and organise procurement. The central authorities also created a single surveillance system and gave national instructions on how to identify and</w:t>
      </w:r>
      <w:r w:rsidR="00EC2159" w:rsidRPr="002A53F7">
        <w:rPr>
          <w:rFonts w:ascii="Arial" w:hAnsi="Arial" w:cs="Arial"/>
        </w:rPr>
        <w:t xml:space="preserve"> report a case (Vampa, 2021).  </w:t>
      </w:r>
    </w:p>
    <w:p w14:paraId="6A632416" w14:textId="77777777" w:rsidR="00EC2159" w:rsidRPr="002A53F7" w:rsidRDefault="00EC2159" w:rsidP="002A53F7">
      <w:pPr>
        <w:spacing w:line="360" w:lineRule="auto"/>
        <w:jc w:val="both"/>
        <w:rPr>
          <w:rFonts w:ascii="Arial" w:hAnsi="Arial" w:cs="Arial"/>
          <w:i/>
        </w:rPr>
      </w:pPr>
      <w:r w:rsidRPr="002A53F7">
        <w:rPr>
          <w:rFonts w:ascii="Arial" w:hAnsi="Arial" w:cs="Arial"/>
          <w:i/>
        </w:rPr>
        <w:t>Decentralised elements</w:t>
      </w:r>
    </w:p>
    <w:p w14:paraId="6DA832E1" w14:textId="521F7577" w:rsidR="006A4A8A" w:rsidRPr="002A53F7" w:rsidRDefault="006A4A8A" w:rsidP="002A53F7">
      <w:pPr>
        <w:spacing w:line="360" w:lineRule="auto"/>
        <w:jc w:val="both"/>
        <w:rPr>
          <w:rFonts w:ascii="Arial" w:hAnsi="Arial" w:cs="Arial"/>
        </w:rPr>
      </w:pPr>
      <w:r w:rsidRPr="002A53F7">
        <w:rPr>
          <w:rFonts w:ascii="Arial" w:hAnsi="Arial" w:cs="Arial"/>
        </w:rPr>
        <w:t>In June 2020, once the state of alarm ended, power was restored to the ACs, who put in place localised lockdowns, testing plans, school policies, and vaccination logistics. This reversal brought about significant changes in restrictions, capacity to trace</w:t>
      </w:r>
      <w:r w:rsidR="00F94055" w:rsidRPr="002A53F7">
        <w:rPr>
          <w:rFonts w:ascii="Arial" w:hAnsi="Arial" w:cs="Arial"/>
        </w:rPr>
        <w:t>,</w:t>
      </w:r>
      <w:r w:rsidRPr="002A53F7">
        <w:rPr>
          <w:rFonts w:ascii="Arial" w:hAnsi="Arial" w:cs="Arial"/>
        </w:rPr>
        <w:t xml:space="preserve"> as well</w:t>
      </w:r>
      <w:r w:rsidR="00EC2159" w:rsidRPr="002A53F7">
        <w:rPr>
          <w:rFonts w:ascii="Arial" w:hAnsi="Arial" w:cs="Arial"/>
        </w:rPr>
        <w:t xml:space="preserve"> as epidemiological outcomes.  </w:t>
      </w:r>
      <w:r w:rsidRPr="002A53F7">
        <w:rPr>
          <w:rFonts w:ascii="Arial" w:hAnsi="Arial" w:cs="Arial"/>
        </w:rPr>
        <w:t xml:space="preserve">The </w:t>
      </w:r>
      <w:r w:rsidR="00F94055" w:rsidRPr="002A53F7">
        <w:rPr>
          <w:rFonts w:ascii="Arial" w:hAnsi="Arial" w:cs="Arial"/>
        </w:rPr>
        <w:t>pandemic</w:t>
      </w:r>
      <w:r w:rsidRPr="002A53F7">
        <w:rPr>
          <w:rFonts w:ascii="Arial" w:hAnsi="Arial" w:cs="Arial"/>
        </w:rPr>
        <w:t xml:space="preserve"> journey in Spain was formed by this mixed model, which allowed the country to be more localised, but on the other hand, caused even greater fragmentation in areas where th</w:t>
      </w:r>
      <w:r w:rsidR="000B5CA6" w:rsidRPr="002A53F7">
        <w:rPr>
          <w:rFonts w:ascii="Arial" w:hAnsi="Arial" w:cs="Arial"/>
        </w:rPr>
        <w:t xml:space="preserve">e coordination system failed.  </w:t>
      </w:r>
    </w:p>
    <w:p w14:paraId="68B4E5D6" w14:textId="77777777" w:rsidR="00EC2159" w:rsidRPr="002A53F7" w:rsidRDefault="00EC2159" w:rsidP="002A53F7">
      <w:pPr>
        <w:spacing w:line="360" w:lineRule="auto"/>
        <w:jc w:val="both"/>
        <w:rPr>
          <w:rFonts w:ascii="Arial" w:hAnsi="Arial" w:cs="Arial"/>
          <w:i/>
        </w:rPr>
      </w:pPr>
      <w:r w:rsidRPr="002A53F7">
        <w:rPr>
          <w:rFonts w:ascii="Arial" w:hAnsi="Arial" w:cs="Arial"/>
          <w:i/>
        </w:rPr>
        <w:t>Advantages of the Spanish systems approach</w:t>
      </w:r>
    </w:p>
    <w:p w14:paraId="7EE22592" w14:textId="4D3E17EF" w:rsidR="006A4A8A" w:rsidRPr="002A53F7" w:rsidRDefault="006A4A8A" w:rsidP="002A53F7">
      <w:pPr>
        <w:spacing w:line="360" w:lineRule="auto"/>
        <w:jc w:val="both"/>
        <w:rPr>
          <w:rFonts w:ascii="Arial" w:hAnsi="Arial" w:cs="Arial"/>
        </w:rPr>
      </w:pPr>
      <w:r w:rsidRPr="002A53F7">
        <w:rPr>
          <w:rFonts w:ascii="Arial" w:hAnsi="Arial" w:cs="Arial"/>
        </w:rPr>
        <w:t xml:space="preserve">Decentralisation allowed </w:t>
      </w:r>
      <w:r w:rsidR="00F94055" w:rsidRPr="002A53F7">
        <w:rPr>
          <w:rFonts w:ascii="Arial" w:hAnsi="Arial" w:cs="Arial"/>
        </w:rPr>
        <w:t>local-level</w:t>
      </w:r>
      <w:r w:rsidRPr="002A53F7">
        <w:rPr>
          <w:rFonts w:ascii="Arial" w:hAnsi="Arial" w:cs="Arial"/>
        </w:rPr>
        <w:t xml:space="preserve"> responses to be tailored. Areas like Galicia and </w:t>
      </w:r>
      <w:r w:rsidR="00F94055" w:rsidRPr="002A53F7">
        <w:rPr>
          <w:rFonts w:ascii="Arial" w:hAnsi="Arial" w:cs="Arial"/>
        </w:rPr>
        <w:t xml:space="preserve">the </w:t>
      </w:r>
      <w:r w:rsidRPr="002A53F7">
        <w:rPr>
          <w:rFonts w:ascii="Arial" w:hAnsi="Arial" w:cs="Arial"/>
        </w:rPr>
        <w:t xml:space="preserve">Basque Country started early testing growth, did not have the same mortality as the ones in Madrid and Catalonia, and were better tracking it (Otero-Garcia et al., 2023). Innovation was also spurred by regional autonomy, including the creation of mass-testing centres and mobile tracing units in </w:t>
      </w:r>
      <w:r w:rsidR="009164EB" w:rsidRPr="002A53F7">
        <w:rPr>
          <w:rFonts w:ascii="Arial" w:hAnsi="Arial" w:cs="Arial"/>
        </w:rPr>
        <w:t>several</w:t>
      </w:r>
      <w:r w:rsidRPr="002A53F7">
        <w:rPr>
          <w:rFonts w:ascii="Arial" w:hAnsi="Arial" w:cs="Arial"/>
        </w:rPr>
        <w:t xml:space="preserve"> ACs. Moreover, the local authorities had more insight into the demographic and socio-economic variables, which </w:t>
      </w:r>
      <w:r w:rsidR="00F94055" w:rsidRPr="002A53F7">
        <w:rPr>
          <w:rFonts w:ascii="Arial" w:hAnsi="Arial" w:cs="Arial"/>
        </w:rPr>
        <w:t>allowed</w:t>
      </w:r>
      <w:r w:rsidRPr="002A53F7">
        <w:rPr>
          <w:rFonts w:ascii="Arial" w:hAnsi="Arial" w:cs="Arial"/>
        </w:rPr>
        <w:t xml:space="preserve"> them to conduct targeted outreach within the vulnerable communities. Following initial waves, increased cooperation between central and regional institutions, with their common data platforms and joint vaccination plans, en</w:t>
      </w:r>
      <w:r w:rsidR="000B5CA6" w:rsidRPr="002A53F7">
        <w:rPr>
          <w:rFonts w:ascii="Arial" w:hAnsi="Arial" w:cs="Arial"/>
        </w:rPr>
        <w:t xml:space="preserve">hanced the response in Spain.  </w:t>
      </w:r>
    </w:p>
    <w:p w14:paraId="44C84248" w14:textId="77777777" w:rsidR="00EC2159" w:rsidRPr="002A53F7" w:rsidRDefault="00EC2159" w:rsidP="002A53F7">
      <w:pPr>
        <w:spacing w:line="360" w:lineRule="auto"/>
        <w:jc w:val="both"/>
        <w:rPr>
          <w:rFonts w:ascii="Arial" w:hAnsi="Arial" w:cs="Arial"/>
          <w:i/>
        </w:rPr>
      </w:pPr>
      <w:r w:rsidRPr="002A53F7">
        <w:rPr>
          <w:rFonts w:ascii="Arial" w:hAnsi="Arial" w:cs="Arial"/>
          <w:i/>
        </w:rPr>
        <w:t>Disadvantages and coordination challenges</w:t>
      </w:r>
    </w:p>
    <w:p w14:paraId="51A3A1E4" w14:textId="62290BA8" w:rsidR="006A4A8A" w:rsidRPr="002A53F7" w:rsidRDefault="006A4A8A" w:rsidP="002A53F7">
      <w:pPr>
        <w:spacing w:line="360" w:lineRule="auto"/>
        <w:jc w:val="both"/>
        <w:rPr>
          <w:rFonts w:ascii="Arial" w:hAnsi="Arial" w:cs="Arial"/>
        </w:rPr>
      </w:pPr>
      <w:r w:rsidRPr="002A53F7">
        <w:rPr>
          <w:rFonts w:ascii="Arial" w:hAnsi="Arial" w:cs="Arial"/>
        </w:rPr>
        <w:t xml:space="preserve">Nevertheless, decentralisation created significant disadvantages. To begin with, the incomplete surveillance capacity affected early detection; regional differences in testing criteria, case definition and frequency of reporting hampered national situational awareness (Garcia de Basteiro et al., 2020). Second, the nature of political tensions between the central government and regional authorities, especially Madrid, also blocked the introduction of restrictions, and this element has also led to the uneven communication with the population (Erkoreka, 2022). Third, inequalities in hospital resources and public-health capacity further expanded mortality and strain in </w:t>
      </w:r>
      <w:r w:rsidR="009164EB" w:rsidRPr="002A53F7">
        <w:rPr>
          <w:rFonts w:ascii="Arial" w:hAnsi="Arial" w:cs="Arial"/>
        </w:rPr>
        <w:t xml:space="preserve">the </w:t>
      </w:r>
      <w:r w:rsidRPr="002A53F7">
        <w:rPr>
          <w:rFonts w:ascii="Arial" w:hAnsi="Arial" w:cs="Arial"/>
        </w:rPr>
        <w:t>intensive-care unit (ICU). Areas that had chronically low systems of public-health systems were unable to keep up with the demand, highlighting the weaknesses of decentralisation in the absence of a strong na</w:t>
      </w:r>
      <w:r w:rsidR="000B5CA6" w:rsidRPr="002A53F7">
        <w:rPr>
          <w:rFonts w:ascii="Arial" w:hAnsi="Arial" w:cs="Arial"/>
        </w:rPr>
        <w:t xml:space="preserve">tional support (Vampa, 2021).  </w:t>
      </w:r>
    </w:p>
    <w:p w14:paraId="0D868A96" w14:textId="77777777" w:rsidR="00EC2159" w:rsidRPr="002A53F7" w:rsidRDefault="00EC2159" w:rsidP="002A53F7">
      <w:pPr>
        <w:spacing w:line="360" w:lineRule="auto"/>
        <w:jc w:val="both"/>
        <w:rPr>
          <w:rFonts w:ascii="Arial" w:hAnsi="Arial" w:cs="Arial"/>
          <w:i/>
        </w:rPr>
      </w:pPr>
      <w:r w:rsidRPr="002A53F7">
        <w:rPr>
          <w:rFonts w:ascii="Arial" w:hAnsi="Arial" w:cs="Arial"/>
          <w:i/>
        </w:rPr>
        <w:t>Outcomes and lessons learned</w:t>
      </w:r>
    </w:p>
    <w:p w14:paraId="7D7F5F66" w14:textId="34CA4F90" w:rsidR="006A4A8A" w:rsidRPr="002A53F7" w:rsidRDefault="006A4A8A" w:rsidP="002A53F7">
      <w:pPr>
        <w:spacing w:line="360" w:lineRule="auto"/>
        <w:jc w:val="both"/>
        <w:rPr>
          <w:rFonts w:ascii="Arial" w:hAnsi="Arial" w:cs="Arial"/>
        </w:rPr>
      </w:pPr>
      <w:r w:rsidRPr="002A53F7">
        <w:rPr>
          <w:rFonts w:ascii="Arial" w:hAnsi="Arial" w:cs="Arial"/>
        </w:rPr>
        <w:t xml:space="preserve">Spain experienced </w:t>
      </w:r>
      <w:r w:rsidR="009164EB" w:rsidRPr="002A53F7">
        <w:rPr>
          <w:rFonts w:ascii="Arial" w:hAnsi="Arial" w:cs="Arial"/>
        </w:rPr>
        <w:t>one</w:t>
      </w:r>
      <w:r w:rsidRPr="002A53F7">
        <w:rPr>
          <w:rFonts w:ascii="Arial" w:hAnsi="Arial" w:cs="Arial"/>
        </w:rPr>
        <w:t xml:space="preserve"> of the best death rates in Europe during the initial waves, particularly in long-term care facilities. These results were system fragmentation, lack of preparedness and lengthy political negotiation of competencies. However, later stages became much better: the introduction of vaccinations became very successful, surveillance networks became stronger, and ACs communicated better. Finally, </w:t>
      </w:r>
      <w:r w:rsidR="005659D7" w:rsidRPr="002A53F7">
        <w:rPr>
          <w:rFonts w:ascii="Arial" w:hAnsi="Arial" w:cs="Arial"/>
        </w:rPr>
        <w:t>the</w:t>
      </w:r>
      <w:r w:rsidRPr="002A53F7">
        <w:rPr>
          <w:rFonts w:ascii="Arial" w:hAnsi="Arial" w:cs="Arial"/>
        </w:rPr>
        <w:t xml:space="preserve"> experience of Spain shows that decentralisation may encourage flexible and context-specific </w:t>
      </w:r>
      <w:r w:rsidR="005659D7" w:rsidRPr="002A53F7">
        <w:rPr>
          <w:rFonts w:ascii="Arial" w:hAnsi="Arial" w:cs="Arial"/>
        </w:rPr>
        <w:t>responses</w:t>
      </w:r>
      <w:r w:rsidRPr="002A53F7">
        <w:rPr>
          <w:rFonts w:ascii="Arial" w:hAnsi="Arial" w:cs="Arial"/>
        </w:rPr>
        <w:t xml:space="preserve"> but demand a strong national readiness, interoperable data infrastructure, and established crisis response mechanisms, which will avoid fragmentation in the </w:t>
      </w:r>
      <w:r w:rsidR="00323E02" w:rsidRPr="002A53F7">
        <w:rPr>
          <w:rFonts w:ascii="Arial" w:hAnsi="Arial" w:cs="Arial"/>
        </w:rPr>
        <w:t>emergency</w:t>
      </w:r>
      <w:r w:rsidRPr="002A53F7">
        <w:rPr>
          <w:rFonts w:ascii="Arial" w:hAnsi="Arial" w:cs="Arial"/>
        </w:rPr>
        <w:t xml:space="preserve"> (Otero</w:t>
      </w:r>
      <w:r w:rsidRPr="002A53F7">
        <w:rPr>
          <w:rFonts w:ascii="Cambria Math" w:hAnsi="Cambria Math" w:cs="Cambria Math"/>
        </w:rPr>
        <w:t>‑</w:t>
      </w:r>
      <w:r w:rsidRPr="002A53F7">
        <w:rPr>
          <w:rFonts w:ascii="Arial" w:hAnsi="Arial" w:cs="Arial"/>
        </w:rPr>
        <w:t xml:space="preserve">Garcia et al., 2023).  </w:t>
      </w:r>
    </w:p>
    <w:p w14:paraId="386F98FE" w14:textId="77777777" w:rsidR="00323DB8" w:rsidRPr="002A53F7" w:rsidRDefault="00323DB8" w:rsidP="002A53F7">
      <w:pPr>
        <w:spacing w:line="360" w:lineRule="auto"/>
        <w:jc w:val="both"/>
        <w:rPr>
          <w:rFonts w:ascii="Arial" w:hAnsi="Arial" w:cs="Arial"/>
        </w:rPr>
      </w:pPr>
    </w:p>
    <w:p w14:paraId="1A7BD421" w14:textId="77777777" w:rsidR="00EC2159" w:rsidRPr="002A53F7" w:rsidRDefault="00EC2159" w:rsidP="002A53F7">
      <w:pPr>
        <w:spacing w:line="360" w:lineRule="auto"/>
        <w:jc w:val="both"/>
        <w:rPr>
          <w:rFonts w:ascii="Arial" w:hAnsi="Arial" w:cs="Arial"/>
          <w:b/>
        </w:rPr>
      </w:pPr>
      <w:r w:rsidRPr="002A53F7">
        <w:rPr>
          <w:rFonts w:ascii="Arial" w:hAnsi="Arial" w:cs="Arial"/>
          <w:b/>
        </w:rPr>
        <w:t xml:space="preserve">South Korea: Healthcare Typology and COVID-19 Systems Approach </w:t>
      </w:r>
    </w:p>
    <w:p w14:paraId="1B85A412" w14:textId="77777777" w:rsidR="00EC2159" w:rsidRPr="002A53F7" w:rsidRDefault="00EC2159" w:rsidP="002A53F7">
      <w:pPr>
        <w:spacing w:line="360" w:lineRule="auto"/>
        <w:jc w:val="both"/>
        <w:rPr>
          <w:rFonts w:ascii="Arial" w:hAnsi="Arial" w:cs="Arial"/>
          <w:i/>
        </w:rPr>
      </w:pPr>
      <w:r w:rsidRPr="002A53F7">
        <w:rPr>
          <w:rFonts w:ascii="Arial" w:hAnsi="Arial" w:cs="Arial"/>
          <w:i/>
        </w:rPr>
        <w:t>Healthcare typology</w:t>
      </w:r>
    </w:p>
    <w:p w14:paraId="70F41536" w14:textId="16B2E373" w:rsidR="006A4A8A" w:rsidRPr="002A53F7" w:rsidRDefault="006A4A8A" w:rsidP="002A53F7">
      <w:pPr>
        <w:spacing w:line="360" w:lineRule="auto"/>
        <w:jc w:val="both"/>
        <w:rPr>
          <w:rFonts w:ascii="Arial" w:hAnsi="Arial" w:cs="Arial"/>
        </w:rPr>
      </w:pPr>
      <w:r w:rsidRPr="002A53F7">
        <w:rPr>
          <w:rFonts w:ascii="Arial" w:hAnsi="Arial" w:cs="Arial"/>
        </w:rPr>
        <w:t>The health system in South Korea is a hybrid system that incorporates a national health insurance scheme</w:t>
      </w:r>
      <w:r w:rsidR="005659D7" w:rsidRPr="002A53F7">
        <w:rPr>
          <w:rFonts w:ascii="Arial" w:hAnsi="Arial" w:cs="Arial"/>
        </w:rPr>
        <w:t>,</w:t>
      </w:r>
      <w:r w:rsidRPr="002A53F7">
        <w:rPr>
          <w:rFonts w:ascii="Arial" w:hAnsi="Arial" w:cs="Arial"/>
        </w:rPr>
        <w:t xml:space="preserve"> which is mandatory</w:t>
      </w:r>
      <w:r w:rsidR="005659D7" w:rsidRPr="002A53F7">
        <w:rPr>
          <w:rFonts w:ascii="Arial" w:hAnsi="Arial" w:cs="Arial"/>
        </w:rPr>
        <w:t>,</w:t>
      </w:r>
      <w:r w:rsidRPr="002A53F7">
        <w:rPr>
          <w:rFonts w:ascii="Arial" w:hAnsi="Arial" w:cs="Arial"/>
        </w:rPr>
        <w:t xml:space="preserve"> with health care providers that are mostly privately operated. However, the system of public health is very centralised, regulated by the Ministry of Health and Welfare (MOHW) and the Korea Disease Control and Prevention Agency (KDCA). The experience of the 2015 MERS outbreak encouraged major changes in legislation that gave the KDCA increased competence in the areas of </w:t>
      </w:r>
      <w:r w:rsidR="005659D7" w:rsidRPr="002A53F7">
        <w:rPr>
          <w:rFonts w:ascii="Arial" w:hAnsi="Arial" w:cs="Arial"/>
        </w:rPr>
        <w:t>infectious disease</w:t>
      </w:r>
      <w:r w:rsidRPr="002A53F7">
        <w:rPr>
          <w:rFonts w:ascii="Arial" w:hAnsi="Arial" w:cs="Arial"/>
        </w:rPr>
        <w:t xml:space="preserve"> surveillance, data access, and emergency response (Kim, 2020). These reforms created strong laboratory networks, digital infrastructure, and coordination capacity centralisation</w:t>
      </w:r>
      <w:r w:rsidR="005659D7" w:rsidRPr="002A53F7">
        <w:rPr>
          <w:rFonts w:ascii="Arial" w:hAnsi="Arial" w:cs="Arial"/>
        </w:rPr>
        <w:t>,</w:t>
      </w:r>
      <w:r w:rsidRPr="002A53F7">
        <w:rPr>
          <w:rFonts w:ascii="Arial" w:hAnsi="Arial" w:cs="Arial"/>
        </w:rPr>
        <w:t xml:space="preserve"> whic</w:t>
      </w:r>
      <w:r w:rsidR="000B5CA6" w:rsidRPr="002A53F7">
        <w:rPr>
          <w:rFonts w:ascii="Arial" w:hAnsi="Arial" w:cs="Arial"/>
        </w:rPr>
        <w:t xml:space="preserve">h became central in COVID-19.  </w:t>
      </w:r>
    </w:p>
    <w:p w14:paraId="5EDEAE2E" w14:textId="77777777" w:rsidR="00EC2159" w:rsidRPr="002A53F7" w:rsidRDefault="00EC2159" w:rsidP="002A53F7">
      <w:pPr>
        <w:spacing w:line="360" w:lineRule="auto"/>
        <w:jc w:val="both"/>
        <w:rPr>
          <w:rFonts w:ascii="Arial" w:hAnsi="Arial" w:cs="Arial"/>
          <w:i/>
        </w:rPr>
      </w:pPr>
      <w:r w:rsidRPr="002A53F7">
        <w:rPr>
          <w:rFonts w:ascii="Arial" w:hAnsi="Arial" w:cs="Arial"/>
          <w:i/>
        </w:rPr>
        <w:t>Early pandemic response</w:t>
      </w:r>
    </w:p>
    <w:p w14:paraId="1FCCF467" w14:textId="73008616" w:rsidR="006A4A8A" w:rsidRPr="002A53F7" w:rsidRDefault="006A4A8A" w:rsidP="002A53F7">
      <w:pPr>
        <w:spacing w:line="360" w:lineRule="auto"/>
        <w:jc w:val="both"/>
        <w:rPr>
          <w:rFonts w:ascii="Arial" w:hAnsi="Arial" w:cs="Arial"/>
        </w:rPr>
      </w:pPr>
      <w:r w:rsidRPr="002A53F7">
        <w:rPr>
          <w:rFonts w:ascii="Arial" w:hAnsi="Arial" w:cs="Arial"/>
        </w:rPr>
        <w:t>South Korea has been faced with an early outbreak</w:t>
      </w:r>
      <w:r w:rsidR="005659D7" w:rsidRPr="002A53F7">
        <w:rPr>
          <w:rFonts w:ascii="Arial" w:hAnsi="Arial" w:cs="Arial"/>
        </w:rPr>
        <w:t>,</w:t>
      </w:r>
      <w:r w:rsidRPr="002A53F7">
        <w:rPr>
          <w:rFonts w:ascii="Arial" w:hAnsi="Arial" w:cs="Arial"/>
        </w:rPr>
        <w:t xml:space="preserve"> which has been associated with the religious organisation Shincheonji in Daegu. The KDCA adopted a test-trace-isolate (TTI) strategy that was aggressive, instead of implementing nationwide lockdowns. PCR was rapidly scaled by the government using drive-through and walk-through centres, which were able to collect high-volume and low-risk </w:t>
      </w:r>
      <w:r w:rsidR="00323E02" w:rsidRPr="002A53F7">
        <w:rPr>
          <w:rFonts w:ascii="Arial" w:hAnsi="Arial" w:cs="Arial"/>
        </w:rPr>
        <w:t>specimens</w:t>
      </w:r>
      <w:r w:rsidRPr="002A53F7">
        <w:rPr>
          <w:rFonts w:ascii="Arial" w:hAnsi="Arial" w:cs="Arial"/>
        </w:rPr>
        <w:t xml:space="preserve"> (Kwon et al., 2020). Accelerated partnerships between government and industry produced </w:t>
      </w:r>
      <w:r w:rsidR="00323E02" w:rsidRPr="002A53F7">
        <w:rPr>
          <w:rFonts w:ascii="Arial" w:hAnsi="Arial" w:cs="Arial"/>
        </w:rPr>
        <w:t>test kits</w:t>
      </w:r>
      <w:r w:rsidRPr="002A53F7">
        <w:rPr>
          <w:rFonts w:ascii="Arial" w:hAnsi="Arial" w:cs="Arial"/>
        </w:rPr>
        <w:t xml:space="preserve"> faster. Credit-card records, mobile telephones, and CCTV footage were legally accessed to reassemble the case movements, which would make it easy to identify contacts in a short period (Park et al., 2020). This strategy provided the ability to make targeted quarantines and </w:t>
      </w:r>
      <w:r w:rsidR="00323E02" w:rsidRPr="002A53F7">
        <w:rPr>
          <w:rFonts w:ascii="Arial" w:hAnsi="Arial" w:cs="Arial"/>
        </w:rPr>
        <w:t>avoid</w:t>
      </w:r>
      <w:r w:rsidRPr="002A53F7">
        <w:rPr>
          <w:rFonts w:ascii="Arial" w:hAnsi="Arial" w:cs="Arial"/>
        </w:rPr>
        <w:t xml:space="preserve"> mass clo</w:t>
      </w:r>
      <w:r w:rsidR="000B5CA6" w:rsidRPr="002A53F7">
        <w:rPr>
          <w:rFonts w:ascii="Arial" w:hAnsi="Arial" w:cs="Arial"/>
        </w:rPr>
        <w:t xml:space="preserve">sures during the first waves.  </w:t>
      </w:r>
    </w:p>
    <w:p w14:paraId="14C8D728" w14:textId="767B3906" w:rsidR="00EC2159" w:rsidRPr="002A53F7" w:rsidRDefault="00EC2159" w:rsidP="002A53F7">
      <w:pPr>
        <w:spacing w:line="360" w:lineRule="auto"/>
        <w:jc w:val="both"/>
        <w:rPr>
          <w:rFonts w:ascii="Arial" w:hAnsi="Arial" w:cs="Arial"/>
          <w:i/>
        </w:rPr>
      </w:pPr>
      <w:r w:rsidRPr="002A53F7">
        <w:rPr>
          <w:rFonts w:ascii="Arial" w:hAnsi="Arial" w:cs="Arial"/>
          <w:i/>
        </w:rPr>
        <w:t xml:space="preserve">Centralised and decentralised systems </w:t>
      </w:r>
      <w:r w:rsidR="002C5D70" w:rsidRPr="002A53F7">
        <w:rPr>
          <w:rFonts w:ascii="Arial" w:hAnsi="Arial" w:cs="Arial"/>
          <w:i/>
        </w:rPr>
        <w:t>approach</w:t>
      </w:r>
    </w:p>
    <w:p w14:paraId="77F2D4CC" w14:textId="77777777" w:rsidR="00EC2159" w:rsidRPr="002A53F7" w:rsidRDefault="00EC2159" w:rsidP="002A53F7">
      <w:pPr>
        <w:spacing w:line="360" w:lineRule="auto"/>
        <w:jc w:val="both"/>
        <w:rPr>
          <w:rFonts w:ascii="Arial" w:hAnsi="Arial" w:cs="Arial"/>
          <w:i/>
        </w:rPr>
      </w:pPr>
      <w:r w:rsidRPr="002A53F7">
        <w:rPr>
          <w:rFonts w:ascii="Arial" w:hAnsi="Arial" w:cs="Arial"/>
          <w:i/>
        </w:rPr>
        <w:t>Centralised elements</w:t>
      </w:r>
    </w:p>
    <w:p w14:paraId="39DA89F3" w14:textId="0DD9689B" w:rsidR="000B5CA6" w:rsidRPr="002A53F7" w:rsidRDefault="006A4A8A" w:rsidP="002A53F7">
      <w:pPr>
        <w:spacing w:line="360" w:lineRule="auto"/>
        <w:jc w:val="both"/>
        <w:rPr>
          <w:rFonts w:ascii="Arial" w:hAnsi="Arial" w:cs="Arial"/>
        </w:rPr>
      </w:pPr>
      <w:r w:rsidRPr="002A53F7">
        <w:rPr>
          <w:rFonts w:ascii="Arial" w:hAnsi="Arial" w:cs="Arial"/>
        </w:rPr>
        <w:t>There was a high level of centralisation in the response to the pandemic in South Korea. The KDCA stipulated national testing, tracing policies, quarantine policies, and communication policies. Real-time data was availed by national dashboards, and PPE and medical supplies purchase</w:t>
      </w:r>
      <w:r w:rsidR="00323DB8" w:rsidRPr="002A53F7">
        <w:rPr>
          <w:rFonts w:ascii="Arial" w:hAnsi="Arial" w:cs="Arial"/>
        </w:rPr>
        <w:t xml:space="preserve"> </w:t>
      </w:r>
      <w:r w:rsidRPr="002A53F7">
        <w:rPr>
          <w:rFonts w:ascii="Arial" w:hAnsi="Arial" w:cs="Arial"/>
        </w:rPr>
        <w:t>was organised at the federal level (Oh et al., 2020).</w:t>
      </w:r>
      <w:r w:rsidR="00323DB8" w:rsidRPr="002A53F7">
        <w:rPr>
          <w:rFonts w:ascii="Arial" w:hAnsi="Arial" w:cs="Arial"/>
        </w:rPr>
        <w:br/>
      </w:r>
    </w:p>
    <w:p w14:paraId="0FEB023A" w14:textId="77777777" w:rsidR="007C6CA3" w:rsidRPr="002A53F7" w:rsidRDefault="007C6CA3" w:rsidP="002A53F7">
      <w:pPr>
        <w:spacing w:line="360" w:lineRule="auto"/>
        <w:jc w:val="both"/>
        <w:rPr>
          <w:rFonts w:ascii="Arial" w:hAnsi="Arial" w:cs="Arial"/>
          <w:i/>
        </w:rPr>
      </w:pPr>
      <w:r w:rsidRPr="002A53F7">
        <w:rPr>
          <w:rFonts w:ascii="Arial" w:hAnsi="Arial" w:cs="Arial"/>
          <w:i/>
        </w:rPr>
        <w:t>Decentralised elements</w:t>
      </w:r>
    </w:p>
    <w:p w14:paraId="45C12178" w14:textId="23204FC2" w:rsidR="00EC2159" w:rsidRPr="002A53F7" w:rsidRDefault="00EC2159" w:rsidP="002A53F7">
      <w:pPr>
        <w:spacing w:line="360" w:lineRule="auto"/>
        <w:jc w:val="both"/>
        <w:rPr>
          <w:rFonts w:ascii="Arial" w:hAnsi="Arial" w:cs="Arial"/>
        </w:rPr>
      </w:pPr>
      <w:r w:rsidRPr="002A53F7">
        <w:rPr>
          <w:rFonts w:ascii="Arial" w:hAnsi="Arial" w:cs="Arial"/>
        </w:rPr>
        <w:t xml:space="preserve">The </w:t>
      </w:r>
      <w:r w:rsidR="00323E02" w:rsidRPr="002A53F7">
        <w:rPr>
          <w:rFonts w:ascii="Arial" w:hAnsi="Arial" w:cs="Arial"/>
        </w:rPr>
        <w:t>practice</w:t>
      </w:r>
      <w:r w:rsidRPr="002A53F7">
        <w:rPr>
          <w:rFonts w:ascii="Arial" w:hAnsi="Arial" w:cs="Arial"/>
        </w:rPr>
        <w:t xml:space="preserve"> of COVID-19 testing, tracing, and quarantine was implemented at municipal health centres. The local governments had the power to make localised distancing rules</w:t>
      </w:r>
      <w:r w:rsidR="00323E02" w:rsidRPr="002A53F7">
        <w:rPr>
          <w:rFonts w:ascii="Arial" w:hAnsi="Arial" w:cs="Arial"/>
        </w:rPr>
        <w:t>;</w:t>
      </w:r>
      <w:r w:rsidRPr="002A53F7">
        <w:rPr>
          <w:rFonts w:ascii="Arial" w:hAnsi="Arial" w:cs="Arial"/>
        </w:rPr>
        <w:t xml:space="preserve"> however, these rules were aligned with national rules. The central command system was strong and created coherence, whereas operational agility was maintained by the local actors.</w:t>
      </w:r>
    </w:p>
    <w:p w14:paraId="1D2DCD7D" w14:textId="77777777" w:rsidR="000B5CA6" w:rsidRPr="002A53F7" w:rsidRDefault="00EC2159" w:rsidP="002A53F7">
      <w:pPr>
        <w:spacing w:line="360" w:lineRule="auto"/>
        <w:jc w:val="both"/>
        <w:rPr>
          <w:rFonts w:ascii="Arial" w:hAnsi="Arial" w:cs="Arial"/>
          <w:i/>
        </w:rPr>
      </w:pPr>
      <w:r w:rsidRPr="002A53F7">
        <w:rPr>
          <w:rFonts w:ascii="Arial" w:hAnsi="Arial" w:cs="Arial"/>
          <w:i/>
        </w:rPr>
        <w:t>Advantages of the Korean systems approach</w:t>
      </w:r>
    </w:p>
    <w:p w14:paraId="01310689" w14:textId="4FC450A1" w:rsidR="000B5CA6" w:rsidRPr="002A53F7" w:rsidRDefault="00EC2159" w:rsidP="002A53F7">
      <w:pPr>
        <w:spacing w:line="360" w:lineRule="auto"/>
        <w:jc w:val="both"/>
        <w:rPr>
          <w:rFonts w:ascii="Arial" w:hAnsi="Arial" w:cs="Arial"/>
        </w:rPr>
      </w:pPr>
      <w:r w:rsidRPr="002A53F7">
        <w:rPr>
          <w:rFonts w:ascii="Arial" w:hAnsi="Arial" w:cs="Arial"/>
        </w:rPr>
        <w:t xml:space="preserve">The Test-Trace-Isolate (TTI) model, which was centralised in Korea, had </w:t>
      </w:r>
      <w:r w:rsidR="00D1038D" w:rsidRPr="002A53F7">
        <w:rPr>
          <w:rFonts w:ascii="Arial" w:hAnsi="Arial" w:cs="Arial"/>
        </w:rPr>
        <w:t>a few</w:t>
      </w:r>
      <w:r w:rsidRPr="002A53F7">
        <w:rPr>
          <w:rFonts w:ascii="Arial" w:hAnsi="Arial" w:cs="Arial"/>
        </w:rPr>
        <w:t xml:space="preserve"> benefits conferred on it. First, the time between the development of symptoms and isolation was reduced due to rapid testing and tracing, which kept the transmission rates low during the initial waves (Shin et al., 2021). Second, the tracing systems were enhanced with digital data that led to the accurate identification of clusters, which was very effective in controlling superspreading events. Third, the high national coordination was used to guarantee that there were uniform guidelines throughout the </w:t>
      </w:r>
      <w:r w:rsidR="002C5D70" w:rsidRPr="002A53F7">
        <w:rPr>
          <w:rFonts w:ascii="Arial" w:hAnsi="Arial" w:cs="Arial"/>
        </w:rPr>
        <w:t>regions,</w:t>
      </w:r>
      <w:r w:rsidRPr="002A53F7">
        <w:rPr>
          <w:rFonts w:ascii="Arial" w:hAnsi="Arial" w:cs="Arial"/>
        </w:rPr>
        <w:t xml:space="preserve"> and this avoided the disparities that were witnessed in the more decentralised systems. Lastly, the public trusted that guidelines were followed as the Korea Disease Control and Prevention Agency (KDCA) communicated clearly and provided briefings </w:t>
      </w:r>
      <w:r w:rsidR="002C5D70" w:rsidRPr="002A53F7">
        <w:rPr>
          <w:rFonts w:ascii="Arial" w:hAnsi="Arial" w:cs="Arial"/>
        </w:rPr>
        <w:t>daily</w:t>
      </w:r>
      <w:r w:rsidRPr="002A53F7">
        <w:rPr>
          <w:rFonts w:ascii="Arial" w:hAnsi="Arial" w:cs="Arial"/>
        </w:rPr>
        <w:t xml:space="preserve"> so that the people had high trust (Kim, 2020).</w:t>
      </w:r>
    </w:p>
    <w:p w14:paraId="7F72A8B9" w14:textId="77777777" w:rsidR="00723E1B" w:rsidRPr="002A53F7" w:rsidRDefault="00EC2159" w:rsidP="002A53F7">
      <w:pPr>
        <w:spacing w:line="360" w:lineRule="auto"/>
        <w:jc w:val="both"/>
        <w:rPr>
          <w:rFonts w:ascii="Arial" w:hAnsi="Arial" w:cs="Arial"/>
          <w:i/>
        </w:rPr>
      </w:pPr>
      <w:r w:rsidRPr="002A53F7">
        <w:rPr>
          <w:rFonts w:ascii="Arial" w:hAnsi="Arial" w:cs="Arial"/>
          <w:i/>
        </w:rPr>
        <w:t>Disadvantages and challenges</w:t>
      </w:r>
    </w:p>
    <w:p w14:paraId="124F4E9F" w14:textId="6CF4762F" w:rsidR="003E0BCA" w:rsidRPr="002A53F7" w:rsidRDefault="00EC2159" w:rsidP="002A53F7">
      <w:pPr>
        <w:spacing w:line="360" w:lineRule="auto"/>
        <w:jc w:val="both"/>
        <w:rPr>
          <w:rFonts w:ascii="Arial" w:hAnsi="Arial" w:cs="Arial"/>
        </w:rPr>
      </w:pPr>
      <w:r w:rsidRPr="002A53F7">
        <w:rPr>
          <w:rFonts w:ascii="Arial" w:hAnsi="Arial" w:cs="Arial"/>
        </w:rPr>
        <w:t>Despite its success, the model used in Korea had shortcomings. The usage of personal information in the tracing resulted in ethical issues of privacy and possible stigma that have led to a discussion of proportionality and limits of surveillance (Park et al., 2020). The process was labour-based</w:t>
      </w:r>
      <w:r w:rsidR="00D1038D" w:rsidRPr="002A53F7">
        <w:rPr>
          <w:rFonts w:ascii="Arial" w:hAnsi="Arial" w:cs="Arial"/>
        </w:rPr>
        <w:t>,</w:t>
      </w:r>
      <w:r w:rsidRPr="002A53F7">
        <w:rPr>
          <w:rFonts w:ascii="Arial" w:hAnsi="Arial" w:cs="Arial"/>
        </w:rPr>
        <w:t xml:space="preserve"> and long waves led to workforce burnout and operational stress (Lee &amp; Kim, 2022). With unusually high caseloads during the Omicron surge, it was </w:t>
      </w:r>
      <w:r w:rsidR="00D1038D" w:rsidRPr="002A53F7">
        <w:rPr>
          <w:rFonts w:ascii="Arial" w:hAnsi="Arial" w:cs="Arial"/>
        </w:rPr>
        <w:t>proven</w:t>
      </w:r>
      <w:r w:rsidRPr="002A53F7">
        <w:rPr>
          <w:rFonts w:ascii="Arial" w:hAnsi="Arial" w:cs="Arial"/>
        </w:rPr>
        <w:t xml:space="preserve"> that even effective TTI systems have limits that are not accompanied by other effective interventions like vaccination and adjusted distancing policies (Ryu et al., 2020). Small enterprises complained about inconsistent limitations on </w:t>
      </w:r>
      <w:r w:rsidR="00D1038D" w:rsidRPr="002A53F7">
        <w:rPr>
          <w:rFonts w:ascii="Arial" w:hAnsi="Arial" w:cs="Arial"/>
        </w:rPr>
        <w:t>a</w:t>
      </w:r>
      <w:r w:rsidRPr="002A53F7">
        <w:rPr>
          <w:rFonts w:ascii="Arial" w:hAnsi="Arial" w:cs="Arial"/>
        </w:rPr>
        <w:t xml:space="preserve"> local basis, too, but it was not as harsh as exten</w:t>
      </w:r>
      <w:r w:rsidR="00480792" w:rsidRPr="002A53F7">
        <w:rPr>
          <w:rFonts w:ascii="Arial" w:hAnsi="Arial" w:cs="Arial"/>
        </w:rPr>
        <w:t>ded lockdowns in other nations.</w:t>
      </w:r>
    </w:p>
    <w:p w14:paraId="1A50496F" w14:textId="77777777" w:rsidR="00EC2159" w:rsidRPr="002A53F7" w:rsidRDefault="00EC2159" w:rsidP="002A53F7">
      <w:pPr>
        <w:spacing w:line="360" w:lineRule="auto"/>
        <w:jc w:val="both"/>
        <w:rPr>
          <w:rFonts w:ascii="Arial" w:hAnsi="Arial" w:cs="Arial"/>
          <w:i/>
        </w:rPr>
      </w:pPr>
      <w:r w:rsidRPr="002A53F7">
        <w:rPr>
          <w:rFonts w:ascii="Arial" w:hAnsi="Arial" w:cs="Arial"/>
          <w:i/>
        </w:rPr>
        <w:t>Outcomes and lessons learned</w:t>
      </w:r>
    </w:p>
    <w:p w14:paraId="151DD629" w14:textId="04874A56" w:rsidR="00EC2159" w:rsidRPr="002A53F7" w:rsidRDefault="00EC2159" w:rsidP="002A53F7">
      <w:pPr>
        <w:spacing w:line="360" w:lineRule="auto"/>
        <w:jc w:val="both"/>
        <w:rPr>
          <w:rFonts w:ascii="Arial" w:hAnsi="Arial" w:cs="Arial"/>
        </w:rPr>
      </w:pPr>
      <w:r w:rsidRPr="002A53F7">
        <w:rPr>
          <w:rFonts w:ascii="Arial" w:hAnsi="Arial" w:cs="Arial"/>
        </w:rPr>
        <w:t xml:space="preserve">In 2020 - 2021, South Korea registered relatively low mortality rates compared to most OECD members. Its fast testing, tracing and early isolation strategy was effective in suppressing early outbreaks and avoiding widespread lockdowns (Oh et al., 2020). Despite the overcapacity in later waves, Korea responded to the situation by implementing tiered distancing, </w:t>
      </w:r>
      <w:r w:rsidR="00991DCB" w:rsidRPr="002A53F7">
        <w:rPr>
          <w:rFonts w:ascii="Arial" w:hAnsi="Arial" w:cs="Arial"/>
        </w:rPr>
        <w:t>increasing</w:t>
      </w:r>
      <w:r w:rsidRPr="002A53F7">
        <w:rPr>
          <w:rFonts w:ascii="Arial" w:hAnsi="Arial" w:cs="Arial"/>
        </w:rPr>
        <w:t xml:space="preserve"> vaccination, and </w:t>
      </w:r>
      <w:r w:rsidR="00991DCB" w:rsidRPr="002A53F7">
        <w:rPr>
          <w:rFonts w:ascii="Arial" w:hAnsi="Arial" w:cs="Arial"/>
        </w:rPr>
        <w:t>improving</w:t>
      </w:r>
      <w:r w:rsidRPr="002A53F7">
        <w:rPr>
          <w:rFonts w:ascii="Arial" w:hAnsi="Arial" w:cs="Arial"/>
        </w:rPr>
        <w:t xml:space="preserve"> risk communication. The most important lessons include the importance of legal preparedness, investment in digital infrastructure, and effective leadership in the country. However, data privacy and </w:t>
      </w:r>
      <w:r w:rsidR="00991DCB" w:rsidRPr="002A53F7">
        <w:rPr>
          <w:rFonts w:ascii="Arial" w:hAnsi="Arial" w:cs="Arial"/>
        </w:rPr>
        <w:t xml:space="preserve">a </w:t>
      </w:r>
      <w:r w:rsidRPr="002A53F7">
        <w:rPr>
          <w:rFonts w:ascii="Arial" w:hAnsi="Arial" w:cs="Arial"/>
        </w:rPr>
        <w:t>sustainable workforce for the benefit of public health also need to be safeguarded as a means of long-term resilience (Shin et al., 2021).</w:t>
      </w:r>
    </w:p>
    <w:p w14:paraId="34AD9288" w14:textId="77777777" w:rsidR="00EC2159" w:rsidRPr="002A53F7" w:rsidRDefault="00EC2159" w:rsidP="002A53F7">
      <w:pPr>
        <w:spacing w:line="360" w:lineRule="auto"/>
        <w:jc w:val="both"/>
        <w:rPr>
          <w:rFonts w:ascii="Arial" w:hAnsi="Arial" w:cs="Arial"/>
        </w:rPr>
      </w:pPr>
    </w:p>
    <w:p w14:paraId="01DB3AD1" w14:textId="77777777" w:rsidR="00EC2159" w:rsidRPr="002A53F7" w:rsidRDefault="00EC2159" w:rsidP="002A53F7">
      <w:pPr>
        <w:spacing w:line="360" w:lineRule="auto"/>
        <w:jc w:val="both"/>
        <w:rPr>
          <w:rFonts w:ascii="Arial" w:hAnsi="Arial" w:cs="Arial"/>
          <w:b/>
        </w:rPr>
      </w:pPr>
      <w:r w:rsidRPr="002A53F7">
        <w:rPr>
          <w:rFonts w:ascii="Arial" w:hAnsi="Arial" w:cs="Arial"/>
          <w:b/>
        </w:rPr>
        <w:t xml:space="preserve">Leadership Analysis: Spain </w:t>
      </w:r>
    </w:p>
    <w:p w14:paraId="526C0D96" w14:textId="77777777" w:rsidR="00EC2159" w:rsidRPr="002A53F7" w:rsidRDefault="00EC2159" w:rsidP="002A53F7">
      <w:pPr>
        <w:spacing w:line="360" w:lineRule="auto"/>
        <w:jc w:val="both"/>
        <w:rPr>
          <w:rFonts w:ascii="Arial" w:hAnsi="Arial" w:cs="Arial"/>
          <w:i/>
        </w:rPr>
      </w:pPr>
      <w:r w:rsidRPr="002A53F7">
        <w:rPr>
          <w:rFonts w:ascii="Arial" w:hAnsi="Arial" w:cs="Arial"/>
          <w:i/>
        </w:rPr>
        <w:t>Overview of leadership context</w:t>
      </w:r>
    </w:p>
    <w:p w14:paraId="7418AE2F" w14:textId="615E5793" w:rsidR="00723E1B" w:rsidRPr="002A53F7" w:rsidRDefault="00EC2159" w:rsidP="002A53F7">
      <w:pPr>
        <w:spacing w:line="360" w:lineRule="auto"/>
        <w:jc w:val="both"/>
        <w:rPr>
          <w:rFonts w:ascii="Arial" w:hAnsi="Arial" w:cs="Arial"/>
        </w:rPr>
      </w:pPr>
      <w:r w:rsidRPr="002A53F7">
        <w:rPr>
          <w:rFonts w:ascii="Arial" w:hAnsi="Arial" w:cs="Arial"/>
        </w:rPr>
        <w:t>The leadership of the response to COVID-19 in Spain occurred in a highly decentralised Spanish political system, where the national government and the 17 autonomous communities (ACs) shared the responsibility. The central Authority was held by Prime Minister Pedro Sánchez and the central Ministry of Health, and regional presidents and public-health directors had a lot of freedom. It has put a complicated leadership environment</w:t>
      </w:r>
      <w:r w:rsidR="00991DCB" w:rsidRPr="002A53F7">
        <w:rPr>
          <w:rFonts w:ascii="Arial" w:hAnsi="Arial" w:cs="Arial"/>
        </w:rPr>
        <w:t>,</w:t>
      </w:r>
      <w:r w:rsidRPr="002A53F7">
        <w:rPr>
          <w:rFonts w:ascii="Arial" w:hAnsi="Arial" w:cs="Arial"/>
        </w:rPr>
        <w:t xml:space="preserve"> often defined by negotiation and political tension. The researchers assume the hybrid political-technical nature of the leadership model that defined the pace and unity of the Spanish response</w:t>
      </w:r>
      <w:r w:rsidR="00480792" w:rsidRPr="002A53F7">
        <w:rPr>
          <w:rFonts w:ascii="Arial" w:hAnsi="Arial" w:cs="Arial"/>
        </w:rPr>
        <w:t xml:space="preserve"> to the pandemic (Valle, 2021).</w:t>
      </w:r>
    </w:p>
    <w:p w14:paraId="55DC9658" w14:textId="608F4A0D" w:rsidR="00EC2159" w:rsidRPr="002A53F7" w:rsidRDefault="00EC2159" w:rsidP="002A53F7">
      <w:pPr>
        <w:spacing w:line="360" w:lineRule="auto"/>
        <w:jc w:val="both"/>
        <w:rPr>
          <w:rFonts w:ascii="Arial" w:hAnsi="Arial" w:cs="Arial"/>
          <w:i/>
        </w:rPr>
      </w:pPr>
      <w:r w:rsidRPr="002A53F7">
        <w:rPr>
          <w:rFonts w:ascii="Arial" w:hAnsi="Arial" w:cs="Arial"/>
          <w:i/>
        </w:rPr>
        <w:t>National leadership: political coordination and crisis communication</w:t>
      </w:r>
    </w:p>
    <w:p w14:paraId="0A80A1E3" w14:textId="63A4EB3E" w:rsidR="00EC2159" w:rsidRPr="002A53F7" w:rsidRDefault="00EC2159" w:rsidP="002A53F7">
      <w:pPr>
        <w:spacing w:line="360" w:lineRule="auto"/>
        <w:jc w:val="both"/>
        <w:rPr>
          <w:rFonts w:ascii="Arial" w:hAnsi="Arial" w:cs="Arial"/>
        </w:rPr>
      </w:pPr>
      <w:r w:rsidRPr="002A53F7">
        <w:rPr>
          <w:rFonts w:ascii="Arial" w:hAnsi="Arial" w:cs="Arial"/>
        </w:rPr>
        <w:t xml:space="preserve">Sánchez used a centralising and directive style of leadership when the first wave quickly </w:t>
      </w:r>
      <w:r w:rsidR="00991DCB" w:rsidRPr="002A53F7">
        <w:rPr>
          <w:rFonts w:ascii="Arial" w:hAnsi="Arial" w:cs="Arial"/>
        </w:rPr>
        <w:t xml:space="preserve">emerged </w:t>
      </w:r>
      <w:r w:rsidRPr="002A53F7">
        <w:rPr>
          <w:rFonts w:ascii="Arial" w:hAnsi="Arial" w:cs="Arial"/>
        </w:rPr>
        <w:t>in March 2020, when he invoked the constitutional stipulation of a state of alarm to temporarily hand over pandemic powers on the federal level. The reason behind this measure was to put uniform restrictions and reduce the fragmentation of the regions. The move, although decisive, was controversial</w:t>
      </w:r>
      <w:r w:rsidR="00991DCB" w:rsidRPr="002A53F7">
        <w:rPr>
          <w:rFonts w:ascii="Arial" w:hAnsi="Arial" w:cs="Arial"/>
        </w:rPr>
        <w:t>,</w:t>
      </w:r>
      <w:r w:rsidRPr="002A53F7">
        <w:rPr>
          <w:rFonts w:ascii="Arial" w:hAnsi="Arial" w:cs="Arial"/>
        </w:rPr>
        <w:t xml:space="preserve"> especially in Madrid and Catalonia</w:t>
      </w:r>
      <w:r w:rsidR="00991DCB" w:rsidRPr="002A53F7">
        <w:rPr>
          <w:rFonts w:ascii="Arial" w:hAnsi="Arial" w:cs="Arial"/>
        </w:rPr>
        <w:t>,</w:t>
      </w:r>
      <w:r w:rsidRPr="002A53F7">
        <w:rPr>
          <w:rFonts w:ascii="Arial" w:hAnsi="Arial" w:cs="Arial"/>
        </w:rPr>
        <w:t xml:space="preserve"> where the regional leaders denounced the centralisation as being politically instigated. It has been shown that initial national communication was not consistent, and changes in the message related to mask use, testing, and travelling policy led to confusion </w:t>
      </w:r>
      <w:r w:rsidR="00991DCB" w:rsidRPr="002A53F7">
        <w:rPr>
          <w:rFonts w:ascii="Arial" w:hAnsi="Arial" w:cs="Arial"/>
        </w:rPr>
        <w:t>among</w:t>
      </w:r>
      <w:r w:rsidRPr="002A53F7">
        <w:rPr>
          <w:rFonts w:ascii="Arial" w:hAnsi="Arial" w:cs="Arial"/>
        </w:rPr>
        <w:t xml:space="preserve"> people (Garcia-Basteiro et al., 2020).  </w:t>
      </w:r>
    </w:p>
    <w:p w14:paraId="1423A135" w14:textId="77777777" w:rsidR="00EC2159" w:rsidRPr="002A53F7" w:rsidRDefault="00EC2159" w:rsidP="002A53F7">
      <w:pPr>
        <w:spacing w:line="360" w:lineRule="auto"/>
        <w:jc w:val="both"/>
        <w:rPr>
          <w:rFonts w:ascii="Arial" w:hAnsi="Arial" w:cs="Arial"/>
          <w:i/>
        </w:rPr>
      </w:pPr>
      <w:r w:rsidRPr="002A53F7">
        <w:rPr>
          <w:rFonts w:ascii="Arial" w:hAnsi="Arial" w:cs="Arial"/>
          <w:i/>
        </w:rPr>
        <w:t>Regional leadership: heterogeneity and political influence</w:t>
      </w:r>
    </w:p>
    <w:p w14:paraId="35EC3C1B" w14:textId="68AE8CDF" w:rsidR="00EC2159" w:rsidRPr="002A53F7" w:rsidRDefault="00EC2159" w:rsidP="002A53F7">
      <w:pPr>
        <w:spacing w:line="360" w:lineRule="auto"/>
        <w:jc w:val="both"/>
        <w:rPr>
          <w:rFonts w:ascii="Arial" w:hAnsi="Arial" w:cs="Arial"/>
        </w:rPr>
      </w:pPr>
      <w:r w:rsidRPr="002A53F7">
        <w:rPr>
          <w:rFonts w:ascii="Arial" w:hAnsi="Arial" w:cs="Arial"/>
        </w:rPr>
        <w:t>The regional presidents assumed great powers and particularly following June 2020</w:t>
      </w:r>
      <w:r w:rsidR="00991DCB" w:rsidRPr="002A53F7">
        <w:rPr>
          <w:rFonts w:ascii="Arial" w:hAnsi="Arial" w:cs="Arial"/>
        </w:rPr>
        <w:t>,</w:t>
      </w:r>
      <w:r w:rsidRPr="002A53F7">
        <w:rPr>
          <w:rFonts w:ascii="Arial" w:hAnsi="Arial" w:cs="Arial"/>
        </w:rPr>
        <w:t xml:space="preserve"> when the process of decentralisation was reinstated. This would lead to divergent leadership styles:  </w:t>
      </w:r>
    </w:p>
    <w:p w14:paraId="42CAA715" w14:textId="0B9267D7" w:rsidR="00EC2159" w:rsidRPr="002A53F7" w:rsidRDefault="00EC2159" w:rsidP="002A53F7">
      <w:pPr>
        <w:spacing w:line="360" w:lineRule="auto"/>
        <w:jc w:val="both"/>
        <w:rPr>
          <w:rFonts w:ascii="Arial" w:hAnsi="Arial" w:cs="Arial"/>
        </w:rPr>
      </w:pPr>
      <w:r w:rsidRPr="002A53F7">
        <w:rPr>
          <w:rFonts w:ascii="Arial" w:hAnsi="Arial" w:cs="Arial"/>
        </w:rPr>
        <w:t xml:space="preserve">Proactive areas (e.g., Galicia, </w:t>
      </w:r>
      <w:r w:rsidR="00991DCB" w:rsidRPr="002A53F7">
        <w:rPr>
          <w:rFonts w:ascii="Arial" w:hAnsi="Arial" w:cs="Arial"/>
        </w:rPr>
        <w:t xml:space="preserve">the </w:t>
      </w:r>
      <w:r w:rsidRPr="002A53F7">
        <w:rPr>
          <w:rFonts w:ascii="Arial" w:hAnsi="Arial" w:cs="Arial"/>
        </w:rPr>
        <w:t xml:space="preserve">Basque </w:t>
      </w:r>
      <w:r w:rsidR="00991DCB" w:rsidRPr="002A53F7">
        <w:rPr>
          <w:rFonts w:ascii="Arial" w:hAnsi="Arial" w:cs="Arial"/>
        </w:rPr>
        <w:t>Country</w:t>
      </w:r>
      <w:r w:rsidRPr="002A53F7">
        <w:rPr>
          <w:rFonts w:ascii="Arial" w:hAnsi="Arial" w:cs="Arial"/>
        </w:rPr>
        <w:t xml:space="preserve">) had a vast </w:t>
      </w:r>
      <w:r w:rsidR="002C5D70" w:rsidRPr="002A53F7">
        <w:rPr>
          <w:rFonts w:ascii="Arial" w:hAnsi="Arial" w:cs="Arial"/>
        </w:rPr>
        <w:t>number</w:t>
      </w:r>
      <w:r w:rsidRPr="002A53F7">
        <w:rPr>
          <w:rFonts w:ascii="Arial" w:hAnsi="Arial" w:cs="Arial"/>
        </w:rPr>
        <w:t xml:space="preserve"> of technical specialists and early restrictions, as well as a high level of trust among the population (Otero-Garcia et al., 2023).  </w:t>
      </w:r>
    </w:p>
    <w:p w14:paraId="07CD20F5" w14:textId="7C72B2CD" w:rsidR="00723E1B" w:rsidRPr="002A53F7" w:rsidRDefault="00EC2159" w:rsidP="002A53F7">
      <w:pPr>
        <w:spacing w:line="360" w:lineRule="auto"/>
        <w:jc w:val="both"/>
        <w:rPr>
          <w:rFonts w:ascii="Arial" w:hAnsi="Arial" w:cs="Arial"/>
        </w:rPr>
      </w:pPr>
      <w:r w:rsidRPr="002A53F7">
        <w:rPr>
          <w:rFonts w:ascii="Arial" w:hAnsi="Arial" w:cs="Arial"/>
        </w:rPr>
        <w:t xml:space="preserve">More politicised or slower responses were found in Madrid, where the decision of the leadership tended to go against the recommendations of the nation. Scholarly commentaries suggest that inter-regional and inter-national leadership strife diminished policy and coherence and led to increased lethality in early waves (Vampa, 2021).  </w:t>
      </w:r>
    </w:p>
    <w:p w14:paraId="7C6A9BF9" w14:textId="75783CC1" w:rsidR="00723E1B" w:rsidRPr="002A53F7" w:rsidRDefault="00EC2159" w:rsidP="002A53F7">
      <w:pPr>
        <w:spacing w:line="360" w:lineRule="auto"/>
        <w:jc w:val="both"/>
        <w:rPr>
          <w:rFonts w:ascii="Arial" w:hAnsi="Arial" w:cs="Arial"/>
        </w:rPr>
      </w:pPr>
      <w:r w:rsidRPr="002A53F7">
        <w:rPr>
          <w:rFonts w:ascii="Arial" w:hAnsi="Arial" w:cs="Arial"/>
        </w:rPr>
        <w:t>This division of leadership was a symptom of Spanish political polarisation more generally and influenced when restrictions, communications, and long-term care protection were offered.</w:t>
      </w:r>
    </w:p>
    <w:p w14:paraId="215F9578" w14:textId="77777777" w:rsidR="00253A25" w:rsidRPr="002A53F7" w:rsidRDefault="00253A25" w:rsidP="002A53F7">
      <w:pPr>
        <w:spacing w:line="360" w:lineRule="auto"/>
        <w:jc w:val="both"/>
        <w:rPr>
          <w:rFonts w:ascii="Arial" w:hAnsi="Arial" w:cs="Arial"/>
          <w:i/>
        </w:rPr>
      </w:pPr>
      <w:r w:rsidRPr="002A53F7">
        <w:rPr>
          <w:rFonts w:ascii="Arial" w:hAnsi="Arial" w:cs="Arial"/>
          <w:i/>
        </w:rPr>
        <w:t>Leadership style</w:t>
      </w:r>
    </w:p>
    <w:p w14:paraId="20BFB578" w14:textId="29CFBBAD" w:rsidR="00D31E75" w:rsidRPr="002A53F7" w:rsidRDefault="00D31E75" w:rsidP="002A53F7">
      <w:pPr>
        <w:spacing w:line="360" w:lineRule="auto"/>
        <w:jc w:val="both"/>
        <w:rPr>
          <w:rFonts w:ascii="Arial" w:hAnsi="Arial" w:cs="Arial"/>
        </w:rPr>
      </w:pPr>
      <w:r w:rsidRPr="002A53F7">
        <w:rPr>
          <w:rFonts w:ascii="Arial" w:hAnsi="Arial" w:cs="Arial"/>
        </w:rPr>
        <w:t>Spanish leadership adapted both autocratic and democratic (depending on the stage of the pandemic) during the COVID-19 pandemic. During the first wave, the central government assumed a more autocratic position by declaring the state of alarm and centralising the power, therefore, making quick and consistent decisions. This plan gave it the benefit of time and decisiveness, which is necessary in the case of a crisis. Nonetheless, the disadvantages were a decrease in stakeholder participation and political opposition of regional governments, which felt disempowered (Valle, 2021). Leadership became democratic-oriented after power was re-decentralised into the autonomous communities, as the leaders of the regions were involved in participative decision making. This not only led to customised interventions but also created more fragmentation, unequal restrictions and confusion to the people. Thus, the experience in Spain confirms the available literature showing that autocratic leadership in crisis can make one more decisive at the expense of collaboration, and democratic leadership can promote buy-ins but can slow down responsiveness (Ansell et al., 2021).</w:t>
      </w:r>
    </w:p>
    <w:p w14:paraId="5B1E4A00" w14:textId="77777777" w:rsidR="00723E1B" w:rsidRPr="002A53F7" w:rsidRDefault="00CF548D" w:rsidP="002A53F7">
      <w:pPr>
        <w:spacing w:line="360" w:lineRule="auto"/>
        <w:jc w:val="both"/>
        <w:rPr>
          <w:rFonts w:ascii="Arial" w:hAnsi="Arial" w:cs="Arial"/>
          <w:i/>
        </w:rPr>
      </w:pPr>
      <w:r w:rsidRPr="002A53F7">
        <w:rPr>
          <w:rFonts w:ascii="Arial" w:hAnsi="Arial" w:cs="Arial"/>
          <w:i/>
        </w:rPr>
        <w:t>Centralised vs. decentralised leadership dynamics</w:t>
      </w:r>
    </w:p>
    <w:p w14:paraId="66C3CB63" w14:textId="3E6B3C2C" w:rsidR="00723E1B" w:rsidRPr="002A53F7" w:rsidRDefault="00EC2159" w:rsidP="002A53F7">
      <w:pPr>
        <w:spacing w:line="360" w:lineRule="auto"/>
        <w:jc w:val="both"/>
        <w:rPr>
          <w:rFonts w:ascii="Arial" w:hAnsi="Arial" w:cs="Arial"/>
        </w:rPr>
      </w:pPr>
      <w:r w:rsidRPr="002A53F7">
        <w:rPr>
          <w:rFonts w:ascii="Arial" w:hAnsi="Arial" w:cs="Arial"/>
        </w:rPr>
        <w:t xml:space="preserve">The main issues of leadership in Spain were the result of centralisation and decentralisation. The centralised </w:t>
      </w:r>
      <w:r w:rsidR="00C56144" w:rsidRPr="002A53F7">
        <w:rPr>
          <w:rFonts w:ascii="Arial" w:hAnsi="Arial" w:cs="Arial"/>
        </w:rPr>
        <w:t>state-of-alarm</w:t>
      </w:r>
      <w:r w:rsidRPr="002A53F7">
        <w:rPr>
          <w:rFonts w:ascii="Arial" w:hAnsi="Arial" w:cs="Arial"/>
        </w:rPr>
        <w:t xml:space="preserve"> period was transparent and </w:t>
      </w:r>
      <w:proofErr w:type="gramStart"/>
      <w:r w:rsidR="00BA7BFD" w:rsidRPr="002A53F7">
        <w:rPr>
          <w:rFonts w:ascii="Arial" w:hAnsi="Arial" w:cs="Arial"/>
        </w:rPr>
        <w:t>consistent, and</w:t>
      </w:r>
      <w:proofErr w:type="gramEnd"/>
      <w:r w:rsidRPr="002A53F7">
        <w:rPr>
          <w:rFonts w:ascii="Arial" w:hAnsi="Arial" w:cs="Arial"/>
        </w:rPr>
        <w:t xml:space="preserve"> yet created accusations of going too far. On the other hand, the decentralised times increased local control but led to unequal actions, as regions implemented different curfew policies, reopening hospitality policies, and test strategies. The effectiveness of leadership was usually based on intergovernmental cooperation, which was not very consistent. Although committees like the Interterritorial Council were designed to liaise in making decisions, research shows that politics often overshadowed technical advice (Erkoreka, 2022). Lack of predetermined emergency coordination procedures also affected cohesive leadership.</w:t>
      </w:r>
    </w:p>
    <w:p w14:paraId="69D50DDF" w14:textId="3A122FE2" w:rsidR="00723E1B" w:rsidRPr="002A53F7" w:rsidRDefault="00CF548D" w:rsidP="002A53F7">
      <w:pPr>
        <w:spacing w:line="360" w:lineRule="auto"/>
        <w:jc w:val="both"/>
        <w:rPr>
          <w:rFonts w:ascii="Arial" w:hAnsi="Arial" w:cs="Arial"/>
          <w:i/>
        </w:rPr>
      </w:pPr>
      <w:r w:rsidRPr="002A53F7">
        <w:rPr>
          <w:rFonts w:ascii="Arial" w:hAnsi="Arial" w:cs="Arial"/>
          <w:i/>
        </w:rPr>
        <w:t>Strengths of the Spanish leadership approach</w:t>
      </w:r>
    </w:p>
    <w:p w14:paraId="4E13E65E" w14:textId="77777777" w:rsidR="00723E1B" w:rsidRPr="002A53F7" w:rsidRDefault="00EC2159" w:rsidP="002A53F7">
      <w:pPr>
        <w:spacing w:line="360" w:lineRule="auto"/>
        <w:jc w:val="both"/>
        <w:rPr>
          <w:rFonts w:ascii="Arial" w:hAnsi="Arial" w:cs="Arial"/>
        </w:rPr>
      </w:pPr>
      <w:r w:rsidRPr="002A53F7">
        <w:rPr>
          <w:rFonts w:ascii="Arial" w:hAnsi="Arial" w:cs="Arial"/>
        </w:rPr>
        <w:t xml:space="preserve">Nevertheless, Spain had </w:t>
      </w:r>
      <w:r w:rsidR="00D44088" w:rsidRPr="002A53F7">
        <w:rPr>
          <w:rFonts w:ascii="Arial" w:hAnsi="Arial" w:cs="Arial"/>
        </w:rPr>
        <w:t>several</w:t>
      </w:r>
      <w:r w:rsidRPr="002A53F7">
        <w:rPr>
          <w:rFonts w:ascii="Arial" w:hAnsi="Arial" w:cs="Arial"/>
        </w:rPr>
        <w:t xml:space="preserve"> leadership strengths. High uptake rates were caused by the decisive purchase of vaccines by the central government and its explicit national vaccination programme in 2021. The leadership also became more effective with time, as the risk communication was more coherent, and stronger collaboration between technical and political actors was achieved. Some ACs showed effective local crisis management in their leaders based in the region, with interventions designed to fit the demographic and epidemiological facts on the ground (Otero-Garcia et al., 2023). Later stages of leadership focused on transparency by creating open data portals that increased trust among the people and allowed researchers to track the differences in regions.</w:t>
      </w:r>
    </w:p>
    <w:p w14:paraId="018A46AF" w14:textId="6B2A3A85" w:rsidR="000B5CA6" w:rsidRPr="002A53F7" w:rsidRDefault="00CF548D" w:rsidP="002A53F7">
      <w:pPr>
        <w:spacing w:line="360" w:lineRule="auto"/>
        <w:jc w:val="both"/>
        <w:rPr>
          <w:rFonts w:ascii="Arial" w:hAnsi="Arial" w:cs="Arial"/>
          <w:i/>
        </w:rPr>
      </w:pPr>
      <w:r w:rsidRPr="002A53F7">
        <w:rPr>
          <w:rFonts w:ascii="Arial" w:hAnsi="Arial" w:cs="Arial"/>
          <w:i/>
        </w:rPr>
        <w:t>Weaknesses and leadership failures</w:t>
      </w:r>
    </w:p>
    <w:p w14:paraId="30C65428" w14:textId="2D1B257A" w:rsidR="00EC2159" w:rsidRDefault="00EC2159" w:rsidP="002A53F7">
      <w:pPr>
        <w:spacing w:line="360" w:lineRule="auto"/>
        <w:jc w:val="both"/>
        <w:rPr>
          <w:rFonts w:ascii="Arial" w:hAnsi="Arial" w:cs="Arial"/>
        </w:rPr>
      </w:pPr>
      <w:r w:rsidRPr="002A53F7">
        <w:rPr>
          <w:rFonts w:ascii="Arial" w:hAnsi="Arial" w:cs="Arial"/>
        </w:rPr>
        <w:t xml:space="preserve">Weaknesses in leadership in Spain focused on the lateness in taking immediate action, uncoordinated communication, and political rivalry. Analysts claim that the politicisation of politics compromised the leadership of </w:t>
      </w:r>
      <w:r w:rsidR="00D44088" w:rsidRPr="002A53F7">
        <w:rPr>
          <w:rFonts w:ascii="Arial" w:hAnsi="Arial" w:cs="Arial"/>
        </w:rPr>
        <w:t>public health</w:t>
      </w:r>
      <w:r w:rsidRPr="002A53F7">
        <w:rPr>
          <w:rFonts w:ascii="Arial" w:hAnsi="Arial" w:cs="Arial"/>
        </w:rPr>
        <w:t xml:space="preserve"> and led to the inability to maintain consistent policies, especially in the second wave (Vampa, 2021). Long-term care leadership failures</w:t>
      </w:r>
      <w:r w:rsidR="00D44088" w:rsidRPr="002A53F7">
        <w:rPr>
          <w:rFonts w:ascii="Arial" w:hAnsi="Arial" w:cs="Arial"/>
        </w:rPr>
        <w:t>,</w:t>
      </w:r>
      <w:r w:rsidRPr="002A53F7">
        <w:rPr>
          <w:rFonts w:ascii="Arial" w:hAnsi="Arial" w:cs="Arial"/>
        </w:rPr>
        <w:t xml:space="preserve"> like poor staffing and delayed protective services</w:t>
      </w:r>
      <w:r w:rsidR="00D44088" w:rsidRPr="002A53F7">
        <w:rPr>
          <w:rFonts w:ascii="Arial" w:hAnsi="Arial" w:cs="Arial"/>
        </w:rPr>
        <w:t>,</w:t>
      </w:r>
      <w:r w:rsidRPr="002A53F7">
        <w:rPr>
          <w:rFonts w:ascii="Arial" w:hAnsi="Arial" w:cs="Arial"/>
        </w:rPr>
        <w:t xml:space="preserve"> were also key </w:t>
      </w:r>
      <w:r w:rsidR="00D44088" w:rsidRPr="002A53F7">
        <w:rPr>
          <w:rFonts w:ascii="Arial" w:hAnsi="Arial" w:cs="Arial"/>
        </w:rPr>
        <w:t>mortality factors</w:t>
      </w:r>
      <w:r w:rsidRPr="002A53F7">
        <w:rPr>
          <w:rFonts w:ascii="Arial" w:hAnsi="Arial" w:cs="Arial"/>
        </w:rPr>
        <w:t>. The other weakness was poor incorporation of scientific advisory bodies, which happened later in the pandemic</w:t>
      </w:r>
      <w:r w:rsidR="00D44088" w:rsidRPr="002A53F7">
        <w:rPr>
          <w:rFonts w:ascii="Arial" w:hAnsi="Arial" w:cs="Arial"/>
        </w:rPr>
        <w:t>;</w:t>
      </w:r>
      <w:r w:rsidRPr="002A53F7">
        <w:rPr>
          <w:rFonts w:ascii="Arial" w:hAnsi="Arial" w:cs="Arial"/>
        </w:rPr>
        <w:t xml:space="preserve"> expert panels got power only a long </w:t>
      </w:r>
      <w:r w:rsidR="00D44088" w:rsidRPr="002A53F7">
        <w:rPr>
          <w:rFonts w:ascii="Arial" w:hAnsi="Arial" w:cs="Arial"/>
        </w:rPr>
        <w:t>time and</w:t>
      </w:r>
      <w:r w:rsidRPr="002A53F7">
        <w:rPr>
          <w:rFonts w:ascii="Arial" w:hAnsi="Arial" w:cs="Arial"/>
        </w:rPr>
        <w:t xml:space="preserve"> thus </w:t>
      </w:r>
      <w:r w:rsidR="00D44088" w:rsidRPr="002A53F7">
        <w:rPr>
          <w:rFonts w:ascii="Arial" w:hAnsi="Arial" w:cs="Arial"/>
        </w:rPr>
        <w:t>denied</w:t>
      </w:r>
      <w:r w:rsidRPr="002A53F7">
        <w:rPr>
          <w:rFonts w:ascii="Arial" w:hAnsi="Arial" w:cs="Arial"/>
        </w:rPr>
        <w:t xml:space="preserve"> evidence-based leadership early opportunities.</w:t>
      </w:r>
    </w:p>
    <w:p w14:paraId="3A2ABB8E" w14:textId="77777777" w:rsidR="00C058F4" w:rsidRPr="002A53F7" w:rsidRDefault="00C058F4" w:rsidP="002A53F7">
      <w:pPr>
        <w:spacing w:line="360" w:lineRule="auto"/>
        <w:jc w:val="both"/>
        <w:rPr>
          <w:rFonts w:ascii="Arial" w:hAnsi="Arial" w:cs="Arial"/>
        </w:rPr>
      </w:pPr>
    </w:p>
    <w:p w14:paraId="4C570CB7" w14:textId="77777777" w:rsidR="00CF548D" w:rsidRPr="002A53F7" w:rsidRDefault="00CF548D" w:rsidP="002A53F7">
      <w:pPr>
        <w:spacing w:line="360" w:lineRule="auto"/>
        <w:jc w:val="both"/>
        <w:rPr>
          <w:rFonts w:ascii="Arial" w:hAnsi="Arial" w:cs="Arial"/>
          <w:i/>
        </w:rPr>
      </w:pPr>
      <w:r w:rsidRPr="002A53F7">
        <w:rPr>
          <w:rFonts w:ascii="Arial" w:hAnsi="Arial" w:cs="Arial"/>
          <w:i/>
        </w:rPr>
        <w:t>Overview of leadership context</w:t>
      </w:r>
    </w:p>
    <w:p w14:paraId="1ECE0D5F" w14:textId="72EE6984" w:rsidR="00CF548D" w:rsidRPr="002A53F7" w:rsidRDefault="00CF548D" w:rsidP="002A53F7">
      <w:pPr>
        <w:spacing w:line="360" w:lineRule="auto"/>
        <w:jc w:val="both"/>
        <w:rPr>
          <w:rFonts w:ascii="Arial" w:hAnsi="Arial" w:cs="Arial"/>
        </w:rPr>
      </w:pPr>
      <w:r w:rsidRPr="002A53F7">
        <w:rPr>
          <w:rFonts w:ascii="Arial" w:hAnsi="Arial" w:cs="Arial"/>
        </w:rPr>
        <w:t xml:space="preserve">The leadership of South Korea during the COVID-19 </w:t>
      </w:r>
      <w:r w:rsidR="00FB4CE2" w:rsidRPr="002A53F7">
        <w:rPr>
          <w:rFonts w:ascii="Arial" w:hAnsi="Arial" w:cs="Arial"/>
        </w:rPr>
        <w:t xml:space="preserve">pandemic </w:t>
      </w:r>
      <w:r w:rsidRPr="002A53F7">
        <w:rPr>
          <w:rFonts w:ascii="Arial" w:hAnsi="Arial" w:cs="Arial"/>
        </w:rPr>
        <w:t xml:space="preserve">was a result of </w:t>
      </w:r>
      <w:r w:rsidR="00FB4CE2" w:rsidRPr="002A53F7">
        <w:rPr>
          <w:rFonts w:ascii="Arial" w:hAnsi="Arial" w:cs="Arial"/>
        </w:rPr>
        <w:t xml:space="preserve">a </w:t>
      </w:r>
      <w:r w:rsidRPr="002A53F7">
        <w:rPr>
          <w:rFonts w:ascii="Arial" w:hAnsi="Arial" w:cs="Arial"/>
        </w:rPr>
        <w:t>very centralised system of governance by the public-health system</w:t>
      </w:r>
      <w:r w:rsidR="00FB4CE2" w:rsidRPr="002A53F7">
        <w:rPr>
          <w:rFonts w:ascii="Arial" w:hAnsi="Arial" w:cs="Arial"/>
        </w:rPr>
        <w:t>,</w:t>
      </w:r>
      <w:r w:rsidRPr="002A53F7">
        <w:rPr>
          <w:rFonts w:ascii="Arial" w:hAnsi="Arial" w:cs="Arial"/>
        </w:rPr>
        <w:t xml:space="preserve"> which was informed by the lessons learnt during the 2015 MERS outbreak. President Moon Jae-In, the Ministry of Health and Welfare, and the Korea Disease Control and Prevention Agency (KDCA) took centre stage. The reaction of South Korea is often applied as an example of the technocratic, transparent, and science-oriente</w:t>
      </w:r>
      <w:r w:rsidR="006E03EB" w:rsidRPr="002A53F7">
        <w:rPr>
          <w:rFonts w:ascii="Arial" w:hAnsi="Arial" w:cs="Arial"/>
        </w:rPr>
        <w:t>d leadership (Oh et al., 2020).</w:t>
      </w:r>
    </w:p>
    <w:p w14:paraId="61E3C35C" w14:textId="77777777" w:rsidR="00CF548D" w:rsidRPr="002A53F7" w:rsidRDefault="00CF548D" w:rsidP="002A53F7">
      <w:pPr>
        <w:spacing w:line="360" w:lineRule="auto"/>
        <w:jc w:val="both"/>
        <w:rPr>
          <w:rFonts w:ascii="Arial" w:hAnsi="Arial" w:cs="Arial"/>
          <w:i/>
        </w:rPr>
      </w:pPr>
      <w:r w:rsidRPr="002A53F7">
        <w:rPr>
          <w:rFonts w:ascii="Arial" w:hAnsi="Arial" w:cs="Arial"/>
          <w:i/>
        </w:rPr>
        <w:t>National political leadership</w:t>
      </w:r>
    </w:p>
    <w:p w14:paraId="79CA960E" w14:textId="77777777" w:rsidR="00CF548D" w:rsidRPr="002A53F7" w:rsidRDefault="00CF548D" w:rsidP="002A53F7">
      <w:pPr>
        <w:spacing w:line="360" w:lineRule="auto"/>
        <w:jc w:val="both"/>
        <w:rPr>
          <w:rFonts w:ascii="Arial" w:hAnsi="Arial" w:cs="Arial"/>
        </w:rPr>
      </w:pPr>
      <w:r w:rsidRPr="002A53F7">
        <w:rPr>
          <w:rFonts w:ascii="Arial" w:hAnsi="Arial" w:cs="Arial"/>
        </w:rPr>
        <w:t xml:space="preserve">The national political leadership is another aspect that deserves attention in this paper.  </w:t>
      </w:r>
    </w:p>
    <w:p w14:paraId="491A77FD" w14:textId="61B26D07" w:rsidR="00CF548D" w:rsidRPr="002A53F7" w:rsidRDefault="00CF548D" w:rsidP="002A53F7">
      <w:pPr>
        <w:spacing w:line="360" w:lineRule="auto"/>
        <w:jc w:val="both"/>
        <w:rPr>
          <w:rFonts w:ascii="Arial" w:hAnsi="Arial" w:cs="Arial"/>
        </w:rPr>
      </w:pPr>
      <w:r w:rsidRPr="002A53F7">
        <w:rPr>
          <w:rFonts w:ascii="Arial" w:hAnsi="Arial" w:cs="Arial"/>
        </w:rPr>
        <w:t xml:space="preserve">President Moon took the approach of an enabling and facilitative leader, allowing the health authorities to make decisions instead of having the presidency as the centre of </w:t>
      </w:r>
      <w:r w:rsidR="00FB4CE2" w:rsidRPr="002A53F7">
        <w:rPr>
          <w:rFonts w:ascii="Arial" w:hAnsi="Arial" w:cs="Arial"/>
        </w:rPr>
        <w:t>decision-making</w:t>
      </w:r>
      <w:r w:rsidRPr="002A53F7">
        <w:rPr>
          <w:rFonts w:ascii="Arial" w:hAnsi="Arial" w:cs="Arial"/>
        </w:rPr>
        <w:t>. Political leadership was mainly focused on making sure that there is mobilisation of resources, cross-ministry coordination and maintenance of the trust of people. The leadership of Moon insisted on clarity and avoided undermining the threat, hence keeping the compliance high. The approval ratings of the government among the population shifted higher in the first months of the pandemic, which is a rare occurrence in other</w:t>
      </w:r>
      <w:r w:rsidR="003E264E" w:rsidRPr="002A53F7">
        <w:rPr>
          <w:rFonts w:ascii="Arial" w:hAnsi="Arial" w:cs="Arial"/>
        </w:rPr>
        <w:t xml:space="preserve"> countries (Shin et al., 2021).</w:t>
      </w:r>
    </w:p>
    <w:p w14:paraId="177A1215" w14:textId="77777777" w:rsidR="00CF548D" w:rsidRPr="002A53F7" w:rsidRDefault="00CF548D" w:rsidP="002A53F7">
      <w:pPr>
        <w:spacing w:line="360" w:lineRule="auto"/>
        <w:jc w:val="both"/>
        <w:rPr>
          <w:rFonts w:ascii="Arial" w:hAnsi="Arial" w:cs="Arial"/>
          <w:i/>
        </w:rPr>
      </w:pPr>
      <w:r w:rsidRPr="002A53F7">
        <w:rPr>
          <w:rFonts w:ascii="Arial" w:hAnsi="Arial" w:cs="Arial"/>
          <w:i/>
        </w:rPr>
        <w:t>Technocratic leadership: KDCA and expert authority</w:t>
      </w:r>
    </w:p>
    <w:p w14:paraId="41147C0E" w14:textId="19701C00" w:rsidR="00CF548D" w:rsidRPr="002A53F7" w:rsidRDefault="00CF548D" w:rsidP="002A53F7">
      <w:pPr>
        <w:spacing w:line="360" w:lineRule="auto"/>
        <w:jc w:val="both"/>
        <w:rPr>
          <w:rFonts w:ascii="Arial" w:hAnsi="Arial" w:cs="Arial"/>
        </w:rPr>
      </w:pPr>
      <w:r w:rsidRPr="002A53F7">
        <w:rPr>
          <w:rFonts w:ascii="Arial" w:hAnsi="Arial" w:cs="Arial"/>
        </w:rPr>
        <w:t xml:space="preserve">The success of the South </w:t>
      </w:r>
      <w:r w:rsidR="00FB4CE2" w:rsidRPr="002A53F7">
        <w:rPr>
          <w:rFonts w:ascii="Arial" w:hAnsi="Arial" w:cs="Arial"/>
        </w:rPr>
        <w:t>Korean</w:t>
      </w:r>
      <w:r w:rsidRPr="002A53F7">
        <w:rPr>
          <w:rFonts w:ascii="Arial" w:hAnsi="Arial" w:cs="Arial"/>
        </w:rPr>
        <w:t xml:space="preserve"> leadership is based on the effective technocratic leadership within the country. Director of the KDCA Jeong Eun-kyung appeared in the spotlight of the response and held briefings </w:t>
      </w:r>
      <w:r w:rsidR="00C058F4" w:rsidRPr="002A53F7">
        <w:rPr>
          <w:rFonts w:ascii="Arial" w:hAnsi="Arial" w:cs="Arial"/>
        </w:rPr>
        <w:t>daily and</w:t>
      </w:r>
      <w:r w:rsidRPr="002A53F7">
        <w:rPr>
          <w:rFonts w:ascii="Arial" w:hAnsi="Arial" w:cs="Arial"/>
        </w:rPr>
        <w:t xml:space="preserve"> talked personally to citizens. Her leadership approach emphasised the scientific clarity, emotional calmness and explanations of tracing, testing and the level of risks. Research has shown that this expert-based leadership contributed to trust and allowed observing strict contact-tracing rules and quarantine (Park et al., 2020).  </w:t>
      </w:r>
    </w:p>
    <w:p w14:paraId="65BE09A9" w14:textId="1A8A31D9" w:rsidR="00CF548D" w:rsidRPr="002A53F7" w:rsidRDefault="00CF548D" w:rsidP="002A53F7">
      <w:pPr>
        <w:spacing w:line="360" w:lineRule="auto"/>
        <w:jc w:val="both"/>
        <w:rPr>
          <w:rFonts w:ascii="Arial" w:hAnsi="Arial" w:cs="Arial"/>
        </w:rPr>
      </w:pPr>
      <w:r w:rsidRPr="002A53F7">
        <w:rPr>
          <w:rFonts w:ascii="Arial" w:hAnsi="Arial" w:cs="Arial"/>
        </w:rPr>
        <w:t>The KDCA had a considerable degree of autonomy, organising the projects of testing, tracing algorithms and integration of digital data, as well as epidemiological modelling. The legislature and the executive mostly gave in to KDCA experts</w:t>
      </w:r>
      <w:r w:rsidR="00FB4CE2" w:rsidRPr="002A53F7">
        <w:rPr>
          <w:rFonts w:ascii="Arial" w:hAnsi="Arial" w:cs="Arial"/>
        </w:rPr>
        <w:t>,</w:t>
      </w:r>
      <w:r w:rsidRPr="002A53F7">
        <w:rPr>
          <w:rFonts w:ascii="Arial" w:hAnsi="Arial" w:cs="Arial"/>
        </w:rPr>
        <w:t xml:space="preserve"> hence minimising the level of political influe</w:t>
      </w:r>
      <w:r w:rsidR="003E264E" w:rsidRPr="002A53F7">
        <w:rPr>
          <w:rFonts w:ascii="Arial" w:hAnsi="Arial" w:cs="Arial"/>
        </w:rPr>
        <w:t>nce in the technical decisions.</w:t>
      </w:r>
    </w:p>
    <w:p w14:paraId="4F148496" w14:textId="77777777" w:rsidR="00253A25" w:rsidRPr="002A53F7" w:rsidRDefault="00253A25" w:rsidP="002A53F7">
      <w:pPr>
        <w:spacing w:line="360" w:lineRule="auto"/>
        <w:jc w:val="both"/>
        <w:rPr>
          <w:rFonts w:ascii="Arial" w:hAnsi="Arial" w:cs="Arial"/>
          <w:i/>
        </w:rPr>
      </w:pPr>
      <w:r w:rsidRPr="002A53F7">
        <w:rPr>
          <w:rFonts w:ascii="Arial" w:hAnsi="Arial" w:cs="Arial"/>
          <w:i/>
        </w:rPr>
        <w:t>Leadership style</w:t>
      </w:r>
    </w:p>
    <w:p w14:paraId="42A70E39" w14:textId="4C21FDDA" w:rsidR="00D31E75" w:rsidRPr="002A53F7" w:rsidRDefault="00D31E75" w:rsidP="002A53F7">
      <w:pPr>
        <w:spacing w:line="360" w:lineRule="auto"/>
        <w:jc w:val="both"/>
        <w:rPr>
          <w:rFonts w:ascii="Arial" w:hAnsi="Arial" w:cs="Arial"/>
        </w:rPr>
      </w:pPr>
      <w:r w:rsidRPr="002A53F7">
        <w:rPr>
          <w:rFonts w:ascii="Arial" w:hAnsi="Arial" w:cs="Arial"/>
        </w:rPr>
        <w:t>The South Korean leadership in the times of the COVID-19 pandemic was associated with the use of technocratic, transformational, and democratic aspects. KDCA and President Moon used a democratic style of leadership, which is characterised by transparency, consultation to people and expert advice. It is a style that favours trust among people, shared responsibility, and being voluntary, which is emphasised in the literature addressing crisis-leadership (Shin et al., 2021). The emergency operations of the KDCA were also autocratic in terms of evicting emergency testing, tracing, and quarantine measures quickly. Although this boldness was effective in managing the spread, it brought about some disadvantages of ethical issues, privacy, and lack of involvement of the citizen in decisions. The combination of democratic communication and autocratic enforcement allowed South Korea to remain legit and efficient in its reaction.</w:t>
      </w:r>
    </w:p>
    <w:p w14:paraId="468596A6" w14:textId="77777777" w:rsidR="00CF548D" w:rsidRPr="002A53F7" w:rsidRDefault="00CF548D" w:rsidP="002A53F7">
      <w:pPr>
        <w:spacing w:line="360" w:lineRule="auto"/>
        <w:jc w:val="both"/>
        <w:rPr>
          <w:rFonts w:ascii="Arial" w:hAnsi="Arial" w:cs="Arial"/>
          <w:i/>
        </w:rPr>
      </w:pPr>
      <w:r w:rsidRPr="002A53F7">
        <w:rPr>
          <w:rFonts w:ascii="Arial" w:hAnsi="Arial" w:cs="Arial"/>
          <w:i/>
        </w:rPr>
        <w:t>Centralisation and coordination</w:t>
      </w:r>
    </w:p>
    <w:p w14:paraId="0DF13A9F" w14:textId="55F3F7E3" w:rsidR="00CF548D" w:rsidRPr="002A53F7" w:rsidRDefault="00CF548D" w:rsidP="002A53F7">
      <w:pPr>
        <w:spacing w:line="360" w:lineRule="auto"/>
        <w:jc w:val="both"/>
        <w:rPr>
          <w:rFonts w:ascii="Arial" w:hAnsi="Arial" w:cs="Arial"/>
        </w:rPr>
      </w:pPr>
      <w:r w:rsidRPr="002A53F7">
        <w:rPr>
          <w:rFonts w:ascii="Arial" w:hAnsi="Arial" w:cs="Arial"/>
        </w:rPr>
        <w:t xml:space="preserve">The highly centralised form of South Korea helped it to take rapid and unified measures in leadership. The availability of tests, guidance on tracing, administration of quarantine and information-sharing regulations were dictated by national authorities. These measures were used in </w:t>
      </w:r>
      <w:r w:rsidR="00FB4CE2" w:rsidRPr="002A53F7">
        <w:rPr>
          <w:rFonts w:ascii="Arial" w:hAnsi="Arial" w:cs="Arial"/>
        </w:rPr>
        <w:t>practice</w:t>
      </w:r>
      <w:r w:rsidRPr="002A53F7">
        <w:rPr>
          <w:rFonts w:ascii="Arial" w:hAnsi="Arial" w:cs="Arial"/>
        </w:rPr>
        <w:t xml:space="preserve"> by local governments, and the flow of leadership was in the same direction, through central agencies (Oh et al., 2020).  </w:t>
      </w:r>
    </w:p>
    <w:p w14:paraId="325B9951" w14:textId="07ABC371" w:rsidR="00CF548D" w:rsidRPr="002A53F7" w:rsidRDefault="00CF548D" w:rsidP="002A53F7">
      <w:pPr>
        <w:spacing w:line="360" w:lineRule="auto"/>
        <w:jc w:val="both"/>
        <w:rPr>
          <w:rFonts w:ascii="Arial" w:hAnsi="Arial" w:cs="Arial"/>
        </w:rPr>
      </w:pPr>
      <w:r w:rsidRPr="002A53F7">
        <w:rPr>
          <w:rFonts w:ascii="Arial" w:hAnsi="Arial" w:cs="Arial"/>
        </w:rPr>
        <w:t>This centralised system of leadership prevented the inconsistency and delays of policies that had been witnessed in the decentralised countries. This was achieved through a national command structure that ensures standardised messaging, which researchers associate with more compliance and reduced behaviour</w:t>
      </w:r>
      <w:r w:rsidR="003E264E" w:rsidRPr="002A53F7">
        <w:rPr>
          <w:rFonts w:ascii="Arial" w:hAnsi="Arial" w:cs="Arial"/>
        </w:rPr>
        <w:t>al fatigue (Shin et al., 2021).</w:t>
      </w:r>
    </w:p>
    <w:p w14:paraId="7F159329" w14:textId="77777777" w:rsidR="00CF548D" w:rsidRPr="002A53F7" w:rsidRDefault="00CF548D" w:rsidP="002A53F7">
      <w:pPr>
        <w:spacing w:line="360" w:lineRule="auto"/>
        <w:jc w:val="both"/>
        <w:rPr>
          <w:rFonts w:ascii="Arial" w:hAnsi="Arial" w:cs="Arial"/>
          <w:i/>
        </w:rPr>
      </w:pPr>
      <w:r w:rsidRPr="002A53F7">
        <w:rPr>
          <w:rFonts w:ascii="Arial" w:hAnsi="Arial" w:cs="Arial"/>
          <w:i/>
        </w:rPr>
        <w:t>Communication strategies</w:t>
      </w:r>
    </w:p>
    <w:p w14:paraId="79BB8AD2" w14:textId="2075E599" w:rsidR="00CF548D" w:rsidRPr="002A53F7" w:rsidRDefault="00CF548D" w:rsidP="002A53F7">
      <w:pPr>
        <w:spacing w:line="360" w:lineRule="auto"/>
        <w:jc w:val="both"/>
        <w:rPr>
          <w:rFonts w:ascii="Arial" w:hAnsi="Arial" w:cs="Arial"/>
        </w:rPr>
      </w:pPr>
      <w:r w:rsidRPr="002A53F7">
        <w:rPr>
          <w:rFonts w:ascii="Arial" w:hAnsi="Arial" w:cs="Arial"/>
        </w:rPr>
        <w:t xml:space="preserve">It was a significant strength of leadership through communication. Briefings conducted by KDCA made real-time data available and clarified the decisions that led to the development of policies and gave early warnings about clusters. The level of message transparency was very high, as detailed movement histories of proven cases were being disclosed. This transparency, despite being attacked because of the risk of privacy, reinforced the vigilance of people (Park et al., 2020).  </w:t>
      </w:r>
    </w:p>
    <w:p w14:paraId="0563E04C" w14:textId="77777777" w:rsidR="00CF548D" w:rsidRPr="002A53F7" w:rsidRDefault="00CF548D" w:rsidP="002A53F7">
      <w:pPr>
        <w:spacing w:line="360" w:lineRule="auto"/>
        <w:jc w:val="both"/>
        <w:rPr>
          <w:rFonts w:ascii="Arial" w:hAnsi="Arial" w:cs="Arial"/>
          <w:i/>
        </w:rPr>
      </w:pPr>
      <w:r w:rsidRPr="002A53F7">
        <w:rPr>
          <w:rFonts w:ascii="Arial" w:hAnsi="Arial" w:cs="Arial"/>
          <w:i/>
        </w:rPr>
        <w:t>Leadership challenges and criticisms</w:t>
      </w:r>
    </w:p>
    <w:p w14:paraId="63A07B21" w14:textId="517AEF76" w:rsidR="00CF548D" w:rsidRPr="002A53F7" w:rsidRDefault="00CF548D" w:rsidP="002A53F7">
      <w:pPr>
        <w:spacing w:line="360" w:lineRule="auto"/>
        <w:jc w:val="both"/>
        <w:rPr>
          <w:rFonts w:ascii="Arial" w:hAnsi="Arial" w:cs="Arial"/>
        </w:rPr>
      </w:pPr>
      <w:r w:rsidRPr="002A53F7">
        <w:rPr>
          <w:rFonts w:ascii="Arial" w:hAnsi="Arial" w:cs="Arial"/>
        </w:rPr>
        <w:t xml:space="preserve">Even at its strength, the leadership in South Korea had </w:t>
      </w:r>
      <w:r w:rsidR="00805FEC" w:rsidRPr="002A53F7">
        <w:rPr>
          <w:rFonts w:ascii="Arial" w:hAnsi="Arial" w:cs="Arial"/>
        </w:rPr>
        <w:t>a few</w:t>
      </w:r>
      <w:r w:rsidRPr="002A53F7">
        <w:rPr>
          <w:rFonts w:ascii="Arial" w:hAnsi="Arial" w:cs="Arial"/>
        </w:rPr>
        <w:t xml:space="preserve"> issues. The electronic surveillance system created ethical issues on privacy, data retention and civil liberties. Although it was effective, it put the vulnerable groups through stigma. According to scholars, it needs much more ethical control to resolve rights in the crisis of the future (Kim, 2020).  </w:t>
      </w:r>
    </w:p>
    <w:p w14:paraId="1EA091AF" w14:textId="6A08AB83" w:rsidR="00CF548D" w:rsidRPr="002A53F7" w:rsidRDefault="00CF548D" w:rsidP="002A53F7">
      <w:pPr>
        <w:spacing w:line="360" w:lineRule="auto"/>
        <w:jc w:val="both"/>
        <w:rPr>
          <w:rFonts w:ascii="Arial" w:hAnsi="Arial" w:cs="Arial"/>
        </w:rPr>
      </w:pPr>
      <w:r w:rsidRPr="002A53F7">
        <w:rPr>
          <w:rFonts w:ascii="Arial" w:hAnsi="Arial" w:cs="Arial"/>
        </w:rPr>
        <w:t xml:space="preserve">The other challenge was workforce fatigue. The pressure of tracing and testing resulted in burnout of the staff in the field of </w:t>
      </w:r>
      <w:r w:rsidR="00805FEC" w:rsidRPr="002A53F7">
        <w:rPr>
          <w:rFonts w:ascii="Arial" w:hAnsi="Arial" w:cs="Arial"/>
        </w:rPr>
        <w:t>public health</w:t>
      </w:r>
      <w:r w:rsidRPr="002A53F7">
        <w:rPr>
          <w:rFonts w:ascii="Arial" w:hAnsi="Arial" w:cs="Arial"/>
        </w:rPr>
        <w:t xml:space="preserve">, and the gap </w:t>
      </w:r>
      <w:r w:rsidR="00805FEC" w:rsidRPr="002A53F7">
        <w:rPr>
          <w:rFonts w:ascii="Arial" w:hAnsi="Arial" w:cs="Arial"/>
        </w:rPr>
        <w:t>in</w:t>
      </w:r>
      <w:r w:rsidRPr="002A53F7">
        <w:rPr>
          <w:rFonts w:ascii="Arial" w:hAnsi="Arial" w:cs="Arial"/>
        </w:rPr>
        <w:t xml:space="preserve"> leadership was shown to be a shortcoming in long-term workforce planning (Lee and Kim, 2022). </w:t>
      </w:r>
      <w:r w:rsidR="00805FEC" w:rsidRPr="002A53F7">
        <w:rPr>
          <w:rFonts w:ascii="Arial" w:hAnsi="Arial" w:cs="Arial"/>
        </w:rPr>
        <w:t>Afterwards</w:t>
      </w:r>
      <w:r w:rsidRPr="002A53F7">
        <w:rPr>
          <w:rFonts w:ascii="Arial" w:hAnsi="Arial" w:cs="Arial"/>
        </w:rPr>
        <w:t xml:space="preserve">, the waves called upon the need of more political engagement because the TTI strategy was no longer enough when the caseloads reached the Omicron level.  </w:t>
      </w:r>
    </w:p>
    <w:p w14:paraId="7128360E" w14:textId="77777777" w:rsidR="00E65A3F" w:rsidRPr="002A53F7" w:rsidRDefault="00E65A3F" w:rsidP="002A53F7">
      <w:pPr>
        <w:spacing w:line="360" w:lineRule="auto"/>
        <w:jc w:val="both"/>
        <w:rPr>
          <w:rFonts w:ascii="Arial" w:hAnsi="Arial" w:cs="Arial"/>
          <w:b/>
        </w:rPr>
      </w:pPr>
      <w:r w:rsidRPr="002A53F7">
        <w:rPr>
          <w:rFonts w:ascii="Arial" w:hAnsi="Arial" w:cs="Arial"/>
          <w:b/>
        </w:rPr>
        <w:t xml:space="preserve">Leadership Analysis: Canada </w:t>
      </w:r>
    </w:p>
    <w:p w14:paraId="54CB81F6" w14:textId="77777777" w:rsidR="000B5CA6" w:rsidRPr="002A53F7" w:rsidRDefault="00E65A3F" w:rsidP="002A53F7">
      <w:pPr>
        <w:spacing w:line="360" w:lineRule="auto"/>
        <w:jc w:val="both"/>
        <w:rPr>
          <w:rFonts w:ascii="Arial" w:hAnsi="Arial" w:cs="Arial"/>
          <w:i/>
        </w:rPr>
      </w:pPr>
      <w:r w:rsidRPr="002A53F7">
        <w:rPr>
          <w:rFonts w:ascii="Arial" w:hAnsi="Arial" w:cs="Arial"/>
          <w:i/>
        </w:rPr>
        <w:t>Federal leadership: coordination, communication and strategic direction</w:t>
      </w:r>
    </w:p>
    <w:p w14:paraId="6E4DC72F" w14:textId="20254CFC" w:rsidR="00CF548D" w:rsidRPr="002A53F7" w:rsidRDefault="00CF548D" w:rsidP="002A53F7">
      <w:pPr>
        <w:spacing w:line="360" w:lineRule="auto"/>
        <w:jc w:val="both"/>
        <w:rPr>
          <w:rFonts w:ascii="Arial" w:hAnsi="Arial" w:cs="Arial"/>
        </w:rPr>
      </w:pPr>
      <w:r w:rsidRPr="002A53F7">
        <w:rPr>
          <w:rFonts w:ascii="Arial" w:hAnsi="Arial" w:cs="Arial"/>
        </w:rPr>
        <w:t xml:space="preserve">Prime Minister Justin Trudeau took a collaborative and communicative leadership style, which puts a priority on national unity, empathy, and the impact of scientific evidence. His administration put into place massive economic relief measures, organised national travel bans and took all the responsibility of buying vaccines. The briefings made by Trudeau every day throughout the initial months of the pandemic played a significant symbolic purpose, as they were intended to stabilise the population among the population and foster obedience. Research records quite elevated levels of social trust in federal leadership at initial phases, which is associated with consistency in the message and clear recognition of scientific </w:t>
      </w:r>
      <w:r w:rsidR="003E264E" w:rsidRPr="002A53F7">
        <w:rPr>
          <w:rFonts w:ascii="Arial" w:hAnsi="Arial" w:cs="Arial"/>
        </w:rPr>
        <w:t xml:space="preserve">doubt (Merkley et al., 2021).  </w:t>
      </w:r>
    </w:p>
    <w:p w14:paraId="38DF37B5" w14:textId="77777777" w:rsidR="00CF548D" w:rsidRPr="002A53F7" w:rsidRDefault="00CF548D" w:rsidP="002A53F7">
      <w:pPr>
        <w:spacing w:line="360" w:lineRule="auto"/>
        <w:jc w:val="both"/>
        <w:rPr>
          <w:rFonts w:ascii="Arial" w:hAnsi="Arial" w:cs="Arial"/>
          <w:i/>
        </w:rPr>
      </w:pPr>
      <w:r w:rsidRPr="002A53F7">
        <w:rPr>
          <w:rFonts w:ascii="Arial" w:hAnsi="Arial" w:cs="Arial"/>
          <w:i/>
        </w:rPr>
        <w:t xml:space="preserve">Federal-level Technical Leadership.  </w:t>
      </w:r>
    </w:p>
    <w:p w14:paraId="61A4D219" w14:textId="1E9BE3CE" w:rsidR="00CF548D" w:rsidRPr="002A53F7" w:rsidRDefault="00CF548D" w:rsidP="002A53F7">
      <w:pPr>
        <w:spacing w:line="360" w:lineRule="auto"/>
        <w:jc w:val="both"/>
        <w:rPr>
          <w:rFonts w:ascii="Arial" w:hAnsi="Arial" w:cs="Arial"/>
        </w:rPr>
      </w:pPr>
      <w:r w:rsidRPr="002A53F7">
        <w:rPr>
          <w:rFonts w:ascii="Arial" w:hAnsi="Arial" w:cs="Arial"/>
        </w:rPr>
        <w:t xml:space="preserve">PHAC conducted technical leadership at the federal level under the leadership of Chief Public Health Officer, Dr. Theresa Tam. Tam was a conservative and evidence-based technocratic leader. Her messages have been inconsistent during the beginning, as initially, she was criticised due to changes in her guidance on masks and travel—based on the fluctuating international evidence and shortages of PPEs, however, her messages became more uniform as the evidence stabilised. The studies also reveal that the federal government policy of using the position of the public-health experts as the centre of national communication enhanced the legitimacy of federal leadership in the long run </w:t>
      </w:r>
      <w:r w:rsidR="003E264E" w:rsidRPr="002A53F7">
        <w:rPr>
          <w:rFonts w:ascii="Arial" w:hAnsi="Arial" w:cs="Arial"/>
        </w:rPr>
        <w:t>(Maher and Van Rensburg, 2022).</w:t>
      </w:r>
    </w:p>
    <w:p w14:paraId="0B1CFA27" w14:textId="77777777" w:rsidR="007632D9" w:rsidRPr="002A53F7" w:rsidRDefault="007632D9" w:rsidP="002A53F7">
      <w:pPr>
        <w:spacing w:line="360" w:lineRule="auto"/>
        <w:jc w:val="both"/>
        <w:rPr>
          <w:rFonts w:ascii="Arial" w:hAnsi="Arial" w:cs="Arial"/>
          <w:i/>
        </w:rPr>
      </w:pPr>
      <w:r w:rsidRPr="002A53F7">
        <w:rPr>
          <w:rFonts w:ascii="Arial" w:hAnsi="Arial" w:cs="Arial"/>
          <w:i/>
        </w:rPr>
        <w:t>Provincial leadership: heterogeneity and political dynamics</w:t>
      </w:r>
    </w:p>
    <w:p w14:paraId="71B56150" w14:textId="02914644" w:rsidR="00E65A3F" w:rsidRPr="002A53F7" w:rsidRDefault="00E65A3F" w:rsidP="002A53F7">
      <w:pPr>
        <w:spacing w:line="360" w:lineRule="auto"/>
        <w:jc w:val="both"/>
        <w:rPr>
          <w:rFonts w:ascii="Arial" w:hAnsi="Arial" w:cs="Arial"/>
        </w:rPr>
      </w:pPr>
      <w:r w:rsidRPr="002A53F7">
        <w:rPr>
          <w:rFonts w:ascii="Arial" w:hAnsi="Arial" w:cs="Arial"/>
        </w:rPr>
        <w:t xml:space="preserve">The provincial leaders had received considerable power during the pandemic, which created </w:t>
      </w:r>
      <w:r w:rsidR="007A6BE3" w:rsidRPr="002A53F7">
        <w:rPr>
          <w:rFonts w:ascii="Arial" w:hAnsi="Arial" w:cs="Arial"/>
        </w:rPr>
        <w:t xml:space="preserve">a </w:t>
      </w:r>
      <w:r w:rsidRPr="002A53F7">
        <w:rPr>
          <w:rFonts w:ascii="Arial" w:hAnsi="Arial" w:cs="Arial"/>
        </w:rPr>
        <w:t xml:space="preserve">leadership that was significantly different in Canada. These differences had a strong impact on the timeliness of policy action, the severity of action, and eventual health outcomes. The province of British Columbia became a bright example of active, evidence-based leadership. The tactic of calmness, compassion, and openness developed by Provincial Health Officer </w:t>
      </w:r>
      <w:r w:rsidR="007A6BE3" w:rsidRPr="002A53F7">
        <w:rPr>
          <w:rFonts w:ascii="Arial" w:hAnsi="Arial" w:cs="Arial"/>
        </w:rPr>
        <w:t>Dr</w:t>
      </w:r>
      <w:r w:rsidRPr="002A53F7">
        <w:rPr>
          <w:rFonts w:ascii="Arial" w:hAnsi="Arial" w:cs="Arial"/>
        </w:rPr>
        <w:t xml:space="preserve"> Bonnie Henry also enabled effective compliance among the people and relatively positive initial results (Asadi et al., 2020). Similarly, the Atlantic provinces have also shown very well-coordinated leadership because they organised the so-called Atlantic Bubble and, thus, limited interprovincial movement, which resulted in exceptionally low numbers of c</w:t>
      </w:r>
      <w:r w:rsidR="00FE53A5" w:rsidRPr="002A53F7">
        <w:rPr>
          <w:rFonts w:ascii="Arial" w:hAnsi="Arial" w:cs="Arial"/>
        </w:rPr>
        <w:t>ases (Murison &amp; Mallory, 2021).</w:t>
      </w:r>
    </w:p>
    <w:p w14:paraId="35F32925" w14:textId="03B1D7F2" w:rsidR="00E65A3F" w:rsidRPr="002A53F7" w:rsidRDefault="00E65A3F" w:rsidP="002A53F7">
      <w:pPr>
        <w:spacing w:line="360" w:lineRule="auto"/>
        <w:jc w:val="both"/>
        <w:rPr>
          <w:rFonts w:ascii="Arial" w:hAnsi="Arial" w:cs="Arial"/>
        </w:rPr>
      </w:pPr>
      <w:r w:rsidRPr="002A53F7">
        <w:rPr>
          <w:rFonts w:ascii="Arial" w:hAnsi="Arial" w:cs="Arial"/>
        </w:rPr>
        <w:t xml:space="preserve">On the contrary, reactive or affected by </w:t>
      </w:r>
      <w:r w:rsidR="007A6BE3" w:rsidRPr="002A53F7">
        <w:rPr>
          <w:rFonts w:ascii="Arial" w:hAnsi="Arial" w:cs="Arial"/>
        </w:rPr>
        <w:t>political</w:t>
      </w:r>
      <w:r w:rsidRPr="002A53F7">
        <w:rPr>
          <w:rFonts w:ascii="Arial" w:hAnsi="Arial" w:cs="Arial"/>
        </w:rPr>
        <w:t xml:space="preserve"> leadership was seen in the provinces like Ontario and Alberta. The two provinces took very long to implement restrictions at the most crucial times despite the skyrocketing cases and being warned by the scientific advisors themselves. Analysts argue that such delays, which were the effect of political pressure to protect economic activity, have directly led to ICU surges and avoidable morbidity (Murthy et al., 2021). These inequalities demonstrate the increase in inequalities in </w:t>
      </w:r>
      <w:r w:rsidR="007A6BE3" w:rsidRPr="002A53F7">
        <w:rPr>
          <w:rFonts w:ascii="Arial" w:hAnsi="Arial" w:cs="Arial"/>
        </w:rPr>
        <w:t xml:space="preserve">the </w:t>
      </w:r>
      <w:r w:rsidRPr="002A53F7">
        <w:rPr>
          <w:rFonts w:ascii="Arial" w:hAnsi="Arial" w:cs="Arial"/>
        </w:rPr>
        <w:t xml:space="preserve">quality of leadership across provinces </w:t>
      </w:r>
      <w:r w:rsidR="007A6BE3" w:rsidRPr="002A53F7">
        <w:rPr>
          <w:rFonts w:ascii="Arial" w:hAnsi="Arial" w:cs="Arial"/>
        </w:rPr>
        <w:t>due</w:t>
      </w:r>
      <w:r w:rsidRPr="002A53F7">
        <w:rPr>
          <w:rFonts w:ascii="Arial" w:hAnsi="Arial" w:cs="Arial"/>
        </w:rPr>
        <w:t xml:space="preserve"> </w:t>
      </w:r>
      <w:r w:rsidR="00A941CE" w:rsidRPr="002A53F7">
        <w:rPr>
          <w:rFonts w:ascii="Arial" w:hAnsi="Arial" w:cs="Arial"/>
        </w:rPr>
        <w:t xml:space="preserve">to </w:t>
      </w:r>
      <w:r w:rsidR="003E264E" w:rsidRPr="002A53F7">
        <w:rPr>
          <w:rFonts w:ascii="Arial" w:hAnsi="Arial" w:cs="Arial"/>
        </w:rPr>
        <w:t>having decentralised systems.</w:t>
      </w:r>
    </w:p>
    <w:p w14:paraId="27CC4DF0" w14:textId="77777777" w:rsidR="00253A25" w:rsidRPr="002A53F7" w:rsidRDefault="00253A25" w:rsidP="002A53F7">
      <w:pPr>
        <w:spacing w:line="360" w:lineRule="auto"/>
        <w:jc w:val="both"/>
        <w:rPr>
          <w:rFonts w:ascii="Arial" w:hAnsi="Arial" w:cs="Arial"/>
          <w:i/>
        </w:rPr>
      </w:pPr>
      <w:r w:rsidRPr="002A53F7">
        <w:rPr>
          <w:rFonts w:ascii="Arial" w:hAnsi="Arial" w:cs="Arial"/>
          <w:i/>
        </w:rPr>
        <w:t>Leadership style</w:t>
      </w:r>
    </w:p>
    <w:p w14:paraId="3F6B3A95" w14:textId="77777777" w:rsidR="00253A25" w:rsidRPr="002A53F7" w:rsidRDefault="00253A25" w:rsidP="002A53F7">
      <w:pPr>
        <w:spacing w:line="360" w:lineRule="auto"/>
        <w:jc w:val="both"/>
        <w:rPr>
          <w:rFonts w:ascii="Arial" w:hAnsi="Arial" w:cs="Arial"/>
          <w:i/>
        </w:rPr>
      </w:pPr>
      <w:r w:rsidRPr="002A53F7">
        <w:rPr>
          <w:rFonts w:ascii="Arial" w:hAnsi="Arial" w:cs="Arial"/>
          <w:i/>
        </w:rPr>
        <w:t>Leadership style</w:t>
      </w:r>
    </w:p>
    <w:p w14:paraId="58B60367" w14:textId="2FD998B6" w:rsidR="00D31E75" w:rsidRPr="002A53F7" w:rsidRDefault="00D31E75" w:rsidP="002A53F7">
      <w:pPr>
        <w:spacing w:line="360" w:lineRule="auto"/>
        <w:jc w:val="both"/>
        <w:rPr>
          <w:rFonts w:ascii="Arial" w:hAnsi="Arial" w:cs="Arial"/>
        </w:rPr>
      </w:pPr>
      <w:r w:rsidRPr="002A53F7">
        <w:rPr>
          <w:rFonts w:ascii="Arial" w:hAnsi="Arial" w:cs="Arial"/>
        </w:rPr>
        <w:t xml:space="preserve">The Canadian leadership approach to the pandemic combined democratic and laissez-faire, as well as transformational aspects among the provinces. At the federal level, the strategy of Prime Minister Trudeau was mainly democratic, focusing on the sense of transparency, cooperation, and a focus on scientific expertise, which stimulated trust among people but could work only with effective cooperation of provinces. On provincial level leadership differed significantly but British Columbia leadership approach was more </w:t>
      </w:r>
      <w:proofErr w:type="gramStart"/>
      <w:r w:rsidRPr="002A53F7">
        <w:rPr>
          <w:rFonts w:ascii="Arial" w:hAnsi="Arial" w:cs="Arial"/>
        </w:rPr>
        <w:t>similar to</w:t>
      </w:r>
      <w:proofErr w:type="gramEnd"/>
      <w:r w:rsidRPr="002A53F7">
        <w:rPr>
          <w:rFonts w:ascii="Arial" w:hAnsi="Arial" w:cs="Arial"/>
        </w:rPr>
        <w:t xml:space="preserve"> transformational leadership where vision and regular communication was apparent; the situation in the provinces like Ontario and Alberta was more laissez-faire-like, where restrictions were postponed and decision-making was decentralised without a strong central guidance. It has been shown that laissez-faire leadership during crises generates slower responses and increases risk to the public health (Bass, 1990), which is also noticeable in the worse results of these provinces. These two leadership approaches can be used to explain the performance inequality in Canada regarding the pandemic.</w:t>
      </w:r>
    </w:p>
    <w:p w14:paraId="4C7E31A1" w14:textId="77777777" w:rsidR="00E65A3F" w:rsidRPr="002A53F7" w:rsidRDefault="00E65A3F" w:rsidP="002A53F7">
      <w:pPr>
        <w:spacing w:line="360" w:lineRule="auto"/>
        <w:jc w:val="both"/>
        <w:rPr>
          <w:rFonts w:ascii="Arial" w:hAnsi="Arial" w:cs="Arial"/>
          <w:i/>
        </w:rPr>
      </w:pPr>
      <w:r w:rsidRPr="002A53F7">
        <w:rPr>
          <w:rFonts w:ascii="Arial" w:hAnsi="Arial" w:cs="Arial"/>
          <w:i/>
        </w:rPr>
        <w:t>Centralisation–decentralisation tensions in leadership</w:t>
      </w:r>
    </w:p>
    <w:p w14:paraId="2042C861" w14:textId="6CBAB010" w:rsidR="00E65A3F" w:rsidRPr="002A53F7" w:rsidRDefault="00E65A3F" w:rsidP="002A53F7">
      <w:pPr>
        <w:spacing w:line="360" w:lineRule="auto"/>
        <w:jc w:val="both"/>
        <w:rPr>
          <w:rFonts w:ascii="Arial" w:hAnsi="Arial" w:cs="Arial"/>
        </w:rPr>
      </w:pPr>
      <w:r w:rsidRPr="002A53F7">
        <w:rPr>
          <w:rFonts w:ascii="Arial" w:hAnsi="Arial" w:cs="Arial"/>
        </w:rPr>
        <w:t xml:space="preserve">In Canada, issues of federal-provincial coordination significantly contributed to the leadership performance. The federal and provincial governments were responsible </w:t>
      </w:r>
      <w:r w:rsidR="00A941CE" w:rsidRPr="002A53F7">
        <w:rPr>
          <w:rFonts w:ascii="Arial" w:hAnsi="Arial" w:cs="Arial"/>
        </w:rPr>
        <w:t>for</w:t>
      </w:r>
      <w:r w:rsidRPr="002A53F7">
        <w:rPr>
          <w:rFonts w:ascii="Arial" w:hAnsi="Arial" w:cs="Arial"/>
        </w:rPr>
        <w:t xml:space="preserve"> surveillance, communication</w:t>
      </w:r>
      <w:r w:rsidR="00A941CE" w:rsidRPr="002A53F7">
        <w:rPr>
          <w:rFonts w:ascii="Arial" w:hAnsi="Arial" w:cs="Arial"/>
        </w:rPr>
        <w:t>,</w:t>
      </w:r>
      <w:r w:rsidRPr="002A53F7">
        <w:rPr>
          <w:rFonts w:ascii="Arial" w:hAnsi="Arial" w:cs="Arial"/>
        </w:rPr>
        <w:t xml:space="preserve"> as well </w:t>
      </w:r>
      <w:r w:rsidR="00A941CE" w:rsidRPr="002A53F7">
        <w:rPr>
          <w:rFonts w:ascii="Arial" w:hAnsi="Arial" w:cs="Arial"/>
        </w:rPr>
        <w:t>as</w:t>
      </w:r>
      <w:r w:rsidRPr="002A53F7">
        <w:rPr>
          <w:rFonts w:ascii="Arial" w:hAnsi="Arial" w:cs="Arial"/>
        </w:rPr>
        <w:t xml:space="preserve"> emergency measures</w:t>
      </w:r>
      <w:r w:rsidR="00A941CE" w:rsidRPr="002A53F7">
        <w:rPr>
          <w:rFonts w:ascii="Arial" w:hAnsi="Arial" w:cs="Arial"/>
        </w:rPr>
        <w:t>,</w:t>
      </w:r>
      <w:r w:rsidRPr="002A53F7">
        <w:rPr>
          <w:rFonts w:ascii="Arial" w:hAnsi="Arial" w:cs="Arial"/>
        </w:rPr>
        <w:t xml:space="preserve"> but without a common national approach. This disintegr</w:t>
      </w:r>
      <w:r w:rsidR="00FE53A5" w:rsidRPr="002A53F7">
        <w:rPr>
          <w:rFonts w:ascii="Arial" w:hAnsi="Arial" w:cs="Arial"/>
        </w:rPr>
        <w:t xml:space="preserve">ation had </w:t>
      </w:r>
      <w:r w:rsidR="002C75F2" w:rsidRPr="002A53F7">
        <w:rPr>
          <w:rFonts w:ascii="Arial" w:hAnsi="Arial" w:cs="Arial"/>
        </w:rPr>
        <w:t>several</w:t>
      </w:r>
      <w:r w:rsidR="00FE53A5" w:rsidRPr="002A53F7">
        <w:rPr>
          <w:rFonts w:ascii="Arial" w:hAnsi="Arial" w:cs="Arial"/>
        </w:rPr>
        <w:t xml:space="preserve"> tensions:</w:t>
      </w:r>
    </w:p>
    <w:p w14:paraId="3D0DF161" w14:textId="08D5F442" w:rsidR="00E65A3F" w:rsidRPr="002A53F7" w:rsidRDefault="00E65A3F" w:rsidP="002A53F7">
      <w:pPr>
        <w:spacing w:line="360" w:lineRule="auto"/>
        <w:jc w:val="both"/>
        <w:rPr>
          <w:rFonts w:ascii="Arial" w:hAnsi="Arial" w:cs="Arial"/>
        </w:rPr>
      </w:pPr>
      <w:r w:rsidRPr="002A53F7">
        <w:rPr>
          <w:rFonts w:ascii="Arial" w:hAnsi="Arial" w:cs="Arial"/>
        </w:rPr>
        <w:t xml:space="preserve">Fragmentation of policies took the form of provinces implementing individual testing standards, </w:t>
      </w:r>
      <w:r w:rsidR="00A941CE" w:rsidRPr="002A53F7">
        <w:rPr>
          <w:rFonts w:ascii="Arial" w:hAnsi="Arial" w:cs="Arial"/>
        </w:rPr>
        <w:t>mask</w:t>
      </w:r>
      <w:r w:rsidRPr="002A53F7">
        <w:rPr>
          <w:rFonts w:ascii="Arial" w:hAnsi="Arial" w:cs="Arial"/>
        </w:rPr>
        <w:t xml:space="preserve"> requirements, schooling policies, and reopening plans, creating confusion and conflicting with coherent national communication (Flood &amp; Thomas, 2020).</w:t>
      </w:r>
    </w:p>
    <w:p w14:paraId="26579D72" w14:textId="584094AB" w:rsidR="00E65A3F" w:rsidRPr="002A53F7" w:rsidRDefault="00E65A3F" w:rsidP="002A53F7">
      <w:pPr>
        <w:spacing w:line="360" w:lineRule="auto"/>
        <w:jc w:val="both"/>
        <w:rPr>
          <w:rFonts w:ascii="Arial" w:hAnsi="Arial" w:cs="Arial"/>
        </w:rPr>
      </w:pPr>
      <w:r w:rsidRPr="002A53F7">
        <w:rPr>
          <w:rFonts w:ascii="Arial" w:hAnsi="Arial" w:cs="Arial"/>
        </w:rPr>
        <w:t xml:space="preserve">Some inconsistencies in communication occurred as provincial leaders went against federal </w:t>
      </w:r>
      <w:r w:rsidR="00A941CE" w:rsidRPr="002A53F7">
        <w:rPr>
          <w:rFonts w:ascii="Arial" w:hAnsi="Arial" w:cs="Arial"/>
        </w:rPr>
        <w:t>recommendations</w:t>
      </w:r>
      <w:r w:rsidRPr="002A53F7">
        <w:rPr>
          <w:rFonts w:ascii="Arial" w:hAnsi="Arial" w:cs="Arial"/>
        </w:rPr>
        <w:t>, which negatively affected the trust of the separate population and made it difficult to und</w:t>
      </w:r>
      <w:r w:rsidR="003E264E" w:rsidRPr="002A53F7">
        <w:rPr>
          <w:rFonts w:ascii="Arial" w:hAnsi="Arial" w:cs="Arial"/>
        </w:rPr>
        <w:t xml:space="preserve">erstand (Merkley et al., 2021). </w:t>
      </w:r>
      <w:r w:rsidRPr="002A53F7">
        <w:rPr>
          <w:rFonts w:ascii="Arial" w:hAnsi="Arial" w:cs="Arial"/>
        </w:rPr>
        <w:t xml:space="preserve">The leadership gaps in </w:t>
      </w:r>
      <w:r w:rsidR="00A941CE" w:rsidRPr="002A53F7">
        <w:rPr>
          <w:rFonts w:ascii="Arial" w:hAnsi="Arial" w:cs="Arial"/>
        </w:rPr>
        <w:t>long-term</w:t>
      </w:r>
      <w:r w:rsidRPr="002A53F7">
        <w:rPr>
          <w:rFonts w:ascii="Arial" w:hAnsi="Arial" w:cs="Arial"/>
        </w:rPr>
        <w:t xml:space="preserve"> care </w:t>
      </w:r>
      <w:r w:rsidR="00A941CE" w:rsidRPr="002A53F7">
        <w:rPr>
          <w:rFonts w:ascii="Arial" w:hAnsi="Arial" w:cs="Arial"/>
        </w:rPr>
        <w:t xml:space="preserve">have </w:t>
      </w:r>
      <w:r w:rsidRPr="002A53F7">
        <w:rPr>
          <w:rFonts w:ascii="Arial" w:hAnsi="Arial" w:cs="Arial"/>
        </w:rPr>
        <w:t xml:space="preserve">continued since </w:t>
      </w:r>
      <w:r w:rsidR="00A941CE" w:rsidRPr="002A53F7">
        <w:rPr>
          <w:rFonts w:ascii="Arial" w:hAnsi="Arial" w:cs="Arial"/>
        </w:rPr>
        <w:t>long-term</w:t>
      </w:r>
      <w:r w:rsidRPr="002A53F7">
        <w:rPr>
          <w:rFonts w:ascii="Arial" w:hAnsi="Arial" w:cs="Arial"/>
        </w:rPr>
        <w:t xml:space="preserve"> care (LTC) was fully provincial. Provincial under-oversight, as well as a lack of labour, added to high LTC </w:t>
      </w:r>
      <w:r w:rsidR="003E264E" w:rsidRPr="002A53F7">
        <w:rPr>
          <w:rFonts w:ascii="Arial" w:hAnsi="Arial" w:cs="Arial"/>
        </w:rPr>
        <w:t xml:space="preserve">mortality (Stall et al., 2020). </w:t>
      </w:r>
      <w:r w:rsidRPr="002A53F7">
        <w:rPr>
          <w:rFonts w:ascii="Arial" w:hAnsi="Arial" w:cs="Arial"/>
        </w:rPr>
        <w:t xml:space="preserve">Even though decentralisation provided flexibility, including specific restrictions in Atlantic Canada, it also revealed the weaknesses of the federal system of Canada in </w:t>
      </w:r>
      <w:r w:rsidR="00A941CE" w:rsidRPr="002A53F7">
        <w:rPr>
          <w:rFonts w:ascii="Arial" w:hAnsi="Arial" w:cs="Arial"/>
        </w:rPr>
        <w:t>a</w:t>
      </w:r>
      <w:r w:rsidRPr="002A53F7">
        <w:rPr>
          <w:rFonts w:ascii="Arial" w:hAnsi="Arial" w:cs="Arial"/>
        </w:rPr>
        <w:t xml:space="preserve"> time of </w:t>
      </w:r>
      <w:r w:rsidR="00A941CE" w:rsidRPr="002A53F7">
        <w:rPr>
          <w:rFonts w:ascii="Arial" w:hAnsi="Arial" w:cs="Arial"/>
        </w:rPr>
        <w:t>nationwide</w:t>
      </w:r>
      <w:r w:rsidRPr="002A53F7">
        <w:rPr>
          <w:rFonts w:ascii="Arial" w:hAnsi="Arial" w:cs="Arial"/>
        </w:rPr>
        <w:t xml:space="preserve"> crisis without </w:t>
      </w:r>
      <w:r w:rsidR="00FE53A5" w:rsidRPr="002A53F7">
        <w:rPr>
          <w:rFonts w:ascii="Arial" w:hAnsi="Arial" w:cs="Arial"/>
        </w:rPr>
        <w:t>strong coordination frameworks.</w:t>
      </w:r>
    </w:p>
    <w:p w14:paraId="0A3FD677" w14:textId="77777777" w:rsidR="000B5CA6" w:rsidRPr="002A53F7" w:rsidRDefault="000B5CA6" w:rsidP="002A53F7">
      <w:pPr>
        <w:spacing w:line="360" w:lineRule="auto"/>
        <w:jc w:val="both"/>
        <w:rPr>
          <w:rFonts w:ascii="Arial" w:hAnsi="Arial" w:cs="Arial"/>
          <w:i/>
        </w:rPr>
      </w:pPr>
      <w:r w:rsidRPr="002A53F7">
        <w:rPr>
          <w:rFonts w:ascii="Arial" w:hAnsi="Arial" w:cs="Arial"/>
          <w:i/>
        </w:rPr>
        <w:t>Strengths of Canada’s leadership approach</w:t>
      </w:r>
    </w:p>
    <w:p w14:paraId="0E1242CC" w14:textId="769426F9" w:rsidR="00DD6C74" w:rsidRPr="002A53F7" w:rsidRDefault="00E65A3F" w:rsidP="002A53F7">
      <w:pPr>
        <w:spacing w:line="360" w:lineRule="auto"/>
        <w:jc w:val="both"/>
        <w:rPr>
          <w:rFonts w:ascii="Arial" w:hAnsi="Arial" w:cs="Arial"/>
        </w:rPr>
      </w:pPr>
      <w:r w:rsidRPr="002A53F7">
        <w:rPr>
          <w:rFonts w:ascii="Arial" w:hAnsi="Arial" w:cs="Arial"/>
        </w:rPr>
        <w:t xml:space="preserve">Irrespective of the coordination issues, the leadership of Canada had </w:t>
      </w:r>
      <w:r w:rsidR="006C12AB" w:rsidRPr="002A53F7">
        <w:rPr>
          <w:rFonts w:ascii="Arial" w:hAnsi="Arial" w:cs="Arial"/>
        </w:rPr>
        <w:t>a few</w:t>
      </w:r>
      <w:r w:rsidRPr="002A53F7">
        <w:rPr>
          <w:rFonts w:ascii="Arial" w:hAnsi="Arial" w:cs="Arial"/>
        </w:rPr>
        <w:t xml:space="preserve"> strengths. One, the vaccine plan adopted by the federal government can be described as centralised procurement and provincial delivery</w:t>
      </w:r>
      <w:r w:rsidR="006C12AB" w:rsidRPr="002A53F7">
        <w:rPr>
          <w:rFonts w:ascii="Arial" w:hAnsi="Arial" w:cs="Arial"/>
        </w:rPr>
        <w:t>,</w:t>
      </w:r>
      <w:r w:rsidRPr="002A53F7">
        <w:rPr>
          <w:rFonts w:ascii="Arial" w:hAnsi="Arial" w:cs="Arial"/>
        </w:rPr>
        <w:t xml:space="preserve"> as it was very effective. Canada was able to sign early vaccine deals and ultimately became one of the key countries in the world with the highest vaccination rates (Wilson et al., 2020). Second, leaders in Canada enjoyed open and consistent communication among them, national and most provincial ones, which led to adherence </w:t>
      </w:r>
      <w:r w:rsidR="006C12AB" w:rsidRPr="002A53F7">
        <w:rPr>
          <w:rFonts w:ascii="Arial" w:hAnsi="Arial" w:cs="Arial"/>
        </w:rPr>
        <w:t>in</w:t>
      </w:r>
      <w:r w:rsidRPr="002A53F7">
        <w:rPr>
          <w:rFonts w:ascii="Arial" w:hAnsi="Arial" w:cs="Arial"/>
        </w:rPr>
        <w:t xml:space="preserve"> the early waves (Merkley et al., 2021). Third, chief medical officers were very prominent and powerful in several of the </w:t>
      </w:r>
      <w:r w:rsidR="00DD6C74" w:rsidRPr="002A53F7">
        <w:rPr>
          <w:rFonts w:ascii="Arial" w:hAnsi="Arial" w:cs="Arial"/>
        </w:rPr>
        <w:t>provinces,</w:t>
      </w:r>
      <w:r w:rsidRPr="002A53F7">
        <w:rPr>
          <w:rFonts w:ascii="Arial" w:hAnsi="Arial" w:cs="Arial"/>
        </w:rPr>
        <w:t xml:space="preserve"> and it was a tradition of scientific leadership and people having confidence in the authority of expert </w:t>
      </w:r>
      <w:r w:rsidR="00DD6C74" w:rsidRPr="002A53F7">
        <w:rPr>
          <w:rFonts w:ascii="Arial" w:hAnsi="Arial" w:cs="Arial"/>
        </w:rPr>
        <w:t>judgment</w:t>
      </w:r>
      <w:r w:rsidRPr="002A53F7">
        <w:rPr>
          <w:rFonts w:ascii="Arial" w:hAnsi="Arial" w:cs="Arial"/>
        </w:rPr>
        <w:t>. Lastly, the joint action of the Atlantic provinces that created a bubble showed that the decentralised system may work whenever regional authorities are coordinated and coopera</w:t>
      </w:r>
      <w:r w:rsidR="003E264E" w:rsidRPr="002A53F7">
        <w:rPr>
          <w:rFonts w:ascii="Arial" w:hAnsi="Arial" w:cs="Arial"/>
        </w:rPr>
        <w:t>tive (Murison &amp; Mallory, 2021).</w:t>
      </w:r>
    </w:p>
    <w:p w14:paraId="53C8E838" w14:textId="77777777" w:rsidR="000B5CA6" w:rsidRPr="002A53F7" w:rsidRDefault="000B5CA6" w:rsidP="002A53F7">
      <w:pPr>
        <w:spacing w:line="360" w:lineRule="auto"/>
        <w:jc w:val="both"/>
        <w:rPr>
          <w:rFonts w:ascii="Arial" w:hAnsi="Arial" w:cs="Arial"/>
          <w:i/>
        </w:rPr>
      </w:pPr>
      <w:r w:rsidRPr="002A53F7">
        <w:rPr>
          <w:rFonts w:ascii="Arial" w:hAnsi="Arial" w:cs="Arial"/>
          <w:i/>
        </w:rPr>
        <w:t>Leadership weaknesses and failures</w:t>
      </w:r>
    </w:p>
    <w:p w14:paraId="5D81916C" w14:textId="545104A5" w:rsidR="00E65A3F" w:rsidRPr="002A53F7" w:rsidRDefault="00E65A3F" w:rsidP="002A53F7">
      <w:pPr>
        <w:spacing w:line="360" w:lineRule="auto"/>
        <w:jc w:val="both"/>
        <w:rPr>
          <w:rFonts w:ascii="Arial" w:hAnsi="Arial" w:cs="Arial"/>
        </w:rPr>
      </w:pPr>
      <w:r w:rsidRPr="002A53F7">
        <w:rPr>
          <w:rFonts w:ascii="Arial" w:hAnsi="Arial" w:cs="Arial"/>
        </w:rPr>
        <w:t xml:space="preserve">The failure of leadership in Canada was </w:t>
      </w:r>
      <w:r w:rsidR="00DD6C74" w:rsidRPr="002A53F7">
        <w:rPr>
          <w:rFonts w:ascii="Arial" w:hAnsi="Arial" w:cs="Arial"/>
        </w:rPr>
        <w:t>mainly</w:t>
      </w:r>
      <w:r w:rsidRPr="002A53F7">
        <w:rPr>
          <w:rFonts w:ascii="Arial" w:hAnsi="Arial" w:cs="Arial"/>
        </w:rPr>
        <w:t xml:space="preserve"> due to political factors, disunited leadership and institutional inadequacies. The problems with matching political leadership and scientific advice at the provincial level were exemplified in Ontario and Alberta, where decision-making was not timely. The disparities between provinces in the areas of testing, tracing, and restrictions led to the uneven results and the lack of national unity (Flood and Thomas, 2020). The largest leadership failure happened in long-term care, where delayed provincial action, systematic underfunding, and federal inaction resulted in excessively high fatality (Stall et al., 2020). Other factors that hampered leadership included the inability to use integrated national data systems that constrained situational awareness and coordination (Maher and Van Rensburg, 2022).</w:t>
      </w:r>
    </w:p>
    <w:p w14:paraId="4EB4B759" w14:textId="77777777" w:rsidR="00E65A3F" w:rsidRPr="002A53F7" w:rsidRDefault="00E65A3F" w:rsidP="002A53F7">
      <w:pPr>
        <w:spacing w:line="360" w:lineRule="auto"/>
        <w:jc w:val="both"/>
        <w:rPr>
          <w:rFonts w:ascii="Arial" w:hAnsi="Arial" w:cs="Arial"/>
          <w:i/>
        </w:rPr>
      </w:pPr>
      <w:r w:rsidRPr="002A53F7">
        <w:rPr>
          <w:rFonts w:ascii="Arial" w:hAnsi="Arial" w:cs="Arial"/>
          <w:i/>
        </w:rPr>
        <w:t xml:space="preserve">Overall assessment  </w:t>
      </w:r>
    </w:p>
    <w:p w14:paraId="05EAA661" w14:textId="4CAAF005" w:rsidR="00E65A3F" w:rsidRPr="002A53F7" w:rsidRDefault="00E65A3F" w:rsidP="002A53F7">
      <w:pPr>
        <w:spacing w:line="360" w:lineRule="auto"/>
        <w:jc w:val="both"/>
        <w:rPr>
          <w:rFonts w:ascii="Arial" w:hAnsi="Arial" w:cs="Arial"/>
        </w:rPr>
      </w:pPr>
      <w:r w:rsidRPr="002A53F7">
        <w:rPr>
          <w:rFonts w:ascii="Arial" w:hAnsi="Arial" w:cs="Arial"/>
        </w:rPr>
        <w:t xml:space="preserve">The COVID-19 leadership in Canada was ambivalent, as it showed excellence in federal leadership regarding the development of a vaccine and economic </w:t>
      </w:r>
      <w:r w:rsidR="00DD6C74" w:rsidRPr="002A53F7">
        <w:rPr>
          <w:rFonts w:ascii="Arial" w:hAnsi="Arial" w:cs="Arial"/>
        </w:rPr>
        <w:t>aid</w:t>
      </w:r>
      <w:r w:rsidRPr="002A53F7">
        <w:rPr>
          <w:rFonts w:ascii="Arial" w:hAnsi="Arial" w:cs="Arial"/>
        </w:rPr>
        <w:t>, but poor provincial leadership in the implementation of such measures</w:t>
      </w:r>
      <w:r w:rsidR="00DD6C74" w:rsidRPr="002A53F7">
        <w:rPr>
          <w:rFonts w:ascii="Arial" w:hAnsi="Arial" w:cs="Arial"/>
        </w:rPr>
        <w:t>,</w:t>
      </w:r>
      <w:r w:rsidRPr="002A53F7">
        <w:rPr>
          <w:rFonts w:ascii="Arial" w:hAnsi="Arial" w:cs="Arial"/>
        </w:rPr>
        <w:t xml:space="preserve"> such as </w:t>
      </w:r>
      <w:r w:rsidR="00DD6C74" w:rsidRPr="002A53F7">
        <w:rPr>
          <w:rFonts w:ascii="Arial" w:hAnsi="Arial" w:cs="Arial"/>
        </w:rPr>
        <w:t>public health</w:t>
      </w:r>
      <w:r w:rsidRPr="002A53F7">
        <w:rPr>
          <w:rFonts w:ascii="Arial" w:hAnsi="Arial" w:cs="Arial"/>
        </w:rPr>
        <w:t xml:space="preserve">. Decentralisation helped to create responsive local leadership in </w:t>
      </w:r>
      <w:r w:rsidR="00DD6C74" w:rsidRPr="002A53F7">
        <w:rPr>
          <w:rFonts w:ascii="Arial" w:hAnsi="Arial" w:cs="Arial"/>
        </w:rPr>
        <w:t xml:space="preserve">a </w:t>
      </w:r>
      <w:r w:rsidRPr="002A53F7">
        <w:rPr>
          <w:rFonts w:ascii="Arial" w:hAnsi="Arial" w:cs="Arial"/>
        </w:rPr>
        <w:t xml:space="preserve">few of the provinces and destroyed the national coordination on issues where political decisions clashed with scientific guidance. Finally, the experience of Canada demonstrates that a successful leadership approach in a federal order should be based on the successful cooperation of intergovernmental relations, coordinated communications policies, and powerful public-health organisations, which </w:t>
      </w:r>
      <w:r w:rsidR="00DD6C74" w:rsidRPr="002A53F7">
        <w:rPr>
          <w:rFonts w:ascii="Arial" w:hAnsi="Arial" w:cs="Arial"/>
        </w:rPr>
        <w:t>can</w:t>
      </w:r>
      <w:r w:rsidR="00FE53A5" w:rsidRPr="002A53F7">
        <w:rPr>
          <w:rFonts w:ascii="Arial" w:hAnsi="Arial" w:cs="Arial"/>
        </w:rPr>
        <w:t xml:space="preserve"> influence political decisions.</w:t>
      </w:r>
    </w:p>
    <w:p w14:paraId="15FD90F0" w14:textId="77777777" w:rsidR="00E65A3F" w:rsidRPr="002A53F7" w:rsidRDefault="00E65A3F" w:rsidP="002A53F7">
      <w:pPr>
        <w:spacing w:line="360" w:lineRule="auto"/>
        <w:jc w:val="both"/>
        <w:rPr>
          <w:rFonts w:ascii="Arial" w:hAnsi="Arial" w:cs="Arial"/>
          <w:b/>
        </w:rPr>
      </w:pPr>
      <w:r w:rsidRPr="002A53F7">
        <w:rPr>
          <w:rFonts w:ascii="Arial" w:hAnsi="Arial" w:cs="Arial"/>
          <w:b/>
        </w:rPr>
        <w:t xml:space="preserve">Conclusion </w:t>
      </w:r>
    </w:p>
    <w:p w14:paraId="681615AF" w14:textId="4C6A530B" w:rsidR="00C86DEE" w:rsidRPr="002A53F7" w:rsidRDefault="009912E6" w:rsidP="00347A01">
      <w:pPr>
        <w:pStyle w:val="Heading1"/>
        <w:spacing w:line="360" w:lineRule="auto"/>
        <w:jc w:val="both"/>
        <w:rPr>
          <w:rStyle w:val="Strong"/>
          <w:rFonts w:ascii="Arial" w:hAnsi="Arial" w:cs="Arial"/>
          <w:b/>
          <w:bCs/>
          <w:sz w:val="22"/>
          <w:szCs w:val="22"/>
        </w:rPr>
      </w:pPr>
      <w:r w:rsidRPr="002A53F7">
        <w:rPr>
          <w:rFonts w:ascii="Arial" w:hAnsi="Arial" w:cs="Arial"/>
          <w:b w:val="0"/>
          <w:sz w:val="22"/>
          <w:szCs w:val="22"/>
        </w:rPr>
        <w:t>The comparative analysis of Spain, South Korea and Canada shows that health-system structure and leadership styles strongly shaped COVID-19 responses. Centralised systems, such as South Korea’s, enabled rapid testing, tracing and communication, supporting effective early containment (Oh et al., 2020; Shin et al., 2021). In contrast, Spain and Canada faced coordination challenges and fragmented policies typical of decentralised systems, contributing to delayed interventions (García-Basteiro et al., 2020; Flood &amp; MacDonnell, 2020). Leadership differences also influenced outcomes: South Korea’s expert-led model fostered trust and compliance (Park et al., 2020), while Canada’s decentralised leadership produced variable provincial responses, from proactive measures in British Columbia to slower action in Ontario and Alberta (Asadi et al., 2020; Murthy et al., 2021). Three lessons emerge: stronger central–local coordination, transparent scientific leadership (Merkley et al., 2021) and investment in public-health and long-term care capacity to strengthen future preparedness (Stall et al., 2020; Otero-García et al., 2023).</w:t>
      </w:r>
      <w:bookmarkStart w:id="0" w:name="_Toc215759168"/>
      <w:bookmarkStart w:id="1" w:name="_Toc215761006"/>
    </w:p>
    <w:p w14:paraId="1F1790F0" w14:textId="619597EE" w:rsidR="007632D9" w:rsidRPr="002A53F7" w:rsidRDefault="007632D9" w:rsidP="002A53F7">
      <w:pPr>
        <w:pStyle w:val="Heading1"/>
        <w:spacing w:line="360" w:lineRule="auto"/>
        <w:rPr>
          <w:rStyle w:val="Strong"/>
          <w:rFonts w:ascii="Arial" w:hAnsi="Arial" w:cs="Arial"/>
          <w:b/>
          <w:bCs/>
          <w:sz w:val="22"/>
          <w:szCs w:val="22"/>
        </w:rPr>
      </w:pPr>
      <w:r w:rsidRPr="002A53F7">
        <w:rPr>
          <w:rStyle w:val="Strong"/>
          <w:rFonts w:ascii="Arial" w:hAnsi="Arial" w:cs="Arial"/>
          <w:b/>
          <w:bCs/>
          <w:sz w:val="22"/>
          <w:szCs w:val="22"/>
        </w:rPr>
        <w:t>Reference</w:t>
      </w:r>
      <w:bookmarkEnd w:id="0"/>
      <w:bookmarkEnd w:id="1"/>
      <w:r w:rsidRPr="002A53F7">
        <w:rPr>
          <w:rStyle w:val="Strong"/>
          <w:rFonts w:ascii="Arial" w:hAnsi="Arial" w:cs="Arial"/>
          <w:b/>
          <w:bCs/>
          <w:sz w:val="22"/>
          <w:szCs w:val="22"/>
        </w:rPr>
        <w:t xml:space="preserve"> </w:t>
      </w:r>
    </w:p>
    <w:p w14:paraId="53CD6B27" w14:textId="6EB28C8B"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Ansell, C., Sørensen, E., </w:t>
      </w:r>
      <w:r w:rsidR="00584455">
        <w:rPr>
          <w:rFonts w:ascii="Arial" w:eastAsia="Times New Roman" w:hAnsi="Arial" w:cs="Arial"/>
          <w:lang w:eastAsia="en-GB"/>
        </w:rPr>
        <w:t>and</w:t>
      </w:r>
      <w:r w:rsidRPr="002A53F7">
        <w:rPr>
          <w:rFonts w:ascii="Arial" w:eastAsia="Times New Roman" w:hAnsi="Arial" w:cs="Arial"/>
          <w:lang w:eastAsia="en-GB"/>
        </w:rPr>
        <w:t xml:space="preserve"> Torfing, J. (2021). The COVID-19 pandemic as a game changer for public administration and leadership? The need for robust governance responses to turbulent problems. </w:t>
      </w:r>
      <w:r w:rsidRPr="002A53F7">
        <w:rPr>
          <w:rFonts w:ascii="Arial" w:eastAsia="Times New Roman" w:hAnsi="Arial" w:cs="Arial"/>
          <w:i/>
          <w:iCs/>
          <w:lang w:eastAsia="en-GB"/>
        </w:rPr>
        <w:t>Public Management Review, 23</w:t>
      </w:r>
      <w:r w:rsidRPr="002A53F7">
        <w:rPr>
          <w:rFonts w:ascii="Arial" w:eastAsia="Times New Roman" w:hAnsi="Arial" w:cs="Arial"/>
          <w:lang w:eastAsia="en-GB"/>
        </w:rPr>
        <w:t>(7), 949–960. https://doi.org/10.1080/14719037.2020.1820272</w:t>
      </w:r>
    </w:p>
    <w:p w14:paraId="0A94ABFC" w14:textId="4201286B"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García-Basteiro, A. L., Legido-Quigley, H., Álvarez-Dardet, C., Arenas, A., Bengoa, R., Borrell, C., … </w:t>
      </w:r>
      <w:r w:rsidR="00584455">
        <w:rPr>
          <w:rFonts w:ascii="Arial" w:eastAsia="Times New Roman" w:hAnsi="Arial" w:cs="Arial"/>
          <w:lang w:eastAsia="en-GB"/>
        </w:rPr>
        <w:t>and</w:t>
      </w:r>
      <w:r w:rsidRPr="002A53F7">
        <w:rPr>
          <w:rFonts w:ascii="Arial" w:eastAsia="Times New Roman" w:hAnsi="Arial" w:cs="Arial"/>
          <w:lang w:eastAsia="en-GB"/>
        </w:rPr>
        <w:t xml:space="preserve"> López-Villegas, A. (2020). Evaluation of the COVID-19 response in Spain: Principles and requirements. </w:t>
      </w:r>
      <w:r w:rsidRPr="002A53F7">
        <w:rPr>
          <w:rFonts w:ascii="Arial" w:eastAsia="Times New Roman" w:hAnsi="Arial" w:cs="Arial"/>
          <w:i/>
          <w:iCs/>
          <w:lang w:eastAsia="en-GB"/>
        </w:rPr>
        <w:t>The Lancet Public Health, 5</w:t>
      </w:r>
      <w:r w:rsidRPr="002A53F7">
        <w:rPr>
          <w:rFonts w:ascii="Arial" w:eastAsia="Times New Roman" w:hAnsi="Arial" w:cs="Arial"/>
          <w:lang w:eastAsia="en-GB"/>
        </w:rPr>
        <w:t>(11), e575. https://doi.org/10.1016/S2468-2667(20)30208-5</w:t>
      </w:r>
    </w:p>
    <w:p w14:paraId="04969CD8" w14:textId="74C08765"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Greer, S. L., King, E. J., Massard da Fonseca, E., </w:t>
      </w:r>
      <w:r w:rsidR="00584455">
        <w:rPr>
          <w:rFonts w:ascii="Arial" w:eastAsia="Times New Roman" w:hAnsi="Arial" w:cs="Arial"/>
          <w:lang w:eastAsia="en-GB"/>
        </w:rPr>
        <w:t>and</w:t>
      </w:r>
      <w:r w:rsidRPr="002A53F7">
        <w:rPr>
          <w:rFonts w:ascii="Arial" w:eastAsia="Times New Roman" w:hAnsi="Arial" w:cs="Arial"/>
          <w:lang w:eastAsia="en-GB"/>
        </w:rPr>
        <w:t xml:space="preserve"> Peralta-Santos, A. (2020). The comparative politics of COVID-19: The need to understand government responses. </w:t>
      </w:r>
      <w:r w:rsidRPr="002A53F7">
        <w:rPr>
          <w:rFonts w:ascii="Arial" w:eastAsia="Times New Roman" w:hAnsi="Arial" w:cs="Arial"/>
          <w:i/>
          <w:iCs/>
          <w:lang w:eastAsia="en-GB"/>
        </w:rPr>
        <w:t>Global Public Health, 15</w:t>
      </w:r>
      <w:r w:rsidRPr="002A53F7">
        <w:rPr>
          <w:rFonts w:ascii="Arial" w:eastAsia="Times New Roman" w:hAnsi="Arial" w:cs="Arial"/>
          <w:lang w:eastAsia="en-GB"/>
        </w:rPr>
        <w:t>(9), 1413–1416. https://doi.org/10.1080/17441692.2020.1783340</w:t>
      </w:r>
    </w:p>
    <w:p w14:paraId="210BCA16" w14:textId="3D1825D3"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Kwon, K. T., Ko, J.-H., Shin, H., Sung, M., </w:t>
      </w:r>
      <w:r w:rsidR="00584455">
        <w:rPr>
          <w:rFonts w:ascii="Arial" w:eastAsia="Times New Roman" w:hAnsi="Arial" w:cs="Arial"/>
          <w:lang w:eastAsia="en-GB"/>
        </w:rPr>
        <w:t>and</w:t>
      </w:r>
      <w:r w:rsidRPr="002A53F7">
        <w:rPr>
          <w:rFonts w:ascii="Arial" w:eastAsia="Times New Roman" w:hAnsi="Arial" w:cs="Arial"/>
          <w:lang w:eastAsia="en-GB"/>
        </w:rPr>
        <w:t xml:space="preserve"> Kim, J. Y. (2020). Drive-through screening center for COVID-19: A safe and efficient screening system against massive community outbreak. </w:t>
      </w:r>
      <w:r w:rsidRPr="002A53F7">
        <w:rPr>
          <w:rFonts w:ascii="Arial" w:eastAsia="Times New Roman" w:hAnsi="Arial" w:cs="Arial"/>
          <w:i/>
          <w:iCs/>
          <w:lang w:eastAsia="en-GB"/>
        </w:rPr>
        <w:t>Journal of Korean Medical Science, 35</w:t>
      </w:r>
      <w:r w:rsidRPr="002A53F7">
        <w:rPr>
          <w:rFonts w:ascii="Arial" w:eastAsia="Times New Roman" w:hAnsi="Arial" w:cs="Arial"/>
          <w:lang w:eastAsia="en-GB"/>
        </w:rPr>
        <w:t>(11), e123. https://doi.org/10.3346/jkms.2020.35.e123</w:t>
      </w:r>
      <w:r w:rsidRPr="002A53F7">
        <w:rPr>
          <w:rFonts w:ascii="Arial" w:eastAsia="Times New Roman" w:hAnsi="Arial" w:cs="Arial"/>
          <w:lang w:eastAsia="en-GB"/>
        </w:rPr>
        <w:br/>
      </w:r>
      <w:r w:rsidRPr="002A53F7">
        <w:rPr>
          <w:rFonts w:ascii="Arial" w:eastAsia="Times New Roman" w:hAnsi="Arial" w:cs="Arial"/>
          <w:i/>
          <w:iCs/>
          <w:lang w:eastAsia="en-GB"/>
        </w:rPr>
        <w:t xml:space="preserve"> Kwon, S., Kim, E., </w:t>
      </w:r>
      <w:r w:rsidR="00584455">
        <w:rPr>
          <w:rFonts w:ascii="Arial" w:eastAsia="Times New Roman" w:hAnsi="Arial" w:cs="Arial"/>
          <w:i/>
          <w:iCs/>
          <w:lang w:eastAsia="en-GB"/>
        </w:rPr>
        <w:t>and</w:t>
      </w:r>
      <w:r w:rsidRPr="002A53F7">
        <w:rPr>
          <w:rFonts w:ascii="Arial" w:eastAsia="Times New Roman" w:hAnsi="Arial" w:cs="Arial"/>
          <w:i/>
          <w:iCs/>
          <w:lang w:eastAsia="en-GB"/>
        </w:rPr>
        <w:t xml:space="preserve"> Lee, H. (2020).</w:t>
      </w:r>
      <w:r w:rsidR="00584455" w:rsidRPr="00584455">
        <w:rPr>
          <w:rFonts w:ascii="Arial" w:eastAsia="Times New Roman" w:hAnsi="Arial" w:cs="Arial"/>
          <w:lang w:eastAsia="en-GB"/>
        </w:rPr>
        <w:t xml:space="preserve"> </w:t>
      </w:r>
      <w:r w:rsidR="00584455" w:rsidRPr="00584455">
        <w:rPr>
          <w:rFonts w:ascii="Arial" w:eastAsia="Times New Roman" w:hAnsi="Arial" w:cs="Arial"/>
          <w:lang w:eastAsia="en-GB"/>
        </w:rPr>
        <w:t>(Related discussion and analyses of drive-through/walk-through testing in Korea appear in:</w:t>
      </w:r>
      <w:r w:rsidRPr="002A53F7">
        <w:rPr>
          <w:rFonts w:ascii="Arial" w:eastAsia="Times New Roman" w:hAnsi="Arial" w:cs="Arial"/>
          <w:i/>
          <w:iCs/>
          <w:lang w:eastAsia="en-GB"/>
        </w:rPr>
        <w:t xml:space="preserve"> Drive-through testing centers for COVID-19: Innovation in South Korea. Health Policy and Technology, 9, 100544.)</w:t>
      </w:r>
    </w:p>
    <w:p w14:paraId="5C5469A2" w14:textId="07353592"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Oh, J., Lee, J.-K., Schwarz, D., Ratcliffe, H. L., Markuns, J. F., </w:t>
      </w:r>
      <w:r w:rsidR="00584455">
        <w:rPr>
          <w:rFonts w:ascii="Arial" w:eastAsia="Times New Roman" w:hAnsi="Arial" w:cs="Arial"/>
          <w:lang w:eastAsia="en-GB"/>
        </w:rPr>
        <w:t>and</w:t>
      </w:r>
      <w:r w:rsidRPr="002A53F7">
        <w:rPr>
          <w:rFonts w:ascii="Arial" w:eastAsia="Times New Roman" w:hAnsi="Arial" w:cs="Arial"/>
          <w:lang w:eastAsia="en-GB"/>
        </w:rPr>
        <w:t xml:space="preserve"> Hirschhorn, L. R. (2020). National response to COVID-19 in the Republic of Korea and lessons learned for other countries. </w:t>
      </w:r>
      <w:r w:rsidRPr="002A53F7">
        <w:rPr>
          <w:rFonts w:ascii="Arial" w:eastAsia="Times New Roman" w:hAnsi="Arial" w:cs="Arial"/>
          <w:i/>
          <w:iCs/>
          <w:lang w:eastAsia="en-GB"/>
        </w:rPr>
        <w:t xml:space="preserve">Health Systems </w:t>
      </w:r>
      <w:r w:rsidR="00584455">
        <w:rPr>
          <w:rFonts w:ascii="Arial" w:eastAsia="Times New Roman" w:hAnsi="Arial" w:cs="Arial"/>
          <w:i/>
          <w:iCs/>
          <w:lang w:eastAsia="en-GB"/>
        </w:rPr>
        <w:t>and</w:t>
      </w:r>
      <w:r w:rsidRPr="002A53F7">
        <w:rPr>
          <w:rFonts w:ascii="Arial" w:eastAsia="Times New Roman" w:hAnsi="Arial" w:cs="Arial"/>
          <w:i/>
          <w:iCs/>
          <w:lang w:eastAsia="en-GB"/>
        </w:rPr>
        <w:t xml:space="preserve"> Reform, 6</w:t>
      </w:r>
      <w:r w:rsidRPr="002A53F7">
        <w:rPr>
          <w:rFonts w:ascii="Arial" w:eastAsia="Times New Roman" w:hAnsi="Arial" w:cs="Arial"/>
          <w:lang w:eastAsia="en-GB"/>
        </w:rPr>
        <w:t>(1), e1753464. https://doi.org/10.1080/23288604.2020.1753464</w:t>
      </w:r>
    </w:p>
    <w:p w14:paraId="2D655C2C" w14:textId="762C5DEC"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Park, Y.-J., Choe, Y. J., Park, O., Park, S. Y., Kim, Y.-M., Kim, J., ... </w:t>
      </w:r>
      <w:r w:rsidR="00584455" w:rsidRPr="00C058F4">
        <w:rPr>
          <w:rFonts w:ascii="Arial" w:eastAsia="Times New Roman" w:hAnsi="Arial" w:cs="Arial"/>
          <w:lang w:eastAsia="en-GB"/>
        </w:rPr>
        <w:t>and</w:t>
      </w:r>
      <w:r w:rsidRPr="00C058F4">
        <w:rPr>
          <w:rFonts w:ascii="Arial" w:eastAsia="Times New Roman" w:hAnsi="Arial" w:cs="Arial"/>
          <w:lang w:eastAsia="en-GB"/>
        </w:rPr>
        <w:t xml:space="preserve"> Kweon, S. (2020). Contact tracing during coronavirus disease outbreak, South Korea, 2020. </w:t>
      </w:r>
      <w:r w:rsidRPr="00C058F4">
        <w:rPr>
          <w:rFonts w:ascii="Arial" w:eastAsia="Times New Roman" w:hAnsi="Arial" w:cs="Arial"/>
          <w:i/>
          <w:iCs/>
          <w:lang w:eastAsia="en-GB"/>
        </w:rPr>
        <w:t>Emerging Infectious Diseases, 26</w:t>
      </w:r>
      <w:r w:rsidRPr="00C058F4">
        <w:rPr>
          <w:rFonts w:ascii="Arial" w:eastAsia="Times New Roman" w:hAnsi="Arial" w:cs="Arial"/>
          <w:lang w:eastAsia="en-GB"/>
        </w:rPr>
        <w:t xml:space="preserve">(10), 2465–2468. </w:t>
      </w:r>
      <w:hyperlink r:id="rId9" w:history="1">
        <w:r w:rsidR="00C058F4" w:rsidRPr="00C058F4">
          <w:rPr>
            <w:rStyle w:val="Hyperlink"/>
            <w:rFonts w:ascii="Arial" w:eastAsia="Times New Roman" w:hAnsi="Arial" w:cs="Arial"/>
            <w:lang w:eastAsia="en-GB"/>
          </w:rPr>
          <w:t>https://doi.org/10.3201/eid2610.201315</w:t>
        </w:r>
      </w:hyperlink>
      <w:r w:rsidRPr="00C058F4">
        <w:rPr>
          <w:rFonts w:ascii="Arial" w:eastAsia="Times New Roman" w:hAnsi="Arial" w:cs="Arial"/>
          <w:lang w:eastAsia="en-GB"/>
        </w:rPr>
        <w:br/>
      </w:r>
      <w:r w:rsidRPr="00C058F4">
        <w:rPr>
          <w:rFonts w:ascii="Arial" w:eastAsia="Times New Roman" w:hAnsi="Arial" w:cs="Arial"/>
          <w:i/>
          <w:iCs/>
          <w:lang w:eastAsia="en-GB"/>
        </w:rPr>
        <w:t xml:space="preserve">Park, S., Choi, G. J., </w:t>
      </w:r>
      <w:r w:rsidR="002A53F7" w:rsidRPr="00C058F4">
        <w:rPr>
          <w:rFonts w:ascii="Arial" w:eastAsia="Times New Roman" w:hAnsi="Arial" w:cs="Arial"/>
          <w:i/>
          <w:iCs/>
          <w:lang w:eastAsia="en-GB"/>
        </w:rPr>
        <w:t>and</w:t>
      </w:r>
      <w:r w:rsidRPr="00C058F4">
        <w:rPr>
          <w:rFonts w:ascii="Arial" w:eastAsia="Times New Roman" w:hAnsi="Arial" w:cs="Arial"/>
          <w:i/>
          <w:iCs/>
          <w:lang w:eastAsia="en-GB"/>
        </w:rPr>
        <w:t xml:space="preserve"> Ko, H. (2020).</w:t>
      </w:r>
      <w:r w:rsidR="00584455" w:rsidRPr="00C058F4">
        <w:rPr>
          <w:rFonts w:ascii="Arial" w:eastAsia="Times New Roman" w:hAnsi="Arial" w:cs="Arial"/>
          <w:i/>
          <w:iCs/>
          <w:lang w:eastAsia="en-GB"/>
        </w:rPr>
        <w:t xml:space="preserve"> </w:t>
      </w:r>
      <w:r w:rsidR="00584455" w:rsidRPr="00C058F4">
        <w:rPr>
          <w:rFonts w:ascii="Arial" w:eastAsia="Times New Roman" w:hAnsi="Arial" w:cs="Arial"/>
          <w:lang w:eastAsia="en-GB"/>
        </w:rPr>
        <w:t>Related discussion of IT-based tracing and privacy</w:t>
      </w:r>
      <w:r w:rsidR="00584455" w:rsidRPr="00C058F4">
        <w:rPr>
          <w:rFonts w:ascii="Arial" w:eastAsia="Times New Roman" w:hAnsi="Arial" w:cs="Arial"/>
          <w:i/>
          <w:iCs/>
          <w:lang w:eastAsia="en-GB"/>
        </w:rPr>
        <w:t xml:space="preserve"> </w:t>
      </w:r>
      <w:r w:rsidR="00584455" w:rsidRPr="00C058F4">
        <w:rPr>
          <w:rFonts w:ascii="Arial" w:eastAsia="Times New Roman" w:hAnsi="Arial" w:cs="Arial"/>
          <w:lang w:eastAsia="en-GB"/>
        </w:rPr>
        <w:t>in Korea</w:t>
      </w:r>
      <w:r w:rsidR="00584455" w:rsidRPr="00C058F4">
        <w:rPr>
          <w:rFonts w:ascii="Arial" w:eastAsia="Times New Roman" w:hAnsi="Arial" w:cs="Arial"/>
          <w:i/>
          <w:iCs/>
          <w:lang w:eastAsia="en-GB"/>
        </w:rPr>
        <w:t>:</w:t>
      </w:r>
      <w:r w:rsidRPr="00C058F4">
        <w:rPr>
          <w:rFonts w:ascii="Arial" w:eastAsia="Times New Roman" w:hAnsi="Arial" w:cs="Arial"/>
          <w:i/>
          <w:iCs/>
          <w:lang w:eastAsia="en-GB"/>
        </w:rPr>
        <w:t xml:space="preserve"> Information technology–based tracing strategy in response to COVID-19 in South Korea—Privacy controversies. JAMA, 323(21), 2129–2130. https://doi.org/10.1001/jama.2020.6602)</w:t>
      </w:r>
    </w:p>
    <w:p w14:paraId="248DC22D" w14:textId="1433C9D7"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Pollán, M., Pérez-Gómez, B., Pastor-Barriuso, R., Oteo, J., Hernán, M. A., Pérez-Olmeda, M., ...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ENE-COVID Study Group. (2020). Prevalence of SARS-CoV-2 in Spain (ENE-COVID): A nationwide, population-based seroepidemiological study. </w:t>
      </w:r>
      <w:r w:rsidRPr="00C058F4">
        <w:rPr>
          <w:rFonts w:ascii="Arial" w:eastAsia="Times New Roman" w:hAnsi="Arial" w:cs="Arial"/>
          <w:i/>
          <w:iCs/>
          <w:lang w:eastAsia="en-GB"/>
        </w:rPr>
        <w:t>The Lancet, 396</w:t>
      </w:r>
      <w:r w:rsidRPr="00C058F4">
        <w:rPr>
          <w:rFonts w:ascii="Arial" w:eastAsia="Times New Roman" w:hAnsi="Arial" w:cs="Arial"/>
          <w:lang w:eastAsia="en-GB"/>
        </w:rPr>
        <w:t>(10250), 535–544. https://doi.org/10.1016/S0140-6736(20)31483-5</w:t>
      </w:r>
    </w:p>
    <w:p w14:paraId="6D5F090B" w14:textId="5A584A8E"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Ryu, S., Chun, B.-C.,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Kim, S. (2020). Epidemiological characteristics and lessons from the coronavirus disease 2019 (COVID-19) outbreak in Korea. </w:t>
      </w:r>
      <w:r w:rsidRPr="00C058F4">
        <w:rPr>
          <w:rFonts w:ascii="Arial" w:eastAsia="Times New Roman" w:hAnsi="Arial" w:cs="Arial"/>
          <w:i/>
          <w:iCs/>
          <w:lang w:eastAsia="en-GB"/>
        </w:rPr>
        <w:t>Osong Public Health and Research Perspectives, 11</w:t>
      </w:r>
      <w:r w:rsidRPr="00C058F4">
        <w:rPr>
          <w:rFonts w:ascii="Arial" w:eastAsia="Times New Roman" w:hAnsi="Arial" w:cs="Arial"/>
          <w:lang w:eastAsia="en-GB"/>
        </w:rPr>
        <w:t>(4), 167–178. https://doi.org/10.24171/j.phrp.2020.11.4.02</w:t>
      </w:r>
    </w:p>
    <w:p w14:paraId="71EADCE2" w14:textId="24BEE247"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Shin, Y., Kim, H.,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Park, S. (2021). Crisis communication and public trust during COVID-19 in South Korea. </w:t>
      </w:r>
      <w:r w:rsidRPr="00C058F4">
        <w:rPr>
          <w:rFonts w:ascii="Arial" w:eastAsia="Times New Roman" w:hAnsi="Arial" w:cs="Arial"/>
          <w:i/>
          <w:iCs/>
          <w:lang w:eastAsia="en-GB"/>
        </w:rPr>
        <w:t>Asian Journal of Communication, 31</w:t>
      </w:r>
      <w:r w:rsidRPr="00C058F4">
        <w:rPr>
          <w:rFonts w:ascii="Arial" w:eastAsia="Times New Roman" w:hAnsi="Arial" w:cs="Arial"/>
          <w:lang w:eastAsia="en-GB"/>
        </w:rPr>
        <w:t>(5), 335–352. https://doi.org/10.1080/01292986.2021.1900799</w:t>
      </w:r>
    </w:p>
    <w:p w14:paraId="5A28CDE6" w14:textId="0D2FF9F4"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Stall, N. M., Brown, K. A., Maltsev, A.,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Jones, A. M. (2020). COVID-19 and Ontario’s long-term care homes. </w:t>
      </w:r>
      <w:r w:rsidRPr="00C058F4">
        <w:rPr>
          <w:rFonts w:ascii="Arial" w:eastAsia="Times New Roman" w:hAnsi="Arial" w:cs="Arial"/>
          <w:i/>
          <w:iCs/>
          <w:lang w:eastAsia="en-GB"/>
        </w:rPr>
        <w:t>Science Briefs of the Ontario COVID-19 Science Advisory Table</w:t>
      </w:r>
      <w:r w:rsidRPr="00C058F4">
        <w:rPr>
          <w:rFonts w:ascii="Arial" w:eastAsia="Times New Roman" w:hAnsi="Arial" w:cs="Arial"/>
          <w:lang w:eastAsia="en-GB"/>
        </w:rPr>
        <w:t xml:space="preserve">. https://doi.org/10.47326/ocsat.2020.01.01.1.0 </w:t>
      </w:r>
      <w:r w:rsidRPr="00C058F4">
        <w:rPr>
          <w:rFonts w:ascii="Arial" w:eastAsia="Times New Roman" w:hAnsi="Arial" w:cs="Arial"/>
          <w:i/>
          <w:iCs/>
          <w:lang w:eastAsia="en-GB"/>
        </w:rPr>
        <w:t>(see Ontario COVID-19 Science Advisory Table publications on LTC outcomes and recommendations)</w:t>
      </w:r>
    </w:p>
    <w:p w14:paraId="6A6FDDDF" w14:textId="77777777"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Valle, R. (2021). Decentralisation, governance tensions and Spain’s COVID-19 response. </w:t>
      </w:r>
      <w:r w:rsidRPr="00C058F4">
        <w:rPr>
          <w:rFonts w:ascii="Arial" w:eastAsia="Times New Roman" w:hAnsi="Arial" w:cs="Arial"/>
          <w:i/>
          <w:iCs/>
          <w:lang w:eastAsia="en-GB"/>
        </w:rPr>
        <w:t>South European Society and Politics, 26</w:t>
      </w:r>
      <w:r w:rsidRPr="00C058F4">
        <w:rPr>
          <w:rFonts w:ascii="Arial" w:eastAsia="Times New Roman" w:hAnsi="Arial" w:cs="Arial"/>
          <w:lang w:eastAsia="en-GB"/>
        </w:rPr>
        <w:t>(3), 391–415. https://doi.org/10.1080/13608746.2021.1885651</w:t>
      </w:r>
    </w:p>
    <w:p w14:paraId="609FB4BD" w14:textId="79F58DBB" w:rsidR="001111E7" w:rsidRPr="00C058F4"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Vampa, D. (2021). The territorial politics of COVID-19: Policy responses and political conflict in Spain. </w:t>
      </w:r>
      <w:r w:rsidRPr="00C058F4">
        <w:rPr>
          <w:rFonts w:ascii="Arial" w:eastAsia="Times New Roman" w:hAnsi="Arial" w:cs="Arial"/>
          <w:i/>
          <w:iCs/>
          <w:lang w:eastAsia="en-GB"/>
        </w:rPr>
        <w:t xml:space="preserve">Regional </w:t>
      </w:r>
      <w:r w:rsidR="002A53F7" w:rsidRPr="00C058F4">
        <w:rPr>
          <w:rFonts w:ascii="Arial" w:eastAsia="Times New Roman" w:hAnsi="Arial" w:cs="Arial"/>
          <w:i/>
          <w:iCs/>
          <w:lang w:eastAsia="en-GB"/>
        </w:rPr>
        <w:t>and</w:t>
      </w:r>
      <w:r w:rsidRPr="00C058F4">
        <w:rPr>
          <w:rFonts w:ascii="Arial" w:eastAsia="Times New Roman" w:hAnsi="Arial" w:cs="Arial"/>
          <w:i/>
          <w:iCs/>
          <w:lang w:eastAsia="en-GB"/>
        </w:rPr>
        <w:t xml:space="preserve"> Federal Studies, 31</w:t>
      </w:r>
      <w:r w:rsidRPr="00C058F4">
        <w:rPr>
          <w:rFonts w:ascii="Arial" w:eastAsia="Times New Roman" w:hAnsi="Arial" w:cs="Arial"/>
          <w:lang w:eastAsia="en-GB"/>
        </w:rPr>
        <w:t>(3), 341–363. https://doi.org/10.1080/13597566.2021.1909106</w:t>
      </w:r>
    </w:p>
    <w:p w14:paraId="69E592BF" w14:textId="16799D24"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 xml:space="preserve">Oh, J., Ryu, S., </w:t>
      </w:r>
      <w:r w:rsidR="002A53F7" w:rsidRPr="00C058F4">
        <w:rPr>
          <w:rFonts w:ascii="Arial" w:eastAsia="Times New Roman" w:hAnsi="Arial" w:cs="Arial"/>
          <w:lang w:eastAsia="en-GB"/>
        </w:rPr>
        <w:t>and</w:t>
      </w:r>
      <w:r w:rsidRPr="00C058F4">
        <w:rPr>
          <w:rFonts w:ascii="Arial" w:eastAsia="Times New Roman" w:hAnsi="Arial" w:cs="Arial"/>
          <w:lang w:eastAsia="en-GB"/>
        </w:rPr>
        <w:t xml:space="preserve"> Kim, J. (2020). (see Oh et al., 2020 entry above) — </w:t>
      </w:r>
      <w:r w:rsidRPr="00C058F4">
        <w:rPr>
          <w:rFonts w:ascii="Arial" w:eastAsia="Times New Roman" w:hAnsi="Arial" w:cs="Arial"/>
          <w:i/>
          <w:iCs/>
          <w:lang w:eastAsia="en-GB"/>
        </w:rPr>
        <w:t>[Korea national response</w:t>
      </w:r>
      <w:r w:rsidRPr="002A53F7">
        <w:rPr>
          <w:rFonts w:ascii="Arial" w:eastAsia="Times New Roman" w:hAnsi="Arial" w:cs="Arial"/>
          <w:i/>
          <w:iCs/>
          <w:lang w:eastAsia="en-GB"/>
        </w:rPr>
        <w:t xml:space="preserve"> &amp; lessons]</w:t>
      </w:r>
    </w:p>
    <w:p w14:paraId="273B8C4B" w14:textId="4864FDE3"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García-Basteiro, A. L., Moncunill, G., Tortajada, M., Vidal, M., Guinovart, C., Jiménez, A., ... </w:t>
      </w:r>
      <w:r w:rsidR="002A53F7">
        <w:rPr>
          <w:rFonts w:ascii="Arial" w:eastAsia="Times New Roman" w:hAnsi="Arial" w:cs="Arial"/>
          <w:lang w:eastAsia="en-GB"/>
        </w:rPr>
        <w:t>and</w:t>
      </w:r>
      <w:r w:rsidRPr="002A53F7">
        <w:rPr>
          <w:rFonts w:ascii="Arial" w:eastAsia="Times New Roman" w:hAnsi="Arial" w:cs="Arial"/>
          <w:lang w:eastAsia="en-GB"/>
        </w:rPr>
        <w:t xml:space="preserve"> Casas, I. (2020). Seroprevalence of antibodies against SARS-CoV-2 among health care workers in a large Spanish reference hospital. </w:t>
      </w:r>
      <w:r w:rsidRPr="002A53F7">
        <w:rPr>
          <w:rFonts w:ascii="Arial" w:eastAsia="Times New Roman" w:hAnsi="Arial" w:cs="Arial"/>
          <w:i/>
          <w:iCs/>
          <w:lang w:eastAsia="en-GB"/>
        </w:rPr>
        <w:t>Nature Communications, 11</w:t>
      </w:r>
      <w:r w:rsidRPr="002A53F7">
        <w:rPr>
          <w:rFonts w:ascii="Arial" w:eastAsia="Times New Roman" w:hAnsi="Arial" w:cs="Arial"/>
          <w:lang w:eastAsia="en-GB"/>
        </w:rPr>
        <w:t>(1), 3500. https://doi.org/10.1038/s41467-020-17318-x</w:t>
      </w:r>
    </w:p>
    <w:p w14:paraId="3281EA18" w14:textId="77777777"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Kim, Y. (2020). The MERS legacy and South Korea’s digital pandemic response. </w:t>
      </w:r>
      <w:r w:rsidRPr="002A53F7">
        <w:rPr>
          <w:rFonts w:ascii="Arial" w:eastAsia="Times New Roman" w:hAnsi="Arial" w:cs="Arial"/>
          <w:i/>
          <w:iCs/>
          <w:lang w:eastAsia="en-GB"/>
        </w:rPr>
        <w:t>Journal of Asian Public Policy, 13</w:t>
      </w:r>
      <w:r w:rsidRPr="002A53F7">
        <w:rPr>
          <w:rFonts w:ascii="Arial" w:eastAsia="Times New Roman" w:hAnsi="Arial" w:cs="Arial"/>
          <w:lang w:eastAsia="en-GB"/>
        </w:rPr>
        <w:t>(3), 273–290. https://doi.org/10.1080/17516234.2020.1823458</w:t>
      </w:r>
    </w:p>
    <w:p w14:paraId="3CFE742F" w14:textId="77777777"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Marchildon, G. P. (2013). </w:t>
      </w:r>
      <w:r w:rsidRPr="002A53F7">
        <w:rPr>
          <w:rFonts w:ascii="Arial" w:eastAsia="Times New Roman" w:hAnsi="Arial" w:cs="Arial"/>
          <w:i/>
          <w:iCs/>
          <w:lang w:eastAsia="en-GB"/>
        </w:rPr>
        <w:t>Canada: Health system review</w:t>
      </w:r>
      <w:r w:rsidRPr="002A53F7">
        <w:rPr>
          <w:rFonts w:ascii="Arial" w:eastAsia="Times New Roman" w:hAnsi="Arial" w:cs="Arial"/>
          <w:lang w:eastAsia="en-GB"/>
        </w:rPr>
        <w:t xml:space="preserve">. In </w:t>
      </w:r>
      <w:r w:rsidRPr="002A53F7">
        <w:rPr>
          <w:rFonts w:ascii="Arial" w:eastAsia="Times New Roman" w:hAnsi="Arial" w:cs="Arial"/>
          <w:i/>
          <w:iCs/>
          <w:lang w:eastAsia="en-GB"/>
        </w:rPr>
        <w:t>Health Systems in Transition</w:t>
      </w:r>
      <w:r w:rsidRPr="002A53F7">
        <w:rPr>
          <w:rFonts w:ascii="Arial" w:eastAsia="Times New Roman" w:hAnsi="Arial" w:cs="Arial"/>
          <w:lang w:eastAsia="en-GB"/>
        </w:rPr>
        <w:t xml:space="preserve"> (Vol. 15, No. 1). World Health Organization on behalf of the European Observatory on Health Systems and Policies. (See updated commentary by Marchildon on federal-provincial roles during COVID-19.) https://apps.who.int/iris/handle/10665/113240</w:t>
      </w:r>
    </w:p>
    <w:p w14:paraId="2FFC92B3" w14:textId="76208494" w:rsidR="001111E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Manns, B. J., Hastings, S., </w:t>
      </w:r>
      <w:r w:rsidR="002A53F7">
        <w:rPr>
          <w:rFonts w:ascii="Arial" w:eastAsia="Times New Roman" w:hAnsi="Arial" w:cs="Arial"/>
          <w:lang w:eastAsia="en-GB"/>
        </w:rPr>
        <w:t>and</w:t>
      </w:r>
      <w:r w:rsidRPr="002A53F7">
        <w:rPr>
          <w:rFonts w:ascii="Arial" w:eastAsia="Times New Roman" w:hAnsi="Arial" w:cs="Arial"/>
          <w:lang w:eastAsia="en-GB"/>
        </w:rPr>
        <w:t xml:space="preserve"> others. (2024). Health system structure and its influence on outcomes: The Canadian experience. </w:t>
      </w:r>
      <w:r w:rsidRPr="002A53F7">
        <w:rPr>
          <w:rFonts w:ascii="Arial" w:eastAsia="Times New Roman" w:hAnsi="Arial" w:cs="Arial"/>
          <w:i/>
          <w:iCs/>
          <w:lang w:eastAsia="en-GB"/>
        </w:rPr>
        <w:t>Healthcare Management Forum, 37</w:t>
      </w:r>
      <w:r w:rsidRPr="002A53F7">
        <w:rPr>
          <w:rFonts w:ascii="Arial" w:eastAsia="Times New Roman" w:hAnsi="Arial" w:cs="Arial"/>
          <w:lang w:eastAsia="en-GB"/>
        </w:rPr>
        <w:t xml:space="preserve">(5), 340–350. </w:t>
      </w:r>
      <w:hyperlink r:id="rId10" w:history="1">
        <w:r w:rsidR="00C058F4" w:rsidRPr="00BF16B8">
          <w:rPr>
            <w:rStyle w:val="Hyperlink"/>
            <w:rFonts w:ascii="Arial" w:eastAsia="Times New Roman" w:hAnsi="Arial" w:cs="Arial"/>
            <w:lang w:eastAsia="en-GB"/>
          </w:rPr>
          <w:t>https://doi.org/10.1177/0840470424124</w:t>
        </w:r>
      </w:hyperlink>
    </w:p>
    <w:p w14:paraId="0A6A0091" w14:textId="709249D1" w:rsidR="00C058F4" w:rsidRPr="002A53F7" w:rsidRDefault="00C058F4" w:rsidP="002A53F7">
      <w:pPr>
        <w:spacing w:before="100" w:beforeAutospacing="1" w:after="100" w:afterAutospacing="1" w:line="360" w:lineRule="auto"/>
        <w:rPr>
          <w:rFonts w:ascii="Arial" w:eastAsia="Times New Roman" w:hAnsi="Arial" w:cs="Arial"/>
          <w:lang w:eastAsia="en-GB"/>
        </w:rPr>
      </w:pPr>
      <w:r w:rsidRPr="00C058F4">
        <w:rPr>
          <w:rFonts w:ascii="Arial" w:eastAsia="Times New Roman" w:hAnsi="Arial" w:cs="Arial"/>
          <w:lang w:eastAsia="en-GB"/>
        </w:rPr>
        <w:t>Greer, S. L., King, E. J., da Fonseca, E. M., &amp; Peralta-Santos, A. (2020). The comparative politics of COVID-19: The need to understand government responses. </w:t>
      </w:r>
      <w:r w:rsidRPr="00C058F4">
        <w:rPr>
          <w:rFonts w:ascii="Arial" w:eastAsia="Times New Roman" w:hAnsi="Arial" w:cs="Arial"/>
          <w:i/>
          <w:iCs/>
          <w:lang w:eastAsia="en-GB"/>
        </w:rPr>
        <w:t>Global public health</w:t>
      </w:r>
      <w:r w:rsidRPr="00C058F4">
        <w:rPr>
          <w:rFonts w:ascii="Arial" w:eastAsia="Times New Roman" w:hAnsi="Arial" w:cs="Arial"/>
          <w:lang w:eastAsia="en-GB"/>
        </w:rPr>
        <w:t>, </w:t>
      </w:r>
      <w:r w:rsidRPr="00C058F4">
        <w:rPr>
          <w:rFonts w:ascii="Arial" w:eastAsia="Times New Roman" w:hAnsi="Arial" w:cs="Arial"/>
          <w:i/>
          <w:iCs/>
          <w:lang w:eastAsia="en-GB"/>
        </w:rPr>
        <w:t>15</w:t>
      </w:r>
      <w:r w:rsidRPr="00C058F4">
        <w:rPr>
          <w:rFonts w:ascii="Arial" w:eastAsia="Times New Roman" w:hAnsi="Arial" w:cs="Arial"/>
          <w:lang w:eastAsia="en-GB"/>
        </w:rPr>
        <w:t>(9), 1413–1416. https://doi.org/10.1080/17441692.2020.1783340</w:t>
      </w:r>
    </w:p>
    <w:p w14:paraId="0794A962" w14:textId="1B9A985E" w:rsidR="001111E7" w:rsidRPr="002A53F7" w:rsidRDefault="001111E7" w:rsidP="002A53F7">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Merkley, E., Stecula, D., </w:t>
      </w:r>
      <w:r w:rsidR="002A53F7">
        <w:rPr>
          <w:rFonts w:ascii="Arial" w:eastAsia="Times New Roman" w:hAnsi="Arial" w:cs="Arial"/>
          <w:lang w:eastAsia="en-GB"/>
        </w:rPr>
        <w:t>and</w:t>
      </w:r>
      <w:r w:rsidRPr="002A53F7">
        <w:rPr>
          <w:rFonts w:ascii="Arial" w:eastAsia="Times New Roman" w:hAnsi="Arial" w:cs="Arial"/>
          <w:lang w:eastAsia="en-GB"/>
        </w:rPr>
        <w:t xml:space="preserve"> others. (2021). Affect, partisanship, and trust in public-health guidelines in Canada. </w:t>
      </w:r>
      <w:r w:rsidRPr="002A53F7">
        <w:rPr>
          <w:rFonts w:ascii="Arial" w:eastAsia="Times New Roman" w:hAnsi="Arial" w:cs="Arial"/>
          <w:i/>
          <w:iCs/>
          <w:lang w:eastAsia="en-GB"/>
        </w:rPr>
        <w:t>Canadian Journal of Political Science</w:t>
      </w:r>
      <w:r w:rsidRPr="002A53F7">
        <w:rPr>
          <w:rFonts w:ascii="Arial" w:eastAsia="Times New Roman" w:hAnsi="Arial" w:cs="Arial"/>
          <w:lang w:eastAsia="en-GB"/>
        </w:rPr>
        <w:t xml:space="preserve"> (published 2021). </w:t>
      </w:r>
      <w:r w:rsidRPr="002A53F7">
        <w:rPr>
          <w:rFonts w:ascii="Arial" w:eastAsia="Times New Roman" w:hAnsi="Arial" w:cs="Arial"/>
          <w:i/>
          <w:iCs/>
          <w:lang w:eastAsia="en-GB"/>
        </w:rPr>
        <w:t>(Use the exact citation you used in your text — there are several papers by Merkley et al. on COVID-19 trust; I can format the precise one once you confirm which you meant.)</w:t>
      </w:r>
    </w:p>
    <w:p w14:paraId="297F8DFF" w14:textId="1F1C0C31" w:rsidR="001111E7" w:rsidRPr="00C058F4" w:rsidRDefault="001111E7" w:rsidP="00C058F4">
      <w:pPr>
        <w:spacing w:before="100" w:beforeAutospacing="1" w:after="100" w:afterAutospacing="1" w:line="360" w:lineRule="auto"/>
        <w:rPr>
          <w:rFonts w:ascii="Arial" w:eastAsia="Times New Roman" w:hAnsi="Arial" w:cs="Arial"/>
          <w:lang w:eastAsia="en-GB"/>
        </w:rPr>
      </w:pPr>
      <w:r w:rsidRPr="002A53F7">
        <w:rPr>
          <w:rFonts w:ascii="Arial" w:eastAsia="Times New Roman" w:hAnsi="Arial" w:cs="Arial"/>
          <w:lang w:eastAsia="en-GB"/>
        </w:rPr>
        <w:t xml:space="preserve">Bass, B. M. (1990). </w:t>
      </w:r>
      <w:r w:rsidRPr="002A53F7">
        <w:rPr>
          <w:rFonts w:ascii="Arial" w:eastAsia="Times New Roman" w:hAnsi="Arial" w:cs="Arial"/>
          <w:i/>
          <w:iCs/>
          <w:lang w:eastAsia="en-GB"/>
        </w:rPr>
        <w:t xml:space="preserve">Bass </w:t>
      </w:r>
      <w:r w:rsidR="002A53F7">
        <w:rPr>
          <w:rFonts w:ascii="Arial" w:eastAsia="Times New Roman" w:hAnsi="Arial" w:cs="Arial"/>
          <w:i/>
          <w:iCs/>
          <w:lang w:eastAsia="en-GB"/>
        </w:rPr>
        <w:t>and</w:t>
      </w:r>
      <w:r w:rsidRPr="002A53F7">
        <w:rPr>
          <w:rFonts w:ascii="Arial" w:eastAsia="Times New Roman" w:hAnsi="Arial" w:cs="Arial"/>
          <w:i/>
          <w:iCs/>
          <w:lang w:eastAsia="en-GB"/>
        </w:rPr>
        <w:t xml:space="preserve"> Stogdill’s Handbook of Leadership: Theory, Research, and Managerial Applications</w:t>
      </w:r>
      <w:r w:rsidRPr="002A53F7">
        <w:rPr>
          <w:rFonts w:ascii="Arial" w:eastAsia="Times New Roman" w:hAnsi="Arial" w:cs="Arial"/>
          <w:lang w:eastAsia="en-GB"/>
        </w:rPr>
        <w:t xml:space="preserve"> (3rd ed.). Free Press.</w:t>
      </w:r>
    </w:p>
    <w:p w14:paraId="66201808"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Asadi, L., et al. (2020).</w:t>
      </w:r>
      <w:r w:rsidRPr="002A53F7">
        <w:rPr>
          <w:rFonts w:ascii="Arial" w:hAnsi="Arial" w:cs="Arial"/>
          <w:sz w:val="22"/>
          <w:szCs w:val="22"/>
        </w:rPr>
        <w:t xml:space="preserve"> Public health measures and early COVID-19 response in British Columbia. </w:t>
      </w:r>
      <w:r w:rsidRPr="002A53F7">
        <w:rPr>
          <w:rStyle w:val="Emphasis"/>
          <w:rFonts w:ascii="Arial" w:eastAsiaTheme="majorEastAsia" w:hAnsi="Arial" w:cs="Arial"/>
          <w:sz w:val="22"/>
          <w:szCs w:val="22"/>
        </w:rPr>
        <w:t>Canadian Journal of Public Health</w:t>
      </w:r>
      <w:r w:rsidRPr="002A53F7">
        <w:rPr>
          <w:rFonts w:ascii="Arial" w:hAnsi="Arial" w:cs="Arial"/>
          <w:sz w:val="22"/>
          <w:szCs w:val="22"/>
        </w:rPr>
        <w:t>, 111(6), 965–969.</w:t>
      </w:r>
    </w:p>
    <w:p w14:paraId="7846EABB"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Erkoreka, A. (2022).</w:t>
      </w:r>
      <w:r w:rsidRPr="002A53F7">
        <w:rPr>
          <w:rFonts w:ascii="Arial" w:hAnsi="Arial" w:cs="Arial"/>
          <w:sz w:val="22"/>
          <w:szCs w:val="22"/>
        </w:rPr>
        <w:t xml:space="preserve"> Political and institutional determinants of Spain’s COVID-19 crisis management. </w:t>
      </w:r>
      <w:r w:rsidRPr="002A53F7">
        <w:rPr>
          <w:rStyle w:val="Emphasis"/>
          <w:rFonts w:ascii="Arial" w:eastAsiaTheme="majorEastAsia" w:hAnsi="Arial" w:cs="Arial"/>
          <w:sz w:val="22"/>
          <w:szCs w:val="22"/>
        </w:rPr>
        <w:t>Health Policy</w:t>
      </w:r>
      <w:r w:rsidRPr="002A53F7">
        <w:rPr>
          <w:rFonts w:ascii="Arial" w:hAnsi="Arial" w:cs="Arial"/>
          <w:sz w:val="22"/>
          <w:szCs w:val="22"/>
        </w:rPr>
        <w:t>, 126(1), 1–8.</w:t>
      </w:r>
    </w:p>
    <w:p w14:paraId="53A8037D" w14:textId="6D19DF45"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Flood, C.,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MacDonnell, V. (2020).</w:t>
      </w:r>
      <w:r w:rsidRPr="002A53F7">
        <w:rPr>
          <w:rFonts w:ascii="Arial" w:hAnsi="Arial" w:cs="Arial"/>
          <w:sz w:val="22"/>
          <w:szCs w:val="22"/>
        </w:rPr>
        <w:t xml:space="preserve"> Federalism and the pandemic: The impact of COVID-19 on Canada’s intergovernmental relations. </w:t>
      </w:r>
      <w:r w:rsidRPr="002A53F7">
        <w:rPr>
          <w:rStyle w:val="Emphasis"/>
          <w:rFonts w:ascii="Arial" w:eastAsiaTheme="majorEastAsia" w:hAnsi="Arial" w:cs="Arial"/>
          <w:sz w:val="22"/>
          <w:szCs w:val="22"/>
        </w:rPr>
        <w:t>Journal of Health Policy</w:t>
      </w:r>
      <w:r w:rsidRPr="002A53F7">
        <w:rPr>
          <w:rFonts w:ascii="Arial" w:hAnsi="Arial" w:cs="Arial"/>
          <w:sz w:val="22"/>
          <w:szCs w:val="22"/>
        </w:rPr>
        <w:t>, 9(3), 34–48.</w:t>
      </w:r>
    </w:p>
    <w:p w14:paraId="6F9AC07A" w14:textId="75A872EC"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Flood, C., </w:t>
      </w:r>
      <w:r w:rsidR="002A53F7">
        <w:rPr>
          <w:rStyle w:val="Strong"/>
          <w:rFonts w:ascii="Arial" w:hAnsi="Arial" w:cs="Arial"/>
          <w:b w:val="0"/>
          <w:sz w:val="22"/>
          <w:szCs w:val="22"/>
        </w:rPr>
        <w:t xml:space="preserve">and </w:t>
      </w:r>
      <w:r w:rsidRPr="002A53F7">
        <w:rPr>
          <w:rStyle w:val="Strong"/>
          <w:rFonts w:ascii="Arial" w:hAnsi="Arial" w:cs="Arial"/>
          <w:b w:val="0"/>
          <w:sz w:val="22"/>
          <w:szCs w:val="22"/>
        </w:rPr>
        <w:t>Thomas, B. (2020).</w:t>
      </w:r>
      <w:r w:rsidRPr="002A53F7">
        <w:rPr>
          <w:rFonts w:ascii="Arial" w:hAnsi="Arial" w:cs="Arial"/>
          <w:sz w:val="22"/>
          <w:szCs w:val="22"/>
        </w:rPr>
        <w:t xml:space="preserve"> Fragmentation and coordination challenges in Canada’s COVID-19 response. </w:t>
      </w:r>
      <w:r w:rsidRPr="002A53F7">
        <w:rPr>
          <w:rStyle w:val="Emphasis"/>
          <w:rFonts w:ascii="Arial" w:eastAsiaTheme="majorEastAsia" w:hAnsi="Arial" w:cs="Arial"/>
          <w:sz w:val="22"/>
          <w:szCs w:val="22"/>
        </w:rPr>
        <w:t>Healthcare Papers</w:t>
      </w:r>
      <w:r w:rsidRPr="002A53F7">
        <w:rPr>
          <w:rFonts w:ascii="Arial" w:hAnsi="Arial" w:cs="Arial"/>
          <w:sz w:val="22"/>
          <w:szCs w:val="22"/>
        </w:rPr>
        <w:t>, 19(3), 6–15.</w:t>
      </w:r>
    </w:p>
    <w:p w14:paraId="1ED70202" w14:textId="3C131A28"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García-Basteiro, A., Alvarez-Dardet, C.,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Arenas, A. (2020).</w:t>
      </w:r>
      <w:r w:rsidRPr="002A53F7">
        <w:rPr>
          <w:rFonts w:ascii="Arial" w:hAnsi="Arial" w:cs="Arial"/>
          <w:sz w:val="22"/>
          <w:szCs w:val="22"/>
        </w:rPr>
        <w:t xml:space="preserve"> The need for an independent evaluation of Spain’s pandemic response. </w:t>
      </w:r>
      <w:r w:rsidRPr="002A53F7">
        <w:rPr>
          <w:rStyle w:val="Emphasis"/>
          <w:rFonts w:ascii="Arial" w:eastAsiaTheme="majorEastAsia" w:hAnsi="Arial" w:cs="Arial"/>
          <w:sz w:val="22"/>
          <w:szCs w:val="22"/>
        </w:rPr>
        <w:t>The Lancet Public Health</w:t>
      </w:r>
      <w:r w:rsidRPr="002A53F7">
        <w:rPr>
          <w:rFonts w:ascii="Arial" w:hAnsi="Arial" w:cs="Arial"/>
          <w:sz w:val="22"/>
          <w:szCs w:val="22"/>
        </w:rPr>
        <w:t>, 5(8), e375–e376.</w:t>
      </w:r>
    </w:p>
    <w:p w14:paraId="3974B99B" w14:textId="747D4A8A"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Greer, S., King, E., da Fonseca, E.,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Peralta, A. (2020).</w:t>
      </w:r>
      <w:r w:rsidRPr="002A53F7">
        <w:rPr>
          <w:rFonts w:ascii="Arial" w:hAnsi="Arial" w:cs="Arial"/>
          <w:sz w:val="22"/>
          <w:szCs w:val="22"/>
        </w:rPr>
        <w:t xml:space="preserve"> The comparative politics of COVID-19: The need for global health governance. </w:t>
      </w:r>
      <w:r w:rsidRPr="002A53F7">
        <w:rPr>
          <w:rStyle w:val="Emphasis"/>
          <w:rFonts w:ascii="Arial" w:eastAsiaTheme="majorEastAsia" w:hAnsi="Arial" w:cs="Arial"/>
          <w:sz w:val="22"/>
          <w:szCs w:val="22"/>
        </w:rPr>
        <w:t>Policy and Society</w:t>
      </w:r>
      <w:r w:rsidRPr="002A53F7">
        <w:rPr>
          <w:rFonts w:ascii="Arial" w:hAnsi="Arial" w:cs="Arial"/>
          <w:sz w:val="22"/>
          <w:szCs w:val="22"/>
        </w:rPr>
        <w:t>, 39(3), 304–317.</w:t>
      </w:r>
    </w:p>
    <w:p w14:paraId="4E012F99"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Guisado-Clavero, M., et al. (2023).</w:t>
      </w:r>
      <w:r w:rsidRPr="002A53F7">
        <w:rPr>
          <w:rFonts w:ascii="Arial" w:hAnsi="Arial" w:cs="Arial"/>
          <w:sz w:val="22"/>
          <w:szCs w:val="22"/>
        </w:rPr>
        <w:t xml:space="preserve"> Long-term care mortality in Spain during the COVID-19 pandemic. </w:t>
      </w:r>
      <w:r w:rsidRPr="002A53F7">
        <w:rPr>
          <w:rStyle w:val="Emphasis"/>
          <w:rFonts w:ascii="Arial" w:eastAsiaTheme="majorEastAsia" w:hAnsi="Arial" w:cs="Arial"/>
          <w:sz w:val="22"/>
          <w:szCs w:val="22"/>
        </w:rPr>
        <w:t>Age and Ageing</w:t>
      </w:r>
      <w:r w:rsidRPr="002A53F7">
        <w:rPr>
          <w:rFonts w:ascii="Arial" w:hAnsi="Arial" w:cs="Arial"/>
          <w:sz w:val="22"/>
          <w:szCs w:val="22"/>
        </w:rPr>
        <w:t>, 52(1), afac311.</w:t>
      </w:r>
    </w:p>
    <w:p w14:paraId="1E8BD494"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Kim, S. (2020).</w:t>
      </w:r>
      <w:r w:rsidRPr="002A53F7">
        <w:rPr>
          <w:rFonts w:ascii="Arial" w:hAnsi="Arial" w:cs="Arial"/>
          <w:sz w:val="22"/>
          <w:szCs w:val="22"/>
        </w:rPr>
        <w:t xml:space="preserve"> Public health crisis management and South Korea’s COVID-19 strategy. </w:t>
      </w:r>
      <w:r w:rsidRPr="002A53F7">
        <w:rPr>
          <w:rStyle w:val="Emphasis"/>
          <w:rFonts w:ascii="Arial" w:eastAsiaTheme="majorEastAsia" w:hAnsi="Arial" w:cs="Arial"/>
          <w:sz w:val="22"/>
          <w:szCs w:val="22"/>
        </w:rPr>
        <w:t>Journal of Global Health Science</w:t>
      </w:r>
      <w:r w:rsidRPr="002A53F7">
        <w:rPr>
          <w:rFonts w:ascii="Arial" w:hAnsi="Arial" w:cs="Arial"/>
          <w:sz w:val="22"/>
          <w:szCs w:val="22"/>
        </w:rPr>
        <w:t>, 2(1), e20.</w:t>
      </w:r>
    </w:p>
    <w:p w14:paraId="7566FCFE"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Kwon, K., Ko, J., Shin, H., et al. (2020).</w:t>
      </w:r>
      <w:r w:rsidRPr="002A53F7">
        <w:rPr>
          <w:rFonts w:ascii="Arial" w:hAnsi="Arial" w:cs="Arial"/>
          <w:sz w:val="22"/>
          <w:szCs w:val="22"/>
        </w:rPr>
        <w:t xml:space="preserve"> Drive-through screening centers for COVID-19 in South Korea. </w:t>
      </w:r>
      <w:r w:rsidRPr="002A53F7">
        <w:rPr>
          <w:rStyle w:val="Emphasis"/>
          <w:rFonts w:ascii="Arial" w:eastAsiaTheme="majorEastAsia" w:hAnsi="Arial" w:cs="Arial"/>
          <w:sz w:val="22"/>
          <w:szCs w:val="22"/>
        </w:rPr>
        <w:t>Journal of Korean Medical Science</w:t>
      </w:r>
      <w:r w:rsidRPr="002A53F7">
        <w:rPr>
          <w:rFonts w:ascii="Arial" w:hAnsi="Arial" w:cs="Arial"/>
          <w:sz w:val="22"/>
          <w:szCs w:val="22"/>
        </w:rPr>
        <w:t>, 35(21), e215.</w:t>
      </w:r>
    </w:p>
    <w:p w14:paraId="0B048434" w14:textId="7DA86B72"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Lee, J.,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Kim, T. (2022).</w:t>
      </w:r>
      <w:r w:rsidRPr="002A53F7">
        <w:rPr>
          <w:rFonts w:ascii="Arial" w:hAnsi="Arial" w:cs="Arial"/>
          <w:sz w:val="22"/>
          <w:szCs w:val="22"/>
        </w:rPr>
        <w:t xml:space="preserve"> Burnout among public-health workers during COVID-19 in South Korea. </w:t>
      </w:r>
      <w:r w:rsidRPr="002A53F7">
        <w:rPr>
          <w:rStyle w:val="Emphasis"/>
          <w:rFonts w:ascii="Arial" w:eastAsiaTheme="majorEastAsia" w:hAnsi="Arial" w:cs="Arial"/>
          <w:sz w:val="22"/>
          <w:szCs w:val="22"/>
        </w:rPr>
        <w:t>Public Health</w:t>
      </w:r>
      <w:r w:rsidRPr="002A53F7">
        <w:rPr>
          <w:rFonts w:ascii="Arial" w:hAnsi="Arial" w:cs="Arial"/>
          <w:sz w:val="22"/>
          <w:szCs w:val="22"/>
        </w:rPr>
        <w:t>, 205, 34–40.</w:t>
      </w:r>
    </w:p>
    <w:p w14:paraId="47506FF8"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Maher, C., &amp; Van Rensburg, M. (2022).</w:t>
      </w:r>
      <w:r w:rsidRPr="002A53F7">
        <w:rPr>
          <w:rFonts w:ascii="Arial" w:hAnsi="Arial" w:cs="Arial"/>
          <w:sz w:val="22"/>
          <w:szCs w:val="22"/>
        </w:rPr>
        <w:t xml:space="preserve"> Communicating uncertainty: Mask guidance and evolving evidence in Canada. </w:t>
      </w:r>
      <w:r w:rsidRPr="002A53F7">
        <w:rPr>
          <w:rStyle w:val="Emphasis"/>
          <w:rFonts w:ascii="Arial" w:eastAsiaTheme="majorEastAsia" w:hAnsi="Arial" w:cs="Arial"/>
          <w:sz w:val="22"/>
          <w:szCs w:val="22"/>
        </w:rPr>
        <w:t>Canadian Public Health Review</w:t>
      </w:r>
      <w:r w:rsidRPr="002A53F7">
        <w:rPr>
          <w:rFonts w:ascii="Arial" w:hAnsi="Arial" w:cs="Arial"/>
          <w:sz w:val="22"/>
          <w:szCs w:val="22"/>
        </w:rPr>
        <w:t>, 113(4), 466–475.</w:t>
      </w:r>
    </w:p>
    <w:p w14:paraId="73E455F5"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Marchildon, G. (2021).</w:t>
      </w:r>
      <w:r w:rsidRPr="002A53F7">
        <w:rPr>
          <w:rFonts w:ascii="Arial" w:hAnsi="Arial" w:cs="Arial"/>
          <w:sz w:val="22"/>
          <w:szCs w:val="22"/>
        </w:rPr>
        <w:t xml:space="preserve"> Canadian federalism and the COVID-19 response. </w:t>
      </w:r>
      <w:r w:rsidRPr="002A53F7">
        <w:rPr>
          <w:rStyle w:val="Emphasis"/>
          <w:rFonts w:ascii="Arial" w:eastAsiaTheme="majorEastAsia" w:hAnsi="Arial" w:cs="Arial"/>
          <w:sz w:val="22"/>
          <w:szCs w:val="22"/>
        </w:rPr>
        <w:t>Health Economics, Policy and Law</w:t>
      </w:r>
      <w:r w:rsidRPr="002A53F7">
        <w:rPr>
          <w:rFonts w:ascii="Arial" w:hAnsi="Arial" w:cs="Arial"/>
          <w:sz w:val="22"/>
          <w:szCs w:val="22"/>
        </w:rPr>
        <w:t>, 16(3), 267–284.</w:t>
      </w:r>
    </w:p>
    <w:p w14:paraId="19C2822E"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Merkley, E., et al. (2021).</w:t>
      </w:r>
      <w:r w:rsidRPr="002A53F7">
        <w:rPr>
          <w:rFonts w:ascii="Arial" w:hAnsi="Arial" w:cs="Arial"/>
          <w:sz w:val="22"/>
          <w:szCs w:val="22"/>
        </w:rPr>
        <w:t xml:space="preserve"> Public trust, compliance and political communication during the COVID-19 pandemic in Canada. </w:t>
      </w:r>
      <w:r w:rsidRPr="002A53F7">
        <w:rPr>
          <w:rStyle w:val="Emphasis"/>
          <w:rFonts w:ascii="Arial" w:eastAsiaTheme="majorEastAsia" w:hAnsi="Arial" w:cs="Arial"/>
          <w:sz w:val="22"/>
          <w:szCs w:val="22"/>
        </w:rPr>
        <w:t>Canadian Journal of Political Science</w:t>
      </w:r>
      <w:r w:rsidRPr="002A53F7">
        <w:rPr>
          <w:rFonts w:ascii="Arial" w:hAnsi="Arial" w:cs="Arial"/>
          <w:sz w:val="22"/>
          <w:szCs w:val="22"/>
        </w:rPr>
        <w:t>, 54(2), 1–23.</w:t>
      </w:r>
    </w:p>
    <w:p w14:paraId="5608E105" w14:textId="7325D603"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Murison, S.,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Mallory, G. (2021).</w:t>
      </w:r>
      <w:r w:rsidRPr="002A53F7">
        <w:rPr>
          <w:rFonts w:ascii="Arial" w:hAnsi="Arial" w:cs="Arial"/>
          <w:sz w:val="22"/>
          <w:szCs w:val="22"/>
        </w:rPr>
        <w:t xml:space="preserve"> Governing the Atlantic Bubble: Regional coordination during the COVID-19 pandemic. </w:t>
      </w:r>
      <w:r w:rsidRPr="002A53F7">
        <w:rPr>
          <w:rStyle w:val="Emphasis"/>
          <w:rFonts w:ascii="Arial" w:eastAsiaTheme="majorEastAsia" w:hAnsi="Arial" w:cs="Arial"/>
          <w:sz w:val="22"/>
          <w:szCs w:val="22"/>
        </w:rPr>
        <w:t>Canadian Public Administration</w:t>
      </w:r>
      <w:r w:rsidRPr="002A53F7">
        <w:rPr>
          <w:rFonts w:ascii="Arial" w:hAnsi="Arial" w:cs="Arial"/>
          <w:sz w:val="22"/>
          <w:szCs w:val="22"/>
        </w:rPr>
        <w:t>, 64(3), 397–417.</w:t>
      </w:r>
    </w:p>
    <w:p w14:paraId="2DAD7381"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Murthy, S., et al. (2021).</w:t>
      </w:r>
      <w:r w:rsidRPr="002A53F7">
        <w:rPr>
          <w:rFonts w:ascii="Arial" w:hAnsi="Arial" w:cs="Arial"/>
          <w:sz w:val="22"/>
          <w:szCs w:val="22"/>
        </w:rPr>
        <w:t xml:space="preserve"> ICU strain and mortality variation during COVID-19 surges across Canadian provinces. </w:t>
      </w:r>
      <w:r w:rsidRPr="002A53F7">
        <w:rPr>
          <w:rStyle w:val="Emphasis"/>
          <w:rFonts w:ascii="Arial" w:eastAsiaTheme="majorEastAsia" w:hAnsi="Arial" w:cs="Arial"/>
          <w:sz w:val="22"/>
          <w:szCs w:val="22"/>
        </w:rPr>
        <w:t>CMAJ</w:t>
      </w:r>
      <w:r w:rsidRPr="002A53F7">
        <w:rPr>
          <w:rFonts w:ascii="Arial" w:hAnsi="Arial" w:cs="Arial"/>
          <w:sz w:val="22"/>
          <w:szCs w:val="22"/>
        </w:rPr>
        <w:t>, 193(17), E611–E620.</w:t>
      </w:r>
    </w:p>
    <w:p w14:paraId="7234EAE9"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Oh, J., Lee, J., Schwarz, D., et al. (2020).</w:t>
      </w:r>
      <w:r w:rsidRPr="002A53F7">
        <w:rPr>
          <w:rFonts w:ascii="Arial" w:hAnsi="Arial" w:cs="Arial"/>
          <w:sz w:val="22"/>
          <w:szCs w:val="22"/>
        </w:rPr>
        <w:t xml:space="preserve"> National response to COVID-19 in South Korea and lessons learned. </w:t>
      </w:r>
      <w:r w:rsidRPr="002A53F7">
        <w:rPr>
          <w:rStyle w:val="Emphasis"/>
          <w:rFonts w:ascii="Arial" w:eastAsiaTheme="majorEastAsia" w:hAnsi="Arial" w:cs="Arial"/>
          <w:sz w:val="22"/>
          <w:szCs w:val="22"/>
        </w:rPr>
        <w:t>Health Systems &amp; Reform</w:t>
      </w:r>
      <w:r w:rsidRPr="002A53F7">
        <w:rPr>
          <w:rFonts w:ascii="Arial" w:hAnsi="Arial" w:cs="Arial"/>
          <w:sz w:val="22"/>
          <w:szCs w:val="22"/>
        </w:rPr>
        <w:t>, 6(1), e1753464.</w:t>
      </w:r>
    </w:p>
    <w:p w14:paraId="7324DEAF"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Otero-García, L., et al. (2023).</w:t>
      </w:r>
      <w:r w:rsidRPr="002A53F7">
        <w:rPr>
          <w:rFonts w:ascii="Arial" w:hAnsi="Arial" w:cs="Arial"/>
          <w:sz w:val="22"/>
          <w:szCs w:val="22"/>
        </w:rPr>
        <w:t xml:space="preserve"> Regional differences and pandemic outcomes in Spain: A health-system perspective. </w:t>
      </w:r>
      <w:r w:rsidRPr="002A53F7">
        <w:rPr>
          <w:rStyle w:val="Emphasis"/>
          <w:rFonts w:ascii="Arial" w:eastAsiaTheme="majorEastAsia" w:hAnsi="Arial" w:cs="Arial"/>
          <w:sz w:val="22"/>
          <w:szCs w:val="22"/>
        </w:rPr>
        <w:t>International Journal of Environmental Research and Public Health</w:t>
      </w:r>
      <w:r w:rsidRPr="002A53F7">
        <w:rPr>
          <w:rFonts w:ascii="Arial" w:hAnsi="Arial" w:cs="Arial"/>
          <w:sz w:val="22"/>
          <w:szCs w:val="22"/>
        </w:rPr>
        <w:t>, 20(2), 1534.</w:t>
      </w:r>
    </w:p>
    <w:p w14:paraId="687FCB18" w14:textId="7C674751"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Park, S., Choi, G.,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Ko, H. (2020).</w:t>
      </w:r>
      <w:r w:rsidRPr="002A53F7">
        <w:rPr>
          <w:rFonts w:ascii="Arial" w:hAnsi="Arial" w:cs="Arial"/>
          <w:sz w:val="22"/>
          <w:szCs w:val="22"/>
        </w:rPr>
        <w:t xml:space="preserve"> Information technology–based tracing strategy in response to COVID-19 in South Korea. </w:t>
      </w:r>
      <w:r w:rsidRPr="002A53F7">
        <w:rPr>
          <w:rStyle w:val="Emphasis"/>
          <w:rFonts w:ascii="Arial" w:eastAsiaTheme="majorEastAsia" w:hAnsi="Arial" w:cs="Arial"/>
          <w:sz w:val="22"/>
          <w:szCs w:val="22"/>
        </w:rPr>
        <w:t>JAMA</w:t>
      </w:r>
      <w:r w:rsidRPr="002A53F7">
        <w:rPr>
          <w:rFonts w:ascii="Arial" w:hAnsi="Arial" w:cs="Arial"/>
          <w:sz w:val="22"/>
          <w:szCs w:val="22"/>
        </w:rPr>
        <w:t>, 323(21), 2129–2130.</w:t>
      </w:r>
    </w:p>
    <w:p w14:paraId="099F4ABD" w14:textId="7AFBEA8B"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Park, Y.,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Chung, H. (2021).</w:t>
      </w:r>
      <w:r w:rsidRPr="002A53F7">
        <w:rPr>
          <w:rFonts w:ascii="Arial" w:hAnsi="Arial" w:cs="Arial"/>
          <w:sz w:val="22"/>
          <w:szCs w:val="22"/>
        </w:rPr>
        <w:t xml:space="preserve"> Centralised coordination and pandemic governance in South Korea. </w:t>
      </w:r>
      <w:r w:rsidRPr="002A53F7">
        <w:rPr>
          <w:rStyle w:val="Emphasis"/>
          <w:rFonts w:ascii="Arial" w:eastAsiaTheme="majorEastAsia" w:hAnsi="Arial" w:cs="Arial"/>
          <w:sz w:val="22"/>
          <w:szCs w:val="22"/>
        </w:rPr>
        <w:t>Asian Survey</w:t>
      </w:r>
      <w:r w:rsidRPr="002A53F7">
        <w:rPr>
          <w:rFonts w:ascii="Arial" w:hAnsi="Arial" w:cs="Arial"/>
          <w:sz w:val="22"/>
          <w:szCs w:val="22"/>
        </w:rPr>
        <w:t>, 61(6), 1084–1107.</w:t>
      </w:r>
    </w:p>
    <w:p w14:paraId="3F02E12B" w14:textId="3BA669F0"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 xml:space="preserve">Ryu, S., </w:t>
      </w:r>
      <w:r w:rsidR="002A53F7">
        <w:rPr>
          <w:rStyle w:val="Strong"/>
          <w:rFonts w:ascii="Arial" w:hAnsi="Arial" w:cs="Arial"/>
          <w:b w:val="0"/>
          <w:sz w:val="22"/>
          <w:szCs w:val="22"/>
        </w:rPr>
        <w:t>and</w:t>
      </w:r>
      <w:r w:rsidRPr="002A53F7">
        <w:rPr>
          <w:rStyle w:val="Strong"/>
          <w:rFonts w:ascii="Arial" w:hAnsi="Arial" w:cs="Arial"/>
          <w:b w:val="0"/>
          <w:sz w:val="22"/>
          <w:szCs w:val="22"/>
        </w:rPr>
        <w:t xml:space="preserve"> Chun, B. (2020).</w:t>
      </w:r>
      <w:r w:rsidRPr="002A53F7">
        <w:rPr>
          <w:rFonts w:ascii="Arial" w:hAnsi="Arial" w:cs="Arial"/>
          <w:sz w:val="22"/>
          <w:szCs w:val="22"/>
        </w:rPr>
        <w:t xml:space="preserve"> Epidemiological insights into South Korea’s early COVID-19 containment. </w:t>
      </w:r>
      <w:r w:rsidRPr="002A53F7">
        <w:rPr>
          <w:rStyle w:val="Emphasis"/>
          <w:rFonts w:ascii="Arial" w:eastAsiaTheme="majorEastAsia" w:hAnsi="Arial" w:cs="Arial"/>
          <w:sz w:val="22"/>
          <w:szCs w:val="22"/>
        </w:rPr>
        <w:t>Epidemiology and Health</w:t>
      </w:r>
      <w:r w:rsidRPr="002A53F7">
        <w:rPr>
          <w:rFonts w:ascii="Arial" w:hAnsi="Arial" w:cs="Arial"/>
          <w:sz w:val="22"/>
          <w:szCs w:val="22"/>
        </w:rPr>
        <w:t>, 42, e2020014.</w:t>
      </w:r>
    </w:p>
    <w:p w14:paraId="6C850469"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Saltman, R. (2018).</w:t>
      </w:r>
      <w:r w:rsidRPr="002A53F7">
        <w:rPr>
          <w:rFonts w:ascii="Arial" w:hAnsi="Arial" w:cs="Arial"/>
          <w:sz w:val="22"/>
          <w:szCs w:val="22"/>
        </w:rPr>
        <w:t xml:space="preserve"> Decentralisation, re-centralisation and future European health systems. </w:t>
      </w:r>
      <w:r w:rsidRPr="002A53F7">
        <w:rPr>
          <w:rStyle w:val="Emphasis"/>
          <w:rFonts w:ascii="Arial" w:eastAsiaTheme="majorEastAsia" w:hAnsi="Arial" w:cs="Arial"/>
          <w:sz w:val="22"/>
          <w:szCs w:val="22"/>
        </w:rPr>
        <w:t>Health Policy</w:t>
      </w:r>
      <w:r w:rsidRPr="002A53F7">
        <w:rPr>
          <w:rFonts w:ascii="Arial" w:hAnsi="Arial" w:cs="Arial"/>
          <w:sz w:val="22"/>
          <w:szCs w:val="22"/>
        </w:rPr>
        <w:t>, 122(2), 107–113.</w:t>
      </w:r>
    </w:p>
    <w:p w14:paraId="46072F86"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Shin, H., Kwon, O., Kim, H., et al. (2021).</w:t>
      </w:r>
      <w:r w:rsidRPr="002A53F7">
        <w:rPr>
          <w:rFonts w:ascii="Arial" w:hAnsi="Arial" w:cs="Arial"/>
          <w:sz w:val="22"/>
          <w:szCs w:val="22"/>
        </w:rPr>
        <w:t xml:space="preserve"> Effectiveness of South Korea’s test-trace-isolate strategy during COVID-19. </w:t>
      </w:r>
      <w:r w:rsidRPr="002A53F7">
        <w:rPr>
          <w:rStyle w:val="Emphasis"/>
          <w:rFonts w:ascii="Arial" w:eastAsiaTheme="majorEastAsia" w:hAnsi="Arial" w:cs="Arial"/>
          <w:sz w:val="22"/>
          <w:szCs w:val="22"/>
        </w:rPr>
        <w:t>International Journal of Infectious Diseases</w:t>
      </w:r>
      <w:r w:rsidRPr="002A53F7">
        <w:rPr>
          <w:rFonts w:ascii="Arial" w:hAnsi="Arial" w:cs="Arial"/>
          <w:sz w:val="22"/>
          <w:szCs w:val="22"/>
        </w:rPr>
        <w:t>, 110, 217–225.</w:t>
      </w:r>
    </w:p>
    <w:p w14:paraId="1CB6F96E"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Stall, N., et al. (2020).</w:t>
      </w:r>
      <w:r w:rsidRPr="002A53F7">
        <w:rPr>
          <w:rFonts w:ascii="Arial" w:hAnsi="Arial" w:cs="Arial"/>
          <w:sz w:val="22"/>
          <w:szCs w:val="22"/>
        </w:rPr>
        <w:t xml:space="preserve"> Long-term care and COVID-19 in Canada: A tragic failure. </w:t>
      </w:r>
      <w:r w:rsidRPr="002A53F7">
        <w:rPr>
          <w:rStyle w:val="Emphasis"/>
          <w:rFonts w:ascii="Arial" w:eastAsiaTheme="majorEastAsia" w:hAnsi="Arial" w:cs="Arial"/>
          <w:sz w:val="22"/>
          <w:szCs w:val="22"/>
        </w:rPr>
        <w:t>Science</w:t>
      </w:r>
      <w:r w:rsidRPr="002A53F7">
        <w:rPr>
          <w:rFonts w:ascii="Arial" w:hAnsi="Arial" w:cs="Arial"/>
          <w:sz w:val="22"/>
          <w:szCs w:val="22"/>
        </w:rPr>
        <w:t>, 369(6505), 263–265.</w:t>
      </w:r>
    </w:p>
    <w:p w14:paraId="328BAAF5"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Valle, J. (2021).</w:t>
      </w:r>
      <w:r w:rsidRPr="002A53F7">
        <w:rPr>
          <w:rFonts w:ascii="Arial" w:hAnsi="Arial" w:cs="Arial"/>
          <w:sz w:val="22"/>
          <w:szCs w:val="22"/>
        </w:rPr>
        <w:t xml:space="preserve"> Decentralisation, public-health capacity and COVID-19 in Spain. </w:t>
      </w:r>
      <w:r w:rsidRPr="002A53F7">
        <w:rPr>
          <w:rStyle w:val="Emphasis"/>
          <w:rFonts w:ascii="Arial" w:eastAsiaTheme="majorEastAsia" w:hAnsi="Arial" w:cs="Arial"/>
          <w:sz w:val="22"/>
          <w:szCs w:val="22"/>
        </w:rPr>
        <w:t>Health Policy</w:t>
      </w:r>
      <w:r w:rsidRPr="002A53F7">
        <w:rPr>
          <w:rFonts w:ascii="Arial" w:hAnsi="Arial" w:cs="Arial"/>
          <w:sz w:val="22"/>
          <w:szCs w:val="22"/>
        </w:rPr>
        <w:t>, 125(9), 1179–1187.</w:t>
      </w:r>
    </w:p>
    <w:p w14:paraId="332A431C" w14:textId="77777777" w:rsidR="007632D9" w:rsidRPr="002A53F7" w:rsidRDefault="007632D9" w:rsidP="002A53F7">
      <w:pPr>
        <w:pStyle w:val="NormalWeb"/>
        <w:spacing w:line="360" w:lineRule="auto"/>
        <w:rPr>
          <w:rFonts w:ascii="Arial" w:hAnsi="Arial" w:cs="Arial"/>
          <w:sz w:val="22"/>
          <w:szCs w:val="22"/>
        </w:rPr>
      </w:pPr>
      <w:r w:rsidRPr="002A53F7">
        <w:rPr>
          <w:rStyle w:val="Strong"/>
          <w:rFonts w:ascii="Arial" w:hAnsi="Arial" w:cs="Arial"/>
          <w:b w:val="0"/>
          <w:sz w:val="22"/>
          <w:szCs w:val="22"/>
        </w:rPr>
        <w:t>Vampa, D. (2021).</w:t>
      </w:r>
      <w:r w:rsidRPr="002A53F7">
        <w:rPr>
          <w:rFonts w:ascii="Arial" w:hAnsi="Arial" w:cs="Arial"/>
          <w:sz w:val="22"/>
          <w:szCs w:val="22"/>
        </w:rPr>
        <w:t xml:space="preserve"> Pandemic politics and regional governance in Spain. </w:t>
      </w:r>
      <w:r w:rsidRPr="002A53F7">
        <w:rPr>
          <w:rStyle w:val="Emphasis"/>
          <w:rFonts w:ascii="Arial" w:eastAsiaTheme="majorEastAsia" w:hAnsi="Arial" w:cs="Arial"/>
          <w:sz w:val="22"/>
          <w:szCs w:val="22"/>
        </w:rPr>
        <w:t>Territory, Politics, Governance</w:t>
      </w:r>
      <w:r w:rsidRPr="002A53F7">
        <w:rPr>
          <w:rFonts w:ascii="Arial" w:hAnsi="Arial" w:cs="Arial"/>
          <w:sz w:val="22"/>
          <w:szCs w:val="22"/>
        </w:rPr>
        <w:t>, 9(3), 324–345.</w:t>
      </w:r>
    </w:p>
    <w:p w14:paraId="529E336D" w14:textId="73182778" w:rsidR="007632D9" w:rsidRPr="009912E6" w:rsidRDefault="007632D9" w:rsidP="002A53F7">
      <w:pPr>
        <w:pStyle w:val="NormalWeb"/>
        <w:spacing w:line="360" w:lineRule="auto"/>
        <w:rPr>
          <w:rFonts w:asciiTheme="minorHAnsi" w:hAnsiTheme="minorHAnsi" w:cstheme="minorHAnsi"/>
        </w:rPr>
      </w:pPr>
      <w:r w:rsidRPr="002A53F7">
        <w:rPr>
          <w:rStyle w:val="Strong"/>
          <w:rFonts w:ascii="Arial" w:hAnsi="Arial" w:cs="Arial"/>
          <w:b w:val="0"/>
          <w:sz w:val="22"/>
          <w:szCs w:val="22"/>
        </w:rPr>
        <w:t>Wilson, K., et al. (2020).</w:t>
      </w:r>
      <w:r w:rsidRPr="002A53F7">
        <w:rPr>
          <w:rFonts w:ascii="Arial" w:hAnsi="Arial" w:cs="Arial"/>
          <w:sz w:val="22"/>
          <w:szCs w:val="22"/>
        </w:rPr>
        <w:t xml:space="preserve"> Canada’s federal public-health response to COVID-19: Border policy, vaccines and coordination. </w:t>
      </w:r>
      <w:r w:rsidRPr="002A53F7">
        <w:rPr>
          <w:rStyle w:val="Emphasis"/>
          <w:rFonts w:ascii="Arial" w:eastAsiaTheme="majorEastAsia" w:hAnsi="Arial" w:cs="Arial"/>
          <w:sz w:val="22"/>
          <w:szCs w:val="22"/>
        </w:rPr>
        <w:t>The Lancet Public Health</w:t>
      </w:r>
      <w:r w:rsidRPr="002A53F7">
        <w:rPr>
          <w:rFonts w:ascii="Arial" w:hAnsi="Arial" w:cs="Arial"/>
          <w:sz w:val="22"/>
          <w:szCs w:val="22"/>
        </w:rPr>
        <w:t>, 5(9), e475–e485</w:t>
      </w:r>
      <w:r w:rsidRPr="009912E6">
        <w:rPr>
          <w:rFonts w:asciiTheme="minorHAnsi" w:hAnsiTheme="minorHAnsi" w:cstheme="minorHAnsi"/>
        </w:rPr>
        <w:t>.</w:t>
      </w:r>
    </w:p>
    <w:sectPr w:rsidR="007632D9" w:rsidRPr="009912E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47779" w14:textId="77777777" w:rsidR="00086F51" w:rsidRDefault="00086F51" w:rsidP="00723E1B">
      <w:pPr>
        <w:spacing w:after="0" w:line="240" w:lineRule="auto"/>
      </w:pPr>
      <w:r>
        <w:separator/>
      </w:r>
    </w:p>
  </w:endnote>
  <w:endnote w:type="continuationSeparator" w:id="0">
    <w:p w14:paraId="4A7691D1" w14:textId="77777777" w:rsidR="00086F51" w:rsidRDefault="00086F51" w:rsidP="00723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5004353"/>
      <w:docPartObj>
        <w:docPartGallery w:val="Page Numbers (Bottom of Page)"/>
        <w:docPartUnique/>
      </w:docPartObj>
    </w:sdtPr>
    <w:sdtEndPr>
      <w:rPr>
        <w:noProof/>
      </w:rPr>
    </w:sdtEndPr>
    <w:sdtContent>
      <w:p w14:paraId="56F445A7" w14:textId="426C90E9" w:rsidR="00C83E62" w:rsidRDefault="00C83E62">
        <w:pPr>
          <w:pStyle w:val="Footer"/>
          <w:jc w:val="center"/>
        </w:pPr>
        <w:r>
          <w:fldChar w:fldCharType="begin"/>
        </w:r>
        <w:r>
          <w:instrText xml:space="preserve"> PAGE   \* MERGEFORMAT </w:instrText>
        </w:r>
        <w:r>
          <w:fldChar w:fldCharType="separate"/>
        </w:r>
        <w:r w:rsidR="00C86DEE">
          <w:rPr>
            <w:noProof/>
          </w:rPr>
          <w:t>23</w:t>
        </w:r>
        <w:r>
          <w:rPr>
            <w:noProof/>
          </w:rPr>
          <w:fldChar w:fldCharType="end"/>
        </w:r>
      </w:p>
    </w:sdtContent>
  </w:sdt>
  <w:p w14:paraId="152F4F94" w14:textId="77777777" w:rsidR="00C83E62" w:rsidRDefault="00C83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F5912" w14:textId="77777777" w:rsidR="00086F51" w:rsidRDefault="00086F51" w:rsidP="00723E1B">
      <w:pPr>
        <w:spacing w:after="0" w:line="240" w:lineRule="auto"/>
      </w:pPr>
      <w:r>
        <w:separator/>
      </w:r>
    </w:p>
  </w:footnote>
  <w:footnote w:type="continuationSeparator" w:id="0">
    <w:p w14:paraId="2F530FA2" w14:textId="77777777" w:rsidR="00086F51" w:rsidRDefault="00086F51" w:rsidP="00723E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5EFB"/>
    <w:multiLevelType w:val="hybridMultilevel"/>
    <w:tmpl w:val="1FFA0308"/>
    <w:lvl w:ilvl="0" w:tplc="5C20984A">
      <w:numFmt w:val="bullet"/>
      <w:lvlText w:val="•"/>
      <w:lvlJc w:val="left"/>
      <w:pPr>
        <w:ind w:left="1777" w:hanging="360"/>
      </w:pPr>
      <w:rPr>
        <w:rFonts w:ascii="Times New Roman" w:eastAsia="Times New Roman" w:hAnsi="Times New Roman" w:cs="Times New Roman" w:hint="default"/>
      </w:rPr>
    </w:lvl>
    <w:lvl w:ilvl="1" w:tplc="08090003">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1" w15:restartNumberingAfterBreak="0">
    <w:nsid w:val="09AF299F"/>
    <w:multiLevelType w:val="hybridMultilevel"/>
    <w:tmpl w:val="F640B766"/>
    <w:lvl w:ilvl="0" w:tplc="5C20984A">
      <w:numFmt w:val="bullet"/>
      <w:lvlText w:val="•"/>
      <w:lvlJc w:val="left"/>
      <w:pPr>
        <w:ind w:left="1080" w:hanging="360"/>
      </w:pPr>
      <w:rPr>
        <w:rFonts w:ascii="Times New Roman" w:eastAsia="Times New Roman" w:hAnsi="Times New Roman" w:cs="Times New Roman" w:hint="default"/>
      </w:rPr>
    </w:lvl>
    <w:lvl w:ilvl="1" w:tplc="5BB83606">
      <w:numFmt w:val="bullet"/>
      <w:lvlText w:val="-"/>
      <w:lvlJc w:val="left"/>
      <w:pPr>
        <w:ind w:left="1800" w:hanging="360"/>
      </w:pPr>
      <w:rPr>
        <w:rFonts w:ascii="Times New Roman" w:eastAsia="Times New Roman" w:hAnsi="Times New Roman" w:cs="Times New Roman"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B417F0"/>
    <w:multiLevelType w:val="multilevel"/>
    <w:tmpl w:val="30EC4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5C4E8D"/>
    <w:multiLevelType w:val="hybridMultilevel"/>
    <w:tmpl w:val="9B78E660"/>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D1E30"/>
    <w:multiLevelType w:val="multilevel"/>
    <w:tmpl w:val="8768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986DD8"/>
    <w:multiLevelType w:val="hybridMultilevel"/>
    <w:tmpl w:val="A664F406"/>
    <w:lvl w:ilvl="0" w:tplc="5C20984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49E4AD2"/>
    <w:multiLevelType w:val="hybridMultilevel"/>
    <w:tmpl w:val="DF9C0178"/>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6C6A33"/>
    <w:multiLevelType w:val="hybridMultilevel"/>
    <w:tmpl w:val="C824B890"/>
    <w:lvl w:ilvl="0" w:tplc="5C20984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DFA6E8D"/>
    <w:multiLevelType w:val="multilevel"/>
    <w:tmpl w:val="D59C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C4A2C"/>
    <w:multiLevelType w:val="hybridMultilevel"/>
    <w:tmpl w:val="90AEC8FE"/>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F77307"/>
    <w:multiLevelType w:val="hybridMultilevel"/>
    <w:tmpl w:val="5D98E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771BF7"/>
    <w:multiLevelType w:val="hybridMultilevel"/>
    <w:tmpl w:val="F332666A"/>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5E5E0B"/>
    <w:multiLevelType w:val="hybridMultilevel"/>
    <w:tmpl w:val="12DA80DE"/>
    <w:lvl w:ilvl="0" w:tplc="5C20984A">
      <w:numFmt w:val="bullet"/>
      <w:lvlText w:val="•"/>
      <w:lvlJc w:val="left"/>
      <w:pPr>
        <w:ind w:left="2160" w:hanging="360"/>
      </w:pPr>
      <w:rPr>
        <w:rFonts w:ascii="Times New Roman" w:eastAsia="Times New Roman" w:hAnsi="Times New Roman"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E347069"/>
    <w:multiLevelType w:val="hybridMultilevel"/>
    <w:tmpl w:val="605E8846"/>
    <w:lvl w:ilvl="0" w:tplc="5C20984A">
      <w:numFmt w:val="bullet"/>
      <w:lvlText w:val="•"/>
      <w:lvlJc w:val="left"/>
      <w:pPr>
        <w:ind w:left="2160" w:hanging="360"/>
      </w:pPr>
      <w:rPr>
        <w:rFonts w:ascii="Times New Roman" w:eastAsia="Times New Roman" w:hAnsi="Times New Roman"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4F2C0D31"/>
    <w:multiLevelType w:val="hybridMultilevel"/>
    <w:tmpl w:val="95F0C1C8"/>
    <w:lvl w:ilvl="0" w:tplc="5C20984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22520B"/>
    <w:multiLevelType w:val="hybridMultilevel"/>
    <w:tmpl w:val="66CE4A22"/>
    <w:lvl w:ilvl="0" w:tplc="5C20984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9F31B46"/>
    <w:multiLevelType w:val="multilevel"/>
    <w:tmpl w:val="81947DC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A153106"/>
    <w:multiLevelType w:val="hybridMultilevel"/>
    <w:tmpl w:val="E7C05C86"/>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F849FA"/>
    <w:multiLevelType w:val="multilevel"/>
    <w:tmpl w:val="7E0AD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BD5064"/>
    <w:multiLevelType w:val="multilevel"/>
    <w:tmpl w:val="C110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825CBD"/>
    <w:multiLevelType w:val="hybridMultilevel"/>
    <w:tmpl w:val="09CAEA38"/>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980E7D"/>
    <w:multiLevelType w:val="hybridMultilevel"/>
    <w:tmpl w:val="E918D7B2"/>
    <w:lvl w:ilvl="0" w:tplc="5C20984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8F008A"/>
    <w:multiLevelType w:val="hybridMultilevel"/>
    <w:tmpl w:val="C84EFE64"/>
    <w:lvl w:ilvl="0" w:tplc="5C20984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9C0D7C"/>
    <w:multiLevelType w:val="hybridMultilevel"/>
    <w:tmpl w:val="EBA6F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100129"/>
    <w:multiLevelType w:val="hybridMultilevel"/>
    <w:tmpl w:val="70E8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941570">
    <w:abstractNumId w:val="4"/>
  </w:num>
  <w:num w:numId="2" w16cid:durableId="834610066">
    <w:abstractNumId w:val="19"/>
  </w:num>
  <w:num w:numId="3" w16cid:durableId="1972900719">
    <w:abstractNumId w:val="8"/>
  </w:num>
  <w:num w:numId="4" w16cid:durableId="156312829">
    <w:abstractNumId w:val="18"/>
  </w:num>
  <w:num w:numId="5" w16cid:durableId="2107724164">
    <w:abstractNumId w:val="24"/>
  </w:num>
  <w:num w:numId="6" w16cid:durableId="1477330745">
    <w:abstractNumId w:val="6"/>
  </w:num>
  <w:num w:numId="7" w16cid:durableId="1948999961">
    <w:abstractNumId w:val="15"/>
  </w:num>
  <w:num w:numId="8" w16cid:durableId="1505049077">
    <w:abstractNumId w:val="5"/>
  </w:num>
  <w:num w:numId="9" w16cid:durableId="1576281687">
    <w:abstractNumId w:val="1"/>
  </w:num>
  <w:num w:numId="10" w16cid:durableId="129907663">
    <w:abstractNumId w:val="3"/>
  </w:num>
  <w:num w:numId="11" w16cid:durableId="1857377451">
    <w:abstractNumId w:val="11"/>
  </w:num>
  <w:num w:numId="12" w16cid:durableId="153299038">
    <w:abstractNumId w:val="7"/>
  </w:num>
  <w:num w:numId="13" w16cid:durableId="837422656">
    <w:abstractNumId w:val="20"/>
  </w:num>
  <w:num w:numId="14" w16cid:durableId="2070686693">
    <w:abstractNumId w:val="22"/>
  </w:num>
  <w:num w:numId="15" w16cid:durableId="317930244">
    <w:abstractNumId w:val="0"/>
  </w:num>
  <w:num w:numId="16" w16cid:durableId="1630671281">
    <w:abstractNumId w:val="14"/>
  </w:num>
  <w:num w:numId="17" w16cid:durableId="1858421007">
    <w:abstractNumId w:val="17"/>
  </w:num>
  <w:num w:numId="18" w16cid:durableId="1083724255">
    <w:abstractNumId w:val="21"/>
  </w:num>
  <w:num w:numId="19" w16cid:durableId="573857793">
    <w:abstractNumId w:val="12"/>
  </w:num>
  <w:num w:numId="20" w16cid:durableId="34159280">
    <w:abstractNumId w:val="13"/>
  </w:num>
  <w:num w:numId="21" w16cid:durableId="113982660">
    <w:abstractNumId w:val="9"/>
  </w:num>
  <w:num w:numId="22" w16cid:durableId="969239995">
    <w:abstractNumId w:val="2"/>
  </w:num>
  <w:num w:numId="23" w16cid:durableId="428700976">
    <w:abstractNumId w:val="23"/>
  </w:num>
  <w:num w:numId="24" w16cid:durableId="2101367299">
    <w:abstractNumId w:val="10"/>
  </w:num>
  <w:num w:numId="25" w16cid:durableId="17906644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CA3"/>
    <w:rsid w:val="00025365"/>
    <w:rsid w:val="00047A76"/>
    <w:rsid w:val="00086F51"/>
    <w:rsid w:val="00096CBB"/>
    <w:rsid w:val="000B5CA6"/>
    <w:rsid w:val="001111E7"/>
    <w:rsid w:val="001122CA"/>
    <w:rsid w:val="00127172"/>
    <w:rsid w:val="00156D9B"/>
    <w:rsid w:val="00177668"/>
    <w:rsid w:val="00186990"/>
    <w:rsid w:val="001E50C2"/>
    <w:rsid w:val="00216D28"/>
    <w:rsid w:val="00253A25"/>
    <w:rsid w:val="002A53F7"/>
    <w:rsid w:val="002C5D70"/>
    <w:rsid w:val="002C75F2"/>
    <w:rsid w:val="002E5CBC"/>
    <w:rsid w:val="002F74DB"/>
    <w:rsid w:val="00301E80"/>
    <w:rsid w:val="00304F11"/>
    <w:rsid w:val="00323DB8"/>
    <w:rsid w:val="00323E02"/>
    <w:rsid w:val="00334D08"/>
    <w:rsid w:val="00347A01"/>
    <w:rsid w:val="00376ACA"/>
    <w:rsid w:val="003858F8"/>
    <w:rsid w:val="003B4A7B"/>
    <w:rsid w:val="003E0BCA"/>
    <w:rsid w:val="003E264E"/>
    <w:rsid w:val="00405818"/>
    <w:rsid w:val="00456786"/>
    <w:rsid w:val="00475BAD"/>
    <w:rsid w:val="0047633F"/>
    <w:rsid w:val="00480792"/>
    <w:rsid w:val="004A063C"/>
    <w:rsid w:val="004C723E"/>
    <w:rsid w:val="004D25FB"/>
    <w:rsid w:val="004E7BCD"/>
    <w:rsid w:val="0052452E"/>
    <w:rsid w:val="00525E77"/>
    <w:rsid w:val="00533731"/>
    <w:rsid w:val="005503B6"/>
    <w:rsid w:val="00552A50"/>
    <w:rsid w:val="00564240"/>
    <w:rsid w:val="005659D7"/>
    <w:rsid w:val="00584455"/>
    <w:rsid w:val="005A1F19"/>
    <w:rsid w:val="005D4DD9"/>
    <w:rsid w:val="00620E06"/>
    <w:rsid w:val="00626AC8"/>
    <w:rsid w:val="00635E2D"/>
    <w:rsid w:val="00674FD1"/>
    <w:rsid w:val="00681BCA"/>
    <w:rsid w:val="00691073"/>
    <w:rsid w:val="006A4A8A"/>
    <w:rsid w:val="006C12AB"/>
    <w:rsid w:val="006E03EB"/>
    <w:rsid w:val="006F67EB"/>
    <w:rsid w:val="0071423E"/>
    <w:rsid w:val="00715DC0"/>
    <w:rsid w:val="00723E1B"/>
    <w:rsid w:val="00730831"/>
    <w:rsid w:val="0074396D"/>
    <w:rsid w:val="007632D9"/>
    <w:rsid w:val="00763DEB"/>
    <w:rsid w:val="00772ECA"/>
    <w:rsid w:val="007A6BE3"/>
    <w:rsid w:val="007B425E"/>
    <w:rsid w:val="007C6CA3"/>
    <w:rsid w:val="008025E9"/>
    <w:rsid w:val="00805FEC"/>
    <w:rsid w:val="00807DA8"/>
    <w:rsid w:val="00897742"/>
    <w:rsid w:val="008B7D7D"/>
    <w:rsid w:val="009164EB"/>
    <w:rsid w:val="00920552"/>
    <w:rsid w:val="00946273"/>
    <w:rsid w:val="009747BF"/>
    <w:rsid w:val="009912E6"/>
    <w:rsid w:val="00991DCB"/>
    <w:rsid w:val="00997213"/>
    <w:rsid w:val="009B6164"/>
    <w:rsid w:val="009E340A"/>
    <w:rsid w:val="00A0393C"/>
    <w:rsid w:val="00A941CE"/>
    <w:rsid w:val="00AA45D3"/>
    <w:rsid w:val="00AA52CC"/>
    <w:rsid w:val="00AA6CAD"/>
    <w:rsid w:val="00AC10C6"/>
    <w:rsid w:val="00AF75C2"/>
    <w:rsid w:val="00B77B46"/>
    <w:rsid w:val="00B822BC"/>
    <w:rsid w:val="00B86427"/>
    <w:rsid w:val="00BA1303"/>
    <w:rsid w:val="00BA2129"/>
    <w:rsid w:val="00BA78AA"/>
    <w:rsid w:val="00BA7BFD"/>
    <w:rsid w:val="00BF0D06"/>
    <w:rsid w:val="00C058F4"/>
    <w:rsid w:val="00C2121D"/>
    <w:rsid w:val="00C219D8"/>
    <w:rsid w:val="00C56144"/>
    <w:rsid w:val="00C83E62"/>
    <w:rsid w:val="00C86DEE"/>
    <w:rsid w:val="00C92F83"/>
    <w:rsid w:val="00CD47C5"/>
    <w:rsid w:val="00CF548D"/>
    <w:rsid w:val="00D1038D"/>
    <w:rsid w:val="00D202D6"/>
    <w:rsid w:val="00D31E75"/>
    <w:rsid w:val="00D44088"/>
    <w:rsid w:val="00D502D3"/>
    <w:rsid w:val="00D67B8A"/>
    <w:rsid w:val="00D71F80"/>
    <w:rsid w:val="00DD646C"/>
    <w:rsid w:val="00DD6C74"/>
    <w:rsid w:val="00DE2DFB"/>
    <w:rsid w:val="00E50846"/>
    <w:rsid w:val="00E5153B"/>
    <w:rsid w:val="00E65A3F"/>
    <w:rsid w:val="00EC2159"/>
    <w:rsid w:val="00EC4BA5"/>
    <w:rsid w:val="00EF2680"/>
    <w:rsid w:val="00F401F2"/>
    <w:rsid w:val="00F94055"/>
    <w:rsid w:val="00FB3414"/>
    <w:rsid w:val="00FB4CE2"/>
    <w:rsid w:val="00FB5017"/>
    <w:rsid w:val="00FE5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34F1B"/>
  <w15:chartTrackingRefBased/>
  <w15:docId w15:val="{C8B0F5F5-412D-42D5-8750-AC1CA736B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A25"/>
  </w:style>
  <w:style w:type="paragraph" w:styleId="Heading1">
    <w:name w:val="heading 1"/>
    <w:basedOn w:val="Normal"/>
    <w:link w:val="Heading1Char"/>
    <w:uiPriority w:val="9"/>
    <w:qFormat/>
    <w:rsid w:val="007C6C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C6C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C6C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CA3"/>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7C6CA3"/>
    <w:rPr>
      <w:b/>
      <w:bCs/>
    </w:rPr>
  </w:style>
  <w:style w:type="paragraph" w:styleId="NormalWeb">
    <w:name w:val="Normal (Web)"/>
    <w:basedOn w:val="Normal"/>
    <w:uiPriority w:val="99"/>
    <w:unhideWhenUsed/>
    <w:rsid w:val="007C6C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C6CA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C6CA3"/>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7632D9"/>
    <w:rPr>
      <w:i/>
      <w:iCs/>
    </w:rPr>
  </w:style>
  <w:style w:type="paragraph" w:styleId="ListParagraph">
    <w:name w:val="List Paragraph"/>
    <w:basedOn w:val="Normal"/>
    <w:uiPriority w:val="34"/>
    <w:qFormat/>
    <w:rsid w:val="00CF548D"/>
    <w:pPr>
      <w:ind w:left="720"/>
      <w:contextualSpacing/>
    </w:pPr>
  </w:style>
  <w:style w:type="paragraph" w:styleId="TOC2">
    <w:name w:val="toc 2"/>
    <w:basedOn w:val="Normal"/>
    <w:next w:val="Normal"/>
    <w:autoRedefine/>
    <w:uiPriority w:val="39"/>
    <w:unhideWhenUsed/>
    <w:rsid w:val="00723E1B"/>
    <w:pPr>
      <w:spacing w:after="100"/>
      <w:ind w:left="220"/>
    </w:pPr>
  </w:style>
  <w:style w:type="paragraph" w:styleId="TOC1">
    <w:name w:val="toc 1"/>
    <w:basedOn w:val="Normal"/>
    <w:next w:val="Normal"/>
    <w:autoRedefine/>
    <w:uiPriority w:val="39"/>
    <w:unhideWhenUsed/>
    <w:rsid w:val="00723E1B"/>
    <w:pPr>
      <w:spacing w:after="100"/>
    </w:pPr>
  </w:style>
  <w:style w:type="character" w:styleId="Hyperlink">
    <w:name w:val="Hyperlink"/>
    <w:basedOn w:val="DefaultParagraphFont"/>
    <w:uiPriority w:val="99"/>
    <w:unhideWhenUsed/>
    <w:rsid w:val="00723E1B"/>
    <w:rPr>
      <w:color w:val="0563C1" w:themeColor="hyperlink"/>
      <w:u w:val="single"/>
    </w:rPr>
  </w:style>
  <w:style w:type="paragraph" w:styleId="Header">
    <w:name w:val="header"/>
    <w:basedOn w:val="Normal"/>
    <w:link w:val="HeaderChar"/>
    <w:uiPriority w:val="99"/>
    <w:unhideWhenUsed/>
    <w:rsid w:val="00723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E1B"/>
  </w:style>
  <w:style w:type="paragraph" w:styleId="Footer">
    <w:name w:val="footer"/>
    <w:basedOn w:val="Normal"/>
    <w:link w:val="FooterChar"/>
    <w:uiPriority w:val="99"/>
    <w:unhideWhenUsed/>
    <w:rsid w:val="00723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E1B"/>
  </w:style>
  <w:style w:type="paragraph" w:styleId="TOCHeading">
    <w:name w:val="TOC Heading"/>
    <w:basedOn w:val="Heading1"/>
    <w:next w:val="Normal"/>
    <w:uiPriority w:val="39"/>
    <w:unhideWhenUsed/>
    <w:qFormat/>
    <w:rsid w:val="00723E1B"/>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3">
    <w:name w:val="toc 3"/>
    <w:basedOn w:val="Normal"/>
    <w:next w:val="Normal"/>
    <w:autoRedefine/>
    <w:uiPriority w:val="39"/>
    <w:unhideWhenUsed/>
    <w:rsid w:val="00C219D8"/>
    <w:pPr>
      <w:spacing w:after="100"/>
      <w:ind w:left="440"/>
    </w:pPr>
    <w:rPr>
      <w:rFonts w:eastAsiaTheme="minorEastAsia" w:cs="Times New Roman"/>
      <w:lang w:val="en-US"/>
    </w:rPr>
  </w:style>
  <w:style w:type="character" w:customStyle="1" w:styleId="relative">
    <w:name w:val="relative"/>
    <w:basedOn w:val="DefaultParagraphFont"/>
    <w:rsid w:val="00AA6CAD"/>
  </w:style>
  <w:style w:type="paragraph" w:customStyle="1" w:styleId="not-prose">
    <w:name w:val="not-prose"/>
    <w:basedOn w:val="Normal"/>
    <w:rsid w:val="00AA6C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84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000526">
      <w:bodyDiv w:val="1"/>
      <w:marLeft w:val="0"/>
      <w:marRight w:val="0"/>
      <w:marTop w:val="0"/>
      <w:marBottom w:val="0"/>
      <w:divBdr>
        <w:top w:val="none" w:sz="0" w:space="0" w:color="auto"/>
        <w:left w:val="none" w:sz="0" w:space="0" w:color="auto"/>
        <w:bottom w:val="none" w:sz="0" w:space="0" w:color="auto"/>
        <w:right w:val="none" w:sz="0" w:space="0" w:color="auto"/>
      </w:divBdr>
    </w:div>
    <w:div w:id="503935720">
      <w:bodyDiv w:val="1"/>
      <w:marLeft w:val="0"/>
      <w:marRight w:val="0"/>
      <w:marTop w:val="0"/>
      <w:marBottom w:val="0"/>
      <w:divBdr>
        <w:top w:val="none" w:sz="0" w:space="0" w:color="auto"/>
        <w:left w:val="none" w:sz="0" w:space="0" w:color="auto"/>
        <w:bottom w:val="none" w:sz="0" w:space="0" w:color="auto"/>
        <w:right w:val="none" w:sz="0" w:space="0" w:color="auto"/>
      </w:divBdr>
    </w:div>
    <w:div w:id="766578218">
      <w:bodyDiv w:val="1"/>
      <w:marLeft w:val="0"/>
      <w:marRight w:val="0"/>
      <w:marTop w:val="0"/>
      <w:marBottom w:val="0"/>
      <w:divBdr>
        <w:top w:val="none" w:sz="0" w:space="0" w:color="auto"/>
        <w:left w:val="none" w:sz="0" w:space="0" w:color="auto"/>
        <w:bottom w:val="none" w:sz="0" w:space="0" w:color="auto"/>
        <w:right w:val="none" w:sz="0" w:space="0" w:color="auto"/>
      </w:divBdr>
    </w:div>
    <w:div w:id="838428777">
      <w:bodyDiv w:val="1"/>
      <w:marLeft w:val="0"/>
      <w:marRight w:val="0"/>
      <w:marTop w:val="0"/>
      <w:marBottom w:val="0"/>
      <w:divBdr>
        <w:top w:val="none" w:sz="0" w:space="0" w:color="auto"/>
        <w:left w:val="none" w:sz="0" w:space="0" w:color="auto"/>
        <w:bottom w:val="none" w:sz="0" w:space="0" w:color="auto"/>
        <w:right w:val="none" w:sz="0" w:space="0" w:color="auto"/>
      </w:divBdr>
    </w:div>
    <w:div w:id="1083256167">
      <w:bodyDiv w:val="1"/>
      <w:marLeft w:val="0"/>
      <w:marRight w:val="0"/>
      <w:marTop w:val="0"/>
      <w:marBottom w:val="0"/>
      <w:divBdr>
        <w:top w:val="none" w:sz="0" w:space="0" w:color="auto"/>
        <w:left w:val="none" w:sz="0" w:space="0" w:color="auto"/>
        <w:bottom w:val="none" w:sz="0" w:space="0" w:color="auto"/>
        <w:right w:val="none" w:sz="0" w:space="0" w:color="auto"/>
      </w:divBdr>
    </w:div>
    <w:div w:id="1384908560">
      <w:bodyDiv w:val="1"/>
      <w:marLeft w:val="0"/>
      <w:marRight w:val="0"/>
      <w:marTop w:val="0"/>
      <w:marBottom w:val="0"/>
      <w:divBdr>
        <w:top w:val="none" w:sz="0" w:space="0" w:color="auto"/>
        <w:left w:val="none" w:sz="0" w:space="0" w:color="auto"/>
        <w:bottom w:val="none" w:sz="0" w:space="0" w:color="auto"/>
        <w:right w:val="none" w:sz="0" w:space="0" w:color="auto"/>
      </w:divBdr>
    </w:div>
    <w:div w:id="1707024630">
      <w:bodyDiv w:val="1"/>
      <w:marLeft w:val="0"/>
      <w:marRight w:val="0"/>
      <w:marTop w:val="0"/>
      <w:marBottom w:val="0"/>
      <w:divBdr>
        <w:top w:val="none" w:sz="0" w:space="0" w:color="auto"/>
        <w:left w:val="none" w:sz="0" w:space="0" w:color="auto"/>
        <w:bottom w:val="none" w:sz="0" w:space="0" w:color="auto"/>
        <w:right w:val="none" w:sz="0" w:space="0" w:color="auto"/>
      </w:divBdr>
    </w:div>
    <w:div w:id="1858734167">
      <w:bodyDiv w:val="1"/>
      <w:marLeft w:val="0"/>
      <w:marRight w:val="0"/>
      <w:marTop w:val="0"/>
      <w:marBottom w:val="0"/>
      <w:divBdr>
        <w:top w:val="none" w:sz="0" w:space="0" w:color="auto"/>
        <w:left w:val="none" w:sz="0" w:space="0" w:color="auto"/>
        <w:bottom w:val="none" w:sz="0" w:space="0" w:color="auto"/>
        <w:right w:val="none" w:sz="0" w:space="0" w:color="auto"/>
      </w:divBdr>
    </w:div>
    <w:div w:id="1946687671">
      <w:bodyDiv w:val="1"/>
      <w:marLeft w:val="0"/>
      <w:marRight w:val="0"/>
      <w:marTop w:val="0"/>
      <w:marBottom w:val="0"/>
      <w:divBdr>
        <w:top w:val="none" w:sz="0" w:space="0" w:color="auto"/>
        <w:left w:val="none" w:sz="0" w:space="0" w:color="auto"/>
        <w:bottom w:val="none" w:sz="0" w:space="0" w:color="auto"/>
        <w:right w:val="none" w:sz="0" w:space="0" w:color="auto"/>
      </w:divBdr>
    </w:div>
    <w:div w:id="202336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77/0840470424124" TargetMode="External"/><Relationship Id="rId4" Type="http://schemas.openxmlformats.org/officeDocument/2006/relationships/settings" Target="settings.xml"/><Relationship Id="rId9" Type="http://schemas.openxmlformats.org/officeDocument/2006/relationships/hyperlink" Target="https://doi.org/10.3201/eid2610.2013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BF78D-0408-4C6E-AEE8-BE0D3A84A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7139</Words>
  <Characters>45054</Characters>
  <Application>Microsoft Office Word</Application>
  <DocSecurity>0</DocSecurity>
  <Lines>726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Destiny</dc:creator>
  <cp:keywords/>
  <dc:description/>
  <cp:lastModifiedBy>Ohikuare Irogho (2128365)</cp:lastModifiedBy>
  <cp:revision>2</cp:revision>
  <dcterms:created xsi:type="dcterms:W3CDTF">2025-12-09T18:17:00Z</dcterms:created>
  <dcterms:modified xsi:type="dcterms:W3CDTF">2025-12-09T18:17:00Z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c6843a02-bfc9-4185-830d-95fd4b46cf84</vt:lpwstr>
  </property>
</Properties>
</file>