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74FB2" w:rsidRDefault="00B74FB2" w:rsidP="00B74FB2">
      <w:pPr>
        <w:spacing w:line="360" w:lineRule="auto"/>
        <w:rPr>
          <w:rFonts w:ascii="Arial" w:hAnsi="Arial" w:cs="Arial"/>
          <w:sz w:val="24"/>
          <w:szCs w:val="24"/>
        </w:rPr>
      </w:pPr>
    </w:p>
    <w:p w:rsidR="00B74FB2" w:rsidRPr="00441242" w:rsidRDefault="00B74FB2" w:rsidP="00B74FB2">
      <w:pPr>
        <w:spacing w:line="360" w:lineRule="auto"/>
        <w:jc w:val="center"/>
        <w:rPr>
          <w:rFonts w:ascii="Arial" w:hAnsi="Arial" w:cs="Arial"/>
        </w:rPr>
      </w:pPr>
      <w:r w:rsidRPr="00441242">
        <w:rPr>
          <w:rFonts w:ascii="Arial" w:hAnsi="Arial" w:cs="Arial"/>
          <w:noProof/>
          <w:lang w:eastAsia="en-GB"/>
        </w:rPr>
        <w:drawing>
          <wp:inline distT="0" distB="0" distL="0" distR="0" wp14:anchorId="5A612DD0" wp14:editId="5D2776E7">
            <wp:extent cx="3521491" cy="1461331"/>
            <wp:effectExtent l="0" t="0" r="3175" b="5715"/>
            <wp:docPr id="2" name="Picture 2"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launches new digital healthcare  course - Digital Health and Care Wal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1931" cy="1461514"/>
                    </a:xfrm>
                    <a:prstGeom prst="rect">
                      <a:avLst/>
                    </a:prstGeom>
                    <a:noFill/>
                    <a:ln>
                      <a:noFill/>
                    </a:ln>
                  </pic:spPr>
                </pic:pic>
              </a:graphicData>
            </a:graphic>
          </wp:inline>
        </w:drawing>
      </w:r>
    </w:p>
    <w:p w:rsidR="00B74FB2" w:rsidRPr="00B74FB2" w:rsidRDefault="00B74FB2" w:rsidP="00B74FB2">
      <w:pPr>
        <w:spacing w:line="360" w:lineRule="auto"/>
        <w:jc w:val="center"/>
        <w:rPr>
          <w:rFonts w:ascii="Arial" w:hAnsi="Arial" w:cs="Arial"/>
          <w:b/>
          <w:sz w:val="32"/>
          <w:szCs w:val="32"/>
        </w:rPr>
      </w:pPr>
      <w:r w:rsidRPr="00B74FB2">
        <w:rPr>
          <w:rFonts w:ascii="Arial" w:hAnsi="Arial" w:cs="Arial"/>
          <w:b/>
          <w:sz w:val="32"/>
          <w:szCs w:val="32"/>
        </w:rPr>
        <w:t>Master of Business Administration</w:t>
      </w:r>
    </w:p>
    <w:p w:rsidR="00B74FB2" w:rsidRDefault="00B74FB2" w:rsidP="00B74FB2">
      <w:pPr>
        <w:tabs>
          <w:tab w:val="left" w:pos="3459"/>
        </w:tabs>
        <w:spacing w:line="360" w:lineRule="auto"/>
        <w:jc w:val="center"/>
        <w:rPr>
          <w:rFonts w:ascii="Arial" w:hAnsi="Arial" w:cs="Arial"/>
          <w:b/>
          <w:sz w:val="32"/>
          <w:szCs w:val="32"/>
        </w:rPr>
      </w:pPr>
      <w:r w:rsidRPr="00B74FB2">
        <w:rPr>
          <w:rFonts w:ascii="Arial" w:hAnsi="Arial" w:cs="Arial"/>
          <w:b/>
          <w:sz w:val="32"/>
          <w:szCs w:val="32"/>
        </w:rPr>
        <w:t>Assessment component 1: Marketing Environment Analysis</w:t>
      </w:r>
    </w:p>
    <w:p w:rsidR="00B74FB2" w:rsidRPr="00B74FB2" w:rsidRDefault="00B74FB2" w:rsidP="00B74FB2">
      <w:pPr>
        <w:tabs>
          <w:tab w:val="left" w:pos="3459"/>
        </w:tabs>
        <w:spacing w:line="360" w:lineRule="auto"/>
        <w:jc w:val="center"/>
        <w:rPr>
          <w:rFonts w:ascii="Arial" w:hAnsi="Arial" w:cs="Arial"/>
          <w:b/>
          <w:sz w:val="32"/>
          <w:szCs w:val="32"/>
        </w:rPr>
      </w:pPr>
    </w:p>
    <w:p w:rsidR="00B74FB2" w:rsidRPr="00B74FB2" w:rsidRDefault="00B74FB2" w:rsidP="00B74FB2">
      <w:pPr>
        <w:spacing w:line="360" w:lineRule="auto"/>
        <w:jc w:val="center"/>
        <w:rPr>
          <w:rFonts w:ascii="Arial" w:hAnsi="Arial" w:cs="Arial"/>
          <w:b/>
          <w:sz w:val="32"/>
          <w:szCs w:val="32"/>
        </w:rPr>
      </w:pPr>
      <w:r w:rsidRPr="00B74FB2">
        <w:rPr>
          <w:rFonts w:ascii="Arial" w:hAnsi="Arial" w:cs="Arial"/>
          <w:b/>
          <w:sz w:val="32"/>
          <w:szCs w:val="32"/>
        </w:rPr>
        <w:t>LCMB7024-Marketing Management</w:t>
      </w:r>
    </w:p>
    <w:p w:rsidR="00B74FB2" w:rsidRPr="00B74FB2" w:rsidRDefault="00B74FB2" w:rsidP="00B74FB2">
      <w:pPr>
        <w:spacing w:line="360" w:lineRule="auto"/>
        <w:jc w:val="center"/>
        <w:rPr>
          <w:rFonts w:ascii="Arial" w:hAnsi="Arial" w:cs="Arial"/>
          <w:b/>
          <w:sz w:val="32"/>
          <w:szCs w:val="32"/>
        </w:rPr>
      </w:pPr>
      <w:r w:rsidRPr="00B74FB2">
        <w:rPr>
          <w:rFonts w:ascii="Arial" w:hAnsi="Arial" w:cs="Arial"/>
          <w:b/>
          <w:sz w:val="32"/>
          <w:szCs w:val="32"/>
        </w:rPr>
        <w:t>Lecturer:</w:t>
      </w:r>
      <w:r w:rsidRPr="00B74FB2">
        <w:rPr>
          <w:rFonts w:ascii="Arial" w:hAnsi="Arial" w:cs="Arial"/>
          <w:sz w:val="32"/>
          <w:szCs w:val="32"/>
        </w:rPr>
        <w:t xml:space="preserve"> </w:t>
      </w:r>
      <w:r w:rsidR="00DD4A10" w:rsidRPr="00DD4A10">
        <w:rPr>
          <w:rFonts w:ascii="Arial" w:hAnsi="Arial" w:cs="Arial"/>
          <w:b/>
          <w:sz w:val="32"/>
          <w:szCs w:val="32"/>
        </w:rPr>
        <w:t xml:space="preserve">Dr </w:t>
      </w:r>
      <w:proofErr w:type="spellStart"/>
      <w:r w:rsidR="00DD4A10" w:rsidRPr="00DD4A10">
        <w:rPr>
          <w:rFonts w:ascii="Arial" w:hAnsi="Arial" w:cs="Arial"/>
          <w:b/>
          <w:sz w:val="32"/>
          <w:szCs w:val="32"/>
        </w:rPr>
        <w:t>Mustakkima</w:t>
      </w:r>
      <w:proofErr w:type="spellEnd"/>
      <w:r w:rsidR="00DD4A10" w:rsidRPr="00DD4A10">
        <w:rPr>
          <w:rFonts w:ascii="Arial" w:hAnsi="Arial" w:cs="Arial"/>
          <w:b/>
          <w:sz w:val="32"/>
          <w:szCs w:val="32"/>
        </w:rPr>
        <w:t xml:space="preserve"> Afrin</w:t>
      </w:r>
    </w:p>
    <w:p w:rsidR="00B74FB2" w:rsidRPr="00B74FB2" w:rsidRDefault="00B74FB2" w:rsidP="00B74FB2">
      <w:pPr>
        <w:spacing w:line="360" w:lineRule="auto"/>
        <w:jc w:val="center"/>
        <w:rPr>
          <w:rFonts w:ascii="Arial" w:hAnsi="Arial" w:cs="Arial"/>
          <w:b/>
          <w:sz w:val="32"/>
          <w:szCs w:val="32"/>
        </w:rPr>
      </w:pPr>
    </w:p>
    <w:p w:rsidR="00B74FB2" w:rsidRPr="00B74FB2" w:rsidRDefault="00B74FB2" w:rsidP="00B74FB2">
      <w:pPr>
        <w:spacing w:line="360" w:lineRule="auto"/>
        <w:jc w:val="center"/>
        <w:rPr>
          <w:rFonts w:ascii="Arial" w:hAnsi="Arial" w:cs="Arial"/>
          <w:b/>
          <w:sz w:val="32"/>
          <w:szCs w:val="32"/>
        </w:rPr>
      </w:pPr>
      <w:r w:rsidRPr="00B74FB2">
        <w:rPr>
          <w:rFonts w:ascii="Arial" w:hAnsi="Arial" w:cs="Arial"/>
          <w:b/>
          <w:sz w:val="32"/>
          <w:szCs w:val="32"/>
        </w:rPr>
        <w:t>Student Name:</w:t>
      </w:r>
      <w:r w:rsidRPr="00B74FB2">
        <w:rPr>
          <w:sz w:val="32"/>
          <w:szCs w:val="32"/>
        </w:rPr>
        <w:t xml:space="preserve"> </w:t>
      </w:r>
      <w:proofErr w:type="spellStart"/>
      <w:r w:rsidRPr="00B74FB2">
        <w:rPr>
          <w:rFonts w:ascii="Arial" w:hAnsi="Arial" w:cs="Arial"/>
          <w:b/>
          <w:sz w:val="32"/>
          <w:szCs w:val="32"/>
        </w:rPr>
        <w:t>Ikhtear</w:t>
      </w:r>
      <w:proofErr w:type="spellEnd"/>
      <w:r w:rsidRPr="00B74FB2">
        <w:rPr>
          <w:rFonts w:ascii="Arial" w:hAnsi="Arial" w:cs="Arial"/>
          <w:b/>
          <w:sz w:val="32"/>
          <w:szCs w:val="32"/>
        </w:rPr>
        <w:t xml:space="preserve"> </w:t>
      </w:r>
      <w:proofErr w:type="spellStart"/>
      <w:r w:rsidRPr="00B74FB2">
        <w:rPr>
          <w:rFonts w:ascii="Arial" w:hAnsi="Arial" w:cs="Arial"/>
          <w:b/>
          <w:sz w:val="32"/>
          <w:szCs w:val="32"/>
        </w:rPr>
        <w:t>Mahbub</w:t>
      </w:r>
      <w:proofErr w:type="spellEnd"/>
    </w:p>
    <w:p w:rsidR="00B74FB2" w:rsidRPr="00B74FB2" w:rsidRDefault="00B74FB2" w:rsidP="00B74FB2">
      <w:pPr>
        <w:spacing w:line="360" w:lineRule="auto"/>
        <w:jc w:val="center"/>
        <w:rPr>
          <w:rFonts w:ascii="Arial" w:hAnsi="Arial" w:cs="Arial"/>
          <w:b/>
          <w:sz w:val="32"/>
          <w:szCs w:val="32"/>
        </w:rPr>
      </w:pPr>
      <w:r w:rsidRPr="00B74FB2">
        <w:rPr>
          <w:rFonts w:ascii="Arial" w:hAnsi="Arial" w:cs="Arial"/>
          <w:b/>
          <w:sz w:val="32"/>
          <w:szCs w:val="32"/>
        </w:rPr>
        <w:t>Student ID:</w:t>
      </w:r>
      <w:r w:rsidRPr="00B74FB2">
        <w:rPr>
          <w:sz w:val="32"/>
          <w:szCs w:val="32"/>
        </w:rPr>
        <w:t xml:space="preserve"> </w:t>
      </w:r>
      <w:r w:rsidRPr="00B74FB2">
        <w:rPr>
          <w:rFonts w:ascii="Arial" w:hAnsi="Arial" w:cs="Arial"/>
          <w:b/>
          <w:sz w:val="32"/>
          <w:szCs w:val="32"/>
        </w:rPr>
        <w:t>2527585</w:t>
      </w:r>
    </w:p>
    <w:p w:rsidR="00B74FB2" w:rsidRPr="00B74FB2" w:rsidRDefault="00B74FB2" w:rsidP="00B74FB2">
      <w:pPr>
        <w:spacing w:line="360" w:lineRule="auto"/>
        <w:jc w:val="center"/>
        <w:rPr>
          <w:rFonts w:ascii="Arial" w:hAnsi="Arial" w:cs="Arial"/>
          <w:sz w:val="32"/>
          <w:szCs w:val="32"/>
        </w:rPr>
      </w:pPr>
    </w:p>
    <w:p w:rsidR="00B74FB2" w:rsidRPr="00B74FB2" w:rsidRDefault="00B74FB2" w:rsidP="00B74FB2">
      <w:pPr>
        <w:spacing w:line="360" w:lineRule="auto"/>
        <w:jc w:val="center"/>
        <w:rPr>
          <w:rFonts w:ascii="Arial" w:hAnsi="Arial" w:cs="Arial"/>
          <w:b/>
          <w:sz w:val="32"/>
          <w:szCs w:val="32"/>
        </w:rPr>
      </w:pPr>
      <w:r w:rsidRPr="00B74FB2">
        <w:rPr>
          <w:rFonts w:ascii="Arial" w:hAnsi="Arial" w:cs="Arial"/>
          <w:b/>
          <w:sz w:val="32"/>
          <w:szCs w:val="32"/>
        </w:rPr>
        <w:t xml:space="preserve">Word Count: </w:t>
      </w:r>
      <w:r w:rsidR="004A6760">
        <w:rPr>
          <w:rFonts w:ascii="Arial" w:hAnsi="Arial" w:cs="Arial"/>
          <w:b/>
          <w:sz w:val="32"/>
          <w:szCs w:val="32"/>
        </w:rPr>
        <w:t>2562</w:t>
      </w:r>
    </w:p>
    <w:p w:rsidR="00B74FB2" w:rsidRPr="00B74FB2" w:rsidRDefault="00B74FB2" w:rsidP="00B74FB2">
      <w:pPr>
        <w:spacing w:line="360" w:lineRule="auto"/>
        <w:jc w:val="center"/>
        <w:rPr>
          <w:rFonts w:ascii="Arial" w:hAnsi="Arial" w:cs="Arial"/>
          <w:b/>
          <w:sz w:val="32"/>
          <w:szCs w:val="32"/>
        </w:rPr>
        <w:sectPr w:rsidR="00B74FB2" w:rsidRPr="00B74FB2" w:rsidSect="00783683">
          <w:headerReference w:type="even" r:id="rId9"/>
          <w:headerReference w:type="default" r:id="rId10"/>
          <w:footerReference w:type="even" r:id="rId11"/>
          <w:footerReference w:type="default" r:id="rId12"/>
          <w:headerReference w:type="first" r:id="rId13"/>
          <w:footerReference w:type="first" r:id="rId14"/>
          <w:pgSz w:w="11907" w:h="16839" w:code="9"/>
          <w:pgMar w:top="1440" w:right="1440" w:bottom="1440" w:left="1440" w:header="720" w:footer="720" w:gutter="0"/>
          <w:cols w:space="720"/>
          <w:docGrid w:linePitch="360"/>
        </w:sectPr>
      </w:pPr>
      <w:r>
        <w:rPr>
          <w:rFonts w:ascii="Arial" w:hAnsi="Arial" w:cs="Arial"/>
          <w:b/>
          <w:sz w:val="32"/>
          <w:szCs w:val="32"/>
        </w:rPr>
        <w:t>Submission Date: 27</w:t>
      </w:r>
      <w:r w:rsidRPr="00B74FB2">
        <w:rPr>
          <w:rFonts w:ascii="Arial" w:hAnsi="Arial" w:cs="Arial"/>
          <w:b/>
          <w:sz w:val="32"/>
          <w:szCs w:val="32"/>
        </w:rPr>
        <w:t>th March 2026</w:t>
      </w:r>
    </w:p>
    <w:sdt>
      <w:sdtPr>
        <w:rPr>
          <w:rFonts w:ascii="Arial" w:eastAsiaTheme="minorHAnsi" w:hAnsi="Arial" w:cs="Arial"/>
          <w:b w:val="0"/>
          <w:bCs w:val="0"/>
          <w:color w:val="auto"/>
          <w:sz w:val="32"/>
          <w:szCs w:val="22"/>
          <w:lang w:val="en-GB" w:eastAsia="en-US"/>
        </w:rPr>
        <w:id w:val="-1998652639"/>
        <w:docPartObj>
          <w:docPartGallery w:val="Table of Contents"/>
          <w:docPartUnique/>
        </w:docPartObj>
      </w:sdtPr>
      <w:sdtEndPr>
        <w:rPr>
          <w:rFonts w:asciiTheme="minorHAnsi" w:hAnsiTheme="minorHAnsi" w:cstheme="minorBidi"/>
          <w:noProof/>
          <w:sz w:val="22"/>
        </w:rPr>
      </w:sdtEndPr>
      <w:sdtContent>
        <w:p w:rsidR="00FD4B77" w:rsidRPr="00FD4B77" w:rsidRDefault="00FD4B77" w:rsidP="00FD4B77">
          <w:pPr>
            <w:pStyle w:val="TOCHeading"/>
            <w:jc w:val="center"/>
            <w:rPr>
              <w:rFonts w:ascii="Arial" w:hAnsi="Arial" w:cs="Arial"/>
              <w:color w:val="auto"/>
              <w:sz w:val="32"/>
            </w:rPr>
          </w:pPr>
          <w:r w:rsidRPr="00FD4B77">
            <w:rPr>
              <w:rFonts w:ascii="Arial" w:hAnsi="Arial" w:cs="Arial"/>
              <w:color w:val="auto"/>
              <w:sz w:val="32"/>
            </w:rPr>
            <w:t>Table of Contents</w:t>
          </w:r>
        </w:p>
        <w:p w:rsidR="00FD4B77" w:rsidRPr="00FD4B77" w:rsidRDefault="00FD4B77">
          <w:pPr>
            <w:pStyle w:val="TOC1"/>
            <w:tabs>
              <w:tab w:val="right" w:leader="dot" w:pos="9017"/>
            </w:tabs>
            <w:rPr>
              <w:rFonts w:ascii="Arial" w:eastAsiaTheme="minorEastAsia" w:hAnsi="Arial" w:cs="Arial"/>
              <w:noProof/>
              <w:sz w:val="24"/>
              <w:szCs w:val="24"/>
              <w:lang w:eastAsia="en-GB"/>
            </w:rPr>
          </w:pPr>
          <w:r w:rsidRPr="00FD4B77">
            <w:rPr>
              <w:rFonts w:ascii="Arial" w:hAnsi="Arial" w:cs="Arial"/>
              <w:sz w:val="24"/>
              <w:szCs w:val="24"/>
            </w:rPr>
            <w:fldChar w:fldCharType="begin"/>
          </w:r>
          <w:r w:rsidRPr="00FD4B77">
            <w:rPr>
              <w:rFonts w:ascii="Arial" w:hAnsi="Arial" w:cs="Arial"/>
              <w:sz w:val="24"/>
              <w:szCs w:val="24"/>
            </w:rPr>
            <w:instrText xml:space="preserve"> TOC \o "1-3" \h \z \u </w:instrText>
          </w:r>
          <w:r w:rsidRPr="00FD4B77">
            <w:rPr>
              <w:rFonts w:ascii="Arial" w:hAnsi="Arial" w:cs="Arial"/>
              <w:sz w:val="24"/>
              <w:szCs w:val="24"/>
            </w:rPr>
            <w:fldChar w:fldCharType="separate"/>
          </w:r>
          <w:hyperlink w:anchor="_Toc225386030" w:history="1">
            <w:r w:rsidRPr="00FD4B77">
              <w:rPr>
                <w:rStyle w:val="Hyperlink"/>
                <w:rFonts w:ascii="Arial" w:hAnsi="Arial" w:cs="Arial"/>
                <w:noProof/>
                <w:sz w:val="24"/>
                <w:szCs w:val="24"/>
              </w:rPr>
              <w:t>1. Introduction</w:t>
            </w:r>
            <w:r w:rsidRPr="00FD4B77">
              <w:rPr>
                <w:rFonts w:ascii="Arial" w:hAnsi="Arial" w:cs="Arial"/>
                <w:noProof/>
                <w:webHidden/>
                <w:sz w:val="24"/>
                <w:szCs w:val="24"/>
              </w:rPr>
              <w:tab/>
            </w:r>
            <w:r w:rsidRPr="00FD4B77">
              <w:rPr>
                <w:rFonts w:ascii="Arial" w:hAnsi="Arial" w:cs="Arial"/>
                <w:noProof/>
                <w:webHidden/>
                <w:sz w:val="24"/>
                <w:szCs w:val="24"/>
              </w:rPr>
              <w:fldChar w:fldCharType="begin"/>
            </w:r>
            <w:r w:rsidRPr="00FD4B77">
              <w:rPr>
                <w:rFonts w:ascii="Arial" w:hAnsi="Arial" w:cs="Arial"/>
                <w:noProof/>
                <w:webHidden/>
                <w:sz w:val="24"/>
                <w:szCs w:val="24"/>
              </w:rPr>
              <w:instrText xml:space="preserve"> PAGEREF _Toc225386030 \h </w:instrText>
            </w:r>
            <w:r w:rsidRPr="00FD4B77">
              <w:rPr>
                <w:rFonts w:ascii="Arial" w:hAnsi="Arial" w:cs="Arial"/>
                <w:noProof/>
                <w:webHidden/>
                <w:sz w:val="24"/>
                <w:szCs w:val="24"/>
              </w:rPr>
            </w:r>
            <w:r w:rsidRPr="00FD4B77">
              <w:rPr>
                <w:rFonts w:ascii="Arial" w:hAnsi="Arial" w:cs="Arial"/>
                <w:noProof/>
                <w:webHidden/>
                <w:sz w:val="24"/>
                <w:szCs w:val="24"/>
              </w:rPr>
              <w:fldChar w:fldCharType="separate"/>
            </w:r>
            <w:r w:rsidR="004A6760">
              <w:rPr>
                <w:rFonts w:ascii="Arial" w:hAnsi="Arial" w:cs="Arial"/>
                <w:noProof/>
                <w:webHidden/>
                <w:sz w:val="24"/>
                <w:szCs w:val="24"/>
              </w:rPr>
              <w:t>1</w:t>
            </w:r>
            <w:r w:rsidRPr="00FD4B77">
              <w:rPr>
                <w:rFonts w:ascii="Arial" w:hAnsi="Arial" w:cs="Arial"/>
                <w:noProof/>
                <w:webHidden/>
                <w:sz w:val="24"/>
                <w:szCs w:val="24"/>
              </w:rPr>
              <w:fldChar w:fldCharType="end"/>
            </w:r>
          </w:hyperlink>
        </w:p>
        <w:p w:rsidR="00FD4B77" w:rsidRPr="00FD4B77" w:rsidRDefault="00960105">
          <w:pPr>
            <w:pStyle w:val="TOC1"/>
            <w:tabs>
              <w:tab w:val="right" w:leader="dot" w:pos="9017"/>
            </w:tabs>
            <w:rPr>
              <w:rFonts w:ascii="Arial" w:eastAsiaTheme="minorEastAsia" w:hAnsi="Arial" w:cs="Arial"/>
              <w:noProof/>
              <w:sz w:val="24"/>
              <w:szCs w:val="24"/>
              <w:lang w:eastAsia="en-GB"/>
            </w:rPr>
          </w:pPr>
          <w:hyperlink w:anchor="_Toc225386031" w:history="1">
            <w:r w:rsidR="00FD4B77" w:rsidRPr="00FD4B77">
              <w:rPr>
                <w:rStyle w:val="Hyperlink"/>
                <w:rFonts w:ascii="Arial" w:hAnsi="Arial" w:cs="Arial"/>
                <w:noProof/>
                <w:sz w:val="24"/>
                <w:szCs w:val="24"/>
              </w:rPr>
              <w:t>2. TASK 1: Macro Marketing Environment Analysis</w:t>
            </w:r>
            <w:r w:rsidR="00FD4B77" w:rsidRPr="00FD4B77">
              <w:rPr>
                <w:rFonts w:ascii="Arial" w:hAnsi="Arial" w:cs="Arial"/>
                <w:noProof/>
                <w:webHidden/>
                <w:sz w:val="24"/>
                <w:szCs w:val="24"/>
              </w:rPr>
              <w:tab/>
            </w:r>
            <w:r w:rsidR="00FD4B77" w:rsidRPr="00FD4B77">
              <w:rPr>
                <w:rFonts w:ascii="Arial" w:hAnsi="Arial" w:cs="Arial"/>
                <w:noProof/>
                <w:webHidden/>
                <w:sz w:val="24"/>
                <w:szCs w:val="24"/>
              </w:rPr>
              <w:fldChar w:fldCharType="begin"/>
            </w:r>
            <w:r w:rsidR="00FD4B77" w:rsidRPr="00FD4B77">
              <w:rPr>
                <w:rFonts w:ascii="Arial" w:hAnsi="Arial" w:cs="Arial"/>
                <w:noProof/>
                <w:webHidden/>
                <w:sz w:val="24"/>
                <w:szCs w:val="24"/>
              </w:rPr>
              <w:instrText xml:space="preserve"> PAGEREF _Toc225386031 \h </w:instrText>
            </w:r>
            <w:r w:rsidR="00FD4B77" w:rsidRPr="00FD4B77">
              <w:rPr>
                <w:rFonts w:ascii="Arial" w:hAnsi="Arial" w:cs="Arial"/>
                <w:noProof/>
                <w:webHidden/>
                <w:sz w:val="24"/>
                <w:szCs w:val="24"/>
              </w:rPr>
            </w:r>
            <w:r w:rsidR="00FD4B77" w:rsidRPr="00FD4B77">
              <w:rPr>
                <w:rFonts w:ascii="Arial" w:hAnsi="Arial" w:cs="Arial"/>
                <w:noProof/>
                <w:webHidden/>
                <w:sz w:val="24"/>
                <w:szCs w:val="24"/>
              </w:rPr>
              <w:fldChar w:fldCharType="separate"/>
            </w:r>
            <w:r w:rsidR="004A6760">
              <w:rPr>
                <w:rFonts w:ascii="Arial" w:hAnsi="Arial" w:cs="Arial"/>
                <w:noProof/>
                <w:webHidden/>
                <w:sz w:val="24"/>
                <w:szCs w:val="24"/>
              </w:rPr>
              <w:t>1</w:t>
            </w:r>
            <w:r w:rsidR="00FD4B77" w:rsidRPr="00FD4B77">
              <w:rPr>
                <w:rFonts w:ascii="Arial" w:hAnsi="Arial" w:cs="Arial"/>
                <w:noProof/>
                <w:webHidden/>
                <w:sz w:val="24"/>
                <w:szCs w:val="24"/>
              </w:rPr>
              <w:fldChar w:fldCharType="end"/>
            </w:r>
          </w:hyperlink>
        </w:p>
        <w:p w:rsidR="00FD4B77" w:rsidRPr="00FD4B77" w:rsidRDefault="00960105">
          <w:pPr>
            <w:pStyle w:val="TOC2"/>
            <w:tabs>
              <w:tab w:val="right" w:leader="dot" w:pos="9017"/>
            </w:tabs>
            <w:rPr>
              <w:rFonts w:ascii="Arial" w:eastAsiaTheme="minorEastAsia" w:hAnsi="Arial" w:cs="Arial"/>
              <w:noProof/>
              <w:sz w:val="24"/>
              <w:szCs w:val="24"/>
              <w:lang w:eastAsia="en-GB"/>
            </w:rPr>
          </w:pPr>
          <w:hyperlink w:anchor="_Toc225386032" w:history="1">
            <w:r w:rsidR="00FD4B77" w:rsidRPr="00FD4B77">
              <w:rPr>
                <w:rStyle w:val="Hyperlink"/>
                <w:rFonts w:ascii="Arial" w:hAnsi="Arial" w:cs="Arial"/>
                <w:noProof/>
                <w:sz w:val="24"/>
                <w:szCs w:val="24"/>
              </w:rPr>
              <w:t>2.1 Technological Factor</w:t>
            </w:r>
            <w:r w:rsidR="00FD4B77" w:rsidRPr="00FD4B77">
              <w:rPr>
                <w:rFonts w:ascii="Arial" w:hAnsi="Arial" w:cs="Arial"/>
                <w:noProof/>
                <w:webHidden/>
                <w:sz w:val="24"/>
                <w:szCs w:val="24"/>
              </w:rPr>
              <w:tab/>
            </w:r>
            <w:r w:rsidR="00FD4B77" w:rsidRPr="00FD4B77">
              <w:rPr>
                <w:rFonts w:ascii="Arial" w:hAnsi="Arial" w:cs="Arial"/>
                <w:noProof/>
                <w:webHidden/>
                <w:sz w:val="24"/>
                <w:szCs w:val="24"/>
              </w:rPr>
              <w:fldChar w:fldCharType="begin"/>
            </w:r>
            <w:r w:rsidR="00FD4B77" w:rsidRPr="00FD4B77">
              <w:rPr>
                <w:rFonts w:ascii="Arial" w:hAnsi="Arial" w:cs="Arial"/>
                <w:noProof/>
                <w:webHidden/>
                <w:sz w:val="24"/>
                <w:szCs w:val="24"/>
              </w:rPr>
              <w:instrText xml:space="preserve"> PAGEREF _Toc225386032 \h </w:instrText>
            </w:r>
            <w:r w:rsidR="00FD4B77" w:rsidRPr="00FD4B77">
              <w:rPr>
                <w:rFonts w:ascii="Arial" w:hAnsi="Arial" w:cs="Arial"/>
                <w:noProof/>
                <w:webHidden/>
                <w:sz w:val="24"/>
                <w:szCs w:val="24"/>
              </w:rPr>
            </w:r>
            <w:r w:rsidR="00FD4B77" w:rsidRPr="00FD4B77">
              <w:rPr>
                <w:rFonts w:ascii="Arial" w:hAnsi="Arial" w:cs="Arial"/>
                <w:noProof/>
                <w:webHidden/>
                <w:sz w:val="24"/>
                <w:szCs w:val="24"/>
              </w:rPr>
              <w:fldChar w:fldCharType="separate"/>
            </w:r>
            <w:r w:rsidR="004A6760">
              <w:rPr>
                <w:rFonts w:ascii="Arial" w:hAnsi="Arial" w:cs="Arial"/>
                <w:noProof/>
                <w:webHidden/>
                <w:sz w:val="24"/>
                <w:szCs w:val="24"/>
              </w:rPr>
              <w:t>1</w:t>
            </w:r>
            <w:r w:rsidR="00FD4B77" w:rsidRPr="00FD4B77">
              <w:rPr>
                <w:rFonts w:ascii="Arial" w:hAnsi="Arial" w:cs="Arial"/>
                <w:noProof/>
                <w:webHidden/>
                <w:sz w:val="24"/>
                <w:szCs w:val="24"/>
              </w:rPr>
              <w:fldChar w:fldCharType="end"/>
            </w:r>
          </w:hyperlink>
        </w:p>
        <w:p w:rsidR="00FD4B77" w:rsidRPr="00FD4B77" w:rsidRDefault="00960105">
          <w:pPr>
            <w:pStyle w:val="TOC2"/>
            <w:tabs>
              <w:tab w:val="right" w:leader="dot" w:pos="9017"/>
            </w:tabs>
            <w:rPr>
              <w:rFonts w:ascii="Arial" w:eastAsiaTheme="minorEastAsia" w:hAnsi="Arial" w:cs="Arial"/>
              <w:noProof/>
              <w:sz w:val="24"/>
              <w:szCs w:val="24"/>
              <w:lang w:eastAsia="en-GB"/>
            </w:rPr>
          </w:pPr>
          <w:hyperlink w:anchor="_Toc225386033" w:history="1">
            <w:r w:rsidR="00FD4B77" w:rsidRPr="00FD4B77">
              <w:rPr>
                <w:rStyle w:val="Hyperlink"/>
                <w:rFonts w:ascii="Arial" w:eastAsia="Times New Roman" w:hAnsi="Arial" w:cs="Arial"/>
                <w:bCs/>
                <w:noProof/>
                <w:sz w:val="24"/>
                <w:szCs w:val="24"/>
                <w:lang w:eastAsia="en-GB"/>
              </w:rPr>
              <w:t>2.2 Political and Legal Factors</w:t>
            </w:r>
            <w:r w:rsidR="00FD4B77" w:rsidRPr="00FD4B77">
              <w:rPr>
                <w:rFonts w:ascii="Arial" w:hAnsi="Arial" w:cs="Arial"/>
                <w:noProof/>
                <w:webHidden/>
                <w:sz w:val="24"/>
                <w:szCs w:val="24"/>
              </w:rPr>
              <w:tab/>
            </w:r>
            <w:r w:rsidR="00FD4B77" w:rsidRPr="00FD4B77">
              <w:rPr>
                <w:rFonts w:ascii="Arial" w:hAnsi="Arial" w:cs="Arial"/>
                <w:noProof/>
                <w:webHidden/>
                <w:sz w:val="24"/>
                <w:szCs w:val="24"/>
              </w:rPr>
              <w:fldChar w:fldCharType="begin"/>
            </w:r>
            <w:r w:rsidR="00FD4B77" w:rsidRPr="00FD4B77">
              <w:rPr>
                <w:rFonts w:ascii="Arial" w:hAnsi="Arial" w:cs="Arial"/>
                <w:noProof/>
                <w:webHidden/>
                <w:sz w:val="24"/>
                <w:szCs w:val="24"/>
              </w:rPr>
              <w:instrText xml:space="preserve"> PAGEREF _Toc225386033 \h </w:instrText>
            </w:r>
            <w:r w:rsidR="00FD4B77" w:rsidRPr="00FD4B77">
              <w:rPr>
                <w:rFonts w:ascii="Arial" w:hAnsi="Arial" w:cs="Arial"/>
                <w:noProof/>
                <w:webHidden/>
                <w:sz w:val="24"/>
                <w:szCs w:val="24"/>
              </w:rPr>
            </w:r>
            <w:r w:rsidR="00FD4B77" w:rsidRPr="00FD4B77">
              <w:rPr>
                <w:rFonts w:ascii="Arial" w:hAnsi="Arial" w:cs="Arial"/>
                <w:noProof/>
                <w:webHidden/>
                <w:sz w:val="24"/>
                <w:szCs w:val="24"/>
              </w:rPr>
              <w:fldChar w:fldCharType="separate"/>
            </w:r>
            <w:r w:rsidR="004A6760">
              <w:rPr>
                <w:rFonts w:ascii="Arial" w:hAnsi="Arial" w:cs="Arial"/>
                <w:noProof/>
                <w:webHidden/>
                <w:sz w:val="24"/>
                <w:szCs w:val="24"/>
              </w:rPr>
              <w:t>4</w:t>
            </w:r>
            <w:r w:rsidR="00FD4B77" w:rsidRPr="00FD4B77">
              <w:rPr>
                <w:rFonts w:ascii="Arial" w:hAnsi="Arial" w:cs="Arial"/>
                <w:noProof/>
                <w:webHidden/>
                <w:sz w:val="24"/>
                <w:szCs w:val="24"/>
              </w:rPr>
              <w:fldChar w:fldCharType="end"/>
            </w:r>
          </w:hyperlink>
        </w:p>
        <w:p w:rsidR="00FD4B77" w:rsidRPr="00FD4B77" w:rsidRDefault="00960105">
          <w:pPr>
            <w:pStyle w:val="TOC1"/>
            <w:tabs>
              <w:tab w:val="right" w:leader="dot" w:pos="9017"/>
            </w:tabs>
            <w:rPr>
              <w:rFonts w:ascii="Arial" w:eastAsiaTheme="minorEastAsia" w:hAnsi="Arial" w:cs="Arial"/>
              <w:noProof/>
              <w:sz w:val="24"/>
              <w:szCs w:val="24"/>
              <w:lang w:eastAsia="en-GB"/>
            </w:rPr>
          </w:pPr>
          <w:hyperlink w:anchor="_Toc225386034" w:history="1">
            <w:r w:rsidR="00FD4B77" w:rsidRPr="00FD4B77">
              <w:rPr>
                <w:rStyle w:val="Hyperlink"/>
                <w:rFonts w:ascii="Arial" w:eastAsia="Times New Roman" w:hAnsi="Arial" w:cs="Arial"/>
                <w:bCs/>
                <w:noProof/>
                <w:kern w:val="36"/>
                <w:sz w:val="24"/>
                <w:szCs w:val="24"/>
                <w:lang w:eastAsia="en-GB"/>
              </w:rPr>
              <w:t>3. TASK 2: Strategic Response Evaluation</w:t>
            </w:r>
            <w:r w:rsidR="00FD4B77" w:rsidRPr="00FD4B77">
              <w:rPr>
                <w:rFonts w:ascii="Arial" w:hAnsi="Arial" w:cs="Arial"/>
                <w:noProof/>
                <w:webHidden/>
                <w:sz w:val="24"/>
                <w:szCs w:val="24"/>
              </w:rPr>
              <w:tab/>
            </w:r>
            <w:r w:rsidR="00FD4B77" w:rsidRPr="00FD4B77">
              <w:rPr>
                <w:rFonts w:ascii="Arial" w:hAnsi="Arial" w:cs="Arial"/>
                <w:noProof/>
                <w:webHidden/>
                <w:sz w:val="24"/>
                <w:szCs w:val="24"/>
              </w:rPr>
              <w:fldChar w:fldCharType="begin"/>
            </w:r>
            <w:r w:rsidR="00FD4B77" w:rsidRPr="00FD4B77">
              <w:rPr>
                <w:rFonts w:ascii="Arial" w:hAnsi="Arial" w:cs="Arial"/>
                <w:noProof/>
                <w:webHidden/>
                <w:sz w:val="24"/>
                <w:szCs w:val="24"/>
              </w:rPr>
              <w:instrText xml:space="preserve"> PAGEREF _Toc225386034 \h </w:instrText>
            </w:r>
            <w:r w:rsidR="00FD4B77" w:rsidRPr="00FD4B77">
              <w:rPr>
                <w:rFonts w:ascii="Arial" w:hAnsi="Arial" w:cs="Arial"/>
                <w:noProof/>
                <w:webHidden/>
                <w:sz w:val="24"/>
                <w:szCs w:val="24"/>
              </w:rPr>
            </w:r>
            <w:r w:rsidR="00FD4B77" w:rsidRPr="00FD4B77">
              <w:rPr>
                <w:rFonts w:ascii="Arial" w:hAnsi="Arial" w:cs="Arial"/>
                <w:noProof/>
                <w:webHidden/>
                <w:sz w:val="24"/>
                <w:szCs w:val="24"/>
              </w:rPr>
              <w:fldChar w:fldCharType="separate"/>
            </w:r>
            <w:r w:rsidR="004A6760">
              <w:rPr>
                <w:rFonts w:ascii="Arial" w:hAnsi="Arial" w:cs="Arial"/>
                <w:noProof/>
                <w:webHidden/>
                <w:sz w:val="24"/>
                <w:szCs w:val="24"/>
              </w:rPr>
              <w:t>6</w:t>
            </w:r>
            <w:r w:rsidR="00FD4B77" w:rsidRPr="00FD4B77">
              <w:rPr>
                <w:rFonts w:ascii="Arial" w:hAnsi="Arial" w:cs="Arial"/>
                <w:noProof/>
                <w:webHidden/>
                <w:sz w:val="24"/>
                <w:szCs w:val="24"/>
              </w:rPr>
              <w:fldChar w:fldCharType="end"/>
            </w:r>
          </w:hyperlink>
        </w:p>
        <w:p w:rsidR="00FD4B77" w:rsidRPr="00FD4B77" w:rsidRDefault="00960105">
          <w:pPr>
            <w:pStyle w:val="TOC2"/>
            <w:tabs>
              <w:tab w:val="right" w:leader="dot" w:pos="9017"/>
            </w:tabs>
            <w:rPr>
              <w:rFonts w:ascii="Arial" w:eastAsiaTheme="minorEastAsia" w:hAnsi="Arial" w:cs="Arial"/>
              <w:noProof/>
              <w:sz w:val="24"/>
              <w:szCs w:val="24"/>
              <w:lang w:eastAsia="en-GB"/>
            </w:rPr>
          </w:pPr>
          <w:hyperlink w:anchor="_Toc225386035" w:history="1">
            <w:r w:rsidR="00FD4B77" w:rsidRPr="00FD4B77">
              <w:rPr>
                <w:rStyle w:val="Hyperlink"/>
                <w:rFonts w:ascii="Arial" w:eastAsia="Times New Roman" w:hAnsi="Arial" w:cs="Arial"/>
                <w:bCs/>
                <w:noProof/>
                <w:sz w:val="24"/>
                <w:szCs w:val="24"/>
                <w:lang w:eastAsia="en-GB"/>
              </w:rPr>
              <w:t>3.1 Porter’s Generic Strategies</w:t>
            </w:r>
            <w:r w:rsidR="00FD4B77" w:rsidRPr="00FD4B77">
              <w:rPr>
                <w:rFonts w:ascii="Arial" w:hAnsi="Arial" w:cs="Arial"/>
                <w:noProof/>
                <w:webHidden/>
                <w:sz w:val="24"/>
                <w:szCs w:val="24"/>
              </w:rPr>
              <w:tab/>
            </w:r>
            <w:r w:rsidR="00FD4B77" w:rsidRPr="00FD4B77">
              <w:rPr>
                <w:rFonts w:ascii="Arial" w:hAnsi="Arial" w:cs="Arial"/>
                <w:noProof/>
                <w:webHidden/>
                <w:sz w:val="24"/>
                <w:szCs w:val="24"/>
              </w:rPr>
              <w:fldChar w:fldCharType="begin"/>
            </w:r>
            <w:r w:rsidR="00FD4B77" w:rsidRPr="00FD4B77">
              <w:rPr>
                <w:rFonts w:ascii="Arial" w:hAnsi="Arial" w:cs="Arial"/>
                <w:noProof/>
                <w:webHidden/>
                <w:sz w:val="24"/>
                <w:szCs w:val="24"/>
              </w:rPr>
              <w:instrText xml:space="preserve"> PAGEREF _Toc225386035 \h </w:instrText>
            </w:r>
            <w:r w:rsidR="00FD4B77" w:rsidRPr="00FD4B77">
              <w:rPr>
                <w:rFonts w:ascii="Arial" w:hAnsi="Arial" w:cs="Arial"/>
                <w:noProof/>
                <w:webHidden/>
                <w:sz w:val="24"/>
                <w:szCs w:val="24"/>
              </w:rPr>
            </w:r>
            <w:r w:rsidR="00FD4B77" w:rsidRPr="00FD4B77">
              <w:rPr>
                <w:rFonts w:ascii="Arial" w:hAnsi="Arial" w:cs="Arial"/>
                <w:noProof/>
                <w:webHidden/>
                <w:sz w:val="24"/>
                <w:szCs w:val="24"/>
              </w:rPr>
              <w:fldChar w:fldCharType="separate"/>
            </w:r>
            <w:r w:rsidR="004A6760">
              <w:rPr>
                <w:rFonts w:ascii="Arial" w:hAnsi="Arial" w:cs="Arial"/>
                <w:noProof/>
                <w:webHidden/>
                <w:sz w:val="24"/>
                <w:szCs w:val="24"/>
              </w:rPr>
              <w:t>6</w:t>
            </w:r>
            <w:r w:rsidR="00FD4B77" w:rsidRPr="00FD4B77">
              <w:rPr>
                <w:rFonts w:ascii="Arial" w:hAnsi="Arial" w:cs="Arial"/>
                <w:noProof/>
                <w:webHidden/>
                <w:sz w:val="24"/>
                <w:szCs w:val="24"/>
              </w:rPr>
              <w:fldChar w:fldCharType="end"/>
            </w:r>
          </w:hyperlink>
        </w:p>
        <w:p w:rsidR="00FD4B77" w:rsidRPr="00FD4B77" w:rsidRDefault="00960105">
          <w:pPr>
            <w:pStyle w:val="TOC2"/>
            <w:tabs>
              <w:tab w:val="right" w:leader="dot" w:pos="9017"/>
            </w:tabs>
            <w:rPr>
              <w:rFonts w:ascii="Arial" w:eastAsiaTheme="minorEastAsia" w:hAnsi="Arial" w:cs="Arial"/>
              <w:noProof/>
              <w:sz w:val="24"/>
              <w:szCs w:val="24"/>
              <w:lang w:eastAsia="en-GB"/>
            </w:rPr>
          </w:pPr>
          <w:hyperlink w:anchor="_Toc225386036" w:history="1">
            <w:r w:rsidR="00FD4B77" w:rsidRPr="00FD4B77">
              <w:rPr>
                <w:rStyle w:val="Hyperlink"/>
                <w:rFonts w:ascii="Arial" w:eastAsia="Times New Roman" w:hAnsi="Arial" w:cs="Arial"/>
                <w:bCs/>
                <w:noProof/>
                <w:sz w:val="24"/>
                <w:szCs w:val="24"/>
                <w:lang w:eastAsia="en-GB"/>
              </w:rPr>
              <w:t>3.2 Ansoff Growth Matrix</w:t>
            </w:r>
            <w:r w:rsidR="00FD4B77" w:rsidRPr="00FD4B77">
              <w:rPr>
                <w:rFonts w:ascii="Arial" w:hAnsi="Arial" w:cs="Arial"/>
                <w:noProof/>
                <w:webHidden/>
                <w:sz w:val="24"/>
                <w:szCs w:val="24"/>
              </w:rPr>
              <w:tab/>
            </w:r>
            <w:r w:rsidR="00FD4B77" w:rsidRPr="00FD4B77">
              <w:rPr>
                <w:rFonts w:ascii="Arial" w:hAnsi="Arial" w:cs="Arial"/>
                <w:noProof/>
                <w:webHidden/>
                <w:sz w:val="24"/>
                <w:szCs w:val="24"/>
              </w:rPr>
              <w:fldChar w:fldCharType="begin"/>
            </w:r>
            <w:r w:rsidR="00FD4B77" w:rsidRPr="00FD4B77">
              <w:rPr>
                <w:rFonts w:ascii="Arial" w:hAnsi="Arial" w:cs="Arial"/>
                <w:noProof/>
                <w:webHidden/>
                <w:sz w:val="24"/>
                <w:szCs w:val="24"/>
              </w:rPr>
              <w:instrText xml:space="preserve"> PAGEREF _Toc225386036 \h </w:instrText>
            </w:r>
            <w:r w:rsidR="00FD4B77" w:rsidRPr="00FD4B77">
              <w:rPr>
                <w:rFonts w:ascii="Arial" w:hAnsi="Arial" w:cs="Arial"/>
                <w:noProof/>
                <w:webHidden/>
                <w:sz w:val="24"/>
                <w:szCs w:val="24"/>
              </w:rPr>
            </w:r>
            <w:r w:rsidR="00FD4B77" w:rsidRPr="00FD4B77">
              <w:rPr>
                <w:rFonts w:ascii="Arial" w:hAnsi="Arial" w:cs="Arial"/>
                <w:noProof/>
                <w:webHidden/>
                <w:sz w:val="24"/>
                <w:szCs w:val="24"/>
              </w:rPr>
              <w:fldChar w:fldCharType="separate"/>
            </w:r>
            <w:r w:rsidR="004A6760">
              <w:rPr>
                <w:rFonts w:ascii="Arial" w:hAnsi="Arial" w:cs="Arial"/>
                <w:noProof/>
                <w:webHidden/>
                <w:sz w:val="24"/>
                <w:szCs w:val="24"/>
              </w:rPr>
              <w:t>7</w:t>
            </w:r>
            <w:r w:rsidR="00FD4B77" w:rsidRPr="00FD4B77">
              <w:rPr>
                <w:rFonts w:ascii="Arial" w:hAnsi="Arial" w:cs="Arial"/>
                <w:noProof/>
                <w:webHidden/>
                <w:sz w:val="24"/>
                <w:szCs w:val="24"/>
              </w:rPr>
              <w:fldChar w:fldCharType="end"/>
            </w:r>
          </w:hyperlink>
        </w:p>
        <w:p w:rsidR="00FD4B77" w:rsidRPr="00FD4B77" w:rsidRDefault="00960105">
          <w:pPr>
            <w:pStyle w:val="TOC2"/>
            <w:tabs>
              <w:tab w:val="right" w:leader="dot" w:pos="9017"/>
            </w:tabs>
            <w:rPr>
              <w:rFonts w:ascii="Arial" w:eastAsiaTheme="minorEastAsia" w:hAnsi="Arial" w:cs="Arial"/>
              <w:noProof/>
              <w:sz w:val="24"/>
              <w:szCs w:val="24"/>
              <w:lang w:eastAsia="en-GB"/>
            </w:rPr>
          </w:pPr>
          <w:hyperlink w:anchor="_Toc225386037" w:history="1">
            <w:r w:rsidR="00FD4B77" w:rsidRPr="00FD4B77">
              <w:rPr>
                <w:rStyle w:val="Hyperlink"/>
                <w:rFonts w:ascii="Arial" w:eastAsia="Times New Roman" w:hAnsi="Arial" w:cs="Arial"/>
                <w:bCs/>
                <w:noProof/>
                <w:sz w:val="24"/>
                <w:szCs w:val="24"/>
                <w:lang w:eastAsia="en-GB"/>
              </w:rPr>
              <w:t>3.3 Comparative Strategic Evaluation</w:t>
            </w:r>
            <w:r w:rsidR="00FD4B77" w:rsidRPr="00FD4B77">
              <w:rPr>
                <w:rFonts w:ascii="Arial" w:hAnsi="Arial" w:cs="Arial"/>
                <w:noProof/>
                <w:webHidden/>
                <w:sz w:val="24"/>
                <w:szCs w:val="24"/>
              </w:rPr>
              <w:tab/>
            </w:r>
            <w:r w:rsidR="00FD4B77" w:rsidRPr="00FD4B77">
              <w:rPr>
                <w:rFonts w:ascii="Arial" w:hAnsi="Arial" w:cs="Arial"/>
                <w:noProof/>
                <w:webHidden/>
                <w:sz w:val="24"/>
                <w:szCs w:val="24"/>
              </w:rPr>
              <w:fldChar w:fldCharType="begin"/>
            </w:r>
            <w:r w:rsidR="00FD4B77" w:rsidRPr="00FD4B77">
              <w:rPr>
                <w:rFonts w:ascii="Arial" w:hAnsi="Arial" w:cs="Arial"/>
                <w:noProof/>
                <w:webHidden/>
                <w:sz w:val="24"/>
                <w:szCs w:val="24"/>
              </w:rPr>
              <w:instrText xml:space="preserve"> PAGEREF _Toc225386037 \h </w:instrText>
            </w:r>
            <w:r w:rsidR="00FD4B77" w:rsidRPr="00FD4B77">
              <w:rPr>
                <w:rFonts w:ascii="Arial" w:hAnsi="Arial" w:cs="Arial"/>
                <w:noProof/>
                <w:webHidden/>
                <w:sz w:val="24"/>
                <w:szCs w:val="24"/>
              </w:rPr>
            </w:r>
            <w:r w:rsidR="00FD4B77" w:rsidRPr="00FD4B77">
              <w:rPr>
                <w:rFonts w:ascii="Arial" w:hAnsi="Arial" w:cs="Arial"/>
                <w:noProof/>
                <w:webHidden/>
                <w:sz w:val="24"/>
                <w:szCs w:val="24"/>
              </w:rPr>
              <w:fldChar w:fldCharType="separate"/>
            </w:r>
            <w:r w:rsidR="004A6760">
              <w:rPr>
                <w:rFonts w:ascii="Arial" w:hAnsi="Arial" w:cs="Arial"/>
                <w:noProof/>
                <w:webHidden/>
                <w:sz w:val="24"/>
                <w:szCs w:val="24"/>
              </w:rPr>
              <w:t>8</w:t>
            </w:r>
            <w:r w:rsidR="00FD4B77" w:rsidRPr="00FD4B77">
              <w:rPr>
                <w:rFonts w:ascii="Arial" w:hAnsi="Arial" w:cs="Arial"/>
                <w:noProof/>
                <w:webHidden/>
                <w:sz w:val="24"/>
                <w:szCs w:val="24"/>
              </w:rPr>
              <w:fldChar w:fldCharType="end"/>
            </w:r>
          </w:hyperlink>
        </w:p>
        <w:p w:rsidR="00FD4B77" w:rsidRPr="00FD4B77" w:rsidRDefault="00960105">
          <w:pPr>
            <w:pStyle w:val="TOC1"/>
            <w:tabs>
              <w:tab w:val="right" w:leader="dot" w:pos="9017"/>
            </w:tabs>
            <w:rPr>
              <w:rFonts w:ascii="Arial" w:eastAsiaTheme="minorEastAsia" w:hAnsi="Arial" w:cs="Arial"/>
              <w:noProof/>
              <w:sz w:val="24"/>
              <w:szCs w:val="24"/>
              <w:lang w:eastAsia="en-GB"/>
            </w:rPr>
          </w:pPr>
          <w:hyperlink w:anchor="_Toc225386038" w:history="1">
            <w:r w:rsidR="00FD4B77" w:rsidRPr="00FD4B77">
              <w:rPr>
                <w:rStyle w:val="Hyperlink"/>
                <w:rFonts w:ascii="Arial" w:hAnsi="Arial" w:cs="Arial"/>
                <w:noProof/>
                <w:sz w:val="24"/>
                <w:szCs w:val="24"/>
              </w:rPr>
              <w:t>4. Conclusion</w:t>
            </w:r>
            <w:r w:rsidR="00FD4B77" w:rsidRPr="00FD4B77">
              <w:rPr>
                <w:rFonts w:ascii="Arial" w:hAnsi="Arial" w:cs="Arial"/>
                <w:noProof/>
                <w:webHidden/>
                <w:sz w:val="24"/>
                <w:szCs w:val="24"/>
              </w:rPr>
              <w:tab/>
            </w:r>
            <w:r w:rsidR="00FD4B77" w:rsidRPr="00FD4B77">
              <w:rPr>
                <w:rFonts w:ascii="Arial" w:hAnsi="Arial" w:cs="Arial"/>
                <w:noProof/>
                <w:webHidden/>
                <w:sz w:val="24"/>
                <w:szCs w:val="24"/>
              </w:rPr>
              <w:fldChar w:fldCharType="begin"/>
            </w:r>
            <w:r w:rsidR="00FD4B77" w:rsidRPr="00FD4B77">
              <w:rPr>
                <w:rFonts w:ascii="Arial" w:hAnsi="Arial" w:cs="Arial"/>
                <w:noProof/>
                <w:webHidden/>
                <w:sz w:val="24"/>
                <w:szCs w:val="24"/>
              </w:rPr>
              <w:instrText xml:space="preserve"> PAGEREF _Toc225386038 \h </w:instrText>
            </w:r>
            <w:r w:rsidR="00FD4B77" w:rsidRPr="00FD4B77">
              <w:rPr>
                <w:rFonts w:ascii="Arial" w:hAnsi="Arial" w:cs="Arial"/>
                <w:noProof/>
                <w:webHidden/>
                <w:sz w:val="24"/>
                <w:szCs w:val="24"/>
              </w:rPr>
            </w:r>
            <w:r w:rsidR="00FD4B77" w:rsidRPr="00FD4B77">
              <w:rPr>
                <w:rFonts w:ascii="Arial" w:hAnsi="Arial" w:cs="Arial"/>
                <w:noProof/>
                <w:webHidden/>
                <w:sz w:val="24"/>
                <w:szCs w:val="24"/>
              </w:rPr>
              <w:fldChar w:fldCharType="separate"/>
            </w:r>
            <w:r w:rsidR="004A6760">
              <w:rPr>
                <w:rFonts w:ascii="Arial" w:hAnsi="Arial" w:cs="Arial"/>
                <w:noProof/>
                <w:webHidden/>
                <w:sz w:val="24"/>
                <w:szCs w:val="24"/>
              </w:rPr>
              <w:t>9</w:t>
            </w:r>
            <w:r w:rsidR="00FD4B77" w:rsidRPr="00FD4B77">
              <w:rPr>
                <w:rFonts w:ascii="Arial" w:hAnsi="Arial" w:cs="Arial"/>
                <w:noProof/>
                <w:webHidden/>
                <w:sz w:val="24"/>
                <w:szCs w:val="24"/>
              </w:rPr>
              <w:fldChar w:fldCharType="end"/>
            </w:r>
          </w:hyperlink>
        </w:p>
        <w:p w:rsidR="00FD4B77" w:rsidRDefault="00FD4B77">
          <w:r w:rsidRPr="00FD4B77">
            <w:rPr>
              <w:rFonts w:ascii="Arial" w:hAnsi="Arial" w:cs="Arial"/>
              <w:bCs/>
              <w:noProof/>
              <w:sz w:val="24"/>
              <w:szCs w:val="24"/>
            </w:rPr>
            <w:fldChar w:fldCharType="end"/>
          </w:r>
        </w:p>
      </w:sdtContent>
    </w:sdt>
    <w:p w:rsidR="00B74FB2" w:rsidRDefault="00B74FB2" w:rsidP="00FD4B77">
      <w:pPr>
        <w:spacing w:line="360" w:lineRule="auto"/>
        <w:jc w:val="both"/>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4A6760" w:rsidP="004A6760">
      <w:pPr>
        <w:tabs>
          <w:tab w:val="left" w:pos="3722"/>
        </w:tabs>
        <w:rPr>
          <w:rFonts w:ascii="Arial" w:hAnsi="Arial" w:cs="Arial"/>
          <w:sz w:val="24"/>
          <w:szCs w:val="24"/>
        </w:rPr>
      </w:pPr>
      <w:r>
        <w:rPr>
          <w:rFonts w:ascii="Arial" w:hAnsi="Arial" w:cs="Arial"/>
          <w:sz w:val="24"/>
          <w:szCs w:val="24"/>
        </w:rPr>
        <w:tab/>
      </w:r>
      <w:bookmarkStart w:id="0" w:name="_GoBack"/>
      <w:bookmarkEnd w:id="0"/>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B74FB2" w:rsidRPr="00B74FB2" w:rsidRDefault="00B74FB2" w:rsidP="00B74FB2">
      <w:pPr>
        <w:rPr>
          <w:rFonts w:ascii="Arial" w:hAnsi="Arial" w:cs="Arial"/>
          <w:sz w:val="24"/>
          <w:szCs w:val="24"/>
        </w:rPr>
      </w:pPr>
    </w:p>
    <w:p w:rsidR="00FD4B77" w:rsidRPr="00B74FB2" w:rsidRDefault="00FD4B77" w:rsidP="00B74FB2">
      <w:pPr>
        <w:tabs>
          <w:tab w:val="left" w:pos="1114"/>
        </w:tabs>
        <w:rPr>
          <w:rFonts w:ascii="Arial" w:hAnsi="Arial" w:cs="Arial"/>
          <w:sz w:val="24"/>
          <w:szCs w:val="24"/>
        </w:rPr>
        <w:sectPr w:rsidR="00FD4B77" w:rsidRPr="00B74FB2" w:rsidSect="00FD4B77">
          <w:footerReference w:type="default" r:id="rId15"/>
          <w:pgSz w:w="11907" w:h="16839" w:code="9"/>
          <w:pgMar w:top="1440" w:right="1440" w:bottom="1440" w:left="1440" w:header="720" w:footer="720" w:gutter="0"/>
          <w:cols w:space="720"/>
          <w:docGrid w:linePitch="360"/>
        </w:sectPr>
      </w:pPr>
    </w:p>
    <w:p w:rsidR="00FD4B77" w:rsidRPr="008F66DB" w:rsidRDefault="00FD4B77" w:rsidP="008F66DB">
      <w:pPr>
        <w:pStyle w:val="Heading1"/>
        <w:spacing w:line="360" w:lineRule="auto"/>
        <w:rPr>
          <w:rFonts w:ascii="Arial" w:hAnsi="Arial" w:cs="Arial"/>
          <w:bCs w:val="0"/>
          <w:sz w:val="24"/>
          <w:szCs w:val="24"/>
        </w:rPr>
      </w:pPr>
      <w:bookmarkStart w:id="1" w:name="_Toc225386030"/>
      <w:r w:rsidRPr="008F66DB">
        <w:rPr>
          <w:rFonts w:ascii="Arial" w:hAnsi="Arial" w:cs="Arial"/>
          <w:sz w:val="24"/>
          <w:szCs w:val="24"/>
        </w:rPr>
        <w:lastRenderedPageBreak/>
        <w:t>1. Introduction</w:t>
      </w:r>
      <w:bookmarkEnd w:id="1"/>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Technological progress and the increased concern regarding the environment have resulted in the rapid growth of the electric vehicle market, which necessitates the examination of the marketing environment to make a strategic decision (</w:t>
      </w:r>
      <w:proofErr w:type="spellStart"/>
      <w:r w:rsidRPr="008F66DB">
        <w:rPr>
          <w:rFonts w:ascii="Arial" w:eastAsia="Times New Roman" w:hAnsi="Arial" w:cs="Arial"/>
          <w:sz w:val="24"/>
          <w:szCs w:val="24"/>
          <w:lang w:eastAsia="en-GB"/>
        </w:rPr>
        <w:t>Rezvani</w:t>
      </w:r>
      <w:proofErr w:type="spellEnd"/>
      <w:r w:rsidRPr="008F66DB">
        <w:rPr>
          <w:rFonts w:ascii="Arial" w:eastAsia="Times New Roman" w:hAnsi="Arial" w:cs="Arial"/>
          <w:sz w:val="24"/>
          <w:szCs w:val="24"/>
          <w:lang w:eastAsia="en-GB"/>
        </w:rPr>
        <w:t xml:space="preserve"> et al., 2022; Kraus et al., 2021). Tesla is considered a leader in the innovation-driven approach as it is an innovative </w:t>
      </w:r>
      <w:proofErr w:type="gramStart"/>
      <w:r w:rsidRPr="008F66DB">
        <w:rPr>
          <w:rFonts w:ascii="Arial" w:eastAsia="Times New Roman" w:hAnsi="Arial" w:cs="Arial"/>
          <w:sz w:val="24"/>
          <w:szCs w:val="24"/>
          <w:lang w:eastAsia="en-GB"/>
        </w:rPr>
        <w:t>organisation,</w:t>
      </w:r>
      <w:proofErr w:type="gramEnd"/>
      <w:r w:rsidRPr="008F66DB">
        <w:rPr>
          <w:rFonts w:ascii="Arial" w:eastAsia="Times New Roman" w:hAnsi="Arial" w:cs="Arial"/>
          <w:sz w:val="24"/>
          <w:szCs w:val="24"/>
          <w:lang w:eastAsia="en-GB"/>
        </w:rPr>
        <w:t xml:space="preserve"> and Ford acts as a follower that is attempting to keep up with the changes in the industry. The macro marketing environment, which is examined in the PESTEL framework, identifies the external forces that have an impact on the performance of organisations (Khan et al., 2021; </w:t>
      </w:r>
      <w:proofErr w:type="spellStart"/>
      <w:r w:rsidRPr="008F66DB">
        <w:rPr>
          <w:rFonts w:ascii="Arial" w:eastAsia="Times New Roman" w:hAnsi="Arial" w:cs="Arial"/>
          <w:sz w:val="24"/>
          <w:szCs w:val="24"/>
          <w:lang w:eastAsia="en-GB"/>
        </w:rPr>
        <w:t>Bhatti</w:t>
      </w:r>
      <w:proofErr w:type="spellEnd"/>
      <w:r w:rsidRPr="008F66DB">
        <w:rPr>
          <w:rFonts w:ascii="Arial" w:eastAsia="Times New Roman" w:hAnsi="Arial" w:cs="Arial"/>
          <w:sz w:val="24"/>
          <w:szCs w:val="24"/>
          <w:lang w:eastAsia="en-GB"/>
        </w:rPr>
        <w:t xml:space="preserve"> et al., 2020). This report is a critical analysis of technological and political and legal factors and a strategic response evaluation based on Porters and </w:t>
      </w:r>
      <w:proofErr w:type="spellStart"/>
      <w:r w:rsidRPr="008F66DB">
        <w:rPr>
          <w:rFonts w:ascii="Arial" w:eastAsia="Times New Roman" w:hAnsi="Arial" w:cs="Arial"/>
          <w:sz w:val="24"/>
          <w:szCs w:val="24"/>
          <w:lang w:eastAsia="en-GB"/>
        </w:rPr>
        <w:t>Ansoff</w:t>
      </w:r>
      <w:proofErr w:type="spellEnd"/>
      <w:r w:rsidRPr="008F66DB">
        <w:rPr>
          <w:rFonts w:ascii="Arial" w:eastAsia="Times New Roman" w:hAnsi="Arial" w:cs="Arial"/>
          <w:sz w:val="24"/>
          <w:szCs w:val="24"/>
          <w:lang w:eastAsia="en-GB"/>
        </w:rPr>
        <w:t xml:space="preserve"> models.</w:t>
      </w:r>
    </w:p>
    <w:p w:rsidR="00FD4B77" w:rsidRPr="00C921BD" w:rsidRDefault="00FD4B77" w:rsidP="008F66DB">
      <w:pPr>
        <w:pStyle w:val="Heading1"/>
        <w:spacing w:line="360" w:lineRule="auto"/>
        <w:rPr>
          <w:rFonts w:ascii="Arial" w:hAnsi="Arial" w:cs="Arial"/>
          <w:sz w:val="24"/>
          <w:szCs w:val="24"/>
        </w:rPr>
      </w:pPr>
      <w:bookmarkStart w:id="2" w:name="_Toc225386031"/>
      <w:r w:rsidRPr="008F66DB">
        <w:rPr>
          <w:rFonts w:ascii="Arial" w:hAnsi="Arial" w:cs="Arial"/>
          <w:sz w:val="24"/>
          <w:szCs w:val="24"/>
        </w:rPr>
        <w:t>2. TASK 1: Macro Marketing Environment Analysis</w:t>
      </w:r>
      <w:bookmarkEnd w:id="2"/>
    </w:p>
    <w:p w:rsidR="008F66DB" w:rsidRPr="00C921BD" w:rsidRDefault="00FD4B77" w:rsidP="008F66DB">
      <w:pPr>
        <w:pStyle w:val="Heading2"/>
        <w:spacing w:line="360" w:lineRule="auto"/>
        <w:rPr>
          <w:rFonts w:ascii="Arial" w:hAnsi="Arial" w:cs="Arial"/>
          <w:sz w:val="24"/>
          <w:szCs w:val="24"/>
        </w:rPr>
      </w:pPr>
      <w:bookmarkStart w:id="3" w:name="_Toc225386032"/>
      <w:r w:rsidRPr="008F66DB">
        <w:rPr>
          <w:rFonts w:ascii="Arial" w:hAnsi="Arial" w:cs="Arial"/>
          <w:sz w:val="24"/>
          <w:szCs w:val="24"/>
        </w:rPr>
        <w:t>2.1 Technological Factor</w:t>
      </w:r>
      <w:bookmarkEnd w:id="3"/>
    </w:p>
    <w:p w:rsidR="008F66DB" w:rsidRPr="008F66DB" w:rsidRDefault="008F66DB" w:rsidP="008F66DB">
      <w:pPr>
        <w:spacing w:before="100" w:beforeAutospacing="1" w:after="100" w:afterAutospacing="1" w:line="360" w:lineRule="auto"/>
        <w:jc w:val="center"/>
        <w:rPr>
          <w:rFonts w:ascii="Arial" w:eastAsia="Times New Roman" w:hAnsi="Arial" w:cs="Arial"/>
          <w:sz w:val="24"/>
          <w:szCs w:val="24"/>
          <w:lang w:eastAsia="en-GB"/>
        </w:rPr>
      </w:pPr>
      <w:r w:rsidRPr="008F66DB">
        <w:rPr>
          <w:rFonts w:ascii="Arial" w:eastAsia="Times New Roman" w:hAnsi="Arial" w:cs="Arial"/>
          <w:noProof/>
          <w:sz w:val="24"/>
          <w:szCs w:val="24"/>
          <w:lang w:eastAsia="en-GB"/>
        </w:rPr>
        <w:drawing>
          <wp:inline distT="0" distB="0" distL="0" distR="0" wp14:anchorId="2CB69145" wp14:editId="72EFD5A9">
            <wp:extent cx="3298904" cy="3121879"/>
            <wp:effectExtent l="0" t="0" r="0" b="2540"/>
            <wp:docPr id="1" name="Picture 1" descr="PESTLE Analysis: The CEO's Guide to Future-Proofing a Business | by Asif  Iqbal | Techno-Preneurship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PESTLE Analysis: The CEO's Guide to Future-Proofing a Business | by Asif  Iqbal | Techno-Preneurship | Mediu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303217" cy="3125961"/>
                    </a:xfrm>
                    <a:prstGeom prst="rect">
                      <a:avLst/>
                    </a:prstGeom>
                    <a:noFill/>
                    <a:ln>
                      <a:noFill/>
                    </a:ln>
                  </pic:spPr>
                </pic:pic>
              </a:graphicData>
            </a:graphic>
          </wp:inline>
        </w:drawing>
      </w:r>
    </w:p>
    <w:p w:rsidR="008F66DB" w:rsidRPr="008F66DB" w:rsidRDefault="008F66DB" w:rsidP="008F66DB">
      <w:pPr>
        <w:spacing w:before="100" w:beforeAutospacing="1" w:after="100" w:afterAutospacing="1" w:line="360" w:lineRule="auto"/>
        <w:jc w:val="center"/>
        <w:rPr>
          <w:rFonts w:ascii="Arial" w:eastAsia="Times New Roman" w:hAnsi="Arial" w:cs="Arial"/>
          <w:i/>
          <w:sz w:val="24"/>
          <w:szCs w:val="24"/>
          <w:lang w:eastAsia="en-GB"/>
        </w:rPr>
      </w:pPr>
      <w:r w:rsidRPr="008F66DB">
        <w:rPr>
          <w:rFonts w:ascii="Arial" w:eastAsia="Times New Roman" w:hAnsi="Arial" w:cs="Arial"/>
          <w:i/>
          <w:sz w:val="24"/>
          <w:szCs w:val="24"/>
          <w:lang w:eastAsia="en-GB"/>
        </w:rPr>
        <w:t>Figure 1: PESTLE Analysis</w:t>
      </w:r>
      <w:r>
        <w:rPr>
          <w:rFonts w:ascii="Arial" w:eastAsia="Times New Roman" w:hAnsi="Arial" w:cs="Arial"/>
          <w:i/>
          <w:sz w:val="24"/>
          <w:szCs w:val="24"/>
          <w:lang w:eastAsia="en-GB"/>
        </w:rPr>
        <w:t xml:space="preserve"> </w:t>
      </w:r>
      <w:r w:rsidRPr="008F66DB">
        <w:rPr>
          <w:rFonts w:ascii="Arial" w:eastAsia="Times New Roman" w:hAnsi="Arial" w:cs="Arial"/>
          <w:i/>
          <w:sz w:val="24"/>
          <w:szCs w:val="24"/>
          <w:lang w:eastAsia="en-GB"/>
        </w:rPr>
        <w:t>(</w:t>
      </w:r>
      <w:proofErr w:type="spellStart"/>
      <w:r w:rsidRPr="008F66DB">
        <w:rPr>
          <w:rFonts w:ascii="Arial" w:eastAsia="Times New Roman" w:hAnsi="Arial" w:cs="Arial"/>
          <w:i/>
          <w:sz w:val="24"/>
          <w:szCs w:val="24"/>
          <w:lang w:eastAsia="en-GB"/>
        </w:rPr>
        <w:t>Iqbal</w:t>
      </w:r>
      <w:proofErr w:type="spellEnd"/>
      <w:r w:rsidRPr="008F66DB">
        <w:rPr>
          <w:rFonts w:ascii="Arial" w:eastAsia="Times New Roman" w:hAnsi="Arial" w:cs="Arial"/>
          <w:i/>
          <w:sz w:val="24"/>
          <w:szCs w:val="24"/>
          <w:lang w:eastAsia="en-GB"/>
        </w:rPr>
        <w:t>, 2025)</w:t>
      </w:r>
    </w:p>
    <w:p w:rsidR="008F66DB" w:rsidRPr="00C921BD" w:rsidRDefault="008F66DB" w:rsidP="008F66DB">
      <w:pPr>
        <w:spacing w:before="100" w:beforeAutospacing="1" w:after="100" w:afterAutospacing="1" w:line="360" w:lineRule="auto"/>
        <w:jc w:val="both"/>
        <w:rPr>
          <w:rFonts w:ascii="Arial" w:eastAsia="Times New Roman" w:hAnsi="Arial" w:cs="Arial"/>
          <w:sz w:val="24"/>
          <w:szCs w:val="24"/>
          <w:lang w:eastAsia="en-GB"/>
        </w:rPr>
      </w:pPr>
    </w:p>
    <w:p w:rsidR="008F66DB" w:rsidRPr="008F66DB" w:rsidRDefault="008F66DB" w:rsidP="008F66DB">
      <w:pPr>
        <w:spacing w:before="100" w:beforeAutospacing="1" w:after="100" w:afterAutospacing="1" w:line="360" w:lineRule="auto"/>
        <w:jc w:val="both"/>
        <w:rPr>
          <w:rFonts w:ascii="Arial" w:eastAsia="Times New Roman" w:hAnsi="Arial" w:cs="Arial"/>
          <w:b/>
          <w:sz w:val="24"/>
          <w:szCs w:val="24"/>
          <w:lang w:eastAsia="en-GB"/>
        </w:rPr>
      </w:pPr>
      <w:r w:rsidRPr="008F66DB">
        <w:rPr>
          <w:rFonts w:ascii="Arial" w:eastAsia="Times New Roman" w:hAnsi="Arial" w:cs="Arial"/>
          <w:b/>
          <w:sz w:val="24"/>
          <w:szCs w:val="24"/>
          <w:lang w:eastAsia="en-GB"/>
        </w:rPr>
        <w:lastRenderedPageBreak/>
        <w:t>Role of Technology in Strategic Marketing</w:t>
      </w:r>
    </w:p>
    <w:p w:rsidR="00FD4B77" w:rsidRPr="00C921BD"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The macro marketing environment contains technological advancement as one of the key impetuses driving the manner in which the firm creates value and maintains competitive advantage. Shifts in the automotive sector toward electric vehicles (EVs) and artificial intelligence (AI) and battery innovation have profoundly changed competition in the market. Technology helps companies to become more </w:t>
      </w:r>
      <w:proofErr w:type="gramStart"/>
      <w:r w:rsidRPr="008F66DB">
        <w:rPr>
          <w:rFonts w:ascii="Arial" w:eastAsia="Times New Roman" w:hAnsi="Arial" w:cs="Arial"/>
          <w:sz w:val="24"/>
          <w:szCs w:val="24"/>
          <w:lang w:eastAsia="en-GB"/>
        </w:rPr>
        <w:t>product</w:t>
      </w:r>
      <w:proofErr w:type="gramEnd"/>
      <w:r w:rsidRPr="008F66DB">
        <w:rPr>
          <w:rFonts w:ascii="Arial" w:eastAsia="Times New Roman" w:hAnsi="Arial" w:cs="Arial"/>
          <w:sz w:val="24"/>
          <w:szCs w:val="24"/>
          <w:lang w:eastAsia="en-GB"/>
        </w:rPr>
        <w:t xml:space="preserve"> differentiated and more efficient in operations and adjust to evolving consumer demands (Armstrong et al., 2020; Chaffey and Ellis-Chadwick, 2022). In addition, companies that can strategically capitalize on the digital transformation will be able to consolidate their market presence, and those that do not will risk becoming increasingly disadvantaged in terms of competition (</w:t>
      </w:r>
      <w:proofErr w:type="spellStart"/>
      <w:r w:rsidRPr="008F66DB">
        <w:rPr>
          <w:rFonts w:ascii="Arial" w:eastAsia="Times New Roman" w:hAnsi="Arial" w:cs="Arial"/>
          <w:sz w:val="24"/>
          <w:szCs w:val="24"/>
          <w:lang w:eastAsia="en-GB"/>
        </w:rPr>
        <w:t>Bharadwaj</w:t>
      </w:r>
      <w:proofErr w:type="spellEnd"/>
      <w:r w:rsidRPr="008F66DB">
        <w:rPr>
          <w:rFonts w:ascii="Arial" w:eastAsia="Times New Roman" w:hAnsi="Arial" w:cs="Arial"/>
          <w:sz w:val="24"/>
          <w:szCs w:val="24"/>
          <w:lang w:eastAsia="en-GB"/>
        </w:rPr>
        <w:t xml:space="preserve"> et al., 2021; Kraus et al., 2021)</w:t>
      </w:r>
      <w:r w:rsidRPr="00C921BD">
        <w:rPr>
          <w:rFonts w:ascii="Arial" w:eastAsia="Times New Roman" w:hAnsi="Arial" w:cs="Arial"/>
          <w:sz w:val="24"/>
          <w:szCs w:val="24"/>
          <w:lang w:eastAsia="en-GB"/>
        </w:rPr>
        <w:t>.</w:t>
      </w:r>
    </w:p>
    <w:p w:rsidR="00FD4B77" w:rsidRPr="00C921BD" w:rsidRDefault="00FD4B77" w:rsidP="008F66DB">
      <w:pPr>
        <w:spacing w:before="100" w:beforeAutospacing="1" w:after="100" w:afterAutospacing="1" w:line="360" w:lineRule="auto"/>
        <w:jc w:val="both"/>
        <w:rPr>
          <w:rFonts w:ascii="Arial" w:eastAsia="Times New Roman" w:hAnsi="Arial" w:cs="Arial"/>
          <w:b/>
          <w:sz w:val="24"/>
          <w:szCs w:val="24"/>
          <w:lang w:eastAsia="en-GB"/>
        </w:rPr>
      </w:pPr>
      <w:r w:rsidRPr="008F66DB">
        <w:rPr>
          <w:rFonts w:ascii="Arial" w:eastAsia="Times New Roman" w:hAnsi="Arial" w:cs="Arial"/>
          <w:b/>
          <w:sz w:val="24"/>
          <w:szCs w:val="24"/>
          <w:lang w:eastAsia="en-GB"/>
        </w:rPr>
        <w:t>Tesla (Pioneer – Critical Analysis)</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Tesla has positioned itself as an innovative organisation by using high-level technological performances to assume a dominating role in the EV market. It has pioneered battery technology, self-driving technologies, and AI-integrated software that </w:t>
      </w:r>
      <w:proofErr w:type="gramStart"/>
      <w:r w:rsidRPr="008F66DB">
        <w:rPr>
          <w:rFonts w:ascii="Arial" w:eastAsia="Times New Roman" w:hAnsi="Arial" w:cs="Arial"/>
          <w:sz w:val="24"/>
          <w:szCs w:val="24"/>
          <w:lang w:eastAsia="en-GB"/>
        </w:rPr>
        <w:t>has</w:t>
      </w:r>
      <w:proofErr w:type="gramEnd"/>
      <w:r w:rsidRPr="008F66DB">
        <w:rPr>
          <w:rFonts w:ascii="Arial" w:eastAsia="Times New Roman" w:hAnsi="Arial" w:cs="Arial"/>
          <w:sz w:val="24"/>
          <w:szCs w:val="24"/>
          <w:lang w:eastAsia="en-GB"/>
        </w:rPr>
        <w:t xml:space="preserve"> helped it be highly differentiated. As an illustration, the regular software updates and battery design technology by Tesla allows improving the performance of the product and customer experience, which strengthens its technological leadership (</w:t>
      </w:r>
      <w:proofErr w:type="spellStart"/>
      <w:r w:rsidRPr="008F66DB">
        <w:rPr>
          <w:rFonts w:ascii="Arial" w:eastAsia="Times New Roman" w:hAnsi="Arial" w:cs="Arial"/>
          <w:sz w:val="24"/>
          <w:szCs w:val="24"/>
          <w:lang w:eastAsia="en-GB"/>
        </w:rPr>
        <w:t>Stringham</w:t>
      </w:r>
      <w:proofErr w:type="spellEnd"/>
      <w:r w:rsidRPr="008F66DB">
        <w:rPr>
          <w:rFonts w:ascii="Arial" w:eastAsia="Times New Roman" w:hAnsi="Arial" w:cs="Arial"/>
          <w:sz w:val="24"/>
          <w:szCs w:val="24"/>
          <w:lang w:eastAsia="en-GB"/>
        </w:rPr>
        <w:t xml:space="preserve"> et al., 2021; </w:t>
      </w:r>
      <w:proofErr w:type="spellStart"/>
      <w:r w:rsidRPr="008F66DB">
        <w:rPr>
          <w:rFonts w:ascii="Arial" w:eastAsia="Times New Roman" w:hAnsi="Arial" w:cs="Arial"/>
          <w:sz w:val="24"/>
          <w:szCs w:val="24"/>
          <w:lang w:eastAsia="en-GB"/>
        </w:rPr>
        <w:t>Vynakov</w:t>
      </w:r>
      <w:proofErr w:type="spellEnd"/>
      <w:r w:rsidRPr="008F66DB">
        <w:rPr>
          <w:rFonts w:ascii="Arial" w:eastAsia="Times New Roman" w:hAnsi="Arial" w:cs="Arial"/>
          <w:sz w:val="24"/>
          <w:szCs w:val="24"/>
          <w:lang w:eastAsia="en-GB"/>
        </w:rPr>
        <w:t xml:space="preserve"> et al., 2021). These strengths open the possibilities of Tesla to keep its premium prices and brand loyalty and reinforce its presence within the international EV market.</w:t>
      </w:r>
    </w:p>
    <w:p w:rsidR="00FD4B77" w:rsidRPr="00C921BD"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Strategically, the innovation-based approach of Tesla helps in the differentiation strategy as well as market leadership. The vertical nature of the company production model also builds efficiency and scalability, which allows it to expand all over the world fast (IEA, 2022; </w:t>
      </w:r>
      <w:proofErr w:type="spellStart"/>
      <w:r w:rsidRPr="008F66DB">
        <w:rPr>
          <w:rFonts w:ascii="Arial" w:eastAsia="Times New Roman" w:hAnsi="Arial" w:cs="Arial"/>
          <w:sz w:val="24"/>
          <w:szCs w:val="24"/>
          <w:lang w:eastAsia="en-GB"/>
        </w:rPr>
        <w:t>Mangram</w:t>
      </w:r>
      <w:proofErr w:type="spellEnd"/>
      <w:r w:rsidRPr="008F66DB">
        <w:rPr>
          <w:rFonts w:ascii="Arial" w:eastAsia="Times New Roman" w:hAnsi="Arial" w:cs="Arial"/>
          <w:sz w:val="24"/>
          <w:szCs w:val="24"/>
          <w:lang w:eastAsia="en-GB"/>
        </w:rPr>
        <w:t>, 2020). Nevertheless, it should be noted critically that this heavy dependency on continuous innovation puts Tesla at the risk of enormous research and development expenses and technological risk. Tesla has actively invested in technology, and it keeps gaining competitive strength despite all these risks</w:t>
      </w:r>
      <w:r w:rsidRPr="00C921BD">
        <w:rPr>
          <w:rFonts w:ascii="Arial" w:eastAsia="Times New Roman" w:hAnsi="Arial" w:cs="Arial"/>
          <w:sz w:val="24"/>
          <w:szCs w:val="24"/>
          <w:lang w:eastAsia="en-GB"/>
        </w:rPr>
        <w:t>.</w:t>
      </w:r>
    </w:p>
    <w:p w:rsidR="00FD4B77" w:rsidRPr="00C921BD" w:rsidRDefault="00FD4B77" w:rsidP="008F66DB">
      <w:pPr>
        <w:spacing w:before="100" w:beforeAutospacing="1" w:after="100" w:afterAutospacing="1" w:line="360" w:lineRule="auto"/>
        <w:jc w:val="both"/>
        <w:rPr>
          <w:rFonts w:ascii="Arial" w:eastAsia="Times New Roman" w:hAnsi="Arial" w:cs="Arial"/>
          <w:b/>
          <w:sz w:val="24"/>
          <w:szCs w:val="24"/>
          <w:lang w:eastAsia="en-GB"/>
        </w:rPr>
      </w:pPr>
      <w:r w:rsidRPr="008F66DB">
        <w:rPr>
          <w:rFonts w:ascii="Arial" w:eastAsia="Times New Roman" w:hAnsi="Arial" w:cs="Arial"/>
          <w:b/>
          <w:sz w:val="24"/>
          <w:szCs w:val="24"/>
          <w:lang w:eastAsia="en-GB"/>
        </w:rPr>
        <w:lastRenderedPageBreak/>
        <w:t>Ford (Follower – Critical Analysis)</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Ford is a follower organisation that has lagged in the adoption of EV technologies. Ford has long relied on internal combustion engine (ICE) vehicles but has only in the recent past expedited the process of electrification. Even though the introduction of such models as Mustang Mach-E is a step in the right direction, the company continues to lag behind Tesla in the area of technological advancement and capacity (Wells and </w:t>
      </w:r>
      <w:proofErr w:type="spellStart"/>
      <w:r w:rsidRPr="008F66DB">
        <w:rPr>
          <w:rFonts w:ascii="Arial" w:eastAsia="Times New Roman" w:hAnsi="Arial" w:cs="Arial"/>
          <w:sz w:val="24"/>
          <w:szCs w:val="24"/>
          <w:lang w:eastAsia="en-GB"/>
        </w:rPr>
        <w:t>Nieuwenhuis</w:t>
      </w:r>
      <w:proofErr w:type="spellEnd"/>
      <w:r w:rsidRPr="008F66DB">
        <w:rPr>
          <w:rFonts w:ascii="Arial" w:eastAsia="Times New Roman" w:hAnsi="Arial" w:cs="Arial"/>
          <w:sz w:val="24"/>
          <w:szCs w:val="24"/>
          <w:lang w:eastAsia="en-GB"/>
        </w:rPr>
        <w:t xml:space="preserve">, 2021; McKinsey and Company, 2023). This has been a setback in the capacity of Ford to compete </w:t>
      </w:r>
      <w:proofErr w:type="spellStart"/>
      <w:r w:rsidRPr="008F66DB">
        <w:rPr>
          <w:rFonts w:ascii="Arial" w:eastAsia="Times New Roman" w:hAnsi="Arial" w:cs="Arial"/>
          <w:sz w:val="24"/>
          <w:szCs w:val="24"/>
          <w:lang w:eastAsia="en-GB"/>
        </w:rPr>
        <w:t>favorably</w:t>
      </w:r>
      <w:proofErr w:type="spellEnd"/>
      <w:r w:rsidRPr="008F66DB">
        <w:rPr>
          <w:rFonts w:ascii="Arial" w:eastAsia="Times New Roman" w:hAnsi="Arial" w:cs="Arial"/>
          <w:sz w:val="24"/>
          <w:szCs w:val="24"/>
          <w:lang w:eastAsia="en-GB"/>
        </w:rPr>
        <w:t xml:space="preserve"> in an ever-changing technological environment.</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The technological strategy of Ford is mainly adaptive, but not innovative because it aims at incorporating new EV technology in the current manufacturing processes. This shift is accompanied by significant financial resources and organisational redesign and limits efficiency and agility (Deloitte, 2022; IEA, 2023). Therefore, the technological factors pose a great threat to Ford because all these make it less competitive differentiating its products due to its slower innovation pace. Though Ford enjoys brand equity and expertise in manufacturing, its technological disadvantage is a weakness to its competitiveness against Tesla.</w:t>
      </w:r>
    </w:p>
    <w:p w:rsidR="00FD4B77" w:rsidRPr="008F66DB" w:rsidRDefault="00FD4B77" w:rsidP="008F66DB">
      <w:pPr>
        <w:spacing w:before="100" w:beforeAutospacing="1" w:after="100" w:afterAutospacing="1" w:line="360" w:lineRule="auto"/>
        <w:jc w:val="both"/>
        <w:rPr>
          <w:rFonts w:ascii="Arial" w:eastAsia="Times New Roman" w:hAnsi="Arial" w:cs="Arial"/>
          <w:b/>
          <w:sz w:val="24"/>
          <w:szCs w:val="24"/>
          <w:lang w:eastAsia="en-GB"/>
        </w:rPr>
      </w:pPr>
      <w:r w:rsidRPr="008F66DB">
        <w:rPr>
          <w:rFonts w:ascii="Arial" w:eastAsia="Times New Roman" w:hAnsi="Arial" w:cs="Arial"/>
          <w:b/>
          <w:sz w:val="24"/>
          <w:szCs w:val="24"/>
          <w:lang w:eastAsia="en-GB"/>
        </w:rPr>
        <w:t>Critical Comparison</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A critical comparison makes it clear that Tesla and Ford have a strategic divergence in the way they reacted to technological change. Tesla has a proactive approach to innovation that provides the company with the ability to stay at the forefront of the competitive market, since it constantly invests in new technologies to maintain its leading positions, and Ford shows a reactive strategy, adjusting to changes in the technologies in the market after the fact that they already took place in the after-market (Kraus et al., 2021; McKinsey and Company, 2023). This disparity makes a great impact in terms of their market positions and competitiveness in the long run.</w:t>
      </w:r>
    </w:p>
    <w:p w:rsidR="008F66DB" w:rsidRPr="00C921BD"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Thus, the aspects of technology enhance the competitive advantage of Tesla due to its ability to strengthen differentiation and innovation and limit the role of Ford due to the lag in adoption and structural constraints (</w:t>
      </w:r>
      <w:proofErr w:type="spellStart"/>
      <w:r w:rsidRPr="008F66DB">
        <w:rPr>
          <w:rFonts w:ascii="Arial" w:eastAsia="Times New Roman" w:hAnsi="Arial" w:cs="Arial"/>
          <w:sz w:val="24"/>
          <w:szCs w:val="24"/>
          <w:lang w:eastAsia="en-GB"/>
        </w:rPr>
        <w:t>Bharadwaj</w:t>
      </w:r>
      <w:proofErr w:type="spellEnd"/>
      <w:r w:rsidRPr="008F66DB">
        <w:rPr>
          <w:rFonts w:ascii="Arial" w:eastAsia="Times New Roman" w:hAnsi="Arial" w:cs="Arial"/>
          <w:sz w:val="24"/>
          <w:szCs w:val="24"/>
          <w:lang w:eastAsia="en-GB"/>
        </w:rPr>
        <w:t xml:space="preserve"> et al., 2021; Wells and </w:t>
      </w:r>
      <w:proofErr w:type="spellStart"/>
      <w:r w:rsidRPr="008F66DB">
        <w:rPr>
          <w:rFonts w:ascii="Arial" w:eastAsia="Times New Roman" w:hAnsi="Arial" w:cs="Arial"/>
          <w:sz w:val="24"/>
          <w:szCs w:val="24"/>
          <w:lang w:eastAsia="en-GB"/>
        </w:rPr>
        <w:lastRenderedPageBreak/>
        <w:t>Nieuwenhuis</w:t>
      </w:r>
      <w:proofErr w:type="spellEnd"/>
      <w:r w:rsidRPr="008F66DB">
        <w:rPr>
          <w:rFonts w:ascii="Arial" w:eastAsia="Times New Roman" w:hAnsi="Arial" w:cs="Arial"/>
          <w:sz w:val="24"/>
          <w:szCs w:val="24"/>
          <w:lang w:eastAsia="en-GB"/>
        </w:rPr>
        <w:t>, 2021). This depicts that technological leadership is one of the primary factors to determine a competitive positioning in the EV industry.</w:t>
      </w:r>
    </w:p>
    <w:p w:rsidR="00FD4B77" w:rsidRPr="00C921BD" w:rsidRDefault="00FD4B77" w:rsidP="008F66DB">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4" w:name="_Toc225386033"/>
      <w:r w:rsidRPr="008F66DB">
        <w:rPr>
          <w:rFonts w:ascii="Arial" w:eastAsia="Times New Roman" w:hAnsi="Arial" w:cs="Arial"/>
          <w:b/>
          <w:bCs/>
          <w:sz w:val="24"/>
          <w:szCs w:val="24"/>
          <w:lang w:eastAsia="en-GB"/>
        </w:rPr>
        <w:t>2.2 Political and Legal Factors</w:t>
      </w:r>
      <w:bookmarkEnd w:id="4"/>
    </w:p>
    <w:p w:rsidR="00FD4B77" w:rsidRPr="00C921BD" w:rsidRDefault="00FD4B77" w:rsidP="008F66DB">
      <w:pPr>
        <w:spacing w:before="100" w:beforeAutospacing="1" w:after="100" w:afterAutospacing="1" w:line="360" w:lineRule="auto"/>
        <w:jc w:val="both"/>
        <w:rPr>
          <w:rFonts w:ascii="Arial" w:eastAsia="Times New Roman" w:hAnsi="Arial" w:cs="Arial"/>
          <w:b/>
          <w:sz w:val="24"/>
          <w:szCs w:val="24"/>
          <w:lang w:eastAsia="en-GB"/>
        </w:rPr>
      </w:pPr>
      <w:r w:rsidRPr="008F66DB">
        <w:rPr>
          <w:rFonts w:ascii="Arial" w:eastAsia="Times New Roman" w:hAnsi="Arial" w:cs="Arial"/>
          <w:b/>
          <w:sz w:val="24"/>
          <w:szCs w:val="24"/>
          <w:lang w:eastAsia="en-GB"/>
        </w:rPr>
        <w:t>Role of Political and Legal Environment</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The political and legal environment, such as government regulations, environmental policy, and financial incentives, are significant in influencing strategic marketing choices in the automotive industry. The increasing interests towards the idea of climate change have led to the tightening of the rules related to emissions and the promotion of the use of sustainable transportation. Subsidies and tax benefits on EVs and carbon-cutting goals have been implemented by governments across the globe to push the uptake forward (International Energy Agency, 2023; </w:t>
      </w:r>
      <w:proofErr w:type="spellStart"/>
      <w:r w:rsidRPr="008F66DB">
        <w:rPr>
          <w:rFonts w:ascii="Arial" w:eastAsia="Times New Roman" w:hAnsi="Arial" w:cs="Arial"/>
          <w:sz w:val="24"/>
          <w:szCs w:val="24"/>
          <w:lang w:eastAsia="en-GB"/>
        </w:rPr>
        <w:t>Kotler</w:t>
      </w:r>
      <w:proofErr w:type="spellEnd"/>
      <w:r w:rsidRPr="008F66DB">
        <w:rPr>
          <w:rFonts w:ascii="Arial" w:eastAsia="Times New Roman" w:hAnsi="Arial" w:cs="Arial"/>
          <w:sz w:val="24"/>
          <w:szCs w:val="24"/>
          <w:lang w:eastAsia="en-GB"/>
        </w:rPr>
        <w:t xml:space="preserve"> et al., 2021). Such regulatory systems have a strong impact on the market demand and competition in the industry.</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Strategically, companies that are in line with such policies have the opportunity of exploiting emerging opportunities as opposed to those which do not adapt and they may be forced to operate under financial constraints. Regulatory pressures turn out to be simultaneously opportunities and threats, and this depends on how an organisation has been strategically positioned (Deloitte, 2022; </w:t>
      </w:r>
      <w:proofErr w:type="spellStart"/>
      <w:r w:rsidRPr="008F66DB">
        <w:rPr>
          <w:rFonts w:ascii="Arial" w:eastAsia="Times New Roman" w:hAnsi="Arial" w:cs="Arial"/>
          <w:sz w:val="24"/>
          <w:szCs w:val="24"/>
          <w:lang w:eastAsia="en-GB"/>
        </w:rPr>
        <w:t>Rezvani</w:t>
      </w:r>
      <w:proofErr w:type="spellEnd"/>
      <w:r w:rsidRPr="008F66DB">
        <w:rPr>
          <w:rFonts w:ascii="Arial" w:eastAsia="Times New Roman" w:hAnsi="Arial" w:cs="Arial"/>
          <w:sz w:val="24"/>
          <w:szCs w:val="24"/>
          <w:lang w:eastAsia="en-GB"/>
        </w:rPr>
        <w:t xml:space="preserve"> et al., 2022).</w:t>
      </w:r>
    </w:p>
    <w:p w:rsidR="00FD4B77" w:rsidRPr="00C921BD" w:rsidRDefault="00FD4B77" w:rsidP="008F66DB">
      <w:pPr>
        <w:spacing w:before="100" w:beforeAutospacing="1" w:after="100" w:afterAutospacing="1" w:line="360" w:lineRule="auto"/>
        <w:jc w:val="both"/>
        <w:rPr>
          <w:rFonts w:ascii="Arial" w:eastAsia="Times New Roman" w:hAnsi="Arial" w:cs="Arial"/>
          <w:b/>
          <w:sz w:val="24"/>
          <w:szCs w:val="24"/>
          <w:lang w:eastAsia="en-GB"/>
        </w:rPr>
      </w:pPr>
      <w:r w:rsidRPr="008F66DB">
        <w:rPr>
          <w:rFonts w:ascii="Arial" w:eastAsia="Times New Roman" w:hAnsi="Arial" w:cs="Arial"/>
          <w:b/>
          <w:sz w:val="24"/>
          <w:szCs w:val="24"/>
          <w:lang w:eastAsia="en-GB"/>
        </w:rPr>
        <w:t>Tesla (Pioneer – Critical Analysis)</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Tesla has successfully positioned its business model in accordance with environmental laws and sustainability efforts across the globe. Tesla has a direct advantage of government stimuli being a business specializing in electric vehicles only, such as tax credits and subsidies to promote the usage of electric vehicles (Hardman et al., 2021; International Energy Agency, 2023). The incentives also make EV ownership less expensive and boost consumer demand and Tesla expansion in the market.</w:t>
      </w:r>
    </w:p>
    <w:p w:rsidR="00FD4B77" w:rsidRPr="00C921BD"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Moreover, the good environmental positioning of Tesla helps to improve its brand image and appeal to environmentally mindful customers and boost customer loyalty (</w:t>
      </w:r>
      <w:proofErr w:type="spellStart"/>
      <w:r w:rsidRPr="008F66DB">
        <w:rPr>
          <w:rFonts w:ascii="Arial" w:eastAsia="Times New Roman" w:hAnsi="Arial" w:cs="Arial"/>
          <w:sz w:val="24"/>
          <w:szCs w:val="24"/>
          <w:lang w:eastAsia="en-GB"/>
        </w:rPr>
        <w:t>Rezvani</w:t>
      </w:r>
      <w:proofErr w:type="spellEnd"/>
      <w:r w:rsidRPr="008F66DB">
        <w:rPr>
          <w:rFonts w:ascii="Arial" w:eastAsia="Times New Roman" w:hAnsi="Arial" w:cs="Arial"/>
          <w:sz w:val="24"/>
          <w:szCs w:val="24"/>
          <w:lang w:eastAsia="en-GB"/>
        </w:rPr>
        <w:t xml:space="preserve"> et al., 2022; </w:t>
      </w:r>
      <w:proofErr w:type="spellStart"/>
      <w:r w:rsidRPr="008F66DB">
        <w:rPr>
          <w:rFonts w:ascii="Arial" w:eastAsia="Times New Roman" w:hAnsi="Arial" w:cs="Arial"/>
          <w:sz w:val="24"/>
          <w:szCs w:val="24"/>
          <w:lang w:eastAsia="en-GB"/>
        </w:rPr>
        <w:t>Kotler</w:t>
      </w:r>
      <w:proofErr w:type="spellEnd"/>
      <w:r w:rsidRPr="008F66DB">
        <w:rPr>
          <w:rFonts w:ascii="Arial" w:eastAsia="Times New Roman" w:hAnsi="Arial" w:cs="Arial"/>
          <w:sz w:val="24"/>
          <w:szCs w:val="24"/>
          <w:lang w:eastAsia="en-GB"/>
        </w:rPr>
        <w:t xml:space="preserve"> et al., 2021). Another way that the company has been </w:t>
      </w:r>
      <w:r w:rsidRPr="008F66DB">
        <w:rPr>
          <w:rFonts w:ascii="Arial" w:eastAsia="Times New Roman" w:hAnsi="Arial" w:cs="Arial"/>
          <w:sz w:val="24"/>
          <w:szCs w:val="24"/>
          <w:lang w:eastAsia="en-GB"/>
        </w:rPr>
        <w:lastRenderedPageBreak/>
        <w:t>able to generate revenues is by selling carbon credits to other automakers, which goes an additional step of strengthening its financial performance and competitive advantage (IEA, 2022; Hardman et al., 2021). Consequently, political and legal circumstances open up great prospects of Tesla, allowing it to stay at a high competitive level in the EV market</w:t>
      </w:r>
      <w:r w:rsidRPr="00C921BD">
        <w:rPr>
          <w:rFonts w:ascii="Arial" w:eastAsia="Times New Roman" w:hAnsi="Arial" w:cs="Arial"/>
          <w:sz w:val="24"/>
          <w:szCs w:val="24"/>
          <w:lang w:eastAsia="en-GB"/>
        </w:rPr>
        <w:t>.</w:t>
      </w:r>
    </w:p>
    <w:p w:rsidR="00FD4B77" w:rsidRPr="00C921BD" w:rsidRDefault="00FD4B77" w:rsidP="008F66DB">
      <w:pPr>
        <w:spacing w:before="100" w:beforeAutospacing="1" w:after="100" w:afterAutospacing="1" w:line="360" w:lineRule="auto"/>
        <w:jc w:val="both"/>
        <w:rPr>
          <w:rFonts w:ascii="Arial" w:eastAsia="Times New Roman" w:hAnsi="Arial" w:cs="Arial"/>
          <w:b/>
          <w:sz w:val="24"/>
          <w:szCs w:val="24"/>
          <w:lang w:eastAsia="en-GB"/>
        </w:rPr>
      </w:pPr>
      <w:r w:rsidRPr="008F66DB">
        <w:rPr>
          <w:rFonts w:ascii="Arial" w:eastAsia="Times New Roman" w:hAnsi="Arial" w:cs="Arial"/>
          <w:b/>
          <w:sz w:val="24"/>
          <w:szCs w:val="24"/>
          <w:lang w:eastAsia="en-GB"/>
        </w:rPr>
        <w:t>Ford (Follower – Critical Analysis)</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In the case of Ford, political and legal elements are very problematic. Being a classical car manufacturer that has many years of practice in the production of ICE vehicles, Ford is under pressure to minimize the emissions and shift to electric mobility. To be in line with these rules, it involves a lot of investment in EV technologies, infrastructure, and workforce change (Deloitte, 2022; Wells and </w:t>
      </w:r>
      <w:proofErr w:type="spellStart"/>
      <w:r w:rsidRPr="008F66DB">
        <w:rPr>
          <w:rFonts w:ascii="Arial" w:eastAsia="Times New Roman" w:hAnsi="Arial" w:cs="Arial"/>
          <w:sz w:val="24"/>
          <w:szCs w:val="24"/>
          <w:lang w:eastAsia="en-GB"/>
        </w:rPr>
        <w:t>Nieuwenhuis</w:t>
      </w:r>
      <w:proofErr w:type="spellEnd"/>
      <w:r w:rsidRPr="008F66DB">
        <w:rPr>
          <w:rFonts w:ascii="Arial" w:eastAsia="Times New Roman" w:hAnsi="Arial" w:cs="Arial"/>
          <w:sz w:val="24"/>
          <w:szCs w:val="24"/>
          <w:lang w:eastAsia="en-GB"/>
        </w:rPr>
        <w:t>, 2021). This puts a strain on the organisation financially and operationally.</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These regulatory forces are a definite threat to the competitive standing of Ford. The switch to EV manufacturing is costly and disruptive in terms of current supply chain, making the operations more complex (McKinsey &amp; Company, 2023; International Energy Agency, 2023). Despite the fact that Ford has reacted by diversifying the EV portfolio, its approach has been reactive and has not been triggered by internal demand. As a result, the competitiveness of Ford is limited to that of Tesla.</w:t>
      </w:r>
    </w:p>
    <w:p w:rsidR="00FD4B77" w:rsidRPr="008F66DB" w:rsidRDefault="00FD4B77" w:rsidP="008F66DB">
      <w:pPr>
        <w:spacing w:before="100" w:beforeAutospacing="1" w:after="100" w:afterAutospacing="1" w:line="360" w:lineRule="auto"/>
        <w:jc w:val="both"/>
        <w:rPr>
          <w:rFonts w:ascii="Arial" w:eastAsia="Times New Roman" w:hAnsi="Arial" w:cs="Arial"/>
          <w:b/>
          <w:sz w:val="24"/>
          <w:szCs w:val="24"/>
          <w:lang w:eastAsia="en-GB"/>
        </w:rPr>
      </w:pPr>
      <w:r w:rsidRPr="008F66DB">
        <w:rPr>
          <w:rFonts w:ascii="Arial" w:eastAsia="Times New Roman" w:hAnsi="Arial" w:cs="Arial"/>
          <w:b/>
          <w:sz w:val="24"/>
          <w:szCs w:val="24"/>
          <w:lang w:eastAsia="en-GB"/>
        </w:rPr>
        <w:t>Critical Comparison</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The comparison shows that Tesla and Ford are affected by political and legal forces in a significantly different way. By aligning itself with environmental policies early, Tesla is able to enjoy the advantages of regulatory incentives and enhance the competitive edge, unlike Ford, which has to undertake regulatory pressures at a high cost through costly changes and restructuring (Hardman et al., 2021; Deloitte, 2022). This opposition is the significance of active strategic alignment with policy changes.</w:t>
      </w:r>
    </w:p>
    <w:p w:rsidR="00FD4B77" w:rsidRPr="00C921BD"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Thus, political and legal variables support the strategic position of Tesla and introduce more limitations to Ford, expanding the competitive gap between the two organisations (International Energy Agency, 2023; </w:t>
      </w:r>
      <w:proofErr w:type="spellStart"/>
      <w:r w:rsidRPr="008F66DB">
        <w:rPr>
          <w:rFonts w:ascii="Arial" w:eastAsia="Times New Roman" w:hAnsi="Arial" w:cs="Arial"/>
          <w:sz w:val="24"/>
          <w:szCs w:val="24"/>
          <w:lang w:eastAsia="en-GB"/>
        </w:rPr>
        <w:t>Rezvani</w:t>
      </w:r>
      <w:proofErr w:type="spellEnd"/>
      <w:r w:rsidRPr="008F66DB">
        <w:rPr>
          <w:rFonts w:ascii="Arial" w:eastAsia="Times New Roman" w:hAnsi="Arial" w:cs="Arial"/>
          <w:sz w:val="24"/>
          <w:szCs w:val="24"/>
          <w:lang w:eastAsia="en-GB"/>
        </w:rPr>
        <w:t xml:space="preserve"> et al., 2022). This </w:t>
      </w:r>
      <w:r w:rsidRPr="008F66DB">
        <w:rPr>
          <w:rFonts w:ascii="Arial" w:eastAsia="Times New Roman" w:hAnsi="Arial" w:cs="Arial"/>
          <w:sz w:val="24"/>
          <w:szCs w:val="24"/>
          <w:lang w:eastAsia="en-GB"/>
        </w:rPr>
        <w:lastRenderedPageBreak/>
        <w:t>underlines that it is important to be on the right track in the very early stages of ensuring that the macro-environment trends are maintained as part of long-term competitive advantage.</w:t>
      </w:r>
    </w:p>
    <w:p w:rsidR="00FD4B77" w:rsidRPr="00216C22" w:rsidRDefault="00FD4B77" w:rsidP="008F66DB">
      <w:pPr>
        <w:spacing w:before="100" w:beforeAutospacing="1" w:after="100" w:afterAutospacing="1" w:line="360" w:lineRule="auto"/>
        <w:jc w:val="both"/>
        <w:outlineLvl w:val="0"/>
        <w:rPr>
          <w:rFonts w:ascii="Arial" w:eastAsia="Times New Roman" w:hAnsi="Arial" w:cs="Arial"/>
          <w:b/>
          <w:bCs/>
          <w:kern w:val="36"/>
          <w:sz w:val="24"/>
          <w:szCs w:val="24"/>
          <w:lang w:eastAsia="en-GB"/>
        </w:rPr>
      </w:pPr>
      <w:bookmarkStart w:id="5" w:name="_Toc225386034"/>
      <w:r w:rsidRPr="008F66DB">
        <w:rPr>
          <w:rFonts w:ascii="Arial" w:eastAsia="Times New Roman" w:hAnsi="Arial" w:cs="Arial"/>
          <w:b/>
          <w:bCs/>
          <w:kern w:val="36"/>
          <w:sz w:val="24"/>
          <w:szCs w:val="24"/>
          <w:lang w:eastAsia="en-GB"/>
        </w:rPr>
        <w:t>3. TASK 2: Strategic Response Evaluation</w:t>
      </w:r>
      <w:bookmarkEnd w:id="5"/>
    </w:p>
    <w:p w:rsidR="00FD4B77" w:rsidRPr="00216C22" w:rsidRDefault="00FD4B77" w:rsidP="008F66DB">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6" w:name="_Toc225386035"/>
      <w:r w:rsidRPr="008F66DB">
        <w:rPr>
          <w:rFonts w:ascii="Arial" w:eastAsia="Times New Roman" w:hAnsi="Arial" w:cs="Arial"/>
          <w:b/>
          <w:bCs/>
          <w:sz w:val="24"/>
          <w:szCs w:val="24"/>
          <w:lang w:eastAsia="en-GB"/>
        </w:rPr>
        <w:t>3.1 Porter’s Generic Strategies</w:t>
      </w:r>
      <w:bookmarkEnd w:id="6"/>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The competitive strategy of Tesla can be described in terms of differentiation strategy developed by Porter when the company generates unique value in terms of innovation and technological leadership. Investing intensely in battery, artificial intelligence, and autonomous driving systems, Tesla produces highly differentiated products that have high prices and a high customer base (Porter, 2020; </w:t>
      </w:r>
      <w:proofErr w:type="spellStart"/>
      <w:r w:rsidRPr="008F66DB">
        <w:rPr>
          <w:rFonts w:ascii="Arial" w:eastAsia="Times New Roman" w:hAnsi="Arial" w:cs="Arial"/>
          <w:sz w:val="24"/>
          <w:szCs w:val="24"/>
          <w:lang w:eastAsia="en-GB"/>
        </w:rPr>
        <w:t>Teece</w:t>
      </w:r>
      <w:proofErr w:type="spellEnd"/>
      <w:r w:rsidRPr="008F66DB">
        <w:rPr>
          <w:rFonts w:ascii="Arial" w:eastAsia="Times New Roman" w:hAnsi="Arial" w:cs="Arial"/>
          <w:sz w:val="24"/>
          <w:szCs w:val="24"/>
          <w:lang w:eastAsia="en-GB"/>
        </w:rPr>
        <w:t>, 2021). This positioning enables Tesla to have a unique brand name and remain the market leader in the electric vehicle (EV) market.</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The integrated ecosystem is one more means of differentiation Tesla has, integrating software updates, charging infrastructure, and energy solutions. This kind of integration increases the customer experience and switching costs, improving long-term competitive advantage (Ritter and Pedersen, 2020; Johnson et al., 2023). Consequently, Tesla strategy evidences proactive reaction to change in technology, making the firm to influence the industry norms, instead of adhering to them.</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Ford on the other hand embraces a hybrid approach that incorporates both aspects of cost leadership and partial differentiation. The company aims at manufacturing relatively low priced EV cars and integrating some of the technological features to ensure that the company is competitive. This is an effort to create price competitiveness and innovation in particular in reaction to rising rivalry and regulatory strain (Grant, 2022; Hill et al., 2020). Nevertheless, the lack of real differentiation affects Ford because it uses the legacy systems and it is sluggish in its technological advancement.</w:t>
      </w:r>
    </w:p>
    <w:p w:rsidR="00FD4B77" w:rsidRPr="00216C22"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Despite the economies of scale and market presence, Ford lacks the differentiation that is needed by the company due to its current strategic positioning. The Aggressive focus on cost as the main competitor hinders its capacity to establish a </w:t>
      </w:r>
      <w:r w:rsidRPr="008F66DB">
        <w:rPr>
          <w:rFonts w:ascii="Arial" w:eastAsia="Times New Roman" w:hAnsi="Arial" w:cs="Arial"/>
          <w:sz w:val="24"/>
          <w:szCs w:val="24"/>
          <w:lang w:eastAsia="en-GB"/>
        </w:rPr>
        <w:lastRenderedPageBreak/>
        <w:t xml:space="preserve">sustainable competitive advantage in a technology-based market (Barney and </w:t>
      </w:r>
      <w:proofErr w:type="spellStart"/>
      <w:r w:rsidRPr="008F66DB">
        <w:rPr>
          <w:rFonts w:ascii="Arial" w:eastAsia="Times New Roman" w:hAnsi="Arial" w:cs="Arial"/>
          <w:sz w:val="24"/>
          <w:szCs w:val="24"/>
          <w:lang w:eastAsia="en-GB"/>
        </w:rPr>
        <w:t>Hesterly</w:t>
      </w:r>
      <w:proofErr w:type="spellEnd"/>
      <w:r w:rsidRPr="008F66DB">
        <w:rPr>
          <w:rFonts w:ascii="Arial" w:eastAsia="Times New Roman" w:hAnsi="Arial" w:cs="Arial"/>
          <w:sz w:val="24"/>
          <w:szCs w:val="24"/>
          <w:lang w:eastAsia="en-GB"/>
        </w:rPr>
        <w:t xml:space="preserve">, 2021; Grant, 2022). Thus, the differentiation strategy of Tesla is more efficient, as it allows creating long-term </w:t>
      </w:r>
      <w:proofErr w:type="gramStart"/>
      <w:r w:rsidRPr="008F66DB">
        <w:rPr>
          <w:rFonts w:ascii="Arial" w:eastAsia="Times New Roman" w:hAnsi="Arial" w:cs="Arial"/>
          <w:sz w:val="24"/>
          <w:szCs w:val="24"/>
          <w:lang w:eastAsia="en-GB"/>
        </w:rPr>
        <w:t>value,</w:t>
      </w:r>
      <w:proofErr w:type="gramEnd"/>
      <w:r w:rsidRPr="008F66DB">
        <w:rPr>
          <w:rFonts w:ascii="Arial" w:eastAsia="Times New Roman" w:hAnsi="Arial" w:cs="Arial"/>
          <w:sz w:val="24"/>
          <w:szCs w:val="24"/>
          <w:lang w:eastAsia="en-GB"/>
        </w:rPr>
        <w:t xml:space="preserve"> and sustainability in the competitiveness, unlike the hybrid approach offered by Ford, which only ensures short-term competitiveness with a lack of depth in the strategy.</w:t>
      </w:r>
    </w:p>
    <w:p w:rsidR="00FD4B77" w:rsidRPr="00216C22" w:rsidRDefault="00FD4B77" w:rsidP="008F66DB">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7" w:name="_Toc225386036"/>
      <w:r w:rsidRPr="008F66DB">
        <w:rPr>
          <w:rFonts w:ascii="Arial" w:eastAsia="Times New Roman" w:hAnsi="Arial" w:cs="Arial"/>
          <w:b/>
          <w:bCs/>
          <w:sz w:val="24"/>
          <w:szCs w:val="24"/>
          <w:lang w:eastAsia="en-GB"/>
        </w:rPr>
        <w:t xml:space="preserve">3.2 </w:t>
      </w:r>
      <w:proofErr w:type="spellStart"/>
      <w:r w:rsidRPr="008F66DB">
        <w:rPr>
          <w:rFonts w:ascii="Arial" w:eastAsia="Times New Roman" w:hAnsi="Arial" w:cs="Arial"/>
          <w:b/>
          <w:bCs/>
          <w:sz w:val="24"/>
          <w:szCs w:val="24"/>
          <w:lang w:eastAsia="en-GB"/>
        </w:rPr>
        <w:t>Ansoff</w:t>
      </w:r>
      <w:proofErr w:type="spellEnd"/>
      <w:r w:rsidRPr="008F66DB">
        <w:rPr>
          <w:rFonts w:ascii="Arial" w:eastAsia="Times New Roman" w:hAnsi="Arial" w:cs="Arial"/>
          <w:b/>
          <w:bCs/>
          <w:sz w:val="24"/>
          <w:szCs w:val="24"/>
          <w:lang w:eastAsia="en-GB"/>
        </w:rPr>
        <w:t xml:space="preserve"> Growth </w:t>
      </w:r>
      <w:proofErr w:type="gramStart"/>
      <w:r w:rsidRPr="008F66DB">
        <w:rPr>
          <w:rFonts w:ascii="Arial" w:eastAsia="Times New Roman" w:hAnsi="Arial" w:cs="Arial"/>
          <w:b/>
          <w:bCs/>
          <w:sz w:val="24"/>
          <w:szCs w:val="24"/>
          <w:lang w:eastAsia="en-GB"/>
        </w:rPr>
        <w:t>Matrix</w:t>
      </w:r>
      <w:bookmarkEnd w:id="7"/>
      <w:proofErr w:type="gramEnd"/>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The growth strategy of Tesla is very similar to the product development strategy and the market development strategy of </w:t>
      </w:r>
      <w:proofErr w:type="spellStart"/>
      <w:r w:rsidRPr="008F66DB">
        <w:rPr>
          <w:rFonts w:ascii="Arial" w:eastAsia="Times New Roman" w:hAnsi="Arial" w:cs="Arial"/>
          <w:sz w:val="24"/>
          <w:szCs w:val="24"/>
          <w:lang w:eastAsia="en-GB"/>
        </w:rPr>
        <w:t>Ansoff</w:t>
      </w:r>
      <w:proofErr w:type="spellEnd"/>
      <w:r w:rsidRPr="008F66DB">
        <w:rPr>
          <w:rFonts w:ascii="Arial" w:eastAsia="Times New Roman" w:hAnsi="Arial" w:cs="Arial"/>
          <w:sz w:val="24"/>
          <w:szCs w:val="24"/>
          <w:lang w:eastAsia="en-GB"/>
        </w:rPr>
        <w:t>. Tesla also adds value to its existing products through its continuous innovation whereby it presents new technologies to the market like better battery performance and autonomous driving among others. This strategy is an indication of product development, with companies becoming more competitive through product enhancement in the existing markets (</w:t>
      </w:r>
      <w:proofErr w:type="spellStart"/>
      <w:r w:rsidRPr="008F66DB">
        <w:rPr>
          <w:rFonts w:ascii="Arial" w:eastAsia="Times New Roman" w:hAnsi="Arial" w:cs="Arial"/>
          <w:sz w:val="24"/>
          <w:szCs w:val="24"/>
          <w:lang w:eastAsia="en-GB"/>
        </w:rPr>
        <w:t>Ansoff</w:t>
      </w:r>
      <w:proofErr w:type="spellEnd"/>
      <w:r w:rsidRPr="008F66DB">
        <w:rPr>
          <w:rFonts w:ascii="Arial" w:eastAsia="Times New Roman" w:hAnsi="Arial" w:cs="Arial"/>
          <w:sz w:val="24"/>
          <w:szCs w:val="24"/>
          <w:lang w:eastAsia="en-GB"/>
        </w:rPr>
        <w:t>, 2020; Lynch, 2021). At the same time, Tesla is also expanding to foreign markets, such as Europe and Asia, showing a tendency to develop the market and achieve global expansion.</w:t>
      </w:r>
    </w:p>
    <w:p w:rsidR="008F66DB" w:rsidRPr="008F66DB" w:rsidRDefault="008F66DB"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hAnsi="Arial" w:cs="Arial"/>
          <w:noProof/>
          <w:lang w:eastAsia="en-GB"/>
        </w:rPr>
        <w:drawing>
          <wp:inline distT="0" distB="0" distL="0" distR="0" wp14:anchorId="6B443532" wp14:editId="32B9A5BE">
            <wp:extent cx="5443268" cy="2844340"/>
            <wp:effectExtent l="0" t="0" r="5080" b="0"/>
            <wp:docPr id="3" name="Picture 3" descr="The Ansoff Matrix: A Powerful Tool for Business Strategy and Growth | TS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The Ansoff Matrix: A Powerful Tool for Business Strategy and Growth | TSI"/>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46769" cy="2846169"/>
                    </a:xfrm>
                    <a:prstGeom prst="rect">
                      <a:avLst/>
                    </a:prstGeom>
                    <a:noFill/>
                    <a:ln>
                      <a:noFill/>
                    </a:ln>
                  </pic:spPr>
                </pic:pic>
              </a:graphicData>
            </a:graphic>
          </wp:inline>
        </w:drawing>
      </w:r>
    </w:p>
    <w:p w:rsidR="008F66DB" w:rsidRPr="008F66DB" w:rsidRDefault="008F66DB" w:rsidP="008F66DB">
      <w:pPr>
        <w:spacing w:before="100" w:beforeAutospacing="1" w:after="100" w:afterAutospacing="1" w:line="360" w:lineRule="auto"/>
        <w:jc w:val="center"/>
        <w:rPr>
          <w:rFonts w:ascii="Arial" w:eastAsia="Times New Roman" w:hAnsi="Arial" w:cs="Arial"/>
          <w:i/>
          <w:sz w:val="24"/>
          <w:szCs w:val="24"/>
          <w:lang w:eastAsia="en-GB"/>
        </w:rPr>
      </w:pPr>
      <w:r w:rsidRPr="008F66DB">
        <w:rPr>
          <w:rFonts w:ascii="Arial" w:eastAsia="Times New Roman" w:hAnsi="Arial" w:cs="Arial"/>
          <w:i/>
          <w:sz w:val="24"/>
          <w:szCs w:val="24"/>
          <w:lang w:eastAsia="en-GB"/>
        </w:rPr>
        <w:t xml:space="preserve">Figure 2: </w:t>
      </w:r>
      <w:proofErr w:type="spellStart"/>
      <w:r w:rsidRPr="008F66DB">
        <w:rPr>
          <w:rFonts w:ascii="Arial" w:eastAsia="Times New Roman" w:hAnsi="Arial" w:cs="Arial"/>
          <w:i/>
          <w:sz w:val="24"/>
          <w:szCs w:val="24"/>
          <w:lang w:eastAsia="en-GB"/>
        </w:rPr>
        <w:t>Ansoff</w:t>
      </w:r>
      <w:proofErr w:type="spellEnd"/>
      <w:r w:rsidRPr="008F66DB">
        <w:rPr>
          <w:rFonts w:ascii="Arial" w:eastAsia="Times New Roman" w:hAnsi="Arial" w:cs="Arial"/>
          <w:i/>
          <w:sz w:val="24"/>
          <w:szCs w:val="24"/>
          <w:lang w:eastAsia="en-GB"/>
        </w:rPr>
        <w:t xml:space="preserve"> Growth Matrix</w:t>
      </w:r>
      <w:r w:rsidRPr="008F66DB">
        <w:rPr>
          <w:rFonts w:ascii="Arial" w:hAnsi="Arial" w:cs="Arial"/>
        </w:rPr>
        <w:t xml:space="preserve"> </w:t>
      </w:r>
      <w:r w:rsidRPr="008F66DB">
        <w:rPr>
          <w:rFonts w:ascii="Arial" w:eastAsia="Times New Roman" w:hAnsi="Arial" w:cs="Arial"/>
          <w:i/>
          <w:sz w:val="24"/>
          <w:szCs w:val="24"/>
          <w:lang w:eastAsia="en-GB"/>
        </w:rPr>
        <w:t>(The Strategy Institute, 2024)</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Such strategies have been supported by the technological development, and Tesla was able to expand its operations and establish more strength within the market. Tesla becomes less </w:t>
      </w:r>
      <w:r w:rsidR="008F66DB" w:rsidRPr="008F66DB">
        <w:rPr>
          <w:rFonts w:ascii="Arial" w:eastAsia="Times New Roman" w:hAnsi="Arial" w:cs="Arial"/>
          <w:sz w:val="24"/>
          <w:szCs w:val="24"/>
          <w:lang w:eastAsia="en-GB"/>
        </w:rPr>
        <w:t>dependent</w:t>
      </w:r>
      <w:r w:rsidRPr="008F66DB">
        <w:rPr>
          <w:rFonts w:ascii="Arial" w:eastAsia="Times New Roman" w:hAnsi="Arial" w:cs="Arial"/>
          <w:sz w:val="24"/>
          <w:szCs w:val="24"/>
          <w:lang w:eastAsia="en-GB"/>
        </w:rPr>
        <w:t xml:space="preserve"> on third-party suppliers and improves the efficiency </w:t>
      </w:r>
      <w:r w:rsidRPr="008F66DB">
        <w:rPr>
          <w:rFonts w:ascii="Arial" w:eastAsia="Times New Roman" w:hAnsi="Arial" w:cs="Arial"/>
          <w:sz w:val="24"/>
          <w:szCs w:val="24"/>
          <w:lang w:eastAsia="en-GB"/>
        </w:rPr>
        <w:lastRenderedPageBreak/>
        <w:t xml:space="preserve">of its operations by investing in infrastructure development through </w:t>
      </w:r>
      <w:proofErr w:type="spellStart"/>
      <w:r w:rsidRPr="008F66DB">
        <w:rPr>
          <w:rFonts w:ascii="Arial" w:eastAsia="Times New Roman" w:hAnsi="Arial" w:cs="Arial"/>
          <w:sz w:val="24"/>
          <w:szCs w:val="24"/>
          <w:lang w:eastAsia="en-GB"/>
        </w:rPr>
        <w:t>Gigafactories</w:t>
      </w:r>
      <w:proofErr w:type="spellEnd"/>
      <w:r w:rsidRPr="008F66DB">
        <w:rPr>
          <w:rFonts w:ascii="Arial" w:eastAsia="Times New Roman" w:hAnsi="Arial" w:cs="Arial"/>
          <w:sz w:val="24"/>
          <w:szCs w:val="24"/>
          <w:lang w:eastAsia="en-GB"/>
        </w:rPr>
        <w:t xml:space="preserve"> and charging networks (</w:t>
      </w:r>
      <w:proofErr w:type="spellStart"/>
      <w:r w:rsidRPr="008F66DB">
        <w:rPr>
          <w:rFonts w:ascii="Arial" w:eastAsia="Times New Roman" w:hAnsi="Arial" w:cs="Arial"/>
          <w:sz w:val="24"/>
          <w:szCs w:val="24"/>
          <w:lang w:eastAsia="en-GB"/>
        </w:rPr>
        <w:t>Teece</w:t>
      </w:r>
      <w:proofErr w:type="spellEnd"/>
      <w:r w:rsidRPr="008F66DB">
        <w:rPr>
          <w:rFonts w:ascii="Arial" w:eastAsia="Times New Roman" w:hAnsi="Arial" w:cs="Arial"/>
          <w:sz w:val="24"/>
          <w:szCs w:val="24"/>
          <w:lang w:eastAsia="en-GB"/>
        </w:rPr>
        <w:t>, 2021; Johnson et al., 2023). Nevertheless, there is a high financial risk and reliance on future innovation in such aggressive expansion.</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The strategy of Ford, on the other hand, can be described as diversification, since it moves away to electric vehicles as opposed to traditional internal combustion engine vehicles. This transition is entering a new product space, which entails heavy investment in technology, skills, and infrastructure (</w:t>
      </w:r>
      <w:proofErr w:type="spellStart"/>
      <w:r w:rsidRPr="008F66DB">
        <w:rPr>
          <w:rFonts w:ascii="Arial" w:eastAsia="Times New Roman" w:hAnsi="Arial" w:cs="Arial"/>
          <w:sz w:val="24"/>
          <w:szCs w:val="24"/>
          <w:lang w:eastAsia="en-GB"/>
        </w:rPr>
        <w:t>Ansoff</w:t>
      </w:r>
      <w:proofErr w:type="spellEnd"/>
      <w:r w:rsidRPr="008F66DB">
        <w:rPr>
          <w:rFonts w:ascii="Arial" w:eastAsia="Times New Roman" w:hAnsi="Arial" w:cs="Arial"/>
          <w:sz w:val="24"/>
          <w:szCs w:val="24"/>
          <w:lang w:eastAsia="en-GB"/>
        </w:rPr>
        <w:t>, 2020; Grant, 2022). The regulatory requirements and environmental pressure are the primary factors informing the diversification strategy of Ford, as they do require the shift towards sustainable mobility.</w:t>
      </w:r>
    </w:p>
    <w:p w:rsidR="00FD4B77" w:rsidRPr="00216C22"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Nevertheless, the diversification at Ford is mostly reactive based on external forces and not internal strategic focus. Organisational restructuring, cost management, and technological integration constitute some of the challenges that the company deals with, impacting its ability to grow (Hill et al., 2020; Barney and </w:t>
      </w:r>
      <w:proofErr w:type="spellStart"/>
      <w:r w:rsidRPr="008F66DB">
        <w:rPr>
          <w:rFonts w:ascii="Arial" w:eastAsia="Times New Roman" w:hAnsi="Arial" w:cs="Arial"/>
          <w:sz w:val="24"/>
          <w:szCs w:val="24"/>
          <w:lang w:eastAsia="en-GB"/>
        </w:rPr>
        <w:t>Hesterly</w:t>
      </w:r>
      <w:proofErr w:type="spellEnd"/>
      <w:r w:rsidRPr="008F66DB">
        <w:rPr>
          <w:rFonts w:ascii="Arial" w:eastAsia="Times New Roman" w:hAnsi="Arial" w:cs="Arial"/>
          <w:sz w:val="24"/>
          <w:szCs w:val="24"/>
          <w:lang w:eastAsia="en-GB"/>
        </w:rPr>
        <w:t>, 2021). Tesla therefore has a more effective growth strategy because it is proactive and innovation-oriented, unlike that of Ford which is limited to regulatory compliance and operational factors.</w:t>
      </w:r>
    </w:p>
    <w:p w:rsidR="00FD4B77" w:rsidRPr="00216C22" w:rsidRDefault="00FD4B77" w:rsidP="008F66DB">
      <w:pPr>
        <w:spacing w:before="100" w:beforeAutospacing="1" w:after="100" w:afterAutospacing="1" w:line="360" w:lineRule="auto"/>
        <w:jc w:val="both"/>
        <w:outlineLvl w:val="1"/>
        <w:rPr>
          <w:rFonts w:ascii="Arial" w:eastAsia="Times New Roman" w:hAnsi="Arial" w:cs="Arial"/>
          <w:b/>
          <w:bCs/>
          <w:sz w:val="24"/>
          <w:szCs w:val="24"/>
          <w:lang w:eastAsia="en-GB"/>
        </w:rPr>
      </w:pPr>
      <w:bookmarkStart w:id="8" w:name="_Toc225386037"/>
      <w:r w:rsidRPr="008F66DB">
        <w:rPr>
          <w:rFonts w:ascii="Arial" w:eastAsia="Times New Roman" w:hAnsi="Arial" w:cs="Arial"/>
          <w:b/>
          <w:bCs/>
          <w:sz w:val="24"/>
          <w:szCs w:val="24"/>
          <w:lang w:eastAsia="en-GB"/>
        </w:rPr>
        <w:t>3.3 Comparative Strategic Evaluation</w:t>
      </w:r>
      <w:bookmarkEnd w:id="8"/>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Comparative analysis of Tesla and Ford shows that there is a considerable change in the strategic effectiveness and sustainability in the long-term. Tesla is proactive and innovation-oriented, whereby it utilizes the development of technologies to accelerate differentiation and diversification to new markets. In comparison, Ford seems to have a reactive approach as they react to competitive and regulatory forces when they already reshaped the industry (Johnson et al., 2023; </w:t>
      </w:r>
      <w:proofErr w:type="spellStart"/>
      <w:r w:rsidRPr="008F66DB">
        <w:rPr>
          <w:rFonts w:ascii="Arial" w:eastAsia="Times New Roman" w:hAnsi="Arial" w:cs="Arial"/>
          <w:sz w:val="24"/>
          <w:szCs w:val="24"/>
          <w:lang w:eastAsia="en-GB"/>
        </w:rPr>
        <w:t>Teece</w:t>
      </w:r>
      <w:proofErr w:type="spellEnd"/>
      <w:r w:rsidRPr="008F66DB">
        <w:rPr>
          <w:rFonts w:ascii="Arial" w:eastAsia="Times New Roman" w:hAnsi="Arial" w:cs="Arial"/>
          <w:sz w:val="24"/>
          <w:szCs w:val="24"/>
          <w:lang w:eastAsia="en-GB"/>
        </w:rPr>
        <w:t>, 2021). This difference directly affects their positioning in the competition.</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Tesla is far ahead of Ford in terms of technological response as it successfully invests in innovation and stays on the forefront in such areas like battery technology and autonomous driving. This will help Tesla to maintain a high competitive edge and secure segments with high values. On the other hand, the speed at which Ford is adopting technology is low, making it difficult to compete </w:t>
      </w:r>
      <w:proofErr w:type="spellStart"/>
      <w:r w:rsidRPr="008F66DB">
        <w:rPr>
          <w:rFonts w:ascii="Arial" w:eastAsia="Times New Roman" w:hAnsi="Arial" w:cs="Arial"/>
          <w:sz w:val="24"/>
          <w:szCs w:val="24"/>
          <w:lang w:eastAsia="en-GB"/>
        </w:rPr>
        <w:t>favorably</w:t>
      </w:r>
      <w:proofErr w:type="spellEnd"/>
      <w:r w:rsidRPr="008F66DB">
        <w:rPr>
          <w:rFonts w:ascii="Arial" w:eastAsia="Times New Roman" w:hAnsi="Arial" w:cs="Arial"/>
          <w:sz w:val="24"/>
          <w:szCs w:val="24"/>
          <w:lang w:eastAsia="en-GB"/>
        </w:rPr>
        <w:t xml:space="preserve"> in a fast-</w:t>
      </w:r>
      <w:r w:rsidRPr="008F66DB">
        <w:rPr>
          <w:rFonts w:ascii="Arial" w:eastAsia="Times New Roman" w:hAnsi="Arial" w:cs="Arial"/>
          <w:sz w:val="24"/>
          <w:szCs w:val="24"/>
          <w:lang w:eastAsia="en-GB"/>
        </w:rPr>
        <w:lastRenderedPageBreak/>
        <w:t>changing market (Grant, 2022; Hill et al., 2020). This shows that to be successful in the long run, proactive innovation is needed.</w:t>
      </w:r>
    </w:p>
    <w:p w:rsidR="00FD4B77" w:rsidRPr="008F66DB"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 xml:space="preserve">In terms of political and regulatory conditions, Tesla has an advantage of an early alignment to the environmental policies so that the company could capitalise on the incentives and to consolidate its market position. Conversely, Ford has regulatory forces which necessitate expensive transformation and organisational change which decrease its strategic flexibility (Barney and </w:t>
      </w:r>
      <w:proofErr w:type="spellStart"/>
      <w:r w:rsidRPr="008F66DB">
        <w:rPr>
          <w:rFonts w:ascii="Arial" w:eastAsia="Times New Roman" w:hAnsi="Arial" w:cs="Arial"/>
          <w:sz w:val="24"/>
          <w:szCs w:val="24"/>
          <w:lang w:eastAsia="en-GB"/>
        </w:rPr>
        <w:t>Hesterly</w:t>
      </w:r>
      <w:proofErr w:type="spellEnd"/>
      <w:r w:rsidRPr="008F66DB">
        <w:rPr>
          <w:rFonts w:ascii="Arial" w:eastAsia="Times New Roman" w:hAnsi="Arial" w:cs="Arial"/>
          <w:sz w:val="24"/>
          <w:szCs w:val="24"/>
          <w:lang w:eastAsia="en-GB"/>
        </w:rPr>
        <w:t>, 2021; Ritter and Pedersen, 2020). In spite of the fact that Ford is also on the right track in its transition to EVs, it is still limited by structural and financial issues.</w:t>
      </w:r>
    </w:p>
    <w:p w:rsidR="00FD4B77" w:rsidRPr="00216C22" w:rsidRDefault="00FD4B77" w:rsidP="008F66DB">
      <w:pPr>
        <w:spacing w:before="100" w:beforeAutospacing="1" w:after="100" w:afterAutospacing="1" w:line="360" w:lineRule="auto"/>
        <w:jc w:val="both"/>
        <w:rPr>
          <w:rFonts w:ascii="Arial" w:eastAsia="Times New Roman" w:hAnsi="Arial" w:cs="Arial"/>
          <w:sz w:val="24"/>
          <w:szCs w:val="24"/>
          <w:lang w:eastAsia="en-GB"/>
        </w:rPr>
      </w:pPr>
      <w:r w:rsidRPr="008F66DB">
        <w:rPr>
          <w:rFonts w:ascii="Arial" w:eastAsia="Times New Roman" w:hAnsi="Arial" w:cs="Arial"/>
          <w:sz w:val="24"/>
          <w:szCs w:val="24"/>
          <w:lang w:eastAsia="en-GB"/>
        </w:rPr>
        <w:t>On the whole, the strategies of Tesla are more efficient and sustainable because these are supported by macro-environmental trends and are predetermined by innovation. Ford continues to be weakened by its reactive strategy and legacy barriers, although it has been improving. Thus, Tesla has a greater competitive advantage in the long term, which is significant because the company requires a proactive strategic alignment in the dynamic and technologically oriented industry.</w:t>
      </w:r>
    </w:p>
    <w:p w:rsidR="00FD4B77" w:rsidRPr="008F66DB" w:rsidRDefault="00FD4B77" w:rsidP="008F66DB">
      <w:pPr>
        <w:pStyle w:val="Heading1"/>
        <w:spacing w:line="360" w:lineRule="auto"/>
        <w:rPr>
          <w:rFonts w:ascii="Arial" w:hAnsi="Arial" w:cs="Arial"/>
          <w:sz w:val="24"/>
          <w:szCs w:val="24"/>
        </w:rPr>
      </w:pPr>
      <w:bookmarkStart w:id="9" w:name="_Toc225386038"/>
      <w:r w:rsidRPr="008F66DB">
        <w:rPr>
          <w:rFonts w:ascii="Arial" w:hAnsi="Arial" w:cs="Arial"/>
          <w:sz w:val="24"/>
          <w:szCs w:val="24"/>
        </w:rPr>
        <w:t>4. Conclusion</w:t>
      </w:r>
      <w:bookmarkEnd w:id="9"/>
    </w:p>
    <w:p w:rsidR="00FD4B77" w:rsidRPr="008F66DB" w:rsidRDefault="00FD4B77" w:rsidP="008F66DB">
      <w:pPr>
        <w:spacing w:line="360" w:lineRule="auto"/>
        <w:jc w:val="both"/>
        <w:rPr>
          <w:rFonts w:ascii="Arial" w:hAnsi="Arial" w:cs="Arial"/>
          <w:sz w:val="24"/>
          <w:szCs w:val="24"/>
        </w:rPr>
      </w:pPr>
      <w:r w:rsidRPr="008F66DB">
        <w:rPr>
          <w:rFonts w:ascii="Arial" w:hAnsi="Arial" w:cs="Arial"/>
          <w:sz w:val="24"/>
          <w:szCs w:val="24"/>
        </w:rPr>
        <w:t xml:space="preserve">The analysis shows that competitive positioning in the EV industry is subject to critical influence by technological and political factors. The innovative </w:t>
      </w:r>
      <w:proofErr w:type="spellStart"/>
      <w:r w:rsidRPr="008F66DB">
        <w:rPr>
          <w:rFonts w:ascii="Arial" w:hAnsi="Arial" w:cs="Arial"/>
          <w:sz w:val="24"/>
          <w:szCs w:val="24"/>
        </w:rPr>
        <w:t>mindset</w:t>
      </w:r>
      <w:proofErr w:type="spellEnd"/>
      <w:r w:rsidRPr="008F66DB">
        <w:rPr>
          <w:rFonts w:ascii="Arial" w:hAnsi="Arial" w:cs="Arial"/>
          <w:sz w:val="24"/>
          <w:szCs w:val="24"/>
        </w:rPr>
        <w:t xml:space="preserve"> and early adoption of the new trend of regulation have empowered Tesla and enhanced its competitive edge and dominance in the market. Conversely, Ford cannot compete effectively due to its reactive strategy, as well as because of the use of legacy systems. Although Ford is on the right track with its move towards electric cars, Tesla is better-placed strategy-wise, and it can last longer in the competitive industry that is evolving fast.</w:t>
      </w:r>
    </w:p>
    <w:p w:rsidR="00FD4B77" w:rsidRDefault="00FD4B77" w:rsidP="00FD4B77">
      <w:pPr>
        <w:spacing w:line="360" w:lineRule="auto"/>
        <w:jc w:val="both"/>
        <w:rPr>
          <w:rFonts w:ascii="Arial" w:hAnsi="Arial" w:cs="Arial"/>
          <w:sz w:val="24"/>
          <w:szCs w:val="24"/>
        </w:rPr>
      </w:pPr>
    </w:p>
    <w:p w:rsidR="00FD4B77" w:rsidRDefault="00FD4B77" w:rsidP="00FD4B77">
      <w:pPr>
        <w:spacing w:line="360" w:lineRule="auto"/>
        <w:jc w:val="both"/>
        <w:rPr>
          <w:rFonts w:ascii="Arial" w:hAnsi="Arial" w:cs="Arial"/>
          <w:sz w:val="24"/>
          <w:szCs w:val="24"/>
        </w:rPr>
      </w:pPr>
    </w:p>
    <w:p w:rsidR="008F66DB" w:rsidRDefault="008F66DB" w:rsidP="00FD4B77">
      <w:pPr>
        <w:spacing w:line="360" w:lineRule="auto"/>
        <w:jc w:val="both"/>
        <w:rPr>
          <w:rFonts w:ascii="Arial" w:hAnsi="Arial" w:cs="Arial"/>
          <w:sz w:val="24"/>
          <w:szCs w:val="24"/>
        </w:rPr>
      </w:pPr>
    </w:p>
    <w:p w:rsidR="008F66DB" w:rsidRDefault="008F66DB" w:rsidP="00FD4B77">
      <w:pPr>
        <w:spacing w:line="360" w:lineRule="auto"/>
        <w:jc w:val="both"/>
        <w:rPr>
          <w:rFonts w:ascii="Arial" w:hAnsi="Arial" w:cs="Arial"/>
          <w:sz w:val="24"/>
          <w:szCs w:val="24"/>
        </w:rPr>
      </w:pPr>
    </w:p>
    <w:p w:rsidR="00FD4B77" w:rsidRDefault="00FD4B77" w:rsidP="00B74FB2">
      <w:pPr>
        <w:pStyle w:val="Heading1"/>
        <w:rPr>
          <w:rFonts w:ascii="Arial" w:hAnsi="Arial" w:cs="Arial"/>
          <w:sz w:val="24"/>
          <w:szCs w:val="24"/>
        </w:rPr>
      </w:pPr>
      <w:r>
        <w:rPr>
          <w:rFonts w:ascii="Arial" w:hAnsi="Arial" w:cs="Arial"/>
          <w:sz w:val="24"/>
          <w:szCs w:val="24"/>
        </w:rPr>
        <w:lastRenderedPageBreak/>
        <w:t>5. References</w:t>
      </w:r>
    </w:p>
    <w:p w:rsidR="008F66DB" w:rsidRPr="008F66DB" w:rsidRDefault="008F66DB" w:rsidP="008F66DB">
      <w:pPr>
        <w:pStyle w:val="NormalWeb"/>
        <w:spacing w:line="360" w:lineRule="auto"/>
        <w:jc w:val="both"/>
        <w:rPr>
          <w:rFonts w:ascii="Arial" w:hAnsi="Arial" w:cs="Arial"/>
        </w:rPr>
      </w:pPr>
      <w:proofErr w:type="spellStart"/>
      <w:r w:rsidRPr="008F66DB">
        <w:rPr>
          <w:rFonts w:ascii="Arial" w:hAnsi="Arial" w:cs="Arial"/>
        </w:rPr>
        <w:t>Ansoff</w:t>
      </w:r>
      <w:proofErr w:type="spellEnd"/>
      <w:r w:rsidRPr="008F66DB">
        <w:rPr>
          <w:rFonts w:ascii="Arial" w:hAnsi="Arial" w:cs="Arial"/>
        </w:rPr>
        <w:t xml:space="preserve">, H.I. (2020) </w:t>
      </w:r>
      <w:proofErr w:type="gramStart"/>
      <w:r w:rsidRPr="008F66DB">
        <w:rPr>
          <w:rStyle w:val="Emphasis"/>
          <w:rFonts w:ascii="Arial" w:hAnsi="Arial" w:cs="Arial"/>
        </w:rPr>
        <w:t>Corporate</w:t>
      </w:r>
      <w:proofErr w:type="gramEnd"/>
      <w:r w:rsidRPr="008F66DB">
        <w:rPr>
          <w:rStyle w:val="Emphasis"/>
          <w:rFonts w:ascii="Arial" w:hAnsi="Arial" w:cs="Arial"/>
        </w:rPr>
        <w:t xml:space="preserve"> strategy</w:t>
      </w:r>
      <w:r w:rsidRPr="008F66DB">
        <w:rPr>
          <w:rFonts w:ascii="Arial" w:hAnsi="Arial" w:cs="Arial"/>
        </w:rPr>
        <w:t xml:space="preserve">. </w:t>
      </w:r>
      <w:proofErr w:type="gramStart"/>
      <w:r w:rsidRPr="008F66DB">
        <w:rPr>
          <w:rFonts w:ascii="Arial" w:hAnsi="Arial" w:cs="Arial"/>
        </w:rPr>
        <w:t xml:space="preserve">Revised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London: Penguin Books.</w:t>
      </w:r>
    </w:p>
    <w:p w:rsidR="008F66DB" w:rsidRPr="008F66DB" w:rsidRDefault="008F66DB" w:rsidP="008F66DB">
      <w:pPr>
        <w:pStyle w:val="NormalWeb"/>
        <w:spacing w:line="360" w:lineRule="auto"/>
        <w:jc w:val="both"/>
        <w:rPr>
          <w:rFonts w:ascii="Arial" w:hAnsi="Arial" w:cs="Arial"/>
        </w:rPr>
      </w:pPr>
      <w:proofErr w:type="gramStart"/>
      <w:r w:rsidRPr="008F66DB">
        <w:rPr>
          <w:rFonts w:ascii="Arial" w:hAnsi="Arial" w:cs="Arial"/>
        </w:rPr>
        <w:t xml:space="preserve">Armstrong, G., </w:t>
      </w:r>
      <w:proofErr w:type="spellStart"/>
      <w:r w:rsidRPr="008F66DB">
        <w:rPr>
          <w:rFonts w:ascii="Arial" w:hAnsi="Arial" w:cs="Arial"/>
        </w:rPr>
        <w:t>Kotler</w:t>
      </w:r>
      <w:proofErr w:type="spellEnd"/>
      <w:r w:rsidRPr="008F66DB">
        <w:rPr>
          <w:rFonts w:ascii="Arial" w:hAnsi="Arial" w:cs="Arial"/>
        </w:rPr>
        <w:t xml:space="preserve">, P., </w:t>
      </w:r>
      <w:proofErr w:type="spellStart"/>
      <w:r w:rsidRPr="008F66DB">
        <w:rPr>
          <w:rFonts w:ascii="Arial" w:hAnsi="Arial" w:cs="Arial"/>
        </w:rPr>
        <w:t>Harker</w:t>
      </w:r>
      <w:proofErr w:type="spellEnd"/>
      <w:r w:rsidRPr="008F66DB">
        <w:rPr>
          <w:rFonts w:ascii="Arial" w:hAnsi="Arial" w:cs="Arial"/>
        </w:rPr>
        <w:t xml:space="preserve">, M. and Brennan, R. (2020) </w:t>
      </w:r>
      <w:r w:rsidRPr="008F66DB">
        <w:rPr>
          <w:rStyle w:val="Emphasis"/>
          <w:rFonts w:ascii="Arial" w:hAnsi="Arial" w:cs="Arial"/>
        </w:rPr>
        <w:t>Marketing: An introduction</w:t>
      </w:r>
      <w:r w:rsidRPr="008F66DB">
        <w:rPr>
          <w:rFonts w:ascii="Arial" w:hAnsi="Arial" w:cs="Arial"/>
        </w:rPr>
        <w:t>.</w:t>
      </w:r>
      <w:proofErr w:type="gramEnd"/>
      <w:r w:rsidRPr="008F66DB">
        <w:rPr>
          <w:rFonts w:ascii="Arial" w:hAnsi="Arial" w:cs="Arial"/>
        </w:rPr>
        <w:t xml:space="preserve"> </w:t>
      </w:r>
      <w:proofErr w:type="gramStart"/>
      <w:r w:rsidRPr="008F66DB">
        <w:rPr>
          <w:rFonts w:ascii="Arial" w:hAnsi="Arial" w:cs="Arial"/>
        </w:rPr>
        <w:t xml:space="preserve">4th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Harlow: Pearson.</w:t>
      </w:r>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Barney, J.B. and </w:t>
      </w:r>
      <w:proofErr w:type="spellStart"/>
      <w:r w:rsidRPr="008F66DB">
        <w:rPr>
          <w:rFonts w:ascii="Arial" w:hAnsi="Arial" w:cs="Arial"/>
        </w:rPr>
        <w:t>Hesterly</w:t>
      </w:r>
      <w:proofErr w:type="spellEnd"/>
      <w:r w:rsidRPr="008F66DB">
        <w:rPr>
          <w:rFonts w:ascii="Arial" w:hAnsi="Arial" w:cs="Arial"/>
        </w:rPr>
        <w:t xml:space="preserve">, W.S. (2021) </w:t>
      </w:r>
      <w:r w:rsidRPr="008F66DB">
        <w:rPr>
          <w:rStyle w:val="Emphasis"/>
          <w:rFonts w:ascii="Arial" w:hAnsi="Arial" w:cs="Arial"/>
        </w:rPr>
        <w:t>Strategic management and competitive advantage: Concepts and cases</w:t>
      </w:r>
      <w:r w:rsidRPr="008F66DB">
        <w:rPr>
          <w:rFonts w:ascii="Arial" w:hAnsi="Arial" w:cs="Arial"/>
        </w:rPr>
        <w:t xml:space="preserve">. </w:t>
      </w:r>
      <w:proofErr w:type="gramStart"/>
      <w:r w:rsidRPr="008F66DB">
        <w:rPr>
          <w:rFonts w:ascii="Arial" w:hAnsi="Arial" w:cs="Arial"/>
        </w:rPr>
        <w:t xml:space="preserve">6th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Harlow: Pearson.</w:t>
      </w:r>
    </w:p>
    <w:p w:rsidR="008F66DB" w:rsidRPr="008F66DB" w:rsidRDefault="008F66DB" w:rsidP="008F66DB">
      <w:pPr>
        <w:pStyle w:val="NormalWeb"/>
        <w:spacing w:line="360" w:lineRule="auto"/>
        <w:jc w:val="both"/>
        <w:rPr>
          <w:rFonts w:ascii="Arial" w:hAnsi="Arial" w:cs="Arial"/>
        </w:rPr>
      </w:pPr>
      <w:proofErr w:type="spellStart"/>
      <w:r w:rsidRPr="008F66DB">
        <w:rPr>
          <w:rFonts w:ascii="Arial" w:hAnsi="Arial" w:cs="Arial"/>
        </w:rPr>
        <w:t>Bharadwaj</w:t>
      </w:r>
      <w:proofErr w:type="spellEnd"/>
      <w:r w:rsidRPr="008F66DB">
        <w:rPr>
          <w:rFonts w:ascii="Arial" w:hAnsi="Arial" w:cs="Arial"/>
        </w:rPr>
        <w:t xml:space="preserve">, A., El </w:t>
      </w:r>
      <w:proofErr w:type="spellStart"/>
      <w:r w:rsidRPr="008F66DB">
        <w:rPr>
          <w:rFonts w:ascii="Arial" w:hAnsi="Arial" w:cs="Arial"/>
        </w:rPr>
        <w:t>Sawy</w:t>
      </w:r>
      <w:proofErr w:type="spellEnd"/>
      <w:r w:rsidRPr="008F66DB">
        <w:rPr>
          <w:rFonts w:ascii="Arial" w:hAnsi="Arial" w:cs="Arial"/>
        </w:rPr>
        <w:t xml:space="preserve">, O.A., </w:t>
      </w:r>
      <w:proofErr w:type="spellStart"/>
      <w:r w:rsidRPr="008F66DB">
        <w:rPr>
          <w:rFonts w:ascii="Arial" w:hAnsi="Arial" w:cs="Arial"/>
        </w:rPr>
        <w:t>Pavlou</w:t>
      </w:r>
      <w:proofErr w:type="spellEnd"/>
      <w:r w:rsidRPr="008F66DB">
        <w:rPr>
          <w:rFonts w:ascii="Arial" w:hAnsi="Arial" w:cs="Arial"/>
        </w:rPr>
        <w:t xml:space="preserve">, P.A. and </w:t>
      </w:r>
      <w:proofErr w:type="spellStart"/>
      <w:r w:rsidRPr="008F66DB">
        <w:rPr>
          <w:rFonts w:ascii="Arial" w:hAnsi="Arial" w:cs="Arial"/>
        </w:rPr>
        <w:t>Venkatraman</w:t>
      </w:r>
      <w:proofErr w:type="spellEnd"/>
      <w:r w:rsidRPr="008F66DB">
        <w:rPr>
          <w:rFonts w:ascii="Arial" w:hAnsi="Arial" w:cs="Arial"/>
        </w:rPr>
        <w:t xml:space="preserve">, N. (2021) ‘Digital business strategy: Toward a next generation of insights’, </w:t>
      </w:r>
      <w:r w:rsidRPr="008F66DB">
        <w:rPr>
          <w:rStyle w:val="Emphasis"/>
          <w:rFonts w:ascii="Arial" w:hAnsi="Arial" w:cs="Arial"/>
        </w:rPr>
        <w:t>MIS Quarterly</w:t>
      </w:r>
      <w:r w:rsidRPr="008F66DB">
        <w:rPr>
          <w:rFonts w:ascii="Arial" w:hAnsi="Arial" w:cs="Arial"/>
        </w:rPr>
        <w:t>, 45(1), pp. 471–482.</w:t>
      </w:r>
    </w:p>
    <w:p w:rsidR="008F66DB" w:rsidRPr="008F66DB" w:rsidRDefault="008F66DB" w:rsidP="008F66DB">
      <w:pPr>
        <w:pStyle w:val="NormalWeb"/>
        <w:spacing w:line="360" w:lineRule="auto"/>
        <w:jc w:val="both"/>
        <w:rPr>
          <w:rFonts w:ascii="Arial" w:hAnsi="Arial" w:cs="Arial"/>
        </w:rPr>
      </w:pPr>
      <w:proofErr w:type="spellStart"/>
      <w:proofErr w:type="gramStart"/>
      <w:r w:rsidRPr="008F66DB">
        <w:rPr>
          <w:rFonts w:ascii="Arial" w:hAnsi="Arial" w:cs="Arial"/>
        </w:rPr>
        <w:t>Bhatti</w:t>
      </w:r>
      <w:proofErr w:type="spellEnd"/>
      <w:r w:rsidRPr="008F66DB">
        <w:rPr>
          <w:rFonts w:ascii="Arial" w:hAnsi="Arial" w:cs="Arial"/>
        </w:rPr>
        <w:t xml:space="preserve">, A., </w:t>
      </w:r>
      <w:proofErr w:type="spellStart"/>
      <w:r w:rsidRPr="008F66DB">
        <w:rPr>
          <w:rFonts w:ascii="Arial" w:hAnsi="Arial" w:cs="Arial"/>
        </w:rPr>
        <w:t>Rehman</w:t>
      </w:r>
      <w:proofErr w:type="spellEnd"/>
      <w:r w:rsidRPr="008F66DB">
        <w:rPr>
          <w:rFonts w:ascii="Arial" w:hAnsi="Arial" w:cs="Arial"/>
        </w:rPr>
        <w:t xml:space="preserve">, S.U., Kamal, M. and </w:t>
      </w:r>
      <w:proofErr w:type="spellStart"/>
      <w:r w:rsidRPr="008F66DB">
        <w:rPr>
          <w:rFonts w:ascii="Arial" w:hAnsi="Arial" w:cs="Arial"/>
        </w:rPr>
        <w:t>Akram</w:t>
      </w:r>
      <w:proofErr w:type="spellEnd"/>
      <w:r w:rsidRPr="008F66DB">
        <w:rPr>
          <w:rFonts w:ascii="Arial" w:hAnsi="Arial" w:cs="Arial"/>
        </w:rPr>
        <w:t xml:space="preserve">, H. (2020) ‘Factors effecting online shopping behaviour with trust as moderation’, </w:t>
      </w:r>
      <w:r w:rsidRPr="008F66DB">
        <w:rPr>
          <w:rStyle w:val="Emphasis"/>
          <w:rFonts w:ascii="Arial" w:hAnsi="Arial" w:cs="Arial"/>
        </w:rPr>
        <w:t>International Journal of Scientific and Technology Research</w:t>
      </w:r>
      <w:r w:rsidRPr="008F66DB">
        <w:rPr>
          <w:rFonts w:ascii="Arial" w:hAnsi="Arial" w:cs="Arial"/>
        </w:rPr>
        <w:t>, 9(2), pp. 460–468.</w:t>
      </w:r>
      <w:proofErr w:type="gramEnd"/>
    </w:p>
    <w:p w:rsidR="008F66DB" w:rsidRPr="008F66DB" w:rsidRDefault="008F66DB" w:rsidP="008F66DB">
      <w:pPr>
        <w:pStyle w:val="NormalWeb"/>
        <w:spacing w:line="360" w:lineRule="auto"/>
        <w:jc w:val="both"/>
        <w:rPr>
          <w:rFonts w:ascii="Arial" w:hAnsi="Arial" w:cs="Arial"/>
        </w:rPr>
      </w:pPr>
      <w:proofErr w:type="gramStart"/>
      <w:r w:rsidRPr="008F66DB">
        <w:rPr>
          <w:rFonts w:ascii="Arial" w:hAnsi="Arial" w:cs="Arial"/>
        </w:rPr>
        <w:t xml:space="preserve">Chaffey, D. and Ellis-Chadwick, F. (2022) </w:t>
      </w:r>
      <w:r w:rsidRPr="008F66DB">
        <w:rPr>
          <w:rStyle w:val="Emphasis"/>
          <w:rFonts w:ascii="Arial" w:hAnsi="Arial" w:cs="Arial"/>
        </w:rPr>
        <w:t>Digital marketing: Strategy, implementation and practice</w:t>
      </w:r>
      <w:r w:rsidRPr="008F66DB">
        <w:rPr>
          <w:rFonts w:ascii="Arial" w:hAnsi="Arial" w:cs="Arial"/>
        </w:rPr>
        <w:t>.</w:t>
      </w:r>
      <w:proofErr w:type="gramEnd"/>
      <w:r w:rsidRPr="008F66DB">
        <w:rPr>
          <w:rFonts w:ascii="Arial" w:hAnsi="Arial" w:cs="Arial"/>
        </w:rPr>
        <w:t xml:space="preserve"> </w:t>
      </w:r>
      <w:proofErr w:type="gramStart"/>
      <w:r w:rsidRPr="008F66DB">
        <w:rPr>
          <w:rFonts w:ascii="Arial" w:hAnsi="Arial" w:cs="Arial"/>
        </w:rPr>
        <w:t xml:space="preserve">8th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Harlow: Pearson.</w:t>
      </w:r>
    </w:p>
    <w:p w:rsidR="008F66DB" w:rsidRPr="008F66DB" w:rsidRDefault="008F66DB" w:rsidP="008F66DB">
      <w:pPr>
        <w:pStyle w:val="NormalWeb"/>
        <w:spacing w:line="360" w:lineRule="auto"/>
        <w:jc w:val="both"/>
        <w:rPr>
          <w:rFonts w:ascii="Arial" w:hAnsi="Arial" w:cs="Arial"/>
        </w:rPr>
      </w:pPr>
      <w:proofErr w:type="gramStart"/>
      <w:r w:rsidRPr="008F66DB">
        <w:rPr>
          <w:rFonts w:ascii="Arial" w:hAnsi="Arial" w:cs="Arial"/>
        </w:rPr>
        <w:t xml:space="preserve">Deloitte (2022) </w:t>
      </w:r>
      <w:r w:rsidRPr="008F66DB">
        <w:rPr>
          <w:rStyle w:val="Emphasis"/>
          <w:rFonts w:ascii="Arial" w:hAnsi="Arial" w:cs="Arial"/>
        </w:rPr>
        <w:t>Global automotive consumer study 2022</w:t>
      </w:r>
      <w:r w:rsidRPr="008F66DB">
        <w:rPr>
          <w:rFonts w:ascii="Arial" w:hAnsi="Arial" w:cs="Arial"/>
        </w:rPr>
        <w:t>.</w:t>
      </w:r>
      <w:proofErr w:type="gramEnd"/>
      <w:r w:rsidRPr="008F66DB">
        <w:rPr>
          <w:rFonts w:ascii="Arial" w:hAnsi="Arial" w:cs="Arial"/>
        </w:rPr>
        <w:t xml:space="preserve"> Available at: </w:t>
      </w:r>
      <w:hyperlink r:id="rId18" w:tgtFrame="_new" w:history="1">
        <w:r w:rsidRPr="008F66DB">
          <w:rPr>
            <w:rStyle w:val="Hyperlink"/>
            <w:rFonts w:ascii="Arial" w:hAnsi="Arial" w:cs="Arial"/>
          </w:rPr>
          <w:t>https://www2.deloitte.com</w:t>
        </w:r>
      </w:hyperlink>
      <w:r w:rsidRPr="008F66DB">
        <w:rPr>
          <w:rFonts w:ascii="Arial" w:hAnsi="Arial" w:cs="Arial"/>
        </w:rPr>
        <w:t xml:space="preserve"> [Accessed: 18 March 2026].</w:t>
      </w:r>
    </w:p>
    <w:p w:rsidR="008F66DB" w:rsidRPr="008F66DB" w:rsidRDefault="008F66DB" w:rsidP="008F66DB">
      <w:pPr>
        <w:pStyle w:val="NormalWeb"/>
        <w:spacing w:line="360" w:lineRule="auto"/>
        <w:jc w:val="both"/>
        <w:rPr>
          <w:rFonts w:ascii="Arial" w:hAnsi="Arial" w:cs="Arial"/>
        </w:rPr>
      </w:pPr>
      <w:proofErr w:type="gramStart"/>
      <w:r w:rsidRPr="008F66DB">
        <w:rPr>
          <w:rFonts w:ascii="Arial" w:hAnsi="Arial" w:cs="Arial"/>
        </w:rPr>
        <w:t xml:space="preserve">Grant, R.M. (2022) </w:t>
      </w:r>
      <w:r w:rsidRPr="008F66DB">
        <w:rPr>
          <w:rStyle w:val="Emphasis"/>
          <w:rFonts w:ascii="Arial" w:hAnsi="Arial" w:cs="Arial"/>
        </w:rPr>
        <w:t>Contemporary strategy analysis</w:t>
      </w:r>
      <w:r w:rsidRPr="008F66DB">
        <w:rPr>
          <w:rFonts w:ascii="Arial" w:hAnsi="Arial" w:cs="Arial"/>
        </w:rPr>
        <w:t>.</w:t>
      </w:r>
      <w:proofErr w:type="gramEnd"/>
      <w:r w:rsidRPr="008F66DB">
        <w:rPr>
          <w:rFonts w:ascii="Arial" w:hAnsi="Arial" w:cs="Arial"/>
        </w:rPr>
        <w:t xml:space="preserve"> </w:t>
      </w:r>
      <w:proofErr w:type="gramStart"/>
      <w:r w:rsidRPr="008F66DB">
        <w:rPr>
          <w:rFonts w:ascii="Arial" w:hAnsi="Arial" w:cs="Arial"/>
        </w:rPr>
        <w:t xml:space="preserve">11th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Oxford: Wiley.</w:t>
      </w:r>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Hardman, S., </w:t>
      </w:r>
      <w:proofErr w:type="spellStart"/>
      <w:r w:rsidRPr="008F66DB">
        <w:rPr>
          <w:rFonts w:ascii="Arial" w:hAnsi="Arial" w:cs="Arial"/>
        </w:rPr>
        <w:t>Jenn</w:t>
      </w:r>
      <w:proofErr w:type="spellEnd"/>
      <w:r w:rsidRPr="008F66DB">
        <w:rPr>
          <w:rFonts w:ascii="Arial" w:hAnsi="Arial" w:cs="Arial"/>
        </w:rPr>
        <w:t xml:space="preserve">, A., Tal, G. and </w:t>
      </w:r>
      <w:proofErr w:type="spellStart"/>
      <w:r w:rsidRPr="008F66DB">
        <w:rPr>
          <w:rFonts w:ascii="Arial" w:hAnsi="Arial" w:cs="Arial"/>
        </w:rPr>
        <w:t>Axsen</w:t>
      </w:r>
      <w:proofErr w:type="spellEnd"/>
      <w:r w:rsidRPr="008F66DB">
        <w:rPr>
          <w:rFonts w:ascii="Arial" w:hAnsi="Arial" w:cs="Arial"/>
        </w:rPr>
        <w:t xml:space="preserve">, J. (2021) ‘A review of consumer preferences for electric vehicle charging infrastructure’, </w:t>
      </w:r>
      <w:r w:rsidRPr="008F66DB">
        <w:rPr>
          <w:rStyle w:val="Emphasis"/>
          <w:rFonts w:ascii="Arial" w:hAnsi="Arial" w:cs="Arial"/>
        </w:rPr>
        <w:t>Transportation Research Part D: Transport and Environment</w:t>
      </w:r>
      <w:r w:rsidRPr="008F66DB">
        <w:rPr>
          <w:rFonts w:ascii="Arial" w:hAnsi="Arial" w:cs="Arial"/>
        </w:rPr>
        <w:t>, 62, pp. 508–523.</w:t>
      </w:r>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Hill, C.W.L., Schilling, M.A. and Jones, G.R. (2020) </w:t>
      </w:r>
      <w:r w:rsidRPr="008F66DB">
        <w:rPr>
          <w:rStyle w:val="Emphasis"/>
          <w:rFonts w:ascii="Arial" w:hAnsi="Arial" w:cs="Arial"/>
        </w:rPr>
        <w:t>Strategic management: Theory and cases</w:t>
      </w:r>
      <w:r w:rsidRPr="008F66DB">
        <w:rPr>
          <w:rFonts w:ascii="Arial" w:hAnsi="Arial" w:cs="Arial"/>
        </w:rPr>
        <w:t xml:space="preserve">. </w:t>
      </w:r>
      <w:proofErr w:type="gramStart"/>
      <w:r w:rsidRPr="008F66DB">
        <w:rPr>
          <w:rFonts w:ascii="Arial" w:hAnsi="Arial" w:cs="Arial"/>
        </w:rPr>
        <w:t xml:space="preserve">13th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Boston: </w:t>
      </w:r>
      <w:proofErr w:type="spellStart"/>
      <w:r w:rsidRPr="008F66DB">
        <w:rPr>
          <w:rFonts w:ascii="Arial" w:hAnsi="Arial" w:cs="Arial"/>
        </w:rPr>
        <w:t>Cengage</w:t>
      </w:r>
      <w:proofErr w:type="spellEnd"/>
      <w:r w:rsidRPr="008F66DB">
        <w:rPr>
          <w:rFonts w:ascii="Arial" w:hAnsi="Arial" w:cs="Arial"/>
        </w:rPr>
        <w:t xml:space="preserve"> Learning.</w:t>
      </w:r>
    </w:p>
    <w:p w:rsidR="008F66DB" w:rsidRPr="008F66DB" w:rsidRDefault="008F66DB" w:rsidP="008F66DB">
      <w:pPr>
        <w:pStyle w:val="NormalWeb"/>
        <w:spacing w:line="360" w:lineRule="auto"/>
        <w:jc w:val="both"/>
        <w:rPr>
          <w:rFonts w:ascii="Arial" w:hAnsi="Arial" w:cs="Arial"/>
        </w:rPr>
      </w:pPr>
      <w:proofErr w:type="gramStart"/>
      <w:r w:rsidRPr="008F66DB">
        <w:rPr>
          <w:rFonts w:ascii="Arial" w:hAnsi="Arial" w:cs="Arial"/>
        </w:rPr>
        <w:t xml:space="preserve">International Energy Agency (IEA) (2022) </w:t>
      </w:r>
      <w:r w:rsidRPr="008F66DB">
        <w:rPr>
          <w:rStyle w:val="Emphasis"/>
          <w:rFonts w:ascii="Arial" w:hAnsi="Arial" w:cs="Arial"/>
        </w:rPr>
        <w:t>Global EV outlook 2022</w:t>
      </w:r>
      <w:r w:rsidRPr="008F66DB">
        <w:rPr>
          <w:rFonts w:ascii="Arial" w:hAnsi="Arial" w:cs="Arial"/>
        </w:rPr>
        <w:t>.</w:t>
      </w:r>
      <w:proofErr w:type="gramEnd"/>
      <w:r w:rsidRPr="008F66DB">
        <w:rPr>
          <w:rFonts w:ascii="Arial" w:hAnsi="Arial" w:cs="Arial"/>
        </w:rPr>
        <w:t xml:space="preserve"> Paris: IEA. Available at: </w:t>
      </w:r>
      <w:hyperlink r:id="rId19" w:tgtFrame="_new" w:history="1">
        <w:r w:rsidRPr="008F66DB">
          <w:rPr>
            <w:rStyle w:val="Hyperlink"/>
            <w:rFonts w:ascii="Arial" w:hAnsi="Arial" w:cs="Arial"/>
          </w:rPr>
          <w:t>https://www.iea.org</w:t>
        </w:r>
      </w:hyperlink>
      <w:r w:rsidRPr="008F66DB">
        <w:rPr>
          <w:rFonts w:ascii="Arial" w:hAnsi="Arial" w:cs="Arial"/>
        </w:rPr>
        <w:t xml:space="preserve"> [Accessed: 18 March 2026].</w:t>
      </w:r>
    </w:p>
    <w:p w:rsidR="008F66DB" w:rsidRPr="008F66DB" w:rsidRDefault="008F66DB" w:rsidP="008F66DB">
      <w:pPr>
        <w:pStyle w:val="NormalWeb"/>
        <w:spacing w:before="0" w:beforeAutospacing="0" w:after="240" w:afterAutospacing="0" w:line="360" w:lineRule="auto"/>
        <w:jc w:val="both"/>
        <w:rPr>
          <w:rFonts w:ascii="Arial" w:hAnsi="Arial" w:cs="Arial"/>
        </w:rPr>
      </w:pPr>
      <w:proofErr w:type="spellStart"/>
      <w:r w:rsidRPr="008F66DB">
        <w:rPr>
          <w:rFonts w:ascii="Arial" w:hAnsi="Arial" w:cs="Arial"/>
        </w:rPr>
        <w:t>Iqbal</w:t>
      </w:r>
      <w:proofErr w:type="spellEnd"/>
      <w:r w:rsidRPr="008F66DB">
        <w:rPr>
          <w:rFonts w:ascii="Arial" w:hAnsi="Arial" w:cs="Arial"/>
        </w:rPr>
        <w:t xml:space="preserve">, A. (2025). </w:t>
      </w:r>
      <w:r w:rsidRPr="008F66DB">
        <w:rPr>
          <w:rFonts w:ascii="Arial" w:hAnsi="Arial" w:cs="Arial"/>
          <w:i/>
          <w:iCs/>
        </w:rPr>
        <w:t>PESTLE Analysis: The CEO’s Guide to Future-Proofing a Business</w:t>
      </w:r>
      <w:r w:rsidRPr="008F66DB">
        <w:rPr>
          <w:rFonts w:ascii="Arial" w:hAnsi="Arial" w:cs="Arial"/>
        </w:rPr>
        <w:t>. [</w:t>
      </w:r>
      <w:proofErr w:type="gramStart"/>
      <w:r w:rsidRPr="008F66DB">
        <w:rPr>
          <w:rFonts w:ascii="Arial" w:hAnsi="Arial" w:cs="Arial"/>
        </w:rPr>
        <w:t>online</w:t>
      </w:r>
      <w:proofErr w:type="gramEnd"/>
      <w:r w:rsidRPr="008F66DB">
        <w:rPr>
          <w:rFonts w:ascii="Arial" w:hAnsi="Arial" w:cs="Arial"/>
        </w:rPr>
        <w:t xml:space="preserve">] </w:t>
      </w:r>
      <w:proofErr w:type="gramStart"/>
      <w:r w:rsidRPr="008F66DB">
        <w:rPr>
          <w:rFonts w:ascii="Arial" w:hAnsi="Arial" w:cs="Arial"/>
        </w:rPr>
        <w:t>Medium.</w:t>
      </w:r>
      <w:proofErr w:type="gramEnd"/>
      <w:r w:rsidRPr="008F66DB">
        <w:rPr>
          <w:rFonts w:ascii="Arial" w:hAnsi="Arial" w:cs="Arial"/>
        </w:rPr>
        <w:t xml:space="preserve"> Available at: https://medium.com/techno-preneurship/pestle-</w:t>
      </w:r>
      <w:r w:rsidRPr="008F66DB">
        <w:rPr>
          <w:rFonts w:ascii="Arial" w:hAnsi="Arial" w:cs="Arial"/>
        </w:rPr>
        <w:lastRenderedPageBreak/>
        <w:t>analysis-the-ceos-guide-to-future-proofing-a-business-877e6c4e20ea [Accessed: 18 March 2026].</w:t>
      </w:r>
    </w:p>
    <w:p w:rsidR="008F66DB" w:rsidRPr="008F66DB" w:rsidRDefault="008F66DB" w:rsidP="008F66DB">
      <w:pPr>
        <w:pStyle w:val="NormalWeb"/>
        <w:spacing w:line="360" w:lineRule="auto"/>
        <w:jc w:val="both"/>
        <w:rPr>
          <w:rFonts w:ascii="Arial" w:hAnsi="Arial" w:cs="Arial"/>
        </w:rPr>
      </w:pPr>
      <w:proofErr w:type="gramStart"/>
      <w:r w:rsidRPr="008F66DB">
        <w:rPr>
          <w:rFonts w:ascii="Arial" w:hAnsi="Arial" w:cs="Arial"/>
        </w:rPr>
        <w:t xml:space="preserve">Johnson, G., Whittington, R., Scholes, K., </w:t>
      </w:r>
      <w:proofErr w:type="spellStart"/>
      <w:r w:rsidRPr="008F66DB">
        <w:rPr>
          <w:rFonts w:ascii="Arial" w:hAnsi="Arial" w:cs="Arial"/>
        </w:rPr>
        <w:t>Angwin</w:t>
      </w:r>
      <w:proofErr w:type="spellEnd"/>
      <w:r w:rsidRPr="008F66DB">
        <w:rPr>
          <w:rFonts w:ascii="Arial" w:hAnsi="Arial" w:cs="Arial"/>
        </w:rPr>
        <w:t xml:space="preserve">, D. and </w:t>
      </w:r>
      <w:proofErr w:type="spellStart"/>
      <w:r w:rsidRPr="008F66DB">
        <w:rPr>
          <w:rFonts w:ascii="Arial" w:hAnsi="Arial" w:cs="Arial"/>
        </w:rPr>
        <w:t>Regnér</w:t>
      </w:r>
      <w:proofErr w:type="spellEnd"/>
      <w:r w:rsidRPr="008F66DB">
        <w:rPr>
          <w:rFonts w:ascii="Arial" w:hAnsi="Arial" w:cs="Arial"/>
        </w:rPr>
        <w:t xml:space="preserve">, P. (2023) </w:t>
      </w:r>
      <w:r w:rsidRPr="008F66DB">
        <w:rPr>
          <w:rStyle w:val="Emphasis"/>
          <w:rFonts w:ascii="Arial" w:hAnsi="Arial" w:cs="Arial"/>
        </w:rPr>
        <w:t>Exploring strategy</w:t>
      </w:r>
      <w:r w:rsidRPr="008F66DB">
        <w:rPr>
          <w:rFonts w:ascii="Arial" w:hAnsi="Arial" w:cs="Arial"/>
        </w:rPr>
        <w:t>.</w:t>
      </w:r>
      <w:proofErr w:type="gramEnd"/>
      <w:r w:rsidRPr="008F66DB">
        <w:rPr>
          <w:rFonts w:ascii="Arial" w:hAnsi="Arial" w:cs="Arial"/>
        </w:rPr>
        <w:t xml:space="preserve"> </w:t>
      </w:r>
      <w:proofErr w:type="gramStart"/>
      <w:r w:rsidRPr="008F66DB">
        <w:rPr>
          <w:rFonts w:ascii="Arial" w:hAnsi="Arial" w:cs="Arial"/>
        </w:rPr>
        <w:t xml:space="preserve">13th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Harlow: Pearson.</w:t>
      </w:r>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Khan, E.A., </w:t>
      </w:r>
      <w:proofErr w:type="spellStart"/>
      <w:r w:rsidRPr="008F66DB">
        <w:rPr>
          <w:rFonts w:ascii="Arial" w:hAnsi="Arial" w:cs="Arial"/>
        </w:rPr>
        <w:t>Alam</w:t>
      </w:r>
      <w:proofErr w:type="spellEnd"/>
      <w:r w:rsidRPr="008F66DB">
        <w:rPr>
          <w:rFonts w:ascii="Arial" w:hAnsi="Arial" w:cs="Arial"/>
        </w:rPr>
        <w:t xml:space="preserve">, M.N. and </w:t>
      </w:r>
      <w:proofErr w:type="spellStart"/>
      <w:r w:rsidRPr="008F66DB">
        <w:rPr>
          <w:rFonts w:ascii="Arial" w:hAnsi="Arial" w:cs="Arial"/>
        </w:rPr>
        <w:t>Alam</w:t>
      </w:r>
      <w:proofErr w:type="spellEnd"/>
      <w:r w:rsidRPr="008F66DB">
        <w:rPr>
          <w:rFonts w:ascii="Arial" w:hAnsi="Arial" w:cs="Arial"/>
        </w:rPr>
        <w:t>, M.S. (2021) ‘</w:t>
      </w:r>
      <w:proofErr w:type="gramStart"/>
      <w:r w:rsidRPr="008F66DB">
        <w:rPr>
          <w:rFonts w:ascii="Arial" w:hAnsi="Arial" w:cs="Arial"/>
        </w:rPr>
        <w:t>The</w:t>
      </w:r>
      <w:proofErr w:type="gramEnd"/>
      <w:r w:rsidRPr="008F66DB">
        <w:rPr>
          <w:rFonts w:ascii="Arial" w:hAnsi="Arial" w:cs="Arial"/>
        </w:rPr>
        <w:t xml:space="preserve"> impact of external environment on firm performance: Evidence from emerging markets’, </w:t>
      </w:r>
      <w:r w:rsidRPr="008F66DB">
        <w:rPr>
          <w:rStyle w:val="Emphasis"/>
          <w:rFonts w:ascii="Arial" w:hAnsi="Arial" w:cs="Arial"/>
        </w:rPr>
        <w:t>Journal of Business Research</w:t>
      </w:r>
      <w:r w:rsidRPr="008F66DB">
        <w:rPr>
          <w:rFonts w:ascii="Arial" w:hAnsi="Arial" w:cs="Arial"/>
        </w:rPr>
        <w:t>, 134, pp. 148–158.</w:t>
      </w:r>
    </w:p>
    <w:p w:rsidR="008F66DB" w:rsidRPr="008F66DB" w:rsidRDefault="008F66DB" w:rsidP="008F66DB">
      <w:pPr>
        <w:pStyle w:val="NormalWeb"/>
        <w:spacing w:line="360" w:lineRule="auto"/>
        <w:jc w:val="both"/>
        <w:rPr>
          <w:rFonts w:ascii="Arial" w:hAnsi="Arial" w:cs="Arial"/>
        </w:rPr>
      </w:pPr>
      <w:proofErr w:type="spellStart"/>
      <w:proofErr w:type="gramStart"/>
      <w:r w:rsidRPr="008F66DB">
        <w:rPr>
          <w:rFonts w:ascii="Arial" w:hAnsi="Arial" w:cs="Arial"/>
        </w:rPr>
        <w:t>Kotler</w:t>
      </w:r>
      <w:proofErr w:type="spellEnd"/>
      <w:r w:rsidRPr="008F66DB">
        <w:rPr>
          <w:rFonts w:ascii="Arial" w:hAnsi="Arial" w:cs="Arial"/>
        </w:rPr>
        <w:t xml:space="preserve">, P., Keller, K.L., Brady, M., Goodman, M. and Hansen, T. (2021) </w:t>
      </w:r>
      <w:r w:rsidRPr="008F66DB">
        <w:rPr>
          <w:rStyle w:val="Emphasis"/>
          <w:rFonts w:ascii="Arial" w:hAnsi="Arial" w:cs="Arial"/>
        </w:rPr>
        <w:t>Marketing management</w:t>
      </w:r>
      <w:r w:rsidRPr="008F66DB">
        <w:rPr>
          <w:rFonts w:ascii="Arial" w:hAnsi="Arial" w:cs="Arial"/>
        </w:rPr>
        <w:t>.</w:t>
      </w:r>
      <w:proofErr w:type="gramEnd"/>
      <w:r w:rsidRPr="008F66DB">
        <w:rPr>
          <w:rFonts w:ascii="Arial" w:hAnsi="Arial" w:cs="Arial"/>
        </w:rPr>
        <w:t xml:space="preserve"> </w:t>
      </w:r>
      <w:proofErr w:type="gramStart"/>
      <w:r w:rsidRPr="008F66DB">
        <w:rPr>
          <w:rFonts w:ascii="Arial" w:hAnsi="Arial" w:cs="Arial"/>
        </w:rPr>
        <w:t xml:space="preserve">4th European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Harlow: Pearson.</w:t>
      </w:r>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Kraus, S., Durst, S., Ferreira, J.J., </w:t>
      </w:r>
      <w:proofErr w:type="spellStart"/>
      <w:r w:rsidRPr="008F66DB">
        <w:rPr>
          <w:rFonts w:ascii="Arial" w:hAnsi="Arial" w:cs="Arial"/>
        </w:rPr>
        <w:t>Veiga</w:t>
      </w:r>
      <w:proofErr w:type="spellEnd"/>
      <w:r w:rsidRPr="008F66DB">
        <w:rPr>
          <w:rFonts w:ascii="Arial" w:hAnsi="Arial" w:cs="Arial"/>
        </w:rPr>
        <w:t xml:space="preserve">, P., </w:t>
      </w:r>
      <w:proofErr w:type="spellStart"/>
      <w:r w:rsidRPr="008F66DB">
        <w:rPr>
          <w:rFonts w:ascii="Arial" w:hAnsi="Arial" w:cs="Arial"/>
        </w:rPr>
        <w:t>Kailer</w:t>
      </w:r>
      <w:proofErr w:type="spellEnd"/>
      <w:r w:rsidRPr="008F66DB">
        <w:rPr>
          <w:rFonts w:ascii="Arial" w:hAnsi="Arial" w:cs="Arial"/>
        </w:rPr>
        <w:t xml:space="preserve">, N. and </w:t>
      </w:r>
      <w:proofErr w:type="spellStart"/>
      <w:r w:rsidRPr="008F66DB">
        <w:rPr>
          <w:rFonts w:ascii="Arial" w:hAnsi="Arial" w:cs="Arial"/>
        </w:rPr>
        <w:t>Weinmann</w:t>
      </w:r>
      <w:proofErr w:type="spellEnd"/>
      <w:r w:rsidRPr="008F66DB">
        <w:rPr>
          <w:rFonts w:ascii="Arial" w:hAnsi="Arial" w:cs="Arial"/>
        </w:rPr>
        <w:t xml:space="preserve">, A. (2021) ‘Digital transformation in business and management research: An overview of the current </w:t>
      </w:r>
      <w:proofErr w:type="gramStart"/>
      <w:r w:rsidRPr="008F66DB">
        <w:rPr>
          <w:rFonts w:ascii="Arial" w:hAnsi="Arial" w:cs="Arial"/>
        </w:rPr>
        <w:t>status’</w:t>
      </w:r>
      <w:proofErr w:type="gramEnd"/>
      <w:r w:rsidRPr="008F66DB">
        <w:rPr>
          <w:rFonts w:ascii="Arial" w:hAnsi="Arial" w:cs="Arial"/>
        </w:rPr>
        <w:t xml:space="preserve">, </w:t>
      </w:r>
      <w:r w:rsidRPr="008F66DB">
        <w:rPr>
          <w:rStyle w:val="Emphasis"/>
          <w:rFonts w:ascii="Arial" w:hAnsi="Arial" w:cs="Arial"/>
        </w:rPr>
        <w:t>International Journal of Information Management</w:t>
      </w:r>
      <w:r w:rsidRPr="008F66DB">
        <w:rPr>
          <w:rFonts w:ascii="Arial" w:hAnsi="Arial" w:cs="Arial"/>
        </w:rPr>
        <w:t>, 56, pp. 102–124.</w:t>
      </w:r>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Lynch, R. (2021) </w:t>
      </w:r>
      <w:r w:rsidRPr="008F66DB">
        <w:rPr>
          <w:rStyle w:val="Emphasis"/>
          <w:rFonts w:ascii="Arial" w:hAnsi="Arial" w:cs="Arial"/>
        </w:rPr>
        <w:t>Strategic management</w:t>
      </w:r>
      <w:r w:rsidRPr="008F66DB">
        <w:rPr>
          <w:rFonts w:ascii="Arial" w:hAnsi="Arial" w:cs="Arial"/>
        </w:rPr>
        <w:t xml:space="preserve">. </w:t>
      </w:r>
      <w:proofErr w:type="gramStart"/>
      <w:r w:rsidRPr="008F66DB">
        <w:rPr>
          <w:rFonts w:ascii="Arial" w:hAnsi="Arial" w:cs="Arial"/>
        </w:rPr>
        <w:t xml:space="preserve">9th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Harlow: Pearson.</w:t>
      </w:r>
    </w:p>
    <w:p w:rsidR="008F66DB" w:rsidRPr="008F66DB" w:rsidRDefault="008F66DB" w:rsidP="008F66DB">
      <w:pPr>
        <w:pStyle w:val="NormalWeb"/>
        <w:spacing w:line="360" w:lineRule="auto"/>
        <w:jc w:val="both"/>
        <w:rPr>
          <w:rFonts w:ascii="Arial" w:hAnsi="Arial" w:cs="Arial"/>
        </w:rPr>
      </w:pPr>
      <w:proofErr w:type="spellStart"/>
      <w:r w:rsidRPr="008F66DB">
        <w:rPr>
          <w:rFonts w:ascii="Arial" w:hAnsi="Arial" w:cs="Arial"/>
        </w:rPr>
        <w:t>Mangram</w:t>
      </w:r>
      <w:proofErr w:type="spellEnd"/>
      <w:r w:rsidRPr="008F66DB">
        <w:rPr>
          <w:rFonts w:ascii="Arial" w:hAnsi="Arial" w:cs="Arial"/>
        </w:rPr>
        <w:t>, M.E. (2020) ‘</w:t>
      </w:r>
      <w:proofErr w:type="gramStart"/>
      <w:r w:rsidRPr="008F66DB">
        <w:rPr>
          <w:rFonts w:ascii="Arial" w:hAnsi="Arial" w:cs="Arial"/>
        </w:rPr>
        <w:t>The</w:t>
      </w:r>
      <w:proofErr w:type="gramEnd"/>
      <w:r w:rsidRPr="008F66DB">
        <w:rPr>
          <w:rFonts w:ascii="Arial" w:hAnsi="Arial" w:cs="Arial"/>
        </w:rPr>
        <w:t xml:space="preserve"> globalization of Tesla Motors: A strategic marketing plan analysis’, </w:t>
      </w:r>
      <w:r w:rsidRPr="008F66DB">
        <w:rPr>
          <w:rStyle w:val="Emphasis"/>
          <w:rFonts w:ascii="Arial" w:hAnsi="Arial" w:cs="Arial"/>
        </w:rPr>
        <w:t>Journal of Strategic Marketing</w:t>
      </w:r>
      <w:r w:rsidRPr="008F66DB">
        <w:rPr>
          <w:rFonts w:ascii="Arial" w:hAnsi="Arial" w:cs="Arial"/>
        </w:rPr>
        <w:t>, 28(3), pp. 1–18.</w:t>
      </w:r>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McKinsey &amp; Company (2023) </w:t>
      </w:r>
      <w:proofErr w:type="gramStart"/>
      <w:r w:rsidRPr="008F66DB">
        <w:rPr>
          <w:rStyle w:val="Emphasis"/>
          <w:rFonts w:ascii="Arial" w:hAnsi="Arial" w:cs="Arial"/>
        </w:rPr>
        <w:t>The</w:t>
      </w:r>
      <w:proofErr w:type="gramEnd"/>
      <w:r w:rsidRPr="008F66DB">
        <w:rPr>
          <w:rStyle w:val="Emphasis"/>
          <w:rFonts w:ascii="Arial" w:hAnsi="Arial" w:cs="Arial"/>
        </w:rPr>
        <w:t xml:space="preserve"> future of mobility: Electric vehicles report</w:t>
      </w:r>
      <w:r w:rsidRPr="008F66DB">
        <w:rPr>
          <w:rFonts w:ascii="Arial" w:hAnsi="Arial" w:cs="Arial"/>
        </w:rPr>
        <w:t xml:space="preserve">. Available at: </w:t>
      </w:r>
      <w:hyperlink r:id="rId20" w:tgtFrame="_new" w:history="1">
        <w:r w:rsidRPr="008F66DB">
          <w:rPr>
            <w:rStyle w:val="Hyperlink"/>
            <w:rFonts w:ascii="Arial" w:hAnsi="Arial" w:cs="Arial"/>
          </w:rPr>
          <w:t>https://www.mckinsey.com</w:t>
        </w:r>
      </w:hyperlink>
      <w:r w:rsidRPr="008F66DB">
        <w:rPr>
          <w:rFonts w:ascii="Arial" w:hAnsi="Arial" w:cs="Arial"/>
        </w:rPr>
        <w:t xml:space="preserve"> [Accessed: 18 March 2026].</w:t>
      </w:r>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Porter, M.E. (2020) </w:t>
      </w:r>
      <w:r w:rsidRPr="008F66DB">
        <w:rPr>
          <w:rStyle w:val="Emphasis"/>
          <w:rFonts w:ascii="Arial" w:hAnsi="Arial" w:cs="Arial"/>
        </w:rPr>
        <w:t>Competitive strategy: Techniques for analysing industries and competitors</w:t>
      </w:r>
      <w:r w:rsidRPr="008F66DB">
        <w:rPr>
          <w:rFonts w:ascii="Arial" w:hAnsi="Arial" w:cs="Arial"/>
        </w:rPr>
        <w:t xml:space="preserve">. </w:t>
      </w:r>
      <w:proofErr w:type="gramStart"/>
      <w:r w:rsidRPr="008F66DB">
        <w:rPr>
          <w:rFonts w:ascii="Arial" w:hAnsi="Arial" w:cs="Arial"/>
        </w:rPr>
        <w:t xml:space="preserve">New </w:t>
      </w:r>
      <w:proofErr w:type="spellStart"/>
      <w:r w:rsidRPr="008F66DB">
        <w:rPr>
          <w:rFonts w:ascii="Arial" w:hAnsi="Arial" w:cs="Arial"/>
        </w:rPr>
        <w:t>edn</w:t>
      </w:r>
      <w:proofErr w:type="spellEnd"/>
      <w:r w:rsidRPr="008F66DB">
        <w:rPr>
          <w:rFonts w:ascii="Arial" w:hAnsi="Arial" w:cs="Arial"/>
        </w:rPr>
        <w:t>.</w:t>
      </w:r>
      <w:proofErr w:type="gramEnd"/>
      <w:r w:rsidRPr="008F66DB">
        <w:rPr>
          <w:rFonts w:ascii="Arial" w:hAnsi="Arial" w:cs="Arial"/>
        </w:rPr>
        <w:t xml:space="preserve"> New York: Free Press.</w:t>
      </w:r>
    </w:p>
    <w:p w:rsidR="008F66DB" w:rsidRPr="008F66DB" w:rsidRDefault="008F66DB" w:rsidP="008F66DB">
      <w:pPr>
        <w:pStyle w:val="NormalWeb"/>
        <w:spacing w:line="360" w:lineRule="auto"/>
        <w:jc w:val="both"/>
        <w:rPr>
          <w:rFonts w:ascii="Arial" w:hAnsi="Arial" w:cs="Arial"/>
        </w:rPr>
      </w:pPr>
      <w:proofErr w:type="spellStart"/>
      <w:r w:rsidRPr="008F66DB">
        <w:rPr>
          <w:rFonts w:ascii="Arial" w:hAnsi="Arial" w:cs="Arial"/>
        </w:rPr>
        <w:t>Rezvani</w:t>
      </w:r>
      <w:proofErr w:type="spellEnd"/>
      <w:r w:rsidRPr="008F66DB">
        <w:rPr>
          <w:rFonts w:ascii="Arial" w:hAnsi="Arial" w:cs="Arial"/>
        </w:rPr>
        <w:t xml:space="preserve">, Z., </w:t>
      </w:r>
      <w:proofErr w:type="spellStart"/>
      <w:r w:rsidRPr="008F66DB">
        <w:rPr>
          <w:rFonts w:ascii="Arial" w:hAnsi="Arial" w:cs="Arial"/>
        </w:rPr>
        <w:t>Jansson</w:t>
      </w:r>
      <w:proofErr w:type="spellEnd"/>
      <w:r w:rsidRPr="008F66DB">
        <w:rPr>
          <w:rFonts w:ascii="Arial" w:hAnsi="Arial" w:cs="Arial"/>
        </w:rPr>
        <w:t xml:space="preserve">, J. and </w:t>
      </w:r>
      <w:proofErr w:type="spellStart"/>
      <w:r w:rsidRPr="008F66DB">
        <w:rPr>
          <w:rFonts w:ascii="Arial" w:hAnsi="Arial" w:cs="Arial"/>
        </w:rPr>
        <w:t>Bodin</w:t>
      </w:r>
      <w:proofErr w:type="spellEnd"/>
      <w:r w:rsidRPr="008F66DB">
        <w:rPr>
          <w:rFonts w:ascii="Arial" w:hAnsi="Arial" w:cs="Arial"/>
        </w:rPr>
        <w:t xml:space="preserve">, J. (2022) ‘Advances in consumer electric vehicle adoption research: A review and research agenda’, </w:t>
      </w:r>
      <w:r w:rsidRPr="008F66DB">
        <w:rPr>
          <w:rStyle w:val="Emphasis"/>
          <w:rFonts w:ascii="Arial" w:hAnsi="Arial" w:cs="Arial"/>
        </w:rPr>
        <w:t>Transportation Research Part D: Transport and Environment</w:t>
      </w:r>
      <w:r w:rsidRPr="008F66DB">
        <w:rPr>
          <w:rFonts w:ascii="Arial" w:hAnsi="Arial" w:cs="Arial"/>
        </w:rPr>
        <w:t>, 34, pp. 122–136.</w:t>
      </w:r>
    </w:p>
    <w:p w:rsidR="008F66DB" w:rsidRPr="008F66DB" w:rsidRDefault="008F66DB" w:rsidP="008F66DB">
      <w:pPr>
        <w:pStyle w:val="NormalWeb"/>
        <w:spacing w:line="360" w:lineRule="auto"/>
        <w:jc w:val="both"/>
        <w:rPr>
          <w:rFonts w:ascii="Arial" w:hAnsi="Arial" w:cs="Arial"/>
        </w:rPr>
      </w:pPr>
      <w:proofErr w:type="gramStart"/>
      <w:r w:rsidRPr="008F66DB">
        <w:rPr>
          <w:rFonts w:ascii="Arial" w:hAnsi="Arial" w:cs="Arial"/>
        </w:rPr>
        <w:t xml:space="preserve">Ritter, T. and Pedersen, C.L. (2020) ‘Digitization capability and the digitalization of business models in business-to-business firms’, </w:t>
      </w:r>
      <w:r w:rsidRPr="008F66DB">
        <w:rPr>
          <w:rStyle w:val="Emphasis"/>
          <w:rFonts w:ascii="Arial" w:hAnsi="Arial" w:cs="Arial"/>
        </w:rPr>
        <w:t>Industrial Marketing Management</w:t>
      </w:r>
      <w:r w:rsidRPr="008F66DB">
        <w:rPr>
          <w:rFonts w:ascii="Arial" w:hAnsi="Arial" w:cs="Arial"/>
        </w:rPr>
        <w:t>, 86, pp. 180–190.</w:t>
      </w:r>
      <w:proofErr w:type="gramEnd"/>
    </w:p>
    <w:p w:rsidR="008F66DB" w:rsidRPr="008F66DB" w:rsidRDefault="008F66DB" w:rsidP="008F66DB">
      <w:pPr>
        <w:pStyle w:val="NormalWeb"/>
        <w:spacing w:line="360" w:lineRule="auto"/>
        <w:jc w:val="both"/>
        <w:rPr>
          <w:rFonts w:ascii="Arial" w:hAnsi="Arial" w:cs="Arial"/>
        </w:rPr>
      </w:pPr>
      <w:proofErr w:type="spellStart"/>
      <w:r w:rsidRPr="008F66DB">
        <w:rPr>
          <w:rFonts w:ascii="Arial" w:hAnsi="Arial" w:cs="Arial"/>
        </w:rPr>
        <w:lastRenderedPageBreak/>
        <w:t>Stringham</w:t>
      </w:r>
      <w:proofErr w:type="spellEnd"/>
      <w:r w:rsidRPr="008F66DB">
        <w:rPr>
          <w:rFonts w:ascii="Arial" w:hAnsi="Arial" w:cs="Arial"/>
        </w:rPr>
        <w:t>, E.P., Miller, J.K. and Clark, J.R. (2021) ‘</w:t>
      </w:r>
      <w:proofErr w:type="gramStart"/>
      <w:r w:rsidRPr="008F66DB">
        <w:rPr>
          <w:rFonts w:ascii="Arial" w:hAnsi="Arial" w:cs="Arial"/>
        </w:rPr>
        <w:t>Overcoming</w:t>
      </w:r>
      <w:proofErr w:type="gramEnd"/>
      <w:r w:rsidRPr="008F66DB">
        <w:rPr>
          <w:rFonts w:ascii="Arial" w:hAnsi="Arial" w:cs="Arial"/>
        </w:rPr>
        <w:t xml:space="preserve"> barriers to entry in an established industry: Tesla Motors’, </w:t>
      </w:r>
      <w:r w:rsidRPr="008F66DB">
        <w:rPr>
          <w:rStyle w:val="Emphasis"/>
          <w:rFonts w:ascii="Arial" w:hAnsi="Arial" w:cs="Arial"/>
        </w:rPr>
        <w:t>California Management Review</w:t>
      </w:r>
      <w:r w:rsidRPr="008F66DB">
        <w:rPr>
          <w:rFonts w:ascii="Arial" w:hAnsi="Arial" w:cs="Arial"/>
        </w:rPr>
        <w:t>, 63(2), pp. 5–23.</w:t>
      </w:r>
    </w:p>
    <w:p w:rsidR="008F66DB" w:rsidRPr="008F66DB" w:rsidRDefault="008F66DB" w:rsidP="008F66DB">
      <w:pPr>
        <w:pStyle w:val="NormalWeb"/>
        <w:spacing w:line="360" w:lineRule="auto"/>
        <w:jc w:val="both"/>
        <w:rPr>
          <w:rFonts w:ascii="Arial" w:hAnsi="Arial" w:cs="Arial"/>
        </w:rPr>
      </w:pPr>
      <w:proofErr w:type="spellStart"/>
      <w:r w:rsidRPr="008F66DB">
        <w:rPr>
          <w:rFonts w:ascii="Arial" w:hAnsi="Arial" w:cs="Arial"/>
        </w:rPr>
        <w:t>Teece</w:t>
      </w:r>
      <w:proofErr w:type="spellEnd"/>
      <w:r w:rsidRPr="008F66DB">
        <w:rPr>
          <w:rFonts w:ascii="Arial" w:hAnsi="Arial" w:cs="Arial"/>
        </w:rPr>
        <w:t xml:space="preserve">, D.J. (2021) ‘Dynamic capabilities and entrepreneurial management in large organizations: Toward a theory of the (entrepreneurial) firm’, </w:t>
      </w:r>
      <w:r w:rsidRPr="008F66DB">
        <w:rPr>
          <w:rStyle w:val="Emphasis"/>
          <w:rFonts w:ascii="Arial" w:hAnsi="Arial" w:cs="Arial"/>
        </w:rPr>
        <w:t>European Economic Review</w:t>
      </w:r>
      <w:r w:rsidRPr="008F66DB">
        <w:rPr>
          <w:rFonts w:ascii="Arial" w:hAnsi="Arial" w:cs="Arial"/>
        </w:rPr>
        <w:t>, 134, pp. 103–118.</w:t>
      </w:r>
    </w:p>
    <w:p w:rsidR="008F66DB" w:rsidRPr="008F66DB" w:rsidRDefault="008F66DB" w:rsidP="008F66DB">
      <w:pPr>
        <w:pStyle w:val="NormalWeb"/>
        <w:spacing w:before="0" w:beforeAutospacing="0" w:after="240" w:afterAutospacing="0" w:line="360" w:lineRule="auto"/>
        <w:jc w:val="both"/>
        <w:rPr>
          <w:rFonts w:ascii="Arial" w:hAnsi="Arial" w:cs="Arial"/>
        </w:rPr>
      </w:pPr>
      <w:r w:rsidRPr="008F66DB">
        <w:rPr>
          <w:rFonts w:ascii="Arial" w:hAnsi="Arial" w:cs="Arial"/>
        </w:rPr>
        <w:t xml:space="preserve">The Strategy Institute (2024). </w:t>
      </w:r>
      <w:r w:rsidRPr="008F66DB">
        <w:rPr>
          <w:rFonts w:ascii="Arial" w:hAnsi="Arial" w:cs="Arial"/>
          <w:i/>
          <w:iCs/>
        </w:rPr>
        <w:t xml:space="preserve">The </w:t>
      </w:r>
      <w:proofErr w:type="spellStart"/>
      <w:r w:rsidRPr="008F66DB">
        <w:rPr>
          <w:rFonts w:ascii="Arial" w:hAnsi="Arial" w:cs="Arial"/>
          <w:i/>
          <w:iCs/>
        </w:rPr>
        <w:t>Ansoff</w:t>
      </w:r>
      <w:proofErr w:type="spellEnd"/>
      <w:r w:rsidRPr="008F66DB">
        <w:rPr>
          <w:rFonts w:ascii="Arial" w:hAnsi="Arial" w:cs="Arial"/>
          <w:i/>
          <w:iCs/>
        </w:rPr>
        <w:t xml:space="preserve"> Matrix: a Powerful Tool for Business Strategy and Growth</w:t>
      </w:r>
      <w:r w:rsidRPr="008F66DB">
        <w:rPr>
          <w:rFonts w:ascii="Arial" w:hAnsi="Arial" w:cs="Arial"/>
        </w:rPr>
        <w:t>. [</w:t>
      </w:r>
      <w:proofErr w:type="gramStart"/>
      <w:r w:rsidRPr="008F66DB">
        <w:rPr>
          <w:rFonts w:ascii="Arial" w:hAnsi="Arial" w:cs="Arial"/>
        </w:rPr>
        <w:t>online</w:t>
      </w:r>
      <w:proofErr w:type="gramEnd"/>
      <w:r w:rsidRPr="008F66DB">
        <w:rPr>
          <w:rFonts w:ascii="Arial" w:hAnsi="Arial" w:cs="Arial"/>
        </w:rPr>
        <w:t xml:space="preserve">] </w:t>
      </w:r>
      <w:proofErr w:type="gramStart"/>
      <w:r w:rsidRPr="008F66DB">
        <w:rPr>
          <w:rFonts w:ascii="Arial" w:hAnsi="Arial" w:cs="Arial"/>
        </w:rPr>
        <w:t>The Strategy Institute.</w:t>
      </w:r>
      <w:proofErr w:type="gramEnd"/>
      <w:r w:rsidRPr="008F66DB">
        <w:rPr>
          <w:rFonts w:ascii="Arial" w:hAnsi="Arial" w:cs="Arial"/>
        </w:rPr>
        <w:t xml:space="preserve"> Available at: https://www.thestrategyinstitute.org/insights/the-ansoff-matrix-a-powerful-tool-for-business-strategy-and-growth [Accessed: 18 March 2026].</w:t>
      </w:r>
    </w:p>
    <w:p w:rsidR="008F66DB" w:rsidRPr="008F66DB" w:rsidRDefault="008F66DB" w:rsidP="008F66DB">
      <w:pPr>
        <w:pStyle w:val="NormalWeb"/>
        <w:spacing w:line="360" w:lineRule="auto"/>
        <w:jc w:val="both"/>
        <w:rPr>
          <w:rFonts w:ascii="Arial" w:hAnsi="Arial" w:cs="Arial"/>
        </w:rPr>
      </w:pPr>
      <w:proofErr w:type="spellStart"/>
      <w:proofErr w:type="gramStart"/>
      <w:r w:rsidRPr="008F66DB">
        <w:rPr>
          <w:rFonts w:ascii="Arial" w:hAnsi="Arial" w:cs="Arial"/>
        </w:rPr>
        <w:t>Vynakov</w:t>
      </w:r>
      <w:proofErr w:type="spellEnd"/>
      <w:r w:rsidRPr="008F66DB">
        <w:rPr>
          <w:rFonts w:ascii="Arial" w:hAnsi="Arial" w:cs="Arial"/>
        </w:rPr>
        <w:t xml:space="preserve">, O., </w:t>
      </w:r>
      <w:proofErr w:type="spellStart"/>
      <w:r w:rsidRPr="008F66DB">
        <w:rPr>
          <w:rFonts w:ascii="Arial" w:hAnsi="Arial" w:cs="Arial"/>
        </w:rPr>
        <w:t>Savchenko</w:t>
      </w:r>
      <w:proofErr w:type="spellEnd"/>
      <w:r w:rsidRPr="008F66DB">
        <w:rPr>
          <w:rFonts w:ascii="Arial" w:hAnsi="Arial" w:cs="Arial"/>
        </w:rPr>
        <w:t xml:space="preserve">, V., </w:t>
      </w:r>
      <w:proofErr w:type="spellStart"/>
      <w:r w:rsidRPr="008F66DB">
        <w:rPr>
          <w:rFonts w:ascii="Arial" w:hAnsi="Arial" w:cs="Arial"/>
        </w:rPr>
        <w:t>Chulkov</w:t>
      </w:r>
      <w:proofErr w:type="spellEnd"/>
      <w:r w:rsidRPr="008F66DB">
        <w:rPr>
          <w:rFonts w:ascii="Arial" w:hAnsi="Arial" w:cs="Arial"/>
        </w:rPr>
        <w:t xml:space="preserve">, A. and </w:t>
      </w:r>
      <w:proofErr w:type="spellStart"/>
      <w:r w:rsidRPr="008F66DB">
        <w:rPr>
          <w:rFonts w:ascii="Arial" w:hAnsi="Arial" w:cs="Arial"/>
        </w:rPr>
        <w:t>Shmorgun</w:t>
      </w:r>
      <w:proofErr w:type="spellEnd"/>
      <w:r w:rsidRPr="008F66DB">
        <w:rPr>
          <w:rFonts w:ascii="Arial" w:hAnsi="Arial" w:cs="Arial"/>
        </w:rPr>
        <w:t xml:space="preserve">, L. (2021) ‘Electric vehicle battery technologies and development trends’, </w:t>
      </w:r>
      <w:r w:rsidRPr="008F66DB">
        <w:rPr>
          <w:rStyle w:val="Emphasis"/>
          <w:rFonts w:ascii="Arial" w:hAnsi="Arial" w:cs="Arial"/>
        </w:rPr>
        <w:t>Renewable and Sustainable Energy Reviews</w:t>
      </w:r>
      <w:r w:rsidRPr="008F66DB">
        <w:rPr>
          <w:rFonts w:ascii="Arial" w:hAnsi="Arial" w:cs="Arial"/>
        </w:rPr>
        <w:t>, 144, pp. 110–118.</w:t>
      </w:r>
      <w:proofErr w:type="gramEnd"/>
    </w:p>
    <w:p w:rsidR="008F66DB" w:rsidRPr="008F66DB" w:rsidRDefault="008F66DB" w:rsidP="008F66DB">
      <w:pPr>
        <w:pStyle w:val="NormalWeb"/>
        <w:spacing w:line="360" w:lineRule="auto"/>
        <w:jc w:val="both"/>
        <w:rPr>
          <w:rFonts w:ascii="Arial" w:hAnsi="Arial" w:cs="Arial"/>
        </w:rPr>
      </w:pPr>
      <w:r w:rsidRPr="008F66DB">
        <w:rPr>
          <w:rFonts w:ascii="Arial" w:hAnsi="Arial" w:cs="Arial"/>
        </w:rPr>
        <w:t xml:space="preserve">Wells, P. and </w:t>
      </w:r>
      <w:proofErr w:type="spellStart"/>
      <w:r w:rsidRPr="008F66DB">
        <w:rPr>
          <w:rFonts w:ascii="Arial" w:hAnsi="Arial" w:cs="Arial"/>
        </w:rPr>
        <w:t>Nieuwenhuis</w:t>
      </w:r>
      <w:proofErr w:type="spellEnd"/>
      <w:r w:rsidRPr="008F66DB">
        <w:rPr>
          <w:rFonts w:ascii="Arial" w:hAnsi="Arial" w:cs="Arial"/>
        </w:rPr>
        <w:t xml:space="preserve">, P. (2021) ‘Transition failure: Understanding continuity in the automotive industry’, </w:t>
      </w:r>
      <w:r w:rsidRPr="008F66DB">
        <w:rPr>
          <w:rStyle w:val="Emphasis"/>
          <w:rFonts w:ascii="Arial" w:hAnsi="Arial" w:cs="Arial"/>
        </w:rPr>
        <w:t>Technological Forecasting and Social Change</w:t>
      </w:r>
      <w:r w:rsidRPr="008F66DB">
        <w:rPr>
          <w:rFonts w:ascii="Arial" w:hAnsi="Arial" w:cs="Arial"/>
        </w:rPr>
        <w:t>, 168, pp. 120–140.</w:t>
      </w:r>
    </w:p>
    <w:p w:rsidR="00FD4B77" w:rsidRDefault="00FD4B77" w:rsidP="00FD4B77">
      <w:pPr>
        <w:spacing w:line="360" w:lineRule="auto"/>
        <w:jc w:val="both"/>
        <w:rPr>
          <w:rFonts w:ascii="Arial" w:hAnsi="Arial" w:cs="Arial"/>
          <w:sz w:val="24"/>
          <w:szCs w:val="24"/>
        </w:rPr>
      </w:pPr>
    </w:p>
    <w:p w:rsidR="00FD4B77" w:rsidRDefault="00FD4B77" w:rsidP="00FD4B77">
      <w:pPr>
        <w:spacing w:line="360" w:lineRule="auto"/>
        <w:jc w:val="both"/>
        <w:rPr>
          <w:rFonts w:ascii="Arial" w:hAnsi="Arial" w:cs="Arial"/>
          <w:sz w:val="24"/>
          <w:szCs w:val="24"/>
        </w:rPr>
      </w:pPr>
    </w:p>
    <w:p w:rsidR="00FD4B77" w:rsidRDefault="00FD4B77" w:rsidP="00FD4B77">
      <w:pPr>
        <w:spacing w:line="360" w:lineRule="auto"/>
        <w:jc w:val="both"/>
        <w:rPr>
          <w:rFonts w:ascii="Arial" w:hAnsi="Arial" w:cs="Arial"/>
          <w:sz w:val="24"/>
          <w:szCs w:val="24"/>
        </w:rPr>
      </w:pPr>
    </w:p>
    <w:p w:rsidR="00FD4B77" w:rsidRDefault="00FD4B77" w:rsidP="00FD4B77">
      <w:pPr>
        <w:spacing w:line="360" w:lineRule="auto"/>
        <w:jc w:val="both"/>
        <w:rPr>
          <w:rFonts w:ascii="Arial" w:hAnsi="Arial" w:cs="Arial"/>
          <w:sz w:val="24"/>
          <w:szCs w:val="24"/>
        </w:rPr>
      </w:pPr>
    </w:p>
    <w:p w:rsidR="00FD4B77" w:rsidRPr="00C921BD" w:rsidRDefault="00FD4B77" w:rsidP="00FD4B77">
      <w:pPr>
        <w:spacing w:line="360" w:lineRule="auto"/>
        <w:jc w:val="both"/>
        <w:rPr>
          <w:rFonts w:ascii="Arial" w:hAnsi="Arial" w:cs="Arial"/>
          <w:sz w:val="24"/>
          <w:szCs w:val="24"/>
        </w:rPr>
      </w:pPr>
    </w:p>
    <w:p w:rsidR="00FD4B77" w:rsidRPr="00C921BD" w:rsidRDefault="00FD4B77" w:rsidP="00FD4B77">
      <w:pPr>
        <w:spacing w:line="360" w:lineRule="auto"/>
        <w:jc w:val="both"/>
        <w:rPr>
          <w:rFonts w:ascii="Arial" w:hAnsi="Arial" w:cs="Arial"/>
          <w:sz w:val="24"/>
          <w:szCs w:val="24"/>
        </w:rPr>
      </w:pPr>
    </w:p>
    <w:sectPr w:rsidR="00FD4B77" w:rsidRPr="00C921BD" w:rsidSect="00FD4B77">
      <w:footerReference w:type="default" r:id="rId21"/>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60105" w:rsidRDefault="00960105" w:rsidP="00BF000A">
      <w:pPr>
        <w:spacing w:after="0" w:line="240" w:lineRule="auto"/>
      </w:pPr>
      <w:r>
        <w:separator/>
      </w:r>
    </w:p>
  </w:endnote>
  <w:endnote w:type="continuationSeparator" w:id="0">
    <w:p w:rsidR="00960105" w:rsidRDefault="00960105" w:rsidP="00BF00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4FB2" w:rsidRDefault="00B74FB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4FB2" w:rsidRDefault="00B74FB2">
    <w:pPr>
      <w:pStyle w:val="Footer"/>
      <w:jc w:val="center"/>
    </w:pPr>
  </w:p>
  <w:p w:rsidR="00B74FB2" w:rsidRDefault="00B74FB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4FB2" w:rsidRDefault="00B74FB2">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4FB2" w:rsidRDefault="00B74FB2">
    <w:pPr>
      <w:pStyle w:val="Footer"/>
      <w:jc w:val="center"/>
    </w:pPr>
  </w:p>
  <w:p w:rsidR="00B74FB2" w:rsidRDefault="00B74FB2">
    <w:pPr>
      <w:pStyle w:val="Foote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4025921"/>
      <w:docPartObj>
        <w:docPartGallery w:val="Page Numbers (Bottom of Page)"/>
        <w:docPartUnique/>
      </w:docPartObj>
    </w:sdtPr>
    <w:sdtEndPr>
      <w:rPr>
        <w:noProof/>
      </w:rPr>
    </w:sdtEndPr>
    <w:sdtContent>
      <w:p w:rsidR="00B74FB2" w:rsidRDefault="00B74FB2">
        <w:pPr>
          <w:pStyle w:val="Footer"/>
          <w:jc w:val="center"/>
        </w:pPr>
        <w:r>
          <w:fldChar w:fldCharType="begin"/>
        </w:r>
        <w:r>
          <w:instrText xml:space="preserve"> PAGE   \* MERGEFORMAT </w:instrText>
        </w:r>
        <w:r>
          <w:fldChar w:fldCharType="separate"/>
        </w:r>
        <w:r w:rsidR="004A6760">
          <w:rPr>
            <w:noProof/>
          </w:rPr>
          <w:t>1</w:t>
        </w:r>
        <w:r>
          <w:rPr>
            <w:noProof/>
          </w:rPr>
          <w:fldChar w:fldCharType="end"/>
        </w:r>
      </w:p>
    </w:sdtContent>
  </w:sdt>
  <w:p w:rsidR="00FD4B77" w:rsidRDefault="00FD4B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60105" w:rsidRDefault="00960105" w:rsidP="00BF000A">
      <w:pPr>
        <w:spacing w:after="0" w:line="240" w:lineRule="auto"/>
      </w:pPr>
      <w:r>
        <w:separator/>
      </w:r>
    </w:p>
  </w:footnote>
  <w:footnote w:type="continuationSeparator" w:id="0">
    <w:p w:rsidR="00960105" w:rsidRDefault="00960105" w:rsidP="00BF000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4FB2" w:rsidRDefault="00B74FB2">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4FB2" w:rsidRDefault="00B74FB2">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74FB2" w:rsidRDefault="00B74FB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921BD"/>
    <w:rsid w:val="000E2CCD"/>
    <w:rsid w:val="001C7F2D"/>
    <w:rsid w:val="004A6760"/>
    <w:rsid w:val="004B1692"/>
    <w:rsid w:val="00823FCC"/>
    <w:rsid w:val="008F66DB"/>
    <w:rsid w:val="009475F4"/>
    <w:rsid w:val="00960105"/>
    <w:rsid w:val="00AA5F56"/>
    <w:rsid w:val="00B74FB2"/>
    <w:rsid w:val="00BF000A"/>
    <w:rsid w:val="00C60E48"/>
    <w:rsid w:val="00C921BD"/>
    <w:rsid w:val="00DD4A10"/>
    <w:rsid w:val="00EC5298"/>
    <w:rsid w:val="00FD4B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921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921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921B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1B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921B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921B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C921BD"/>
    <w:rPr>
      <w:b/>
      <w:bCs/>
    </w:rPr>
  </w:style>
  <w:style w:type="paragraph" w:styleId="NormalWeb">
    <w:name w:val="Normal (Web)"/>
    <w:basedOn w:val="Normal"/>
    <w:uiPriority w:val="99"/>
    <w:semiHidden/>
    <w:unhideWhenUsed/>
    <w:rsid w:val="00C921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F00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000A"/>
  </w:style>
  <w:style w:type="paragraph" w:styleId="Footer">
    <w:name w:val="footer"/>
    <w:basedOn w:val="Normal"/>
    <w:link w:val="FooterChar"/>
    <w:uiPriority w:val="99"/>
    <w:unhideWhenUsed/>
    <w:rsid w:val="00BF00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000A"/>
  </w:style>
  <w:style w:type="paragraph" w:styleId="TOCHeading">
    <w:name w:val="TOC Heading"/>
    <w:basedOn w:val="Heading1"/>
    <w:next w:val="Normal"/>
    <w:uiPriority w:val="39"/>
    <w:semiHidden/>
    <w:unhideWhenUsed/>
    <w:qFormat/>
    <w:rsid w:val="00FD4B7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FD4B77"/>
    <w:pPr>
      <w:spacing w:after="100"/>
    </w:pPr>
  </w:style>
  <w:style w:type="paragraph" w:styleId="TOC2">
    <w:name w:val="toc 2"/>
    <w:basedOn w:val="Normal"/>
    <w:next w:val="Normal"/>
    <w:autoRedefine/>
    <w:uiPriority w:val="39"/>
    <w:unhideWhenUsed/>
    <w:rsid w:val="00FD4B77"/>
    <w:pPr>
      <w:spacing w:after="100"/>
      <w:ind w:left="220"/>
    </w:pPr>
  </w:style>
  <w:style w:type="paragraph" w:styleId="TOC3">
    <w:name w:val="toc 3"/>
    <w:basedOn w:val="Normal"/>
    <w:next w:val="Normal"/>
    <w:autoRedefine/>
    <w:uiPriority w:val="39"/>
    <w:unhideWhenUsed/>
    <w:rsid w:val="00FD4B77"/>
    <w:pPr>
      <w:spacing w:after="100"/>
      <w:ind w:left="440"/>
    </w:pPr>
  </w:style>
  <w:style w:type="character" w:styleId="Hyperlink">
    <w:name w:val="Hyperlink"/>
    <w:basedOn w:val="DefaultParagraphFont"/>
    <w:uiPriority w:val="99"/>
    <w:unhideWhenUsed/>
    <w:rsid w:val="00FD4B77"/>
    <w:rPr>
      <w:color w:val="0000FF" w:themeColor="hyperlink"/>
      <w:u w:val="single"/>
    </w:rPr>
  </w:style>
  <w:style w:type="paragraph" w:styleId="BalloonText">
    <w:name w:val="Balloon Text"/>
    <w:basedOn w:val="Normal"/>
    <w:link w:val="BalloonTextChar"/>
    <w:uiPriority w:val="99"/>
    <w:semiHidden/>
    <w:unhideWhenUsed/>
    <w:rsid w:val="00FD4B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4B77"/>
    <w:rPr>
      <w:rFonts w:ascii="Tahoma" w:hAnsi="Tahoma" w:cs="Tahoma"/>
      <w:sz w:val="16"/>
      <w:szCs w:val="16"/>
    </w:rPr>
  </w:style>
  <w:style w:type="character" w:styleId="Emphasis">
    <w:name w:val="Emphasis"/>
    <w:basedOn w:val="DefaultParagraphFont"/>
    <w:uiPriority w:val="20"/>
    <w:qFormat/>
    <w:rsid w:val="00FD4B77"/>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921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921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921B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1B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921B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921BD"/>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C921BD"/>
    <w:rPr>
      <w:b/>
      <w:bCs/>
    </w:rPr>
  </w:style>
  <w:style w:type="paragraph" w:styleId="NormalWeb">
    <w:name w:val="Normal (Web)"/>
    <w:basedOn w:val="Normal"/>
    <w:uiPriority w:val="99"/>
    <w:semiHidden/>
    <w:unhideWhenUsed/>
    <w:rsid w:val="00C921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F00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000A"/>
  </w:style>
  <w:style w:type="paragraph" w:styleId="Footer">
    <w:name w:val="footer"/>
    <w:basedOn w:val="Normal"/>
    <w:link w:val="FooterChar"/>
    <w:uiPriority w:val="99"/>
    <w:unhideWhenUsed/>
    <w:rsid w:val="00BF00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000A"/>
  </w:style>
  <w:style w:type="paragraph" w:styleId="TOCHeading">
    <w:name w:val="TOC Heading"/>
    <w:basedOn w:val="Heading1"/>
    <w:next w:val="Normal"/>
    <w:uiPriority w:val="39"/>
    <w:semiHidden/>
    <w:unhideWhenUsed/>
    <w:qFormat/>
    <w:rsid w:val="00FD4B7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FD4B77"/>
    <w:pPr>
      <w:spacing w:after="100"/>
    </w:pPr>
  </w:style>
  <w:style w:type="paragraph" w:styleId="TOC2">
    <w:name w:val="toc 2"/>
    <w:basedOn w:val="Normal"/>
    <w:next w:val="Normal"/>
    <w:autoRedefine/>
    <w:uiPriority w:val="39"/>
    <w:unhideWhenUsed/>
    <w:rsid w:val="00FD4B77"/>
    <w:pPr>
      <w:spacing w:after="100"/>
      <w:ind w:left="220"/>
    </w:pPr>
  </w:style>
  <w:style w:type="paragraph" w:styleId="TOC3">
    <w:name w:val="toc 3"/>
    <w:basedOn w:val="Normal"/>
    <w:next w:val="Normal"/>
    <w:autoRedefine/>
    <w:uiPriority w:val="39"/>
    <w:unhideWhenUsed/>
    <w:rsid w:val="00FD4B77"/>
    <w:pPr>
      <w:spacing w:after="100"/>
      <w:ind w:left="440"/>
    </w:pPr>
  </w:style>
  <w:style w:type="character" w:styleId="Hyperlink">
    <w:name w:val="Hyperlink"/>
    <w:basedOn w:val="DefaultParagraphFont"/>
    <w:uiPriority w:val="99"/>
    <w:unhideWhenUsed/>
    <w:rsid w:val="00FD4B77"/>
    <w:rPr>
      <w:color w:val="0000FF" w:themeColor="hyperlink"/>
      <w:u w:val="single"/>
    </w:rPr>
  </w:style>
  <w:style w:type="paragraph" w:styleId="BalloonText">
    <w:name w:val="Balloon Text"/>
    <w:basedOn w:val="Normal"/>
    <w:link w:val="BalloonTextChar"/>
    <w:uiPriority w:val="99"/>
    <w:semiHidden/>
    <w:unhideWhenUsed/>
    <w:rsid w:val="00FD4B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4B77"/>
    <w:rPr>
      <w:rFonts w:ascii="Tahoma" w:hAnsi="Tahoma" w:cs="Tahoma"/>
      <w:sz w:val="16"/>
      <w:szCs w:val="16"/>
    </w:rPr>
  </w:style>
  <w:style w:type="character" w:styleId="Emphasis">
    <w:name w:val="Emphasis"/>
    <w:basedOn w:val="DefaultParagraphFont"/>
    <w:uiPriority w:val="20"/>
    <w:qFormat/>
    <w:rsid w:val="00FD4B7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4578032">
      <w:bodyDiv w:val="1"/>
      <w:marLeft w:val="0"/>
      <w:marRight w:val="0"/>
      <w:marTop w:val="0"/>
      <w:marBottom w:val="0"/>
      <w:divBdr>
        <w:top w:val="none" w:sz="0" w:space="0" w:color="auto"/>
        <w:left w:val="none" w:sz="0" w:space="0" w:color="auto"/>
        <w:bottom w:val="none" w:sz="0" w:space="0" w:color="auto"/>
        <w:right w:val="none" w:sz="0" w:space="0" w:color="auto"/>
      </w:divBdr>
    </w:div>
    <w:div w:id="363989919">
      <w:bodyDiv w:val="1"/>
      <w:marLeft w:val="0"/>
      <w:marRight w:val="0"/>
      <w:marTop w:val="0"/>
      <w:marBottom w:val="0"/>
      <w:divBdr>
        <w:top w:val="none" w:sz="0" w:space="0" w:color="auto"/>
        <w:left w:val="none" w:sz="0" w:space="0" w:color="auto"/>
        <w:bottom w:val="none" w:sz="0" w:space="0" w:color="auto"/>
        <w:right w:val="none" w:sz="0" w:space="0" w:color="auto"/>
      </w:divBdr>
    </w:div>
    <w:div w:id="1423725685">
      <w:bodyDiv w:val="1"/>
      <w:marLeft w:val="0"/>
      <w:marRight w:val="0"/>
      <w:marTop w:val="0"/>
      <w:marBottom w:val="0"/>
      <w:divBdr>
        <w:top w:val="none" w:sz="0" w:space="0" w:color="auto"/>
        <w:left w:val="none" w:sz="0" w:space="0" w:color="auto"/>
        <w:bottom w:val="none" w:sz="0" w:space="0" w:color="auto"/>
        <w:right w:val="none" w:sz="0" w:space="0" w:color="auto"/>
      </w:divBdr>
    </w:div>
    <w:div w:id="1604069224">
      <w:bodyDiv w:val="1"/>
      <w:marLeft w:val="0"/>
      <w:marRight w:val="0"/>
      <w:marTop w:val="0"/>
      <w:marBottom w:val="0"/>
      <w:divBdr>
        <w:top w:val="none" w:sz="0" w:space="0" w:color="auto"/>
        <w:left w:val="none" w:sz="0" w:space="0" w:color="auto"/>
        <w:bottom w:val="none" w:sz="0" w:space="0" w:color="auto"/>
        <w:right w:val="none" w:sz="0" w:space="0" w:color="auto"/>
      </w:divBdr>
      <w:divsChild>
        <w:div w:id="2054694644">
          <w:marLeft w:val="0"/>
          <w:marRight w:val="0"/>
          <w:marTop w:val="0"/>
          <w:marBottom w:val="0"/>
          <w:divBdr>
            <w:top w:val="none" w:sz="0" w:space="0" w:color="auto"/>
            <w:left w:val="none" w:sz="0" w:space="0" w:color="auto"/>
            <w:bottom w:val="none" w:sz="0" w:space="0" w:color="auto"/>
            <w:right w:val="none" w:sz="0" w:space="0" w:color="auto"/>
          </w:divBdr>
        </w:div>
      </w:divsChild>
    </w:div>
    <w:div w:id="1677074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hyperlink" Target="https://www2.deloitte.com" TargetMode="External"/><Relationship Id="rId3" Type="http://schemas.microsoft.com/office/2007/relationships/stylesWithEffects" Target="stylesWithEffects.xml"/><Relationship Id="rId21" Type="http://schemas.openxmlformats.org/officeDocument/2006/relationships/footer" Target="footer5.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yperlink" Target="https://www.mckinse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hyperlink" Target="https://www.iea.org"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958109-0B6B-4904-AFE4-511D5B8265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3415</Words>
  <Characters>19471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2026-03-25T21:15:00Z</dcterms:created>
  <dcterms:modified xsi:type="dcterms:W3CDTF">2026-03-26T19:18:00Z</dcterms:modified>
</cp:coreProperties>
</file>