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4FC2D" w14:textId="77777777" w:rsidR="00C432E5" w:rsidRDefault="00C432E5" w:rsidP="00C432E5"/>
    <w:p w14:paraId="178B28FC" w14:textId="77777777" w:rsidR="00C432E5" w:rsidRDefault="00C432E5" w:rsidP="00C432E5">
      <w:r w:rsidRPr="0067731C">
        <w:rPr>
          <w:noProof/>
        </w:rPr>
        <w:drawing>
          <wp:anchor distT="0" distB="0" distL="114300" distR="114300" simplePos="0" relativeHeight="251659264" behindDoc="0" locked="0" layoutInCell="1" allowOverlap="1" wp14:anchorId="1D389FAF" wp14:editId="2052B3F3">
            <wp:simplePos x="0" y="0"/>
            <wp:positionH relativeFrom="column">
              <wp:posOffset>626745</wp:posOffset>
            </wp:positionH>
            <wp:positionV relativeFrom="paragraph">
              <wp:posOffset>172085</wp:posOffset>
            </wp:positionV>
            <wp:extent cx="4635500" cy="1536700"/>
            <wp:effectExtent l="0" t="0" r="0" b="0"/>
            <wp:wrapSquare wrapText="bothSides"/>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50B00ED5" w14:textId="77777777" w:rsidR="00C432E5" w:rsidRDefault="00C432E5" w:rsidP="00C432E5"/>
    <w:p w14:paraId="0D35DF91" w14:textId="77777777" w:rsidR="00C432E5" w:rsidRDefault="00C432E5" w:rsidP="00C432E5"/>
    <w:p w14:paraId="66CE7D83" w14:textId="77777777" w:rsidR="00C432E5" w:rsidRDefault="00C432E5" w:rsidP="00C432E5"/>
    <w:p w14:paraId="1AB20181" w14:textId="77777777" w:rsidR="00C432E5" w:rsidRPr="00F3544B" w:rsidRDefault="00C432E5" w:rsidP="00C432E5"/>
    <w:p w14:paraId="39F06F74" w14:textId="77777777" w:rsidR="00C432E5" w:rsidRPr="00F3544B" w:rsidRDefault="00C432E5" w:rsidP="00C432E5"/>
    <w:p w14:paraId="0EB5B311" w14:textId="77777777" w:rsidR="004157E5" w:rsidRPr="004157E5" w:rsidRDefault="004157E5" w:rsidP="004157E5">
      <w:pPr>
        <w:jc w:val="both"/>
        <w:rPr>
          <w:rFonts w:cstheme="minorHAnsi"/>
          <w:color w:val="000000" w:themeColor="text1"/>
          <w:sz w:val="32"/>
          <w:szCs w:val="32"/>
        </w:rPr>
      </w:pPr>
    </w:p>
    <w:p w14:paraId="435D26BA" w14:textId="77777777" w:rsidR="002276E7" w:rsidRDefault="002276E7" w:rsidP="00C432E5">
      <w:pPr>
        <w:jc w:val="center"/>
        <w:rPr>
          <w:rFonts w:ascii="Arial" w:eastAsiaTheme="minorHAnsi" w:hAnsi="Arial" w:cs="Arial"/>
          <w:b/>
          <w:bCs/>
          <w:sz w:val="32"/>
          <w:szCs w:val="32"/>
          <w:lang w:eastAsia="en-US"/>
        </w:rPr>
      </w:pPr>
    </w:p>
    <w:p w14:paraId="09A5033F" w14:textId="78E34F11" w:rsidR="00C432E5" w:rsidRPr="00C432E5" w:rsidRDefault="00C432E5" w:rsidP="00C432E5">
      <w:pPr>
        <w:jc w:val="center"/>
        <w:rPr>
          <w:rFonts w:ascii="Arial" w:eastAsiaTheme="minorHAnsi" w:hAnsi="Arial" w:cs="Arial"/>
          <w:b/>
          <w:bCs/>
          <w:sz w:val="32"/>
          <w:szCs w:val="32"/>
          <w:lang w:eastAsia="en-US"/>
        </w:rPr>
      </w:pPr>
      <w:r w:rsidRPr="00C432E5">
        <w:rPr>
          <w:rFonts w:ascii="Arial" w:eastAsiaTheme="minorHAnsi" w:hAnsi="Arial" w:cs="Arial"/>
          <w:b/>
          <w:bCs/>
          <w:sz w:val="32"/>
          <w:szCs w:val="32"/>
          <w:lang w:eastAsia="en-US"/>
        </w:rPr>
        <w:t>How do children perceive and engage with a real-life context in mathematics lessons?</w:t>
      </w:r>
    </w:p>
    <w:p w14:paraId="2E9C9C73" w14:textId="77777777" w:rsidR="00C432E5" w:rsidRDefault="00C432E5" w:rsidP="00C432E5">
      <w:pPr>
        <w:spacing w:line="360" w:lineRule="auto"/>
        <w:rPr>
          <w:rFonts w:cstheme="minorHAnsi"/>
          <w:b/>
          <w:bCs/>
          <w:color w:val="000000" w:themeColor="text1"/>
          <w:sz w:val="36"/>
          <w:szCs w:val="36"/>
          <w:u w:val="single"/>
        </w:rPr>
      </w:pPr>
    </w:p>
    <w:p w14:paraId="492AB3AE" w14:textId="611994DE"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Name:</w:t>
      </w:r>
      <w:r w:rsidRPr="00392B89">
        <w:rPr>
          <w:rFonts w:cstheme="minorHAnsi"/>
          <w:color w:val="000000" w:themeColor="text1"/>
          <w:sz w:val="32"/>
          <w:szCs w:val="32"/>
        </w:rPr>
        <w:t xml:space="preserve"> </w:t>
      </w:r>
      <w:r>
        <w:rPr>
          <w:rFonts w:cstheme="minorHAnsi"/>
          <w:color w:val="000000" w:themeColor="text1"/>
          <w:sz w:val="32"/>
          <w:szCs w:val="32"/>
        </w:rPr>
        <w:t>Mirela Hayles</w:t>
      </w:r>
    </w:p>
    <w:p w14:paraId="063BF421" w14:textId="2596113D"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Student ID:</w:t>
      </w:r>
      <w:r w:rsidRPr="00392B89">
        <w:rPr>
          <w:rFonts w:cstheme="minorHAnsi"/>
          <w:color w:val="000000" w:themeColor="text1"/>
          <w:sz w:val="32"/>
          <w:szCs w:val="32"/>
        </w:rPr>
        <w:t xml:space="preserve"> </w:t>
      </w:r>
      <w:r>
        <w:rPr>
          <w:rFonts w:cstheme="minorHAnsi"/>
          <w:color w:val="000000" w:themeColor="text1"/>
          <w:sz w:val="32"/>
          <w:szCs w:val="32"/>
        </w:rPr>
        <w:t>2011395</w:t>
      </w:r>
    </w:p>
    <w:p w14:paraId="45114844" w14:textId="1FF39BB8" w:rsidR="00C432E5"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Module:</w:t>
      </w:r>
      <w:r w:rsidRPr="00392B89">
        <w:rPr>
          <w:rFonts w:cstheme="minorHAnsi"/>
          <w:color w:val="000000" w:themeColor="text1"/>
          <w:sz w:val="32"/>
          <w:szCs w:val="32"/>
        </w:rPr>
        <w:t xml:space="preserve"> Professional and Pedagogic Studies: Researching the Learning: what, how and why am I teaching?</w:t>
      </w:r>
      <w:r>
        <w:rPr>
          <w:rFonts w:cstheme="minorHAnsi"/>
          <w:color w:val="000000" w:themeColor="text1"/>
          <w:sz w:val="32"/>
          <w:szCs w:val="32"/>
        </w:rPr>
        <w:t xml:space="preserve"> </w:t>
      </w:r>
    </w:p>
    <w:p w14:paraId="66F632F5" w14:textId="77777777" w:rsidR="002276E7" w:rsidRPr="004157E5" w:rsidRDefault="002276E7" w:rsidP="002276E7">
      <w:pPr>
        <w:jc w:val="center"/>
        <w:rPr>
          <w:rFonts w:cstheme="minorHAnsi"/>
          <w:b/>
          <w:bCs/>
          <w:color w:val="000000" w:themeColor="text1"/>
          <w:sz w:val="32"/>
          <w:szCs w:val="32"/>
        </w:rPr>
      </w:pPr>
      <w:r w:rsidRPr="004157E5">
        <w:rPr>
          <w:rFonts w:cstheme="minorHAnsi"/>
          <w:b/>
          <w:bCs/>
          <w:color w:val="000000" w:themeColor="text1"/>
          <w:sz w:val="32"/>
          <w:szCs w:val="32"/>
        </w:rPr>
        <w:t>ECAD7004/6010 Assignment 2023/24</w:t>
      </w:r>
    </w:p>
    <w:p w14:paraId="42FFB602" w14:textId="77777777" w:rsidR="002276E7" w:rsidRPr="00392B89" w:rsidRDefault="002276E7" w:rsidP="00C432E5">
      <w:pPr>
        <w:spacing w:line="360" w:lineRule="auto"/>
        <w:jc w:val="center"/>
        <w:rPr>
          <w:rFonts w:cstheme="minorHAnsi"/>
          <w:color w:val="000000" w:themeColor="text1"/>
          <w:sz w:val="32"/>
          <w:szCs w:val="32"/>
        </w:rPr>
      </w:pPr>
    </w:p>
    <w:p w14:paraId="430E2DF9" w14:textId="37D00515" w:rsidR="00C432E5" w:rsidRPr="00392B89" w:rsidRDefault="00C432E5" w:rsidP="00C432E5">
      <w:pPr>
        <w:spacing w:line="360" w:lineRule="auto"/>
        <w:jc w:val="center"/>
        <w:rPr>
          <w:rFonts w:cstheme="minorHAnsi"/>
          <w:color w:val="000000" w:themeColor="text1"/>
          <w:sz w:val="32"/>
          <w:szCs w:val="32"/>
        </w:rPr>
      </w:pPr>
      <w:r w:rsidRPr="00392B89">
        <w:rPr>
          <w:rFonts w:cstheme="minorHAnsi"/>
          <w:b/>
          <w:bCs/>
          <w:color w:val="000000" w:themeColor="text1"/>
          <w:sz w:val="32"/>
          <w:szCs w:val="32"/>
          <w:u w:val="single"/>
        </w:rPr>
        <w:t>Due Date:</w:t>
      </w:r>
      <w:r w:rsidRPr="00392B89">
        <w:rPr>
          <w:rFonts w:cstheme="minorHAnsi"/>
          <w:b/>
          <w:bCs/>
          <w:color w:val="000000" w:themeColor="text1"/>
          <w:sz w:val="32"/>
          <w:szCs w:val="32"/>
        </w:rPr>
        <w:t xml:space="preserve"> </w:t>
      </w:r>
      <w:r>
        <w:rPr>
          <w:rFonts w:cstheme="minorHAnsi"/>
          <w:color w:val="000000" w:themeColor="text1"/>
          <w:sz w:val="32"/>
          <w:szCs w:val="32"/>
        </w:rPr>
        <w:t>7</w:t>
      </w:r>
      <w:r w:rsidRPr="00C432E5">
        <w:rPr>
          <w:rFonts w:cstheme="minorHAnsi"/>
          <w:color w:val="000000" w:themeColor="text1"/>
          <w:sz w:val="32"/>
          <w:szCs w:val="32"/>
          <w:vertAlign w:val="superscript"/>
        </w:rPr>
        <w:t>th</w:t>
      </w:r>
      <w:r>
        <w:rPr>
          <w:rFonts w:cstheme="minorHAnsi"/>
          <w:color w:val="000000" w:themeColor="text1"/>
          <w:sz w:val="32"/>
          <w:szCs w:val="32"/>
        </w:rPr>
        <w:t xml:space="preserve"> of May 2024</w:t>
      </w:r>
    </w:p>
    <w:p w14:paraId="1206780F" w14:textId="1CA2D945" w:rsidR="00C432E5" w:rsidRPr="00213700" w:rsidRDefault="00C432E5" w:rsidP="00C432E5">
      <w:pPr>
        <w:jc w:val="center"/>
        <w:rPr>
          <w:rFonts w:cstheme="minorHAnsi"/>
          <w:b/>
          <w:bCs/>
          <w:color w:val="000000" w:themeColor="text1"/>
          <w:sz w:val="32"/>
          <w:szCs w:val="32"/>
          <w:u w:val="single"/>
        </w:rPr>
      </w:pPr>
      <w:r w:rsidRPr="00213700">
        <w:rPr>
          <w:rFonts w:cstheme="minorHAnsi"/>
          <w:b/>
          <w:bCs/>
          <w:color w:val="000000" w:themeColor="text1"/>
          <w:sz w:val="32"/>
          <w:szCs w:val="32"/>
          <w:u w:val="single"/>
        </w:rPr>
        <w:t>Word Count</w:t>
      </w:r>
      <w:r w:rsidRPr="009A71EB">
        <w:rPr>
          <w:rFonts w:cstheme="minorHAnsi"/>
          <w:b/>
          <w:bCs/>
          <w:color w:val="000000" w:themeColor="text1"/>
          <w:sz w:val="32"/>
          <w:szCs w:val="32"/>
          <w:u w:val="single"/>
        </w:rPr>
        <w:t>:</w:t>
      </w:r>
      <w:r w:rsidRPr="009A71EB">
        <w:rPr>
          <w:rFonts w:cstheme="minorHAnsi"/>
          <w:color w:val="000000" w:themeColor="text1"/>
          <w:sz w:val="32"/>
          <w:szCs w:val="32"/>
          <w:u w:val="single"/>
        </w:rPr>
        <w:t xml:space="preserve"> </w:t>
      </w:r>
    </w:p>
    <w:p w14:paraId="0CCC2632" w14:textId="77777777" w:rsidR="00C432E5" w:rsidRDefault="00C432E5" w:rsidP="008A0A33">
      <w:pPr>
        <w:ind w:hanging="360"/>
        <w:jc w:val="both"/>
        <w:rPr>
          <w:rFonts w:ascii="Arial" w:hAnsi="Arial" w:cs="Arial"/>
          <w:b/>
          <w:bCs/>
          <w:sz w:val="22"/>
          <w:szCs w:val="22"/>
        </w:rPr>
      </w:pPr>
    </w:p>
    <w:p w14:paraId="121B6598" w14:textId="77777777" w:rsidR="00C432E5" w:rsidRDefault="00C432E5" w:rsidP="008A0A33">
      <w:pPr>
        <w:ind w:hanging="360"/>
        <w:jc w:val="both"/>
        <w:rPr>
          <w:rFonts w:ascii="Arial" w:hAnsi="Arial" w:cs="Arial"/>
          <w:b/>
          <w:bCs/>
          <w:sz w:val="22"/>
          <w:szCs w:val="22"/>
        </w:rPr>
      </w:pPr>
    </w:p>
    <w:p w14:paraId="085F5026" w14:textId="77777777" w:rsidR="00C432E5" w:rsidRDefault="00C432E5" w:rsidP="008A0A33">
      <w:pPr>
        <w:ind w:hanging="360"/>
        <w:jc w:val="both"/>
        <w:rPr>
          <w:rFonts w:ascii="Arial" w:hAnsi="Arial" w:cs="Arial"/>
          <w:b/>
          <w:bCs/>
          <w:sz w:val="22"/>
          <w:szCs w:val="22"/>
        </w:rPr>
      </w:pPr>
    </w:p>
    <w:p w14:paraId="4CD81AC2" w14:textId="77777777" w:rsidR="00C432E5" w:rsidRDefault="00C432E5" w:rsidP="008A0A33">
      <w:pPr>
        <w:ind w:hanging="360"/>
        <w:jc w:val="both"/>
        <w:rPr>
          <w:rFonts w:ascii="Arial" w:hAnsi="Arial" w:cs="Arial"/>
          <w:b/>
          <w:bCs/>
          <w:sz w:val="22"/>
          <w:szCs w:val="22"/>
        </w:rPr>
      </w:pPr>
    </w:p>
    <w:p w14:paraId="4B3C0E20" w14:textId="1060559F" w:rsidR="007E398A" w:rsidRPr="006F19D4" w:rsidRDefault="00CD1AFA" w:rsidP="006F19D4">
      <w:pPr>
        <w:pStyle w:val="ListParagraph"/>
        <w:numPr>
          <w:ilvl w:val="0"/>
          <w:numId w:val="1"/>
        </w:numPr>
        <w:spacing w:after="0" w:line="360" w:lineRule="auto"/>
        <w:ind w:left="0"/>
        <w:jc w:val="both"/>
        <w:rPr>
          <w:rFonts w:ascii="Arial" w:hAnsi="Arial" w:cs="Arial"/>
          <w:b/>
          <w:bCs/>
        </w:rPr>
      </w:pPr>
      <w:r w:rsidRPr="006F19D4">
        <w:rPr>
          <w:rFonts w:ascii="Arial" w:hAnsi="Arial" w:cs="Arial"/>
          <w:b/>
          <w:bCs/>
        </w:rPr>
        <w:lastRenderedPageBreak/>
        <w:t xml:space="preserve">Aim, focus and purpose of the </w:t>
      </w:r>
      <w:r w:rsidR="006F19D4" w:rsidRPr="006F19D4">
        <w:rPr>
          <w:rFonts w:ascii="Arial" w:hAnsi="Arial" w:cs="Arial"/>
          <w:b/>
          <w:bCs/>
        </w:rPr>
        <w:t>research.</w:t>
      </w:r>
      <w:r w:rsidRPr="006F19D4">
        <w:rPr>
          <w:rFonts w:ascii="Arial" w:hAnsi="Arial" w:cs="Arial"/>
          <w:b/>
          <w:bCs/>
        </w:rPr>
        <w:t xml:space="preserve"> </w:t>
      </w:r>
    </w:p>
    <w:p w14:paraId="6500A00A" w14:textId="77777777" w:rsidR="006F19D4" w:rsidRPr="0029566F" w:rsidRDefault="006F19D4" w:rsidP="006F19D4">
      <w:pPr>
        <w:pStyle w:val="ListParagraph"/>
        <w:spacing w:after="0" w:line="360" w:lineRule="auto"/>
        <w:ind w:left="0"/>
        <w:jc w:val="both"/>
        <w:rPr>
          <w:rFonts w:ascii="Arial" w:hAnsi="Arial" w:cs="Arial"/>
          <w:sz w:val="22"/>
          <w:szCs w:val="22"/>
        </w:rPr>
      </w:pPr>
    </w:p>
    <w:p w14:paraId="7EBF3903" w14:textId="4EC70C0C" w:rsidR="006D6275" w:rsidRPr="0029566F" w:rsidRDefault="00B73D60" w:rsidP="006F19D4">
      <w:pPr>
        <w:pStyle w:val="ListParagraph"/>
        <w:spacing w:after="0" w:line="360" w:lineRule="auto"/>
        <w:ind w:left="0"/>
        <w:jc w:val="both"/>
        <w:rPr>
          <w:rFonts w:ascii="Arial" w:hAnsi="Arial" w:cs="Arial"/>
          <w:sz w:val="22"/>
          <w:szCs w:val="22"/>
        </w:rPr>
      </w:pPr>
      <w:r w:rsidRPr="0029566F">
        <w:rPr>
          <w:rFonts w:ascii="Arial" w:hAnsi="Arial" w:cs="Arial"/>
          <w:sz w:val="22"/>
          <w:szCs w:val="22"/>
        </w:rPr>
        <w:t>This case study aims to enhance student engagement in mathematics through real-life contexts, particularly for</w:t>
      </w:r>
      <w:r w:rsidR="008B08AC" w:rsidRPr="0029566F">
        <w:rPr>
          <w:rFonts w:ascii="Arial" w:hAnsi="Arial" w:cs="Arial"/>
          <w:sz w:val="22"/>
          <w:szCs w:val="22"/>
        </w:rPr>
        <w:t xml:space="preserve"> </w:t>
      </w:r>
      <w:r w:rsidR="008B08AC" w:rsidRPr="0029566F">
        <w:rPr>
          <w:rFonts w:ascii="Arial" w:hAnsi="Arial" w:cs="Arial"/>
          <w:sz w:val="22"/>
          <w:szCs w:val="22"/>
          <w:shd w:val="clear" w:color="auto" w:fill="FFFFFF"/>
        </w:rPr>
        <w:t xml:space="preserve">English as an Additional </w:t>
      </w:r>
      <w:r w:rsidR="008B08AC" w:rsidRPr="0029566F">
        <w:rPr>
          <w:rFonts w:ascii="Arial" w:hAnsi="Arial" w:cs="Arial"/>
          <w:sz w:val="22"/>
          <w:szCs w:val="22"/>
          <w:shd w:val="clear" w:color="auto" w:fill="FFFFFF"/>
        </w:rPr>
        <w:t xml:space="preserve">Language (EAL) </w:t>
      </w:r>
      <w:r w:rsidR="008B08AC" w:rsidRPr="0029566F">
        <w:rPr>
          <w:rFonts w:ascii="Arial" w:hAnsi="Arial" w:cs="Arial"/>
          <w:sz w:val="22"/>
          <w:szCs w:val="22"/>
        </w:rPr>
        <w:t>learners</w:t>
      </w:r>
      <w:r w:rsidRPr="0029566F">
        <w:rPr>
          <w:rFonts w:ascii="Arial" w:hAnsi="Arial" w:cs="Arial"/>
          <w:sz w:val="22"/>
          <w:szCs w:val="22"/>
        </w:rPr>
        <w:t>, aligning with recent recognition (</w:t>
      </w:r>
      <w:proofErr w:type="spellStart"/>
      <w:r w:rsidRPr="0029566F">
        <w:rPr>
          <w:rFonts w:ascii="Arial" w:hAnsi="Arial" w:cs="Arial"/>
          <w:sz w:val="22"/>
          <w:szCs w:val="22"/>
        </w:rPr>
        <w:t>Setati</w:t>
      </w:r>
      <w:proofErr w:type="spellEnd"/>
      <w:r w:rsidRPr="0029566F">
        <w:rPr>
          <w:rFonts w:ascii="Arial" w:hAnsi="Arial" w:cs="Arial"/>
          <w:sz w:val="22"/>
          <w:szCs w:val="22"/>
        </w:rPr>
        <w:t xml:space="preserve"> &amp; Adler, 2000; Leung &amp; Graf, 2017). Challenges faced by EAL learners include language barriers and varying mathematical backgrounds (Suh, 2023; David, 2023). It's essential for educators to understand these needs and tailor instructional approaches accordingly. Hands-on learning with real contexts can effectively engage students (Holt, 2017; SDP 2023-2024). Math anxiety can be mitigated by fostering a growth mindset and emphasizing problem-solving (Siney, 2017; Ministry of Education Singapore, 2019). This study draws from prior teaching experience, involving classroom observations, focus groups, and interviews to demonstrate the efficacy of real-life context learning for EAL students.</w:t>
      </w:r>
    </w:p>
    <w:p w14:paraId="3BD2ABA0" w14:textId="77777777" w:rsidR="00AB4622" w:rsidRPr="0029566F" w:rsidRDefault="00AB4622" w:rsidP="006F19D4">
      <w:pPr>
        <w:pStyle w:val="ListParagraph"/>
        <w:spacing w:after="0" w:line="360" w:lineRule="auto"/>
        <w:ind w:left="0"/>
        <w:jc w:val="both"/>
        <w:rPr>
          <w:rFonts w:ascii="Arial" w:hAnsi="Arial" w:cs="Arial"/>
          <w:sz w:val="22"/>
          <w:szCs w:val="22"/>
        </w:rPr>
      </w:pPr>
    </w:p>
    <w:p w14:paraId="3ABC45CA" w14:textId="02526BEC" w:rsidR="00A71F03" w:rsidRPr="0029566F" w:rsidRDefault="00A71F03" w:rsidP="006F19D4">
      <w:pPr>
        <w:pStyle w:val="ListParagraph"/>
        <w:spacing w:after="0" w:line="360" w:lineRule="auto"/>
        <w:ind w:left="0"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 xml:space="preserve">This case study stems from my prior teaching practice </w:t>
      </w:r>
      <w:r w:rsidR="00981A1B" w:rsidRPr="0029566F">
        <w:rPr>
          <w:rFonts w:ascii="Arial" w:hAnsi="Arial" w:cs="Arial"/>
          <w:sz w:val="22"/>
          <w:szCs w:val="22"/>
          <w:shd w:val="clear" w:color="auto" w:fill="FFFFFF"/>
        </w:rPr>
        <w:t>with real- life lesson</w:t>
      </w:r>
      <w:r w:rsidRPr="0029566F">
        <w:rPr>
          <w:rFonts w:ascii="Arial" w:hAnsi="Arial" w:cs="Arial"/>
          <w:sz w:val="22"/>
          <w:szCs w:val="22"/>
          <w:shd w:val="clear" w:color="auto" w:fill="FFFFFF"/>
        </w:rPr>
        <w:t xml:space="preserve"> experience in </w:t>
      </w:r>
      <w:r w:rsidR="00981A1B" w:rsidRPr="0029566F">
        <w:rPr>
          <w:rFonts w:ascii="Arial" w:hAnsi="Arial" w:cs="Arial"/>
          <w:sz w:val="22"/>
          <w:szCs w:val="22"/>
          <w:shd w:val="clear" w:color="auto" w:fill="FFFFFF"/>
        </w:rPr>
        <w:t>a primary</w:t>
      </w:r>
      <w:r w:rsidRPr="0029566F">
        <w:rPr>
          <w:rFonts w:ascii="Arial" w:hAnsi="Arial" w:cs="Arial"/>
          <w:sz w:val="22"/>
          <w:szCs w:val="22"/>
          <w:shd w:val="clear" w:color="auto" w:fill="FFFFFF"/>
        </w:rPr>
        <w:t xml:space="preserve"> setting, particularly with EAL children. Moreover, during my initial placement, one of my key objectives emphasized the imperative of upholding high-quality teaching standards, specifically focusing on Pedagogy - Advancing Learning, where I aimed to refine my proficiency in deploying innovative teaching techniques that would significantly enhance each student's learning journey (Donaldson, 2015).</w:t>
      </w:r>
    </w:p>
    <w:p w14:paraId="175ADBB2" w14:textId="60255D9F" w:rsidR="00A71F03" w:rsidRPr="0029566F" w:rsidRDefault="008B08AC" w:rsidP="006F19D4">
      <w:pPr>
        <w:pStyle w:val="ListParagraph"/>
        <w:spacing w:after="0" w:line="360" w:lineRule="auto"/>
        <w:ind w:left="0"/>
        <w:jc w:val="both"/>
        <w:rPr>
          <w:rFonts w:ascii="Arial" w:hAnsi="Arial" w:cs="Arial"/>
          <w:sz w:val="22"/>
          <w:szCs w:val="22"/>
        </w:rPr>
      </w:pPr>
      <w:r w:rsidRPr="0029566F">
        <w:rPr>
          <w:rFonts w:ascii="Arial" w:hAnsi="Arial" w:cs="Arial"/>
          <w:sz w:val="22"/>
          <w:szCs w:val="22"/>
        </w:rPr>
        <w:t xml:space="preserve">This case </w:t>
      </w:r>
      <w:r w:rsidR="006F19D4" w:rsidRPr="0029566F">
        <w:rPr>
          <w:rFonts w:ascii="Arial" w:hAnsi="Arial" w:cs="Arial"/>
          <w:sz w:val="22"/>
          <w:szCs w:val="22"/>
        </w:rPr>
        <w:t>study was</w:t>
      </w:r>
      <w:r w:rsidR="00A71F03" w:rsidRPr="0029566F">
        <w:rPr>
          <w:rFonts w:ascii="Arial" w:hAnsi="Arial" w:cs="Arial"/>
          <w:sz w:val="22"/>
          <w:szCs w:val="22"/>
        </w:rPr>
        <w:t xml:space="preserve"> conducted within a classroom environment, involving four</w:t>
      </w:r>
      <w:r w:rsidR="006F19D4">
        <w:rPr>
          <w:rFonts w:ascii="Arial" w:hAnsi="Arial" w:cs="Arial"/>
          <w:sz w:val="22"/>
          <w:szCs w:val="22"/>
        </w:rPr>
        <w:t xml:space="preserve"> KS2</w:t>
      </w:r>
      <w:r w:rsidR="00A71F03" w:rsidRPr="0029566F">
        <w:rPr>
          <w:rFonts w:ascii="Arial" w:hAnsi="Arial" w:cs="Arial"/>
          <w:sz w:val="22"/>
          <w:szCs w:val="22"/>
        </w:rPr>
        <w:t xml:space="preserve"> primary school teachers and </w:t>
      </w:r>
      <w:r w:rsidR="006B61A3" w:rsidRPr="0029566F">
        <w:rPr>
          <w:rFonts w:ascii="Arial" w:hAnsi="Arial" w:cs="Arial"/>
          <w:sz w:val="22"/>
          <w:szCs w:val="22"/>
        </w:rPr>
        <w:t xml:space="preserve">6 of </w:t>
      </w:r>
      <w:r w:rsidR="00A71F03" w:rsidRPr="0029566F">
        <w:rPr>
          <w:rFonts w:ascii="Arial" w:hAnsi="Arial" w:cs="Arial"/>
          <w:sz w:val="22"/>
          <w:szCs w:val="22"/>
        </w:rPr>
        <w:t xml:space="preserve">30 Year </w:t>
      </w:r>
      <w:r w:rsidR="00B73D60" w:rsidRPr="0029566F">
        <w:rPr>
          <w:rFonts w:ascii="Arial" w:hAnsi="Arial" w:cs="Arial"/>
          <w:sz w:val="22"/>
          <w:szCs w:val="22"/>
        </w:rPr>
        <w:t>5/</w:t>
      </w:r>
      <w:r w:rsidR="00A71F03" w:rsidRPr="0029566F">
        <w:rPr>
          <w:rFonts w:ascii="Arial" w:hAnsi="Arial" w:cs="Arial"/>
          <w:sz w:val="22"/>
          <w:szCs w:val="22"/>
        </w:rPr>
        <w:t xml:space="preserve">6 students as participants. Data collection employed multiple methods including the </w:t>
      </w:r>
      <w:r w:rsidR="006F19D4" w:rsidRPr="0029566F">
        <w:rPr>
          <w:rFonts w:ascii="Arial" w:hAnsi="Arial" w:cs="Arial"/>
          <w:sz w:val="22"/>
          <w:szCs w:val="22"/>
        </w:rPr>
        <w:t>Le</w:t>
      </w:r>
      <w:r w:rsidR="006F19D4">
        <w:rPr>
          <w:rFonts w:ascii="Arial" w:hAnsi="Arial" w:cs="Arial"/>
          <w:sz w:val="22"/>
          <w:szCs w:val="22"/>
        </w:rPr>
        <w:t>u</w:t>
      </w:r>
      <w:r w:rsidR="006F19D4" w:rsidRPr="0029566F">
        <w:rPr>
          <w:rFonts w:ascii="Arial" w:hAnsi="Arial" w:cs="Arial"/>
          <w:sz w:val="22"/>
          <w:szCs w:val="22"/>
        </w:rPr>
        <w:t>ven</w:t>
      </w:r>
      <w:r w:rsidR="00A71F03" w:rsidRPr="0029566F">
        <w:rPr>
          <w:rFonts w:ascii="Arial" w:hAnsi="Arial" w:cs="Arial"/>
          <w:sz w:val="22"/>
          <w:szCs w:val="22"/>
        </w:rPr>
        <w:t xml:space="preserve"> Scale observation technique, focus group discussions with groups </w:t>
      </w:r>
      <w:r w:rsidR="00B73D60" w:rsidRPr="0029566F">
        <w:rPr>
          <w:rFonts w:ascii="Arial" w:hAnsi="Arial" w:cs="Arial"/>
          <w:sz w:val="22"/>
          <w:szCs w:val="22"/>
        </w:rPr>
        <w:t>of six</w:t>
      </w:r>
      <w:r w:rsidR="00A71F03" w:rsidRPr="0029566F">
        <w:rPr>
          <w:rFonts w:ascii="Arial" w:hAnsi="Arial" w:cs="Arial"/>
          <w:sz w:val="22"/>
          <w:szCs w:val="22"/>
        </w:rPr>
        <w:t xml:space="preserve"> pupils, and </w:t>
      </w:r>
      <w:r w:rsidR="006B61A3" w:rsidRPr="0029566F">
        <w:rPr>
          <w:rFonts w:ascii="Arial" w:hAnsi="Arial" w:cs="Arial"/>
          <w:sz w:val="22"/>
          <w:szCs w:val="22"/>
        </w:rPr>
        <w:t xml:space="preserve">group </w:t>
      </w:r>
      <w:r w:rsidR="00A71F03" w:rsidRPr="0029566F">
        <w:rPr>
          <w:rFonts w:ascii="Arial" w:hAnsi="Arial" w:cs="Arial"/>
          <w:sz w:val="22"/>
          <w:szCs w:val="22"/>
        </w:rPr>
        <w:t>interviews with the four</w:t>
      </w:r>
      <w:r w:rsidR="006F19D4">
        <w:rPr>
          <w:rFonts w:ascii="Arial" w:hAnsi="Arial" w:cs="Arial"/>
          <w:sz w:val="22"/>
          <w:szCs w:val="22"/>
        </w:rPr>
        <w:t xml:space="preserve"> KS2</w:t>
      </w:r>
      <w:r w:rsidR="00A71F03" w:rsidRPr="0029566F">
        <w:rPr>
          <w:rFonts w:ascii="Arial" w:hAnsi="Arial" w:cs="Arial"/>
          <w:sz w:val="22"/>
          <w:szCs w:val="22"/>
        </w:rPr>
        <w:t xml:space="preserve"> primary school teachers.</w:t>
      </w:r>
    </w:p>
    <w:p w14:paraId="6D0413CC" w14:textId="77777777" w:rsidR="00F708AC" w:rsidRPr="0029566F" w:rsidRDefault="00F708AC" w:rsidP="006F19D4">
      <w:pPr>
        <w:pStyle w:val="ListParagraph"/>
        <w:spacing w:after="0" w:line="360" w:lineRule="auto"/>
        <w:ind w:left="0"/>
        <w:jc w:val="both"/>
        <w:rPr>
          <w:rFonts w:ascii="Arial" w:hAnsi="Arial" w:cs="Arial"/>
          <w:sz w:val="22"/>
          <w:szCs w:val="22"/>
        </w:rPr>
      </w:pPr>
    </w:p>
    <w:p w14:paraId="379C51C7" w14:textId="3B1D4F6B" w:rsidR="00F708AC" w:rsidRPr="0029566F" w:rsidRDefault="00F708AC"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rPr>
        <w:t>Through qualitative analysis of classroom observations</w:t>
      </w:r>
      <w:r w:rsidR="007703BA" w:rsidRPr="0029566F">
        <w:rPr>
          <w:rFonts w:ascii="Arial" w:hAnsi="Arial" w:cs="Arial"/>
          <w:sz w:val="22"/>
          <w:szCs w:val="22"/>
        </w:rPr>
        <w:t>, students focus group discussion</w:t>
      </w:r>
      <w:r w:rsidRPr="0029566F">
        <w:rPr>
          <w:rFonts w:ascii="Arial" w:hAnsi="Arial" w:cs="Arial"/>
          <w:sz w:val="22"/>
          <w:szCs w:val="22"/>
        </w:rPr>
        <w:t xml:space="preserve"> and teachers’ </w:t>
      </w:r>
      <w:r w:rsidR="006B61A3" w:rsidRPr="0029566F">
        <w:rPr>
          <w:rFonts w:ascii="Arial" w:hAnsi="Arial" w:cs="Arial"/>
          <w:sz w:val="22"/>
          <w:szCs w:val="22"/>
        </w:rPr>
        <w:t xml:space="preserve">group </w:t>
      </w:r>
      <w:r w:rsidRPr="0029566F">
        <w:rPr>
          <w:rFonts w:ascii="Arial" w:hAnsi="Arial" w:cs="Arial"/>
          <w:sz w:val="22"/>
          <w:szCs w:val="22"/>
        </w:rPr>
        <w:t>interview, the fining of this research found that real-life context learning not only enhanced students' understanding of mathematical concepts but also fostered a deeper engagement with the subject matter.</w:t>
      </w:r>
    </w:p>
    <w:p w14:paraId="43321BF2" w14:textId="77777777" w:rsidR="006D201B" w:rsidRPr="0029566F" w:rsidRDefault="006D201B" w:rsidP="008A0A33">
      <w:pPr>
        <w:jc w:val="both"/>
        <w:rPr>
          <w:rFonts w:ascii="Arial" w:hAnsi="Arial" w:cs="Arial"/>
          <w:sz w:val="22"/>
          <w:szCs w:val="22"/>
        </w:rPr>
      </w:pPr>
    </w:p>
    <w:p w14:paraId="296AB2BF" w14:textId="77777777" w:rsidR="006D201B" w:rsidRPr="0029566F" w:rsidRDefault="006D201B" w:rsidP="008A0A33">
      <w:pPr>
        <w:pStyle w:val="ListParagraph"/>
        <w:ind w:left="0"/>
        <w:jc w:val="both"/>
        <w:rPr>
          <w:rFonts w:ascii="Arial" w:hAnsi="Arial" w:cs="Arial"/>
          <w:sz w:val="22"/>
          <w:szCs w:val="22"/>
        </w:rPr>
      </w:pPr>
    </w:p>
    <w:p w14:paraId="5251E109" w14:textId="77777777" w:rsidR="006D6275" w:rsidRPr="0029566F" w:rsidRDefault="006D6275" w:rsidP="008A0A33">
      <w:pPr>
        <w:pStyle w:val="ListParagraph"/>
        <w:ind w:left="0"/>
        <w:jc w:val="both"/>
        <w:rPr>
          <w:rFonts w:ascii="Arial" w:hAnsi="Arial" w:cs="Arial"/>
          <w:sz w:val="22"/>
          <w:szCs w:val="22"/>
        </w:rPr>
      </w:pPr>
    </w:p>
    <w:p w14:paraId="61187229" w14:textId="77777777" w:rsidR="007B4597" w:rsidRPr="006F19D4" w:rsidRDefault="007B4597" w:rsidP="008A0A33">
      <w:pPr>
        <w:pStyle w:val="ListParagraph"/>
        <w:ind w:left="0"/>
        <w:jc w:val="both"/>
        <w:rPr>
          <w:rFonts w:ascii="Arial" w:hAnsi="Arial" w:cs="Arial"/>
          <w:b/>
          <w:bCs/>
        </w:rPr>
      </w:pPr>
    </w:p>
    <w:p w14:paraId="5F12FB02" w14:textId="7B77C28B" w:rsidR="00CD1AFA" w:rsidRPr="006F19D4" w:rsidRDefault="00CD1AFA" w:rsidP="008A0A33">
      <w:pPr>
        <w:pStyle w:val="ListParagraph"/>
        <w:numPr>
          <w:ilvl w:val="0"/>
          <w:numId w:val="1"/>
        </w:numPr>
        <w:ind w:left="0"/>
        <w:jc w:val="both"/>
        <w:rPr>
          <w:rFonts w:ascii="Arial" w:hAnsi="Arial" w:cs="Arial"/>
          <w:b/>
          <w:bCs/>
        </w:rPr>
      </w:pPr>
      <w:r w:rsidRPr="006F19D4">
        <w:rPr>
          <w:rFonts w:ascii="Arial" w:hAnsi="Arial" w:cs="Arial"/>
          <w:b/>
          <w:bCs/>
        </w:rPr>
        <w:t xml:space="preserve">Overview of relevant literature. </w:t>
      </w:r>
    </w:p>
    <w:p w14:paraId="0DC3F1E0" w14:textId="77777777" w:rsidR="0048486C" w:rsidRPr="0029566F" w:rsidRDefault="0048486C" w:rsidP="008A0A33">
      <w:pPr>
        <w:pStyle w:val="ListParagraph"/>
        <w:ind w:left="0"/>
        <w:jc w:val="both"/>
        <w:rPr>
          <w:rFonts w:ascii="Arial" w:hAnsi="Arial" w:cs="Arial"/>
          <w:sz w:val="22"/>
          <w:szCs w:val="22"/>
        </w:rPr>
      </w:pPr>
    </w:p>
    <w:p w14:paraId="200115C7" w14:textId="40287049" w:rsidR="002F00D6" w:rsidRPr="0029566F" w:rsidRDefault="004C44F2" w:rsidP="006F19D4">
      <w:pPr>
        <w:pStyle w:val="ListParagraph"/>
        <w:spacing w:after="0" w:line="360" w:lineRule="auto"/>
        <w:ind w:left="0"/>
        <w:jc w:val="both"/>
        <w:rPr>
          <w:rFonts w:ascii="Arial" w:hAnsi="Arial" w:cs="Arial"/>
          <w:sz w:val="22"/>
          <w:szCs w:val="22"/>
        </w:rPr>
      </w:pPr>
      <w:r w:rsidRPr="0029566F">
        <w:rPr>
          <w:rFonts w:ascii="Arial" w:hAnsi="Arial" w:cs="Arial"/>
          <w:sz w:val="22"/>
          <w:szCs w:val="22"/>
        </w:rPr>
        <w:t>Integrating real-life contexts into mathematics provides EAL learners with opportunities to connect mathematical concepts to familiar, meaningful experiences</w:t>
      </w:r>
      <w:r w:rsidR="006B6B95" w:rsidRPr="0029566F">
        <w:rPr>
          <w:rFonts w:ascii="Arial" w:hAnsi="Arial" w:cs="Arial"/>
          <w:sz w:val="22"/>
          <w:szCs w:val="22"/>
        </w:rPr>
        <w:t xml:space="preserve"> (</w:t>
      </w:r>
      <w:proofErr w:type="spellStart"/>
      <w:r w:rsidR="006B6B95" w:rsidRPr="0029566F">
        <w:rPr>
          <w:rFonts w:ascii="Arial" w:hAnsi="Arial" w:cs="Arial"/>
          <w:sz w:val="22"/>
          <w:szCs w:val="22"/>
        </w:rPr>
        <w:t>Mebert</w:t>
      </w:r>
      <w:proofErr w:type="spellEnd"/>
      <w:r w:rsidR="006B6B95" w:rsidRPr="0029566F">
        <w:rPr>
          <w:rFonts w:ascii="Arial" w:hAnsi="Arial" w:cs="Arial"/>
          <w:sz w:val="22"/>
          <w:szCs w:val="22"/>
        </w:rPr>
        <w:t xml:space="preserve">, L. </w:t>
      </w:r>
      <w:r w:rsidR="006B6B95" w:rsidRPr="0029566F">
        <w:rPr>
          <w:rFonts w:ascii="Arial" w:hAnsi="Arial" w:cs="Arial"/>
          <w:i/>
          <w:iCs/>
          <w:sz w:val="22"/>
          <w:szCs w:val="22"/>
        </w:rPr>
        <w:t>et al</w:t>
      </w:r>
      <w:r w:rsidR="006B6B95" w:rsidRPr="0029566F">
        <w:rPr>
          <w:rFonts w:ascii="Arial" w:hAnsi="Arial" w:cs="Arial"/>
          <w:sz w:val="22"/>
          <w:szCs w:val="22"/>
        </w:rPr>
        <w:t>.,2020)</w:t>
      </w:r>
      <w:r w:rsidRPr="0029566F">
        <w:rPr>
          <w:rFonts w:ascii="Arial" w:hAnsi="Arial" w:cs="Arial"/>
          <w:sz w:val="22"/>
          <w:szCs w:val="22"/>
        </w:rPr>
        <w:t>.</w:t>
      </w:r>
      <w:r w:rsidR="006B6B95" w:rsidRPr="0029566F">
        <w:rPr>
          <w:rFonts w:ascii="Arial" w:hAnsi="Arial" w:cs="Arial"/>
          <w:sz w:val="22"/>
          <w:szCs w:val="22"/>
        </w:rPr>
        <w:t xml:space="preserve"> Sakurai, </w:t>
      </w:r>
      <w:proofErr w:type="spellStart"/>
      <w:r w:rsidR="006B6B95" w:rsidRPr="0029566F">
        <w:rPr>
          <w:rFonts w:ascii="Arial" w:hAnsi="Arial" w:cs="Arial"/>
          <w:sz w:val="22"/>
          <w:szCs w:val="22"/>
        </w:rPr>
        <w:t>Sawatski</w:t>
      </w:r>
      <w:proofErr w:type="spellEnd"/>
      <w:r w:rsidR="006B6B95" w:rsidRPr="0029566F">
        <w:rPr>
          <w:rFonts w:ascii="Arial" w:hAnsi="Arial" w:cs="Arial"/>
          <w:sz w:val="22"/>
          <w:szCs w:val="22"/>
        </w:rPr>
        <w:t xml:space="preserve"> and Tout (2021) agree that</w:t>
      </w:r>
      <w:r w:rsidRPr="0029566F">
        <w:rPr>
          <w:rFonts w:ascii="Arial" w:hAnsi="Arial" w:cs="Arial"/>
          <w:sz w:val="22"/>
          <w:szCs w:val="22"/>
        </w:rPr>
        <w:t xml:space="preserve"> </w:t>
      </w:r>
      <w:r w:rsidR="006B6B95" w:rsidRPr="0029566F">
        <w:rPr>
          <w:rFonts w:ascii="Arial" w:hAnsi="Arial" w:cs="Arial"/>
          <w:sz w:val="22"/>
          <w:szCs w:val="22"/>
        </w:rPr>
        <w:t>b</w:t>
      </w:r>
      <w:r w:rsidRPr="0029566F">
        <w:rPr>
          <w:rFonts w:ascii="Arial" w:hAnsi="Arial" w:cs="Arial"/>
          <w:sz w:val="22"/>
          <w:szCs w:val="22"/>
        </w:rPr>
        <w:t xml:space="preserve">y </w:t>
      </w:r>
      <w:r w:rsidR="003766AB" w:rsidRPr="0029566F">
        <w:rPr>
          <w:rFonts w:ascii="Arial" w:hAnsi="Arial" w:cs="Arial"/>
          <w:sz w:val="22"/>
          <w:szCs w:val="22"/>
        </w:rPr>
        <w:t>teaching mathematical</w:t>
      </w:r>
      <w:r w:rsidRPr="0029566F">
        <w:rPr>
          <w:rFonts w:ascii="Arial" w:hAnsi="Arial" w:cs="Arial"/>
          <w:sz w:val="22"/>
          <w:szCs w:val="22"/>
        </w:rPr>
        <w:t xml:space="preserve"> content within </w:t>
      </w:r>
      <w:r w:rsidRPr="0029566F">
        <w:rPr>
          <w:rFonts w:ascii="Arial" w:hAnsi="Arial" w:cs="Arial"/>
          <w:sz w:val="22"/>
          <w:szCs w:val="22"/>
        </w:rPr>
        <w:lastRenderedPageBreak/>
        <w:t>everyday situations</w:t>
      </w:r>
      <w:r w:rsidR="00F54017" w:rsidRPr="0029566F">
        <w:rPr>
          <w:rFonts w:ascii="Arial" w:hAnsi="Arial" w:cs="Arial"/>
          <w:sz w:val="22"/>
          <w:szCs w:val="22"/>
        </w:rPr>
        <w:t xml:space="preserve"> is </w:t>
      </w:r>
      <w:r w:rsidRPr="0029566F">
        <w:rPr>
          <w:rFonts w:ascii="Arial" w:hAnsi="Arial" w:cs="Arial"/>
          <w:sz w:val="22"/>
          <w:szCs w:val="22"/>
        </w:rPr>
        <w:t>more accessible and relevant to EAL students</w:t>
      </w:r>
      <w:r w:rsidR="00F54017" w:rsidRPr="0029566F">
        <w:rPr>
          <w:rFonts w:ascii="Arial" w:hAnsi="Arial" w:cs="Arial"/>
          <w:sz w:val="22"/>
          <w:szCs w:val="22"/>
        </w:rPr>
        <w:t xml:space="preserve">. </w:t>
      </w:r>
      <w:r w:rsidR="00C75C31" w:rsidRPr="0029566F">
        <w:rPr>
          <w:rFonts w:ascii="Arial" w:hAnsi="Arial" w:cs="Arial"/>
          <w:sz w:val="22"/>
          <w:szCs w:val="22"/>
        </w:rPr>
        <w:t>Hence, i</w:t>
      </w:r>
      <w:r w:rsidR="00F708AC" w:rsidRPr="0029566F">
        <w:rPr>
          <w:rFonts w:ascii="Arial" w:hAnsi="Arial" w:cs="Arial"/>
          <w:sz w:val="22"/>
          <w:szCs w:val="22"/>
        </w:rPr>
        <w:t>n exploring the dynamics of how EAL children perceive and engage with real-life contexts in mathematics education, several studies offer valuable insights.</w:t>
      </w:r>
      <w:r w:rsidR="006F19D4">
        <w:rPr>
          <w:rFonts w:ascii="Arial" w:hAnsi="Arial" w:cs="Arial"/>
          <w:sz w:val="22"/>
          <w:szCs w:val="22"/>
        </w:rPr>
        <w:t xml:space="preserve"> </w:t>
      </w:r>
      <w:r w:rsidR="00667C6D" w:rsidRPr="0029566F">
        <w:rPr>
          <w:rFonts w:ascii="Arial" w:hAnsi="Arial" w:cs="Arial"/>
          <w:sz w:val="22"/>
          <w:szCs w:val="22"/>
        </w:rPr>
        <w:t xml:space="preserve">The National Council of Mathematics Teachers (2014) emphasises the importance of incorporating real-life contexts into educational </w:t>
      </w:r>
      <w:r w:rsidR="006F19D4" w:rsidRPr="0029566F">
        <w:rPr>
          <w:rFonts w:ascii="Arial" w:hAnsi="Arial" w:cs="Arial"/>
          <w:sz w:val="22"/>
          <w:szCs w:val="22"/>
        </w:rPr>
        <w:t>practices.</w:t>
      </w:r>
      <w:r w:rsidR="00667C6D" w:rsidRPr="0029566F">
        <w:rPr>
          <w:rFonts w:ascii="Arial" w:hAnsi="Arial" w:cs="Arial"/>
          <w:sz w:val="22"/>
          <w:szCs w:val="22"/>
        </w:rPr>
        <w:t xml:space="preserve"> This view is </w:t>
      </w:r>
      <w:r w:rsidR="00306123" w:rsidRPr="0029566F">
        <w:rPr>
          <w:rFonts w:ascii="Arial" w:hAnsi="Arial" w:cs="Arial"/>
          <w:sz w:val="22"/>
          <w:szCs w:val="22"/>
        </w:rPr>
        <w:t>supported</w:t>
      </w:r>
      <w:r w:rsidR="00667C6D" w:rsidRPr="0029566F">
        <w:rPr>
          <w:rFonts w:ascii="Arial" w:hAnsi="Arial" w:cs="Arial"/>
          <w:sz w:val="22"/>
          <w:szCs w:val="22"/>
        </w:rPr>
        <w:t xml:space="preserve"> in the works of Swanson et al. (2020) and Reyes and Hwang (2021, as </w:t>
      </w:r>
      <w:r w:rsidR="003F6378" w:rsidRPr="0029566F">
        <w:rPr>
          <w:rFonts w:ascii="Arial" w:hAnsi="Arial" w:cs="Arial"/>
          <w:sz w:val="22"/>
          <w:szCs w:val="22"/>
        </w:rPr>
        <w:t>quoted</w:t>
      </w:r>
      <w:r w:rsidR="00667C6D" w:rsidRPr="0029566F">
        <w:rPr>
          <w:rFonts w:ascii="Arial" w:hAnsi="Arial" w:cs="Arial"/>
          <w:sz w:val="22"/>
          <w:szCs w:val="22"/>
        </w:rPr>
        <w:t xml:space="preserve"> in Suh, 2023), where primary school teachers use practical exercises based on real-world examples to improve the academic performance of </w:t>
      </w:r>
      <w:r w:rsidR="00F54017" w:rsidRPr="0029566F">
        <w:rPr>
          <w:rFonts w:ascii="Arial" w:hAnsi="Arial" w:cs="Arial"/>
          <w:sz w:val="22"/>
          <w:szCs w:val="22"/>
        </w:rPr>
        <w:t>EAL</w:t>
      </w:r>
      <w:r w:rsidR="00667C6D" w:rsidRPr="0029566F">
        <w:rPr>
          <w:rFonts w:ascii="Arial" w:hAnsi="Arial" w:cs="Arial"/>
          <w:sz w:val="22"/>
          <w:szCs w:val="22"/>
        </w:rPr>
        <w:t xml:space="preserve"> students. Building on this foundation, I, (2019) supports the idea that incorporating real-life situations into the learning process gives vital visual support to</w:t>
      </w:r>
      <w:r w:rsidR="003F6378" w:rsidRPr="0029566F">
        <w:rPr>
          <w:rFonts w:ascii="Arial" w:hAnsi="Arial" w:cs="Arial"/>
          <w:sz w:val="22"/>
          <w:szCs w:val="22"/>
        </w:rPr>
        <w:t xml:space="preserve"> EAL</w:t>
      </w:r>
      <w:r w:rsidR="00667C6D" w:rsidRPr="0029566F">
        <w:rPr>
          <w:rFonts w:ascii="Arial" w:hAnsi="Arial" w:cs="Arial"/>
          <w:sz w:val="22"/>
          <w:szCs w:val="22"/>
        </w:rPr>
        <w:t xml:space="preserve"> students, resulting in enhanced academic achievements. </w:t>
      </w:r>
    </w:p>
    <w:p w14:paraId="647B254B" w14:textId="2F149472" w:rsidR="002F00D6" w:rsidRPr="0029566F" w:rsidRDefault="002F00D6"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rPr>
        <w:t xml:space="preserve">It is widely acknowledged that students who actively participate in the learning process are more likely to achieve higher levels of learning (Wang et al., 2021). </w:t>
      </w:r>
      <w:r w:rsidR="00535683" w:rsidRPr="0029566F">
        <w:rPr>
          <w:rFonts w:ascii="Arial" w:hAnsi="Arial" w:cs="Arial"/>
          <w:sz w:val="22"/>
          <w:szCs w:val="22"/>
        </w:rPr>
        <w:t>Consequently,</w:t>
      </w:r>
      <w:r w:rsidRPr="0029566F">
        <w:rPr>
          <w:rFonts w:ascii="Arial" w:hAnsi="Arial" w:cs="Arial"/>
          <w:sz w:val="22"/>
          <w:szCs w:val="22"/>
        </w:rPr>
        <w:t xml:space="preserve"> </w:t>
      </w:r>
      <w:r w:rsidR="00535683" w:rsidRPr="0029566F">
        <w:rPr>
          <w:rFonts w:ascii="Arial" w:hAnsi="Arial" w:cs="Arial"/>
          <w:sz w:val="22"/>
          <w:szCs w:val="22"/>
        </w:rPr>
        <w:t>students’</w:t>
      </w:r>
      <w:r w:rsidRPr="0029566F">
        <w:rPr>
          <w:rFonts w:ascii="Arial" w:hAnsi="Arial" w:cs="Arial"/>
          <w:sz w:val="22"/>
          <w:szCs w:val="22"/>
        </w:rPr>
        <w:t xml:space="preserve"> dissatisfaction, boredom, negative experiences, and attrition rates are partly attributed to low levels of engagement in academic activities (Derakhshan et al., 2021</w:t>
      </w:r>
      <w:r w:rsidR="00535683" w:rsidRPr="0029566F">
        <w:rPr>
          <w:rFonts w:ascii="Arial" w:hAnsi="Arial" w:cs="Arial"/>
          <w:sz w:val="22"/>
          <w:szCs w:val="22"/>
        </w:rPr>
        <w:t xml:space="preserve">; </w:t>
      </w:r>
      <w:r w:rsidR="00535683" w:rsidRPr="0029566F">
        <w:rPr>
          <w:rFonts w:ascii="Arial" w:hAnsi="Arial" w:cs="Arial"/>
          <w:sz w:val="22"/>
          <w:szCs w:val="22"/>
        </w:rPr>
        <w:t>Broido, 2014; Xie and Derakhshan, 2021</w:t>
      </w:r>
      <w:r w:rsidRPr="0029566F">
        <w:rPr>
          <w:rFonts w:ascii="Arial" w:hAnsi="Arial" w:cs="Arial"/>
          <w:sz w:val="22"/>
          <w:szCs w:val="22"/>
        </w:rPr>
        <w:t xml:space="preserve">). Studies have shown that engagement directly and indirectly correlates with intelligence, interest, motivation, and satisfaction with learning outcomes across various academic disciplines (Yin, 2018). </w:t>
      </w:r>
      <w:r w:rsidR="00535683" w:rsidRPr="0029566F">
        <w:rPr>
          <w:rFonts w:ascii="Arial" w:hAnsi="Arial" w:cs="Arial"/>
          <w:sz w:val="22"/>
          <w:szCs w:val="22"/>
        </w:rPr>
        <w:t>This why</w:t>
      </w:r>
      <w:r w:rsidRPr="0029566F">
        <w:rPr>
          <w:rFonts w:ascii="Arial" w:hAnsi="Arial" w:cs="Arial"/>
          <w:sz w:val="22"/>
          <w:szCs w:val="22"/>
        </w:rPr>
        <w:t>, engagement is a complex construct influenced by perceptions, emotions, and motivation, aligning with the principles of self-determination theory in the realm of motivation (Mercer and Dörnyei, 2020).</w:t>
      </w:r>
    </w:p>
    <w:p w14:paraId="5DE03BA8" w14:textId="62391444" w:rsidR="00F565B2" w:rsidRPr="006F19D4" w:rsidRDefault="002622F7" w:rsidP="006F19D4">
      <w:pPr>
        <w:pStyle w:val="ListParagraph"/>
        <w:spacing w:after="0" w:line="360" w:lineRule="auto"/>
        <w:ind w:left="0"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 xml:space="preserve">Nevertheless, the integration of real-life content into teaching practices not only cultivates an enjoyable and engaging learning environment but also imbues greater significance into the learning process (Yalçin et al., 2017). Supporting this </w:t>
      </w:r>
      <w:r w:rsidR="00306123" w:rsidRPr="0029566F">
        <w:rPr>
          <w:rFonts w:ascii="Arial" w:hAnsi="Arial" w:cs="Arial"/>
          <w:sz w:val="22"/>
          <w:szCs w:val="22"/>
          <w:shd w:val="clear" w:color="auto" w:fill="FFFFFF"/>
        </w:rPr>
        <w:t>statement</w:t>
      </w:r>
      <w:r w:rsidRPr="0029566F">
        <w:rPr>
          <w:rFonts w:ascii="Arial" w:hAnsi="Arial" w:cs="Arial"/>
          <w:sz w:val="22"/>
          <w:szCs w:val="22"/>
          <w:shd w:val="clear" w:color="auto" w:fill="FFFFFF"/>
        </w:rPr>
        <w:t xml:space="preserve">, Kong (2021) underscores the enhancement of educational value through real-life contexts, emphasizing the development of essential skills and experiences. The infusion of real-life contexts into education has propelled classroom engagement to a prominent position within educational discourse (Kong, 2021). </w:t>
      </w:r>
      <w:proofErr w:type="spellStart"/>
      <w:r w:rsidRPr="0029566F">
        <w:rPr>
          <w:rFonts w:ascii="Arial" w:hAnsi="Arial" w:cs="Arial"/>
          <w:sz w:val="22"/>
          <w:szCs w:val="22"/>
          <w:shd w:val="clear" w:color="auto" w:fill="FFFFFF"/>
        </w:rPr>
        <w:t>Mebert</w:t>
      </w:r>
      <w:proofErr w:type="spellEnd"/>
      <w:r w:rsidRPr="0029566F">
        <w:rPr>
          <w:rFonts w:ascii="Arial" w:hAnsi="Arial" w:cs="Arial"/>
          <w:sz w:val="22"/>
          <w:szCs w:val="22"/>
          <w:shd w:val="clear" w:color="auto" w:fill="FFFFFF"/>
        </w:rPr>
        <w:t xml:space="preserve"> et al. (2020) provide compelling evidence that integrating problem-based learning </w:t>
      </w:r>
      <w:r w:rsidR="00980557" w:rsidRPr="0029566F">
        <w:rPr>
          <w:rFonts w:ascii="Arial" w:hAnsi="Arial" w:cs="Arial"/>
          <w:sz w:val="22"/>
          <w:szCs w:val="22"/>
          <w:shd w:val="clear" w:color="auto" w:fill="FFFFFF"/>
        </w:rPr>
        <w:t>lessons</w:t>
      </w:r>
      <w:r w:rsidRPr="0029566F">
        <w:rPr>
          <w:rFonts w:ascii="Arial" w:hAnsi="Arial" w:cs="Arial"/>
          <w:sz w:val="22"/>
          <w:szCs w:val="22"/>
          <w:shd w:val="clear" w:color="auto" w:fill="FFFFFF"/>
        </w:rPr>
        <w:t xml:space="preserve"> into real-world </w:t>
      </w:r>
      <w:r w:rsidR="00980557" w:rsidRPr="0029566F">
        <w:rPr>
          <w:rFonts w:ascii="Arial" w:hAnsi="Arial" w:cs="Arial"/>
          <w:sz w:val="22"/>
          <w:szCs w:val="22"/>
          <w:shd w:val="clear" w:color="auto" w:fill="FFFFFF"/>
        </w:rPr>
        <w:t>context</w:t>
      </w:r>
      <w:r w:rsidRPr="0029566F">
        <w:rPr>
          <w:rFonts w:ascii="Arial" w:hAnsi="Arial" w:cs="Arial"/>
          <w:sz w:val="22"/>
          <w:szCs w:val="22"/>
          <w:shd w:val="clear" w:color="auto" w:fill="FFFFFF"/>
        </w:rPr>
        <w:t xml:space="preserve"> can notably enhance student engagement. However, Che, Strang, and </w:t>
      </w:r>
      <w:proofErr w:type="spellStart"/>
      <w:r w:rsidRPr="0029566F">
        <w:rPr>
          <w:rFonts w:ascii="Arial" w:hAnsi="Arial" w:cs="Arial"/>
          <w:sz w:val="22"/>
          <w:szCs w:val="22"/>
          <w:shd w:val="clear" w:color="auto" w:fill="FFFFFF"/>
        </w:rPr>
        <w:t>Vajjhala</w:t>
      </w:r>
      <w:proofErr w:type="spellEnd"/>
      <w:r w:rsidRPr="0029566F">
        <w:rPr>
          <w:rFonts w:ascii="Arial" w:hAnsi="Arial" w:cs="Arial"/>
          <w:sz w:val="22"/>
          <w:szCs w:val="22"/>
          <w:shd w:val="clear" w:color="auto" w:fill="FFFFFF"/>
        </w:rPr>
        <w:t xml:space="preserve"> (2021) highlight that alongside student engagement, motivation serves as a crucial determinant of educational success. </w:t>
      </w:r>
      <w:r w:rsidR="006F19D4">
        <w:rPr>
          <w:rFonts w:ascii="Arial" w:hAnsi="Arial" w:cs="Arial"/>
          <w:sz w:val="22"/>
          <w:szCs w:val="22"/>
          <w:shd w:val="clear" w:color="auto" w:fill="FFFFFF"/>
        </w:rPr>
        <w:t xml:space="preserve"> </w:t>
      </w:r>
      <w:proofErr w:type="spellStart"/>
      <w:r w:rsidR="00D0748A" w:rsidRPr="0029566F">
        <w:rPr>
          <w:rFonts w:ascii="Arial" w:hAnsi="Arial" w:cs="Arial"/>
          <w:sz w:val="22"/>
          <w:szCs w:val="22"/>
        </w:rPr>
        <w:t>Geham</w:t>
      </w:r>
      <w:proofErr w:type="spellEnd"/>
      <w:r w:rsidR="00D0748A" w:rsidRPr="0029566F">
        <w:rPr>
          <w:rFonts w:ascii="Arial" w:hAnsi="Arial" w:cs="Arial"/>
          <w:sz w:val="22"/>
          <w:szCs w:val="22"/>
        </w:rPr>
        <w:t xml:space="preserve"> (2017) and Jones et al. (2017) investigated the impact of incorporating real-life contexts in mathematics instruction on the engagement and comprehension of EAL students. Krain (2018) performs a study using various teaching approaches to see which strategy engages learners the most.  The findings revealed that when children were interested in something </w:t>
      </w:r>
      <w:r w:rsidR="00D0748A" w:rsidRPr="006F19D4">
        <w:rPr>
          <w:rFonts w:ascii="Arial" w:hAnsi="Arial" w:cs="Arial"/>
          <w:sz w:val="22"/>
          <w:szCs w:val="22"/>
        </w:rPr>
        <w:t>meaningful</w:t>
      </w:r>
      <w:r w:rsidR="00D0748A" w:rsidRPr="0029566F">
        <w:rPr>
          <w:rFonts w:ascii="Arial" w:hAnsi="Arial" w:cs="Arial"/>
          <w:sz w:val="22"/>
          <w:szCs w:val="22"/>
        </w:rPr>
        <w:t xml:space="preserve"> and relevant to their life learners were more active during the learning process, their engagement was extremely active (Krain, 2018; </w:t>
      </w:r>
      <w:proofErr w:type="spellStart"/>
      <w:r w:rsidR="00D0748A" w:rsidRPr="0029566F">
        <w:rPr>
          <w:rFonts w:ascii="Arial" w:hAnsi="Arial" w:cs="Arial"/>
          <w:sz w:val="22"/>
          <w:szCs w:val="22"/>
        </w:rPr>
        <w:t>Stixrud</w:t>
      </w:r>
      <w:proofErr w:type="spellEnd"/>
      <w:r w:rsidR="00D0748A" w:rsidRPr="0029566F">
        <w:rPr>
          <w:rFonts w:ascii="Arial" w:hAnsi="Arial" w:cs="Arial"/>
          <w:sz w:val="22"/>
          <w:szCs w:val="22"/>
        </w:rPr>
        <w:t xml:space="preserve"> and Johnson, 2018). While meaningful learning experiences are often associated with increased engagement, however, according to </w:t>
      </w:r>
      <w:proofErr w:type="spellStart"/>
      <w:r w:rsidR="00D0748A" w:rsidRPr="0029566F">
        <w:rPr>
          <w:rFonts w:ascii="Arial" w:hAnsi="Arial" w:cs="Arial"/>
          <w:sz w:val="22"/>
          <w:szCs w:val="22"/>
        </w:rPr>
        <w:t>Setati</w:t>
      </w:r>
      <w:proofErr w:type="spellEnd"/>
      <w:r w:rsidR="00D0748A" w:rsidRPr="0029566F">
        <w:rPr>
          <w:rFonts w:ascii="Arial" w:hAnsi="Arial" w:cs="Arial"/>
          <w:sz w:val="22"/>
          <w:szCs w:val="22"/>
        </w:rPr>
        <w:t xml:space="preserve"> and Adler (2000) and Siney (2016) the definition of "meaningful" </w:t>
      </w:r>
      <w:r w:rsidR="00D0748A" w:rsidRPr="0029566F">
        <w:rPr>
          <w:rFonts w:ascii="Arial" w:hAnsi="Arial" w:cs="Arial"/>
          <w:sz w:val="22"/>
          <w:szCs w:val="22"/>
        </w:rPr>
        <w:lastRenderedPageBreak/>
        <w:t>can vary widely depending on individual interests, cultural background, and prior knowledge. Therefore, what is meaningful for one student may not be meaningful for another, so it's essential to consider the diversity of student perspectives and experiences (Welsh Government, 2021).</w:t>
      </w:r>
    </w:p>
    <w:p w14:paraId="3E8DE746" w14:textId="7AA43871" w:rsidR="00AA5294" w:rsidRPr="0029566F" w:rsidRDefault="00152F67"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rPr>
        <w:t>Nevertheless,</w:t>
      </w:r>
      <w:r w:rsidR="00B266E2" w:rsidRPr="0029566F">
        <w:rPr>
          <w:rFonts w:ascii="Arial" w:hAnsi="Arial" w:cs="Arial"/>
          <w:sz w:val="22"/>
          <w:szCs w:val="22"/>
        </w:rPr>
        <w:t xml:space="preserve"> just like any other method of teaching or learning, using real-life context has limitations. Some of these constraints include the following: </w:t>
      </w:r>
      <w:r w:rsidR="004C44F2" w:rsidRPr="0029566F">
        <w:rPr>
          <w:rFonts w:ascii="Arial" w:hAnsi="Arial" w:cs="Arial"/>
          <w:sz w:val="22"/>
          <w:szCs w:val="22"/>
        </w:rPr>
        <w:t>r</w:t>
      </w:r>
      <w:r w:rsidR="00B266E2" w:rsidRPr="0029566F">
        <w:rPr>
          <w:rFonts w:ascii="Arial" w:hAnsi="Arial" w:cs="Arial"/>
          <w:sz w:val="22"/>
          <w:szCs w:val="22"/>
        </w:rPr>
        <w:t xml:space="preserve">eal-life activities usually require tools, space, and time constraints (Pond, 2006; Pritchard, 2009; </w:t>
      </w:r>
      <w:proofErr w:type="spellStart"/>
      <w:r w:rsidR="00B266E2" w:rsidRPr="0029566F">
        <w:rPr>
          <w:rFonts w:ascii="Arial" w:hAnsi="Arial" w:cs="Arial"/>
          <w:sz w:val="22"/>
          <w:szCs w:val="22"/>
        </w:rPr>
        <w:t>Macblain</w:t>
      </w:r>
      <w:proofErr w:type="spellEnd"/>
      <w:r w:rsidR="00B266E2" w:rsidRPr="0029566F">
        <w:rPr>
          <w:rFonts w:ascii="Arial" w:hAnsi="Arial" w:cs="Arial"/>
          <w:sz w:val="22"/>
          <w:szCs w:val="22"/>
        </w:rPr>
        <w:t>, 2014).</w:t>
      </w:r>
    </w:p>
    <w:p w14:paraId="4021AB02" w14:textId="0CE7384B" w:rsidR="00B5738F" w:rsidRPr="0029566F" w:rsidRDefault="00AA5294" w:rsidP="006F19D4">
      <w:pPr>
        <w:pStyle w:val="ListParagraph"/>
        <w:spacing w:after="0" w:line="360" w:lineRule="auto"/>
        <w:ind w:left="0"/>
        <w:jc w:val="both"/>
        <w:rPr>
          <w:rFonts w:ascii="Arial" w:hAnsi="Arial" w:cs="Arial"/>
          <w:sz w:val="22"/>
          <w:szCs w:val="22"/>
        </w:rPr>
      </w:pPr>
      <w:r w:rsidRPr="0029566F">
        <w:rPr>
          <w:rFonts w:ascii="Arial" w:hAnsi="Arial" w:cs="Arial"/>
          <w:sz w:val="22"/>
          <w:szCs w:val="22"/>
        </w:rPr>
        <w:t xml:space="preserve">In addition, assessing learning results from </w:t>
      </w:r>
      <w:r w:rsidR="008E5151" w:rsidRPr="0029566F">
        <w:rPr>
          <w:rFonts w:ascii="Arial" w:hAnsi="Arial" w:cs="Arial"/>
          <w:sz w:val="22"/>
          <w:szCs w:val="22"/>
        </w:rPr>
        <w:t xml:space="preserve">real-life </w:t>
      </w:r>
      <w:r w:rsidR="008A0A33" w:rsidRPr="0029566F">
        <w:rPr>
          <w:rFonts w:ascii="Arial" w:hAnsi="Arial" w:cs="Arial"/>
          <w:sz w:val="22"/>
          <w:szCs w:val="22"/>
        </w:rPr>
        <w:t>approach activities</w:t>
      </w:r>
      <w:r w:rsidRPr="0029566F">
        <w:rPr>
          <w:rFonts w:ascii="Arial" w:hAnsi="Arial" w:cs="Arial"/>
          <w:sz w:val="22"/>
          <w:szCs w:val="22"/>
        </w:rPr>
        <w:t xml:space="preserve"> might be difficult. Traditional assessments such as tests and quizzes may not effectively reflect the level of information achieved via research and discovery (Wiliam, 2007; Wiliam and Black, 1998; Griffith and Burns, 2012).</w:t>
      </w:r>
      <w:r w:rsidR="006F19D4">
        <w:rPr>
          <w:rFonts w:ascii="Arial" w:hAnsi="Arial" w:cs="Arial"/>
          <w:sz w:val="22"/>
          <w:szCs w:val="22"/>
        </w:rPr>
        <w:t xml:space="preserve"> </w:t>
      </w:r>
      <w:r w:rsidRPr="0029566F">
        <w:rPr>
          <w:rFonts w:ascii="Arial" w:hAnsi="Arial" w:cs="Arial"/>
          <w:sz w:val="22"/>
          <w:szCs w:val="22"/>
        </w:rPr>
        <w:t xml:space="preserve">Despite these limits, </w:t>
      </w:r>
      <w:r w:rsidR="009662FD" w:rsidRPr="0029566F">
        <w:rPr>
          <w:rFonts w:ascii="Arial" w:hAnsi="Arial" w:cs="Arial"/>
          <w:sz w:val="22"/>
          <w:szCs w:val="22"/>
        </w:rPr>
        <w:t>using real-life context in</w:t>
      </w:r>
      <w:r w:rsidRPr="0029566F">
        <w:rPr>
          <w:rFonts w:ascii="Arial" w:hAnsi="Arial" w:cs="Arial"/>
          <w:sz w:val="22"/>
          <w:szCs w:val="22"/>
        </w:rPr>
        <w:t xml:space="preserve"> </w:t>
      </w:r>
      <w:r w:rsidR="009662FD" w:rsidRPr="0029566F">
        <w:rPr>
          <w:rFonts w:ascii="Arial" w:hAnsi="Arial" w:cs="Arial"/>
          <w:sz w:val="22"/>
          <w:szCs w:val="22"/>
        </w:rPr>
        <w:t>the classroom</w:t>
      </w:r>
      <w:r w:rsidRPr="0029566F">
        <w:rPr>
          <w:rFonts w:ascii="Arial" w:hAnsi="Arial" w:cs="Arial"/>
          <w:sz w:val="22"/>
          <w:szCs w:val="22"/>
        </w:rPr>
        <w:t xml:space="preserve"> is a very effective way of learning that can significantly improve learners' understanding, engagement, and knowledge acquisition (Holt, 2011; Aubrey and Riley, 2019; Grimmer, 2019). Furthermore, teachers frequently integrate hands-on learning with other teaching approaches to address some of these constraints, providing their students with a well-rounded and successful educational experience (Moore, 2012; Fletcher-Wood et al., 2020).</w:t>
      </w:r>
      <w:r w:rsidR="00577E61" w:rsidRPr="0029566F">
        <w:rPr>
          <w:rFonts w:ascii="Arial" w:hAnsi="Arial" w:cs="Arial"/>
          <w:sz w:val="22"/>
          <w:szCs w:val="22"/>
        </w:rPr>
        <w:t xml:space="preserve"> </w:t>
      </w:r>
      <w:r w:rsidRPr="0029566F">
        <w:rPr>
          <w:rFonts w:ascii="Arial" w:hAnsi="Arial" w:cs="Arial"/>
          <w:sz w:val="22"/>
          <w:szCs w:val="22"/>
        </w:rPr>
        <w:t xml:space="preserve">Consequently, teachers can help students reach their full potential and establish a strong foundation for learning by implementing a variety of pedagogical approaches in the classroom (Fletcher-Wood </w:t>
      </w:r>
      <w:r w:rsidRPr="0029566F">
        <w:rPr>
          <w:rFonts w:ascii="Arial" w:hAnsi="Arial" w:cs="Arial"/>
          <w:i/>
          <w:iCs/>
          <w:sz w:val="22"/>
          <w:szCs w:val="22"/>
        </w:rPr>
        <w:t>et al.,</w:t>
      </w:r>
      <w:r w:rsidRPr="0029566F">
        <w:rPr>
          <w:rFonts w:ascii="Arial" w:hAnsi="Arial" w:cs="Arial"/>
          <w:sz w:val="22"/>
          <w:szCs w:val="22"/>
        </w:rPr>
        <w:t xml:space="preserve"> 2020</w:t>
      </w:r>
      <w:r w:rsidR="009A73CB" w:rsidRPr="0029566F">
        <w:rPr>
          <w:rFonts w:ascii="Arial" w:hAnsi="Arial" w:cs="Arial"/>
          <w:sz w:val="22"/>
          <w:szCs w:val="22"/>
        </w:rPr>
        <w:t>; Bradberry and Maio, 2019</w:t>
      </w:r>
      <w:r w:rsidRPr="0029566F">
        <w:rPr>
          <w:rFonts w:ascii="Arial" w:hAnsi="Arial" w:cs="Arial"/>
          <w:sz w:val="22"/>
          <w:szCs w:val="22"/>
        </w:rPr>
        <w:t>).</w:t>
      </w:r>
    </w:p>
    <w:p w14:paraId="30A05618" w14:textId="14858A9C" w:rsidR="00380B3E" w:rsidRPr="0029566F" w:rsidRDefault="000E4370" w:rsidP="006F19D4">
      <w:pPr>
        <w:pStyle w:val="ListParagraph"/>
        <w:spacing w:after="0" w:line="360" w:lineRule="auto"/>
        <w:ind w:left="0" w:firstLine="720"/>
        <w:jc w:val="both"/>
        <w:rPr>
          <w:rFonts w:ascii="Arial" w:hAnsi="Arial" w:cs="Arial"/>
          <w:sz w:val="22"/>
          <w:szCs w:val="22"/>
        </w:rPr>
      </w:pPr>
      <w:r w:rsidRPr="0029566F">
        <w:rPr>
          <w:rFonts w:ascii="Arial" w:hAnsi="Arial" w:cs="Arial"/>
          <w:sz w:val="22"/>
          <w:szCs w:val="22"/>
          <w:shd w:val="clear" w:color="auto" w:fill="FFFFFF"/>
        </w:rPr>
        <w:t xml:space="preserve">Connections between the </w:t>
      </w:r>
      <w:proofErr w:type="gramStart"/>
      <w:r w:rsidRPr="0029566F">
        <w:rPr>
          <w:rFonts w:ascii="Arial" w:hAnsi="Arial" w:cs="Arial"/>
          <w:sz w:val="22"/>
          <w:szCs w:val="22"/>
          <w:shd w:val="clear" w:color="auto" w:fill="FFFFFF"/>
        </w:rPr>
        <w:t>aforementioned literature</w:t>
      </w:r>
      <w:proofErr w:type="gramEnd"/>
      <w:r w:rsidRPr="0029566F">
        <w:rPr>
          <w:rFonts w:ascii="Arial" w:hAnsi="Arial" w:cs="Arial"/>
          <w:sz w:val="22"/>
          <w:szCs w:val="22"/>
          <w:shd w:val="clear" w:color="auto" w:fill="FFFFFF"/>
        </w:rPr>
        <w:t xml:space="preserve"> and this case study are apparent. Notably, David's (2023) dissertation on teachers’ perceptions of Pedagogy in teaching mathematics to EAL students draws inspiration. Dewey's theory, advocating learning through experience (Grace &amp; Lee, 2014), and Aristotle's notion of teaching as an art of doing (Peters &amp; </w:t>
      </w:r>
      <w:proofErr w:type="spellStart"/>
      <w:r w:rsidRPr="0029566F">
        <w:rPr>
          <w:rFonts w:ascii="Arial" w:hAnsi="Arial" w:cs="Arial"/>
          <w:sz w:val="22"/>
          <w:szCs w:val="22"/>
          <w:shd w:val="clear" w:color="auto" w:fill="FFFFFF"/>
        </w:rPr>
        <w:t>Xudong</w:t>
      </w:r>
      <w:proofErr w:type="spellEnd"/>
      <w:r w:rsidRPr="0029566F">
        <w:rPr>
          <w:rFonts w:ascii="Arial" w:hAnsi="Arial" w:cs="Arial"/>
          <w:sz w:val="22"/>
          <w:szCs w:val="22"/>
          <w:shd w:val="clear" w:color="auto" w:fill="FFFFFF"/>
        </w:rPr>
        <w:t>, 2023) further enrich this discourse. Estyn (2020) underscores the effectiveness of authentic learning across all domains, aligning with Donaldson's (2015) pedagogical principles, among which integrating real-life contexts is paramount. This approach resonates with the professional teaching standards set forth by the Welsh Government in 2019, emphasizing real-world applications, authentic contexts, interdisciplinary learning, and teachers' dedication to embedding genuine experiences into the curriculum.</w:t>
      </w:r>
    </w:p>
    <w:p w14:paraId="01C9B051" w14:textId="77777777" w:rsidR="00481F84" w:rsidRPr="0029566F" w:rsidRDefault="00481F84" w:rsidP="008A0A33">
      <w:pPr>
        <w:jc w:val="both"/>
        <w:rPr>
          <w:rFonts w:ascii="Arial" w:hAnsi="Arial" w:cs="Arial"/>
          <w:sz w:val="22"/>
          <w:szCs w:val="22"/>
        </w:rPr>
      </w:pPr>
    </w:p>
    <w:p w14:paraId="70671EE6" w14:textId="4EC7A52B"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Explanation of Case Study – 600</w:t>
      </w:r>
    </w:p>
    <w:p w14:paraId="1F853704" w14:textId="77777777" w:rsidR="00A02FA6" w:rsidRPr="0029566F" w:rsidRDefault="00A02FA6" w:rsidP="008A0A33">
      <w:pPr>
        <w:pStyle w:val="ListParagraph"/>
        <w:ind w:left="0"/>
        <w:jc w:val="both"/>
        <w:rPr>
          <w:rFonts w:ascii="Arial" w:hAnsi="Arial" w:cs="Arial"/>
          <w:b/>
          <w:bCs/>
          <w:sz w:val="22"/>
          <w:szCs w:val="22"/>
        </w:rPr>
      </w:pPr>
    </w:p>
    <w:p w14:paraId="5370E990" w14:textId="77777777" w:rsidR="0091254D" w:rsidRPr="0029566F" w:rsidRDefault="0091254D" w:rsidP="006F19D4">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29566F">
        <w:rPr>
          <w:rFonts w:ascii="Arial" w:eastAsia="Times New Roman" w:hAnsi="Arial" w:cs="Arial"/>
          <w:kern w:val="0"/>
          <w:sz w:val="22"/>
          <w:szCs w:val="22"/>
          <w14:ligatures w14:val="none"/>
        </w:rPr>
        <w:t xml:space="preserve">A case study is a thorough examination of people, things, decisions, periods, campaigns, laws, institutions, and other systems </w:t>
      </w:r>
      <w:proofErr w:type="gramStart"/>
      <w:r w:rsidRPr="0029566F">
        <w:rPr>
          <w:rFonts w:ascii="Arial" w:eastAsia="Times New Roman" w:hAnsi="Arial" w:cs="Arial"/>
          <w:kern w:val="0"/>
          <w:sz w:val="22"/>
          <w:szCs w:val="22"/>
          <w14:ligatures w14:val="none"/>
        </w:rPr>
        <w:t>through the use of</w:t>
      </w:r>
      <w:proofErr w:type="gramEnd"/>
      <w:r w:rsidRPr="0029566F">
        <w:rPr>
          <w:rFonts w:ascii="Arial" w:eastAsia="Times New Roman" w:hAnsi="Arial" w:cs="Arial"/>
          <w:kern w:val="0"/>
          <w:sz w:val="22"/>
          <w:szCs w:val="22"/>
          <w14:ligatures w14:val="none"/>
        </w:rPr>
        <w:t xml:space="preserve"> one or more approaches (Thomas, 2011). According to Schutt (2006), the objective is to offer a thorough comprehension of complex phenomena, frequently concentrating on a solitary person, team, </w:t>
      </w:r>
      <w:r w:rsidRPr="0029566F">
        <w:rPr>
          <w:rFonts w:ascii="Arial" w:eastAsia="Times New Roman" w:hAnsi="Arial" w:cs="Arial"/>
          <w:kern w:val="0"/>
          <w:sz w:val="22"/>
          <w:szCs w:val="22"/>
          <w14:ligatures w14:val="none"/>
        </w:rPr>
        <w:lastRenderedPageBreak/>
        <w:t xml:space="preserve">establishment, or occasion. </w:t>
      </w:r>
      <w:proofErr w:type="gramStart"/>
      <w:r w:rsidRPr="0029566F">
        <w:rPr>
          <w:rFonts w:ascii="Arial" w:eastAsia="Times New Roman" w:hAnsi="Arial" w:cs="Arial"/>
          <w:kern w:val="0"/>
          <w:sz w:val="22"/>
          <w:szCs w:val="22"/>
          <w14:ligatures w14:val="none"/>
        </w:rPr>
        <w:t>In order to</w:t>
      </w:r>
      <w:proofErr w:type="gramEnd"/>
      <w:r w:rsidRPr="0029566F">
        <w:rPr>
          <w:rFonts w:ascii="Arial" w:eastAsia="Times New Roman" w:hAnsi="Arial" w:cs="Arial"/>
          <w:kern w:val="0"/>
          <w:sz w:val="22"/>
          <w:szCs w:val="22"/>
          <w14:ligatures w14:val="none"/>
        </w:rPr>
        <w:t xml:space="preserve"> identify patterns, themes, and connections within the case, researchers gather thorough data using a variety of techniques, including observations, interviews, documents, and resources (Tight, 2010).</w:t>
      </w:r>
    </w:p>
    <w:p w14:paraId="6AB55C6C" w14:textId="699AA0B6" w:rsidR="00F42D3B" w:rsidRPr="0029566F" w:rsidRDefault="005C2714" w:rsidP="006F19D4">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5C2714">
        <w:rPr>
          <w:rFonts w:ascii="Arial" w:eastAsia="Times New Roman" w:hAnsi="Arial" w:cs="Arial"/>
          <w:kern w:val="0"/>
          <w:sz w:val="22"/>
          <w:szCs w:val="22"/>
          <w14:ligatures w14:val="none"/>
        </w:rPr>
        <w:t xml:space="preserve">The purpose behind using case study research is to offer valuable insights regarding situations. Although there are certain restrictions. A criticism suggested by Thomas (2011) is that there might not be sufficient generalisation. </w:t>
      </w:r>
      <w:proofErr w:type="gramStart"/>
      <w:r w:rsidRPr="005C2714">
        <w:rPr>
          <w:rFonts w:ascii="Arial" w:eastAsia="Times New Roman" w:hAnsi="Arial" w:cs="Arial"/>
          <w:kern w:val="0"/>
          <w:sz w:val="22"/>
          <w:szCs w:val="22"/>
          <w14:ligatures w14:val="none"/>
        </w:rPr>
        <w:t>In spite of</w:t>
      </w:r>
      <w:proofErr w:type="gramEnd"/>
      <w:r w:rsidRPr="005C2714">
        <w:rPr>
          <w:rFonts w:ascii="Arial" w:eastAsia="Times New Roman" w:hAnsi="Arial" w:cs="Arial"/>
          <w:kern w:val="0"/>
          <w:sz w:val="22"/>
          <w:szCs w:val="22"/>
          <w14:ligatures w14:val="none"/>
        </w:rPr>
        <w:t xml:space="preserve"> their typical focus on a single occurrence or small sample, case studies can produce findings that are difficult to generalise.</w:t>
      </w:r>
      <w:r w:rsidRPr="0029566F">
        <w:rPr>
          <w:rFonts w:ascii="Arial" w:eastAsia="Times New Roman" w:hAnsi="Arial" w:cs="Arial"/>
          <w:kern w:val="0"/>
          <w:sz w:val="22"/>
          <w:szCs w:val="22"/>
          <w14:ligatures w14:val="none"/>
        </w:rPr>
        <w:t xml:space="preserve"> </w:t>
      </w:r>
      <w:r w:rsidRPr="005C2714">
        <w:rPr>
          <w:rFonts w:ascii="Arial" w:eastAsia="Times New Roman" w:hAnsi="Arial" w:cs="Arial"/>
          <w:kern w:val="0"/>
          <w:sz w:val="22"/>
          <w:szCs w:val="22"/>
          <w14:ligatures w14:val="none"/>
        </w:rPr>
        <w:t xml:space="preserve">Moreover, case studies' subjective data </w:t>
      </w:r>
      <w:r w:rsidR="006F19D4" w:rsidRPr="005C2714">
        <w:rPr>
          <w:rFonts w:ascii="Arial" w:eastAsia="Times New Roman" w:hAnsi="Arial" w:cs="Arial"/>
          <w:kern w:val="0"/>
          <w:sz w:val="22"/>
          <w:szCs w:val="22"/>
          <w14:ligatures w14:val="none"/>
        </w:rPr>
        <w:t>gathering,</w:t>
      </w:r>
      <w:r w:rsidRPr="005C2714">
        <w:rPr>
          <w:rFonts w:ascii="Arial" w:eastAsia="Times New Roman" w:hAnsi="Arial" w:cs="Arial"/>
          <w:kern w:val="0"/>
          <w:sz w:val="22"/>
          <w:szCs w:val="22"/>
          <w14:ligatures w14:val="none"/>
        </w:rPr>
        <w:t xml:space="preserve"> and analysis methods may induce bias (Gall and Borg, 2005). The conditions surrounding data collecting and the interpretations made by researchers can both have an impact on the study's outcomes</w:t>
      </w:r>
      <w:r w:rsidRPr="0029566F">
        <w:rPr>
          <w:rFonts w:ascii="Arial" w:eastAsia="Times New Roman" w:hAnsi="Arial" w:cs="Arial"/>
          <w:kern w:val="0"/>
          <w:sz w:val="22"/>
          <w:szCs w:val="22"/>
          <w14:ligatures w14:val="none"/>
        </w:rPr>
        <w:t xml:space="preserve"> (</w:t>
      </w:r>
      <w:r w:rsidRPr="005C2714">
        <w:rPr>
          <w:rFonts w:ascii="Arial" w:eastAsia="Times New Roman" w:hAnsi="Arial" w:cs="Arial"/>
          <w:kern w:val="0"/>
          <w:sz w:val="22"/>
          <w:szCs w:val="22"/>
          <w14:ligatures w14:val="none"/>
        </w:rPr>
        <w:t>Gall and Borg, 2005</w:t>
      </w:r>
      <w:r w:rsidRPr="0029566F">
        <w:rPr>
          <w:rFonts w:ascii="Arial" w:eastAsia="Times New Roman" w:hAnsi="Arial" w:cs="Arial"/>
          <w:kern w:val="0"/>
          <w:sz w:val="22"/>
          <w:szCs w:val="22"/>
          <w14:ligatures w14:val="none"/>
        </w:rPr>
        <w:t>)</w:t>
      </w:r>
      <w:r w:rsidRPr="005C2714">
        <w:rPr>
          <w:rFonts w:ascii="Arial" w:eastAsia="Times New Roman" w:hAnsi="Arial" w:cs="Arial"/>
          <w:kern w:val="0"/>
          <w:sz w:val="22"/>
          <w:szCs w:val="22"/>
          <w14:ligatures w14:val="none"/>
        </w:rPr>
        <w:t>.</w:t>
      </w:r>
      <w:r w:rsidR="006F19D4">
        <w:rPr>
          <w:rFonts w:ascii="Arial" w:eastAsia="Times New Roman" w:hAnsi="Arial" w:cs="Arial"/>
          <w:kern w:val="0"/>
          <w:sz w:val="22"/>
          <w:szCs w:val="22"/>
          <w14:ligatures w14:val="none"/>
        </w:rPr>
        <w:t xml:space="preserve"> </w:t>
      </w:r>
      <w:r w:rsidR="00F42D3B" w:rsidRPr="0029566F">
        <w:rPr>
          <w:rFonts w:ascii="Arial" w:eastAsia="Times New Roman" w:hAnsi="Arial" w:cs="Arial"/>
          <w:kern w:val="0"/>
          <w:sz w:val="22"/>
          <w:szCs w:val="22"/>
          <w14:ligatures w14:val="none"/>
        </w:rPr>
        <w:t>Notwithstanding these limitations, case study research is still a useful strategy, especially when applied to exploratory and descriptive research situations</w:t>
      </w:r>
      <w:r w:rsidR="00BF09BF" w:rsidRPr="0029566F">
        <w:rPr>
          <w:rFonts w:ascii="Arial" w:eastAsia="Times New Roman" w:hAnsi="Arial" w:cs="Arial"/>
          <w:kern w:val="0"/>
          <w:sz w:val="22"/>
          <w:szCs w:val="22"/>
          <w14:ligatures w14:val="none"/>
        </w:rPr>
        <w:t xml:space="preserve"> (Thomas, 2011)</w:t>
      </w:r>
      <w:r w:rsidR="00F42D3B" w:rsidRPr="0029566F">
        <w:rPr>
          <w:rFonts w:ascii="Arial" w:eastAsia="Times New Roman" w:hAnsi="Arial" w:cs="Arial"/>
          <w:kern w:val="0"/>
          <w:sz w:val="22"/>
          <w:szCs w:val="22"/>
          <w14:ligatures w14:val="none"/>
        </w:rPr>
        <w:t>. Rich, contextualised data that case studies provide can be used to establish theories in a variety of domains, provide insightful analysis, and spark new research ideas</w:t>
      </w:r>
      <w:r w:rsidR="00BF09BF" w:rsidRPr="0029566F">
        <w:rPr>
          <w:rFonts w:ascii="Arial" w:eastAsia="Times New Roman" w:hAnsi="Arial" w:cs="Arial"/>
          <w:kern w:val="0"/>
          <w:sz w:val="22"/>
          <w:szCs w:val="22"/>
          <w14:ligatures w14:val="none"/>
        </w:rPr>
        <w:t xml:space="preserve"> (Shutt, 2006)</w:t>
      </w:r>
      <w:r w:rsidR="00F42D3B" w:rsidRPr="0029566F">
        <w:rPr>
          <w:rFonts w:ascii="Arial" w:eastAsia="Times New Roman" w:hAnsi="Arial" w:cs="Arial"/>
          <w:kern w:val="0"/>
          <w:sz w:val="22"/>
          <w:szCs w:val="22"/>
          <w14:ligatures w14:val="none"/>
        </w:rPr>
        <w:t xml:space="preserve">. For a more thorough understanding of the phenomenon being studied, researchers should </w:t>
      </w:r>
      <w:proofErr w:type="gramStart"/>
      <w:r w:rsidR="00F42D3B" w:rsidRPr="0029566F">
        <w:rPr>
          <w:rFonts w:ascii="Arial" w:eastAsia="Times New Roman" w:hAnsi="Arial" w:cs="Arial"/>
          <w:kern w:val="0"/>
          <w:sz w:val="22"/>
          <w:szCs w:val="22"/>
          <w14:ligatures w14:val="none"/>
        </w:rPr>
        <w:t>take into account</w:t>
      </w:r>
      <w:proofErr w:type="gramEnd"/>
      <w:r w:rsidR="00F42D3B" w:rsidRPr="0029566F">
        <w:rPr>
          <w:rFonts w:ascii="Arial" w:eastAsia="Times New Roman" w:hAnsi="Arial" w:cs="Arial"/>
          <w:kern w:val="0"/>
          <w:sz w:val="22"/>
          <w:szCs w:val="22"/>
          <w14:ligatures w14:val="none"/>
        </w:rPr>
        <w:t xml:space="preserve"> the limits and biases that come with case study research and supplement findings with data from other research techniques</w:t>
      </w:r>
      <w:r w:rsidR="00561ABE" w:rsidRPr="0029566F">
        <w:rPr>
          <w:rFonts w:ascii="Arial" w:eastAsia="Times New Roman" w:hAnsi="Arial" w:cs="Arial"/>
          <w:kern w:val="0"/>
          <w:sz w:val="22"/>
          <w:szCs w:val="22"/>
          <w14:ligatures w14:val="none"/>
        </w:rPr>
        <w:t xml:space="preserve"> (Tomas, 2017)</w:t>
      </w:r>
      <w:r w:rsidR="00F42D3B" w:rsidRPr="0029566F">
        <w:rPr>
          <w:rFonts w:ascii="Arial" w:eastAsia="Times New Roman" w:hAnsi="Arial" w:cs="Arial"/>
          <w:kern w:val="0"/>
          <w:sz w:val="22"/>
          <w:szCs w:val="22"/>
          <w14:ligatures w14:val="none"/>
        </w:rPr>
        <w:t>.</w:t>
      </w:r>
    </w:p>
    <w:p w14:paraId="424D6F37" w14:textId="3FC775D1" w:rsidR="009A6F70" w:rsidRPr="006F19D4" w:rsidRDefault="005C2714" w:rsidP="006F19D4">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5C2714">
        <w:rPr>
          <w:rFonts w:ascii="Arial" w:eastAsia="Times New Roman" w:hAnsi="Arial" w:cs="Arial"/>
          <w:kern w:val="0"/>
          <w:sz w:val="22"/>
          <w:szCs w:val="22"/>
          <w14:ligatures w14:val="none"/>
        </w:rPr>
        <w:t>This case study explore</w:t>
      </w:r>
      <w:r w:rsidR="00F11BB6">
        <w:rPr>
          <w:rFonts w:ascii="Arial" w:eastAsia="Times New Roman" w:hAnsi="Arial" w:cs="Arial"/>
          <w:kern w:val="0"/>
          <w:sz w:val="22"/>
          <w:szCs w:val="22"/>
          <w14:ligatures w14:val="none"/>
        </w:rPr>
        <w:t>d</w:t>
      </w:r>
      <w:r w:rsidRPr="005C2714">
        <w:rPr>
          <w:rFonts w:ascii="Arial" w:eastAsia="Times New Roman" w:hAnsi="Arial" w:cs="Arial"/>
          <w:kern w:val="0"/>
          <w:sz w:val="22"/>
          <w:szCs w:val="22"/>
          <w14:ligatures w14:val="none"/>
        </w:rPr>
        <w:t xml:space="preserve"> the experiences of </w:t>
      </w:r>
      <w:r w:rsidRPr="0029566F">
        <w:rPr>
          <w:rFonts w:ascii="Arial" w:eastAsia="Times New Roman" w:hAnsi="Arial" w:cs="Arial"/>
          <w:kern w:val="0"/>
          <w:sz w:val="22"/>
          <w:szCs w:val="22"/>
          <w14:ligatures w14:val="none"/>
        </w:rPr>
        <w:t>EAL</w:t>
      </w:r>
      <w:r w:rsidRPr="005C2714">
        <w:rPr>
          <w:rFonts w:ascii="Arial" w:eastAsia="Times New Roman" w:hAnsi="Arial" w:cs="Arial"/>
          <w:kern w:val="0"/>
          <w:sz w:val="22"/>
          <w:szCs w:val="22"/>
          <w14:ligatures w14:val="none"/>
        </w:rPr>
        <w:t xml:space="preserve"> learners in mathematics education, emphasising the use of real-world situations to improve learning outcomes. According to Sion (2009), EAL learners frequently rely on sensory experiences to make sense of their surroundings, which emphasises the value of experiential learning methods that are hands-on. Using focus groups and observation as research methodologies, this </w:t>
      </w:r>
      <w:r w:rsidR="00123647" w:rsidRPr="0029566F">
        <w:rPr>
          <w:rFonts w:ascii="Arial" w:eastAsia="Times New Roman" w:hAnsi="Arial" w:cs="Arial"/>
          <w:kern w:val="0"/>
          <w:sz w:val="22"/>
          <w:szCs w:val="22"/>
          <w14:ligatures w14:val="none"/>
        </w:rPr>
        <w:t>case study</w:t>
      </w:r>
      <w:r w:rsidRPr="005C2714">
        <w:rPr>
          <w:rFonts w:ascii="Arial" w:eastAsia="Times New Roman" w:hAnsi="Arial" w:cs="Arial"/>
          <w:kern w:val="0"/>
          <w:sz w:val="22"/>
          <w:szCs w:val="22"/>
          <w14:ligatures w14:val="none"/>
        </w:rPr>
        <w:t xml:space="preserve"> intend</w:t>
      </w:r>
      <w:r w:rsidR="00F11BB6">
        <w:rPr>
          <w:rFonts w:ascii="Arial" w:eastAsia="Times New Roman" w:hAnsi="Arial" w:cs="Arial"/>
          <w:kern w:val="0"/>
          <w:sz w:val="22"/>
          <w:szCs w:val="22"/>
          <w14:ligatures w14:val="none"/>
        </w:rPr>
        <w:t>ed</w:t>
      </w:r>
      <w:r w:rsidRPr="005C2714">
        <w:rPr>
          <w:rFonts w:ascii="Arial" w:eastAsia="Times New Roman" w:hAnsi="Arial" w:cs="Arial"/>
          <w:kern w:val="0"/>
          <w:sz w:val="22"/>
          <w:szCs w:val="22"/>
          <w14:ligatures w14:val="none"/>
        </w:rPr>
        <w:t xml:space="preserve"> to explore the effects of introducing real-life circumstances into mathematics </w:t>
      </w:r>
      <w:r w:rsidR="00123647" w:rsidRPr="0029566F">
        <w:rPr>
          <w:rFonts w:ascii="Arial" w:eastAsia="Times New Roman" w:hAnsi="Arial" w:cs="Arial"/>
          <w:kern w:val="0"/>
          <w:sz w:val="22"/>
          <w:szCs w:val="22"/>
          <w14:ligatures w14:val="none"/>
        </w:rPr>
        <w:t>for EAL</w:t>
      </w:r>
      <w:r w:rsidRPr="005C2714">
        <w:rPr>
          <w:rFonts w:ascii="Arial" w:eastAsia="Times New Roman" w:hAnsi="Arial" w:cs="Arial"/>
          <w:kern w:val="0"/>
          <w:sz w:val="22"/>
          <w:szCs w:val="22"/>
          <w14:ligatures w14:val="none"/>
        </w:rPr>
        <w:t xml:space="preserve"> learners. </w:t>
      </w:r>
      <w:r w:rsidR="009A6F70" w:rsidRPr="0029566F">
        <w:rPr>
          <w:rFonts w:ascii="Arial" w:hAnsi="Arial" w:cs="Arial"/>
          <w:sz w:val="22"/>
          <w:szCs w:val="22"/>
          <w:shd w:val="clear" w:color="auto" w:fill="FFFFFF"/>
        </w:rPr>
        <w:t>The research methodology encompasse</w:t>
      </w:r>
      <w:r w:rsidR="00F11BB6">
        <w:rPr>
          <w:rFonts w:ascii="Arial" w:hAnsi="Arial" w:cs="Arial"/>
          <w:sz w:val="22"/>
          <w:szCs w:val="22"/>
          <w:shd w:val="clear" w:color="auto" w:fill="FFFFFF"/>
        </w:rPr>
        <w:t>d</w:t>
      </w:r>
      <w:r w:rsidR="009A6F70" w:rsidRPr="0029566F">
        <w:rPr>
          <w:rFonts w:ascii="Arial" w:hAnsi="Arial" w:cs="Arial"/>
          <w:sz w:val="22"/>
          <w:szCs w:val="22"/>
          <w:shd w:val="clear" w:color="auto" w:fill="FFFFFF"/>
        </w:rPr>
        <w:t xml:space="preserve"> three key components: firstly, observation utilizing the Leuven scale to evaluate children's engagement during mathematics activities embedded within real-life contexts. Secondly, conducting focus group discussions to glean insights into students' perceptions of mathematics. Lastly, engaging in interview discussions with teachers to explore the integration of real-life contexts across other classes.</w:t>
      </w:r>
    </w:p>
    <w:p w14:paraId="661AFFDA" w14:textId="6181792E" w:rsidR="00103833" w:rsidRPr="0029566F" w:rsidRDefault="00103833" w:rsidP="006F19D4">
      <w:pPr>
        <w:spacing w:before="100" w:beforeAutospacing="1" w:after="100" w:afterAutospacing="1" w:line="360" w:lineRule="auto"/>
        <w:ind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 xml:space="preserve">The Leuven scale offers a structured framework for observing and evaluating children's </w:t>
      </w:r>
      <w:r w:rsidR="004977B1" w:rsidRPr="0029566F">
        <w:rPr>
          <w:rFonts w:ascii="Arial" w:hAnsi="Arial" w:cs="Arial"/>
          <w:sz w:val="22"/>
          <w:szCs w:val="22"/>
          <w:shd w:val="clear" w:color="auto" w:fill="FFFFFF"/>
        </w:rPr>
        <w:t>behaviours</w:t>
      </w:r>
      <w:r w:rsidRPr="0029566F">
        <w:rPr>
          <w:rFonts w:ascii="Arial" w:hAnsi="Arial" w:cs="Arial"/>
          <w:sz w:val="22"/>
          <w:szCs w:val="22"/>
          <w:shd w:val="clear" w:color="auto" w:fill="FFFFFF"/>
        </w:rPr>
        <w:t xml:space="preserve"> and interactions within the learning environment (Laevers, 2005). Focus group discussions with</w:t>
      </w:r>
      <w:r w:rsidR="004977B1" w:rsidRPr="0029566F">
        <w:rPr>
          <w:rFonts w:ascii="Arial" w:hAnsi="Arial" w:cs="Arial"/>
          <w:sz w:val="22"/>
          <w:szCs w:val="22"/>
          <w:shd w:val="clear" w:color="auto" w:fill="FFFFFF"/>
        </w:rPr>
        <w:t xml:space="preserve"> children to explore their attitude towards mathematics and</w:t>
      </w:r>
      <w:r w:rsidRPr="0029566F">
        <w:rPr>
          <w:rFonts w:ascii="Arial" w:hAnsi="Arial" w:cs="Arial"/>
          <w:sz w:val="22"/>
          <w:szCs w:val="22"/>
          <w:shd w:val="clear" w:color="auto" w:fill="FFFFFF"/>
        </w:rPr>
        <w:t xml:space="preserve"> teachers explore their perspectives on the use of real-life contexts in mathematics instruction for EAL learners</w:t>
      </w:r>
      <w:r w:rsidR="009A6F70" w:rsidRPr="0029566F">
        <w:rPr>
          <w:rFonts w:ascii="Arial" w:hAnsi="Arial" w:cs="Arial"/>
          <w:sz w:val="22"/>
          <w:szCs w:val="22"/>
          <w:shd w:val="clear" w:color="auto" w:fill="FFFFFF"/>
        </w:rPr>
        <w:t xml:space="preserve"> (Cohen, Manin, Morrison, 2018</w:t>
      </w:r>
      <w:r w:rsidR="0088586D" w:rsidRPr="0029566F">
        <w:rPr>
          <w:rFonts w:ascii="Arial" w:hAnsi="Arial" w:cs="Arial"/>
          <w:sz w:val="22"/>
          <w:szCs w:val="22"/>
          <w:shd w:val="clear" w:color="auto" w:fill="FFFFFF"/>
        </w:rPr>
        <w:t>; Thomas, 2023</w:t>
      </w:r>
      <w:proofErr w:type="gramStart"/>
      <w:r w:rsidR="009A6F70" w:rsidRPr="0029566F">
        <w:rPr>
          <w:rFonts w:ascii="Arial" w:hAnsi="Arial" w:cs="Arial"/>
          <w:sz w:val="22"/>
          <w:szCs w:val="22"/>
          <w:shd w:val="clear" w:color="auto" w:fill="FFFFFF"/>
        </w:rPr>
        <w:t>)</w:t>
      </w:r>
      <w:r w:rsidRPr="0029566F">
        <w:rPr>
          <w:rFonts w:ascii="Arial" w:hAnsi="Arial" w:cs="Arial"/>
          <w:sz w:val="22"/>
          <w:szCs w:val="22"/>
          <w:shd w:val="clear" w:color="auto" w:fill="FFFFFF"/>
        </w:rPr>
        <w:t>.</w:t>
      </w:r>
      <w:r w:rsidR="00280051" w:rsidRPr="0029566F">
        <w:rPr>
          <w:rFonts w:ascii="Arial" w:hAnsi="Arial" w:cs="Arial"/>
          <w:sz w:val="22"/>
          <w:szCs w:val="22"/>
          <w:shd w:val="clear" w:color="auto" w:fill="FFFFFF"/>
        </w:rPr>
        <w:t>Furthermore</w:t>
      </w:r>
      <w:proofErr w:type="gramEnd"/>
      <w:r w:rsidR="00280051" w:rsidRPr="0029566F">
        <w:rPr>
          <w:rFonts w:ascii="Arial" w:hAnsi="Arial" w:cs="Arial"/>
          <w:sz w:val="22"/>
          <w:szCs w:val="22"/>
          <w:shd w:val="clear" w:color="auto" w:fill="FFFFFF"/>
        </w:rPr>
        <w:t xml:space="preserve">, the </w:t>
      </w:r>
      <w:r w:rsidRPr="0029566F">
        <w:rPr>
          <w:rFonts w:ascii="Arial" w:hAnsi="Arial" w:cs="Arial"/>
          <w:sz w:val="22"/>
          <w:szCs w:val="22"/>
          <w:shd w:val="clear" w:color="auto" w:fill="FFFFFF"/>
        </w:rPr>
        <w:t>observation utilizing the Leuven scale reveal</w:t>
      </w:r>
      <w:r w:rsidR="00280051" w:rsidRPr="0029566F">
        <w:rPr>
          <w:rFonts w:ascii="Arial" w:hAnsi="Arial" w:cs="Arial"/>
          <w:sz w:val="22"/>
          <w:szCs w:val="22"/>
          <w:shd w:val="clear" w:color="auto" w:fill="FFFFFF"/>
        </w:rPr>
        <w:t>s</w:t>
      </w:r>
      <w:r w:rsidRPr="0029566F">
        <w:rPr>
          <w:rFonts w:ascii="Arial" w:hAnsi="Arial" w:cs="Arial"/>
          <w:sz w:val="22"/>
          <w:szCs w:val="22"/>
          <w:shd w:val="clear" w:color="auto" w:fill="FFFFFF"/>
        </w:rPr>
        <w:t xml:space="preserve"> patterns of engagement and interaction among EAL learners during </w:t>
      </w:r>
      <w:r w:rsidRPr="0029566F">
        <w:rPr>
          <w:rFonts w:ascii="Arial" w:hAnsi="Arial" w:cs="Arial"/>
          <w:sz w:val="22"/>
          <w:szCs w:val="22"/>
          <w:shd w:val="clear" w:color="auto" w:fill="FFFFFF"/>
        </w:rPr>
        <w:lastRenderedPageBreak/>
        <w:t>mathematics activities with real-life contexts</w:t>
      </w:r>
      <w:r w:rsidR="00280051" w:rsidRPr="0029566F">
        <w:rPr>
          <w:rFonts w:ascii="Arial" w:hAnsi="Arial" w:cs="Arial"/>
          <w:sz w:val="22"/>
          <w:szCs w:val="22"/>
          <w:shd w:val="clear" w:color="auto" w:fill="FFFFFF"/>
        </w:rPr>
        <w:t xml:space="preserve">. </w:t>
      </w:r>
      <w:r w:rsidR="00280051" w:rsidRPr="0029566F">
        <w:rPr>
          <w:rFonts w:ascii="Arial" w:hAnsi="Arial" w:cs="Arial"/>
          <w:sz w:val="22"/>
          <w:szCs w:val="22"/>
          <w:shd w:val="clear" w:color="auto" w:fill="FFFFFF"/>
        </w:rPr>
        <w:t xml:space="preserve">The observation serves as a foundation for understanding the effectiveness of hands-on and experiential pedagogical </w:t>
      </w:r>
      <w:r w:rsidR="00280051" w:rsidRPr="0029566F">
        <w:rPr>
          <w:rFonts w:ascii="Arial" w:hAnsi="Arial" w:cs="Arial"/>
          <w:sz w:val="22"/>
          <w:szCs w:val="22"/>
          <w:shd w:val="clear" w:color="auto" w:fill="FFFFFF"/>
        </w:rPr>
        <w:t>approaches. The</w:t>
      </w:r>
      <w:r w:rsidR="004977B1" w:rsidRPr="0029566F">
        <w:rPr>
          <w:rFonts w:ascii="Arial" w:hAnsi="Arial" w:cs="Arial"/>
          <w:sz w:val="22"/>
          <w:szCs w:val="22"/>
          <w:shd w:val="clear" w:color="auto" w:fill="FFFFFF"/>
        </w:rPr>
        <w:t xml:space="preserve"> focus group discussion</w:t>
      </w:r>
      <w:r w:rsidR="00280051" w:rsidRPr="0029566F">
        <w:rPr>
          <w:rFonts w:ascii="Arial" w:hAnsi="Arial" w:cs="Arial"/>
          <w:sz w:val="22"/>
          <w:szCs w:val="22"/>
          <w:shd w:val="clear" w:color="auto" w:fill="FFFFFF"/>
        </w:rPr>
        <w:t xml:space="preserve"> is</w:t>
      </w:r>
      <w:r w:rsidR="004977B1" w:rsidRPr="0029566F">
        <w:rPr>
          <w:rFonts w:ascii="Arial" w:hAnsi="Arial" w:cs="Arial"/>
          <w:sz w:val="22"/>
          <w:szCs w:val="22"/>
          <w:shd w:val="clear" w:color="auto" w:fill="FFFFFF"/>
        </w:rPr>
        <w:t xml:space="preserve"> to explore children’ perception of </w:t>
      </w:r>
      <w:r w:rsidR="00CC3094" w:rsidRPr="0029566F">
        <w:rPr>
          <w:rFonts w:ascii="Arial" w:hAnsi="Arial" w:cs="Arial"/>
          <w:sz w:val="22"/>
          <w:szCs w:val="22"/>
          <w:shd w:val="clear" w:color="auto" w:fill="FFFFFF"/>
        </w:rPr>
        <w:t>mathematics.</w:t>
      </w:r>
      <w:r w:rsidRPr="0029566F">
        <w:rPr>
          <w:rFonts w:ascii="Arial" w:hAnsi="Arial" w:cs="Arial"/>
          <w:sz w:val="22"/>
          <w:szCs w:val="22"/>
          <w:shd w:val="clear" w:color="auto" w:fill="FFFFFF"/>
        </w:rPr>
        <w:t xml:space="preserve"> </w:t>
      </w:r>
      <w:r w:rsidR="00280051" w:rsidRPr="0029566F">
        <w:rPr>
          <w:rFonts w:ascii="Arial" w:hAnsi="Arial" w:cs="Arial"/>
          <w:sz w:val="22"/>
          <w:szCs w:val="22"/>
          <w:shd w:val="clear" w:color="auto" w:fill="FFFFFF"/>
        </w:rPr>
        <w:t>The i</w:t>
      </w:r>
      <w:r w:rsidR="004977B1" w:rsidRPr="0029566F">
        <w:rPr>
          <w:rFonts w:ascii="Arial" w:hAnsi="Arial" w:cs="Arial"/>
          <w:sz w:val="22"/>
          <w:szCs w:val="22"/>
          <w:shd w:val="clear" w:color="auto" w:fill="FFFFFF"/>
        </w:rPr>
        <w:t>nterviews</w:t>
      </w:r>
      <w:r w:rsidRPr="0029566F">
        <w:rPr>
          <w:rFonts w:ascii="Arial" w:hAnsi="Arial" w:cs="Arial"/>
          <w:sz w:val="22"/>
          <w:szCs w:val="22"/>
          <w:shd w:val="clear" w:color="auto" w:fill="FFFFFF"/>
        </w:rPr>
        <w:t xml:space="preserve"> with teachers provide valuable insights into the</w:t>
      </w:r>
      <w:r w:rsidR="00F60605" w:rsidRPr="0029566F">
        <w:rPr>
          <w:rFonts w:ascii="Arial" w:hAnsi="Arial" w:cs="Arial"/>
          <w:sz w:val="22"/>
          <w:szCs w:val="22"/>
          <w:shd w:val="clear" w:color="auto" w:fill="FFFFFF"/>
        </w:rPr>
        <w:t xml:space="preserve"> teachers’ teaching</w:t>
      </w:r>
      <w:r w:rsidRPr="0029566F">
        <w:rPr>
          <w:rFonts w:ascii="Arial" w:hAnsi="Arial" w:cs="Arial"/>
          <w:sz w:val="22"/>
          <w:szCs w:val="22"/>
          <w:shd w:val="clear" w:color="auto" w:fill="FFFFFF"/>
        </w:rPr>
        <w:t xml:space="preserve"> practices and beliefs regarding the integration of real-life contexts in mathematics education for EAL learners</w:t>
      </w:r>
      <w:r w:rsidR="00F60605" w:rsidRPr="0029566F">
        <w:rPr>
          <w:rFonts w:ascii="Arial" w:hAnsi="Arial" w:cs="Arial"/>
          <w:sz w:val="22"/>
          <w:szCs w:val="22"/>
          <w:shd w:val="clear" w:color="auto" w:fill="FFFFFF"/>
        </w:rPr>
        <w:t xml:space="preserve">. </w:t>
      </w:r>
    </w:p>
    <w:p w14:paraId="23B5CBEF" w14:textId="61FFB77B" w:rsidR="007A003C" w:rsidRPr="0029566F" w:rsidRDefault="007A003C" w:rsidP="006F19D4">
      <w:pPr>
        <w:spacing w:before="100" w:beforeAutospacing="1" w:after="100" w:afterAutospacing="1" w:line="360" w:lineRule="auto"/>
        <w:ind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The findings of this study contribute</w:t>
      </w:r>
      <w:r w:rsidR="00F11BB6">
        <w:rPr>
          <w:rFonts w:ascii="Arial" w:hAnsi="Arial" w:cs="Arial"/>
          <w:sz w:val="22"/>
          <w:szCs w:val="22"/>
          <w:shd w:val="clear" w:color="auto" w:fill="FFFFFF"/>
        </w:rPr>
        <w:t>d</w:t>
      </w:r>
      <w:r w:rsidRPr="0029566F">
        <w:rPr>
          <w:rFonts w:ascii="Arial" w:hAnsi="Arial" w:cs="Arial"/>
          <w:sz w:val="22"/>
          <w:szCs w:val="22"/>
          <w:shd w:val="clear" w:color="auto" w:fill="FFFFFF"/>
        </w:rPr>
        <w:t xml:space="preserve"> significantly to the understanding of effective teaching strategies for EAL learners in mathematics education. Through the integration of real-life contexts, educators </w:t>
      </w:r>
      <w:proofErr w:type="gramStart"/>
      <w:r w:rsidRPr="0029566F">
        <w:rPr>
          <w:rFonts w:ascii="Arial" w:hAnsi="Arial" w:cs="Arial"/>
          <w:sz w:val="22"/>
          <w:szCs w:val="22"/>
          <w:shd w:val="clear" w:color="auto" w:fill="FFFFFF"/>
        </w:rPr>
        <w:t>are able to</w:t>
      </w:r>
      <w:proofErr w:type="gramEnd"/>
      <w:r w:rsidRPr="0029566F">
        <w:rPr>
          <w:rFonts w:ascii="Arial" w:hAnsi="Arial" w:cs="Arial"/>
          <w:sz w:val="22"/>
          <w:szCs w:val="22"/>
          <w:shd w:val="clear" w:color="auto" w:fill="FFFFFF"/>
        </w:rPr>
        <w:t xml:space="preserve"> craft meaningful and engaging learning experiences (</w:t>
      </w:r>
      <w:proofErr w:type="spellStart"/>
      <w:r w:rsidRPr="0029566F">
        <w:rPr>
          <w:rFonts w:ascii="Arial" w:hAnsi="Arial" w:cs="Arial"/>
          <w:sz w:val="22"/>
          <w:szCs w:val="22"/>
          <w:shd w:val="clear" w:color="auto" w:fill="FFFFFF"/>
        </w:rPr>
        <w:t>Mebert</w:t>
      </w:r>
      <w:proofErr w:type="spellEnd"/>
      <w:r w:rsidRPr="0029566F">
        <w:rPr>
          <w:rFonts w:ascii="Arial" w:hAnsi="Arial" w:cs="Arial"/>
          <w:sz w:val="22"/>
          <w:szCs w:val="22"/>
          <w:shd w:val="clear" w:color="auto" w:fill="FFFFFF"/>
        </w:rPr>
        <w:t xml:space="preserve"> et al., 2019). Additionally, the findings underscore the necessity of differentiation strategies, which play a pivotal role in catering to the diverse learning needs of EAL learners, especially in a subject as intricate as mathematics that demands meticulous attention to detail (</w:t>
      </w:r>
      <w:proofErr w:type="spellStart"/>
      <w:r w:rsidRPr="0029566F">
        <w:rPr>
          <w:rFonts w:ascii="Arial" w:hAnsi="Arial" w:cs="Arial"/>
          <w:sz w:val="22"/>
          <w:szCs w:val="22"/>
          <w:shd w:val="clear" w:color="auto" w:fill="FFFFFF"/>
        </w:rPr>
        <w:t>Boaler</w:t>
      </w:r>
      <w:proofErr w:type="spellEnd"/>
      <w:r w:rsidRPr="0029566F">
        <w:rPr>
          <w:rFonts w:ascii="Arial" w:hAnsi="Arial" w:cs="Arial"/>
          <w:sz w:val="22"/>
          <w:szCs w:val="22"/>
          <w:shd w:val="clear" w:color="auto" w:fill="FFFFFF"/>
        </w:rPr>
        <w:t>, 2008; Suh, 2023; David, 2023).</w:t>
      </w:r>
    </w:p>
    <w:p w14:paraId="5DA9E795" w14:textId="73F5FF37" w:rsidR="006F791D" w:rsidRPr="006F791D" w:rsidRDefault="006F791D" w:rsidP="006F19D4">
      <w:pPr>
        <w:spacing w:before="100" w:beforeAutospacing="1" w:after="100" w:afterAutospacing="1" w:line="360" w:lineRule="auto"/>
        <w:jc w:val="both"/>
        <w:rPr>
          <w:rFonts w:ascii="Arial" w:eastAsia="Times New Roman" w:hAnsi="Arial" w:cs="Arial"/>
          <w:kern w:val="0"/>
          <w:sz w:val="22"/>
          <w:szCs w:val="22"/>
          <w14:ligatures w14:val="none"/>
        </w:rPr>
      </w:pPr>
      <w:r w:rsidRPr="006F791D">
        <w:rPr>
          <w:rFonts w:ascii="Arial" w:eastAsia="Times New Roman" w:hAnsi="Arial" w:cs="Arial"/>
          <w:kern w:val="0"/>
          <w:sz w:val="22"/>
          <w:szCs w:val="22"/>
          <w14:ligatures w14:val="none"/>
        </w:rPr>
        <w:t xml:space="preserve">As a result, this case study was conducted in conjunction with EAL students through </w:t>
      </w:r>
      <w:r w:rsidR="00B35166" w:rsidRPr="0029566F">
        <w:rPr>
          <w:rFonts w:ascii="Arial" w:eastAsia="Times New Roman" w:hAnsi="Arial" w:cs="Arial"/>
          <w:kern w:val="0"/>
          <w:sz w:val="22"/>
          <w:szCs w:val="22"/>
          <w14:ligatures w14:val="none"/>
        </w:rPr>
        <w:t xml:space="preserve">a </w:t>
      </w:r>
      <w:r w:rsidRPr="006F791D">
        <w:rPr>
          <w:rFonts w:ascii="Arial" w:eastAsia="Times New Roman" w:hAnsi="Arial" w:cs="Arial"/>
          <w:kern w:val="0"/>
          <w:sz w:val="22"/>
          <w:szCs w:val="22"/>
          <w14:ligatures w14:val="none"/>
        </w:rPr>
        <w:t>close observation</w:t>
      </w:r>
      <w:r w:rsidR="00950930" w:rsidRPr="0029566F">
        <w:rPr>
          <w:rFonts w:ascii="Arial" w:eastAsia="Times New Roman" w:hAnsi="Arial" w:cs="Arial"/>
          <w:kern w:val="0"/>
          <w:sz w:val="22"/>
          <w:szCs w:val="22"/>
          <w14:ligatures w14:val="none"/>
        </w:rPr>
        <w:t xml:space="preserve"> and</w:t>
      </w:r>
      <w:r w:rsidRPr="006F791D">
        <w:rPr>
          <w:rFonts w:ascii="Arial" w:eastAsia="Times New Roman" w:hAnsi="Arial" w:cs="Arial"/>
          <w:kern w:val="0"/>
          <w:sz w:val="22"/>
          <w:szCs w:val="22"/>
          <w14:ligatures w14:val="none"/>
        </w:rPr>
        <w:t xml:space="preserve"> </w:t>
      </w:r>
      <w:r w:rsidR="00B35166" w:rsidRPr="0029566F">
        <w:rPr>
          <w:rFonts w:ascii="Arial" w:eastAsia="Times New Roman" w:hAnsi="Arial" w:cs="Arial"/>
          <w:kern w:val="0"/>
          <w:sz w:val="22"/>
          <w:szCs w:val="22"/>
          <w14:ligatures w14:val="none"/>
        </w:rPr>
        <w:t xml:space="preserve">a </w:t>
      </w:r>
      <w:r w:rsidRPr="006F791D">
        <w:rPr>
          <w:rFonts w:ascii="Arial" w:eastAsia="Times New Roman" w:hAnsi="Arial" w:cs="Arial"/>
          <w:kern w:val="0"/>
          <w:sz w:val="22"/>
          <w:szCs w:val="22"/>
          <w14:ligatures w14:val="none"/>
        </w:rPr>
        <w:t xml:space="preserve">focus group, </w:t>
      </w:r>
      <w:r w:rsidR="00950930" w:rsidRPr="0029566F">
        <w:rPr>
          <w:rFonts w:ascii="Arial" w:eastAsia="Times New Roman" w:hAnsi="Arial" w:cs="Arial"/>
          <w:kern w:val="0"/>
          <w:sz w:val="22"/>
          <w:szCs w:val="22"/>
          <w14:ligatures w14:val="none"/>
        </w:rPr>
        <w:t>as well as conducting</w:t>
      </w:r>
      <w:r w:rsidR="006F19D4">
        <w:rPr>
          <w:rFonts w:ascii="Arial" w:eastAsia="Times New Roman" w:hAnsi="Arial" w:cs="Arial"/>
          <w:kern w:val="0"/>
          <w:sz w:val="22"/>
          <w:szCs w:val="22"/>
          <w14:ligatures w14:val="none"/>
        </w:rPr>
        <w:t xml:space="preserve"> group</w:t>
      </w:r>
      <w:r w:rsidRPr="006F791D">
        <w:rPr>
          <w:rFonts w:ascii="Arial" w:eastAsia="Times New Roman" w:hAnsi="Arial" w:cs="Arial"/>
          <w:kern w:val="0"/>
          <w:sz w:val="22"/>
          <w:szCs w:val="22"/>
          <w14:ligatures w14:val="none"/>
        </w:rPr>
        <w:t xml:space="preserve"> interview</w:t>
      </w:r>
      <w:r w:rsidR="00950930" w:rsidRPr="0029566F">
        <w:rPr>
          <w:rFonts w:ascii="Arial" w:eastAsia="Times New Roman" w:hAnsi="Arial" w:cs="Arial"/>
          <w:kern w:val="0"/>
          <w:sz w:val="22"/>
          <w:szCs w:val="22"/>
          <w14:ligatures w14:val="none"/>
        </w:rPr>
        <w:t xml:space="preserve"> discussion </w:t>
      </w:r>
      <w:r w:rsidR="00B35166" w:rsidRPr="0029566F">
        <w:rPr>
          <w:rFonts w:ascii="Arial" w:eastAsia="Times New Roman" w:hAnsi="Arial" w:cs="Arial"/>
          <w:kern w:val="0"/>
          <w:sz w:val="22"/>
          <w:szCs w:val="22"/>
          <w14:ligatures w14:val="none"/>
        </w:rPr>
        <w:t xml:space="preserve">with the </w:t>
      </w:r>
      <w:r w:rsidR="006F19D4">
        <w:rPr>
          <w:rFonts w:ascii="Arial" w:eastAsia="Times New Roman" w:hAnsi="Arial" w:cs="Arial"/>
          <w:kern w:val="0"/>
          <w:sz w:val="22"/>
          <w:szCs w:val="22"/>
          <w14:ligatures w14:val="none"/>
        </w:rPr>
        <w:t xml:space="preserve">KS2 </w:t>
      </w:r>
      <w:r w:rsidR="00B35166" w:rsidRPr="0029566F">
        <w:rPr>
          <w:rFonts w:ascii="Arial" w:eastAsia="Times New Roman" w:hAnsi="Arial" w:cs="Arial"/>
          <w:kern w:val="0"/>
          <w:sz w:val="22"/>
          <w:szCs w:val="22"/>
          <w14:ligatures w14:val="none"/>
        </w:rPr>
        <w:t>teachers</w:t>
      </w:r>
      <w:r w:rsidRPr="006F791D">
        <w:rPr>
          <w:rFonts w:ascii="Arial" w:eastAsia="Times New Roman" w:hAnsi="Arial" w:cs="Arial"/>
          <w:kern w:val="0"/>
          <w:sz w:val="22"/>
          <w:szCs w:val="22"/>
          <w14:ligatures w14:val="none"/>
        </w:rPr>
        <w:t>.</w:t>
      </w:r>
    </w:p>
    <w:p w14:paraId="6FF7667C" w14:textId="01DE2A83" w:rsidR="00CD1AFA" w:rsidRPr="006F19D4" w:rsidRDefault="00CD1AFA" w:rsidP="008A0A33">
      <w:pPr>
        <w:pStyle w:val="ListParagraph"/>
        <w:numPr>
          <w:ilvl w:val="0"/>
          <w:numId w:val="1"/>
        </w:numPr>
        <w:ind w:left="0"/>
        <w:jc w:val="both"/>
        <w:rPr>
          <w:rFonts w:ascii="Arial" w:hAnsi="Arial" w:cs="Arial"/>
        </w:rPr>
      </w:pPr>
      <w:r w:rsidRPr="006F19D4">
        <w:rPr>
          <w:rFonts w:ascii="Arial" w:hAnsi="Arial" w:cs="Arial"/>
        </w:rPr>
        <w:t xml:space="preserve">Research methods – </w:t>
      </w:r>
      <w:proofErr w:type="gramStart"/>
      <w:r w:rsidRPr="006F19D4">
        <w:rPr>
          <w:rFonts w:ascii="Arial" w:hAnsi="Arial" w:cs="Arial"/>
        </w:rPr>
        <w:t>1000</w:t>
      </w:r>
      <w:proofErr w:type="gramEnd"/>
    </w:p>
    <w:p w14:paraId="2467DF6A" w14:textId="442B10F8" w:rsidR="00091D91" w:rsidRPr="00F11BB6" w:rsidRDefault="00091D91" w:rsidP="001A211D">
      <w:pPr>
        <w:spacing w:before="100" w:beforeAutospacing="1" w:after="100" w:afterAutospacing="1" w:line="360" w:lineRule="auto"/>
        <w:jc w:val="both"/>
        <w:rPr>
          <w:rFonts w:ascii="Arial" w:hAnsi="Arial" w:cs="Arial"/>
          <w:color w:val="7030A0"/>
          <w:sz w:val="22"/>
          <w:szCs w:val="22"/>
        </w:rPr>
      </w:pPr>
      <w:r w:rsidRPr="00F11BB6">
        <w:rPr>
          <w:rFonts w:ascii="Arial" w:hAnsi="Arial" w:cs="Arial"/>
          <w:color w:val="7030A0"/>
          <w:sz w:val="22"/>
          <w:szCs w:val="22"/>
        </w:rPr>
        <w:t xml:space="preserve">GROUP Interview </w:t>
      </w:r>
    </w:p>
    <w:p w14:paraId="3A7D3423" w14:textId="60379BD5" w:rsidR="00091D91" w:rsidRPr="00F11BB6" w:rsidRDefault="00091D91" w:rsidP="001A211D">
      <w:pPr>
        <w:spacing w:before="100" w:beforeAutospacing="1" w:after="100" w:afterAutospacing="1" w:line="360" w:lineRule="auto"/>
        <w:ind w:firstLine="720"/>
        <w:jc w:val="both"/>
        <w:rPr>
          <w:rFonts w:ascii="Arial" w:hAnsi="Arial" w:cs="Arial"/>
          <w:color w:val="7030A0"/>
          <w:sz w:val="22"/>
          <w:szCs w:val="22"/>
        </w:rPr>
      </w:pPr>
      <w:r w:rsidRPr="00F11BB6">
        <w:rPr>
          <w:rFonts w:ascii="Arial" w:hAnsi="Arial" w:cs="Arial"/>
          <w:color w:val="7030A0"/>
          <w:sz w:val="22"/>
          <w:szCs w:val="22"/>
        </w:rPr>
        <w:t>Group interviews, also known as focus group interviews, are a qualitative research method commonly employed to gather insights and perspectives from a group of participants regarding a specific topic or phenomenon</w:t>
      </w:r>
      <w:r w:rsidRPr="00F11BB6">
        <w:rPr>
          <w:rFonts w:ascii="Arial" w:hAnsi="Arial" w:cs="Arial"/>
          <w:color w:val="7030A0"/>
          <w:sz w:val="22"/>
          <w:szCs w:val="22"/>
        </w:rPr>
        <w:t xml:space="preserve"> (Thomas 2023)</w:t>
      </w:r>
      <w:r w:rsidRPr="00F11BB6">
        <w:rPr>
          <w:rFonts w:ascii="Arial" w:hAnsi="Arial" w:cs="Arial"/>
          <w:color w:val="7030A0"/>
          <w:sz w:val="22"/>
          <w:szCs w:val="22"/>
        </w:rPr>
        <w:t>.</w:t>
      </w:r>
      <w:r w:rsidR="001A211D" w:rsidRPr="00F11BB6">
        <w:rPr>
          <w:rFonts w:ascii="Arial" w:hAnsi="Arial" w:cs="Arial"/>
          <w:color w:val="7030A0"/>
          <w:sz w:val="22"/>
          <w:szCs w:val="22"/>
        </w:rPr>
        <w:t xml:space="preserve"> </w:t>
      </w:r>
      <w:r w:rsidRPr="00F11BB6">
        <w:rPr>
          <w:rFonts w:ascii="Arial" w:hAnsi="Arial" w:cs="Arial"/>
          <w:color w:val="7030A0"/>
          <w:sz w:val="22"/>
          <w:szCs w:val="22"/>
        </w:rPr>
        <w:t>Firstly, they offer a dynamic and interactive environment where participants can build upon each other's responses, leading to richer discussions and deeper insights (</w:t>
      </w:r>
      <w:r w:rsidRPr="00F11BB6">
        <w:rPr>
          <w:rFonts w:ascii="Arial" w:hAnsi="Arial" w:cs="Arial"/>
          <w:color w:val="7030A0"/>
          <w:sz w:val="22"/>
          <w:szCs w:val="22"/>
        </w:rPr>
        <w:t>Bell and Water, 2018</w:t>
      </w:r>
      <w:r w:rsidRPr="00F11BB6">
        <w:rPr>
          <w:rFonts w:ascii="Arial" w:hAnsi="Arial" w:cs="Arial"/>
          <w:color w:val="7030A0"/>
          <w:sz w:val="22"/>
          <w:szCs w:val="22"/>
        </w:rPr>
        <w:t>). Secondly, group interviews can facilitate the exploration of diverse viewpoints and the emergence of shared understandings among participants, contributing to a more comprehensive understanding of the research topic (</w:t>
      </w:r>
      <w:r w:rsidRPr="00F11BB6">
        <w:rPr>
          <w:rFonts w:ascii="Arial" w:hAnsi="Arial" w:cs="Arial"/>
          <w:color w:val="7030A0"/>
          <w:sz w:val="22"/>
          <w:szCs w:val="22"/>
        </w:rPr>
        <w:t>Thomas, 2023: Cohen, Manion, Morrison, 2018</w:t>
      </w:r>
      <w:r w:rsidRPr="00F11BB6">
        <w:rPr>
          <w:rFonts w:ascii="Arial" w:hAnsi="Arial" w:cs="Arial"/>
          <w:color w:val="7030A0"/>
          <w:sz w:val="22"/>
          <w:szCs w:val="22"/>
        </w:rPr>
        <w:t>). However, group interviews also have limitations. One notable challenge is the potential for group dynamics to influence participant responses, leading to conformity or dominance by certain individuals within the group (</w:t>
      </w:r>
      <w:r w:rsidR="004B0B26" w:rsidRPr="00F11BB6">
        <w:rPr>
          <w:rFonts w:ascii="Arial" w:hAnsi="Arial" w:cs="Arial"/>
          <w:color w:val="7030A0"/>
          <w:sz w:val="22"/>
          <w:szCs w:val="22"/>
        </w:rPr>
        <w:t>Cohen, Manion, Morrison, 2018</w:t>
      </w:r>
      <w:r w:rsidR="004B0B26" w:rsidRPr="00F11BB6">
        <w:rPr>
          <w:rFonts w:ascii="Arial" w:hAnsi="Arial" w:cs="Arial"/>
          <w:color w:val="7030A0"/>
          <w:sz w:val="22"/>
          <w:szCs w:val="22"/>
        </w:rPr>
        <w:t>; Bell and Waters, 2018</w:t>
      </w:r>
      <w:r w:rsidRPr="00F11BB6">
        <w:rPr>
          <w:rFonts w:ascii="Arial" w:hAnsi="Arial" w:cs="Arial"/>
          <w:color w:val="7030A0"/>
          <w:sz w:val="22"/>
          <w:szCs w:val="22"/>
        </w:rPr>
        <w:t>). Additionally, group interviews may not be suitable for exploring sensitive or personal topics, as individuals may feel uncomfortable discussing such matters in a group setting (</w:t>
      </w:r>
      <w:r w:rsidR="004B0B26" w:rsidRPr="00F11BB6">
        <w:rPr>
          <w:rFonts w:ascii="Arial" w:hAnsi="Arial" w:cs="Arial"/>
          <w:color w:val="7030A0"/>
          <w:sz w:val="22"/>
          <w:szCs w:val="22"/>
        </w:rPr>
        <w:t>Cohen, Manion, Morrison, 2018</w:t>
      </w:r>
      <w:r w:rsidRPr="00F11BB6">
        <w:rPr>
          <w:rFonts w:ascii="Arial" w:hAnsi="Arial" w:cs="Arial"/>
          <w:color w:val="7030A0"/>
          <w:sz w:val="22"/>
          <w:szCs w:val="22"/>
        </w:rPr>
        <w:t>).</w:t>
      </w:r>
    </w:p>
    <w:p w14:paraId="50DD9F1E" w14:textId="7D979006" w:rsidR="0002165B" w:rsidRPr="00F11BB6" w:rsidRDefault="0002165B" w:rsidP="001A211D">
      <w:pPr>
        <w:spacing w:before="100" w:beforeAutospacing="1" w:after="100" w:afterAutospacing="1" w:line="360" w:lineRule="auto"/>
        <w:jc w:val="both"/>
        <w:rPr>
          <w:rFonts w:ascii="Arial" w:hAnsi="Arial" w:cs="Arial"/>
          <w:color w:val="7030A0"/>
          <w:sz w:val="22"/>
          <w:szCs w:val="22"/>
        </w:rPr>
      </w:pPr>
      <w:r w:rsidRPr="00F11BB6">
        <w:rPr>
          <w:rFonts w:ascii="Arial" w:hAnsi="Arial" w:cs="Arial"/>
          <w:color w:val="7030A0"/>
          <w:sz w:val="22"/>
          <w:szCs w:val="22"/>
        </w:rPr>
        <w:t>FOCUS GROUP</w:t>
      </w:r>
      <w:r w:rsidR="00C44498" w:rsidRPr="00F11BB6">
        <w:rPr>
          <w:rFonts w:ascii="Arial" w:hAnsi="Arial" w:cs="Arial"/>
          <w:color w:val="7030A0"/>
          <w:sz w:val="22"/>
          <w:szCs w:val="22"/>
        </w:rPr>
        <w:t xml:space="preserve"> with the children.</w:t>
      </w:r>
    </w:p>
    <w:p w14:paraId="47FBB98D" w14:textId="624EC4BB" w:rsidR="00750D50" w:rsidRPr="00F11BB6" w:rsidRDefault="007434E4" w:rsidP="001A211D">
      <w:pPr>
        <w:spacing w:before="100" w:beforeAutospacing="1" w:after="100" w:afterAutospacing="1" w:line="360" w:lineRule="auto"/>
        <w:ind w:firstLine="720"/>
        <w:jc w:val="both"/>
        <w:rPr>
          <w:rFonts w:ascii="Arial" w:hAnsi="Arial" w:cs="Arial"/>
          <w:b/>
          <w:bCs/>
          <w:color w:val="7030A0"/>
          <w:sz w:val="22"/>
          <w:szCs w:val="22"/>
        </w:rPr>
      </w:pPr>
      <w:r w:rsidRPr="00F11BB6">
        <w:rPr>
          <w:rFonts w:ascii="Arial" w:hAnsi="Arial" w:cs="Arial"/>
          <w:color w:val="7030A0"/>
          <w:sz w:val="22"/>
          <w:szCs w:val="22"/>
        </w:rPr>
        <w:lastRenderedPageBreak/>
        <w:t xml:space="preserve">The significance of employing focus groups as a research methodology in educational environments is underscored in academic literature. According to Novia (2022) these groups foster dynamic dialogues among participants, facilitating mutual learning and deeper insights into diverse subject matters. By actively engaging individuals in the research process, establishing focus collectively, and distributing research authority among members, focus groups can empower participants (Fabian, et al., 2020). </w:t>
      </w:r>
      <w:r w:rsidR="0002165B" w:rsidRPr="00F11BB6">
        <w:rPr>
          <w:rFonts w:ascii="Arial" w:hAnsi="Arial" w:cs="Arial"/>
          <w:color w:val="7030A0"/>
          <w:sz w:val="22"/>
          <w:szCs w:val="22"/>
        </w:rPr>
        <w:t>Suh (2023) conducted a study that</w:t>
      </w:r>
      <w:r w:rsidR="0002165B" w:rsidRPr="00F11BB6">
        <w:rPr>
          <w:rFonts w:ascii="Arial" w:hAnsi="Arial" w:cs="Arial"/>
          <w:color w:val="7030A0"/>
          <w:sz w:val="22"/>
          <w:szCs w:val="22"/>
        </w:rPr>
        <w:t xml:space="preserve"> ha</w:t>
      </w:r>
      <w:r w:rsidR="0002165B" w:rsidRPr="00F11BB6">
        <w:rPr>
          <w:rFonts w:ascii="Arial" w:hAnsi="Arial" w:cs="Arial"/>
          <w:color w:val="7030A0"/>
          <w:sz w:val="22"/>
          <w:szCs w:val="22"/>
        </w:rPr>
        <w:t>s</w:t>
      </w:r>
      <w:r w:rsidR="0002165B" w:rsidRPr="00F11BB6">
        <w:rPr>
          <w:rFonts w:ascii="Arial" w:hAnsi="Arial" w:cs="Arial"/>
          <w:color w:val="7030A0"/>
          <w:sz w:val="22"/>
          <w:szCs w:val="22"/>
        </w:rPr>
        <w:t xml:space="preserve"> shown that focus groups with EAL students, who share linguistic and cultural backgrounds, provide valuable insights into the effectiveness of tailored teaching strategies and material</w:t>
      </w:r>
      <w:r w:rsidR="0002165B" w:rsidRPr="00F11BB6">
        <w:rPr>
          <w:rFonts w:ascii="Arial" w:hAnsi="Arial" w:cs="Arial"/>
          <w:color w:val="7030A0"/>
          <w:sz w:val="22"/>
          <w:szCs w:val="22"/>
        </w:rPr>
        <w:t xml:space="preserve"> </w:t>
      </w:r>
      <w:proofErr w:type="gramStart"/>
      <w:r w:rsidRPr="00F11BB6">
        <w:rPr>
          <w:rFonts w:ascii="Arial" w:hAnsi="Arial" w:cs="Arial"/>
          <w:color w:val="7030A0"/>
          <w:sz w:val="22"/>
          <w:szCs w:val="22"/>
        </w:rPr>
        <w:t>In</w:t>
      </w:r>
      <w:proofErr w:type="gramEnd"/>
      <w:r w:rsidRPr="00F11BB6">
        <w:rPr>
          <w:rFonts w:ascii="Arial" w:hAnsi="Arial" w:cs="Arial"/>
          <w:color w:val="7030A0"/>
          <w:sz w:val="22"/>
          <w:szCs w:val="22"/>
        </w:rPr>
        <w:t xml:space="preserve"> essence</w:t>
      </w:r>
      <w:r w:rsidR="0002165B" w:rsidRPr="00F11BB6">
        <w:rPr>
          <w:rFonts w:ascii="Arial" w:hAnsi="Arial" w:cs="Arial"/>
          <w:color w:val="7030A0"/>
          <w:sz w:val="22"/>
          <w:szCs w:val="22"/>
        </w:rPr>
        <w:t xml:space="preserve">. The </w:t>
      </w:r>
      <w:r w:rsidRPr="00F11BB6">
        <w:rPr>
          <w:rFonts w:ascii="Arial" w:hAnsi="Arial" w:cs="Arial"/>
          <w:color w:val="7030A0"/>
          <w:sz w:val="22"/>
          <w:szCs w:val="22"/>
        </w:rPr>
        <w:t>focus groups function as lively interactive platforms that encourage inclusive and transformative research, ultimately promoting social integration and knowledge exchange among participants</w:t>
      </w:r>
      <w:r w:rsidR="003F3497" w:rsidRPr="00F11BB6">
        <w:rPr>
          <w:rFonts w:ascii="Arial" w:hAnsi="Arial" w:cs="Arial"/>
          <w:color w:val="7030A0"/>
          <w:sz w:val="22"/>
          <w:szCs w:val="22"/>
        </w:rPr>
        <w:t xml:space="preserve"> (</w:t>
      </w:r>
      <w:r w:rsidR="003C7C42" w:rsidRPr="00F11BB6">
        <w:rPr>
          <w:rFonts w:ascii="Arial" w:hAnsi="Arial" w:cs="Arial"/>
          <w:color w:val="7030A0"/>
          <w:sz w:val="22"/>
          <w:szCs w:val="22"/>
        </w:rPr>
        <w:t>Umami, 2022</w:t>
      </w:r>
      <w:r w:rsidR="0002165B" w:rsidRPr="00F11BB6">
        <w:rPr>
          <w:rFonts w:ascii="Arial" w:hAnsi="Arial" w:cs="Arial"/>
          <w:color w:val="7030A0"/>
          <w:sz w:val="22"/>
          <w:szCs w:val="22"/>
        </w:rPr>
        <w:t>; Thomas, 2023</w:t>
      </w:r>
      <w:r w:rsidR="003F3497" w:rsidRPr="00F11BB6">
        <w:rPr>
          <w:rFonts w:ascii="Arial" w:hAnsi="Arial" w:cs="Arial"/>
          <w:color w:val="7030A0"/>
          <w:sz w:val="22"/>
          <w:szCs w:val="22"/>
        </w:rPr>
        <w:t>)</w:t>
      </w:r>
      <w:r w:rsidRPr="00F11BB6">
        <w:rPr>
          <w:rFonts w:ascii="Arial" w:hAnsi="Arial" w:cs="Arial"/>
          <w:color w:val="7030A0"/>
          <w:sz w:val="22"/>
          <w:szCs w:val="22"/>
        </w:rPr>
        <w:t>.</w:t>
      </w:r>
      <w:r w:rsidR="001A211D" w:rsidRPr="00F11BB6">
        <w:rPr>
          <w:rFonts w:ascii="Arial" w:hAnsi="Arial" w:cs="Arial"/>
          <w:b/>
          <w:bCs/>
          <w:color w:val="7030A0"/>
          <w:sz w:val="22"/>
          <w:szCs w:val="22"/>
        </w:rPr>
        <w:t xml:space="preserve"> </w:t>
      </w:r>
      <w:r w:rsidR="00750D50" w:rsidRPr="00F11BB6">
        <w:rPr>
          <w:rFonts w:ascii="Arial" w:hAnsi="Arial" w:cs="Arial"/>
          <w:color w:val="7030A0"/>
          <w:sz w:val="22"/>
          <w:szCs w:val="22"/>
          <w:shd w:val="clear" w:color="auto" w:fill="FFFFFF"/>
        </w:rPr>
        <w:t>The literature highlights the value of u</w:t>
      </w:r>
      <w:r w:rsidR="008071C3" w:rsidRPr="00F11BB6">
        <w:rPr>
          <w:rFonts w:ascii="Arial" w:hAnsi="Arial" w:cs="Arial"/>
          <w:color w:val="7030A0"/>
          <w:sz w:val="22"/>
          <w:szCs w:val="22"/>
          <w:shd w:val="clear" w:color="auto" w:fill="FFFFFF"/>
        </w:rPr>
        <w:t xml:space="preserve">sing </w:t>
      </w:r>
      <w:r w:rsidR="00750D50" w:rsidRPr="00F11BB6">
        <w:rPr>
          <w:rFonts w:ascii="Arial" w:hAnsi="Arial" w:cs="Arial"/>
          <w:color w:val="7030A0"/>
          <w:sz w:val="22"/>
          <w:szCs w:val="22"/>
          <w:shd w:val="clear" w:color="auto" w:fill="FFFFFF"/>
        </w:rPr>
        <w:t>focus groups as a research method in educational settings. Focus groups are seen as interactive spaces that promote participant engagement, learning, and mutual support</w:t>
      </w:r>
      <w:r w:rsidR="001A08E4" w:rsidRPr="00F11BB6">
        <w:rPr>
          <w:rFonts w:ascii="Arial" w:hAnsi="Arial" w:cs="Arial"/>
          <w:color w:val="7030A0"/>
          <w:sz w:val="22"/>
          <w:szCs w:val="22"/>
          <w:shd w:val="clear" w:color="auto" w:fill="FFFFFF"/>
        </w:rPr>
        <w:t xml:space="preserve"> (</w:t>
      </w:r>
      <w:proofErr w:type="spellStart"/>
      <w:r w:rsidR="001A08E4" w:rsidRPr="00F11BB6">
        <w:rPr>
          <w:rFonts w:ascii="Arial" w:hAnsi="Arial" w:cs="Arial"/>
          <w:color w:val="7030A0"/>
          <w:sz w:val="22"/>
          <w:szCs w:val="22"/>
          <w:shd w:val="clear" w:color="auto" w:fill="FFFFFF"/>
        </w:rPr>
        <w:t>Sulistyo</w:t>
      </w:r>
      <w:proofErr w:type="spellEnd"/>
      <w:r w:rsidR="001A08E4" w:rsidRPr="00F11BB6">
        <w:rPr>
          <w:rFonts w:ascii="Arial" w:hAnsi="Arial" w:cs="Arial"/>
          <w:color w:val="7030A0"/>
          <w:sz w:val="22"/>
          <w:szCs w:val="22"/>
          <w:shd w:val="clear" w:color="auto" w:fill="FFFFFF"/>
        </w:rPr>
        <w:t>, 2022)</w:t>
      </w:r>
      <w:r w:rsidR="00750D50" w:rsidRPr="00F11BB6">
        <w:rPr>
          <w:rFonts w:ascii="Arial" w:hAnsi="Arial" w:cs="Arial"/>
          <w:color w:val="7030A0"/>
          <w:sz w:val="22"/>
          <w:szCs w:val="22"/>
          <w:shd w:val="clear" w:color="auto" w:fill="FFFFFF"/>
        </w:rPr>
        <w:t>. They are effective in understanding students' attitudes, beliefs, and practices, enhancing social inclusion and collaborative learning </w:t>
      </w:r>
      <w:r w:rsidR="00270E7D" w:rsidRPr="00F11BB6">
        <w:rPr>
          <w:rFonts w:ascii="Arial" w:hAnsi="Arial" w:cs="Arial"/>
          <w:color w:val="7030A0"/>
          <w:sz w:val="22"/>
          <w:szCs w:val="22"/>
          <w:shd w:val="clear" w:color="auto" w:fill="FFFFFF"/>
        </w:rPr>
        <w:t>(</w:t>
      </w:r>
      <w:r w:rsidR="00634595" w:rsidRPr="00F11BB6">
        <w:rPr>
          <w:rFonts w:ascii="Arial" w:hAnsi="Arial" w:cs="Arial"/>
          <w:color w:val="7030A0"/>
          <w:sz w:val="22"/>
          <w:szCs w:val="22"/>
          <w:shd w:val="clear" w:color="auto" w:fill="FFFFFF"/>
        </w:rPr>
        <w:t xml:space="preserve">Xerri, 2018; </w:t>
      </w:r>
      <w:proofErr w:type="spellStart"/>
      <w:r w:rsidR="00270E7D" w:rsidRPr="00F11BB6">
        <w:rPr>
          <w:rFonts w:ascii="Arial" w:hAnsi="Arial" w:cs="Arial"/>
          <w:color w:val="7030A0"/>
          <w:sz w:val="22"/>
          <w:szCs w:val="22"/>
          <w:shd w:val="clear" w:color="auto" w:fill="FFFFFF"/>
        </w:rPr>
        <w:t>Nind</w:t>
      </w:r>
      <w:proofErr w:type="spellEnd"/>
      <w:r w:rsidR="00270E7D" w:rsidRPr="00F11BB6">
        <w:rPr>
          <w:rFonts w:ascii="Arial" w:hAnsi="Arial" w:cs="Arial"/>
          <w:color w:val="7030A0"/>
          <w:sz w:val="22"/>
          <w:szCs w:val="22"/>
          <w:shd w:val="clear" w:color="auto" w:fill="FFFFFF"/>
        </w:rPr>
        <w:t>, Kaley and Hall, 2020</w:t>
      </w:r>
      <w:r w:rsidR="00634595" w:rsidRPr="00F11BB6">
        <w:rPr>
          <w:rFonts w:ascii="Arial" w:hAnsi="Arial" w:cs="Arial"/>
          <w:color w:val="7030A0"/>
          <w:sz w:val="22"/>
          <w:szCs w:val="22"/>
          <w:shd w:val="clear" w:color="auto" w:fill="FFFFFF"/>
        </w:rPr>
        <w:t xml:space="preserve">). </w:t>
      </w:r>
      <w:r w:rsidR="00750D50" w:rsidRPr="00F11BB6">
        <w:rPr>
          <w:rFonts w:ascii="Arial" w:hAnsi="Arial" w:cs="Arial"/>
          <w:color w:val="7030A0"/>
          <w:sz w:val="22"/>
          <w:szCs w:val="22"/>
          <w:shd w:val="clear" w:color="auto" w:fill="FFFFFF"/>
        </w:rPr>
        <w:t>Group discussions, including focus groups, are essential tools for reconstructing social structures and collective orientations guiding individuals' actions in their environments [4]. By embracing the interactive nature of focus groups, researchers can empower participants, co-create knowledge, and enhance understanding on various topics</w:t>
      </w:r>
      <w:r w:rsidR="00B06847" w:rsidRPr="00F11BB6">
        <w:rPr>
          <w:rFonts w:ascii="Arial" w:hAnsi="Arial" w:cs="Arial"/>
          <w:color w:val="7030A0"/>
          <w:sz w:val="22"/>
          <w:szCs w:val="22"/>
          <w:shd w:val="clear" w:color="auto" w:fill="FFFFFF"/>
        </w:rPr>
        <w:t xml:space="preserve"> (Umami, 2022). </w:t>
      </w:r>
      <w:proofErr w:type="spellStart"/>
      <w:r w:rsidR="005F615E" w:rsidRPr="00F11BB6">
        <w:rPr>
          <w:rFonts w:ascii="Arial" w:hAnsi="Arial" w:cs="Arial"/>
          <w:color w:val="7030A0"/>
          <w:sz w:val="22"/>
          <w:szCs w:val="22"/>
          <w:shd w:val="clear" w:color="auto" w:fill="FFFFFF"/>
        </w:rPr>
        <w:t>Sulistyo</w:t>
      </w:r>
      <w:proofErr w:type="spellEnd"/>
      <w:r w:rsidR="005F615E" w:rsidRPr="00F11BB6">
        <w:rPr>
          <w:rFonts w:ascii="Arial" w:hAnsi="Arial" w:cs="Arial"/>
          <w:color w:val="7030A0"/>
          <w:sz w:val="22"/>
          <w:szCs w:val="22"/>
          <w:shd w:val="clear" w:color="auto" w:fill="FFFFFF"/>
        </w:rPr>
        <w:t xml:space="preserve"> (2022) agrees with Umami that f</w:t>
      </w:r>
      <w:r w:rsidR="00712682" w:rsidRPr="00F11BB6">
        <w:rPr>
          <w:rFonts w:ascii="Arial" w:hAnsi="Arial" w:cs="Arial"/>
          <w:color w:val="7030A0"/>
          <w:sz w:val="22"/>
          <w:szCs w:val="22"/>
          <w:shd w:val="clear" w:color="auto" w:fill="FFFFFF"/>
        </w:rPr>
        <w:t>ocus group discussion technique facilitates students to explore topics and develop critical thinking skills</w:t>
      </w:r>
      <w:r w:rsidR="00F76637" w:rsidRPr="00F11BB6">
        <w:rPr>
          <w:rFonts w:ascii="Arial" w:hAnsi="Arial" w:cs="Arial"/>
          <w:color w:val="7030A0"/>
          <w:sz w:val="22"/>
          <w:szCs w:val="22"/>
          <w:shd w:val="clear" w:color="auto" w:fill="FFFFFF"/>
        </w:rPr>
        <w:t>.</w:t>
      </w:r>
      <w:r w:rsidR="00750D50" w:rsidRPr="00F11BB6">
        <w:rPr>
          <w:rFonts w:ascii="Arial" w:hAnsi="Arial" w:cs="Arial"/>
          <w:color w:val="7030A0"/>
          <w:sz w:val="22"/>
          <w:szCs w:val="22"/>
          <w:shd w:val="clear" w:color="auto" w:fill="FFFFFF"/>
        </w:rPr>
        <w:t>  Overall, focus groups offer a valuable methodological approach for exploring educational experiences and social dynamics within classroom settings.</w:t>
      </w:r>
    </w:p>
    <w:p w14:paraId="34805616" w14:textId="1C53BA01" w:rsidR="00051900" w:rsidRPr="00F11BB6" w:rsidRDefault="00F35D1B" w:rsidP="001A211D">
      <w:pPr>
        <w:spacing w:before="100" w:beforeAutospacing="1" w:after="100" w:afterAutospacing="1" w:line="360" w:lineRule="auto"/>
        <w:jc w:val="both"/>
        <w:rPr>
          <w:rFonts w:ascii="Arial" w:hAnsi="Arial" w:cs="Arial"/>
          <w:color w:val="7030A0"/>
          <w:sz w:val="22"/>
          <w:szCs w:val="22"/>
        </w:rPr>
      </w:pPr>
      <w:r w:rsidRPr="00F11BB6">
        <w:rPr>
          <w:rFonts w:ascii="Arial" w:hAnsi="Arial" w:cs="Arial"/>
          <w:color w:val="7030A0"/>
          <w:sz w:val="22"/>
          <w:szCs w:val="22"/>
        </w:rPr>
        <w:t xml:space="preserve">The scholarly literature offers valuable insights on the implementation of the Leuven method within </w:t>
      </w:r>
      <w:r w:rsidR="0002165B" w:rsidRPr="00F11BB6">
        <w:rPr>
          <w:rFonts w:ascii="Arial" w:hAnsi="Arial" w:cs="Arial"/>
          <w:color w:val="7030A0"/>
          <w:sz w:val="22"/>
          <w:szCs w:val="22"/>
        </w:rPr>
        <w:t>classroom</w:t>
      </w:r>
      <w:r w:rsidRPr="00F11BB6">
        <w:rPr>
          <w:rFonts w:ascii="Arial" w:hAnsi="Arial" w:cs="Arial"/>
          <w:color w:val="7030A0"/>
          <w:sz w:val="22"/>
          <w:szCs w:val="22"/>
        </w:rPr>
        <w:t xml:space="preserve"> settings. </w:t>
      </w:r>
    </w:p>
    <w:p w14:paraId="21F6AB62" w14:textId="49E6E582" w:rsidR="001938A0" w:rsidRPr="00F11BB6" w:rsidRDefault="0002165B" w:rsidP="001A211D">
      <w:pPr>
        <w:spacing w:before="100" w:beforeAutospacing="1" w:after="100" w:afterAutospacing="1" w:line="360" w:lineRule="auto"/>
        <w:jc w:val="both"/>
        <w:rPr>
          <w:rFonts w:ascii="Arial" w:hAnsi="Arial" w:cs="Arial"/>
          <w:color w:val="7030A0"/>
          <w:sz w:val="22"/>
          <w:szCs w:val="22"/>
        </w:rPr>
      </w:pPr>
      <w:r w:rsidRPr="00F11BB6">
        <w:rPr>
          <w:rFonts w:ascii="Arial" w:hAnsi="Arial" w:cs="Arial"/>
          <w:color w:val="7030A0"/>
          <w:sz w:val="22"/>
          <w:szCs w:val="22"/>
        </w:rPr>
        <w:t>LEUVEN METHOD</w:t>
      </w:r>
    </w:p>
    <w:p w14:paraId="21F2AE0C" w14:textId="20DC743C" w:rsidR="00937039" w:rsidRPr="00F11BB6" w:rsidRDefault="003C7F91" w:rsidP="001A211D">
      <w:pPr>
        <w:spacing w:before="100" w:beforeAutospacing="1" w:after="100" w:afterAutospacing="1" w:line="360" w:lineRule="auto"/>
        <w:ind w:firstLine="720"/>
        <w:jc w:val="both"/>
        <w:rPr>
          <w:rFonts w:ascii="Arial" w:hAnsi="Arial" w:cs="Arial"/>
          <w:color w:val="7030A0"/>
          <w:sz w:val="22"/>
          <w:szCs w:val="22"/>
        </w:rPr>
      </w:pPr>
      <w:r w:rsidRPr="00F11BB6">
        <w:rPr>
          <w:rFonts w:ascii="Arial" w:hAnsi="Arial" w:cs="Arial"/>
          <w:color w:val="7030A0"/>
          <w:sz w:val="22"/>
          <w:szCs w:val="22"/>
          <w:shd w:val="clear" w:color="auto" w:fill="FFFFFF"/>
        </w:rPr>
        <w:t>The Leuven method has shown effectiveness in enhancing primary school engagement (</w:t>
      </w:r>
      <w:proofErr w:type="spellStart"/>
      <w:r w:rsidRPr="00F11BB6">
        <w:rPr>
          <w:rFonts w:ascii="Arial" w:hAnsi="Arial" w:cs="Arial"/>
          <w:color w:val="7030A0"/>
          <w:sz w:val="22"/>
          <w:szCs w:val="22"/>
          <w:shd w:val="clear" w:color="auto" w:fill="FFFFFF"/>
        </w:rPr>
        <w:t>MacRace</w:t>
      </w:r>
      <w:proofErr w:type="spellEnd"/>
      <w:r w:rsidRPr="00F11BB6">
        <w:rPr>
          <w:rFonts w:ascii="Arial" w:hAnsi="Arial" w:cs="Arial"/>
          <w:color w:val="7030A0"/>
          <w:sz w:val="22"/>
          <w:szCs w:val="22"/>
          <w:shd w:val="clear" w:color="auto" w:fill="FFFFFF"/>
        </w:rPr>
        <w:t xml:space="preserve"> and Jones, 2020).</w:t>
      </w:r>
      <w:r w:rsidR="00B82F54" w:rsidRPr="00F11BB6">
        <w:rPr>
          <w:rFonts w:ascii="Arial" w:hAnsi="Arial" w:cs="Arial"/>
          <w:color w:val="7030A0"/>
          <w:sz w:val="22"/>
          <w:szCs w:val="22"/>
        </w:rPr>
        <w:t xml:space="preserve"> </w:t>
      </w:r>
      <w:r w:rsidR="00B30770" w:rsidRPr="00F11BB6">
        <w:rPr>
          <w:rFonts w:ascii="Arial" w:hAnsi="Arial" w:cs="Arial"/>
          <w:color w:val="7030A0"/>
          <w:sz w:val="22"/>
          <w:szCs w:val="22"/>
          <w:shd w:val="clear" w:color="auto" w:fill="FFFFFF"/>
        </w:rPr>
        <w:t xml:space="preserve">Research emphasizes the importance of aligning </w:t>
      </w:r>
      <w:r w:rsidRPr="00F11BB6">
        <w:rPr>
          <w:rFonts w:ascii="Arial" w:hAnsi="Arial" w:cs="Arial"/>
          <w:color w:val="7030A0"/>
          <w:sz w:val="22"/>
          <w:szCs w:val="22"/>
          <w:shd w:val="clear" w:color="auto" w:fill="FFFFFF"/>
        </w:rPr>
        <w:t>Leuven method</w:t>
      </w:r>
      <w:r w:rsidR="00B30770" w:rsidRPr="00F11BB6">
        <w:rPr>
          <w:rFonts w:ascii="Arial" w:hAnsi="Arial" w:cs="Arial"/>
          <w:color w:val="7030A0"/>
          <w:sz w:val="22"/>
          <w:szCs w:val="22"/>
          <w:shd w:val="clear" w:color="auto" w:fill="FFFFFF"/>
        </w:rPr>
        <w:t xml:space="preserve"> with curriculum goals to enhance cognitive skills and academic achievement</w:t>
      </w:r>
      <w:r w:rsidR="00262FB8" w:rsidRPr="00F11BB6">
        <w:rPr>
          <w:rFonts w:ascii="Arial" w:hAnsi="Arial" w:cs="Arial"/>
          <w:color w:val="7030A0"/>
          <w:sz w:val="22"/>
          <w:szCs w:val="22"/>
          <w:shd w:val="clear" w:color="auto" w:fill="FFFFFF"/>
        </w:rPr>
        <w:t xml:space="preserve"> </w:t>
      </w:r>
      <w:r w:rsidR="00B82F54" w:rsidRPr="00F11BB6">
        <w:rPr>
          <w:rFonts w:ascii="Arial" w:hAnsi="Arial" w:cs="Arial"/>
          <w:color w:val="7030A0"/>
          <w:sz w:val="22"/>
          <w:szCs w:val="22"/>
          <w:shd w:val="clear" w:color="auto" w:fill="FFFFFF"/>
        </w:rPr>
        <w:t>Laevers (</w:t>
      </w:r>
      <w:r w:rsidR="00262FB8" w:rsidRPr="00F11BB6">
        <w:rPr>
          <w:rFonts w:ascii="Arial" w:hAnsi="Arial" w:cs="Arial"/>
          <w:color w:val="7030A0"/>
          <w:sz w:val="22"/>
          <w:szCs w:val="22"/>
          <w:shd w:val="clear" w:color="auto" w:fill="FFFFFF"/>
        </w:rPr>
        <w:t>2008</w:t>
      </w:r>
      <w:r w:rsidR="00BB6E67" w:rsidRPr="00F11BB6">
        <w:rPr>
          <w:rFonts w:ascii="Arial" w:hAnsi="Arial" w:cs="Arial"/>
          <w:color w:val="7030A0"/>
          <w:sz w:val="22"/>
          <w:szCs w:val="22"/>
          <w:shd w:val="clear" w:color="auto" w:fill="FFFFFF"/>
        </w:rPr>
        <w:t>)</w:t>
      </w:r>
      <w:r w:rsidR="00B30770" w:rsidRPr="00F11BB6">
        <w:rPr>
          <w:rFonts w:ascii="Arial" w:hAnsi="Arial" w:cs="Arial"/>
          <w:color w:val="7030A0"/>
          <w:sz w:val="22"/>
          <w:szCs w:val="22"/>
          <w:shd w:val="clear" w:color="auto" w:fill="FFFFFF"/>
        </w:rPr>
        <w:t xml:space="preserve">. Additionally, creating deep learning experiences is crucial for students to adapt to dynamic educational environments and develop critical </w:t>
      </w:r>
      <w:proofErr w:type="gramStart"/>
      <w:r w:rsidR="00B30770" w:rsidRPr="00F11BB6">
        <w:rPr>
          <w:rFonts w:ascii="Arial" w:hAnsi="Arial" w:cs="Arial"/>
          <w:color w:val="7030A0"/>
          <w:sz w:val="22"/>
          <w:szCs w:val="22"/>
          <w:shd w:val="clear" w:color="auto" w:fill="FFFFFF"/>
        </w:rPr>
        <w:t>skills </w:t>
      </w:r>
      <w:r w:rsidR="00BB6E67" w:rsidRPr="00F11BB6">
        <w:rPr>
          <w:rFonts w:ascii="Arial" w:hAnsi="Arial" w:cs="Arial"/>
          <w:color w:val="7030A0"/>
          <w:sz w:val="22"/>
          <w:szCs w:val="22"/>
          <w:bdr w:val="single" w:sz="2" w:space="0" w:color="E4E6E8" w:frame="1"/>
          <w:shd w:val="clear" w:color="auto" w:fill="FFFFFF"/>
          <w:vertAlign w:val="superscript"/>
        </w:rPr>
        <w:t xml:space="preserve"> </w:t>
      </w:r>
      <w:r w:rsidR="00BB6E67" w:rsidRPr="00F11BB6">
        <w:rPr>
          <w:rFonts w:ascii="Arial" w:hAnsi="Arial" w:cs="Arial"/>
          <w:color w:val="7030A0"/>
          <w:sz w:val="22"/>
          <w:szCs w:val="22"/>
          <w:shd w:val="clear" w:color="auto" w:fill="FFFFFF"/>
        </w:rPr>
        <w:t>(</w:t>
      </w:r>
      <w:proofErr w:type="gramEnd"/>
      <w:r w:rsidR="00A4062D" w:rsidRPr="00F11BB6">
        <w:rPr>
          <w:rFonts w:ascii="Arial" w:hAnsi="Arial" w:cs="Arial"/>
          <w:color w:val="7030A0"/>
          <w:sz w:val="22"/>
          <w:szCs w:val="22"/>
          <w:shd w:val="clear" w:color="auto" w:fill="FFFFFF"/>
        </w:rPr>
        <w:t>Thomas – Walter, 2023</w:t>
      </w:r>
      <w:r w:rsidR="00BB6E67" w:rsidRPr="00F11BB6">
        <w:rPr>
          <w:rFonts w:ascii="Arial" w:hAnsi="Arial" w:cs="Arial"/>
          <w:color w:val="7030A0"/>
          <w:sz w:val="22"/>
          <w:szCs w:val="22"/>
          <w:shd w:val="clear" w:color="auto" w:fill="FFFFFF"/>
        </w:rPr>
        <w:t>)</w:t>
      </w:r>
      <w:r w:rsidR="00B30770" w:rsidRPr="00F11BB6">
        <w:rPr>
          <w:rFonts w:ascii="Arial" w:hAnsi="Arial" w:cs="Arial"/>
          <w:color w:val="7030A0"/>
          <w:sz w:val="22"/>
          <w:szCs w:val="22"/>
          <w:shd w:val="clear" w:color="auto" w:fill="FFFFFF"/>
        </w:rPr>
        <w:t>. These findings collectively suggest that implementing the Leuven method can positively influence the academic performance of 6th-grade students by addressing misconceptions, improving learning outcomes, and fostering a deeper understanding of subjects.</w:t>
      </w:r>
      <w:r w:rsidR="001A211D" w:rsidRPr="00F11BB6">
        <w:rPr>
          <w:rFonts w:ascii="Arial" w:hAnsi="Arial" w:cs="Arial"/>
          <w:color w:val="7030A0"/>
          <w:sz w:val="22"/>
          <w:szCs w:val="22"/>
        </w:rPr>
        <w:t xml:space="preserve"> </w:t>
      </w:r>
      <w:r w:rsidR="00B82F54" w:rsidRPr="00F11BB6">
        <w:rPr>
          <w:rFonts w:ascii="Arial" w:hAnsi="Arial" w:cs="Arial"/>
          <w:color w:val="7030A0"/>
          <w:sz w:val="22"/>
          <w:szCs w:val="22"/>
          <w:shd w:val="clear" w:color="auto" w:fill="FFFFFF"/>
        </w:rPr>
        <w:t xml:space="preserve">Furthermore, </w:t>
      </w:r>
      <w:r w:rsidR="00B82F54" w:rsidRPr="00F11BB6">
        <w:rPr>
          <w:rFonts w:ascii="Arial" w:hAnsi="Arial" w:cs="Arial"/>
          <w:color w:val="7030A0"/>
          <w:sz w:val="22"/>
          <w:szCs w:val="22"/>
          <w:shd w:val="clear" w:color="auto" w:fill="FFFFFF"/>
        </w:rPr>
        <w:lastRenderedPageBreak/>
        <w:t>r</w:t>
      </w:r>
      <w:r w:rsidR="00B30770" w:rsidRPr="00F11BB6">
        <w:rPr>
          <w:rFonts w:ascii="Arial" w:hAnsi="Arial" w:cs="Arial"/>
          <w:color w:val="7030A0"/>
          <w:sz w:val="22"/>
          <w:szCs w:val="22"/>
          <w:shd w:val="clear" w:color="auto" w:fill="FFFFFF"/>
        </w:rPr>
        <w:t>esearch indicates that implementing the Leuven method leads to improved classroom climates</w:t>
      </w:r>
      <w:r w:rsidR="002366F4" w:rsidRPr="00F11BB6">
        <w:rPr>
          <w:rFonts w:ascii="Arial" w:hAnsi="Arial" w:cs="Arial"/>
          <w:color w:val="7030A0"/>
          <w:sz w:val="22"/>
          <w:szCs w:val="22"/>
          <w:shd w:val="clear" w:color="auto" w:fill="FFFFFF"/>
        </w:rPr>
        <w:t xml:space="preserve"> </w:t>
      </w:r>
      <w:r w:rsidR="00585946" w:rsidRPr="00F11BB6">
        <w:rPr>
          <w:rFonts w:ascii="Arial" w:hAnsi="Arial" w:cs="Arial"/>
          <w:color w:val="7030A0"/>
          <w:sz w:val="22"/>
          <w:szCs w:val="22"/>
          <w:shd w:val="clear" w:color="auto" w:fill="FFFFFF"/>
        </w:rPr>
        <w:t>(Thomas – Walter, 2023)</w:t>
      </w:r>
      <w:r w:rsidR="00B30770" w:rsidRPr="00F11BB6">
        <w:rPr>
          <w:rFonts w:ascii="Arial" w:hAnsi="Arial" w:cs="Arial"/>
          <w:color w:val="7030A0"/>
          <w:sz w:val="22"/>
          <w:szCs w:val="22"/>
          <w:shd w:val="clear" w:color="auto" w:fill="FFFFFF"/>
        </w:rPr>
        <w:t>. This method emphasizes the importance of teacher-student interactions characterized by warmth, empathy, and supportive feedback, which in turn enhances students' motivation and willingness to engage in learning activities</w:t>
      </w:r>
      <w:r w:rsidR="00585946" w:rsidRPr="00F11BB6">
        <w:rPr>
          <w:rFonts w:ascii="Arial" w:hAnsi="Arial" w:cs="Arial"/>
          <w:color w:val="7030A0"/>
          <w:sz w:val="22"/>
          <w:szCs w:val="22"/>
          <w:shd w:val="clear" w:color="auto" w:fill="FFFFFF"/>
        </w:rPr>
        <w:t xml:space="preserve"> (</w:t>
      </w:r>
      <w:r w:rsidR="004276C2" w:rsidRPr="00F11BB6">
        <w:rPr>
          <w:rFonts w:ascii="Arial" w:hAnsi="Arial" w:cs="Arial"/>
          <w:color w:val="7030A0"/>
          <w:sz w:val="22"/>
          <w:szCs w:val="22"/>
          <w:shd w:val="clear" w:color="auto" w:fill="F7F7F7"/>
        </w:rPr>
        <w:t xml:space="preserve">Katrin, 2018; </w:t>
      </w:r>
      <w:r w:rsidR="00D57DED" w:rsidRPr="00F11BB6">
        <w:rPr>
          <w:rFonts w:ascii="Arial" w:hAnsi="Arial" w:cs="Arial"/>
          <w:color w:val="7030A0"/>
          <w:sz w:val="22"/>
          <w:szCs w:val="22"/>
          <w:shd w:val="clear" w:color="auto" w:fill="FFFFFF"/>
        </w:rPr>
        <w:t>Mac Rae and jones, 2020</w:t>
      </w:r>
      <w:r w:rsidR="00585946" w:rsidRPr="00F11BB6">
        <w:rPr>
          <w:rFonts w:ascii="Arial" w:hAnsi="Arial" w:cs="Arial"/>
          <w:color w:val="7030A0"/>
          <w:sz w:val="22"/>
          <w:szCs w:val="22"/>
          <w:shd w:val="clear" w:color="auto" w:fill="FFFFFF"/>
        </w:rPr>
        <w:t>)</w:t>
      </w:r>
      <w:r w:rsidR="00B30770" w:rsidRPr="00F11BB6">
        <w:rPr>
          <w:rFonts w:ascii="Arial" w:hAnsi="Arial" w:cs="Arial"/>
          <w:color w:val="7030A0"/>
          <w:sz w:val="22"/>
          <w:szCs w:val="22"/>
          <w:shd w:val="clear" w:color="auto" w:fill="FFFFFF"/>
        </w:rPr>
        <w:t>.</w:t>
      </w:r>
      <w:r w:rsidR="00D57DED" w:rsidRPr="00F11BB6">
        <w:rPr>
          <w:rFonts w:ascii="Arial" w:hAnsi="Arial" w:cs="Arial"/>
          <w:color w:val="7030A0"/>
          <w:sz w:val="22"/>
          <w:szCs w:val="22"/>
        </w:rPr>
        <w:t xml:space="preserve"> </w:t>
      </w:r>
      <w:r w:rsidR="00FE1E10" w:rsidRPr="00F11BB6">
        <w:rPr>
          <w:rFonts w:ascii="Arial" w:hAnsi="Arial" w:cs="Arial"/>
          <w:color w:val="7030A0"/>
          <w:sz w:val="22"/>
          <w:szCs w:val="22"/>
          <w:shd w:val="clear" w:color="auto" w:fill="FFFFFF"/>
        </w:rPr>
        <w:t xml:space="preserve">In her study, Thomas-Walters (2023) delved into the exploration of children's creativity and imagination within both 'real world' and 'fantasy' play contexts in </w:t>
      </w:r>
      <w:r w:rsidR="00393798" w:rsidRPr="00F11BB6">
        <w:rPr>
          <w:rFonts w:ascii="Arial" w:hAnsi="Arial" w:cs="Arial"/>
          <w:color w:val="7030A0"/>
          <w:sz w:val="22"/>
          <w:szCs w:val="22"/>
          <w:shd w:val="clear" w:color="auto" w:fill="FFFFFF"/>
        </w:rPr>
        <w:t xml:space="preserve">primary school </w:t>
      </w:r>
      <w:r w:rsidR="00FE1E10" w:rsidRPr="00F11BB6">
        <w:rPr>
          <w:rFonts w:ascii="Arial" w:hAnsi="Arial" w:cs="Arial"/>
          <w:color w:val="7030A0"/>
          <w:sz w:val="22"/>
          <w:szCs w:val="22"/>
          <w:shd w:val="clear" w:color="auto" w:fill="FFFFFF"/>
        </w:rPr>
        <w:t>settings.</w:t>
      </w:r>
      <w:r w:rsidR="00143C47" w:rsidRPr="00F11BB6">
        <w:rPr>
          <w:rFonts w:ascii="Arial" w:hAnsi="Arial" w:cs="Arial"/>
          <w:color w:val="7030A0"/>
          <w:sz w:val="22"/>
          <w:szCs w:val="22"/>
          <w:shd w:val="clear" w:color="auto" w:fill="FFFFFF"/>
        </w:rPr>
        <w:t xml:space="preserve"> </w:t>
      </w:r>
    </w:p>
    <w:p w14:paraId="54023E53" w14:textId="20BAB892" w:rsidR="004B0B26" w:rsidRPr="00F11BB6" w:rsidRDefault="00EA0EDC" w:rsidP="001A211D">
      <w:pPr>
        <w:spacing w:before="100" w:beforeAutospacing="1" w:after="100" w:afterAutospacing="1" w:line="360" w:lineRule="auto"/>
        <w:ind w:firstLine="720"/>
        <w:jc w:val="both"/>
        <w:rPr>
          <w:rFonts w:ascii="Arial" w:hAnsi="Arial" w:cs="Arial"/>
          <w:color w:val="7030A0"/>
          <w:sz w:val="22"/>
          <w:szCs w:val="22"/>
          <w:shd w:val="clear" w:color="auto" w:fill="FFFFFF"/>
        </w:rPr>
      </w:pPr>
      <w:r w:rsidRPr="00F11BB6">
        <w:rPr>
          <w:rFonts w:ascii="Arial" w:hAnsi="Arial" w:cs="Arial"/>
          <w:color w:val="7030A0"/>
          <w:sz w:val="22"/>
          <w:szCs w:val="22"/>
          <w:shd w:val="clear" w:color="auto" w:fill="FFFFFF"/>
        </w:rPr>
        <w:t>However, the method encounters certain challenges</w:t>
      </w:r>
      <w:r w:rsidR="00FF6EE0" w:rsidRPr="00F11BB6">
        <w:rPr>
          <w:rFonts w:ascii="Arial" w:hAnsi="Arial" w:cs="Arial"/>
          <w:color w:val="7030A0"/>
          <w:sz w:val="22"/>
          <w:szCs w:val="22"/>
          <w:shd w:val="clear" w:color="auto" w:fill="FFFFFF"/>
        </w:rPr>
        <w:t>. One significant obstacle lies in the complexity of assessing student progress and understanding within the framework of the Leuven method (</w:t>
      </w:r>
      <w:r w:rsidR="00C35E31" w:rsidRPr="00F11BB6">
        <w:rPr>
          <w:rFonts w:ascii="Arial" w:hAnsi="Arial" w:cs="Arial"/>
          <w:color w:val="7030A0"/>
          <w:sz w:val="22"/>
          <w:szCs w:val="22"/>
        </w:rPr>
        <w:t>Storli</w:t>
      </w:r>
      <w:r w:rsidR="009C7095" w:rsidRPr="00F11BB6">
        <w:rPr>
          <w:rFonts w:ascii="Arial" w:hAnsi="Arial" w:cs="Arial"/>
          <w:color w:val="7030A0"/>
          <w:sz w:val="22"/>
          <w:szCs w:val="22"/>
        </w:rPr>
        <w:t xml:space="preserve"> and</w:t>
      </w:r>
      <w:r w:rsidR="00C35E31" w:rsidRPr="00F11BB6">
        <w:rPr>
          <w:rFonts w:ascii="Arial" w:hAnsi="Arial" w:cs="Arial"/>
          <w:color w:val="7030A0"/>
          <w:sz w:val="22"/>
          <w:szCs w:val="22"/>
        </w:rPr>
        <w:t xml:space="preserve"> </w:t>
      </w:r>
      <w:proofErr w:type="spellStart"/>
      <w:r w:rsidR="00C35E31" w:rsidRPr="00F11BB6">
        <w:rPr>
          <w:rFonts w:ascii="Arial" w:hAnsi="Arial" w:cs="Arial"/>
          <w:color w:val="7030A0"/>
          <w:sz w:val="22"/>
          <w:szCs w:val="22"/>
        </w:rPr>
        <w:t>Sandseter</w:t>
      </w:r>
      <w:proofErr w:type="spellEnd"/>
      <w:r w:rsidR="00C35E31" w:rsidRPr="00F11BB6">
        <w:rPr>
          <w:rFonts w:ascii="Arial" w:hAnsi="Arial" w:cs="Arial"/>
          <w:color w:val="7030A0"/>
          <w:sz w:val="22"/>
          <w:szCs w:val="22"/>
        </w:rPr>
        <w:t>, 2019</w:t>
      </w:r>
      <w:r w:rsidR="00FF6EE0" w:rsidRPr="00F11BB6">
        <w:rPr>
          <w:rFonts w:ascii="Arial" w:hAnsi="Arial" w:cs="Arial"/>
          <w:color w:val="7030A0"/>
          <w:sz w:val="22"/>
          <w:szCs w:val="22"/>
          <w:shd w:val="clear" w:color="auto" w:fill="FFFFFF"/>
        </w:rPr>
        <w:t xml:space="preserve">). </w:t>
      </w:r>
      <w:r w:rsidR="008D1148" w:rsidRPr="00F11BB6">
        <w:rPr>
          <w:rFonts w:ascii="Arial" w:hAnsi="Arial" w:cs="Arial"/>
          <w:color w:val="7030A0"/>
          <w:sz w:val="22"/>
          <w:szCs w:val="22"/>
          <w:shd w:val="clear" w:color="auto" w:fill="FFFFFF"/>
        </w:rPr>
        <w:t xml:space="preserve">Moreover, according to Thomas – Walter (2023) there are other limitations of using Leuven method like significant time, resources, and professional development for teachers and school staff. </w:t>
      </w:r>
      <w:r w:rsidR="004A3CBA" w:rsidRPr="00F11BB6">
        <w:rPr>
          <w:rFonts w:ascii="Arial" w:hAnsi="Arial" w:cs="Arial"/>
          <w:color w:val="7030A0"/>
          <w:sz w:val="22"/>
          <w:szCs w:val="22"/>
          <w:shd w:val="clear" w:color="auto" w:fill="FFFFFF"/>
        </w:rPr>
        <w:t xml:space="preserve"> </w:t>
      </w:r>
      <w:r w:rsidR="002D7B5E" w:rsidRPr="00F11BB6">
        <w:rPr>
          <w:rFonts w:ascii="Arial" w:hAnsi="Arial" w:cs="Arial"/>
          <w:color w:val="7030A0"/>
          <w:sz w:val="22"/>
          <w:szCs w:val="22"/>
          <w:shd w:val="clear" w:color="auto" w:fill="FFFFFF"/>
        </w:rPr>
        <w:t>Notwithstanding these limitations, the Leuven method continues to be a disciplined framework that aims to improve learning outcomes and successfully meet the needs of students in the context of primary school.</w:t>
      </w:r>
    </w:p>
    <w:p w14:paraId="5E08B3E2" w14:textId="7F80994C" w:rsidR="00336D38" w:rsidRPr="00F11BB6" w:rsidRDefault="00336D38" w:rsidP="001A211D">
      <w:pPr>
        <w:pStyle w:val="ListParagraph"/>
        <w:numPr>
          <w:ilvl w:val="0"/>
          <w:numId w:val="1"/>
        </w:numPr>
        <w:spacing w:before="100" w:beforeAutospacing="1" w:after="100" w:afterAutospacing="1" w:line="360" w:lineRule="auto"/>
        <w:jc w:val="both"/>
        <w:rPr>
          <w:rFonts w:ascii="Arial" w:hAnsi="Arial" w:cs="Arial"/>
        </w:rPr>
      </w:pPr>
      <w:r w:rsidRPr="00F11BB6">
        <w:rPr>
          <w:rFonts w:ascii="Arial" w:hAnsi="Arial" w:cs="Arial"/>
          <w:shd w:val="clear" w:color="auto" w:fill="FFFFFF"/>
        </w:rPr>
        <w:t>T</w:t>
      </w:r>
      <w:r w:rsidR="00F11BB6" w:rsidRPr="00F11BB6">
        <w:rPr>
          <w:rFonts w:ascii="Arial" w:hAnsi="Arial" w:cs="Arial"/>
          <w:shd w:val="clear" w:color="auto" w:fill="FFFFFF"/>
        </w:rPr>
        <w:t xml:space="preserve">he case </w:t>
      </w:r>
      <w:proofErr w:type="gramStart"/>
      <w:r w:rsidR="00F11BB6" w:rsidRPr="00F11BB6">
        <w:rPr>
          <w:rFonts w:ascii="Arial" w:hAnsi="Arial" w:cs="Arial"/>
          <w:shd w:val="clear" w:color="auto" w:fill="FFFFFF"/>
        </w:rPr>
        <w:t>study</w:t>
      </w:r>
      <w:proofErr w:type="gramEnd"/>
    </w:p>
    <w:p w14:paraId="12A672F6" w14:textId="6FCBEE72" w:rsidR="004B0B26" w:rsidRPr="001A211D" w:rsidRDefault="004B0B26" w:rsidP="001A211D">
      <w:pPr>
        <w:spacing w:before="100" w:beforeAutospacing="1" w:after="100" w:afterAutospacing="1" w:line="360" w:lineRule="auto"/>
        <w:jc w:val="both"/>
        <w:rPr>
          <w:rFonts w:ascii="Arial" w:eastAsia="Times New Roman" w:hAnsi="Arial" w:cs="Arial"/>
          <w:kern w:val="0"/>
          <w:sz w:val="22"/>
          <w:szCs w:val="22"/>
          <w14:ligatures w14:val="none"/>
        </w:rPr>
      </w:pPr>
      <w:r w:rsidRPr="00F50EB8">
        <w:rPr>
          <w:rFonts w:ascii="Arial" w:eastAsia="Times New Roman" w:hAnsi="Arial" w:cs="Arial"/>
          <w:kern w:val="0"/>
          <w:sz w:val="22"/>
          <w:szCs w:val="22"/>
          <w14:ligatures w14:val="none"/>
        </w:rPr>
        <w:t>This study takes a qualitative approach, reflecting on the efficacy of incorporating real-world experiences into mathematics instruction for English Language Learners using focus groups and observations</w:t>
      </w:r>
      <w:r w:rsidR="006B61A3" w:rsidRPr="001A211D">
        <w:rPr>
          <w:rFonts w:ascii="Arial" w:eastAsia="Times New Roman" w:hAnsi="Arial" w:cs="Arial"/>
          <w:kern w:val="0"/>
          <w:sz w:val="22"/>
          <w:szCs w:val="22"/>
          <w14:ligatures w14:val="none"/>
        </w:rPr>
        <w:t xml:space="preserve"> (Appendix 2 and Appendix 3, 4)</w:t>
      </w:r>
      <w:r w:rsidRPr="00F50EB8">
        <w:rPr>
          <w:rFonts w:ascii="Arial" w:eastAsia="Times New Roman" w:hAnsi="Arial" w:cs="Arial"/>
          <w:kern w:val="0"/>
          <w:sz w:val="22"/>
          <w:szCs w:val="22"/>
          <w14:ligatures w14:val="none"/>
        </w:rPr>
        <w:t>. This study suggests addressing this by including real-world contexts, like making Beast cookies and making shopping lists with decimals that correspond with the class's topic, "Beast Creator." The main areas of focus for observations are student participation, understanding, and application of mathematical ideas in real-world contexts.</w:t>
      </w:r>
      <w:r w:rsidR="006B61A3" w:rsidRPr="001A211D">
        <w:rPr>
          <w:rFonts w:ascii="Arial" w:eastAsia="Times New Roman" w:hAnsi="Arial" w:cs="Arial"/>
          <w:kern w:val="0"/>
          <w:sz w:val="22"/>
          <w:szCs w:val="22"/>
          <w14:ligatures w14:val="none"/>
        </w:rPr>
        <w:t xml:space="preserve"> </w:t>
      </w:r>
      <w:r w:rsidRPr="001A211D">
        <w:rPr>
          <w:rFonts w:ascii="Arial" w:hAnsi="Arial" w:cs="Arial"/>
          <w:sz w:val="22"/>
          <w:szCs w:val="22"/>
        </w:rPr>
        <w:t>Introduction to Decimals: Begin by revisiting the concept of decimals with the students</w:t>
      </w:r>
      <w:r w:rsidRPr="001A211D">
        <w:rPr>
          <w:rFonts w:ascii="Arial" w:hAnsi="Arial" w:cs="Arial"/>
          <w:sz w:val="22"/>
          <w:szCs w:val="22"/>
        </w:rPr>
        <w:t xml:space="preserve">. </w:t>
      </w:r>
      <w:r w:rsidRPr="001A211D">
        <w:rPr>
          <w:rFonts w:ascii="Arial" w:hAnsi="Arial" w:cs="Arial"/>
          <w:sz w:val="22"/>
          <w:szCs w:val="22"/>
        </w:rPr>
        <w:t>Provide a brief overview of what decimals are and how they are used in everyday life, such as in measurements and money</w:t>
      </w:r>
      <w:r w:rsidRPr="001A211D">
        <w:rPr>
          <w:rFonts w:ascii="Arial" w:hAnsi="Arial" w:cs="Arial"/>
          <w:sz w:val="22"/>
          <w:szCs w:val="22"/>
        </w:rPr>
        <w:t xml:space="preserve"> (</w:t>
      </w:r>
      <w:r w:rsidRPr="001A211D">
        <w:rPr>
          <w:rFonts w:ascii="Arial" w:hAnsi="Arial" w:cs="Arial"/>
          <w:sz w:val="22"/>
          <w:szCs w:val="22"/>
        </w:rPr>
        <w:t>Appendix 4- Lesson plan</w:t>
      </w:r>
      <w:r w:rsidRPr="001A211D">
        <w:rPr>
          <w:rFonts w:ascii="Arial" w:hAnsi="Arial" w:cs="Arial"/>
          <w:sz w:val="22"/>
          <w:szCs w:val="22"/>
        </w:rPr>
        <w:t>)</w:t>
      </w:r>
      <w:r w:rsidRPr="001A211D">
        <w:rPr>
          <w:rFonts w:ascii="Arial" w:hAnsi="Arial" w:cs="Arial"/>
          <w:sz w:val="22"/>
          <w:szCs w:val="22"/>
        </w:rPr>
        <w:t>.</w:t>
      </w:r>
      <w:r w:rsidR="001A211D">
        <w:rPr>
          <w:rFonts w:ascii="Arial" w:eastAsia="Times New Roman" w:hAnsi="Arial" w:cs="Arial"/>
          <w:kern w:val="0"/>
          <w:sz w:val="22"/>
          <w:szCs w:val="22"/>
          <w14:ligatures w14:val="none"/>
        </w:rPr>
        <w:t xml:space="preserve"> </w:t>
      </w:r>
      <w:r w:rsidRPr="001A211D">
        <w:rPr>
          <w:rFonts w:ascii="Arial" w:hAnsi="Arial" w:cs="Arial"/>
          <w:sz w:val="22"/>
          <w:szCs w:val="22"/>
        </w:rPr>
        <w:t>Review the Cupcake Recipe: Present the cupcake recipe to the students, emphasizing the importance of accurate measurements in baking. Highlight the measurements expressed as fractions (e.g., 1/2 cup of flour, 3/4 cup of sugar)</w:t>
      </w:r>
      <w:r w:rsidRPr="001A211D">
        <w:rPr>
          <w:rFonts w:ascii="Arial" w:hAnsi="Arial" w:cs="Arial"/>
          <w:sz w:val="22"/>
          <w:szCs w:val="22"/>
        </w:rPr>
        <w:t xml:space="preserve"> (</w:t>
      </w:r>
      <w:r w:rsidRPr="001A211D">
        <w:rPr>
          <w:rFonts w:ascii="Arial" w:hAnsi="Arial" w:cs="Arial"/>
          <w:sz w:val="22"/>
          <w:szCs w:val="22"/>
        </w:rPr>
        <w:t xml:space="preserve">Appendix </w:t>
      </w:r>
      <w:r w:rsidRPr="001A211D">
        <w:rPr>
          <w:rFonts w:ascii="Arial" w:hAnsi="Arial" w:cs="Arial"/>
          <w:sz w:val="22"/>
          <w:szCs w:val="22"/>
        </w:rPr>
        <w:t>3 – Focus group resources)</w:t>
      </w:r>
      <w:r w:rsidRPr="001A211D">
        <w:rPr>
          <w:rFonts w:ascii="Arial" w:hAnsi="Arial" w:cs="Arial"/>
          <w:sz w:val="22"/>
          <w:szCs w:val="22"/>
        </w:rPr>
        <w:t>.</w:t>
      </w:r>
    </w:p>
    <w:p w14:paraId="6AF812B1" w14:textId="52E48B14" w:rsidR="004B0B26" w:rsidRPr="001A211D" w:rsidRDefault="004B0B26" w:rsidP="001A211D">
      <w:pPr>
        <w:spacing w:before="100" w:beforeAutospacing="1" w:after="100" w:afterAutospacing="1" w:line="360" w:lineRule="auto"/>
        <w:jc w:val="both"/>
        <w:rPr>
          <w:rFonts w:ascii="Arial" w:hAnsi="Arial" w:cs="Arial"/>
          <w:sz w:val="22"/>
          <w:szCs w:val="22"/>
        </w:rPr>
      </w:pPr>
      <w:r w:rsidRPr="001A211D">
        <w:rPr>
          <w:rFonts w:ascii="Arial" w:hAnsi="Arial" w:cs="Arial"/>
          <w:sz w:val="22"/>
          <w:szCs w:val="22"/>
        </w:rPr>
        <w:t>Conversion Practice: Guide the students through converting the fractional measurements in the recipe into decimals. Use examples and practice problems to demonstrate the conversion process (e.g., 1/2 cup becomes 0.5, 3/4 cup becomes 0.75).</w:t>
      </w:r>
      <w:r w:rsidR="001A211D">
        <w:rPr>
          <w:rFonts w:ascii="Arial" w:hAnsi="Arial" w:cs="Arial"/>
          <w:sz w:val="22"/>
          <w:szCs w:val="22"/>
        </w:rPr>
        <w:t xml:space="preserve"> </w:t>
      </w:r>
      <w:r w:rsidRPr="001A211D">
        <w:rPr>
          <w:rFonts w:ascii="Arial" w:hAnsi="Arial" w:cs="Arial"/>
          <w:sz w:val="22"/>
          <w:szCs w:val="22"/>
        </w:rPr>
        <w:t>Hands-on Baking: Divide the students into small groups and provide each group with the necessary ingredients and tools. Instruct them to follow the converted measurements to prepare the cupcake batter.</w:t>
      </w:r>
    </w:p>
    <w:p w14:paraId="2D199DAC" w14:textId="4E9A5B2C" w:rsidR="0070526A" w:rsidRPr="001A211D" w:rsidRDefault="004B0B26" w:rsidP="001A211D">
      <w:pPr>
        <w:spacing w:before="100" w:beforeAutospacing="1" w:after="100" w:afterAutospacing="1" w:line="360" w:lineRule="auto"/>
        <w:jc w:val="both"/>
        <w:rPr>
          <w:rFonts w:ascii="Arial" w:hAnsi="Arial" w:cs="Arial"/>
          <w:sz w:val="22"/>
          <w:szCs w:val="22"/>
        </w:rPr>
      </w:pPr>
      <w:r w:rsidRPr="001A211D">
        <w:rPr>
          <w:rFonts w:ascii="Arial" w:hAnsi="Arial" w:cs="Arial"/>
          <w:sz w:val="22"/>
          <w:szCs w:val="22"/>
        </w:rPr>
        <w:lastRenderedPageBreak/>
        <w:t>Baking and Observation: While the cupcakes are baking in the oven, observe the students' engagement and understanding of decimals throughout the process. Encourage them to discuss their observations and experiences with decimals as they work</w:t>
      </w:r>
      <w:r w:rsidRPr="001A211D">
        <w:rPr>
          <w:rFonts w:ascii="Arial" w:hAnsi="Arial" w:cs="Arial"/>
          <w:sz w:val="22"/>
          <w:szCs w:val="22"/>
        </w:rPr>
        <w:t xml:space="preserve"> (Appendix 2 – Leuven scale)</w:t>
      </w:r>
      <w:r w:rsidRPr="001A211D">
        <w:rPr>
          <w:rFonts w:ascii="Arial" w:hAnsi="Arial" w:cs="Arial"/>
          <w:sz w:val="22"/>
          <w:szCs w:val="22"/>
        </w:rPr>
        <w:t>.</w:t>
      </w:r>
      <w:r w:rsidR="001A211D">
        <w:rPr>
          <w:rFonts w:ascii="Arial" w:hAnsi="Arial" w:cs="Arial"/>
          <w:sz w:val="22"/>
          <w:szCs w:val="22"/>
        </w:rPr>
        <w:t xml:space="preserve"> </w:t>
      </w:r>
      <w:r w:rsidR="006B61A3" w:rsidRPr="001A211D">
        <w:rPr>
          <w:rFonts w:ascii="Arial" w:hAnsi="Arial" w:cs="Arial"/>
          <w:sz w:val="22"/>
          <w:szCs w:val="22"/>
          <w:shd w:val="clear" w:color="auto" w:fill="FFFFFF"/>
        </w:rPr>
        <w:t>Utilizing a focus group is an efficient approach to conducting research. Participants were specifically selected to participate in the focus group due to their shared characteristics pertinent to the researcher's investigation, such as a particular lifestyle circumstance or condition.</w:t>
      </w:r>
    </w:p>
    <w:p w14:paraId="595456AA" w14:textId="58986020" w:rsidR="007B4597" w:rsidRPr="002276E7" w:rsidRDefault="006B61A3" w:rsidP="002276E7">
      <w:pPr>
        <w:spacing w:before="100" w:beforeAutospacing="1" w:after="100" w:afterAutospacing="1" w:line="360" w:lineRule="auto"/>
        <w:ind w:firstLine="720"/>
        <w:jc w:val="both"/>
        <w:rPr>
          <w:rFonts w:ascii="Arial" w:eastAsia="Times New Roman" w:hAnsi="Arial" w:cs="Arial"/>
          <w:kern w:val="0"/>
          <w14:ligatures w14:val="none"/>
        </w:rPr>
      </w:pPr>
      <w:r w:rsidRPr="006B61A3">
        <w:rPr>
          <w:rFonts w:ascii="Arial" w:eastAsia="Times New Roman" w:hAnsi="Arial" w:cs="Arial"/>
          <w:kern w:val="0"/>
          <w14:ligatures w14:val="none"/>
        </w:rPr>
        <w:t xml:space="preserve">Conducting a group interview with the teachers was </w:t>
      </w:r>
      <w:proofErr w:type="gramStart"/>
      <w:r w:rsidRPr="006B61A3">
        <w:rPr>
          <w:rFonts w:ascii="Arial" w:eastAsia="Times New Roman" w:hAnsi="Arial" w:cs="Arial"/>
          <w:kern w:val="0"/>
          <w14:ligatures w14:val="none"/>
        </w:rPr>
        <w:t>really beneficial</w:t>
      </w:r>
      <w:proofErr w:type="gramEnd"/>
      <w:r w:rsidRPr="006B61A3">
        <w:rPr>
          <w:rFonts w:ascii="Arial" w:eastAsia="Times New Roman" w:hAnsi="Arial" w:cs="Arial"/>
          <w:kern w:val="0"/>
          <w14:ligatures w14:val="none"/>
        </w:rPr>
        <w:t xml:space="preserve"> for sharing their teaching experiences. Addressing the questions listed in Appendix 1 prompted instructors to reflect on their methods and highlighted the need of differentiation in their classrooms. All teachers agreed on the need of methodically organising each lesson to cater to each child's individual interests and requirements, especially EAL kids, who may require different approaches to properly engage with the lesson topic. This emphasises the significance of flexibility and adaptability in educational tactics for ensuring inclusive and effective teaching practices.</w:t>
      </w:r>
    </w:p>
    <w:p w14:paraId="2DFCA8E0" w14:textId="05D8E64C" w:rsidR="0001245D" w:rsidRPr="001A211D" w:rsidRDefault="00CD1AFA" w:rsidP="0001245D">
      <w:pPr>
        <w:pStyle w:val="ListParagraph"/>
        <w:numPr>
          <w:ilvl w:val="0"/>
          <w:numId w:val="1"/>
        </w:numPr>
        <w:ind w:left="0"/>
        <w:jc w:val="both"/>
        <w:rPr>
          <w:rFonts w:ascii="Arial" w:hAnsi="Arial" w:cs="Arial"/>
        </w:rPr>
      </w:pPr>
      <w:r w:rsidRPr="001A211D">
        <w:rPr>
          <w:rFonts w:ascii="Arial" w:hAnsi="Arial" w:cs="Arial"/>
        </w:rPr>
        <w:t>Data Presentation and Analysis Method</w:t>
      </w:r>
      <w:r w:rsidR="001A211D" w:rsidRPr="001A211D">
        <w:rPr>
          <w:rFonts w:ascii="Arial" w:hAnsi="Arial" w:cs="Arial"/>
        </w:rPr>
        <w:t>s</w:t>
      </w:r>
    </w:p>
    <w:p w14:paraId="3512DA77" w14:textId="77777777" w:rsidR="00B12EEB" w:rsidRPr="00B12EEB" w:rsidRDefault="00D7502A" w:rsidP="00B12EEB">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In this case study, conducted as part of ongoing research into the effectiveness of integrating real-life contexts into mathematics lessons, a significant emphasis was placed on the impact of such pedagogical approaches on student engagement, especially among (EAL) learners (Suh, 2023). The findings indicate a notable increase in engagement levels, using Leuven scale (Appendix 2), where 5 out of 6 children demonstrated a high degree of involvement in activities aligned with the lesson plans that incorporated real-life scenarios (Appendix 2).</w:t>
      </w:r>
      <w:r w:rsidR="00B12EEB">
        <w:rPr>
          <w:rFonts w:ascii="Arial" w:hAnsi="Arial" w:cs="Arial"/>
          <w:sz w:val="22"/>
          <w:szCs w:val="22"/>
        </w:rPr>
        <w:t xml:space="preserve"> </w:t>
      </w:r>
    </w:p>
    <w:p w14:paraId="7F18E56E" w14:textId="2F53C80B" w:rsidR="00D7502A" w:rsidRPr="00D7502A" w:rsidRDefault="00B12EEB" w:rsidP="00B12EEB">
      <w:pPr>
        <w:spacing w:before="100" w:beforeAutospacing="1" w:after="100" w:afterAutospacing="1" w:line="360" w:lineRule="auto"/>
        <w:ind w:firstLine="720"/>
        <w:jc w:val="both"/>
        <w:rPr>
          <w:rFonts w:ascii="Arial" w:hAnsi="Arial" w:cs="Arial"/>
          <w:sz w:val="22"/>
          <w:szCs w:val="22"/>
        </w:rPr>
      </w:pPr>
      <w:r w:rsidRPr="00B12EEB">
        <w:rPr>
          <w:rFonts w:ascii="Arial" w:hAnsi="Arial" w:cs="Arial"/>
          <w:sz w:val="22"/>
          <w:szCs w:val="22"/>
        </w:rPr>
        <w:t>The resources in Appendix 3 sparked discussions among learners, especially regarding the use of cooking to understand maths. During the research, six students shared differing views on its effectiveness. Some found cooking hands-on and practical, making math concepts tangible, while others felt it complicated and time-consuming, detracting from their focus on learning. These perspectives highlight the need to consider individual preferences and learning styles when incorporating real-life contexts into math education.</w:t>
      </w:r>
    </w:p>
    <w:p w14:paraId="5C2CD1A9" w14:textId="687EBCF1" w:rsidR="00D7502A" w:rsidRPr="00D7502A" w:rsidRDefault="00D7502A" w:rsidP="00B12EEB">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Moreover, the case study delved into teachers' perspectives on the utility of real-life contexts within educational settings. It emerged that two out of three teachers advocate for the integration of real-life situations as a valuable pedagogical tool (</w:t>
      </w:r>
      <w:r w:rsidR="00B12EEB">
        <w:rPr>
          <w:rFonts w:ascii="Arial" w:hAnsi="Arial" w:cs="Arial"/>
          <w:sz w:val="22"/>
          <w:szCs w:val="22"/>
        </w:rPr>
        <w:t xml:space="preserve">Appendix 1 – group </w:t>
      </w:r>
      <w:r w:rsidR="00B12EEB">
        <w:rPr>
          <w:rFonts w:ascii="Arial" w:hAnsi="Arial" w:cs="Arial"/>
          <w:sz w:val="22"/>
          <w:szCs w:val="22"/>
        </w:rPr>
        <w:lastRenderedPageBreak/>
        <w:t>interview</w:t>
      </w:r>
      <w:r w:rsidRPr="00D7502A">
        <w:rPr>
          <w:rFonts w:ascii="Arial" w:hAnsi="Arial" w:cs="Arial"/>
          <w:sz w:val="22"/>
          <w:szCs w:val="22"/>
        </w:rPr>
        <w:t xml:space="preserve">). However, they also stressed its efficacy only when combined with other principles from a set of twelve recognized pedagogical </w:t>
      </w:r>
      <w:r w:rsidR="00B12EEB">
        <w:rPr>
          <w:rFonts w:ascii="Arial" w:hAnsi="Arial" w:cs="Arial"/>
          <w:sz w:val="22"/>
          <w:szCs w:val="22"/>
        </w:rPr>
        <w:t>principals</w:t>
      </w:r>
      <w:r w:rsidRPr="00D7502A">
        <w:rPr>
          <w:rFonts w:ascii="Arial" w:hAnsi="Arial" w:cs="Arial"/>
          <w:sz w:val="22"/>
          <w:szCs w:val="22"/>
        </w:rPr>
        <w:t xml:space="preserve"> (</w:t>
      </w:r>
      <w:r w:rsidR="00B12EEB">
        <w:rPr>
          <w:rFonts w:ascii="Arial" w:hAnsi="Arial" w:cs="Arial"/>
          <w:sz w:val="22"/>
          <w:szCs w:val="22"/>
        </w:rPr>
        <w:t>Donaldson, 2015)</w:t>
      </w:r>
      <w:r w:rsidRPr="00D7502A">
        <w:rPr>
          <w:rFonts w:ascii="Arial" w:hAnsi="Arial" w:cs="Arial"/>
          <w:sz w:val="22"/>
          <w:szCs w:val="22"/>
        </w:rPr>
        <w:t xml:space="preserve"> These educators argue that while real-life contexts can enhance relatability and practical understanding, their full potential is unleashed when synergistically combined with other educational principles such as scaffolding, differentiated instruction, and continuous assessment</w:t>
      </w:r>
      <w:r w:rsidR="00B12EEB">
        <w:rPr>
          <w:rFonts w:ascii="Arial" w:hAnsi="Arial" w:cs="Arial"/>
          <w:sz w:val="22"/>
          <w:szCs w:val="22"/>
        </w:rPr>
        <w:t xml:space="preserve"> (Appendix 1)</w:t>
      </w:r>
      <w:r w:rsidRPr="00D7502A">
        <w:rPr>
          <w:rFonts w:ascii="Arial" w:hAnsi="Arial" w:cs="Arial"/>
          <w:sz w:val="22"/>
          <w:szCs w:val="22"/>
        </w:rPr>
        <w:t>.</w:t>
      </w:r>
    </w:p>
    <w:p w14:paraId="03C45F87" w14:textId="77777777" w:rsidR="00B12EEB" w:rsidRDefault="00B12EEB" w:rsidP="001A211D">
      <w:pPr>
        <w:spacing w:before="100" w:beforeAutospacing="1" w:after="100" w:afterAutospacing="1" w:line="360" w:lineRule="auto"/>
        <w:ind w:firstLine="720"/>
        <w:jc w:val="both"/>
        <w:rPr>
          <w:rFonts w:ascii="Arial" w:hAnsi="Arial" w:cs="Arial"/>
          <w:sz w:val="22"/>
          <w:szCs w:val="22"/>
        </w:rPr>
      </w:pPr>
      <w:r w:rsidRPr="00B12EEB">
        <w:rPr>
          <w:rFonts w:ascii="Arial" w:hAnsi="Arial" w:cs="Arial"/>
          <w:sz w:val="22"/>
          <w:szCs w:val="22"/>
        </w:rPr>
        <w:t>Group interviews with teachers revealed how they select and apply real-life scenarios, aligning them with curricular goals and students' specific learning needs, particularly in Key Stage 2 (Clark et al., 2017; García &amp; López, 2018). Criteria include relevance to students' experiences and the potential to stimulate critical thinking. Comparisons between traditional and real-life methods showed a preference for the latter, enhancing engagement and academic outcomes (Tout, 2021). Real-life contexts aid in assessing practical application, offering a comprehensive evaluation of student learning (Tout, 2021).</w:t>
      </w:r>
    </w:p>
    <w:p w14:paraId="0F20906C" w14:textId="49B6C585" w:rsidR="0001245D" w:rsidRDefault="00D7502A" w:rsidP="001A211D">
      <w:pPr>
        <w:spacing w:before="100" w:beforeAutospacing="1" w:after="100" w:afterAutospacing="1" w:line="360" w:lineRule="auto"/>
        <w:ind w:firstLine="720"/>
        <w:jc w:val="both"/>
        <w:rPr>
          <w:rFonts w:ascii="Arial" w:hAnsi="Arial" w:cs="Arial"/>
          <w:sz w:val="22"/>
          <w:szCs w:val="22"/>
        </w:rPr>
      </w:pPr>
      <w:r w:rsidRPr="00D7502A">
        <w:rPr>
          <w:rFonts w:ascii="Arial" w:hAnsi="Arial" w:cs="Arial"/>
          <w:sz w:val="22"/>
          <w:szCs w:val="22"/>
        </w:rPr>
        <w:t>This case study underscore</w:t>
      </w:r>
      <w:r w:rsidR="00B12EEB">
        <w:rPr>
          <w:rFonts w:ascii="Arial" w:hAnsi="Arial" w:cs="Arial"/>
          <w:sz w:val="22"/>
          <w:szCs w:val="22"/>
        </w:rPr>
        <w:t>d</w:t>
      </w:r>
      <w:r w:rsidRPr="00D7502A">
        <w:rPr>
          <w:rFonts w:ascii="Arial" w:hAnsi="Arial" w:cs="Arial"/>
          <w:sz w:val="22"/>
          <w:szCs w:val="22"/>
        </w:rPr>
        <w:t xml:space="preserve"> the critical role of thoughtful integration of real-life contexts in education, backed by collaborative and reflective teaching practices (David, 2023, Tout, 2021). It encourages educators to adopt a holistic approach, blending various pedagogical principles to foster an inclusive and engaging learning environment that resonates with all students, irrespective of their linguistic or cultural backgrounds.</w:t>
      </w:r>
    </w:p>
    <w:p w14:paraId="422E5429" w14:textId="504B1FA0" w:rsidR="00CD1AFA" w:rsidRPr="001A211D" w:rsidRDefault="00CD1AFA" w:rsidP="008A0A33">
      <w:pPr>
        <w:pStyle w:val="ListParagraph"/>
        <w:numPr>
          <w:ilvl w:val="0"/>
          <w:numId w:val="1"/>
        </w:numPr>
        <w:ind w:left="0"/>
        <w:jc w:val="both"/>
        <w:rPr>
          <w:rFonts w:ascii="Arial" w:hAnsi="Arial" w:cs="Arial"/>
        </w:rPr>
      </w:pPr>
      <w:r w:rsidRPr="001A211D">
        <w:rPr>
          <w:rFonts w:ascii="Arial" w:hAnsi="Arial" w:cs="Arial"/>
        </w:rPr>
        <w:t xml:space="preserve">Ethical considerations </w:t>
      </w:r>
    </w:p>
    <w:p w14:paraId="6DF81F7A" w14:textId="6D6535CF" w:rsidR="009B17A1" w:rsidRPr="0029566F" w:rsidRDefault="00D22625"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 xml:space="preserve">According </w:t>
      </w:r>
      <w:r w:rsidR="009B17A1" w:rsidRPr="0029566F">
        <w:rPr>
          <w:rFonts w:ascii="Arial" w:hAnsi="Arial" w:cs="Arial"/>
          <w:sz w:val="22"/>
          <w:szCs w:val="22"/>
        </w:rPr>
        <w:t>to Thomas</w:t>
      </w:r>
      <w:r w:rsidR="009B17A1" w:rsidRPr="0029566F">
        <w:rPr>
          <w:rFonts w:ascii="Arial" w:hAnsi="Arial" w:cs="Arial"/>
          <w:sz w:val="22"/>
          <w:szCs w:val="22"/>
          <w:shd w:val="clear" w:color="auto" w:fill="FFFFFF"/>
        </w:rPr>
        <w:t xml:space="preserve"> (2023) that participants in the research have rights and the needs need to be consider. Especially the needs of children / legal minors, anyone with physical disability, anyone with learning difficulties, parents, anyone in custody. BERA (2018) highlights the researchers ‘responsibilities, privacy concerns, and reporting results. While the UWTSD (2022) focus on research ethics, confidentiality, and integrity in academic settings. </w:t>
      </w:r>
      <w:r w:rsidR="00F05D46" w:rsidRPr="0029566F">
        <w:rPr>
          <w:rFonts w:ascii="Arial" w:hAnsi="Arial" w:cs="Arial"/>
          <w:sz w:val="22"/>
          <w:szCs w:val="22"/>
          <w:shd w:val="clear" w:color="auto" w:fill="FFFFFF"/>
        </w:rPr>
        <w:t>Therefore, following the guidelines of BERA (2018)</w:t>
      </w:r>
      <w:r w:rsidR="003238D3" w:rsidRPr="0029566F">
        <w:rPr>
          <w:rFonts w:ascii="Arial" w:hAnsi="Arial" w:cs="Arial"/>
          <w:sz w:val="22"/>
          <w:szCs w:val="22"/>
          <w:shd w:val="clear" w:color="auto" w:fill="FFFFFF"/>
        </w:rPr>
        <w:t xml:space="preserve"> and UWSTD (2022) Ethical code of </w:t>
      </w:r>
      <w:r w:rsidR="00523DAD" w:rsidRPr="0029566F">
        <w:rPr>
          <w:rFonts w:ascii="Arial" w:hAnsi="Arial" w:cs="Arial"/>
          <w:sz w:val="22"/>
          <w:szCs w:val="22"/>
          <w:shd w:val="clear" w:color="auto" w:fill="FFFFFF"/>
        </w:rPr>
        <w:t xml:space="preserve">practice give the importance to remember that being ethical is to respect the researcher’s participants. </w:t>
      </w:r>
      <w:r w:rsidR="003C3E7E" w:rsidRPr="0029566F">
        <w:rPr>
          <w:rFonts w:ascii="Arial" w:hAnsi="Arial" w:cs="Arial"/>
          <w:sz w:val="22"/>
          <w:szCs w:val="22"/>
          <w:shd w:val="clear" w:color="auto" w:fill="FFFFFF"/>
        </w:rPr>
        <w:t xml:space="preserve">Michael and Samuel (2012) agree that in the research everyone need to be treated and not to see colour or </w:t>
      </w:r>
      <w:r w:rsidR="003C3E7E" w:rsidRPr="0029566F">
        <w:rPr>
          <w:rFonts w:ascii="Arial" w:hAnsi="Arial" w:cs="Arial"/>
          <w:sz w:val="22"/>
          <w:szCs w:val="22"/>
        </w:rPr>
        <w:t>differences. National Institutes of Health (2018) pointed out Researchers have a duty to protect children from harm, including physical, psychological, emotional, and social harm. Studies should be designed in a way that minimizes any potential risks to children, and steps should be taken to ensure their safety throughout the research process.</w:t>
      </w:r>
    </w:p>
    <w:p w14:paraId="2FBC1F1A" w14:textId="300B78DA" w:rsidR="00BA6B89" w:rsidRPr="001A211D" w:rsidRDefault="00BA6B89" w:rsidP="001A211D">
      <w:pPr>
        <w:spacing w:before="100" w:beforeAutospacing="1" w:after="100" w:afterAutospacing="1" w:line="360" w:lineRule="auto"/>
        <w:ind w:firstLine="720"/>
        <w:jc w:val="both"/>
        <w:rPr>
          <w:rFonts w:ascii="Arial" w:hAnsi="Arial" w:cs="Arial"/>
          <w:sz w:val="22"/>
          <w:szCs w:val="22"/>
          <w:shd w:val="clear" w:color="auto" w:fill="FFFFFF"/>
        </w:rPr>
      </w:pPr>
      <w:r w:rsidRPr="0029566F">
        <w:rPr>
          <w:rFonts w:ascii="Arial" w:hAnsi="Arial" w:cs="Arial"/>
          <w:sz w:val="22"/>
          <w:szCs w:val="22"/>
          <w:shd w:val="clear" w:color="auto" w:fill="FFFFFF"/>
        </w:rPr>
        <w:t xml:space="preserve">UWSTD (2022) states that if our study group is at risk from disruption, low self-esteem, resentment, or embarrassment, then appropriate mitigation measures should be implemented. Children are the research topic, and BERA (2018) states that the study should be planned to </w:t>
      </w:r>
      <w:r w:rsidRPr="0029566F">
        <w:rPr>
          <w:rFonts w:ascii="Arial" w:hAnsi="Arial" w:cs="Arial"/>
          <w:sz w:val="22"/>
          <w:szCs w:val="22"/>
          <w:shd w:val="clear" w:color="auto" w:fill="FFFFFF"/>
        </w:rPr>
        <w:lastRenderedPageBreak/>
        <w:t>reduce any dangers that could be present for the children involved.</w:t>
      </w:r>
      <w:r w:rsidR="001A211D">
        <w:rPr>
          <w:rFonts w:ascii="Arial" w:hAnsi="Arial" w:cs="Arial"/>
          <w:sz w:val="22"/>
          <w:szCs w:val="22"/>
          <w:shd w:val="clear" w:color="auto" w:fill="FFFFFF"/>
        </w:rPr>
        <w:t xml:space="preserve"> </w:t>
      </w:r>
      <w:r w:rsidR="00C54EB7" w:rsidRPr="0029566F">
        <w:rPr>
          <w:rFonts w:ascii="Arial" w:hAnsi="Arial" w:cs="Arial"/>
          <w:sz w:val="22"/>
          <w:szCs w:val="22"/>
        </w:rPr>
        <w:t>According to Priscilla (2011) r</w:t>
      </w:r>
      <w:r w:rsidRPr="0029566F">
        <w:rPr>
          <w:rFonts w:ascii="Arial" w:hAnsi="Arial" w:cs="Arial"/>
          <w:sz w:val="22"/>
          <w:szCs w:val="22"/>
        </w:rPr>
        <w:t xml:space="preserve">esearchers should strive to maintain the anonymity of child participants whenever possible. </w:t>
      </w:r>
      <w:r w:rsidR="00327D68" w:rsidRPr="0029566F">
        <w:rPr>
          <w:rFonts w:ascii="Arial" w:hAnsi="Arial" w:cs="Arial"/>
          <w:sz w:val="22"/>
          <w:szCs w:val="22"/>
        </w:rPr>
        <w:t xml:space="preserve">Lewis et al. (2004) proved that </w:t>
      </w:r>
      <w:r w:rsidRPr="0029566F">
        <w:rPr>
          <w:rFonts w:ascii="Arial" w:hAnsi="Arial" w:cs="Arial"/>
          <w:sz w:val="22"/>
          <w:szCs w:val="22"/>
        </w:rPr>
        <w:t xml:space="preserve">means that no identifying information should be collected or reported that could link individual children to their responses or data. </w:t>
      </w:r>
      <w:r w:rsidR="00327D68" w:rsidRPr="0029566F">
        <w:rPr>
          <w:rFonts w:ascii="Arial" w:hAnsi="Arial" w:cs="Arial"/>
          <w:sz w:val="22"/>
          <w:szCs w:val="22"/>
        </w:rPr>
        <w:t>Therefore, BERA (2018) offered to a</w:t>
      </w:r>
      <w:r w:rsidRPr="0029566F">
        <w:rPr>
          <w:rFonts w:ascii="Arial" w:hAnsi="Arial" w:cs="Arial"/>
          <w:sz w:val="22"/>
          <w:szCs w:val="22"/>
        </w:rPr>
        <w:t>ssign unique identifiers or using codes instead of names can help ensure anonymity.</w:t>
      </w:r>
    </w:p>
    <w:p w14:paraId="04EA56B4" w14:textId="7AD00B5D" w:rsidR="009561E2" w:rsidRDefault="0001245D" w:rsidP="001A211D">
      <w:pPr>
        <w:pStyle w:val="ListParagraph"/>
        <w:spacing w:before="100" w:beforeAutospacing="1" w:after="100" w:afterAutospacing="1" w:line="360" w:lineRule="auto"/>
        <w:ind w:left="0" w:firstLine="720"/>
        <w:jc w:val="both"/>
        <w:rPr>
          <w:rFonts w:ascii="Arial" w:hAnsi="Arial" w:cs="Arial"/>
          <w:sz w:val="22"/>
          <w:szCs w:val="22"/>
        </w:rPr>
      </w:pPr>
      <w:r w:rsidRPr="0029566F">
        <w:rPr>
          <w:rFonts w:ascii="Arial" w:hAnsi="Arial" w:cs="Arial"/>
          <w:sz w:val="22"/>
          <w:szCs w:val="22"/>
        </w:rPr>
        <w:t>In addition, it is noteworthy that the consent letter (Appendix 5) was sent to 9 students from year 5/6; however, only 6 students returned the letters, indicating a participation rate of 67%. The process of obtaining pupil assent involved clear communication and respectful interaction, adhering to professional conduct standards (</w:t>
      </w:r>
      <w:r w:rsidR="0029566F" w:rsidRPr="0029566F">
        <w:rPr>
          <w:rFonts w:ascii="Arial" w:hAnsi="Arial" w:cs="Arial"/>
          <w:sz w:val="22"/>
          <w:szCs w:val="22"/>
        </w:rPr>
        <w:t>Perry, 2011</w:t>
      </w:r>
      <w:r w:rsidRPr="0029566F">
        <w:rPr>
          <w:rFonts w:ascii="Arial" w:hAnsi="Arial" w:cs="Arial"/>
          <w:sz w:val="22"/>
          <w:szCs w:val="22"/>
        </w:rPr>
        <w:t>). Referring explicitly to the Ethics Form provided guidance throughout this process, ensuring compliance with ethical guidelines (</w:t>
      </w:r>
      <w:r w:rsidR="0029566F" w:rsidRPr="0029566F">
        <w:rPr>
          <w:rFonts w:ascii="Arial" w:hAnsi="Arial" w:cs="Arial"/>
          <w:sz w:val="22"/>
          <w:szCs w:val="22"/>
        </w:rPr>
        <w:t xml:space="preserve">Alderson and Morrow, 2022; </w:t>
      </w:r>
      <w:r w:rsidRPr="0029566F">
        <w:rPr>
          <w:rFonts w:ascii="Arial" w:hAnsi="Arial" w:cs="Arial"/>
          <w:sz w:val="22"/>
          <w:szCs w:val="22"/>
        </w:rPr>
        <w:t>Brown et al., 2018). Interaction with learners was conducted with sensitivity to their individual needs and preferences, maintaining professionalism while fostering open communication conducive to gaining assent (</w:t>
      </w:r>
      <w:r w:rsidRPr="0029566F">
        <w:rPr>
          <w:rFonts w:ascii="Arial" w:hAnsi="Arial" w:cs="Arial"/>
          <w:sz w:val="22"/>
          <w:szCs w:val="22"/>
        </w:rPr>
        <w:t>Israel, 2015</w:t>
      </w:r>
      <w:r w:rsidRPr="0029566F">
        <w:rPr>
          <w:rFonts w:ascii="Arial" w:hAnsi="Arial" w:cs="Arial"/>
          <w:sz w:val="22"/>
          <w:szCs w:val="22"/>
        </w:rPr>
        <w:t>)</w:t>
      </w:r>
      <w:r w:rsidR="00E66A3F" w:rsidRPr="0029566F">
        <w:rPr>
          <w:rFonts w:ascii="Arial" w:hAnsi="Arial" w:cs="Arial"/>
          <w:sz w:val="22"/>
          <w:szCs w:val="22"/>
        </w:rPr>
        <w:t>.</w:t>
      </w:r>
    </w:p>
    <w:p w14:paraId="65BC68B2" w14:textId="77777777" w:rsidR="0029566F" w:rsidRPr="0029566F" w:rsidRDefault="0029566F" w:rsidP="0001245D">
      <w:pPr>
        <w:pStyle w:val="ListParagraph"/>
        <w:ind w:left="0"/>
        <w:jc w:val="both"/>
        <w:rPr>
          <w:rFonts w:ascii="Arial" w:hAnsi="Arial" w:cs="Arial"/>
          <w:sz w:val="22"/>
          <w:szCs w:val="22"/>
        </w:rPr>
      </w:pPr>
    </w:p>
    <w:p w14:paraId="6BC6DE75" w14:textId="7FF3A33D" w:rsidR="006D7983" w:rsidRPr="001A211D" w:rsidRDefault="00CD1AFA" w:rsidP="000E3F4C">
      <w:pPr>
        <w:pStyle w:val="ListParagraph"/>
        <w:numPr>
          <w:ilvl w:val="0"/>
          <w:numId w:val="1"/>
        </w:numPr>
        <w:ind w:left="0"/>
        <w:jc w:val="both"/>
        <w:rPr>
          <w:rFonts w:ascii="Arial" w:hAnsi="Arial" w:cs="Arial"/>
          <w:sz w:val="22"/>
          <w:szCs w:val="22"/>
        </w:rPr>
      </w:pPr>
      <w:r w:rsidRPr="001A211D">
        <w:rPr>
          <w:rFonts w:ascii="Arial" w:hAnsi="Arial" w:cs="Arial"/>
          <w:b/>
          <w:bCs/>
          <w:sz w:val="22"/>
          <w:szCs w:val="22"/>
        </w:rPr>
        <w:t xml:space="preserve">Results / Analysis of results / Discussion </w:t>
      </w:r>
    </w:p>
    <w:p w14:paraId="33DAFA9E" w14:textId="4C8E62AB" w:rsidR="0066792E" w:rsidRPr="0029566F" w:rsidRDefault="00DF2BC6"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 xml:space="preserve">In a focus group interview with four teachers, three agreed on the effectiveness of using real-life circumstances to engage pupils. However, they identified difficulties in assessing children's progress (see Appendix 1). As a result, one of the teachers emphasised that a real-life context pedagogical principal </w:t>
      </w:r>
      <w:proofErr w:type="gramStart"/>
      <w:r w:rsidRPr="0029566F">
        <w:rPr>
          <w:rFonts w:ascii="Arial" w:hAnsi="Arial" w:cs="Arial"/>
          <w:sz w:val="22"/>
          <w:szCs w:val="22"/>
        </w:rPr>
        <w:t>has to</w:t>
      </w:r>
      <w:proofErr w:type="gramEnd"/>
      <w:r w:rsidRPr="0029566F">
        <w:rPr>
          <w:rFonts w:ascii="Arial" w:hAnsi="Arial" w:cs="Arial"/>
          <w:sz w:val="22"/>
          <w:szCs w:val="22"/>
        </w:rPr>
        <w:t xml:space="preserve"> be combined with other pedagogical principles, such as assessment for learning. </w:t>
      </w:r>
      <w:r w:rsidR="00033F7B" w:rsidRPr="0029566F">
        <w:rPr>
          <w:rFonts w:ascii="Arial" w:hAnsi="Arial" w:cs="Arial"/>
          <w:sz w:val="22"/>
          <w:szCs w:val="22"/>
        </w:rPr>
        <w:t>One teacher highlighted the interconnectedness of the real-life context pedagogical principle with other pedagogical principles, such as fostering learner responsibility, supporting social and emotional development, and cultivating positive relationships.</w:t>
      </w:r>
      <w:r w:rsidRPr="0029566F">
        <w:rPr>
          <w:rFonts w:ascii="Arial" w:hAnsi="Arial" w:cs="Arial"/>
          <w:sz w:val="22"/>
          <w:szCs w:val="22"/>
        </w:rPr>
        <w:t xml:space="preserve"> </w:t>
      </w:r>
      <w:r w:rsidR="0066792E" w:rsidRPr="0029566F">
        <w:rPr>
          <w:rFonts w:ascii="Arial" w:hAnsi="Arial" w:cs="Arial"/>
          <w:sz w:val="22"/>
          <w:szCs w:val="22"/>
        </w:rPr>
        <w:t xml:space="preserve">According to one of the teachers, it is believed that learning occurs when children are actively involved in the process, </w:t>
      </w:r>
      <w:proofErr w:type="gramStart"/>
      <w:r w:rsidR="008D598A" w:rsidRPr="0029566F">
        <w:rPr>
          <w:rFonts w:ascii="Arial" w:hAnsi="Arial" w:cs="Arial"/>
          <w:sz w:val="22"/>
          <w:szCs w:val="22"/>
        </w:rPr>
        <w:t>similar</w:t>
      </w:r>
      <w:r w:rsidR="0066792E" w:rsidRPr="0029566F">
        <w:rPr>
          <w:rFonts w:ascii="Arial" w:hAnsi="Arial" w:cs="Arial"/>
          <w:sz w:val="22"/>
          <w:szCs w:val="22"/>
        </w:rPr>
        <w:t xml:space="preserve"> to</w:t>
      </w:r>
      <w:proofErr w:type="gramEnd"/>
      <w:r w:rsidR="0066792E" w:rsidRPr="0029566F">
        <w:rPr>
          <w:rFonts w:ascii="Arial" w:hAnsi="Arial" w:cs="Arial"/>
          <w:sz w:val="22"/>
          <w:szCs w:val="22"/>
        </w:rPr>
        <w:t xml:space="preserve"> play, through the utilization of real-life contexts. This opinion is supported by research indicating that Key Stage 2 (KS2) students are frequently perceived to be constrained by the necessity to master subjects for standardized assessments. Furthermore, ongoing discussions, as endorsed by Grace and Lee (2014), advocate for a shift towards a greater utilization of real-world strategies post-COVID to enhance student participation. This sentiment is further reinforced by Peters and </w:t>
      </w:r>
      <w:proofErr w:type="spellStart"/>
      <w:r w:rsidR="0066792E" w:rsidRPr="0029566F">
        <w:rPr>
          <w:rFonts w:ascii="Arial" w:hAnsi="Arial" w:cs="Arial"/>
          <w:sz w:val="22"/>
          <w:szCs w:val="22"/>
        </w:rPr>
        <w:t>Xudong</w:t>
      </w:r>
      <w:proofErr w:type="spellEnd"/>
      <w:r w:rsidR="0066792E" w:rsidRPr="0029566F">
        <w:rPr>
          <w:rFonts w:ascii="Arial" w:hAnsi="Arial" w:cs="Arial"/>
          <w:sz w:val="22"/>
          <w:szCs w:val="22"/>
        </w:rPr>
        <w:t xml:space="preserve"> (2023), who emphasize the significance of play-based learning in authentic settings within the context of KS2 teaching. Particularly, David (2023) articulates that students are more inclined to engage in the learning process when they perceive mathematical concepts as relevant, valuable, and applicable beyond the confines of the classroom (Downes &amp; Bishop, 2012).</w:t>
      </w:r>
    </w:p>
    <w:p w14:paraId="466DC289" w14:textId="5031C761" w:rsidR="0066792E" w:rsidRPr="0029566F" w:rsidRDefault="00CB15FC"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lastRenderedPageBreak/>
        <w:t>The Leuven Scale, initially designed to measure engagement and well-being in young children (</w:t>
      </w:r>
      <w:proofErr w:type="spellStart"/>
      <w:r w:rsidRPr="0029566F">
        <w:rPr>
          <w:rFonts w:ascii="Arial" w:hAnsi="Arial" w:cs="Arial"/>
          <w:sz w:val="22"/>
          <w:szCs w:val="22"/>
        </w:rPr>
        <w:t>MacRae</w:t>
      </w:r>
      <w:proofErr w:type="spellEnd"/>
      <w:r w:rsidRPr="0029566F">
        <w:rPr>
          <w:rFonts w:ascii="Arial" w:hAnsi="Arial" w:cs="Arial"/>
          <w:sz w:val="22"/>
          <w:szCs w:val="22"/>
        </w:rPr>
        <w:t xml:space="preserve"> and Jones, 2023), has been repurposed for assessing adult involvement in learning contexts (</w:t>
      </w:r>
      <w:proofErr w:type="spellStart"/>
      <w:r w:rsidRPr="0029566F">
        <w:rPr>
          <w:rFonts w:ascii="Arial" w:hAnsi="Arial" w:cs="Arial"/>
          <w:sz w:val="22"/>
          <w:szCs w:val="22"/>
        </w:rPr>
        <w:t>Delhaye</w:t>
      </w:r>
      <w:proofErr w:type="spellEnd"/>
      <w:r w:rsidRPr="0029566F">
        <w:rPr>
          <w:rFonts w:ascii="Arial" w:hAnsi="Arial" w:cs="Arial"/>
          <w:sz w:val="22"/>
          <w:szCs w:val="22"/>
        </w:rPr>
        <w:t xml:space="preserve"> et al., 2012). Adopting a similar methodology, this study utilizes the Leuven Scale to measure the engagement levels of both Year 5/6 EAL children and French learners during cooking sessions (see Appendix 2). These sessions are structured to integrate mathematics learning through hands-on experiences, with a focus on understanding decimals and measuring ingredients. The observations from these cooking sessions, as detailed in Appendix 2, indicate a notable trend of high engagement among the majority of EAL children and French learners. This suggests a strong interest and involvement in the mathematical learning activities integrated into the culinary context. Furthermore, qualitative analysis of the children's interactions and </w:t>
      </w:r>
      <w:proofErr w:type="spellStart"/>
      <w:r w:rsidRPr="0029566F">
        <w:rPr>
          <w:rFonts w:ascii="Arial" w:hAnsi="Arial" w:cs="Arial"/>
          <w:sz w:val="22"/>
          <w:szCs w:val="22"/>
        </w:rPr>
        <w:t>behaviors</w:t>
      </w:r>
      <w:proofErr w:type="spellEnd"/>
      <w:r w:rsidRPr="0029566F">
        <w:rPr>
          <w:rFonts w:ascii="Arial" w:hAnsi="Arial" w:cs="Arial"/>
          <w:sz w:val="22"/>
          <w:szCs w:val="22"/>
        </w:rPr>
        <w:t xml:space="preserve"> reveals patterns of active participation and enthusiasm for mathematical tasks, affirming the efficacy of real-world learning environments in nurturing mathematical understanding among EAL</w:t>
      </w:r>
      <w:r w:rsidRPr="0029566F">
        <w:rPr>
          <w:rFonts w:ascii="Arial" w:hAnsi="Arial" w:cs="Arial"/>
          <w:sz w:val="22"/>
          <w:szCs w:val="22"/>
        </w:rPr>
        <w:t xml:space="preserve"> learner. </w:t>
      </w:r>
    </w:p>
    <w:p w14:paraId="7FEEC05D" w14:textId="49258BFC" w:rsidR="0066792E" w:rsidRPr="0029566F" w:rsidRDefault="0066792E" w:rsidP="00E71D43">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During the focus group discussion aimed at elucidating the mathematical perception of EAL children concerning decimals within a culinary context, two EAL students encounter difficulty in converting a recipe for 12 cupcakes into one for six, utilizing 0.5 and 1/2 to grasp the concept of halves in measurements. Furthermore, a preference for approximate measurements over precise ones, as presented in the recipe, is expressed by one student. Conversely, another student exhibits enthusiasm towards using weighing scales and successfully comprehends the significance of 0.6 grams. Collaboratively, the students and the researcher convert the recipe from four servings to ten, establishing a conversion factor of 2.5. Remarkably, three children swiftly grasp the concept of the conversion factor and take initiative in instructing their peers. Notably, one child utilizes a block of butter weighing 500 grams to illustrate the necessity of multiplying by 2.5, the established conversion factor. This focus group discussion facilitates enhanced mathematical understanding among the children, enabling those with a stronger grasp of the concept to elucidate it to their peers, thus aligning with Vygotsky's sociocultural learning model.</w:t>
      </w:r>
    </w:p>
    <w:p w14:paraId="08EF2DEB" w14:textId="1CB06880" w:rsidR="0066792E" w:rsidRPr="0029566F" w:rsidRDefault="0066792E" w:rsidP="00AF64C9">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t>Moreover, the focus group discussion sheds light on the challenges and successes experienced by EAL students in understanding mathematical concepts within a culinary context. While some students encounter difficulties, particularly in converting measurements, collaborative learning and peer instruction facilitate deeper understanding and knowledge dissemination among the group. This highlights the significance of sociocultural learning models, such as Vygotsky's, in promoting peer interaction and collaborative problem-solving</w:t>
      </w:r>
      <w:r w:rsidR="00336D38" w:rsidRPr="0029566F">
        <w:rPr>
          <w:rFonts w:ascii="Arial" w:hAnsi="Arial" w:cs="Arial"/>
          <w:sz w:val="22"/>
          <w:szCs w:val="22"/>
        </w:rPr>
        <w:t xml:space="preserve"> (Aubrey and Riley, 2019)</w:t>
      </w:r>
      <w:r w:rsidRPr="0029566F">
        <w:rPr>
          <w:rFonts w:ascii="Arial" w:hAnsi="Arial" w:cs="Arial"/>
          <w:sz w:val="22"/>
          <w:szCs w:val="22"/>
        </w:rPr>
        <w:t>.</w:t>
      </w:r>
    </w:p>
    <w:p w14:paraId="632113D4" w14:textId="0132FA6D" w:rsidR="00963055" w:rsidRPr="0029566F" w:rsidRDefault="0066792E" w:rsidP="001A211D">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lastRenderedPageBreak/>
        <w:t>The teacher</w:t>
      </w:r>
      <w:r w:rsidR="00336D38" w:rsidRPr="0029566F">
        <w:rPr>
          <w:rFonts w:ascii="Arial" w:hAnsi="Arial" w:cs="Arial"/>
          <w:sz w:val="22"/>
          <w:szCs w:val="22"/>
        </w:rPr>
        <w:t xml:space="preserve">s’ group </w:t>
      </w:r>
      <w:r w:rsidRPr="0029566F">
        <w:rPr>
          <w:rFonts w:ascii="Arial" w:hAnsi="Arial" w:cs="Arial"/>
          <w:sz w:val="22"/>
          <w:szCs w:val="22"/>
        </w:rPr>
        <w:t>interview discussion underscores the efficacy of integrating real-life contexts into pedagogical practices, particularly when complemented by other pedagogical principles</w:t>
      </w:r>
      <w:r w:rsidR="00336D38" w:rsidRPr="0029566F">
        <w:rPr>
          <w:rFonts w:ascii="Arial" w:hAnsi="Arial" w:cs="Arial"/>
          <w:sz w:val="22"/>
          <w:szCs w:val="22"/>
        </w:rPr>
        <w:t xml:space="preserve"> (Appendix 1)</w:t>
      </w:r>
      <w:r w:rsidRPr="0029566F">
        <w:rPr>
          <w:rFonts w:ascii="Arial" w:hAnsi="Arial" w:cs="Arial"/>
          <w:sz w:val="22"/>
          <w:szCs w:val="22"/>
        </w:rPr>
        <w:t>. This multidimensional approach not only enhances the teaching process but also ensures responsiveness to the diverse needs of students. For further exploration of this concept, references such as those provided by Grace and Lee (2014) and David (2023) elucidate the benefits of incorporating real-world strategies alongside established pedagogical frameworks.</w:t>
      </w:r>
    </w:p>
    <w:p w14:paraId="58CB0046" w14:textId="3361C73F"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 xml:space="preserve">Conclusions </w:t>
      </w:r>
    </w:p>
    <w:p w14:paraId="0FACAFCC" w14:textId="77777777" w:rsidR="00E71D43" w:rsidRDefault="00E71D43" w:rsidP="008A0A33">
      <w:pPr>
        <w:pStyle w:val="ListParagraph"/>
        <w:ind w:left="0"/>
        <w:jc w:val="both"/>
        <w:rPr>
          <w:rFonts w:ascii="Arial" w:hAnsi="Arial" w:cs="Arial"/>
          <w:sz w:val="22"/>
          <w:szCs w:val="22"/>
          <w:shd w:val="clear" w:color="auto" w:fill="FFFFFF"/>
        </w:rPr>
      </w:pPr>
    </w:p>
    <w:p w14:paraId="720926E4" w14:textId="3788A19C" w:rsidR="00535683" w:rsidRPr="0029566F" w:rsidRDefault="00E66A3F" w:rsidP="00E71D43">
      <w:pPr>
        <w:pStyle w:val="ListParagraph"/>
        <w:spacing w:before="100" w:beforeAutospacing="1" w:after="100" w:afterAutospacing="1" w:line="360" w:lineRule="auto"/>
        <w:ind w:left="0"/>
        <w:jc w:val="both"/>
        <w:rPr>
          <w:rFonts w:ascii="Arial" w:hAnsi="Arial" w:cs="Arial"/>
          <w:sz w:val="22"/>
          <w:szCs w:val="22"/>
          <w:shd w:val="clear" w:color="auto" w:fill="FFFFFF"/>
        </w:rPr>
      </w:pPr>
      <w:r w:rsidRPr="0029566F">
        <w:rPr>
          <w:rFonts w:ascii="Arial" w:hAnsi="Arial" w:cs="Arial"/>
          <w:sz w:val="22"/>
          <w:szCs w:val="22"/>
          <w:shd w:val="clear" w:color="auto" w:fill="FFFFFF"/>
        </w:rPr>
        <w:t>Teaching methods linking real-life scenarios with mathematical concepts boost student interest and motivation, supported by various studies (</w:t>
      </w:r>
      <w:r w:rsidR="00E71D43">
        <w:rPr>
          <w:rFonts w:ascii="Arial" w:hAnsi="Arial" w:cs="Arial"/>
          <w:sz w:val="22"/>
          <w:szCs w:val="22"/>
          <w:shd w:val="clear" w:color="auto" w:fill="FFFFFF"/>
        </w:rPr>
        <w:t>David, 2023; Suh, 2023; Tout 2021</w:t>
      </w:r>
      <w:r w:rsidRPr="0029566F">
        <w:rPr>
          <w:rFonts w:ascii="Arial" w:hAnsi="Arial" w:cs="Arial"/>
          <w:sz w:val="22"/>
          <w:szCs w:val="22"/>
          <w:shd w:val="clear" w:color="auto" w:fill="FFFFFF"/>
        </w:rPr>
        <w:t>). However, Smith (2018) notes logistical challenges in broader implementations, and Johnson (2020) warns against overshadowing critical thinking. Lee and Chen (2021) caution that some students, especially those with disabilities, may face barriers to hands-on engagement, potentially exacerbating educational disparities.</w:t>
      </w:r>
    </w:p>
    <w:p w14:paraId="4226C477" w14:textId="4078230E" w:rsidR="00E66A3F" w:rsidRDefault="00E66A3F" w:rsidP="00E71D43">
      <w:pPr>
        <w:pStyle w:val="ListParagraph"/>
        <w:spacing w:before="100" w:beforeAutospacing="1" w:after="100" w:afterAutospacing="1" w:line="360" w:lineRule="auto"/>
        <w:ind w:left="0" w:firstLine="720"/>
        <w:jc w:val="both"/>
        <w:rPr>
          <w:rFonts w:ascii="Arial" w:hAnsi="Arial" w:cs="Arial"/>
          <w:sz w:val="22"/>
          <w:szCs w:val="22"/>
        </w:rPr>
      </w:pPr>
      <w:r w:rsidRPr="0029566F">
        <w:rPr>
          <w:rFonts w:ascii="Arial" w:hAnsi="Arial" w:cs="Arial"/>
          <w:sz w:val="22"/>
          <w:szCs w:val="22"/>
        </w:rPr>
        <w:t>In critical consideration of this case study, the utilization of the Leuven Scale for observation, focus groups for exploring children's mathematics perception, and group interviews with teachers offers valuable insights into the effectiveness of incorporating real-life contexts in teaching. However, it's essential to acknowledge potential limitations such as subjective interpretations of data and the small sample size. While these methods provide rich qualitative data, their reliability and validity may vary depending on contextual factors and researcher bias. Future research could employ a mixed-methods approach to complement qualitative findings with quantitative measures, enhancing the robustness of the study. Additionally, ongoing reflection and refinement of research methods are necessary to ensure the credibility and applicability of findings in diverse educational settings.</w:t>
      </w:r>
    </w:p>
    <w:p w14:paraId="146FBDE0" w14:textId="77777777" w:rsidR="00E71D43" w:rsidRPr="0029566F" w:rsidRDefault="00E71D43" w:rsidP="00E71D43">
      <w:pPr>
        <w:pStyle w:val="ListParagraph"/>
        <w:spacing w:before="100" w:beforeAutospacing="1" w:after="100" w:afterAutospacing="1" w:line="360" w:lineRule="auto"/>
        <w:ind w:left="0" w:firstLine="720"/>
        <w:jc w:val="both"/>
        <w:rPr>
          <w:rFonts w:ascii="Arial" w:hAnsi="Arial" w:cs="Arial"/>
          <w:sz w:val="22"/>
          <w:szCs w:val="22"/>
        </w:rPr>
      </w:pPr>
    </w:p>
    <w:p w14:paraId="1DB982E2" w14:textId="7DBBF022" w:rsidR="00CD1AFA" w:rsidRPr="0029566F" w:rsidRDefault="00CD1AFA" w:rsidP="008A0A33">
      <w:pPr>
        <w:pStyle w:val="ListParagraph"/>
        <w:numPr>
          <w:ilvl w:val="0"/>
          <w:numId w:val="1"/>
        </w:numPr>
        <w:ind w:left="0"/>
        <w:jc w:val="both"/>
        <w:rPr>
          <w:rFonts w:ascii="Arial" w:hAnsi="Arial" w:cs="Arial"/>
          <w:sz w:val="22"/>
          <w:szCs w:val="22"/>
        </w:rPr>
      </w:pPr>
      <w:r w:rsidRPr="0029566F">
        <w:rPr>
          <w:rFonts w:ascii="Arial" w:hAnsi="Arial" w:cs="Arial"/>
          <w:sz w:val="22"/>
          <w:szCs w:val="22"/>
        </w:rPr>
        <w:t xml:space="preserve">Recommendations </w:t>
      </w:r>
    </w:p>
    <w:p w14:paraId="024BD4F5" w14:textId="77777777" w:rsidR="00E71D43" w:rsidRDefault="00E71D43" w:rsidP="00E71D43">
      <w:pPr>
        <w:spacing w:before="100" w:beforeAutospacing="1" w:after="100" w:afterAutospacing="1" w:line="360" w:lineRule="auto"/>
        <w:ind w:firstLine="720"/>
        <w:jc w:val="both"/>
        <w:rPr>
          <w:rFonts w:ascii="Arial" w:hAnsi="Arial" w:cs="Arial"/>
          <w:sz w:val="22"/>
          <w:szCs w:val="22"/>
        </w:rPr>
      </w:pPr>
      <w:r w:rsidRPr="00E71D43">
        <w:rPr>
          <w:rFonts w:ascii="Arial" w:hAnsi="Arial" w:cs="Arial"/>
          <w:sz w:val="22"/>
          <w:szCs w:val="22"/>
        </w:rPr>
        <w:t>Considering this research has demonstrated successful strategies for fostering student engagement and good teaching approaches, it will direct the researcher's teaching methods.</w:t>
      </w:r>
      <w:r>
        <w:rPr>
          <w:rFonts w:ascii="Arial" w:hAnsi="Arial" w:cs="Arial"/>
          <w:sz w:val="22"/>
          <w:szCs w:val="22"/>
        </w:rPr>
        <w:t xml:space="preserve"> </w:t>
      </w:r>
      <w:r w:rsidR="008B08AC" w:rsidRPr="0029566F">
        <w:rPr>
          <w:rFonts w:ascii="Arial" w:hAnsi="Arial" w:cs="Arial"/>
          <w:sz w:val="22"/>
          <w:szCs w:val="22"/>
        </w:rPr>
        <w:t xml:space="preserve">Based on the research findings on how children perceive and engage with real-life contexts in mathematics lessons, several recommendations and interventions can be proposed. Firstly, educators should incorporate a diverse range of real-life contexts into mathematics lessons to cater to different interests and learning styles. Interactive and hands-on learning experiences should be implemented, allowing children to directly engage with real-life contexts through activities such as cooking, shopping, or designing. </w:t>
      </w:r>
    </w:p>
    <w:p w14:paraId="45087917" w14:textId="6DCA3B24" w:rsidR="008B08AC" w:rsidRPr="0029566F" w:rsidRDefault="008B08AC" w:rsidP="00E71D43">
      <w:pPr>
        <w:spacing w:before="100" w:beforeAutospacing="1" w:after="100" w:afterAutospacing="1" w:line="360" w:lineRule="auto"/>
        <w:ind w:firstLine="720"/>
        <w:jc w:val="both"/>
        <w:rPr>
          <w:rFonts w:ascii="Arial" w:hAnsi="Arial" w:cs="Arial"/>
          <w:sz w:val="22"/>
          <w:szCs w:val="22"/>
        </w:rPr>
      </w:pPr>
      <w:r w:rsidRPr="0029566F">
        <w:rPr>
          <w:rFonts w:ascii="Arial" w:hAnsi="Arial" w:cs="Arial"/>
          <w:sz w:val="22"/>
          <w:szCs w:val="22"/>
        </w:rPr>
        <w:lastRenderedPageBreak/>
        <w:t xml:space="preserve">Additionally, instruction should be differentiated to meet the diverse needs of children, providing scaffolded </w:t>
      </w:r>
      <w:proofErr w:type="gramStart"/>
      <w:r w:rsidRPr="0029566F">
        <w:rPr>
          <w:rFonts w:ascii="Arial" w:hAnsi="Arial" w:cs="Arial"/>
          <w:sz w:val="22"/>
          <w:szCs w:val="22"/>
        </w:rPr>
        <w:t>support</w:t>
      </w:r>
      <w:proofErr w:type="gramEnd"/>
      <w:r w:rsidRPr="0029566F">
        <w:rPr>
          <w:rFonts w:ascii="Arial" w:hAnsi="Arial" w:cs="Arial"/>
          <w:sz w:val="22"/>
          <w:szCs w:val="22"/>
        </w:rPr>
        <w:t xml:space="preserve"> and differentiated tasks</w:t>
      </w:r>
      <w:r w:rsidR="00E71D43">
        <w:rPr>
          <w:rFonts w:ascii="Arial" w:hAnsi="Arial" w:cs="Arial"/>
          <w:sz w:val="22"/>
          <w:szCs w:val="22"/>
        </w:rPr>
        <w:t xml:space="preserve">. </w:t>
      </w:r>
      <w:r w:rsidRPr="0029566F">
        <w:rPr>
          <w:rFonts w:ascii="Arial" w:hAnsi="Arial" w:cs="Arial"/>
          <w:sz w:val="22"/>
          <w:szCs w:val="22"/>
        </w:rPr>
        <w:t>Fostering a collaborative learning environment where children can share their perspectives and problem-solving strategies is crucial, along with the integration of technology tools and resources to enhance engagement. Continuous assessment and feedback should be provided to monitor children's progress and address any challenges they encounter, while professional development opportunities for teachers should focus on effective instructional methods and cultural responsiveness. Finally, community engagement should be encouraged to create authentic learning opportunities that connect mathematics to real-life experiences outside the classroom, ultimately enhancing children's learning outcomes and fostering a deeper understanding of mathematical concepts.</w:t>
      </w:r>
    </w:p>
    <w:p w14:paraId="4E5B0936" w14:textId="77777777" w:rsidR="00851AC3" w:rsidRPr="0029566F" w:rsidRDefault="00851AC3" w:rsidP="008A0A33">
      <w:pPr>
        <w:jc w:val="both"/>
        <w:rPr>
          <w:rFonts w:ascii="Arial" w:hAnsi="Arial" w:cs="Arial"/>
          <w:sz w:val="22"/>
          <w:szCs w:val="22"/>
        </w:rPr>
      </w:pPr>
    </w:p>
    <w:p w14:paraId="32B12FB2" w14:textId="77777777" w:rsidR="0059233B" w:rsidRPr="0029566F" w:rsidRDefault="0059233B" w:rsidP="008A0A33">
      <w:pPr>
        <w:jc w:val="both"/>
        <w:rPr>
          <w:rFonts w:ascii="Arial" w:hAnsi="Arial" w:cs="Arial"/>
          <w:sz w:val="22"/>
          <w:szCs w:val="22"/>
        </w:rPr>
      </w:pPr>
    </w:p>
    <w:p w14:paraId="7E35DE9E" w14:textId="77777777" w:rsidR="0059233B" w:rsidRPr="0029566F" w:rsidRDefault="0059233B" w:rsidP="008A0A33">
      <w:pPr>
        <w:jc w:val="both"/>
        <w:rPr>
          <w:rFonts w:ascii="Arial" w:hAnsi="Arial" w:cs="Arial"/>
          <w:b/>
          <w:bCs/>
          <w:sz w:val="22"/>
          <w:szCs w:val="22"/>
        </w:rPr>
      </w:pPr>
    </w:p>
    <w:p w14:paraId="54B56AD4" w14:textId="77777777" w:rsidR="0059233B" w:rsidRPr="0029566F" w:rsidRDefault="0059233B" w:rsidP="008A0A33">
      <w:pPr>
        <w:jc w:val="both"/>
        <w:rPr>
          <w:rFonts w:ascii="Arial" w:hAnsi="Arial" w:cs="Arial"/>
          <w:sz w:val="22"/>
          <w:szCs w:val="22"/>
        </w:rPr>
      </w:pPr>
    </w:p>
    <w:sectPr w:rsidR="0059233B" w:rsidRPr="002956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F255D" w14:textId="77777777" w:rsidR="00CC5676" w:rsidRDefault="00CC5676" w:rsidP="00CD1AFA">
      <w:pPr>
        <w:spacing w:after="0" w:line="240" w:lineRule="auto"/>
      </w:pPr>
      <w:r>
        <w:separator/>
      </w:r>
    </w:p>
  </w:endnote>
  <w:endnote w:type="continuationSeparator" w:id="0">
    <w:p w14:paraId="28679841" w14:textId="77777777" w:rsidR="00CC5676" w:rsidRDefault="00CC5676" w:rsidP="00CD1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5A5B3" w14:textId="77777777" w:rsidR="00CC5676" w:rsidRDefault="00CC5676" w:rsidP="00CD1AFA">
      <w:pPr>
        <w:spacing w:after="0" w:line="240" w:lineRule="auto"/>
      </w:pPr>
      <w:r>
        <w:separator/>
      </w:r>
    </w:p>
  </w:footnote>
  <w:footnote w:type="continuationSeparator" w:id="0">
    <w:p w14:paraId="4C0830E8" w14:textId="77777777" w:rsidR="00CC5676" w:rsidRDefault="00CC5676" w:rsidP="00CD1A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E293E"/>
    <w:multiLevelType w:val="hybridMultilevel"/>
    <w:tmpl w:val="BD40B7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8A86747"/>
    <w:multiLevelType w:val="hybridMultilevel"/>
    <w:tmpl w:val="BC6639A0"/>
    <w:lvl w:ilvl="0" w:tplc="AC96694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0BB214A"/>
    <w:multiLevelType w:val="hybridMultilevel"/>
    <w:tmpl w:val="620AACD8"/>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A2C7615"/>
    <w:multiLevelType w:val="hybridMultilevel"/>
    <w:tmpl w:val="0F64E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3139073">
    <w:abstractNumId w:val="3"/>
  </w:num>
  <w:num w:numId="2" w16cid:durableId="791903057">
    <w:abstractNumId w:val="0"/>
  </w:num>
  <w:num w:numId="3" w16cid:durableId="204870648">
    <w:abstractNumId w:val="1"/>
  </w:num>
  <w:num w:numId="4" w16cid:durableId="1439984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6C3"/>
    <w:rsid w:val="00004C16"/>
    <w:rsid w:val="00006317"/>
    <w:rsid w:val="0001245D"/>
    <w:rsid w:val="0002165B"/>
    <w:rsid w:val="00026EC7"/>
    <w:rsid w:val="0003343F"/>
    <w:rsid w:val="00033F7B"/>
    <w:rsid w:val="000402EF"/>
    <w:rsid w:val="00051900"/>
    <w:rsid w:val="00056DBC"/>
    <w:rsid w:val="00084177"/>
    <w:rsid w:val="000857DA"/>
    <w:rsid w:val="00091D91"/>
    <w:rsid w:val="00094726"/>
    <w:rsid w:val="000B5C2C"/>
    <w:rsid w:val="000B5DCB"/>
    <w:rsid w:val="000D49EC"/>
    <w:rsid w:val="000E4370"/>
    <w:rsid w:val="000E4F78"/>
    <w:rsid w:val="00103833"/>
    <w:rsid w:val="00106CAF"/>
    <w:rsid w:val="00112B11"/>
    <w:rsid w:val="00120796"/>
    <w:rsid w:val="00123647"/>
    <w:rsid w:val="00141B20"/>
    <w:rsid w:val="00143C47"/>
    <w:rsid w:val="0014414B"/>
    <w:rsid w:val="00152DAB"/>
    <w:rsid w:val="00152F67"/>
    <w:rsid w:val="001574EB"/>
    <w:rsid w:val="00173371"/>
    <w:rsid w:val="0017791F"/>
    <w:rsid w:val="00192C1F"/>
    <w:rsid w:val="001938A0"/>
    <w:rsid w:val="001A08E4"/>
    <w:rsid w:val="001A211D"/>
    <w:rsid w:val="001B46DC"/>
    <w:rsid w:val="001B4FBF"/>
    <w:rsid w:val="001C0CB4"/>
    <w:rsid w:val="001E5245"/>
    <w:rsid w:val="001E717D"/>
    <w:rsid w:val="001F11FD"/>
    <w:rsid w:val="001F3E38"/>
    <w:rsid w:val="0022718C"/>
    <w:rsid w:val="002276E7"/>
    <w:rsid w:val="00230CC9"/>
    <w:rsid w:val="002323AF"/>
    <w:rsid w:val="002351E1"/>
    <w:rsid w:val="002366F4"/>
    <w:rsid w:val="00243EA5"/>
    <w:rsid w:val="0025102F"/>
    <w:rsid w:val="002622F7"/>
    <w:rsid w:val="00262FB8"/>
    <w:rsid w:val="00270E7D"/>
    <w:rsid w:val="00280051"/>
    <w:rsid w:val="0029236D"/>
    <w:rsid w:val="0029566F"/>
    <w:rsid w:val="002C328D"/>
    <w:rsid w:val="002C521B"/>
    <w:rsid w:val="002D7B5E"/>
    <w:rsid w:val="002F00D6"/>
    <w:rsid w:val="00301065"/>
    <w:rsid w:val="00306123"/>
    <w:rsid w:val="00306914"/>
    <w:rsid w:val="00306BBA"/>
    <w:rsid w:val="00320E54"/>
    <w:rsid w:val="003238D3"/>
    <w:rsid w:val="00327D68"/>
    <w:rsid w:val="00335783"/>
    <w:rsid w:val="00336D38"/>
    <w:rsid w:val="00342910"/>
    <w:rsid w:val="00342A6C"/>
    <w:rsid w:val="00351350"/>
    <w:rsid w:val="003766AB"/>
    <w:rsid w:val="00377089"/>
    <w:rsid w:val="00380B3E"/>
    <w:rsid w:val="00393798"/>
    <w:rsid w:val="003A416F"/>
    <w:rsid w:val="003B0A4D"/>
    <w:rsid w:val="003B2D57"/>
    <w:rsid w:val="003B4749"/>
    <w:rsid w:val="003C3E7E"/>
    <w:rsid w:val="003C7C42"/>
    <w:rsid w:val="003C7F91"/>
    <w:rsid w:val="003D1105"/>
    <w:rsid w:val="003E5E7B"/>
    <w:rsid w:val="003F3497"/>
    <w:rsid w:val="003F5682"/>
    <w:rsid w:val="003F6378"/>
    <w:rsid w:val="00404BD4"/>
    <w:rsid w:val="004059EC"/>
    <w:rsid w:val="004157E5"/>
    <w:rsid w:val="00421985"/>
    <w:rsid w:val="004276C2"/>
    <w:rsid w:val="00427B9A"/>
    <w:rsid w:val="00447A3C"/>
    <w:rsid w:val="00450D09"/>
    <w:rsid w:val="00464C2D"/>
    <w:rsid w:val="00481F84"/>
    <w:rsid w:val="0048486C"/>
    <w:rsid w:val="0048747E"/>
    <w:rsid w:val="004977B1"/>
    <w:rsid w:val="004A3CBA"/>
    <w:rsid w:val="004B0B26"/>
    <w:rsid w:val="004C44F2"/>
    <w:rsid w:val="004F317E"/>
    <w:rsid w:val="004F69DB"/>
    <w:rsid w:val="00500253"/>
    <w:rsid w:val="00520668"/>
    <w:rsid w:val="00523DAD"/>
    <w:rsid w:val="005251F3"/>
    <w:rsid w:val="00525A0E"/>
    <w:rsid w:val="00535683"/>
    <w:rsid w:val="00561ABE"/>
    <w:rsid w:val="00577E61"/>
    <w:rsid w:val="00585946"/>
    <w:rsid w:val="0059233B"/>
    <w:rsid w:val="005A0DEC"/>
    <w:rsid w:val="005A3013"/>
    <w:rsid w:val="005A3665"/>
    <w:rsid w:val="005C2714"/>
    <w:rsid w:val="005D6499"/>
    <w:rsid w:val="005F1AE1"/>
    <w:rsid w:val="005F615E"/>
    <w:rsid w:val="00611B95"/>
    <w:rsid w:val="00615A5F"/>
    <w:rsid w:val="00621AC9"/>
    <w:rsid w:val="00634595"/>
    <w:rsid w:val="00634CCB"/>
    <w:rsid w:val="00653F0F"/>
    <w:rsid w:val="0066792E"/>
    <w:rsid w:val="00667C6D"/>
    <w:rsid w:val="00674FF7"/>
    <w:rsid w:val="00675C59"/>
    <w:rsid w:val="00682EAE"/>
    <w:rsid w:val="006A1ED1"/>
    <w:rsid w:val="006A440E"/>
    <w:rsid w:val="006B30A2"/>
    <w:rsid w:val="006B61A3"/>
    <w:rsid w:val="006B6B95"/>
    <w:rsid w:val="006B6CD3"/>
    <w:rsid w:val="006D0DAD"/>
    <w:rsid w:val="006D1D89"/>
    <w:rsid w:val="006D201B"/>
    <w:rsid w:val="006D6275"/>
    <w:rsid w:val="006D7983"/>
    <w:rsid w:val="006F19D4"/>
    <w:rsid w:val="006F213B"/>
    <w:rsid w:val="006F791D"/>
    <w:rsid w:val="0070526A"/>
    <w:rsid w:val="00712682"/>
    <w:rsid w:val="00715FA6"/>
    <w:rsid w:val="007238D6"/>
    <w:rsid w:val="007434E4"/>
    <w:rsid w:val="00750D50"/>
    <w:rsid w:val="00751445"/>
    <w:rsid w:val="00756117"/>
    <w:rsid w:val="00756C2E"/>
    <w:rsid w:val="00757FF0"/>
    <w:rsid w:val="00763A8A"/>
    <w:rsid w:val="007652D2"/>
    <w:rsid w:val="007703BA"/>
    <w:rsid w:val="007A003C"/>
    <w:rsid w:val="007B4597"/>
    <w:rsid w:val="007C7350"/>
    <w:rsid w:val="007D0340"/>
    <w:rsid w:val="007E1644"/>
    <w:rsid w:val="007E398A"/>
    <w:rsid w:val="00803577"/>
    <w:rsid w:val="00805989"/>
    <w:rsid w:val="008071C3"/>
    <w:rsid w:val="008072F9"/>
    <w:rsid w:val="008334AE"/>
    <w:rsid w:val="00833909"/>
    <w:rsid w:val="00851AC3"/>
    <w:rsid w:val="00871BA0"/>
    <w:rsid w:val="0088586D"/>
    <w:rsid w:val="008A0A33"/>
    <w:rsid w:val="008A1AC9"/>
    <w:rsid w:val="008A3EE2"/>
    <w:rsid w:val="008B08AC"/>
    <w:rsid w:val="008D1148"/>
    <w:rsid w:val="008D598A"/>
    <w:rsid w:val="008E324E"/>
    <w:rsid w:val="008E5151"/>
    <w:rsid w:val="00910CE4"/>
    <w:rsid w:val="0091254D"/>
    <w:rsid w:val="009132BD"/>
    <w:rsid w:val="00922D53"/>
    <w:rsid w:val="00936F8F"/>
    <w:rsid w:val="00937039"/>
    <w:rsid w:val="00950930"/>
    <w:rsid w:val="009561E2"/>
    <w:rsid w:val="00963055"/>
    <w:rsid w:val="009658C3"/>
    <w:rsid w:val="009662FD"/>
    <w:rsid w:val="00977625"/>
    <w:rsid w:val="00980274"/>
    <w:rsid w:val="00980557"/>
    <w:rsid w:val="00981A1B"/>
    <w:rsid w:val="009866C3"/>
    <w:rsid w:val="00991D2D"/>
    <w:rsid w:val="00996AB0"/>
    <w:rsid w:val="009A6F70"/>
    <w:rsid w:val="009A73CB"/>
    <w:rsid w:val="009B17A1"/>
    <w:rsid w:val="009C7095"/>
    <w:rsid w:val="009C7E90"/>
    <w:rsid w:val="009C7F09"/>
    <w:rsid w:val="009D2677"/>
    <w:rsid w:val="009E2B0D"/>
    <w:rsid w:val="009E3B66"/>
    <w:rsid w:val="009E558C"/>
    <w:rsid w:val="009E584C"/>
    <w:rsid w:val="009F3C6D"/>
    <w:rsid w:val="009F3D05"/>
    <w:rsid w:val="00A02FA6"/>
    <w:rsid w:val="00A10936"/>
    <w:rsid w:val="00A16239"/>
    <w:rsid w:val="00A201BD"/>
    <w:rsid w:val="00A2609A"/>
    <w:rsid w:val="00A4062D"/>
    <w:rsid w:val="00A41CE7"/>
    <w:rsid w:val="00A423F5"/>
    <w:rsid w:val="00A539D7"/>
    <w:rsid w:val="00A546AC"/>
    <w:rsid w:val="00A54FCF"/>
    <w:rsid w:val="00A70021"/>
    <w:rsid w:val="00A7028F"/>
    <w:rsid w:val="00A70A34"/>
    <w:rsid w:val="00A71F03"/>
    <w:rsid w:val="00AA5294"/>
    <w:rsid w:val="00AB4622"/>
    <w:rsid w:val="00AC0756"/>
    <w:rsid w:val="00AC5D68"/>
    <w:rsid w:val="00AD18BF"/>
    <w:rsid w:val="00AE3129"/>
    <w:rsid w:val="00AE4616"/>
    <w:rsid w:val="00AF64C9"/>
    <w:rsid w:val="00B01EB2"/>
    <w:rsid w:val="00B06847"/>
    <w:rsid w:val="00B12EEB"/>
    <w:rsid w:val="00B2006C"/>
    <w:rsid w:val="00B266E2"/>
    <w:rsid w:val="00B2709F"/>
    <w:rsid w:val="00B30770"/>
    <w:rsid w:val="00B35166"/>
    <w:rsid w:val="00B36F23"/>
    <w:rsid w:val="00B4749B"/>
    <w:rsid w:val="00B50FD3"/>
    <w:rsid w:val="00B5738F"/>
    <w:rsid w:val="00B67612"/>
    <w:rsid w:val="00B73D60"/>
    <w:rsid w:val="00B82F54"/>
    <w:rsid w:val="00B84E9A"/>
    <w:rsid w:val="00B95AEF"/>
    <w:rsid w:val="00BA05EB"/>
    <w:rsid w:val="00BA6B89"/>
    <w:rsid w:val="00BB21D1"/>
    <w:rsid w:val="00BB6E67"/>
    <w:rsid w:val="00BC1931"/>
    <w:rsid w:val="00BC7D10"/>
    <w:rsid w:val="00BD0612"/>
    <w:rsid w:val="00BE07B0"/>
    <w:rsid w:val="00BE5F07"/>
    <w:rsid w:val="00BF09BF"/>
    <w:rsid w:val="00BF31D5"/>
    <w:rsid w:val="00C06124"/>
    <w:rsid w:val="00C124E4"/>
    <w:rsid w:val="00C12EAD"/>
    <w:rsid w:val="00C215CB"/>
    <w:rsid w:val="00C27223"/>
    <w:rsid w:val="00C32538"/>
    <w:rsid w:val="00C35E31"/>
    <w:rsid w:val="00C432E5"/>
    <w:rsid w:val="00C44498"/>
    <w:rsid w:val="00C523E1"/>
    <w:rsid w:val="00C54EB7"/>
    <w:rsid w:val="00C55F65"/>
    <w:rsid w:val="00C56046"/>
    <w:rsid w:val="00C629A9"/>
    <w:rsid w:val="00C6512A"/>
    <w:rsid w:val="00C745C1"/>
    <w:rsid w:val="00C75C31"/>
    <w:rsid w:val="00C815BD"/>
    <w:rsid w:val="00CA5690"/>
    <w:rsid w:val="00CA7F46"/>
    <w:rsid w:val="00CB15FC"/>
    <w:rsid w:val="00CC3094"/>
    <w:rsid w:val="00CC5676"/>
    <w:rsid w:val="00CD1483"/>
    <w:rsid w:val="00CD1AFA"/>
    <w:rsid w:val="00CF4800"/>
    <w:rsid w:val="00D0254B"/>
    <w:rsid w:val="00D0748A"/>
    <w:rsid w:val="00D126CD"/>
    <w:rsid w:val="00D15D8B"/>
    <w:rsid w:val="00D22625"/>
    <w:rsid w:val="00D33C74"/>
    <w:rsid w:val="00D43A01"/>
    <w:rsid w:val="00D476DC"/>
    <w:rsid w:val="00D57DED"/>
    <w:rsid w:val="00D7502A"/>
    <w:rsid w:val="00D83A8A"/>
    <w:rsid w:val="00DA517F"/>
    <w:rsid w:val="00DC76C3"/>
    <w:rsid w:val="00DF2BC6"/>
    <w:rsid w:val="00E06C37"/>
    <w:rsid w:val="00E06FE8"/>
    <w:rsid w:val="00E11F9D"/>
    <w:rsid w:val="00E149FA"/>
    <w:rsid w:val="00E36C6D"/>
    <w:rsid w:val="00E51FDC"/>
    <w:rsid w:val="00E54995"/>
    <w:rsid w:val="00E66A3F"/>
    <w:rsid w:val="00E67BC5"/>
    <w:rsid w:val="00E70253"/>
    <w:rsid w:val="00E71D43"/>
    <w:rsid w:val="00EA0EDC"/>
    <w:rsid w:val="00EC1642"/>
    <w:rsid w:val="00EC2CFA"/>
    <w:rsid w:val="00EC5415"/>
    <w:rsid w:val="00ED1F2F"/>
    <w:rsid w:val="00ED2F0C"/>
    <w:rsid w:val="00ED510B"/>
    <w:rsid w:val="00ED5351"/>
    <w:rsid w:val="00ED6D24"/>
    <w:rsid w:val="00ED6FDB"/>
    <w:rsid w:val="00EF52DC"/>
    <w:rsid w:val="00F00515"/>
    <w:rsid w:val="00F05D46"/>
    <w:rsid w:val="00F11BB6"/>
    <w:rsid w:val="00F35D1B"/>
    <w:rsid w:val="00F36677"/>
    <w:rsid w:val="00F40337"/>
    <w:rsid w:val="00F42D3B"/>
    <w:rsid w:val="00F443C8"/>
    <w:rsid w:val="00F50EB8"/>
    <w:rsid w:val="00F54017"/>
    <w:rsid w:val="00F565B2"/>
    <w:rsid w:val="00F60605"/>
    <w:rsid w:val="00F62707"/>
    <w:rsid w:val="00F67D7E"/>
    <w:rsid w:val="00F708AC"/>
    <w:rsid w:val="00F76637"/>
    <w:rsid w:val="00F773D6"/>
    <w:rsid w:val="00F80529"/>
    <w:rsid w:val="00F90FED"/>
    <w:rsid w:val="00F914C3"/>
    <w:rsid w:val="00FA2603"/>
    <w:rsid w:val="00FB4AAB"/>
    <w:rsid w:val="00FB559B"/>
    <w:rsid w:val="00FE1E10"/>
    <w:rsid w:val="00FE7D2A"/>
    <w:rsid w:val="00FF6DA0"/>
    <w:rsid w:val="00FF6E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8C633"/>
  <w15:chartTrackingRefBased/>
  <w15:docId w15:val="{E00DC764-8DDB-4EEA-9B17-CFB810F31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12"/>
  </w:style>
  <w:style w:type="paragraph" w:styleId="Heading1">
    <w:name w:val="heading 1"/>
    <w:basedOn w:val="Normal"/>
    <w:next w:val="Normal"/>
    <w:link w:val="Heading1Char"/>
    <w:uiPriority w:val="9"/>
    <w:qFormat/>
    <w:rsid w:val="00DC76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6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6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6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6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6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6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6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6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6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6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6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6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6C3"/>
    <w:rPr>
      <w:rFonts w:eastAsiaTheme="majorEastAsia" w:cstheme="majorBidi"/>
      <w:color w:val="272727" w:themeColor="text1" w:themeTint="D8"/>
    </w:rPr>
  </w:style>
  <w:style w:type="paragraph" w:styleId="Title">
    <w:name w:val="Title"/>
    <w:basedOn w:val="Normal"/>
    <w:next w:val="Normal"/>
    <w:link w:val="TitleChar"/>
    <w:uiPriority w:val="10"/>
    <w:qFormat/>
    <w:rsid w:val="00DC7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6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6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6C3"/>
    <w:pPr>
      <w:spacing w:before="160"/>
      <w:jc w:val="center"/>
    </w:pPr>
    <w:rPr>
      <w:i/>
      <w:iCs/>
      <w:color w:val="404040" w:themeColor="text1" w:themeTint="BF"/>
    </w:rPr>
  </w:style>
  <w:style w:type="character" w:customStyle="1" w:styleId="QuoteChar">
    <w:name w:val="Quote Char"/>
    <w:basedOn w:val="DefaultParagraphFont"/>
    <w:link w:val="Quote"/>
    <w:uiPriority w:val="29"/>
    <w:rsid w:val="00DC76C3"/>
    <w:rPr>
      <w:i/>
      <w:iCs/>
      <w:color w:val="404040" w:themeColor="text1" w:themeTint="BF"/>
    </w:rPr>
  </w:style>
  <w:style w:type="paragraph" w:styleId="ListParagraph">
    <w:name w:val="List Paragraph"/>
    <w:basedOn w:val="Normal"/>
    <w:uiPriority w:val="34"/>
    <w:qFormat/>
    <w:rsid w:val="00DC76C3"/>
    <w:pPr>
      <w:ind w:left="720"/>
      <w:contextualSpacing/>
    </w:pPr>
  </w:style>
  <w:style w:type="character" w:styleId="IntenseEmphasis">
    <w:name w:val="Intense Emphasis"/>
    <w:basedOn w:val="DefaultParagraphFont"/>
    <w:uiPriority w:val="21"/>
    <w:qFormat/>
    <w:rsid w:val="00DC76C3"/>
    <w:rPr>
      <w:i/>
      <w:iCs/>
      <w:color w:val="0F4761" w:themeColor="accent1" w:themeShade="BF"/>
    </w:rPr>
  </w:style>
  <w:style w:type="paragraph" w:styleId="IntenseQuote">
    <w:name w:val="Intense Quote"/>
    <w:basedOn w:val="Normal"/>
    <w:next w:val="Normal"/>
    <w:link w:val="IntenseQuoteChar"/>
    <w:uiPriority w:val="30"/>
    <w:qFormat/>
    <w:rsid w:val="00DC76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6C3"/>
    <w:rPr>
      <w:i/>
      <w:iCs/>
      <w:color w:val="0F4761" w:themeColor="accent1" w:themeShade="BF"/>
    </w:rPr>
  </w:style>
  <w:style w:type="character" w:styleId="IntenseReference">
    <w:name w:val="Intense Reference"/>
    <w:basedOn w:val="DefaultParagraphFont"/>
    <w:uiPriority w:val="32"/>
    <w:qFormat/>
    <w:rsid w:val="00DC76C3"/>
    <w:rPr>
      <w:b/>
      <w:bCs/>
      <w:smallCaps/>
      <w:color w:val="0F4761" w:themeColor="accent1" w:themeShade="BF"/>
      <w:spacing w:val="5"/>
    </w:rPr>
  </w:style>
  <w:style w:type="paragraph" w:styleId="Header">
    <w:name w:val="header"/>
    <w:basedOn w:val="Normal"/>
    <w:link w:val="HeaderChar"/>
    <w:uiPriority w:val="99"/>
    <w:unhideWhenUsed/>
    <w:rsid w:val="00CD1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AFA"/>
  </w:style>
  <w:style w:type="paragraph" w:styleId="Footer">
    <w:name w:val="footer"/>
    <w:basedOn w:val="Normal"/>
    <w:link w:val="FooterChar"/>
    <w:uiPriority w:val="99"/>
    <w:unhideWhenUsed/>
    <w:rsid w:val="00CD1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AFA"/>
  </w:style>
  <w:style w:type="character" w:styleId="Hyperlink">
    <w:name w:val="Hyperlink"/>
    <w:basedOn w:val="DefaultParagraphFont"/>
    <w:uiPriority w:val="99"/>
    <w:unhideWhenUsed/>
    <w:rsid w:val="00BA6B89"/>
    <w:rPr>
      <w:color w:val="467886" w:themeColor="hyperlink"/>
      <w:u w:val="single"/>
    </w:rPr>
  </w:style>
  <w:style w:type="character" w:styleId="UnresolvedMention">
    <w:name w:val="Unresolved Mention"/>
    <w:basedOn w:val="DefaultParagraphFont"/>
    <w:uiPriority w:val="99"/>
    <w:semiHidden/>
    <w:unhideWhenUsed/>
    <w:rsid w:val="00BA6B89"/>
    <w:rPr>
      <w:color w:val="605E5C"/>
      <w:shd w:val="clear" w:color="auto" w:fill="E1DFDD"/>
    </w:rPr>
  </w:style>
  <w:style w:type="character" w:customStyle="1" w:styleId="authorname">
    <w:name w:val="authorname"/>
    <w:basedOn w:val="DefaultParagraphFont"/>
    <w:rsid w:val="00481F84"/>
  </w:style>
  <w:style w:type="character" w:customStyle="1" w:styleId="separator">
    <w:name w:val="separator"/>
    <w:basedOn w:val="DefaultParagraphFont"/>
    <w:rsid w:val="00481F84"/>
  </w:style>
  <w:style w:type="character" w:customStyle="1" w:styleId="Date1">
    <w:name w:val="Date1"/>
    <w:basedOn w:val="DefaultParagraphFont"/>
    <w:rsid w:val="00481F84"/>
  </w:style>
  <w:style w:type="character" w:customStyle="1" w:styleId="arttitle">
    <w:name w:val="art_title"/>
    <w:basedOn w:val="DefaultParagraphFont"/>
    <w:rsid w:val="00481F84"/>
  </w:style>
  <w:style w:type="character" w:customStyle="1" w:styleId="serialtitle">
    <w:name w:val="serial_title"/>
    <w:basedOn w:val="DefaultParagraphFont"/>
    <w:rsid w:val="00481F84"/>
  </w:style>
  <w:style w:type="character" w:customStyle="1" w:styleId="volumeissue">
    <w:name w:val="volume_issue"/>
    <w:basedOn w:val="DefaultParagraphFont"/>
    <w:rsid w:val="00481F84"/>
  </w:style>
  <w:style w:type="character" w:customStyle="1" w:styleId="pagerange">
    <w:name w:val="page_range"/>
    <w:basedOn w:val="DefaultParagraphFont"/>
    <w:rsid w:val="00481F84"/>
  </w:style>
  <w:style w:type="character" w:customStyle="1" w:styleId="doilink">
    <w:name w:val="doi_link"/>
    <w:basedOn w:val="DefaultParagraphFont"/>
    <w:rsid w:val="00481F84"/>
  </w:style>
  <w:style w:type="character" w:customStyle="1" w:styleId="ref-title">
    <w:name w:val="ref-title"/>
    <w:basedOn w:val="DefaultParagraphFont"/>
    <w:rsid w:val="00342A6C"/>
  </w:style>
  <w:style w:type="character" w:customStyle="1" w:styleId="ref-journal">
    <w:name w:val="ref-journal"/>
    <w:basedOn w:val="DefaultParagraphFont"/>
    <w:rsid w:val="00342A6C"/>
  </w:style>
  <w:style w:type="character" w:customStyle="1" w:styleId="ref-vol">
    <w:name w:val="ref-vol"/>
    <w:basedOn w:val="DefaultParagraphFont"/>
    <w:rsid w:val="00342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407">
      <w:bodyDiv w:val="1"/>
      <w:marLeft w:val="0"/>
      <w:marRight w:val="0"/>
      <w:marTop w:val="0"/>
      <w:marBottom w:val="0"/>
      <w:divBdr>
        <w:top w:val="none" w:sz="0" w:space="0" w:color="auto"/>
        <w:left w:val="none" w:sz="0" w:space="0" w:color="auto"/>
        <w:bottom w:val="none" w:sz="0" w:space="0" w:color="auto"/>
        <w:right w:val="none" w:sz="0" w:space="0" w:color="auto"/>
      </w:divBdr>
      <w:divsChild>
        <w:div w:id="611672609">
          <w:marLeft w:val="0"/>
          <w:marRight w:val="0"/>
          <w:marTop w:val="0"/>
          <w:marBottom w:val="0"/>
          <w:divBdr>
            <w:top w:val="single" w:sz="2" w:space="0" w:color="E3E3E3"/>
            <w:left w:val="single" w:sz="2" w:space="0" w:color="E3E3E3"/>
            <w:bottom w:val="single" w:sz="2" w:space="0" w:color="E3E3E3"/>
            <w:right w:val="single" w:sz="2" w:space="0" w:color="E3E3E3"/>
          </w:divBdr>
          <w:divsChild>
            <w:div w:id="11639322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01673134">
                  <w:marLeft w:val="0"/>
                  <w:marRight w:val="0"/>
                  <w:marTop w:val="0"/>
                  <w:marBottom w:val="0"/>
                  <w:divBdr>
                    <w:top w:val="single" w:sz="2" w:space="0" w:color="E3E3E3"/>
                    <w:left w:val="single" w:sz="2" w:space="0" w:color="E3E3E3"/>
                    <w:bottom w:val="single" w:sz="2" w:space="0" w:color="E3E3E3"/>
                    <w:right w:val="single" w:sz="2" w:space="0" w:color="E3E3E3"/>
                  </w:divBdr>
                  <w:divsChild>
                    <w:div w:id="1693072641">
                      <w:marLeft w:val="0"/>
                      <w:marRight w:val="0"/>
                      <w:marTop w:val="0"/>
                      <w:marBottom w:val="0"/>
                      <w:divBdr>
                        <w:top w:val="single" w:sz="2" w:space="0" w:color="E3E3E3"/>
                        <w:left w:val="single" w:sz="2" w:space="0" w:color="E3E3E3"/>
                        <w:bottom w:val="single" w:sz="2" w:space="0" w:color="E3E3E3"/>
                        <w:right w:val="single" w:sz="2" w:space="0" w:color="E3E3E3"/>
                      </w:divBdr>
                      <w:divsChild>
                        <w:div w:id="160044790">
                          <w:marLeft w:val="0"/>
                          <w:marRight w:val="0"/>
                          <w:marTop w:val="0"/>
                          <w:marBottom w:val="0"/>
                          <w:divBdr>
                            <w:top w:val="single" w:sz="2" w:space="0" w:color="E3E3E3"/>
                            <w:left w:val="single" w:sz="2" w:space="0" w:color="E3E3E3"/>
                            <w:bottom w:val="single" w:sz="2" w:space="0" w:color="E3E3E3"/>
                            <w:right w:val="single" w:sz="2" w:space="0" w:color="E3E3E3"/>
                          </w:divBdr>
                          <w:divsChild>
                            <w:div w:id="325403953">
                              <w:marLeft w:val="0"/>
                              <w:marRight w:val="0"/>
                              <w:marTop w:val="0"/>
                              <w:marBottom w:val="0"/>
                              <w:divBdr>
                                <w:top w:val="single" w:sz="2" w:space="0" w:color="E3E3E3"/>
                                <w:left w:val="single" w:sz="2" w:space="0" w:color="E3E3E3"/>
                                <w:bottom w:val="single" w:sz="2" w:space="0" w:color="E3E3E3"/>
                                <w:right w:val="single" w:sz="2" w:space="0" w:color="E3E3E3"/>
                              </w:divBdr>
                              <w:divsChild>
                                <w:div w:id="1914700364">
                                  <w:marLeft w:val="0"/>
                                  <w:marRight w:val="0"/>
                                  <w:marTop w:val="0"/>
                                  <w:marBottom w:val="0"/>
                                  <w:divBdr>
                                    <w:top w:val="single" w:sz="2" w:space="0" w:color="E3E3E3"/>
                                    <w:left w:val="single" w:sz="2" w:space="0" w:color="E3E3E3"/>
                                    <w:bottom w:val="single" w:sz="2" w:space="0" w:color="E3E3E3"/>
                                    <w:right w:val="single" w:sz="2" w:space="0" w:color="E3E3E3"/>
                                  </w:divBdr>
                                  <w:divsChild>
                                    <w:div w:id="520972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22494">
      <w:bodyDiv w:val="1"/>
      <w:marLeft w:val="0"/>
      <w:marRight w:val="0"/>
      <w:marTop w:val="0"/>
      <w:marBottom w:val="0"/>
      <w:divBdr>
        <w:top w:val="none" w:sz="0" w:space="0" w:color="auto"/>
        <w:left w:val="none" w:sz="0" w:space="0" w:color="auto"/>
        <w:bottom w:val="none" w:sz="0" w:space="0" w:color="auto"/>
        <w:right w:val="none" w:sz="0" w:space="0" w:color="auto"/>
      </w:divBdr>
    </w:div>
    <w:div w:id="24865725">
      <w:bodyDiv w:val="1"/>
      <w:marLeft w:val="0"/>
      <w:marRight w:val="0"/>
      <w:marTop w:val="0"/>
      <w:marBottom w:val="0"/>
      <w:divBdr>
        <w:top w:val="none" w:sz="0" w:space="0" w:color="auto"/>
        <w:left w:val="none" w:sz="0" w:space="0" w:color="auto"/>
        <w:bottom w:val="none" w:sz="0" w:space="0" w:color="auto"/>
        <w:right w:val="none" w:sz="0" w:space="0" w:color="auto"/>
      </w:divBdr>
    </w:div>
    <w:div w:id="45029071">
      <w:bodyDiv w:val="1"/>
      <w:marLeft w:val="0"/>
      <w:marRight w:val="0"/>
      <w:marTop w:val="0"/>
      <w:marBottom w:val="0"/>
      <w:divBdr>
        <w:top w:val="none" w:sz="0" w:space="0" w:color="auto"/>
        <w:left w:val="none" w:sz="0" w:space="0" w:color="auto"/>
        <w:bottom w:val="none" w:sz="0" w:space="0" w:color="auto"/>
        <w:right w:val="none" w:sz="0" w:space="0" w:color="auto"/>
      </w:divBdr>
    </w:div>
    <w:div w:id="83187324">
      <w:bodyDiv w:val="1"/>
      <w:marLeft w:val="0"/>
      <w:marRight w:val="0"/>
      <w:marTop w:val="0"/>
      <w:marBottom w:val="0"/>
      <w:divBdr>
        <w:top w:val="none" w:sz="0" w:space="0" w:color="auto"/>
        <w:left w:val="none" w:sz="0" w:space="0" w:color="auto"/>
        <w:bottom w:val="none" w:sz="0" w:space="0" w:color="auto"/>
        <w:right w:val="none" w:sz="0" w:space="0" w:color="auto"/>
      </w:divBdr>
    </w:div>
    <w:div w:id="97024948">
      <w:bodyDiv w:val="1"/>
      <w:marLeft w:val="0"/>
      <w:marRight w:val="0"/>
      <w:marTop w:val="0"/>
      <w:marBottom w:val="0"/>
      <w:divBdr>
        <w:top w:val="none" w:sz="0" w:space="0" w:color="auto"/>
        <w:left w:val="none" w:sz="0" w:space="0" w:color="auto"/>
        <w:bottom w:val="none" w:sz="0" w:space="0" w:color="auto"/>
        <w:right w:val="none" w:sz="0" w:space="0" w:color="auto"/>
      </w:divBdr>
    </w:div>
    <w:div w:id="104468894">
      <w:bodyDiv w:val="1"/>
      <w:marLeft w:val="0"/>
      <w:marRight w:val="0"/>
      <w:marTop w:val="0"/>
      <w:marBottom w:val="0"/>
      <w:divBdr>
        <w:top w:val="none" w:sz="0" w:space="0" w:color="auto"/>
        <w:left w:val="none" w:sz="0" w:space="0" w:color="auto"/>
        <w:bottom w:val="none" w:sz="0" w:space="0" w:color="auto"/>
        <w:right w:val="none" w:sz="0" w:space="0" w:color="auto"/>
      </w:divBdr>
    </w:div>
    <w:div w:id="141436821">
      <w:bodyDiv w:val="1"/>
      <w:marLeft w:val="0"/>
      <w:marRight w:val="0"/>
      <w:marTop w:val="0"/>
      <w:marBottom w:val="0"/>
      <w:divBdr>
        <w:top w:val="none" w:sz="0" w:space="0" w:color="auto"/>
        <w:left w:val="none" w:sz="0" w:space="0" w:color="auto"/>
        <w:bottom w:val="none" w:sz="0" w:space="0" w:color="auto"/>
        <w:right w:val="none" w:sz="0" w:space="0" w:color="auto"/>
      </w:divBdr>
    </w:div>
    <w:div w:id="150996982">
      <w:bodyDiv w:val="1"/>
      <w:marLeft w:val="0"/>
      <w:marRight w:val="0"/>
      <w:marTop w:val="0"/>
      <w:marBottom w:val="0"/>
      <w:divBdr>
        <w:top w:val="none" w:sz="0" w:space="0" w:color="auto"/>
        <w:left w:val="none" w:sz="0" w:space="0" w:color="auto"/>
        <w:bottom w:val="none" w:sz="0" w:space="0" w:color="auto"/>
        <w:right w:val="none" w:sz="0" w:space="0" w:color="auto"/>
      </w:divBdr>
    </w:div>
    <w:div w:id="200093049">
      <w:bodyDiv w:val="1"/>
      <w:marLeft w:val="0"/>
      <w:marRight w:val="0"/>
      <w:marTop w:val="0"/>
      <w:marBottom w:val="0"/>
      <w:divBdr>
        <w:top w:val="none" w:sz="0" w:space="0" w:color="auto"/>
        <w:left w:val="none" w:sz="0" w:space="0" w:color="auto"/>
        <w:bottom w:val="none" w:sz="0" w:space="0" w:color="auto"/>
        <w:right w:val="none" w:sz="0" w:space="0" w:color="auto"/>
      </w:divBdr>
    </w:div>
    <w:div w:id="209850578">
      <w:bodyDiv w:val="1"/>
      <w:marLeft w:val="0"/>
      <w:marRight w:val="0"/>
      <w:marTop w:val="0"/>
      <w:marBottom w:val="0"/>
      <w:divBdr>
        <w:top w:val="none" w:sz="0" w:space="0" w:color="auto"/>
        <w:left w:val="none" w:sz="0" w:space="0" w:color="auto"/>
        <w:bottom w:val="none" w:sz="0" w:space="0" w:color="auto"/>
        <w:right w:val="none" w:sz="0" w:space="0" w:color="auto"/>
      </w:divBdr>
    </w:div>
    <w:div w:id="286934581">
      <w:bodyDiv w:val="1"/>
      <w:marLeft w:val="0"/>
      <w:marRight w:val="0"/>
      <w:marTop w:val="0"/>
      <w:marBottom w:val="0"/>
      <w:divBdr>
        <w:top w:val="none" w:sz="0" w:space="0" w:color="auto"/>
        <w:left w:val="none" w:sz="0" w:space="0" w:color="auto"/>
        <w:bottom w:val="none" w:sz="0" w:space="0" w:color="auto"/>
        <w:right w:val="none" w:sz="0" w:space="0" w:color="auto"/>
      </w:divBdr>
    </w:div>
    <w:div w:id="330329940">
      <w:bodyDiv w:val="1"/>
      <w:marLeft w:val="0"/>
      <w:marRight w:val="0"/>
      <w:marTop w:val="0"/>
      <w:marBottom w:val="0"/>
      <w:divBdr>
        <w:top w:val="none" w:sz="0" w:space="0" w:color="auto"/>
        <w:left w:val="none" w:sz="0" w:space="0" w:color="auto"/>
        <w:bottom w:val="none" w:sz="0" w:space="0" w:color="auto"/>
        <w:right w:val="none" w:sz="0" w:space="0" w:color="auto"/>
      </w:divBdr>
    </w:div>
    <w:div w:id="389966761">
      <w:bodyDiv w:val="1"/>
      <w:marLeft w:val="0"/>
      <w:marRight w:val="0"/>
      <w:marTop w:val="0"/>
      <w:marBottom w:val="0"/>
      <w:divBdr>
        <w:top w:val="none" w:sz="0" w:space="0" w:color="auto"/>
        <w:left w:val="none" w:sz="0" w:space="0" w:color="auto"/>
        <w:bottom w:val="none" w:sz="0" w:space="0" w:color="auto"/>
        <w:right w:val="none" w:sz="0" w:space="0" w:color="auto"/>
      </w:divBdr>
    </w:div>
    <w:div w:id="413750226">
      <w:bodyDiv w:val="1"/>
      <w:marLeft w:val="0"/>
      <w:marRight w:val="0"/>
      <w:marTop w:val="0"/>
      <w:marBottom w:val="0"/>
      <w:divBdr>
        <w:top w:val="none" w:sz="0" w:space="0" w:color="auto"/>
        <w:left w:val="none" w:sz="0" w:space="0" w:color="auto"/>
        <w:bottom w:val="none" w:sz="0" w:space="0" w:color="auto"/>
        <w:right w:val="none" w:sz="0" w:space="0" w:color="auto"/>
      </w:divBdr>
    </w:div>
    <w:div w:id="433021072">
      <w:bodyDiv w:val="1"/>
      <w:marLeft w:val="0"/>
      <w:marRight w:val="0"/>
      <w:marTop w:val="0"/>
      <w:marBottom w:val="0"/>
      <w:divBdr>
        <w:top w:val="none" w:sz="0" w:space="0" w:color="auto"/>
        <w:left w:val="none" w:sz="0" w:space="0" w:color="auto"/>
        <w:bottom w:val="none" w:sz="0" w:space="0" w:color="auto"/>
        <w:right w:val="none" w:sz="0" w:space="0" w:color="auto"/>
      </w:divBdr>
    </w:div>
    <w:div w:id="453408055">
      <w:bodyDiv w:val="1"/>
      <w:marLeft w:val="0"/>
      <w:marRight w:val="0"/>
      <w:marTop w:val="0"/>
      <w:marBottom w:val="0"/>
      <w:divBdr>
        <w:top w:val="none" w:sz="0" w:space="0" w:color="auto"/>
        <w:left w:val="none" w:sz="0" w:space="0" w:color="auto"/>
        <w:bottom w:val="none" w:sz="0" w:space="0" w:color="auto"/>
        <w:right w:val="none" w:sz="0" w:space="0" w:color="auto"/>
      </w:divBdr>
    </w:div>
    <w:div w:id="542139065">
      <w:bodyDiv w:val="1"/>
      <w:marLeft w:val="0"/>
      <w:marRight w:val="0"/>
      <w:marTop w:val="0"/>
      <w:marBottom w:val="0"/>
      <w:divBdr>
        <w:top w:val="none" w:sz="0" w:space="0" w:color="auto"/>
        <w:left w:val="none" w:sz="0" w:space="0" w:color="auto"/>
        <w:bottom w:val="none" w:sz="0" w:space="0" w:color="auto"/>
        <w:right w:val="none" w:sz="0" w:space="0" w:color="auto"/>
      </w:divBdr>
    </w:div>
    <w:div w:id="567770838">
      <w:bodyDiv w:val="1"/>
      <w:marLeft w:val="0"/>
      <w:marRight w:val="0"/>
      <w:marTop w:val="0"/>
      <w:marBottom w:val="0"/>
      <w:divBdr>
        <w:top w:val="none" w:sz="0" w:space="0" w:color="auto"/>
        <w:left w:val="none" w:sz="0" w:space="0" w:color="auto"/>
        <w:bottom w:val="none" w:sz="0" w:space="0" w:color="auto"/>
        <w:right w:val="none" w:sz="0" w:space="0" w:color="auto"/>
      </w:divBdr>
    </w:div>
    <w:div w:id="680551617">
      <w:bodyDiv w:val="1"/>
      <w:marLeft w:val="0"/>
      <w:marRight w:val="0"/>
      <w:marTop w:val="0"/>
      <w:marBottom w:val="0"/>
      <w:divBdr>
        <w:top w:val="none" w:sz="0" w:space="0" w:color="auto"/>
        <w:left w:val="none" w:sz="0" w:space="0" w:color="auto"/>
        <w:bottom w:val="none" w:sz="0" w:space="0" w:color="auto"/>
        <w:right w:val="none" w:sz="0" w:space="0" w:color="auto"/>
      </w:divBdr>
    </w:div>
    <w:div w:id="688411853">
      <w:bodyDiv w:val="1"/>
      <w:marLeft w:val="0"/>
      <w:marRight w:val="0"/>
      <w:marTop w:val="0"/>
      <w:marBottom w:val="0"/>
      <w:divBdr>
        <w:top w:val="none" w:sz="0" w:space="0" w:color="auto"/>
        <w:left w:val="none" w:sz="0" w:space="0" w:color="auto"/>
        <w:bottom w:val="none" w:sz="0" w:space="0" w:color="auto"/>
        <w:right w:val="none" w:sz="0" w:space="0" w:color="auto"/>
      </w:divBdr>
    </w:div>
    <w:div w:id="705522780">
      <w:bodyDiv w:val="1"/>
      <w:marLeft w:val="0"/>
      <w:marRight w:val="0"/>
      <w:marTop w:val="0"/>
      <w:marBottom w:val="0"/>
      <w:divBdr>
        <w:top w:val="none" w:sz="0" w:space="0" w:color="auto"/>
        <w:left w:val="none" w:sz="0" w:space="0" w:color="auto"/>
        <w:bottom w:val="none" w:sz="0" w:space="0" w:color="auto"/>
        <w:right w:val="none" w:sz="0" w:space="0" w:color="auto"/>
      </w:divBdr>
    </w:div>
    <w:div w:id="716898738">
      <w:bodyDiv w:val="1"/>
      <w:marLeft w:val="0"/>
      <w:marRight w:val="0"/>
      <w:marTop w:val="0"/>
      <w:marBottom w:val="0"/>
      <w:divBdr>
        <w:top w:val="none" w:sz="0" w:space="0" w:color="auto"/>
        <w:left w:val="none" w:sz="0" w:space="0" w:color="auto"/>
        <w:bottom w:val="none" w:sz="0" w:space="0" w:color="auto"/>
        <w:right w:val="none" w:sz="0" w:space="0" w:color="auto"/>
      </w:divBdr>
    </w:div>
    <w:div w:id="728529863">
      <w:bodyDiv w:val="1"/>
      <w:marLeft w:val="0"/>
      <w:marRight w:val="0"/>
      <w:marTop w:val="0"/>
      <w:marBottom w:val="0"/>
      <w:divBdr>
        <w:top w:val="none" w:sz="0" w:space="0" w:color="auto"/>
        <w:left w:val="none" w:sz="0" w:space="0" w:color="auto"/>
        <w:bottom w:val="none" w:sz="0" w:space="0" w:color="auto"/>
        <w:right w:val="none" w:sz="0" w:space="0" w:color="auto"/>
      </w:divBdr>
    </w:div>
    <w:div w:id="756441508">
      <w:bodyDiv w:val="1"/>
      <w:marLeft w:val="0"/>
      <w:marRight w:val="0"/>
      <w:marTop w:val="0"/>
      <w:marBottom w:val="0"/>
      <w:divBdr>
        <w:top w:val="none" w:sz="0" w:space="0" w:color="auto"/>
        <w:left w:val="none" w:sz="0" w:space="0" w:color="auto"/>
        <w:bottom w:val="none" w:sz="0" w:space="0" w:color="auto"/>
        <w:right w:val="none" w:sz="0" w:space="0" w:color="auto"/>
      </w:divBdr>
    </w:div>
    <w:div w:id="806119656">
      <w:bodyDiv w:val="1"/>
      <w:marLeft w:val="0"/>
      <w:marRight w:val="0"/>
      <w:marTop w:val="0"/>
      <w:marBottom w:val="0"/>
      <w:divBdr>
        <w:top w:val="none" w:sz="0" w:space="0" w:color="auto"/>
        <w:left w:val="none" w:sz="0" w:space="0" w:color="auto"/>
        <w:bottom w:val="none" w:sz="0" w:space="0" w:color="auto"/>
        <w:right w:val="none" w:sz="0" w:space="0" w:color="auto"/>
      </w:divBdr>
    </w:div>
    <w:div w:id="878124496">
      <w:bodyDiv w:val="1"/>
      <w:marLeft w:val="0"/>
      <w:marRight w:val="0"/>
      <w:marTop w:val="0"/>
      <w:marBottom w:val="0"/>
      <w:divBdr>
        <w:top w:val="none" w:sz="0" w:space="0" w:color="auto"/>
        <w:left w:val="none" w:sz="0" w:space="0" w:color="auto"/>
        <w:bottom w:val="none" w:sz="0" w:space="0" w:color="auto"/>
        <w:right w:val="none" w:sz="0" w:space="0" w:color="auto"/>
      </w:divBdr>
    </w:div>
    <w:div w:id="908269000">
      <w:bodyDiv w:val="1"/>
      <w:marLeft w:val="0"/>
      <w:marRight w:val="0"/>
      <w:marTop w:val="0"/>
      <w:marBottom w:val="0"/>
      <w:divBdr>
        <w:top w:val="none" w:sz="0" w:space="0" w:color="auto"/>
        <w:left w:val="none" w:sz="0" w:space="0" w:color="auto"/>
        <w:bottom w:val="none" w:sz="0" w:space="0" w:color="auto"/>
        <w:right w:val="none" w:sz="0" w:space="0" w:color="auto"/>
      </w:divBdr>
    </w:div>
    <w:div w:id="929392536">
      <w:bodyDiv w:val="1"/>
      <w:marLeft w:val="0"/>
      <w:marRight w:val="0"/>
      <w:marTop w:val="0"/>
      <w:marBottom w:val="0"/>
      <w:divBdr>
        <w:top w:val="none" w:sz="0" w:space="0" w:color="auto"/>
        <w:left w:val="none" w:sz="0" w:space="0" w:color="auto"/>
        <w:bottom w:val="none" w:sz="0" w:space="0" w:color="auto"/>
        <w:right w:val="none" w:sz="0" w:space="0" w:color="auto"/>
      </w:divBdr>
    </w:div>
    <w:div w:id="1005933403">
      <w:bodyDiv w:val="1"/>
      <w:marLeft w:val="0"/>
      <w:marRight w:val="0"/>
      <w:marTop w:val="0"/>
      <w:marBottom w:val="0"/>
      <w:divBdr>
        <w:top w:val="none" w:sz="0" w:space="0" w:color="auto"/>
        <w:left w:val="none" w:sz="0" w:space="0" w:color="auto"/>
        <w:bottom w:val="none" w:sz="0" w:space="0" w:color="auto"/>
        <w:right w:val="none" w:sz="0" w:space="0" w:color="auto"/>
      </w:divBdr>
    </w:div>
    <w:div w:id="1006519265">
      <w:bodyDiv w:val="1"/>
      <w:marLeft w:val="0"/>
      <w:marRight w:val="0"/>
      <w:marTop w:val="0"/>
      <w:marBottom w:val="0"/>
      <w:divBdr>
        <w:top w:val="none" w:sz="0" w:space="0" w:color="auto"/>
        <w:left w:val="none" w:sz="0" w:space="0" w:color="auto"/>
        <w:bottom w:val="none" w:sz="0" w:space="0" w:color="auto"/>
        <w:right w:val="none" w:sz="0" w:space="0" w:color="auto"/>
      </w:divBdr>
    </w:div>
    <w:div w:id="1022897181">
      <w:bodyDiv w:val="1"/>
      <w:marLeft w:val="0"/>
      <w:marRight w:val="0"/>
      <w:marTop w:val="0"/>
      <w:marBottom w:val="0"/>
      <w:divBdr>
        <w:top w:val="none" w:sz="0" w:space="0" w:color="auto"/>
        <w:left w:val="none" w:sz="0" w:space="0" w:color="auto"/>
        <w:bottom w:val="none" w:sz="0" w:space="0" w:color="auto"/>
        <w:right w:val="none" w:sz="0" w:space="0" w:color="auto"/>
      </w:divBdr>
    </w:div>
    <w:div w:id="1099331703">
      <w:bodyDiv w:val="1"/>
      <w:marLeft w:val="0"/>
      <w:marRight w:val="0"/>
      <w:marTop w:val="0"/>
      <w:marBottom w:val="0"/>
      <w:divBdr>
        <w:top w:val="none" w:sz="0" w:space="0" w:color="auto"/>
        <w:left w:val="none" w:sz="0" w:space="0" w:color="auto"/>
        <w:bottom w:val="none" w:sz="0" w:space="0" w:color="auto"/>
        <w:right w:val="none" w:sz="0" w:space="0" w:color="auto"/>
      </w:divBdr>
    </w:div>
    <w:div w:id="1103649670">
      <w:bodyDiv w:val="1"/>
      <w:marLeft w:val="0"/>
      <w:marRight w:val="0"/>
      <w:marTop w:val="0"/>
      <w:marBottom w:val="0"/>
      <w:divBdr>
        <w:top w:val="none" w:sz="0" w:space="0" w:color="auto"/>
        <w:left w:val="none" w:sz="0" w:space="0" w:color="auto"/>
        <w:bottom w:val="none" w:sz="0" w:space="0" w:color="auto"/>
        <w:right w:val="none" w:sz="0" w:space="0" w:color="auto"/>
      </w:divBdr>
    </w:div>
    <w:div w:id="1159036120">
      <w:bodyDiv w:val="1"/>
      <w:marLeft w:val="0"/>
      <w:marRight w:val="0"/>
      <w:marTop w:val="0"/>
      <w:marBottom w:val="0"/>
      <w:divBdr>
        <w:top w:val="none" w:sz="0" w:space="0" w:color="auto"/>
        <w:left w:val="none" w:sz="0" w:space="0" w:color="auto"/>
        <w:bottom w:val="none" w:sz="0" w:space="0" w:color="auto"/>
        <w:right w:val="none" w:sz="0" w:space="0" w:color="auto"/>
      </w:divBdr>
    </w:div>
    <w:div w:id="1161769942">
      <w:bodyDiv w:val="1"/>
      <w:marLeft w:val="0"/>
      <w:marRight w:val="0"/>
      <w:marTop w:val="0"/>
      <w:marBottom w:val="0"/>
      <w:divBdr>
        <w:top w:val="none" w:sz="0" w:space="0" w:color="auto"/>
        <w:left w:val="none" w:sz="0" w:space="0" w:color="auto"/>
        <w:bottom w:val="none" w:sz="0" w:space="0" w:color="auto"/>
        <w:right w:val="none" w:sz="0" w:space="0" w:color="auto"/>
      </w:divBdr>
      <w:divsChild>
        <w:div w:id="612983103">
          <w:marLeft w:val="0"/>
          <w:marRight w:val="0"/>
          <w:marTop w:val="0"/>
          <w:marBottom w:val="0"/>
          <w:divBdr>
            <w:top w:val="single" w:sz="2" w:space="0" w:color="E3E3E3"/>
            <w:left w:val="single" w:sz="2" w:space="0" w:color="E3E3E3"/>
            <w:bottom w:val="single" w:sz="2" w:space="0" w:color="E3E3E3"/>
            <w:right w:val="single" w:sz="2" w:space="0" w:color="E3E3E3"/>
          </w:divBdr>
          <w:divsChild>
            <w:div w:id="1493331263">
              <w:marLeft w:val="0"/>
              <w:marRight w:val="0"/>
              <w:marTop w:val="0"/>
              <w:marBottom w:val="0"/>
              <w:divBdr>
                <w:top w:val="single" w:sz="2" w:space="0" w:color="E3E3E3"/>
                <w:left w:val="single" w:sz="2" w:space="0" w:color="E3E3E3"/>
                <w:bottom w:val="single" w:sz="2" w:space="0" w:color="E3E3E3"/>
                <w:right w:val="single" w:sz="2" w:space="0" w:color="E3E3E3"/>
              </w:divBdr>
              <w:divsChild>
                <w:div w:id="740059819">
                  <w:marLeft w:val="0"/>
                  <w:marRight w:val="0"/>
                  <w:marTop w:val="0"/>
                  <w:marBottom w:val="0"/>
                  <w:divBdr>
                    <w:top w:val="single" w:sz="2" w:space="0" w:color="E3E3E3"/>
                    <w:left w:val="single" w:sz="2" w:space="0" w:color="E3E3E3"/>
                    <w:bottom w:val="single" w:sz="2" w:space="0" w:color="E3E3E3"/>
                    <w:right w:val="single" w:sz="2" w:space="0" w:color="E3E3E3"/>
                  </w:divBdr>
                  <w:divsChild>
                    <w:div w:id="1452939787">
                      <w:marLeft w:val="0"/>
                      <w:marRight w:val="0"/>
                      <w:marTop w:val="0"/>
                      <w:marBottom w:val="0"/>
                      <w:divBdr>
                        <w:top w:val="single" w:sz="2" w:space="0" w:color="E3E3E3"/>
                        <w:left w:val="single" w:sz="2" w:space="0" w:color="E3E3E3"/>
                        <w:bottom w:val="single" w:sz="2" w:space="0" w:color="E3E3E3"/>
                        <w:right w:val="single" w:sz="2" w:space="0" w:color="E3E3E3"/>
                      </w:divBdr>
                      <w:divsChild>
                        <w:div w:id="2004235343">
                          <w:marLeft w:val="0"/>
                          <w:marRight w:val="0"/>
                          <w:marTop w:val="0"/>
                          <w:marBottom w:val="0"/>
                          <w:divBdr>
                            <w:top w:val="single" w:sz="2" w:space="0" w:color="E3E3E3"/>
                            <w:left w:val="single" w:sz="2" w:space="0" w:color="E3E3E3"/>
                            <w:bottom w:val="single" w:sz="2" w:space="0" w:color="E3E3E3"/>
                            <w:right w:val="single" w:sz="2" w:space="0" w:color="E3E3E3"/>
                          </w:divBdr>
                          <w:divsChild>
                            <w:div w:id="741755095">
                              <w:marLeft w:val="0"/>
                              <w:marRight w:val="0"/>
                              <w:marTop w:val="0"/>
                              <w:marBottom w:val="0"/>
                              <w:divBdr>
                                <w:top w:val="single" w:sz="2" w:space="0" w:color="E3E3E3"/>
                                <w:left w:val="single" w:sz="2" w:space="0" w:color="E3E3E3"/>
                                <w:bottom w:val="single" w:sz="2" w:space="0" w:color="E3E3E3"/>
                                <w:right w:val="single" w:sz="2" w:space="0" w:color="E3E3E3"/>
                              </w:divBdr>
                              <w:divsChild>
                                <w:div w:id="11139869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69503166">
                                      <w:marLeft w:val="0"/>
                                      <w:marRight w:val="0"/>
                                      <w:marTop w:val="0"/>
                                      <w:marBottom w:val="0"/>
                                      <w:divBdr>
                                        <w:top w:val="single" w:sz="2" w:space="0" w:color="E3E3E3"/>
                                        <w:left w:val="single" w:sz="2" w:space="0" w:color="E3E3E3"/>
                                        <w:bottom w:val="single" w:sz="2" w:space="0" w:color="E3E3E3"/>
                                        <w:right w:val="single" w:sz="2" w:space="0" w:color="E3E3E3"/>
                                      </w:divBdr>
                                      <w:divsChild>
                                        <w:div w:id="253712272">
                                          <w:marLeft w:val="0"/>
                                          <w:marRight w:val="0"/>
                                          <w:marTop w:val="0"/>
                                          <w:marBottom w:val="0"/>
                                          <w:divBdr>
                                            <w:top w:val="single" w:sz="2" w:space="0" w:color="E3E3E3"/>
                                            <w:left w:val="single" w:sz="2" w:space="0" w:color="E3E3E3"/>
                                            <w:bottom w:val="single" w:sz="2" w:space="0" w:color="E3E3E3"/>
                                            <w:right w:val="single" w:sz="2" w:space="0" w:color="E3E3E3"/>
                                          </w:divBdr>
                                          <w:divsChild>
                                            <w:div w:id="1999841446">
                                              <w:marLeft w:val="0"/>
                                              <w:marRight w:val="0"/>
                                              <w:marTop w:val="0"/>
                                              <w:marBottom w:val="0"/>
                                              <w:divBdr>
                                                <w:top w:val="single" w:sz="2" w:space="0" w:color="E3E3E3"/>
                                                <w:left w:val="single" w:sz="2" w:space="0" w:color="E3E3E3"/>
                                                <w:bottom w:val="single" w:sz="2" w:space="0" w:color="E3E3E3"/>
                                                <w:right w:val="single" w:sz="2" w:space="0" w:color="E3E3E3"/>
                                              </w:divBdr>
                                              <w:divsChild>
                                                <w:div w:id="583227461">
                                                  <w:marLeft w:val="0"/>
                                                  <w:marRight w:val="0"/>
                                                  <w:marTop w:val="0"/>
                                                  <w:marBottom w:val="0"/>
                                                  <w:divBdr>
                                                    <w:top w:val="single" w:sz="2" w:space="0" w:color="E3E3E3"/>
                                                    <w:left w:val="single" w:sz="2" w:space="0" w:color="E3E3E3"/>
                                                    <w:bottom w:val="single" w:sz="2" w:space="0" w:color="E3E3E3"/>
                                                    <w:right w:val="single" w:sz="2" w:space="0" w:color="E3E3E3"/>
                                                  </w:divBdr>
                                                  <w:divsChild>
                                                    <w:div w:id="1891333860">
                                                      <w:marLeft w:val="0"/>
                                                      <w:marRight w:val="0"/>
                                                      <w:marTop w:val="0"/>
                                                      <w:marBottom w:val="0"/>
                                                      <w:divBdr>
                                                        <w:top w:val="single" w:sz="2" w:space="0" w:color="E3E3E3"/>
                                                        <w:left w:val="single" w:sz="2" w:space="0" w:color="E3E3E3"/>
                                                        <w:bottom w:val="single" w:sz="2" w:space="0" w:color="E3E3E3"/>
                                                        <w:right w:val="single" w:sz="2" w:space="0" w:color="E3E3E3"/>
                                                      </w:divBdr>
                                                      <w:divsChild>
                                                        <w:div w:id="1151092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2318473">
          <w:marLeft w:val="0"/>
          <w:marRight w:val="0"/>
          <w:marTop w:val="0"/>
          <w:marBottom w:val="0"/>
          <w:divBdr>
            <w:top w:val="none" w:sz="0" w:space="0" w:color="auto"/>
            <w:left w:val="none" w:sz="0" w:space="0" w:color="auto"/>
            <w:bottom w:val="none" w:sz="0" w:space="0" w:color="auto"/>
            <w:right w:val="none" w:sz="0" w:space="0" w:color="auto"/>
          </w:divBdr>
          <w:divsChild>
            <w:div w:id="1189872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1686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76656868">
      <w:bodyDiv w:val="1"/>
      <w:marLeft w:val="0"/>
      <w:marRight w:val="0"/>
      <w:marTop w:val="0"/>
      <w:marBottom w:val="0"/>
      <w:divBdr>
        <w:top w:val="none" w:sz="0" w:space="0" w:color="auto"/>
        <w:left w:val="none" w:sz="0" w:space="0" w:color="auto"/>
        <w:bottom w:val="none" w:sz="0" w:space="0" w:color="auto"/>
        <w:right w:val="none" w:sz="0" w:space="0" w:color="auto"/>
      </w:divBdr>
    </w:div>
    <w:div w:id="1235355540">
      <w:bodyDiv w:val="1"/>
      <w:marLeft w:val="0"/>
      <w:marRight w:val="0"/>
      <w:marTop w:val="0"/>
      <w:marBottom w:val="0"/>
      <w:divBdr>
        <w:top w:val="none" w:sz="0" w:space="0" w:color="auto"/>
        <w:left w:val="none" w:sz="0" w:space="0" w:color="auto"/>
        <w:bottom w:val="none" w:sz="0" w:space="0" w:color="auto"/>
        <w:right w:val="none" w:sz="0" w:space="0" w:color="auto"/>
      </w:divBdr>
    </w:div>
    <w:div w:id="1252617789">
      <w:bodyDiv w:val="1"/>
      <w:marLeft w:val="0"/>
      <w:marRight w:val="0"/>
      <w:marTop w:val="0"/>
      <w:marBottom w:val="0"/>
      <w:divBdr>
        <w:top w:val="none" w:sz="0" w:space="0" w:color="auto"/>
        <w:left w:val="none" w:sz="0" w:space="0" w:color="auto"/>
        <w:bottom w:val="none" w:sz="0" w:space="0" w:color="auto"/>
        <w:right w:val="none" w:sz="0" w:space="0" w:color="auto"/>
      </w:divBdr>
    </w:div>
    <w:div w:id="1317955743">
      <w:bodyDiv w:val="1"/>
      <w:marLeft w:val="0"/>
      <w:marRight w:val="0"/>
      <w:marTop w:val="0"/>
      <w:marBottom w:val="0"/>
      <w:divBdr>
        <w:top w:val="none" w:sz="0" w:space="0" w:color="auto"/>
        <w:left w:val="none" w:sz="0" w:space="0" w:color="auto"/>
        <w:bottom w:val="none" w:sz="0" w:space="0" w:color="auto"/>
        <w:right w:val="none" w:sz="0" w:space="0" w:color="auto"/>
      </w:divBdr>
    </w:div>
    <w:div w:id="1394425228">
      <w:bodyDiv w:val="1"/>
      <w:marLeft w:val="0"/>
      <w:marRight w:val="0"/>
      <w:marTop w:val="0"/>
      <w:marBottom w:val="0"/>
      <w:divBdr>
        <w:top w:val="none" w:sz="0" w:space="0" w:color="auto"/>
        <w:left w:val="none" w:sz="0" w:space="0" w:color="auto"/>
        <w:bottom w:val="none" w:sz="0" w:space="0" w:color="auto"/>
        <w:right w:val="none" w:sz="0" w:space="0" w:color="auto"/>
      </w:divBdr>
    </w:div>
    <w:div w:id="1398279861">
      <w:bodyDiv w:val="1"/>
      <w:marLeft w:val="0"/>
      <w:marRight w:val="0"/>
      <w:marTop w:val="0"/>
      <w:marBottom w:val="0"/>
      <w:divBdr>
        <w:top w:val="none" w:sz="0" w:space="0" w:color="auto"/>
        <w:left w:val="none" w:sz="0" w:space="0" w:color="auto"/>
        <w:bottom w:val="none" w:sz="0" w:space="0" w:color="auto"/>
        <w:right w:val="none" w:sz="0" w:space="0" w:color="auto"/>
      </w:divBdr>
      <w:divsChild>
        <w:div w:id="2147354859">
          <w:marLeft w:val="0"/>
          <w:marRight w:val="0"/>
          <w:marTop w:val="0"/>
          <w:marBottom w:val="0"/>
          <w:divBdr>
            <w:top w:val="single" w:sz="2" w:space="0" w:color="E3E3E3"/>
            <w:left w:val="single" w:sz="2" w:space="0" w:color="E3E3E3"/>
            <w:bottom w:val="single" w:sz="2" w:space="0" w:color="E3E3E3"/>
            <w:right w:val="single" w:sz="2" w:space="0" w:color="E3E3E3"/>
          </w:divBdr>
          <w:divsChild>
            <w:div w:id="1159930896">
              <w:marLeft w:val="0"/>
              <w:marRight w:val="0"/>
              <w:marTop w:val="0"/>
              <w:marBottom w:val="0"/>
              <w:divBdr>
                <w:top w:val="single" w:sz="2" w:space="0" w:color="E3E3E3"/>
                <w:left w:val="single" w:sz="2" w:space="0" w:color="E3E3E3"/>
                <w:bottom w:val="single" w:sz="2" w:space="0" w:color="E3E3E3"/>
                <w:right w:val="single" w:sz="2" w:space="0" w:color="E3E3E3"/>
              </w:divBdr>
              <w:divsChild>
                <w:div w:id="559754962">
                  <w:marLeft w:val="0"/>
                  <w:marRight w:val="0"/>
                  <w:marTop w:val="0"/>
                  <w:marBottom w:val="0"/>
                  <w:divBdr>
                    <w:top w:val="single" w:sz="2" w:space="0" w:color="E3E3E3"/>
                    <w:left w:val="single" w:sz="2" w:space="0" w:color="E3E3E3"/>
                    <w:bottom w:val="single" w:sz="2" w:space="0" w:color="E3E3E3"/>
                    <w:right w:val="single" w:sz="2" w:space="0" w:color="E3E3E3"/>
                  </w:divBdr>
                  <w:divsChild>
                    <w:div w:id="298922762">
                      <w:marLeft w:val="0"/>
                      <w:marRight w:val="0"/>
                      <w:marTop w:val="0"/>
                      <w:marBottom w:val="0"/>
                      <w:divBdr>
                        <w:top w:val="single" w:sz="2" w:space="0" w:color="E3E3E3"/>
                        <w:left w:val="single" w:sz="2" w:space="0" w:color="E3E3E3"/>
                        <w:bottom w:val="single" w:sz="2" w:space="0" w:color="E3E3E3"/>
                        <w:right w:val="single" w:sz="2" w:space="0" w:color="E3E3E3"/>
                      </w:divBdr>
                      <w:divsChild>
                        <w:div w:id="1547715019">
                          <w:marLeft w:val="0"/>
                          <w:marRight w:val="0"/>
                          <w:marTop w:val="0"/>
                          <w:marBottom w:val="0"/>
                          <w:divBdr>
                            <w:top w:val="single" w:sz="2" w:space="0" w:color="E3E3E3"/>
                            <w:left w:val="single" w:sz="2" w:space="0" w:color="E3E3E3"/>
                            <w:bottom w:val="single" w:sz="2" w:space="0" w:color="E3E3E3"/>
                            <w:right w:val="single" w:sz="2" w:space="0" w:color="E3E3E3"/>
                          </w:divBdr>
                          <w:divsChild>
                            <w:div w:id="1880121149">
                              <w:marLeft w:val="0"/>
                              <w:marRight w:val="0"/>
                              <w:marTop w:val="0"/>
                              <w:marBottom w:val="0"/>
                              <w:divBdr>
                                <w:top w:val="single" w:sz="2" w:space="0" w:color="E3E3E3"/>
                                <w:left w:val="single" w:sz="2" w:space="0" w:color="E3E3E3"/>
                                <w:bottom w:val="single" w:sz="2" w:space="0" w:color="E3E3E3"/>
                                <w:right w:val="single" w:sz="2" w:space="0" w:color="E3E3E3"/>
                              </w:divBdr>
                              <w:divsChild>
                                <w:div w:id="1331055507">
                                  <w:marLeft w:val="0"/>
                                  <w:marRight w:val="0"/>
                                  <w:marTop w:val="100"/>
                                  <w:marBottom w:val="100"/>
                                  <w:divBdr>
                                    <w:top w:val="single" w:sz="2" w:space="0" w:color="E3E3E3"/>
                                    <w:left w:val="single" w:sz="2" w:space="0" w:color="E3E3E3"/>
                                    <w:bottom w:val="single" w:sz="2" w:space="0" w:color="E3E3E3"/>
                                    <w:right w:val="single" w:sz="2" w:space="0" w:color="E3E3E3"/>
                                  </w:divBdr>
                                  <w:divsChild>
                                    <w:div w:id="274212375">
                                      <w:marLeft w:val="0"/>
                                      <w:marRight w:val="0"/>
                                      <w:marTop w:val="0"/>
                                      <w:marBottom w:val="0"/>
                                      <w:divBdr>
                                        <w:top w:val="single" w:sz="2" w:space="0" w:color="E3E3E3"/>
                                        <w:left w:val="single" w:sz="2" w:space="0" w:color="E3E3E3"/>
                                        <w:bottom w:val="single" w:sz="2" w:space="0" w:color="E3E3E3"/>
                                        <w:right w:val="single" w:sz="2" w:space="0" w:color="E3E3E3"/>
                                      </w:divBdr>
                                      <w:divsChild>
                                        <w:div w:id="677735415">
                                          <w:marLeft w:val="0"/>
                                          <w:marRight w:val="0"/>
                                          <w:marTop w:val="0"/>
                                          <w:marBottom w:val="0"/>
                                          <w:divBdr>
                                            <w:top w:val="single" w:sz="2" w:space="0" w:color="E3E3E3"/>
                                            <w:left w:val="single" w:sz="2" w:space="0" w:color="E3E3E3"/>
                                            <w:bottom w:val="single" w:sz="2" w:space="0" w:color="E3E3E3"/>
                                            <w:right w:val="single" w:sz="2" w:space="0" w:color="E3E3E3"/>
                                          </w:divBdr>
                                          <w:divsChild>
                                            <w:div w:id="476728433">
                                              <w:marLeft w:val="0"/>
                                              <w:marRight w:val="0"/>
                                              <w:marTop w:val="0"/>
                                              <w:marBottom w:val="0"/>
                                              <w:divBdr>
                                                <w:top w:val="single" w:sz="2" w:space="0" w:color="E3E3E3"/>
                                                <w:left w:val="single" w:sz="2" w:space="0" w:color="E3E3E3"/>
                                                <w:bottom w:val="single" w:sz="2" w:space="0" w:color="E3E3E3"/>
                                                <w:right w:val="single" w:sz="2" w:space="0" w:color="E3E3E3"/>
                                              </w:divBdr>
                                              <w:divsChild>
                                                <w:div w:id="967854126">
                                                  <w:marLeft w:val="0"/>
                                                  <w:marRight w:val="0"/>
                                                  <w:marTop w:val="0"/>
                                                  <w:marBottom w:val="0"/>
                                                  <w:divBdr>
                                                    <w:top w:val="single" w:sz="2" w:space="0" w:color="E3E3E3"/>
                                                    <w:left w:val="single" w:sz="2" w:space="0" w:color="E3E3E3"/>
                                                    <w:bottom w:val="single" w:sz="2" w:space="0" w:color="E3E3E3"/>
                                                    <w:right w:val="single" w:sz="2" w:space="0" w:color="E3E3E3"/>
                                                  </w:divBdr>
                                                  <w:divsChild>
                                                    <w:div w:id="207955952">
                                                      <w:marLeft w:val="0"/>
                                                      <w:marRight w:val="0"/>
                                                      <w:marTop w:val="0"/>
                                                      <w:marBottom w:val="0"/>
                                                      <w:divBdr>
                                                        <w:top w:val="single" w:sz="2" w:space="0" w:color="E3E3E3"/>
                                                        <w:left w:val="single" w:sz="2" w:space="0" w:color="E3E3E3"/>
                                                        <w:bottom w:val="single" w:sz="2" w:space="0" w:color="E3E3E3"/>
                                                        <w:right w:val="single" w:sz="2" w:space="0" w:color="E3E3E3"/>
                                                      </w:divBdr>
                                                      <w:divsChild>
                                                        <w:div w:id="748231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3398320">
          <w:marLeft w:val="0"/>
          <w:marRight w:val="0"/>
          <w:marTop w:val="0"/>
          <w:marBottom w:val="0"/>
          <w:divBdr>
            <w:top w:val="none" w:sz="0" w:space="0" w:color="auto"/>
            <w:left w:val="none" w:sz="0" w:space="0" w:color="auto"/>
            <w:bottom w:val="none" w:sz="0" w:space="0" w:color="auto"/>
            <w:right w:val="none" w:sz="0" w:space="0" w:color="auto"/>
          </w:divBdr>
        </w:div>
      </w:divsChild>
    </w:div>
    <w:div w:id="1413894594">
      <w:bodyDiv w:val="1"/>
      <w:marLeft w:val="0"/>
      <w:marRight w:val="0"/>
      <w:marTop w:val="0"/>
      <w:marBottom w:val="0"/>
      <w:divBdr>
        <w:top w:val="none" w:sz="0" w:space="0" w:color="auto"/>
        <w:left w:val="none" w:sz="0" w:space="0" w:color="auto"/>
        <w:bottom w:val="none" w:sz="0" w:space="0" w:color="auto"/>
        <w:right w:val="none" w:sz="0" w:space="0" w:color="auto"/>
      </w:divBdr>
    </w:div>
    <w:div w:id="1417439226">
      <w:bodyDiv w:val="1"/>
      <w:marLeft w:val="0"/>
      <w:marRight w:val="0"/>
      <w:marTop w:val="0"/>
      <w:marBottom w:val="0"/>
      <w:divBdr>
        <w:top w:val="none" w:sz="0" w:space="0" w:color="auto"/>
        <w:left w:val="none" w:sz="0" w:space="0" w:color="auto"/>
        <w:bottom w:val="none" w:sz="0" w:space="0" w:color="auto"/>
        <w:right w:val="none" w:sz="0" w:space="0" w:color="auto"/>
      </w:divBdr>
    </w:div>
    <w:div w:id="1451514056">
      <w:bodyDiv w:val="1"/>
      <w:marLeft w:val="0"/>
      <w:marRight w:val="0"/>
      <w:marTop w:val="0"/>
      <w:marBottom w:val="0"/>
      <w:divBdr>
        <w:top w:val="none" w:sz="0" w:space="0" w:color="auto"/>
        <w:left w:val="none" w:sz="0" w:space="0" w:color="auto"/>
        <w:bottom w:val="none" w:sz="0" w:space="0" w:color="auto"/>
        <w:right w:val="none" w:sz="0" w:space="0" w:color="auto"/>
      </w:divBdr>
    </w:div>
    <w:div w:id="1470586564">
      <w:bodyDiv w:val="1"/>
      <w:marLeft w:val="0"/>
      <w:marRight w:val="0"/>
      <w:marTop w:val="0"/>
      <w:marBottom w:val="0"/>
      <w:divBdr>
        <w:top w:val="none" w:sz="0" w:space="0" w:color="auto"/>
        <w:left w:val="none" w:sz="0" w:space="0" w:color="auto"/>
        <w:bottom w:val="none" w:sz="0" w:space="0" w:color="auto"/>
        <w:right w:val="none" w:sz="0" w:space="0" w:color="auto"/>
      </w:divBdr>
    </w:div>
    <w:div w:id="1514491523">
      <w:bodyDiv w:val="1"/>
      <w:marLeft w:val="0"/>
      <w:marRight w:val="0"/>
      <w:marTop w:val="0"/>
      <w:marBottom w:val="0"/>
      <w:divBdr>
        <w:top w:val="none" w:sz="0" w:space="0" w:color="auto"/>
        <w:left w:val="none" w:sz="0" w:space="0" w:color="auto"/>
        <w:bottom w:val="none" w:sz="0" w:space="0" w:color="auto"/>
        <w:right w:val="none" w:sz="0" w:space="0" w:color="auto"/>
      </w:divBdr>
    </w:div>
    <w:div w:id="1639650158">
      <w:bodyDiv w:val="1"/>
      <w:marLeft w:val="0"/>
      <w:marRight w:val="0"/>
      <w:marTop w:val="0"/>
      <w:marBottom w:val="0"/>
      <w:divBdr>
        <w:top w:val="none" w:sz="0" w:space="0" w:color="auto"/>
        <w:left w:val="none" w:sz="0" w:space="0" w:color="auto"/>
        <w:bottom w:val="none" w:sz="0" w:space="0" w:color="auto"/>
        <w:right w:val="none" w:sz="0" w:space="0" w:color="auto"/>
      </w:divBdr>
    </w:div>
    <w:div w:id="1669559414">
      <w:bodyDiv w:val="1"/>
      <w:marLeft w:val="0"/>
      <w:marRight w:val="0"/>
      <w:marTop w:val="0"/>
      <w:marBottom w:val="0"/>
      <w:divBdr>
        <w:top w:val="none" w:sz="0" w:space="0" w:color="auto"/>
        <w:left w:val="none" w:sz="0" w:space="0" w:color="auto"/>
        <w:bottom w:val="none" w:sz="0" w:space="0" w:color="auto"/>
        <w:right w:val="none" w:sz="0" w:space="0" w:color="auto"/>
      </w:divBdr>
    </w:div>
    <w:div w:id="1684741712">
      <w:bodyDiv w:val="1"/>
      <w:marLeft w:val="0"/>
      <w:marRight w:val="0"/>
      <w:marTop w:val="0"/>
      <w:marBottom w:val="0"/>
      <w:divBdr>
        <w:top w:val="none" w:sz="0" w:space="0" w:color="auto"/>
        <w:left w:val="none" w:sz="0" w:space="0" w:color="auto"/>
        <w:bottom w:val="none" w:sz="0" w:space="0" w:color="auto"/>
        <w:right w:val="none" w:sz="0" w:space="0" w:color="auto"/>
      </w:divBdr>
    </w:div>
    <w:div w:id="1701470924">
      <w:bodyDiv w:val="1"/>
      <w:marLeft w:val="0"/>
      <w:marRight w:val="0"/>
      <w:marTop w:val="0"/>
      <w:marBottom w:val="0"/>
      <w:divBdr>
        <w:top w:val="none" w:sz="0" w:space="0" w:color="auto"/>
        <w:left w:val="none" w:sz="0" w:space="0" w:color="auto"/>
        <w:bottom w:val="none" w:sz="0" w:space="0" w:color="auto"/>
        <w:right w:val="none" w:sz="0" w:space="0" w:color="auto"/>
      </w:divBdr>
    </w:div>
    <w:div w:id="1703362637">
      <w:bodyDiv w:val="1"/>
      <w:marLeft w:val="0"/>
      <w:marRight w:val="0"/>
      <w:marTop w:val="0"/>
      <w:marBottom w:val="0"/>
      <w:divBdr>
        <w:top w:val="none" w:sz="0" w:space="0" w:color="auto"/>
        <w:left w:val="none" w:sz="0" w:space="0" w:color="auto"/>
        <w:bottom w:val="none" w:sz="0" w:space="0" w:color="auto"/>
        <w:right w:val="none" w:sz="0" w:space="0" w:color="auto"/>
      </w:divBdr>
    </w:div>
    <w:div w:id="1735741621">
      <w:bodyDiv w:val="1"/>
      <w:marLeft w:val="0"/>
      <w:marRight w:val="0"/>
      <w:marTop w:val="0"/>
      <w:marBottom w:val="0"/>
      <w:divBdr>
        <w:top w:val="none" w:sz="0" w:space="0" w:color="auto"/>
        <w:left w:val="none" w:sz="0" w:space="0" w:color="auto"/>
        <w:bottom w:val="none" w:sz="0" w:space="0" w:color="auto"/>
        <w:right w:val="none" w:sz="0" w:space="0" w:color="auto"/>
      </w:divBdr>
    </w:div>
    <w:div w:id="1780568619">
      <w:bodyDiv w:val="1"/>
      <w:marLeft w:val="0"/>
      <w:marRight w:val="0"/>
      <w:marTop w:val="0"/>
      <w:marBottom w:val="0"/>
      <w:divBdr>
        <w:top w:val="none" w:sz="0" w:space="0" w:color="auto"/>
        <w:left w:val="none" w:sz="0" w:space="0" w:color="auto"/>
        <w:bottom w:val="none" w:sz="0" w:space="0" w:color="auto"/>
        <w:right w:val="none" w:sz="0" w:space="0" w:color="auto"/>
      </w:divBdr>
    </w:div>
    <w:div w:id="1781950768">
      <w:bodyDiv w:val="1"/>
      <w:marLeft w:val="0"/>
      <w:marRight w:val="0"/>
      <w:marTop w:val="0"/>
      <w:marBottom w:val="0"/>
      <w:divBdr>
        <w:top w:val="none" w:sz="0" w:space="0" w:color="auto"/>
        <w:left w:val="none" w:sz="0" w:space="0" w:color="auto"/>
        <w:bottom w:val="none" w:sz="0" w:space="0" w:color="auto"/>
        <w:right w:val="none" w:sz="0" w:space="0" w:color="auto"/>
      </w:divBdr>
    </w:div>
    <w:div w:id="1837842915">
      <w:bodyDiv w:val="1"/>
      <w:marLeft w:val="0"/>
      <w:marRight w:val="0"/>
      <w:marTop w:val="0"/>
      <w:marBottom w:val="0"/>
      <w:divBdr>
        <w:top w:val="none" w:sz="0" w:space="0" w:color="auto"/>
        <w:left w:val="none" w:sz="0" w:space="0" w:color="auto"/>
        <w:bottom w:val="none" w:sz="0" w:space="0" w:color="auto"/>
        <w:right w:val="none" w:sz="0" w:space="0" w:color="auto"/>
      </w:divBdr>
    </w:div>
    <w:div w:id="1885487735">
      <w:bodyDiv w:val="1"/>
      <w:marLeft w:val="0"/>
      <w:marRight w:val="0"/>
      <w:marTop w:val="0"/>
      <w:marBottom w:val="0"/>
      <w:divBdr>
        <w:top w:val="none" w:sz="0" w:space="0" w:color="auto"/>
        <w:left w:val="none" w:sz="0" w:space="0" w:color="auto"/>
        <w:bottom w:val="none" w:sz="0" w:space="0" w:color="auto"/>
        <w:right w:val="none" w:sz="0" w:space="0" w:color="auto"/>
      </w:divBdr>
    </w:div>
    <w:div w:id="1927348825">
      <w:bodyDiv w:val="1"/>
      <w:marLeft w:val="0"/>
      <w:marRight w:val="0"/>
      <w:marTop w:val="0"/>
      <w:marBottom w:val="0"/>
      <w:divBdr>
        <w:top w:val="none" w:sz="0" w:space="0" w:color="auto"/>
        <w:left w:val="none" w:sz="0" w:space="0" w:color="auto"/>
        <w:bottom w:val="none" w:sz="0" w:space="0" w:color="auto"/>
        <w:right w:val="none" w:sz="0" w:space="0" w:color="auto"/>
      </w:divBdr>
    </w:div>
    <w:div w:id="1948930097">
      <w:bodyDiv w:val="1"/>
      <w:marLeft w:val="0"/>
      <w:marRight w:val="0"/>
      <w:marTop w:val="0"/>
      <w:marBottom w:val="0"/>
      <w:divBdr>
        <w:top w:val="none" w:sz="0" w:space="0" w:color="auto"/>
        <w:left w:val="none" w:sz="0" w:space="0" w:color="auto"/>
        <w:bottom w:val="none" w:sz="0" w:space="0" w:color="auto"/>
        <w:right w:val="none" w:sz="0" w:space="0" w:color="auto"/>
      </w:divBdr>
    </w:div>
    <w:div w:id="2006012137">
      <w:bodyDiv w:val="1"/>
      <w:marLeft w:val="0"/>
      <w:marRight w:val="0"/>
      <w:marTop w:val="0"/>
      <w:marBottom w:val="0"/>
      <w:divBdr>
        <w:top w:val="none" w:sz="0" w:space="0" w:color="auto"/>
        <w:left w:val="none" w:sz="0" w:space="0" w:color="auto"/>
        <w:bottom w:val="none" w:sz="0" w:space="0" w:color="auto"/>
        <w:right w:val="none" w:sz="0" w:space="0" w:color="auto"/>
      </w:divBdr>
    </w:div>
    <w:div w:id="2042777724">
      <w:bodyDiv w:val="1"/>
      <w:marLeft w:val="0"/>
      <w:marRight w:val="0"/>
      <w:marTop w:val="0"/>
      <w:marBottom w:val="0"/>
      <w:divBdr>
        <w:top w:val="none" w:sz="0" w:space="0" w:color="auto"/>
        <w:left w:val="none" w:sz="0" w:space="0" w:color="auto"/>
        <w:bottom w:val="none" w:sz="0" w:space="0" w:color="auto"/>
        <w:right w:val="none" w:sz="0" w:space="0" w:color="auto"/>
      </w:divBdr>
    </w:div>
    <w:div w:id="2079278586">
      <w:bodyDiv w:val="1"/>
      <w:marLeft w:val="0"/>
      <w:marRight w:val="0"/>
      <w:marTop w:val="0"/>
      <w:marBottom w:val="0"/>
      <w:divBdr>
        <w:top w:val="none" w:sz="0" w:space="0" w:color="auto"/>
        <w:left w:val="none" w:sz="0" w:space="0" w:color="auto"/>
        <w:bottom w:val="none" w:sz="0" w:space="0" w:color="auto"/>
        <w:right w:val="none" w:sz="0" w:space="0" w:color="auto"/>
      </w:divBdr>
    </w:div>
    <w:div w:id="2096589663">
      <w:bodyDiv w:val="1"/>
      <w:marLeft w:val="0"/>
      <w:marRight w:val="0"/>
      <w:marTop w:val="0"/>
      <w:marBottom w:val="0"/>
      <w:divBdr>
        <w:top w:val="none" w:sz="0" w:space="0" w:color="auto"/>
        <w:left w:val="none" w:sz="0" w:space="0" w:color="auto"/>
        <w:bottom w:val="none" w:sz="0" w:space="0" w:color="auto"/>
        <w:right w:val="none" w:sz="0" w:space="0" w:color="auto"/>
      </w:divBdr>
    </w:div>
    <w:div w:id="2105417060">
      <w:bodyDiv w:val="1"/>
      <w:marLeft w:val="0"/>
      <w:marRight w:val="0"/>
      <w:marTop w:val="0"/>
      <w:marBottom w:val="0"/>
      <w:divBdr>
        <w:top w:val="none" w:sz="0" w:space="0" w:color="auto"/>
        <w:left w:val="none" w:sz="0" w:space="0" w:color="auto"/>
        <w:bottom w:val="none" w:sz="0" w:space="0" w:color="auto"/>
        <w:right w:val="none" w:sz="0" w:space="0" w:color="auto"/>
      </w:divBdr>
    </w:div>
    <w:div w:id="2133477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19789</TotalTime>
  <Pages>14</Pages>
  <Words>5191</Words>
  <Characters>29595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264</cp:revision>
  <dcterms:created xsi:type="dcterms:W3CDTF">2024-03-05T12:45:00Z</dcterms:created>
  <dcterms:modified xsi:type="dcterms:W3CDTF">2024-05-04T21:20:00Z</dcterms:modified>
</cp:coreProperties>
</file>