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6F0B" w:rsidRPr="001E61CE" w:rsidRDefault="00E103D1" w:rsidP="001E61CE">
      <w:pPr>
        <w:spacing w:line="480" w:lineRule="auto"/>
        <w:jc w:val="center"/>
        <w:rPr>
          <w:b/>
          <w:sz w:val="24"/>
          <w:szCs w:val="24"/>
        </w:rPr>
      </w:pPr>
      <w:bookmarkStart w:id="0" w:name="_GoBack"/>
      <w:bookmarkEnd w:id="0"/>
      <w:r w:rsidRPr="001E61CE">
        <w:rPr>
          <w:b/>
          <w:sz w:val="24"/>
          <w:szCs w:val="24"/>
        </w:rPr>
        <w:t>The Parable of the Phliasians: Hi</w:t>
      </w:r>
      <w:r w:rsidR="002F37AA" w:rsidRPr="001E61CE">
        <w:rPr>
          <w:b/>
          <w:sz w:val="24"/>
          <w:szCs w:val="24"/>
        </w:rPr>
        <w:t>story as Philosophy in Xenophon’s</w:t>
      </w:r>
      <w:r w:rsidRPr="001E61CE">
        <w:rPr>
          <w:b/>
          <w:sz w:val="24"/>
          <w:szCs w:val="24"/>
        </w:rPr>
        <w:t xml:space="preserve"> Hellenica</w:t>
      </w:r>
    </w:p>
    <w:p w:rsidR="00C81E64" w:rsidRDefault="00C81E64" w:rsidP="001E61CE">
      <w:pPr>
        <w:spacing w:line="480" w:lineRule="auto"/>
        <w:jc w:val="center"/>
      </w:pPr>
    </w:p>
    <w:p w:rsidR="00F05EC8" w:rsidRDefault="006855C0" w:rsidP="001E61CE">
      <w:pPr>
        <w:spacing w:line="480" w:lineRule="auto"/>
      </w:pPr>
      <w:r>
        <w:t xml:space="preserve">This paper aims to explore the </w:t>
      </w:r>
      <w:r w:rsidRPr="00A121DE">
        <w:rPr>
          <w:i/>
        </w:rPr>
        <w:t>Hellenica</w:t>
      </w:r>
      <w:r>
        <w:t xml:space="preserve"> of Xenophon as much as a work of Philosophy as a work of History, particularly the section detailing the exploits of the</w:t>
      </w:r>
      <w:r w:rsidR="00305878" w:rsidRPr="00305878">
        <w:t xml:space="preserve"> Phliasians</w:t>
      </w:r>
      <w:r w:rsidR="007363C6">
        <w:rPr>
          <w:rStyle w:val="FootnoteReference"/>
        </w:rPr>
        <w:footnoteReference w:id="1"/>
      </w:r>
      <w:r w:rsidR="00D030A0">
        <w:t xml:space="preserve"> as a “paradigmatic community”.</w:t>
      </w:r>
      <w:r w:rsidR="00D030A0">
        <w:rPr>
          <w:rStyle w:val="FootnoteReference"/>
        </w:rPr>
        <w:footnoteReference w:id="2"/>
      </w:r>
      <w:r w:rsidR="00013D9B">
        <w:t xml:space="preserve"> Xenophon is an often criticised author, on grounds of accuracy, style and purpose, as well as bias.</w:t>
      </w:r>
      <w:r w:rsidR="00013D9B">
        <w:rPr>
          <w:rStyle w:val="FootnoteReference"/>
        </w:rPr>
        <w:footnoteReference w:id="3"/>
      </w:r>
      <w:r w:rsidR="00013D9B">
        <w:t xml:space="preserve"> It is all too easy to simply place Xenophon as </w:t>
      </w:r>
      <w:r w:rsidR="00D8619A">
        <w:t>Thucydides</w:t>
      </w:r>
      <w:r w:rsidR="002B72E7">
        <w:t xml:space="preserve"> the lessor, or, inversely</w:t>
      </w:r>
      <w:r w:rsidR="00013D9B">
        <w:t>, to attempt to defend some of his more obvious faults.</w:t>
      </w:r>
      <w:r w:rsidR="00013D9B">
        <w:rPr>
          <w:rStyle w:val="FootnoteReference"/>
        </w:rPr>
        <w:footnoteReference w:id="4"/>
      </w:r>
      <w:r w:rsidR="00013D9B">
        <w:t xml:space="preserve"> </w:t>
      </w:r>
      <w:r w:rsidR="00D8619A">
        <w:t>Much of this stems from</w:t>
      </w:r>
      <w:r w:rsidR="00013D9B">
        <w:t xml:space="preserve"> the </w:t>
      </w:r>
      <w:r w:rsidR="00DC776B">
        <w:t xml:space="preserve">perceived </w:t>
      </w:r>
      <w:r w:rsidR="00CF2861">
        <w:t>purpose</w:t>
      </w:r>
      <w:r w:rsidR="00013D9B">
        <w:t xml:space="preserve"> of the </w:t>
      </w:r>
      <w:r w:rsidR="00013D9B" w:rsidRPr="00A121DE">
        <w:rPr>
          <w:i/>
        </w:rPr>
        <w:t>Hellenica</w:t>
      </w:r>
      <w:r w:rsidR="00013D9B">
        <w:t xml:space="preserve"> </w:t>
      </w:r>
      <w:r w:rsidR="00D8619A">
        <w:t>being assumed</w:t>
      </w:r>
      <w:r w:rsidR="00013D9B">
        <w:t xml:space="preserve"> to be </w:t>
      </w:r>
      <w:r w:rsidR="00D8619A">
        <w:t>H</w:t>
      </w:r>
      <w:r w:rsidR="00CF2861">
        <w:t>istory</w:t>
      </w:r>
      <w:r w:rsidR="00D8619A">
        <w:t xml:space="preserve"> first and </w:t>
      </w:r>
      <w:r w:rsidR="00CF2861">
        <w:t xml:space="preserve">philosophy </w:t>
      </w:r>
      <w:r w:rsidR="00D8619A">
        <w:t>second.</w:t>
      </w:r>
      <w:r w:rsidR="00D8619A">
        <w:rPr>
          <w:rStyle w:val="FootnoteReference"/>
        </w:rPr>
        <w:footnoteReference w:id="5"/>
      </w:r>
      <w:r w:rsidR="00D8619A">
        <w:t xml:space="preserve"> After all, it is only some way into the </w:t>
      </w:r>
      <w:r w:rsidR="00D8619A" w:rsidRPr="00A121DE">
        <w:rPr>
          <w:i/>
        </w:rPr>
        <w:t>Hellenica</w:t>
      </w:r>
      <w:r w:rsidR="00D8619A">
        <w:t xml:space="preserve"> his philosophical interests</w:t>
      </w:r>
      <w:r w:rsidR="00054120">
        <w:t xml:space="preserve"> in that work</w:t>
      </w:r>
      <w:r w:rsidR="00D8619A">
        <w:t xml:space="preserve"> become obvious</w:t>
      </w:r>
      <w:r w:rsidR="00D8619A">
        <w:rPr>
          <w:rStyle w:val="FootnoteReference"/>
        </w:rPr>
        <w:footnoteReference w:id="6"/>
      </w:r>
      <w:r w:rsidR="00D8619A">
        <w:t xml:space="preserve"> and he does not</w:t>
      </w:r>
      <w:r w:rsidR="009F434C">
        <w:t>, at least directly,</w:t>
      </w:r>
      <w:r w:rsidR="007515BE">
        <w:rPr>
          <w:rStyle w:val="FootnoteReference"/>
        </w:rPr>
        <w:footnoteReference w:id="7"/>
      </w:r>
      <w:r w:rsidR="00D8619A">
        <w:t xml:space="preserve"> give us his purpose nor his </w:t>
      </w:r>
      <w:r w:rsidR="00D8619A" w:rsidRPr="00D8619A">
        <w:rPr>
          <w:i/>
        </w:rPr>
        <w:t>modus operandi</w:t>
      </w:r>
      <w:r w:rsidR="00D8619A">
        <w:rPr>
          <w:i/>
        </w:rPr>
        <w:t>.</w:t>
      </w:r>
      <w:r w:rsidR="00D8619A">
        <w:rPr>
          <w:rStyle w:val="FootnoteReference"/>
          <w:i/>
        </w:rPr>
        <w:footnoteReference w:id="8"/>
      </w:r>
      <w:r w:rsidR="00D8619A">
        <w:t xml:space="preserve"> </w:t>
      </w:r>
      <w:r w:rsidR="00C865E9">
        <w:t>Xenophon was a prolific and diverse author,</w:t>
      </w:r>
      <w:r w:rsidR="00C865E9">
        <w:rPr>
          <w:rStyle w:val="FootnoteReference"/>
        </w:rPr>
        <w:footnoteReference w:id="9"/>
      </w:r>
      <w:r w:rsidR="00C865E9">
        <w:t xml:space="preserve"> this paper does not aim to categorise all of his work under one label, but to specifically discuss the Hellenica.</w:t>
      </w:r>
    </w:p>
    <w:p w:rsidR="00E50713" w:rsidRDefault="00D44E87" w:rsidP="001E61CE">
      <w:pPr>
        <w:spacing w:line="480" w:lineRule="auto"/>
      </w:pPr>
      <w:r>
        <w:t>This paper then</w:t>
      </w:r>
      <w:r w:rsidR="0073397C">
        <w:t xml:space="preserve"> will argue that Xenophon’s history</w:t>
      </w:r>
      <w:r>
        <w:t xml:space="preserve"> has a significant philosophical element that blurs the boundaries</w:t>
      </w:r>
      <w:r w:rsidR="009750FA">
        <w:t xml:space="preserve"> of g</w:t>
      </w:r>
      <w:r>
        <w:t>enre,</w:t>
      </w:r>
      <w:r w:rsidR="00054120">
        <w:rPr>
          <w:rStyle w:val="FootnoteReference"/>
        </w:rPr>
        <w:footnoteReference w:id="10"/>
      </w:r>
      <w:r>
        <w:t xml:space="preserve"> but it will also explore one of the most important sections that pertains to his philosophy in the </w:t>
      </w:r>
      <w:r w:rsidRPr="00A121DE">
        <w:rPr>
          <w:i/>
        </w:rPr>
        <w:t>Hellenica</w:t>
      </w:r>
      <w:r>
        <w:t>.</w:t>
      </w:r>
      <w:r w:rsidR="0073397C">
        <w:t xml:space="preserve"> This is not to say that philosophy is only present in his history, but that is where the paper will be focused.</w:t>
      </w:r>
      <w:r w:rsidR="0073397C">
        <w:rPr>
          <w:rStyle w:val="FootnoteReference"/>
        </w:rPr>
        <w:footnoteReference w:id="11"/>
      </w:r>
      <w:r>
        <w:t xml:space="preserve"> </w:t>
      </w:r>
      <w:r w:rsidR="006855C0">
        <w:t>This section</w:t>
      </w:r>
      <w:r>
        <w:t xml:space="preserve"> on the </w:t>
      </w:r>
      <w:r w:rsidR="00305878" w:rsidRPr="00305878">
        <w:t>Phliasians</w:t>
      </w:r>
      <w:r w:rsidR="006855C0">
        <w:t xml:space="preserve"> is particularly </w:t>
      </w:r>
      <w:r w:rsidR="00ED17EC">
        <w:t>notable for several reasons;</w:t>
      </w:r>
      <w:r w:rsidR="00EB2FD9">
        <w:t xml:space="preserve"> the philosophical digressions</w:t>
      </w:r>
      <w:r w:rsidR="00C501AA">
        <w:t xml:space="preserve"> (if they are such)</w:t>
      </w:r>
      <w:r w:rsidR="00C501AA">
        <w:rPr>
          <w:rStyle w:val="FootnoteReference"/>
        </w:rPr>
        <w:footnoteReference w:id="12"/>
      </w:r>
      <w:r w:rsidR="00EB2FD9">
        <w:t xml:space="preserve"> comm</w:t>
      </w:r>
      <w:r w:rsidR="00824756">
        <w:t xml:space="preserve">on throughout his work are </w:t>
      </w:r>
      <w:r w:rsidR="00EB2FD9">
        <w:t>often about singular individuals</w:t>
      </w:r>
      <w:r w:rsidR="00F47532">
        <w:t xml:space="preserve"> </w:t>
      </w:r>
      <w:r w:rsidR="00EB2FD9">
        <w:t>and are reasonably short,</w:t>
      </w:r>
      <w:r w:rsidR="00473481">
        <w:rPr>
          <w:rStyle w:val="FootnoteReference"/>
        </w:rPr>
        <w:footnoteReference w:id="13"/>
      </w:r>
      <w:r w:rsidR="00EB2FD9">
        <w:t xml:space="preserve"> this is a much longer passage about an </w:t>
      </w:r>
      <w:r w:rsidR="00EB2FD9">
        <w:lastRenderedPageBreak/>
        <w:t>entire polity.</w:t>
      </w:r>
      <w:r w:rsidR="004A3706">
        <w:rPr>
          <w:rStyle w:val="FootnoteReference"/>
        </w:rPr>
        <w:footnoteReference w:id="14"/>
      </w:r>
      <w:r w:rsidR="00EB2FD9">
        <w:t xml:space="preserve"> </w:t>
      </w:r>
      <w:r w:rsidR="004A3706">
        <w:t>Secondly</w:t>
      </w:r>
      <w:r w:rsidR="00564B1B">
        <w:t>,</w:t>
      </w:r>
      <w:r w:rsidR="004A3706">
        <w:t xml:space="preserve"> rather than focusing </w:t>
      </w:r>
      <w:r w:rsidR="00136EFD">
        <w:t xml:space="preserve">solely </w:t>
      </w:r>
      <w:r w:rsidR="004A3706">
        <w:t>on o</w:t>
      </w:r>
      <w:r w:rsidR="00543930">
        <w:t xml:space="preserve">ne virtue or good deed to centre </w:t>
      </w:r>
      <w:r w:rsidR="004A3706">
        <w:t xml:space="preserve">his </w:t>
      </w:r>
      <w:r w:rsidR="00543930">
        <w:t xml:space="preserve">narrative </w:t>
      </w:r>
      <w:r w:rsidR="004A3706">
        <w:t xml:space="preserve">on, he </w:t>
      </w:r>
      <w:r w:rsidR="00D8619A">
        <w:t>includes</w:t>
      </w:r>
      <w:r w:rsidR="004A3706">
        <w:t xml:space="preserve"> a multitude of both events and virtues.</w:t>
      </w:r>
      <w:r w:rsidR="004A3706">
        <w:rPr>
          <w:rStyle w:val="FootnoteReference"/>
        </w:rPr>
        <w:footnoteReference w:id="15"/>
      </w:r>
      <w:r w:rsidR="007630DD">
        <w:t xml:space="preserve"> Nor do his ideas stand alone, his belief in recording a small city, and this epitome of good characteristics through the medium of a city occur in other texts</w:t>
      </w:r>
      <w:r w:rsidR="0073397C">
        <w:t>.</w:t>
      </w:r>
      <w:r w:rsidR="007630DD">
        <w:rPr>
          <w:rStyle w:val="FootnoteReference"/>
        </w:rPr>
        <w:footnoteReference w:id="16"/>
      </w:r>
      <w:r w:rsidR="00FD43A5">
        <w:t xml:space="preserve"> Therefore we have two main areas of interest, both interlinked, how we see </w:t>
      </w:r>
      <w:r w:rsidR="00623B70">
        <w:t>Xenophon’s</w:t>
      </w:r>
      <w:r w:rsidR="00FD43A5">
        <w:t xml:space="preserve"> work, and what can be unearthed about this almost</w:t>
      </w:r>
      <w:r w:rsidR="009B0C88">
        <w:t xml:space="preserve"> </w:t>
      </w:r>
      <w:proofErr w:type="spellStart"/>
      <w:r w:rsidR="009B0C88">
        <w:t>Herodotoean</w:t>
      </w:r>
      <w:proofErr w:type="spellEnd"/>
      <w:r w:rsidR="009B0C88">
        <w:t xml:space="preserve"> digression on the l</w:t>
      </w:r>
      <w:r w:rsidR="00FD43A5">
        <w:t xml:space="preserve">oyalty, feats of arms, mercy, stoicism, </w:t>
      </w:r>
      <w:r w:rsidR="002B6C58">
        <w:t xml:space="preserve">and </w:t>
      </w:r>
      <w:r w:rsidR="00FD43A5">
        <w:t>unity</w:t>
      </w:r>
      <w:r w:rsidR="002B6C58">
        <w:t xml:space="preserve"> of this city. All of this builds to Xenophon’s subtle </w:t>
      </w:r>
      <w:r w:rsidR="00FD43A5">
        <w:t>refusal of “</w:t>
      </w:r>
      <w:r w:rsidR="0069301C" w:rsidRPr="00BD4F3B">
        <w:t>the strong do what they can and the weak suffer what they must</w:t>
      </w:r>
      <w:r w:rsidR="00FD43A5">
        <w:t>”.</w:t>
      </w:r>
      <w:r w:rsidR="00DC776B">
        <w:rPr>
          <w:rStyle w:val="FootnoteReference"/>
        </w:rPr>
        <w:footnoteReference w:id="17"/>
      </w:r>
      <w:r w:rsidR="00FD43A5">
        <w:t xml:space="preserve"> Combining this with no small literary flair in crafting an underdog narrative,</w:t>
      </w:r>
      <w:r w:rsidR="006A7F3C">
        <w:rPr>
          <w:rStyle w:val="FootnoteReference"/>
        </w:rPr>
        <w:footnoteReference w:id="18"/>
      </w:r>
      <w:r w:rsidR="00FD43A5">
        <w:t xml:space="preserve"> this parable is Xenophon’s philosophical climax in the </w:t>
      </w:r>
      <w:r w:rsidR="00FD43A5" w:rsidRPr="00A121DE">
        <w:rPr>
          <w:i/>
        </w:rPr>
        <w:t>Hellenica</w:t>
      </w:r>
      <w:r w:rsidR="00FD43A5">
        <w:t xml:space="preserve">. </w:t>
      </w:r>
    </w:p>
    <w:p w:rsidR="00053F50" w:rsidRDefault="00053F50" w:rsidP="001E61CE">
      <w:pPr>
        <w:spacing w:line="480" w:lineRule="auto"/>
      </w:pPr>
      <w:r>
        <w:t xml:space="preserve">The methodology of this paper will be to examine the issues of Xenophon’s </w:t>
      </w:r>
      <w:r w:rsidRPr="00A121DE">
        <w:rPr>
          <w:i/>
        </w:rPr>
        <w:t>Hellenica</w:t>
      </w:r>
      <w:r>
        <w:t xml:space="preserve"> as </w:t>
      </w:r>
      <w:r w:rsidR="0069301C">
        <w:t xml:space="preserve">it </w:t>
      </w:r>
      <w:r>
        <w:t>relate</w:t>
      </w:r>
      <w:r w:rsidR="0069301C">
        <w:t>s</w:t>
      </w:r>
      <w:r w:rsidR="0078605A">
        <w:t xml:space="preserve"> to his status as a H</w:t>
      </w:r>
      <w:r>
        <w:t>istorian and his well-recognised moralising or philosophising elements, or, indeed, purpose.</w:t>
      </w:r>
      <w:r>
        <w:rPr>
          <w:rStyle w:val="FootnoteReference"/>
        </w:rPr>
        <w:footnoteReference w:id="19"/>
      </w:r>
      <w:r>
        <w:t xml:space="preserve"> Then the</w:t>
      </w:r>
      <w:r w:rsidR="00305878">
        <w:t xml:space="preserve"> virtues given to the people of</w:t>
      </w:r>
      <w:r>
        <w:t xml:space="preserve"> </w:t>
      </w:r>
      <w:proofErr w:type="spellStart"/>
      <w:r w:rsidR="00305878" w:rsidRPr="00305878">
        <w:t>Phlius</w:t>
      </w:r>
      <w:proofErr w:type="spellEnd"/>
      <w:r w:rsidR="00305878">
        <w:t xml:space="preserve"> </w:t>
      </w:r>
      <w:r>
        <w:t xml:space="preserve">will be </w:t>
      </w:r>
      <w:r w:rsidR="00E50713" w:rsidRPr="00E50713">
        <w:t>analysed</w:t>
      </w:r>
      <w:r>
        <w:t xml:space="preserve"> one by one before being examined as a more cohesive whole. By doing so this paper aims to show that an understanding of the </w:t>
      </w:r>
      <w:r w:rsidRPr="00A121DE">
        <w:rPr>
          <w:i/>
        </w:rPr>
        <w:t>Hellenica’s</w:t>
      </w:r>
      <w:r w:rsidR="00981F7F">
        <w:t xml:space="preserve"> (at least this wider section’s)</w:t>
      </w:r>
      <w:r w:rsidR="00981F7F">
        <w:rPr>
          <w:rStyle w:val="FootnoteReference"/>
        </w:rPr>
        <w:footnoteReference w:id="20"/>
      </w:r>
      <w:r>
        <w:t xml:space="preserve"> purpose</w:t>
      </w:r>
      <w:r w:rsidR="00981F7F">
        <w:t xml:space="preserve">, </w:t>
      </w:r>
      <w:r>
        <w:t>and genre, as well as its message, can be understood fr</w:t>
      </w:r>
      <w:r w:rsidR="00801DBB">
        <w:t>om this often overlooked episode</w:t>
      </w:r>
      <w:r>
        <w:t>.</w:t>
      </w:r>
      <w:r>
        <w:rPr>
          <w:rStyle w:val="FootnoteReference"/>
        </w:rPr>
        <w:footnoteReference w:id="21"/>
      </w:r>
    </w:p>
    <w:p w:rsidR="006D0E70" w:rsidRDefault="009750FA" w:rsidP="001E61CE">
      <w:pPr>
        <w:spacing w:line="480" w:lineRule="auto"/>
      </w:pPr>
      <w:r>
        <w:t>What then, is the difference between a work of Greek Philosophy and a work of Gre</w:t>
      </w:r>
      <w:r w:rsidR="00637C84">
        <w:t>ek History? Considering both</w:t>
      </w:r>
      <w:r>
        <w:t xml:space="preserve"> often deal with very real events</w:t>
      </w:r>
      <w:r w:rsidR="0063711B">
        <w:t>,</w:t>
      </w:r>
      <w:r>
        <w:rPr>
          <w:rStyle w:val="FootnoteReference"/>
        </w:rPr>
        <w:footnoteReference w:id="22"/>
      </w:r>
      <w:r w:rsidR="0063711B">
        <w:t xml:space="preserve"> </w:t>
      </w:r>
      <w:r>
        <w:t>as well as events that may well be apocryphal</w:t>
      </w:r>
      <w:r w:rsidR="00166179">
        <w:t>,</w:t>
      </w:r>
      <w:r>
        <w:rPr>
          <w:rStyle w:val="FootnoteReference"/>
        </w:rPr>
        <w:footnoteReference w:id="23"/>
      </w:r>
      <w:r>
        <w:t xml:space="preserve"> the line is blurred from the outset. </w:t>
      </w:r>
      <w:r w:rsidR="00D22072">
        <w:t xml:space="preserve">Nor, are philosophical components and themes uncommon on works that would surely receive unanimous categorization as </w:t>
      </w:r>
      <w:r w:rsidR="007A7DFD">
        <w:t>‘</w:t>
      </w:r>
      <w:r w:rsidR="00D22072">
        <w:t>History</w:t>
      </w:r>
      <w:r w:rsidR="007A7DFD">
        <w:t>’</w:t>
      </w:r>
      <w:r w:rsidR="00D22072">
        <w:t xml:space="preserve"> of one kind or another.</w:t>
      </w:r>
      <w:r w:rsidR="00D22072">
        <w:rPr>
          <w:rStyle w:val="FootnoteReference"/>
        </w:rPr>
        <w:footnoteReference w:id="24"/>
      </w:r>
      <w:r w:rsidR="00D22072">
        <w:t xml:space="preserve"> </w:t>
      </w:r>
      <w:r w:rsidR="0012127D">
        <w:lastRenderedPageBreak/>
        <w:t xml:space="preserve">Neither </w:t>
      </w:r>
      <w:r w:rsidR="00090DDC">
        <w:t xml:space="preserve">is what history </w:t>
      </w:r>
      <w:r w:rsidR="0012127D">
        <w:t xml:space="preserve">should </w:t>
      </w:r>
      <w:r w:rsidR="004B206B">
        <w:t>be</w:t>
      </w:r>
      <w:r w:rsidR="00090DDC">
        <w:t xml:space="preserve"> a simple issue to be resolved with “common sense”.</w:t>
      </w:r>
      <w:r w:rsidR="00090DDC">
        <w:rPr>
          <w:rStyle w:val="FootnoteReference"/>
        </w:rPr>
        <w:footnoteReference w:id="25"/>
      </w:r>
      <w:r w:rsidR="00090DDC">
        <w:t xml:space="preserve"> Defining anything</w:t>
      </w:r>
      <w:r w:rsidR="00E47D35">
        <w:t xml:space="preserve"> is hardly</w:t>
      </w:r>
      <w:r w:rsidR="00090DDC">
        <w:t xml:space="preserve"> innocent</w:t>
      </w:r>
      <w:r w:rsidR="00090DDC">
        <w:rPr>
          <w:rStyle w:val="FootnoteReference"/>
        </w:rPr>
        <w:footnoteReference w:id="26"/>
      </w:r>
      <w:r w:rsidR="00653135">
        <w:t xml:space="preserve"> and our conceptions of Histor</w:t>
      </w:r>
      <w:r w:rsidR="00D50C0B">
        <w:t>y are not as objective as we</w:t>
      </w:r>
      <w:r w:rsidR="00653135">
        <w:t xml:space="preserve"> may wish them to be.</w:t>
      </w:r>
      <w:r w:rsidR="00653135">
        <w:rPr>
          <w:rStyle w:val="FootnoteReference"/>
        </w:rPr>
        <w:footnoteReference w:id="27"/>
      </w:r>
      <w:r w:rsidR="00D50C0B">
        <w:t xml:space="preserve"> </w:t>
      </w:r>
      <w:r w:rsidR="002A4749">
        <w:t>A further difficulty being the lack of contemporary Historians to compare him too, having fragments and nearly contemporary sources, but little more.</w:t>
      </w:r>
      <w:r w:rsidR="002A4749">
        <w:rPr>
          <w:rStyle w:val="FootnoteReference"/>
        </w:rPr>
        <w:footnoteReference w:id="28"/>
      </w:r>
      <w:r w:rsidR="002A4749">
        <w:t xml:space="preserve"> </w:t>
      </w:r>
    </w:p>
    <w:p w:rsidR="007944E9" w:rsidRDefault="00D50C0B" w:rsidP="001E61CE">
      <w:pPr>
        <w:spacing w:line="480" w:lineRule="auto"/>
      </w:pPr>
      <w:r>
        <w:t>If Xenophon is not a Historian, this begs the question of exac</w:t>
      </w:r>
      <w:r w:rsidR="001E61CE">
        <w:t>tly how we might categorise him.</w:t>
      </w:r>
      <w:r>
        <w:t xml:space="preserve"> </w:t>
      </w:r>
      <w:r w:rsidR="00437BAF">
        <w:t>A</w:t>
      </w:r>
      <w:r>
        <w:t xml:space="preserve"> philosophiser, a moraliser, or perhaps just a Historian so poor he can hardly claim the title, there are many possibilities and many arguments.</w:t>
      </w:r>
      <w:r>
        <w:rPr>
          <w:rStyle w:val="FootnoteReference"/>
        </w:rPr>
        <w:footnoteReference w:id="29"/>
      </w:r>
      <w:r w:rsidR="00747628">
        <w:t xml:space="preserve"> What is sure is that “there is more to Xenophon than meets the eye and much that defies easy </w:t>
      </w:r>
      <w:r w:rsidR="001E61CE">
        <w:t>categorization</w:t>
      </w:r>
      <w:r w:rsidR="00747628">
        <w:t>”</w:t>
      </w:r>
      <w:r w:rsidR="001E61CE">
        <w:t>.</w:t>
      </w:r>
      <w:r w:rsidR="00747628">
        <w:rPr>
          <w:rStyle w:val="FootnoteReference"/>
        </w:rPr>
        <w:footnoteReference w:id="30"/>
      </w:r>
      <w:r>
        <w:t xml:space="preserve"> </w:t>
      </w:r>
      <w:r w:rsidR="00476B16">
        <w:t>The label of “Paradigmatic History”</w:t>
      </w:r>
      <w:r w:rsidR="00476B16">
        <w:rPr>
          <w:rStyle w:val="FootnoteReference"/>
        </w:rPr>
        <w:footnoteReference w:id="31"/>
      </w:r>
      <w:r w:rsidR="00476B16">
        <w:t xml:space="preserve"> has been applied to Xenophon and other authors in antiquity and beyond share similarities with this label.</w:t>
      </w:r>
      <w:r w:rsidR="00476B16">
        <w:rPr>
          <w:rStyle w:val="FootnoteReference"/>
        </w:rPr>
        <w:footnoteReference w:id="32"/>
      </w:r>
      <w:r w:rsidR="00F948A5">
        <w:t xml:space="preserve"> This label neatly avoids a potential false dichotomy, but also risks mixing the boundaries of genre</w:t>
      </w:r>
      <w:r w:rsidR="00190534">
        <w:t>, although in Xenophon’s case this is not necessarily inappropriate</w:t>
      </w:r>
      <w:r w:rsidR="00F948A5">
        <w:t>.</w:t>
      </w:r>
      <w:r w:rsidR="00190534">
        <w:rPr>
          <w:rStyle w:val="FootnoteReference"/>
        </w:rPr>
        <w:footnoteReference w:id="33"/>
      </w:r>
      <w:r>
        <w:t xml:space="preserve"> </w:t>
      </w:r>
      <w:r w:rsidR="00D22072">
        <w:t>Clearly then we cannot look for any hard and fast definitions and at</w:t>
      </w:r>
      <w:r w:rsidR="00D0323D">
        <w:t xml:space="preserve">tempt to label Xenophon </w:t>
      </w:r>
      <w:r w:rsidR="00D22072">
        <w:t>as one or the other if we cannot easily do the same for Plato</w:t>
      </w:r>
      <w:r w:rsidR="00DC776B">
        <w:t>,</w:t>
      </w:r>
      <w:r w:rsidR="00D22072">
        <w:t xml:space="preserve"> Herodotus or Thucydides</w:t>
      </w:r>
      <w:r w:rsidR="00D0323D">
        <w:t>,</w:t>
      </w:r>
      <w:r w:rsidR="00D22072">
        <w:t xml:space="preserve"> </w:t>
      </w:r>
      <w:r w:rsidR="00D0323D">
        <w:t xml:space="preserve">at least </w:t>
      </w:r>
      <w:r w:rsidR="00D22072">
        <w:t>based on their content alone. If the difference is anywhere it must lie in in</w:t>
      </w:r>
      <w:r w:rsidR="00C01FE4">
        <w:t>tent</w:t>
      </w:r>
      <w:r w:rsidR="00DC776B">
        <w:t xml:space="preserve"> and execution.</w:t>
      </w:r>
      <w:r w:rsidR="00D22072">
        <w:t xml:space="preserve"> Thucydides may espouse realism</w:t>
      </w:r>
      <w:r w:rsidR="00E15B0C">
        <w:t xml:space="preserve"> (or at least investigate it)</w:t>
      </w:r>
      <w:r w:rsidR="00E15B0C">
        <w:rPr>
          <w:rStyle w:val="FootnoteReference"/>
        </w:rPr>
        <w:footnoteReference w:id="34"/>
      </w:r>
      <w:r w:rsidR="00653135">
        <w:t xml:space="preserve"> and bypass</w:t>
      </w:r>
      <w:r w:rsidR="00E15B0C">
        <w:t>es</w:t>
      </w:r>
      <w:r w:rsidR="00653135">
        <w:t xml:space="preserve"> the gods</w:t>
      </w:r>
      <w:r w:rsidR="00D22072">
        <w:t xml:space="preserve"> and Herodotus</w:t>
      </w:r>
      <w:r w:rsidR="00653135">
        <w:t xml:space="preserve"> and Xenophon</w:t>
      </w:r>
      <w:r w:rsidR="00D22072">
        <w:t xml:space="preserve"> </w:t>
      </w:r>
      <w:r w:rsidR="002375D8">
        <w:t xml:space="preserve">have </w:t>
      </w:r>
      <w:r w:rsidR="00D22072">
        <w:t>a sense</w:t>
      </w:r>
      <w:r w:rsidR="009B32DA">
        <w:t>, albeit differently,</w:t>
      </w:r>
      <w:r w:rsidR="00D22072">
        <w:t xml:space="preserve"> of divin</w:t>
      </w:r>
      <w:r w:rsidR="009B32DA">
        <w:t>e justice and fate,</w:t>
      </w:r>
      <w:r w:rsidR="009B32DA">
        <w:rPr>
          <w:rStyle w:val="FootnoteReference"/>
        </w:rPr>
        <w:footnoteReference w:id="35"/>
      </w:r>
      <w:r w:rsidR="009B32DA">
        <w:t xml:space="preserve"> yet for both</w:t>
      </w:r>
      <w:r w:rsidR="00D22072">
        <w:t xml:space="preserve"> </w:t>
      </w:r>
      <w:r w:rsidR="009B32DA">
        <w:t>Herodotu</w:t>
      </w:r>
      <w:r w:rsidR="009B32DA" w:rsidRPr="009B32DA">
        <w:t>s</w:t>
      </w:r>
      <w:r w:rsidR="009B32DA">
        <w:t xml:space="preserve"> and Thucydide</w:t>
      </w:r>
      <w:r w:rsidR="009B32DA" w:rsidRPr="009B32DA">
        <w:t>s</w:t>
      </w:r>
      <w:r w:rsidR="009B32DA">
        <w:t xml:space="preserve"> </w:t>
      </w:r>
      <w:r w:rsidR="00D22072">
        <w:t>the recording of the past takes centre stage, albeit in vastly different ways.</w:t>
      </w:r>
      <w:r w:rsidR="00D22072">
        <w:rPr>
          <w:rStyle w:val="FootnoteReference"/>
        </w:rPr>
        <w:footnoteReference w:id="36"/>
      </w:r>
      <w:r w:rsidR="00D0323D">
        <w:t xml:space="preserve"> </w:t>
      </w:r>
      <w:r w:rsidR="002375D8">
        <w:t xml:space="preserve">Indeed </w:t>
      </w:r>
      <w:r w:rsidR="0035639E">
        <w:t>Xenophon’s</w:t>
      </w:r>
      <w:r w:rsidR="002375D8">
        <w:t xml:space="preserve"> focus on certain religious aspects and impiety form a major break with the person many would argue he is trying to </w:t>
      </w:r>
      <w:r w:rsidR="002375D8">
        <w:lastRenderedPageBreak/>
        <w:t>emulate.</w:t>
      </w:r>
      <w:r w:rsidR="002375D8">
        <w:rPr>
          <w:rStyle w:val="FootnoteReference"/>
        </w:rPr>
        <w:footnoteReference w:id="37"/>
      </w:r>
      <w:r w:rsidR="009021CB">
        <w:t xml:space="preserve"> </w:t>
      </w:r>
      <w:r w:rsidR="00FD43A5">
        <w:t>Thucydides</w:t>
      </w:r>
      <w:r w:rsidR="0078605A">
        <w:t xml:space="preserve"> is a H</w:t>
      </w:r>
      <w:r w:rsidR="00D0323D">
        <w:t>istorian and Plato a philos</w:t>
      </w:r>
      <w:r w:rsidR="007944E9">
        <w:t>opher because that is likely</w:t>
      </w:r>
      <w:r w:rsidR="00D0323D">
        <w:t xml:space="preserve">, at least in some </w:t>
      </w:r>
      <w:r w:rsidR="00DC776B">
        <w:t>sense, how they saw themselves</w:t>
      </w:r>
      <w:r w:rsidR="00D0323D">
        <w:t>.</w:t>
      </w:r>
      <w:r w:rsidR="0035639E">
        <w:t xml:space="preserve"> How then did Xenophon see himself and his work?</w:t>
      </w:r>
    </w:p>
    <w:p w:rsidR="00FB53A6" w:rsidRDefault="00D0323D" w:rsidP="001E61CE">
      <w:pPr>
        <w:spacing w:line="480" w:lineRule="auto"/>
      </w:pPr>
      <w:r>
        <w:t xml:space="preserve"> As has been stated</w:t>
      </w:r>
      <w:r w:rsidR="003A6E59">
        <w:t>,</w:t>
      </w:r>
      <w:r>
        <w:t xml:space="preserve"> Xe</w:t>
      </w:r>
      <w:r w:rsidR="00DC776B">
        <w:t xml:space="preserve">nophon never states his purpose in as strong a terms as Thucydides or Herodotus, yet scattered throughout his </w:t>
      </w:r>
      <w:r w:rsidR="00DC776B" w:rsidRPr="00A121DE">
        <w:rPr>
          <w:i/>
        </w:rPr>
        <w:t>Hellenica</w:t>
      </w:r>
      <w:r w:rsidR="00DC776B">
        <w:t>, although especially towards its end, are many comments on the virtuous</w:t>
      </w:r>
      <w:r w:rsidR="008B2BCE">
        <w:t xml:space="preserve"> and, more often obliquely, unvirtuous</w:t>
      </w:r>
      <w:r w:rsidR="00202F55">
        <w:t xml:space="preserve"> behaviour of people involved in the</w:t>
      </w:r>
      <w:r w:rsidR="00853E3D">
        <w:t xml:space="preserve"> narrative</w:t>
      </w:r>
      <w:r w:rsidR="00AB2C1E">
        <w:t>,</w:t>
      </w:r>
      <w:r w:rsidR="00202F55">
        <w:rPr>
          <w:rStyle w:val="FootnoteReference"/>
        </w:rPr>
        <w:footnoteReference w:id="38"/>
      </w:r>
      <w:r w:rsidR="002D0499">
        <w:t xml:space="preserve"> </w:t>
      </w:r>
      <w:r w:rsidR="0035639E">
        <w:t>i</w:t>
      </w:r>
      <w:r w:rsidR="00202F55">
        <w:t xml:space="preserve">ndeed </w:t>
      </w:r>
      <w:r w:rsidR="001F6672">
        <w:t xml:space="preserve">as </w:t>
      </w:r>
      <w:r w:rsidR="00202F55">
        <w:t>much can be inferred by what he omits as well as what he focuses on.</w:t>
      </w:r>
      <w:r w:rsidR="00202F55">
        <w:rPr>
          <w:rStyle w:val="FootnoteReference"/>
        </w:rPr>
        <w:footnoteReference w:id="39"/>
      </w:r>
      <w:r w:rsidR="0021428B">
        <w:t xml:space="preserve"> Fas</w:t>
      </w:r>
      <w:r w:rsidR="00B75887">
        <w:t>cinatingly Xenophon</w:t>
      </w:r>
      <w:r w:rsidR="0021428B">
        <w:t xml:space="preserve"> also apologises for some of his moral digressi</w:t>
      </w:r>
      <w:r w:rsidR="00A121DE">
        <w:t xml:space="preserve">ons as not befitting his </w:t>
      </w:r>
      <w:r w:rsidR="00A121DE" w:rsidRPr="00A121DE">
        <w:rPr>
          <w:i/>
        </w:rPr>
        <w:t>Hellenica</w:t>
      </w:r>
      <w:r w:rsidR="0021428B">
        <w:t>, but that he feels them worthy.</w:t>
      </w:r>
      <w:r w:rsidR="0021428B">
        <w:rPr>
          <w:rStyle w:val="FootnoteReference"/>
        </w:rPr>
        <w:footnoteReference w:id="40"/>
      </w:r>
      <w:r w:rsidR="00997A47">
        <w:t xml:space="preserve"> Ergo, he is aware of some of the restrictions of </w:t>
      </w:r>
      <w:r w:rsidR="00161205">
        <w:t xml:space="preserve">the </w:t>
      </w:r>
      <w:r w:rsidR="00997A47">
        <w:t>genre</w:t>
      </w:r>
      <w:r w:rsidR="00161205">
        <w:t xml:space="preserve"> of history</w:t>
      </w:r>
      <w:r w:rsidR="002A4749">
        <w:rPr>
          <w:rStyle w:val="FootnoteReference"/>
        </w:rPr>
        <w:footnoteReference w:id="41"/>
      </w:r>
      <w:r w:rsidR="00161205">
        <w:t xml:space="preserve"> which</w:t>
      </w:r>
      <w:r w:rsidR="00997A47">
        <w:t xml:space="preserve"> Thucydides helps to for</w:t>
      </w:r>
      <w:r w:rsidR="00513681">
        <w:t>ge, and he chooses to bend them, h</w:t>
      </w:r>
      <w:r w:rsidR="00997A47">
        <w:t>is intent and execution therefore is neither that of an unabashe</w:t>
      </w:r>
      <w:r w:rsidR="0078605A">
        <w:t>d moralist, nor a tight lipped H</w:t>
      </w:r>
      <w:r w:rsidR="00997A47">
        <w:t>istorian.</w:t>
      </w:r>
      <w:r w:rsidR="00422666">
        <w:t xml:space="preserve"> Scholars are unsurprisingly divided on the issue of genre, </w:t>
      </w:r>
      <w:proofErr w:type="spellStart"/>
      <w:r w:rsidR="001F6672">
        <w:t>Cawkw</w:t>
      </w:r>
      <w:r w:rsidR="00755870">
        <w:t>ell</w:t>
      </w:r>
      <w:proofErr w:type="spellEnd"/>
      <w:r w:rsidR="00755870">
        <w:t xml:space="preserve"> says</w:t>
      </w:r>
      <w:r w:rsidR="00D50C0B">
        <w:t xml:space="preserve"> </w:t>
      </w:r>
      <w:r w:rsidR="001E2966">
        <w:t>that “his primary purpose i</w:t>
      </w:r>
      <w:r w:rsidR="001F6672">
        <w:t>s the moral one of depicting virtue”</w:t>
      </w:r>
      <w:r w:rsidR="001F6672">
        <w:rPr>
          <w:rStyle w:val="FootnoteReference"/>
        </w:rPr>
        <w:footnoteReference w:id="42"/>
      </w:r>
      <w:r w:rsidR="00422666">
        <w:t xml:space="preserve"> but others have assumed him to be attempting to write “grand history”.</w:t>
      </w:r>
      <w:r w:rsidR="00422666">
        <w:rPr>
          <w:rStyle w:val="FootnoteReference"/>
        </w:rPr>
        <w:footnoteReference w:id="43"/>
      </w:r>
      <w:r w:rsidR="00422666">
        <w:t xml:space="preserve"> Furthermore, his man</w:t>
      </w:r>
      <w:r w:rsidR="00E54380">
        <w:t>ne</w:t>
      </w:r>
      <w:r w:rsidR="00422666">
        <w:t xml:space="preserve">r of recording </w:t>
      </w:r>
      <w:r w:rsidR="00DE0191">
        <w:t xml:space="preserve">the past has been argued to be highly personal, </w:t>
      </w:r>
      <w:r w:rsidR="00DE0191" w:rsidRPr="00DE0191">
        <w:t>“Thucydides wrote history; Xenophon… wrote memoirs”</w:t>
      </w:r>
      <w:r w:rsidR="00422666">
        <w:rPr>
          <w:rStyle w:val="FootnoteReference"/>
        </w:rPr>
        <w:footnoteReference w:id="44"/>
      </w:r>
      <w:r w:rsidR="00DE0191">
        <w:t xml:space="preserve">, it would be possible to argue his purpose is recording the past, but not as </w:t>
      </w:r>
      <w:r w:rsidR="0078605A">
        <w:t>a H</w:t>
      </w:r>
      <w:r w:rsidR="00DE0191">
        <w:t>istorian.</w:t>
      </w:r>
      <w:r w:rsidR="00DE0191">
        <w:rPr>
          <w:rStyle w:val="FootnoteReference"/>
        </w:rPr>
        <w:footnoteReference w:id="45"/>
      </w:r>
      <w:r w:rsidR="00DE0191">
        <w:t xml:space="preserve"> </w:t>
      </w:r>
    </w:p>
    <w:p w:rsidR="009750FA" w:rsidRDefault="00422666" w:rsidP="001E61CE">
      <w:pPr>
        <w:spacing w:line="480" w:lineRule="auto"/>
      </w:pPr>
      <w:r w:rsidRPr="00422666">
        <w:t xml:space="preserve"> </w:t>
      </w:r>
      <w:r>
        <w:t>In all this disagreement and difficulty</w:t>
      </w:r>
      <w:r w:rsidR="007E7CB9">
        <w:t>,</w:t>
      </w:r>
      <w:r>
        <w:t xml:space="preserve"> perhaps we should not try to force Xenophon into one camp or the other</w:t>
      </w:r>
      <w:r w:rsidR="007E7CB9">
        <w:t>,</w:t>
      </w:r>
      <w:r>
        <w:t xml:space="preserve"> else we </w:t>
      </w:r>
      <w:r w:rsidR="00727DF1">
        <w:t>risk losing the nuanced picture</w:t>
      </w:r>
      <w:r w:rsidR="007E7CB9">
        <w:t>;</w:t>
      </w:r>
      <w:r>
        <w:t xml:space="preserve"> perhaps the real argument is over the extent to which recordi</w:t>
      </w:r>
      <w:r w:rsidR="00DE0191">
        <w:t xml:space="preserve">ng and </w:t>
      </w:r>
      <w:r>
        <w:t>analysing the past</w:t>
      </w:r>
      <w:r w:rsidR="00743EFD">
        <w:t>,</w:t>
      </w:r>
      <w:r>
        <w:t xml:space="preserve"> or moral philosophy</w:t>
      </w:r>
      <w:r w:rsidR="00743EFD">
        <w:t>,</w:t>
      </w:r>
      <w:r>
        <w:t xml:space="preserve"> is his purpose.</w:t>
      </w:r>
      <w:r w:rsidR="009C375E">
        <w:t xml:space="preserve"> Indeed</w:t>
      </w:r>
      <w:r w:rsidR="00743EFD">
        <w:t>,</w:t>
      </w:r>
      <w:r w:rsidR="009C375E">
        <w:t xml:space="preserve"> the issue becomes more complex still if we accept his purpose may have changed over</w:t>
      </w:r>
      <w:r w:rsidR="008B4D79">
        <w:t xml:space="preserve"> </w:t>
      </w:r>
      <w:r w:rsidR="009C375E">
        <w:t>time</w:t>
      </w:r>
      <w:r w:rsidR="008B4D79">
        <w:t>,</w:t>
      </w:r>
      <w:r w:rsidR="009C375E">
        <w:t xml:space="preserve"> as scholars have noted differences between </w:t>
      </w:r>
      <w:r w:rsidR="003C7B68">
        <w:t xml:space="preserve">certain </w:t>
      </w:r>
      <w:r w:rsidR="009C375E">
        <w:t xml:space="preserve">sections of his </w:t>
      </w:r>
      <w:r w:rsidR="009C375E" w:rsidRPr="00A121DE">
        <w:rPr>
          <w:i/>
        </w:rPr>
        <w:t>Hellenica</w:t>
      </w:r>
      <w:r w:rsidR="009C375E">
        <w:t>.</w:t>
      </w:r>
      <w:r w:rsidR="009C375E">
        <w:rPr>
          <w:rStyle w:val="FootnoteReference"/>
        </w:rPr>
        <w:footnoteReference w:id="46"/>
      </w:r>
      <w:r w:rsidR="00B07004">
        <w:t xml:space="preserve"> Xenophon</w:t>
      </w:r>
      <w:r w:rsidR="009C375E">
        <w:t xml:space="preserve"> may well have begun </w:t>
      </w:r>
      <w:r w:rsidR="00B07004">
        <w:t xml:space="preserve">by </w:t>
      </w:r>
      <w:r w:rsidR="009C375E">
        <w:lastRenderedPageBreak/>
        <w:t>meaning to write a c</w:t>
      </w:r>
      <w:r w:rsidR="00B07004">
        <w:t xml:space="preserve">ontinuation of </w:t>
      </w:r>
      <w:r w:rsidR="00D50C0B">
        <w:t>Thucydides</w:t>
      </w:r>
      <w:r w:rsidR="00AA20C1">
        <w:rPr>
          <w:rStyle w:val="FootnoteReference"/>
        </w:rPr>
        <w:footnoteReference w:id="47"/>
      </w:r>
      <w:r w:rsidR="009A2D72">
        <w:t xml:space="preserve"> (although this line of reasoning can be problematic)</w:t>
      </w:r>
      <w:r w:rsidR="009A2D72">
        <w:rPr>
          <w:rStyle w:val="FootnoteReference"/>
        </w:rPr>
        <w:footnoteReference w:id="48"/>
      </w:r>
      <w:r w:rsidR="009C375E">
        <w:t xml:space="preserve"> before shifting to a more personal and philosophical narrative.</w:t>
      </w:r>
      <w:r w:rsidR="00C14210">
        <w:rPr>
          <w:rStyle w:val="FootnoteReference"/>
        </w:rPr>
        <w:footnoteReference w:id="49"/>
      </w:r>
      <w:r w:rsidR="009C375E">
        <w:t xml:space="preserve"> </w:t>
      </w:r>
      <w:r w:rsidR="00123706">
        <w:t xml:space="preserve">This issue is </w:t>
      </w:r>
      <w:r w:rsidR="009C375E">
        <w:t xml:space="preserve">beyond the scope of this paper, as it focuses on the largest section of moralising in the </w:t>
      </w:r>
      <w:r w:rsidR="009C375E" w:rsidRPr="00A121DE">
        <w:rPr>
          <w:i/>
        </w:rPr>
        <w:t>Hellenica</w:t>
      </w:r>
      <w:r w:rsidR="009C375E">
        <w:t xml:space="preserve">, nor is </w:t>
      </w:r>
      <w:r w:rsidR="00123706">
        <w:t>solving this issue</w:t>
      </w:r>
      <w:r w:rsidR="009C375E">
        <w:t xml:space="preserve"> necessarily possible. Th</w:t>
      </w:r>
      <w:r w:rsidR="00487B19">
        <w:t>is paper will show that Xenophon</w:t>
      </w:r>
      <w:r w:rsidR="009C375E">
        <w:t xml:space="preserve"> has a dual purpose that is not mutually</w:t>
      </w:r>
      <w:r w:rsidR="00E5420F">
        <w:t xml:space="preserve"> </w:t>
      </w:r>
      <w:r w:rsidR="0070007D" w:rsidRPr="004F2798">
        <w:t>exclusive,</w:t>
      </w:r>
      <w:r w:rsidR="0070007D">
        <w:t xml:space="preserve"> </w:t>
      </w:r>
      <w:r w:rsidR="004F2798">
        <w:t>but which come together to form a cohesive, if uneasy, whole.</w:t>
      </w:r>
    </w:p>
    <w:p w:rsidR="00AD5266" w:rsidRDefault="006C78ED" w:rsidP="001E61CE">
      <w:pPr>
        <w:spacing w:line="480" w:lineRule="auto"/>
      </w:pPr>
      <w:r>
        <w:t xml:space="preserve">Before beginning the analysis of the virtues attributed to the </w:t>
      </w:r>
      <w:r w:rsidR="001A1DD5" w:rsidRPr="001A1DD5">
        <w:t>Phliasians</w:t>
      </w:r>
      <w:r w:rsidR="00627DD3">
        <w:t>,</w:t>
      </w:r>
      <w:r>
        <w:t xml:space="preserve"> a few o</w:t>
      </w:r>
      <w:r w:rsidR="0002237C">
        <w:t xml:space="preserve">ther issues must be dealt with, after all </w:t>
      </w:r>
      <w:r w:rsidR="0002237C" w:rsidRPr="0002237C">
        <w:t xml:space="preserve">“to those who can read between the lines there is much to attend to. The </w:t>
      </w:r>
      <w:r w:rsidR="0002237C" w:rsidRPr="00A121DE">
        <w:rPr>
          <w:i/>
        </w:rPr>
        <w:t>Hellenica</w:t>
      </w:r>
      <w:r w:rsidR="0002237C" w:rsidRPr="0002237C">
        <w:t xml:space="preserve"> is for connoisseurs”</w:t>
      </w:r>
      <w:r w:rsidR="0002237C">
        <w:t>.</w:t>
      </w:r>
      <w:r w:rsidR="0002237C">
        <w:rPr>
          <w:rStyle w:val="FootnoteReference"/>
        </w:rPr>
        <w:footnoteReference w:id="50"/>
      </w:r>
      <w:r w:rsidR="0002237C">
        <w:t xml:space="preserve"> </w:t>
      </w:r>
      <w:r w:rsidR="00577DFB">
        <w:t>It is worth noting here Xenophon</w:t>
      </w:r>
      <w:r w:rsidR="006A76A0">
        <w:t>’</w:t>
      </w:r>
      <w:r w:rsidR="00577DFB">
        <w:t>s pro</w:t>
      </w:r>
      <w:r w:rsidR="001562DC">
        <w:t>-</w:t>
      </w:r>
      <w:r w:rsidR="00577DFB">
        <w:t>Spartan attitude,</w:t>
      </w:r>
      <w:r w:rsidR="00577DFB">
        <w:rPr>
          <w:rStyle w:val="FootnoteReference"/>
        </w:rPr>
        <w:footnoteReference w:id="51"/>
      </w:r>
      <w:r w:rsidR="00577DFB">
        <w:t xml:space="preserve"> and that although we could interpret his philosophising about the </w:t>
      </w:r>
      <w:r w:rsidR="001A1DD5" w:rsidRPr="001A1DD5">
        <w:t>Phliasians</w:t>
      </w:r>
      <w:r w:rsidR="00577DFB">
        <w:t xml:space="preserve"> as genuine and near objective admiration, it would also be easy to see it as</w:t>
      </w:r>
      <w:r w:rsidR="00577DFB" w:rsidRPr="00577DFB">
        <w:t xml:space="preserve"> do</w:t>
      </w:r>
      <w:r w:rsidR="00577DFB">
        <w:t>ing</w:t>
      </w:r>
      <w:r w:rsidR="00577DFB" w:rsidRPr="00577DFB">
        <w:t xml:space="preserve"> </w:t>
      </w:r>
      <w:r w:rsidR="00577DFB">
        <w:t>“</w:t>
      </w:r>
      <w:r w:rsidR="00577DFB" w:rsidRPr="00577DFB">
        <w:t>good to friends and evil to enemies</w:t>
      </w:r>
      <w:r w:rsidR="00577DFB">
        <w:t>”</w:t>
      </w:r>
      <w:r w:rsidR="002B4D25">
        <w:t>,</w:t>
      </w:r>
      <w:r w:rsidR="00577DFB">
        <w:rPr>
          <w:rStyle w:val="FootnoteReference"/>
        </w:rPr>
        <w:footnoteReference w:id="52"/>
      </w:r>
      <w:r w:rsidR="00577DFB">
        <w:t xml:space="preserve"> hardly very Socratic of him. However</w:t>
      </w:r>
      <w:r w:rsidR="001562DC">
        <w:t>,</w:t>
      </w:r>
      <w:r w:rsidR="00577DFB">
        <w:t xml:space="preserve"> whether his philo</w:t>
      </w:r>
      <w:r w:rsidR="00817D33">
        <w:t>sophising is</w:t>
      </w:r>
      <w:r w:rsidR="00577DFB">
        <w:t xml:space="preserve"> genuine</w:t>
      </w:r>
      <w:r w:rsidR="00FF3DC8">
        <w:t>,</w:t>
      </w:r>
      <w:r w:rsidR="00577DFB">
        <w:t xml:space="preserve"> or </w:t>
      </w:r>
      <w:r w:rsidR="00317645">
        <w:t xml:space="preserve">was actually </w:t>
      </w:r>
      <w:r w:rsidR="00577DFB">
        <w:t>an attempt at slander and praise</w:t>
      </w:r>
      <w:r w:rsidR="00FF3DC8">
        <w:t>,</w:t>
      </w:r>
      <w:r w:rsidR="00577DFB">
        <w:t xml:space="preserve"> does not impact the way it affects genre, nor can we assume </w:t>
      </w:r>
      <w:r w:rsidR="00DA5DBE">
        <w:t xml:space="preserve">fully </w:t>
      </w:r>
      <w:r w:rsidR="00577DFB">
        <w:t xml:space="preserve">either way. </w:t>
      </w:r>
      <w:r w:rsidR="00E34602">
        <w:t>A</w:t>
      </w:r>
      <w:r w:rsidR="00317645">
        <w:t>s is a common theme with Xenophon, it would be too easy to create a false dichotomy</w:t>
      </w:r>
      <w:r w:rsidR="00DA5DBE">
        <w:t xml:space="preserve">, </w:t>
      </w:r>
      <w:r w:rsidR="003C7B68">
        <w:t>wherein an omission or comment</w:t>
      </w:r>
      <w:r w:rsidR="00DA5DBE">
        <w:t xml:space="preserve"> is purely because of his bias</w:t>
      </w:r>
      <w:r w:rsidR="00D71A7F">
        <w:t>,</w:t>
      </w:r>
      <w:r w:rsidR="00DA5DBE">
        <w:t xml:space="preserve"> or it is his </w:t>
      </w:r>
      <w:r w:rsidR="003C7B68">
        <w:t>‘</w:t>
      </w:r>
      <w:r w:rsidR="00DA5DBE">
        <w:t>objective</w:t>
      </w:r>
      <w:r w:rsidR="003C7B68">
        <w:t>’</w:t>
      </w:r>
      <w:r w:rsidR="00DA5DBE">
        <w:t xml:space="preserve"> historical or philosophical view. In reality</w:t>
      </w:r>
      <w:r w:rsidR="00D71A7F">
        <w:t>,</w:t>
      </w:r>
      <w:r w:rsidR="00DA5DBE">
        <w:t xml:space="preserve"> no author is without their bias, surely the choice of the </w:t>
      </w:r>
      <w:r w:rsidR="001A1DD5" w:rsidRPr="001A1DD5">
        <w:t>Phliasians</w:t>
      </w:r>
      <w:r w:rsidR="00157A85">
        <w:t xml:space="preserve"> was</w:t>
      </w:r>
      <w:r w:rsidR="00DA5DBE">
        <w:t xml:space="preserve"> not purely because they were objectively the best choice to illustrate his point, perhaps they were not, but also because of his pro</w:t>
      </w:r>
      <w:r w:rsidR="00D71744">
        <w:t>-</w:t>
      </w:r>
      <w:r w:rsidR="00DA5DBE">
        <w:t>Spartan</w:t>
      </w:r>
      <w:r w:rsidR="00D71744">
        <w:t xml:space="preserve"> </w:t>
      </w:r>
      <w:r w:rsidR="00DA5DBE">
        <w:t xml:space="preserve">views. </w:t>
      </w:r>
      <w:r w:rsidR="00685AAC">
        <w:t>His pro-Spartan bias should not be assumed to be blinding, nor straightforward,</w:t>
      </w:r>
      <w:r w:rsidR="00685AAC">
        <w:rPr>
          <w:rStyle w:val="FootnoteReference"/>
        </w:rPr>
        <w:footnoteReference w:id="53"/>
      </w:r>
      <w:r w:rsidR="00685AAC">
        <w:t xml:space="preserve"> but it must surely have influenced the texts he wrote.</w:t>
      </w:r>
    </w:p>
    <w:p w:rsidR="007D5399" w:rsidRDefault="00DA5DBE" w:rsidP="001E61CE">
      <w:pPr>
        <w:spacing w:line="480" w:lineRule="auto"/>
      </w:pPr>
      <w:r>
        <w:t>Much like his especially quest</w:t>
      </w:r>
      <w:r w:rsidR="0078605A">
        <w:t>ionable status as an objective H</w:t>
      </w:r>
      <w:r>
        <w:t xml:space="preserve">istorian, he could equally be labelled </w:t>
      </w:r>
      <w:r w:rsidR="005273C6">
        <w:t>an unobjective</w:t>
      </w:r>
      <w:r>
        <w:t xml:space="preserve"> philosopher.</w:t>
      </w:r>
      <w:r w:rsidR="00021574">
        <w:t xml:space="preserve"> </w:t>
      </w:r>
      <w:r w:rsidR="002124E3">
        <w:t>Indeed</w:t>
      </w:r>
      <w:r w:rsidR="009558DE">
        <w:t>,</w:t>
      </w:r>
      <w:r w:rsidR="002124E3">
        <w:t xml:space="preserve"> this section is one of the “puzzling episodes</w:t>
      </w:r>
      <w:r w:rsidR="00811DB7">
        <w:t xml:space="preserve"> [which]</w:t>
      </w:r>
      <w:r w:rsidR="002124E3">
        <w:t xml:space="preserve"> bring to the surface the profound tension among the literary, the political, the moral, and the religious strands </w:t>
      </w:r>
      <w:r w:rsidR="002124E3">
        <w:lastRenderedPageBreak/>
        <w:t xml:space="preserve">intertwined throughout the </w:t>
      </w:r>
      <w:r w:rsidR="002124E3" w:rsidRPr="00A121DE">
        <w:rPr>
          <w:i/>
        </w:rPr>
        <w:t>Hellenica</w:t>
      </w:r>
      <w:r w:rsidR="002124E3">
        <w:t>”</w:t>
      </w:r>
      <w:r w:rsidR="002124E3">
        <w:rPr>
          <w:rStyle w:val="FootnoteReference"/>
        </w:rPr>
        <w:footnoteReference w:id="54"/>
      </w:r>
      <w:r w:rsidR="002124E3">
        <w:t xml:space="preserve"> </w:t>
      </w:r>
      <w:r w:rsidR="00021574">
        <w:t>There are no quick solutions to these issues</w:t>
      </w:r>
      <w:r w:rsidR="001D592F">
        <w:t>, however,</w:t>
      </w:r>
      <w:r>
        <w:t xml:space="preserve"> </w:t>
      </w:r>
      <w:r w:rsidR="001D592F">
        <w:t>h</w:t>
      </w:r>
      <w:r w:rsidR="00021574">
        <w:t xml:space="preserve">aving outlined some of the problems of Xenophon’s </w:t>
      </w:r>
      <w:r w:rsidR="00021574" w:rsidRPr="00A121DE">
        <w:rPr>
          <w:i/>
        </w:rPr>
        <w:t>Hellenica</w:t>
      </w:r>
      <w:r w:rsidR="001D592F">
        <w:t>, in terms of genre intent as well as execution, we can still learn much from this passage and argue against certain scholar</w:t>
      </w:r>
      <w:r w:rsidR="0022269D">
        <w:t>’</w:t>
      </w:r>
      <w:r w:rsidR="001D592F">
        <w:t>s views.</w:t>
      </w:r>
    </w:p>
    <w:p w:rsidR="00E103D1" w:rsidRDefault="00347B6A" w:rsidP="001E61CE">
      <w:pPr>
        <w:spacing w:line="480" w:lineRule="auto"/>
      </w:pPr>
      <w:r>
        <w:t xml:space="preserve">The first of the virtues of the </w:t>
      </w:r>
      <w:r w:rsidR="001A1DD5" w:rsidRPr="001A1DD5">
        <w:t>Phliasians</w:t>
      </w:r>
      <w:r>
        <w:t xml:space="preserve"> elucidated by Xenophon is that of loyalty, a particularly rare and precious virtue in an epoch of ever shi</w:t>
      </w:r>
      <w:r w:rsidR="003F2DD1">
        <w:t>fting alliances, wars and treaties</w:t>
      </w:r>
      <w:r>
        <w:t xml:space="preserve">, and in stark contrast to the </w:t>
      </w:r>
      <w:r w:rsidRPr="00347B6A">
        <w:t>realpolitik</w:t>
      </w:r>
      <w:r>
        <w:t xml:space="preserve"> found</w:t>
      </w:r>
      <w:r w:rsidR="00B04F56">
        <w:t xml:space="preserve"> throughout Greek hi</w:t>
      </w:r>
      <w:r w:rsidR="00B04F56" w:rsidRPr="00B04F56">
        <w:t>s</w:t>
      </w:r>
      <w:r w:rsidR="00B04F56">
        <w:t>tory</w:t>
      </w:r>
      <w:r>
        <w:t>.</w:t>
      </w:r>
      <w:r w:rsidR="004E4364">
        <w:rPr>
          <w:rStyle w:val="FootnoteReference"/>
        </w:rPr>
        <w:footnoteReference w:id="55"/>
      </w:r>
      <w:r>
        <w:t xml:space="preserve">  </w:t>
      </w:r>
    </w:p>
    <w:p w:rsidR="004E4364" w:rsidRPr="00C81E64" w:rsidRDefault="004E4364" w:rsidP="001E61CE">
      <w:pPr>
        <w:spacing w:line="480" w:lineRule="auto"/>
        <w:ind w:left="720" w:right="737"/>
        <w:jc w:val="both"/>
      </w:pPr>
      <w:r w:rsidRPr="00C81E64">
        <w:t xml:space="preserve">“Now the Phliasians had become friends of the Lacedaemonians at a time when they were greatest; and when they had been defeated in the battle at Leuctra, when many of the </w:t>
      </w:r>
      <w:proofErr w:type="spellStart"/>
      <w:r w:rsidRPr="00C81E64">
        <w:t>Perioeci</w:t>
      </w:r>
      <w:proofErr w:type="spellEnd"/>
      <w:r w:rsidRPr="00C81E64">
        <w:t xml:space="preserve"> had revolted from them and all the Helots also had revolted, and likewise their allies with the exception of a very few, and when all the Greeks, one might say, were in the field against them, the Phliasians remained steadfastly faithful, and, though they had as enemies the most powerful of the peoples in Peloponnesus — the Arcadians and Argives — nevertheless went to their assistance”</w:t>
      </w:r>
      <w:r w:rsidRPr="00C81E64">
        <w:rPr>
          <w:rStyle w:val="FootnoteReference"/>
        </w:rPr>
        <w:footnoteReference w:id="56"/>
      </w:r>
    </w:p>
    <w:p w:rsidR="00871689" w:rsidRDefault="00871689" w:rsidP="001E61CE">
      <w:pPr>
        <w:spacing w:line="480" w:lineRule="auto"/>
      </w:pPr>
      <w:r>
        <w:t xml:space="preserve">As can be seen from this passage, Xenophon sets the </w:t>
      </w:r>
      <w:r w:rsidR="001A1DD5" w:rsidRPr="001A1DD5">
        <w:t>Phliasians</w:t>
      </w:r>
      <w:r>
        <w:t xml:space="preserve"> up as loyal men ready to take on almost the whole world to surely not</w:t>
      </w:r>
      <w:r w:rsidR="007F3E40">
        <w:t>hing but their own disadvantage.</w:t>
      </w:r>
      <w:r>
        <w:t xml:space="preserve"> </w:t>
      </w:r>
      <w:r w:rsidR="007F3E40">
        <w:t>A</w:t>
      </w:r>
      <w:r w:rsidR="006855C0">
        <w:t xml:space="preserve">n ‘underdog’ narrative is brought into focus and the strength of their enemy’s emphasised, which makes their loyalty </w:t>
      </w:r>
      <w:r w:rsidR="004E41AF">
        <w:t>all the more worthy of praise.</w:t>
      </w:r>
      <w:r w:rsidR="00393DDC">
        <w:rPr>
          <w:rStyle w:val="FootnoteReference"/>
        </w:rPr>
        <w:footnoteReference w:id="57"/>
      </w:r>
      <w:r w:rsidR="004E41AF">
        <w:t xml:space="preserve"> The geography of the Peloponnesus is also brought into focus here, with Sparta</w:t>
      </w:r>
      <w:r w:rsidR="00686781">
        <w:t>’s</w:t>
      </w:r>
      <w:r w:rsidR="004E41AF">
        <w:t xml:space="preserve"> closest subjects and allies having revolted</w:t>
      </w:r>
      <w:r w:rsidR="007C5EF7">
        <w:t>,</w:t>
      </w:r>
      <w:r w:rsidR="004E41AF">
        <w:t xml:space="preserve"> </w:t>
      </w:r>
      <w:r w:rsidR="006C78ED">
        <w:t xml:space="preserve">but a city that is isolated amongst enemies and </w:t>
      </w:r>
      <w:r w:rsidR="003B09A0">
        <w:t>far from Sparta remains loyal;</w:t>
      </w:r>
      <w:r w:rsidR="006C78ED">
        <w:t xml:space="preserve"> Xenophon shames and praises in the same sentence.</w:t>
      </w:r>
      <w:r w:rsidR="006C38C9">
        <w:rPr>
          <w:rStyle w:val="FootnoteReference"/>
        </w:rPr>
        <w:footnoteReference w:id="58"/>
      </w:r>
      <w:r w:rsidR="006C78ED">
        <w:t xml:space="preserve"> </w:t>
      </w:r>
      <w:r w:rsidR="0002237C">
        <w:t xml:space="preserve">It has been said that </w:t>
      </w:r>
      <w:r w:rsidR="0002237C" w:rsidRPr="0002237C">
        <w:t>“his method was to commemorate the commendable and by silence to censure”</w:t>
      </w:r>
      <w:r w:rsidR="0002237C">
        <w:rPr>
          <w:rStyle w:val="FootnoteReference"/>
        </w:rPr>
        <w:footnoteReference w:id="59"/>
      </w:r>
      <w:r w:rsidR="0002237C">
        <w:t xml:space="preserve"> an</w:t>
      </w:r>
      <w:r w:rsidR="009073A0">
        <w:t>d although this may broadly be</w:t>
      </w:r>
      <w:r w:rsidR="0002237C">
        <w:t xml:space="preserve"> true it is an over simplistic model of his method, sometimes he censures b</w:t>
      </w:r>
      <w:r w:rsidR="00194BE4">
        <w:t xml:space="preserve">y </w:t>
      </w:r>
      <w:r w:rsidR="00194BE4">
        <w:lastRenderedPageBreak/>
        <w:t>comparison as in this passage and</w:t>
      </w:r>
      <w:r w:rsidR="0002237C">
        <w:t xml:space="preserve"> </w:t>
      </w:r>
      <w:r w:rsidR="00194BE4">
        <w:t>o</w:t>
      </w:r>
      <w:r w:rsidR="00755870">
        <w:t>n other occasions he censures far more directly or</w:t>
      </w:r>
      <w:r w:rsidR="000A0186">
        <w:t xml:space="preserve"> more often</w:t>
      </w:r>
      <w:r w:rsidR="00755870">
        <w:t xml:space="preserve"> in myriad subtle ways.</w:t>
      </w:r>
      <w:r w:rsidR="00755870">
        <w:rPr>
          <w:rStyle w:val="FootnoteReference"/>
        </w:rPr>
        <w:footnoteReference w:id="60"/>
      </w:r>
    </w:p>
    <w:p w:rsidR="00266F90" w:rsidRDefault="004E6392" w:rsidP="001E61CE">
      <w:pPr>
        <w:spacing w:line="480" w:lineRule="auto"/>
      </w:pPr>
      <w:r>
        <w:t xml:space="preserve">The second virtue the </w:t>
      </w:r>
      <w:r w:rsidR="004A5641" w:rsidRPr="004A5641">
        <w:t xml:space="preserve">Phliasians </w:t>
      </w:r>
      <w:r>
        <w:t xml:space="preserve">is that </w:t>
      </w:r>
      <w:r w:rsidR="00427DE1">
        <w:t>of skill at arms, they fight a series</w:t>
      </w:r>
      <w:r>
        <w:t xml:space="preserve"> of encounters against superior forces as well as against the exiled forces of their own city.</w:t>
      </w:r>
      <w:r>
        <w:rPr>
          <w:rStyle w:val="FootnoteReference"/>
        </w:rPr>
        <w:footnoteReference w:id="61"/>
      </w:r>
      <w:r w:rsidR="00623B70">
        <w:t xml:space="preserve"> Once again we find several literary devices he uses to showcase these feats of arms,</w:t>
      </w:r>
      <w:r w:rsidR="003F44E4">
        <w:rPr>
          <w:rStyle w:val="FootnoteReference"/>
        </w:rPr>
        <w:footnoteReference w:id="62"/>
      </w:r>
      <w:r w:rsidR="00623B70">
        <w:t xml:space="preserve"> and to show the</w:t>
      </w:r>
      <w:r w:rsidR="00053C43">
        <w:t xml:space="preserve"> humiliation of their opponents;</w:t>
      </w:r>
      <w:r w:rsidR="00623B70">
        <w:t xml:space="preserve"> much as the disloyalty of the Helots and </w:t>
      </w:r>
      <w:proofErr w:type="spellStart"/>
      <w:r w:rsidR="00623B70">
        <w:t>Periocoi</w:t>
      </w:r>
      <w:proofErr w:type="spellEnd"/>
      <w:r w:rsidR="00623B70">
        <w:t xml:space="preserve"> is showcased. </w:t>
      </w:r>
      <w:r w:rsidR="005814D1">
        <w:t>The first instance has their cavalry attack the Argive rear-guard and drive them away, they then erect a trophy under the view of the defeated.</w:t>
      </w:r>
      <w:r w:rsidR="005814D1">
        <w:rPr>
          <w:rStyle w:val="FootnoteReference"/>
        </w:rPr>
        <w:footnoteReference w:id="63"/>
      </w:r>
      <w:r w:rsidR="005814D1">
        <w:t xml:space="preserve"> Although th</w:t>
      </w:r>
      <w:r w:rsidR="00FA6218">
        <w:t>is small victory comes after damage to</w:t>
      </w:r>
      <w:r w:rsidR="005814D1">
        <w:t xml:space="preserve"> much of their territory</w:t>
      </w:r>
      <w:r w:rsidR="008C4BB9">
        <w:t>,</w:t>
      </w:r>
      <w:r w:rsidR="005814D1">
        <w:t xml:space="preserve"> it is transformed in </w:t>
      </w:r>
      <w:r w:rsidR="005F7158">
        <w:t>Xenophon’s</w:t>
      </w:r>
      <w:r w:rsidR="005814D1">
        <w:t xml:space="preserve"> wo</w:t>
      </w:r>
      <w:r w:rsidR="005F7158">
        <w:t>rk into a symbol of resistance</w:t>
      </w:r>
      <w:r w:rsidR="005B3EAD">
        <w:t>. The second fea</w:t>
      </w:r>
      <w:r w:rsidR="00FA3ABA">
        <w:t>t is the resisting of a coup attempt of their exiles</w:t>
      </w:r>
      <w:r w:rsidR="004A5113">
        <w:t>,</w:t>
      </w:r>
      <w:r w:rsidR="00FA3ABA">
        <w:t xml:space="preserve"> supported by the Argives and Arcadians. This action is described in vivid detail, if only Xenophon had chosen to give us this for other battles, this does however lend credence to the argument that his main focus is on philosophy, as these are some of his most well described military encounters.</w:t>
      </w:r>
      <w:r w:rsidR="00981F7F">
        <w:rPr>
          <w:rStyle w:val="FootnoteReference"/>
        </w:rPr>
        <w:footnoteReference w:id="64"/>
      </w:r>
      <w:r w:rsidR="00BC6095">
        <w:t xml:space="preserve"> Their walls even come under threat</w:t>
      </w:r>
      <w:r w:rsidR="00507170">
        <w:t>,</w:t>
      </w:r>
      <w:r w:rsidR="00BC6095">
        <w:t xml:space="preserve"> but they push the enemy away, kill many of them, and once again send the cavalry out to drive them off in a final humiliation.</w:t>
      </w:r>
      <w:r w:rsidR="00FA3ABA">
        <w:t xml:space="preserve"> </w:t>
      </w:r>
      <w:r w:rsidR="00BC6095">
        <w:t>The city comes together to celebrate, bo</w:t>
      </w:r>
      <w:r w:rsidR="00C46246">
        <w:t xml:space="preserve">th its men and its woman, and a reference </w:t>
      </w:r>
      <w:r w:rsidR="00BC6095">
        <w:t xml:space="preserve">to the </w:t>
      </w:r>
      <w:r w:rsidR="00BC6095" w:rsidRPr="00C46246">
        <w:rPr>
          <w:i/>
        </w:rPr>
        <w:t>Iliad</w:t>
      </w:r>
      <w:r w:rsidR="00BC6095">
        <w:t xml:space="preserve"> is</w:t>
      </w:r>
      <w:r w:rsidR="00A75EB6">
        <w:t xml:space="preserve"> possibly</w:t>
      </w:r>
      <w:r w:rsidR="00BC6095">
        <w:t xml:space="preserve"> made.</w:t>
      </w:r>
      <w:r w:rsidR="00981F7F">
        <w:rPr>
          <w:rStyle w:val="FootnoteReference"/>
        </w:rPr>
        <w:footnoteReference w:id="65"/>
      </w:r>
      <w:r w:rsidR="00BC6095">
        <w:t xml:space="preserve"> </w:t>
      </w:r>
      <w:r w:rsidR="0054723B" w:rsidRPr="00B73F49">
        <w:t xml:space="preserve">The comparison to Hector and </w:t>
      </w:r>
      <w:proofErr w:type="spellStart"/>
      <w:r w:rsidR="0054723B" w:rsidRPr="00B73F49">
        <w:t>Andromachae</w:t>
      </w:r>
      <w:proofErr w:type="spellEnd"/>
      <w:r w:rsidR="0054723B" w:rsidRPr="00B73F49">
        <w:t xml:space="preserve"> is apt for themes of martial prowess and integrity, as well as wives almost at the ramparts, but not transgressing their traditional position.</w:t>
      </w:r>
      <w:r w:rsidR="0054723B" w:rsidRPr="00B73F49">
        <w:rPr>
          <w:rStyle w:val="FootnoteReference"/>
        </w:rPr>
        <w:footnoteReference w:id="66"/>
      </w:r>
      <w:r w:rsidR="0054723B">
        <w:t xml:space="preserve"> </w:t>
      </w:r>
      <w:r w:rsidR="00B73F49">
        <w:t xml:space="preserve">The echoes of Homer can be heard loudly in this section, honour and strength in the face of great adversity are the parallels. </w:t>
      </w:r>
    </w:p>
    <w:p w:rsidR="00FD25C4" w:rsidRDefault="00737201" w:rsidP="001E61CE">
      <w:pPr>
        <w:spacing w:line="480" w:lineRule="auto"/>
      </w:pPr>
      <w:r>
        <w:t>They are invaded again, but, in stark contrast to the first time, they drive the enemy back before large scale economic damage can occur. Indeed</w:t>
      </w:r>
      <w:r w:rsidR="00DD4F6C">
        <w:t>,</w:t>
      </w:r>
      <w:r>
        <w:t xml:space="preserve"> they are forced to march back without trampling </w:t>
      </w:r>
      <w:r>
        <w:lastRenderedPageBreak/>
        <w:t xml:space="preserve">the corn as the </w:t>
      </w:r>
      <w:r w:rsidR="00C341B3" w:rsidRPr="00C341B3">
        <w:t>Phliasians</w:t>
      </w:r>
      <w:r>
        <w:t xml:space="preserve"> erect another trophy.</w:t>
      </w:r>
      <w:r>
        <w:rPr>
          <w:rStyle w:val="FootnoteReference"/>
        </w:rPr>
        <w:footnoteReference w:id="67"/>
      </w:r>
      <w:r>
        <w:t xml:space="preserve"> However, even Xenophon must mention that the Atheni</w:t>
      </w:r>
      <w:r w:rsidR="000F41A6">
        <w:t>ans came to their aid here, the</w:t>
      </w:r>
      <w:r>
        <w:t xml:space="preserve"> extent to which the </w:t>
      </w:r>
      <w:r w:rsidR="00C341B3" w:rsidRPr="00C341B3">
        <w:t>Phliasians</w:t>
      </w:r>
      <w:r>
        <w:t xml:space="preserve"> won their o</w:t>
      </w:r>
      <w:r w:rsidR="00DD4F6C">
        <w:t>wn victory is unanswerable, tellingly</w:t>
      </w:r>
      <w:r>
        <w:t xml:space="preserve"> Xenophon gives almost no detail to this battle, but when they stood alone in their city, he lavished detail upon the scene. </w:t>
      </w:r>
    </w:p>
    <w:p w:rsidR="00960177" w:rsidRDefault="00FD04AC" w:rsidP="001E61CE">
      <w:pPr>
        <w:spacing w:line="480" w:lineRule="auto"/>
      </w:pPr>
      <w:r>
        <w:t xml:space="preserve">The final proof of </w:t>
      </w:r>
      <w:r w:rsidR="006D0B19">
        <w:t>Xenophon’s</w:t>
      </w:r>
      <w:r>
        <w:t xml:space="preserve"> praising the </w:t>
      </w:r>
      <w:r w:rsidR="00C341B3" w:rsidRPr="00C341B3">
        <w:t>Phliasians</w:t>
      </w:r>
      <w:r w:rsidR="00FD25C4">
        <w:t>,</w:t>
      </w:r>
      <w:r>
        <w:t xml:space="preserve"> rather than simply recording events</w:t>
      </w:r>
      <w:r w:rsidR="00E24EE3">
        <w:t>,</w:t>
      </w:r>
      <w:r>
        <w:t xml:space="preserve"> is that yet another action is fought, this time they stand alone and once again detail is lavished upon the scene.</w:t>
      </w:r>
      <w:r>
        <w:rPr>
          <w:rStyle w:val="FootnoteReference"/>
        </w:rPr>
        <w:footnoteReference w:id="68"/>
      </w:r>
      <w:r>
        <w:t xml:space="preserve"> This action is</w:t>
      </w:r>
      <w:r w:rsidR="008174AC">
        <w:t xml:space="preserve"> more specifically three, a day-</w:t>
      </w:r>
      <w:r>
        <w:t>long skirmish</w:t>
      </w:r>
      <w:r w:rsidR="006F2B43">
        <w:t>,</w:t>
      </w:r>
      <w:r>
        <w:t xml:space="preserve"> followed by an unsuccessful charge</w:t>
      </w:r>
      <w:r w:rsidR="009C251F">
        <w:t>,</w:t>
      </w:r>
      <w:r>
        <w:t xml:space="preserve"> followed by massed hand</w:t>
      </w:r>
      <w:r w:rsidR="009C251F">
        <w:t>-</w:t>
      </w:r>
      <w:r>
        <w:t>to</w:t>
      </w:r>
      <w:r w:rsidR="009C251F">
        <w:t>-</w:t>
      </w:r>
      <w:r>
        <w:t xml:space="preserve">hand fighting, and the </w:t>
      </w:r>
      <w:r w:rsidR="00C341B3" w:rsidRPr="00C341B3">
        <w:t>Phliasians</w:t>
      </w:r>
      <w:r w:rsidR="000036C4">
        <w:t xml:space="preserve"> are eventually victorious</w:t>
      </w:r>
      <w:r>
        <w:t xml:space="preserve"> after killing and losing many men. </w:t>
      </w:r>
      <w:r w:rsidR="007B3653">
        <w:t>Once again the enemy is forced to look on as a trophy is erected and the paean sung.</w:t>
      </w:r>
      <w:r w:rsidR="007B3653">
        <w:rPr>
          <w:rStyle w:val="FootnoteReference"/>
        </w:rPr>
        <w:footnoteReference w:id="69"/>
      </w:r>
      <w:r w:rsidR="007B3653">
        <w:t xml:space="preserve"> </w:t>
      </w:r>
      <w:r w:rsidR="00562D36">
        <w:t>Finally,</w:t>
      </w:r>
      <w:r w:rsidR="00216185">
        <w:t xml:space="preserve"> they fight an engagement over their supply lines and emerge </w:t>
      </w:r>
      <w:r w:rsidR="001D5F85">
        <w:t>victorious</w:t>
      </w:r>
      <w:r w:rsidR="00216185">
        <w:t>.</w:t>
      </w:r>
      <w:r w:rsidR="00216185">
        <w:rPr>
          <w:rStyle w:val="FootnoteReference"/>
        </w:rPr>
        <w:footnoteReference w:id="70"/>
      </w:r>
      <w:r w:rsidR="00216185">
        <w:t xml:space="preserve"> </w:t>
      </w:r>
      <w:r w:rsidR="006E5EE6">
        <w:t>Not content with securing</w:t>
      </w:r>
      <w:r w:rsidR="001A1FCF">
        <w:t xml:space="preserve"> supplies</w:t>
      </w:r>
      <w:r w:rsidR="006E5EE6">
        <w:t>, with the aid of Chare</w:t>
      </w:r>
      <w:r w:rsidR="001A1FCF">
        <w:t>s</w:t>
      </w:r>
      <w:r w:rsidR="006E5EE6">
        <w:t xml:space="preserve"> the </w:t>
      </w:r>
      <w:r w:rsidR="00C341B3" w:rsidRPr="00C341B3">
        <w:t>Phliasians</w:t>
      </w:r>
      <w:r w:rsidR="006E5EE6">
        <w:t xml:space="preserve"> launch an attack on an enemy outpost currently under construction and take it.</w:t>
      </w:r>
      <w:r w:rsidR="006E5EE6">
        <w:rPr>
          <w:rStyle w:val="FootnoteReference"/>
        </w:rPr>
        <w:footnoteReference w:id="71"/>
      </w:r>
      <w:r w:rsidR="006E5EE6">
        <w:t xml:space="preserve"> More than that</w:t>
      </w:r>
      <w:r w:rsidR="00BB6A8D">
        <w:t>,</w:t>
      </w:r>
      <w:r w:rsidR="006E5EE6">
        <w:t xml:space="preserve"> the enemy flees before a proper engagement can be fought.</w:t>
      </w:r>
      <w:r w:rsidR="006E5EE6">
        <w:rPr>
          <w:rStyle w:val="FootnoteReference"/>
        </w:rPr>
        <w:footnoteReference w:id="72"/>
      </w:r>
      <w:r w:rsidR="006E5EE6">
        <w:t xml:space="preserve"> </w:t>
      </w:r>
      <w:r w:rsidR="007B3653">
        <w:t xml:space="preserve">As can be seen, their </w:t>
      </w:r>
      <w:r w:rsidR="00C77FB4">
        <w:t>feats</w:t>
      </w:r>
      <w:r w:rsidR="007B3653">
        <w:t xml:space="preserve"> of arms form a large part of this section and is a </w:t>
      </w:r>
      <w:r w:rsidR="009A71B9">
        <w:t xml:space="preserve">prominent </w:t>
      </w:r>
      <w:r w:rsidR="007B3653">
        <w:t>theme within it</w:t>
      </w:r>
      <w:r w:rsidR="006D0B19">
        <w:t>, t</w:t>
      </w:r>
      <w:r w:rsidR="00C77FB4">
        <w:t xml:space="preserve">his </w:t>
      </w:r>
      <w:r w:rsidR="006D0B19">
        <w:t xml:space="preserve">of course </w:t>
      </w:r>
      <w:r w:rsidR="00C77FB4">
        <w:t>ties into</w:t>
      </w:r>
      <w:r w:rsidR="006D0B19">
        <w:t xml:space="preserve"> the underdog narrative as well</w:t>
      </w:r>
      <w:r w:rsidR="008D6878">
        <w:t>. One would be hard pressed to call this admiration philosophy of any very complex sort</w:t>
      </w:r>
      <w:r w:rsidR="00F13101">
        <w:t>,</w:t>
      </w:r>
      <w:r w:rsidR="008D6878">
        <w:t xml:space="preserve"> or of a particularly unique sort</w:t>
      </w:r>
      <w:r w:rsidR="00C3142F">
        <w:t>, at least as it stands alone</w:t>
      </w:r>
      <w:r w:rsidR="008D6878">
        <w:t>.</w:t>
      </w:r>
      <w:r w:rsidR="00C3142F">
        <w:t xml:space="preserve"> </w:t>
      </w:r>
      <w:r w:rsidR="00993CB4">
        <w:t>Having said this</w:t>
      </w:r>
      <w:r w:rsidR="00F13101">
        <w:t>,</w:t>
      </w:r>
      <w:r w:rsidR="00993CB4">
        <w:t xml:space="preserve"> skill at arms is a virtue well known in the Greek world, and an intertextuality to the </w:t>
      </w:r>
      <w:r w:rsidR="00993CB4" w:rsidRPr="00A319CB">
        <w:rPr>
          <w:i/>
        </w:rPr>
        <w:t>Iliad</w:t>
      </w:r>
      <w:r w:rsidR="00993CB4">
        <w:t xml:space="preserve"> creates a story of the </w:t>
      </w:r>
      <w:r w:rsidR="00C341B3" w:rsidRPr="00C341B3">
        <w:t>Phliasians</w:t>
      </w:r>
      <w:r w:rsidR="00993CB4">
        <w:t xml:space="preserve"> as the Trojans, but they go one better and emerge victorious. There is a deeper me</w:t>
      </w:r>
      <w:r w:rsidR="0010642B">
        <w:t>ssage in much of this section,</w:t>
      </w:r>
      <w:r w:rsidR="00993CB4">
        <w:t xml:space="preserve"> </w:t>
      </w:r>
      <w:r w:rsidR="00C3142F">
        <w:t xml:space="preserve">and this point shall be returned to in due time. </w:t>
      </w:r>
    </w:p>
    <w:p w:rsidR="00FE66AF" w:rsidRDefault="00FE66AF" w:rsidP="001E61CE">
      <w:pPr>
        <w:spacing w:line="480" w:lineRule="auto"/>
      </w:pPr>
      <w:r>
        <w:t>T</w:t>
      </w:r>
      <w:r w:rsidR="00437BAF">
        <w:t>he next virtue is that of Mercy:</w:t>
      </w:r>
      <w:r>
        <w:t xml:space="preserve"> </w:t>
      </w:r>
    </w:p>
    <w:p w:rsidR="00FE66AF" w:rsidRPr="00C81E64" w:rsidRDefault="00FE66AF" w:rsidP="001E61CE">
      <w:pPr>
        <w:spacing w:line="480" w:lineRule="auto"/>
        <w:ind w:left="720" w:right="737"/>
      </w:pPr>
      <w:r w:rsidRPr="00C81E64">
        <w:lastRenderedPageBreak/>
        <w:t xml:space="preserve">“Another noble deed which the Phliasians performed was this: when they had made a prisoner of </w:t>
      </w:r>
      <w:proofErr w:type="spellStart"/>
      <w:r w:rsidRPr="00C81E64">
        <w:t>Proxenus</w:t>
      </w:r>
      <w:proofErr w:type="spellEnd"/>
      <w:r w:rsidRPr="00C81E64">
        <w:t xml:space="preserve">, the </w:t>
      </w:r>
      <w:proofErr w:type="spellStart"/>
      <w:r w:rsidRPr="00C81E64">
        <w:t>Pellenean</w:t>
      </w:r>
      <w:proofErr w:type="spellEnd"/>
      <w:r w:rsidRPr="00C81E64">
        <w:t>, even though they were in want of everything, they let him go without a ransom. How could one help saying that men who performed such deeds were noble and valiant?”</w:t>
      </w:r>
      <w:r w:rsidRPr="00C81E64">
        <w:rPr>
          <w:rStyle w:val="FootnoteReference"/>
        </w:rPr>
        <w:footnoteReference w:id="73"/>
      </w:r>
    </w:p>
    <w:p w:rsidR="00FE66AF" w:rsidRPr="00FE66AF" w:rsidRDefault="00FE66AF" w:rsidP="001E61CE">
      <w:pPr>
        <w:spacing w:line="480" w:lineRule="auto"/>
      </w:pPr>
      <w:r>
        <w:t>This virtue, mu</w:t>
      </w:r>
      <w:r w:rsidR="00BE6861">
        <w:t>ch like l</w:t>
      </w:r>
      <w:r>
        <w:t>oyalty, was a rare commodity in the Greek world at this time, we have manifold instanc</w:t>
      </w:r>
      <w:r w:rsidR="00E04277">
        <w:t>es of captives and opponents being</w:t>
      </w:r>
      <w:r>
        <w:t xml:space="preserve"> killed outright,</w:t>
      </w:r>
      <w:r w:rsidR="00691BD8">
        <w:rPr>
          <w:rStyle w:val="FootnoteReference"/>
        </w:rPr>
        <w:footnoteReference w:id="74"/>
      </w:r>
      <w:r>
        <w:t xml:space="preserve"> and yet here one is released without even a ransom being paid.</w:t>
      </w:r>
      <w:r w:rsidR="00691BD8">
        <w:t xml:space="preserve"> Xenophon even emphasis this </w:t>
      </w:r>
      <w:r w:rsidR="00DF420B">
        <w:t>virtue</w:t>
      </w:r>
      <w:r w:rsidR="005F2FA2">
        <w:t>’</w:t>
      </w:r>
      <w:r w:rsidR="00DF420B">
        <w:t>s</w:t>
      </w:r>
      <w:r w:rsidR="00691BD8">
        <w:t xml:space="preserve"> action, if it did not already stand on its own merit, that the </w:t>
      </w:r>
      <w:r w:rsidR="00C341B3" w:rsidRPr="00C341B3">
        <w:t>Phliasians</w:t>
      </w:r>
      <w:r w:rsidR="00691BD8">
        <w:t xml:space="preserve"> were in </w:t>
      </w:r>
      <w:r w:rsidR="009F5A74">
        <w:t xml:space="preserve">a state of crisis </w:t>
      </w:r>
      <w:r w:rsidR="00691BD8">
        <w:t>and could surely have used the funds</w:t>
      </w:r>
      <w:r w:rsidR="00DF420B">
        <w:t xml:space="preserve"> a ransom would have provided</w:t>
      </w:r>
      <w:r w:rsidR="00691BD8">
        <w:t>.</w:t>
      </w:r>
      <w:r w:rsidR="00DF420B">
        <w:t xml:space="preserve"> </w:t>
      </w:r>
    </w:p>
    <w:p w:rsidR="002E613D" w:rsidRDefault="005F2AA4" w:rsidP="001E61CE">
      <w:pPr>
        <w:spacing w:line="480" w:lineRule="auto"/>
      </w:pPr>
      <w:r>
        <w:t>Another virtue brought up throughout the passage is their ability to bear hardship,</w:t>
      </w:r>
      <w:r w:rsidR="00BD273D">
        <w:rPr>
          <w:rStyle w:val="FootnoteReference"/>
        </w:rPr>
        <w:footnoteReference w:id="75"/>
      </w:r>
      <w:r>
        <w:t xml:space="preserve"> one might call this a stereotypically Spartan virtue</w:t>
      </w:r>
      <w:r w:rsidR="00E45B58">
        <w:t>,</w:t>
      </w:r>
      <w:r w:rsidR="0007749D">
        <w:rPr>
          <w:rStyle w:val="FootnoteReference"/>
        </w:rPr>
        <w:footnoteReference w:id="76"/>
      </w:r>
      <w:r>
        <w:t xml:space="preserve"> and so </w:t>
      </w:r>
      <w:r w:rsidR="0007749D">
        <w:t>it is</w:t>
      </w:r>
      <w:r>
        <w:t xml:space="preserve"> no surprise to find it in this passage.</w:t>
      </w:r>
      <w:r w:rsidR="00BC514F">
        <w:t xml:space="preserve"> This has been argued</w:t>
      </w:r>
      <w:r w:rsidR="00FF4832">
        <w:t xml:space="preserve"> to be the most important of</w:t>
      </w:r>
      <w:r w:rsidR="00BC514F">
        <w:t xml:space="preserve"> their virtues to Xenophon,</w:t>
      </w:r>
      <w:r w:rsidR="00BC514F">
        <w:rPr>
          <w:rStyle w:val="FootnoteReference"/>
        </w:rPr>
        <w:footnoteReference w:id="77"/>
      </w:r>
      <w:r>
        <w:t xml:space="preserve"> </w:t>
      </w:r>
      <w:r w:rsidR="00FF4832">
        <w:t xml:space="preserve">and it certainly appears that their other virtues do often relate back to this theme. </w:t>
      </w:r>
      <w:r w:rsidR="0007749D">
        <w:t>The two major hardships they are lauded for baring is an erratic food supply and the pressure of their opponents.</w:t>
      </w:r>
      <w:r w:rsidR="0007749D">
        <w:rPr>
          <w:rStyle w:val="FootnoteReference"/>
        </w:rPr>
        <w:footnoteReference w:id="78"/>
      </w:r>
      <w:r w:rsidR="0007749D">
        <w:t xml:space="preserve"> We have already examined how the latter is overcome</w:t>
      </w:r>
      <w:r w:rsidR="00E44B1C">
        <w:t>,</w:t>
      </w:r>
      <w:r w:rsidR="0007749D">
        <w:t xml:space="preserve"> but the former occurs a few times in the section as a theme. </w:t>
      </w:r>
      <w:r w:rsidR="00216185">
        <w:t>The first time this theme is discussed is ri</w:t>
      </w:r>
      <w:r w:rsidR="00E44B1C">
        <w:t>ght at the start of the section;</w:t>
      </w:r>
      <w:r w:rsidR="00216185">
        <w:t xml:space="preserve"> although few details are given</w:t>
      </w:r>
      <w:r w:rsidR="007C07E6">
        <w:t>, but</w:t>
      </w:r>
      <w:r w:rsidR="00216185">
        <w:t xml:space="preserve"> we are told the situation was dire.</w:t>
      </w:r>
      <w:r w:rsidR="00216185">
        <w:rPr>
          <w:rStyle w:val="FootnoteReference"/>
        </w:rPr>
        <w:footnoteReference w:id="79"/>
      </w:r>
      <w:r w:rsidR="00216185">
        <w:t xml:space="preserve"> The second time this occurs as a theme is when their crops are destroyed in an invasion.</w:t>
      </w:r>
      <w:r w:rsidR="00216185">
        <w:rPr>
          <w:rStyle w:val="FootnoteReference"/>
        </w:rPr>
        <w:footnoteReference w:id="80"/>
      </w:r>
      <w:r w:rsidR="00216185">
        <w:t xml:space="preserve"> However, much like some of the military victories, this theme is given a sizable sub section</w:t>
      </w:r>
      <w:r w:rsidR="002F2049">
        <w:t xml:space="preserve"> </w:t>
      </w:r>
      <w:r w:rsidR="00216185">
        <w:t xml:space="preserve">by Xenophon detailing the effort required to keep open a supply line. </w:t>
      </w:r>
    </w:p>
    <w:p w:rsidR="002F2049" w:rsidRPr="00C81E64" w:rsidRDefault="002F2049" w:rsidP="001E61CE">
      <w:pPr>
        <w:spacing w:line="480" w:lineRule="auto"/>
        <w:ind w:left="720" w:right="737"/>
        <w:jc w:val="both"/>
      </w:pPr>
      <w:r w:rsidRPr="00C81E64">
        <w:lastRenderedPageBreak/>
        <w:t>“Furthermore, that it was only by stout endurance that they maintained their fidelity to their friends is clearly manifest; for when they were shut off from the products of their land, they lived partly by what they could get from the enemy's territory, and partly by buying from Corinth; they went to the market through the midst of many dangers, with difficulty provided the price of supplies, with difficulty brought through the enemy's lines the people who fetched these supplies, and were hard put to it to find men who would guarantee the safety of the beasts of burden which were to convey them.”</w:t>
      </w:r>
      <w:r w:rsidRPr="00C81E64">
        <w:rPr>
          <w:rStyle w:val="FootnoteReference"/>
        </w:rPr>
        <w:footnoteReference w:id="81"/>
      </w:r>
    </w:p>
    <w:p w:rsidR="002F2049" w:rsidRDefault="002F2049" w:rsidP="001E61CE">
      <w:pPr>
        <w:spacing w:line="480" w:lineRule="auto"/>
      </w:pPr>
      <w:r>
        <w:t xml:space="preserve">This </w:t>
      </w:r>
      <w:r w:rsidR="0046503D">
        <w:t>in turn leads to a man named Chares, an Athenian comm</w:t>
      </w:r>
      <w:r w:rsidR="0046503D" w:rsidRPr="00151E29">
        <w:t>ander</w:t>
      </w:r>
      <w:r w:rsidR="000640AC">
        <w:t>,</w:t>
      </w:r>
      <w:r w:rsidR="0046503D">
        <w:rPr>
          <w:rStyle w:val="FootnoteReference"/>
        </w:rPr>
        <w:footnoteReference w:id="82"/>
      </w:r>
      <w:r w:rsidR="0046503D">
        <w:t xml:space="preserve"> being sent to help with this endeavour</w:t>
      </w:r>
      <w:r w:rsidR="00DB2761">
        <w:t xml:space="preserve">, </w:t>
      </w:r>
      <w:r w:rsidR="0046503D">
        <w:t xml:space="preserve">presumably with some men, but Athenian assistance is </w:t>
      </w:r>
      <w:r w:rsidR="00DB2761">
        <w:t>never</w:t>
      </w:r>
      <w:r w:rsidR="0046503D">
        <w:t xml:space="preserve"> </w:t>
      </w:r>
      <w:r w:rsidR="00DB2761">
        <w:t>dwelt on</w:t>
      </w:r>
      <w:r w:rsidR="0046503D">
        <w:t xml:space="preserve"> </w:t>
      </w:r>
      <w:r w:rsidR="00DB2761">
        <w:t>and Xenophon</w:t>
      </w:r>
      <w:r w:rsidR="0046503D">
        <w:t xml:space="preserve"> </w:t>
      </w:r>
      <w:r w:rsidR="00DB2761">
        <w:t>goes back to his usual focus on the individual</w:t>
      </w:r>
      <w:r w:rsidR="000C3C0D">
        <w:t xml:space="preserve"> Chares and the </w:t>
      </w:r>
      <w:r w:rsidR="00C341B3" w:rsidRPr="00C341B3">
        <w:t>Phliasians</w:t>
      </w:r>
      <w:r w:rsidR="00DB2761">
        <w:t>.</w:t>
      </w:r>
      <w:r w:rsidR="00DB2761">
        <w:rPr>
          <w:rStyle w:val="FootnoteReference"/>
        </w:rPr>
        <w:footnoteReference w:id="83"/>
      </w:r>
      <w:r w:rsidR="00480582">
        <w:t xml:space="preserve"> Not only do they fight an engagement and get the supplies back safely, </w:t>
      </w:r>
      <w:r w:rsidR="006B4F56">
        <w:t xml:space="preserve">but </w:t>
      </w:r>
      <w:r w:rsidR="00480582">
        <w:t xml:space="preserve">Chares and the </w:t>
      </w:r>
      <w:r w:rsidR="00C341B3" w:rsidRPr="00C341B3">
        <w:t>Phliasians</w:t>
      </w:r>
      <w:r w:rsidR="00480582">
        <w:t xml:space="preserve"> take the war to their enemy and go on the offensive, showing that they are not content merely to survive</w:t>
      </w:r>
      <w:r w:rsidR="00A239DA">
        <w:t>,</w:t>
      </w:r>
      <w:r w:rsidR="00480582">
        <w:t xml:space="preserve"> but wish to thrive, and will not let winning their supplies be an end in itself.</w:t>
      </w:r>
      <w:r w:rsidR="00480582">
        <w:rPr>
          <w:rStyle w:val="FootnoteReference"/>
        </w:rPr>
        <w:footnoteReference w:id="84"/>
      </w:r>
      <w:r w:rsidR="00480582">
        <w:t xml:space="preserve"> It is of course important to compare the actions of the </w:t>
      </w:r>
      <w:r w:rsidR="00C341B3" w:rsidRPr="00C341B3">
        <w:t>Phliasians</w:t>
      </w:r>
      <w:r w:rsidR="00480582">
        <w:t xml:space="preserve"> to other Greek cities that had food supply issues. In many cases these supply issues were enough to cause the city to surrender or seek peace terms.</w:t>
      </w:r>
      <w:r w:rsidR="00480582">
        <w:rPr>
          <w:rStyle w:val="FootnoteReference"/>
        </w:rPr>
        <w:footnoteReference w:id="85"/>
      </w:r>
      <w:r w:rsidR="00480582">
        <w:t xml:space="preserve"> It is therefore quite notable that the same does not occur here, and Xenophon must be contrasting their hardiness with other cities who had been in the same position. Although it must be said, the siege on their supplies was clearly not as total as many in the wars of the classical period.</w:t>
      </w:r>
      <w:r w:rsidR="00480582">
        <w:rPr>
          <w:rStyle w:val="FootnoteReference"/>
        </w:rPr>
        <w:footnoteReference w:id="86"/>
      </w:r>
      <w:r w:rsidR="00480582">
        <w:t xml:space="preserve"> </w:t>
      </w:r>
      <w:r w:rsidR="008D5EC4">
        <w:t xml:space="preserve">This was not however the </w:t>
      </w:r>
      <w:r w:rsidR="008F34DA">
        <w:t>first</w:t>
      </w:r>
      <w:r w:rsidR="008D5EC4">
        <w:t xml:space="preserve"> time Xenophon praised them for their hardiness in this respect. </w:t>
      </w:r>
    </w:p>
    <w:p w:rsidR="008D5EC4" w:rsidRPr="000C7755" w:rsidRDefault="008D5EC4" w:rsidP="001E61CE">
      <w:pPr>
        <w:spacing w:line="480" w:lineRule="auto"/>
        <w:ind w:left="720" w:right="737"/>
      </w:pPr>
      <w:r w:rsidRPr="000C7755">
        <w:t xml:space="preserve">“Agesilaus had already gone beyond the time for which the food-supply in </w:t>
      </w:r>
      <w:proofErr w:type="spellStart"/>
      <w:r w:rsidRPr="000C7755">
        <w:t>Phlius</w:t>
      </w:r>
      <w:proofErr w:type="spellEnd"/>
      <w:r w:rsidRPr="000C7755">
        <w:t xml:space="preserve"> was said to suffice; for self-restraint in appetite differs so much from unrestrained </w:t>
      </w:r>
      <w:r w:rsidRPr="000C7755">
        <w:lastRenderedPageBreak/>
        <w:t>indulgence that the Phliasians, by voting to consume half as much food as before and carrying out this decision, held out under siege for twice as long a time as was to have been expected.”</w:t>
      </w:r>
      <w:r w:rsidRPr="000C7755">
        <w:rPr>
          <w:rStyle w:val="FootnoteReference"/>
        </w:rPr>
        <w:footnoteReference w:id="87"/>
      </w:r>
    </w:p>
    <w:p w:rsidR="00081D90" w:rsidRPr="002F2049" w:rsidRDefault="00081D90" w:rsidP="001E61CE">
      <w:pPr>
        <w:spacing w:line="480" w:lineRule="auto"/>
      </w:pPr>
      <w:r>
        <w:t>We must re</w:t>
      </w:r>
      <w:r w:rsidR="00B2635C">
        <w:t>turn now to the episode of the e</w:t>
      </w:r>
      <w:r>
        <w:t xml:space="preserve">xiles and their allies attempting to seize the city by force, and the symbols Xenophon uses to express meaning in this passage beyond highlighting their skill at arms. </w:t>
      </w:r>
      <w:r w:rsidR="00706349">
        <w:t>I</w:t>
      </w:r>
      <w:r w:rsidR="005F53B7">
        <w:t>ndeed throughout the passage there are no political or military disagreements amongst them, in sharp contrast to other states,</w:t>
      </w:r>
      <w:r w:rsidR="005F53B7">
        <w:rPr>
          <w:rStyle w:val="FootnoteReference"/>
        </w:rPr>
        <w:footnoteReference w:id="88"/>
      </w:r>
      <w:r w:rsidR="005F53B7">
        <w:t xml:space="preserve"> although we cannot assume this to be accurate.</w:t>
      </w:r>
      <w:r w:rsidR="003A46AC">
        <w:t xml:space="preserve"> The unity of the city and its resistance to stasis is a subtle theme in this section, but it is nevertheless present.</w:t>
      </w:r>
      <w:r w:rsidR="001D7436">
        <w:rPr>
          <w:rStyle w:val="FootnoteReference"/>
        </w:rPr>
        <w:footnoteReference w:id="89"/>
      </w:r>
      <w:r w:rsidR="003A46AC">
        <w:t xml:space="preserve"> </w:t>
      </w:r>
      <w:r w:rsidR="00706349">
        <w:t>The men and woman of the city come together and act as one,</w:t>
      </w:r>
      <w:r w:rsidR="00706349">
        <w:rPr>
          <w:rStyle w:val="FootnoteReference"/>
        </w:rPr>
        <w:footnoteReference w:id="90"/>
      </w:r>
      <w:r w:rsidR="00706349">
        <w:t xml:space="preserve"> each performing their jobs perfectly as far as Xenophon seems to be concerned, no roof tiles being thrown by the woman</w:t>
      </w:r>
      <w:r w:rsidR="00213824">
        <w:t>,</w:t>
      </w:r>
      <w:r w:rsidR="00706349">
        <w:t xml:space="preserve"> and the men behaving valiantly, again in stark contrast to what we see in other parts of Xenophon and Thucydides.</w:t>
      </w:r>
      <w:r w:rsidR="00706349">
        <w:rPr>
          <w:rStyle w:val="FootnoteReference"/>
        </w:rPr>
        <w:footnoteReference w:id="91"/>
      </w:r>
      <w:r w:rsidR="0086155C">
        <w:t xml:space="preserve"> Through what is in essence a battle in a civil war, Xenophon draws a picture of unity and makes citizens killing citizens a virtue</w:t>
      </w:r>
      <w:r w:rsidR="0029084C">
        <w:t xml:space="preserve"> amidst the stasis.</w:t>
      </w:r>
    </w:p>
    <w:p w:rsidR="00C67747" w:rsidRDefault="00083FC9" w:rsidP="001E61CE">
      <w:pPr>
        <w:spacing w:line="480" w:lineRule="auto"/>
      </w:pPr>
      <w:r>
        <w:t>The final theme in this section is the relative size and strength of</w:t>
      </w:r>
      <w:r w:rsidRPr="00083FC9">
        <w:t xml:space="preserve"> </w:t>
      </w:r>
      <w:proofErr w:type="spellStart"/>
      <w:r w:rsidRPr="00083FC9">
        <w:t>Phlius</w:t>
      </w:r>
      <w:proofErr w:type="spellEnd"/>
      <w:r>
        <w:t xml:space="preserve">. This theme accentuates all the others and in it lies a profound refutation </w:t>
      </w:r>
      <w:r w:rsidR="00871689">
        <w:t>of</w:t>
      </w:r>
      <w:r w:rsidR="00BD4F3B">
        <w:t xml:space="preserve"> “</w:t>
      </w:r>
      <w:r w:rsidR="00BD4F3B" w:rsidRPr="00BD4F3B">
        <w:t>the strong do what they can and the weak suffer what they must</w:t>
      </w:r>
      <w:r w:rsidR="00BD4F3B">
        <w:t>”</w:t>
      </w:r>
      <w:r>
        <w:t>.</w:t>
      </w:r>
      <w:r>
        <w:rPr>
          <w:rStyle w:val="FootnoteReference"/>
        </w:rPr>
        <w:footnoteReference w:id="92"/>
      </w:r>
      <w:r w:rsidR="006217C3">
        <w:t xml:space="preserve"> Furthermore</w:t>
      </w:r>
      <w:r w:rsidR="00C46CA5">
        <w:t>,</w:t>
      </w:r>
      <w:r w:rsidR="006217C3">
        <w:t xml:space="preserve"> it confirms his philosophical purpose, the events of the section are notable because of the virtue displayed by such a small</w:t>
      </w:r>
      <w:r w:rsidR="0091534A">
        <w:t xml:space="preserve"> (or perhaps not so small)</w:t>
      </w:r>
      <w:r w:rsidR="006217C3">
        <w:t xml:space="preserve"> state.</w:t>
      </w:r>
      <w:r w:rsidR="0091534A">
        <w:rPr>
          <w:rStyle w:val="FootnoteReference"/>
        </w:rPr>
        <w:footnoteReference w:id="93"/>
      </w:r>
    </w:p>
    <w:p w:rsidR="001A2862" w:rsidRPr="00C81E64" w:rsidRDefault="00C67747" w:rsidP="001E61CE">
      <w:pPr>
        <w:spacing w:line="480" w:lineRule="auto"/>
        <w:ind w:left="720" w:right="737"/>
        <w:jc w:val="both"/>
      </w:pPr>
      <w:r w:rsidRPr="00C81E64">
        <w:t>“While all the historians make mention of the large states if they have performed any noble achievement, it seems to me that if a state which is small has accomplished many noble deeds, it is even more fitting to set them forth.”</w:t>
      </w:r>
      <w:r w:rsidRPr="00C81E64">
        <w:rPr>
          <w:rStyle w:val="FootnoteReference"/>
        </w:rPr>
        <w:footnoteReference w:id="94"/>
      </w:r>
    </w:p>
    <w:p w:rsidR="000561AF" w:rsidRDefault="001A2862" w:rsidP="001E61CE">
      <w:pPr>
        <w:spacing w:line="480" w:lineRule="auto"/>
      </w:pPr>
      <w:r>
        <w:lastRenderedPageBreak/>
        <w:t>Indeed</w:t>
      </w:r>
      <w:r w:rsidR="004E0B69">
        <w:t>,</w:t>
      </w:r>
      <w:r>
        <w:t xml:space="preserve"> states far more powerful than them will attempt to destroy them, and fail.</w:t>
      </w:r>
      <w:r>
        <w:rPr>
          <w:rStyle w:val="FootnoteReference"/>
        </w:rPr>
        <w:footnoteReference w:id="95"/>
      </w:r>
      <w:r w:rsidR="00AF6A46">
        <w:t xml:space="preserve"> Xenophon explains this through the virtues of the </w:t>
      </w:r>
      <w:r w:rsidR="00C341B3" w:rsidRPr="00C341B3">
        <w:t>Phliasians</w:t>
      </w:r>
      <w:r w:rsidR="00AF6A46">
        <w:t>, without that virtue, they surely would have been destroyed</w:t>
      </w:r>
      <w:r w:rsidR="00CF6060">
        <w:t>. It is their willingness to face danger and their indomitable spirit that, at least according to Xenophon, l</w:t>
      </w:r>
      <w:r w:rsidR="0029084C">
        <w:t xml:space="preserve">eads them through their ordeals, not raw military power. </w:t>
      </w:r>
    </w:p>
    <w:p w:rsidR="00ED49B6" w:rsidRDefault="00717EBA" w:rsidP="001E61CE">
      <w:pPr>
        <w:spacing w:line="480" w:lineRule="auto"/>
      </w:pPr>
      <w:r>
        <w:t xml:space="preserve"> One further point must be mad</w:t>
      </w:r>
      <w:r w:rsidR="0078605A">
        <w:t>e here, his reference to other H</w:t>
      </w:r>
      <w:r>
        <w:t xml:space="preserve">istorians suggests this chapter will be one with intertextuality, of which </w:t>
      </w:r>
      <w:r w:rsidR="00D50C0B">
        <w:t>Thucydides</w:t>
      </w:r>
      <w:r>
        <w:t xml:space="preserve"> should be foremost in our minds.</w:t>
      </w:r>
      <w:r>
        <w:rPr>
          <w:rStyle w:val="FootnoteReference"/>
        </w:rPr>
        <w:footnoteReference w:id="96"/>
      </w:r>
      <w:r w:rsidR="00CF6060">
        <w:t xml:space="preserve"> </w:t>
      </w:r>
      <w:r w:rsidR="00C06B22">
        <w:t xml:space="preserve">The first virtue of loyalty is particularly commendable because of the polity’s small stature </w:t>
      </w:r>
      <w:r w:rsidR="000E3A4D">
        <w:t>due to</w:t>
      </w:r>
      <w:r w:rsidR="00C06B22">
        <w:t xml:space="preserve"> the great tradition </w:t>
      </w:r>
      <w:r w:rsidR="00666A58">
        <w:t>of</w:t>
      </w:r>
      <w:r w:rsidR="00C06B22">
        <w:t xml:space="preserve"> city’s changing sides</w:t>
      </w:r>
      <w:r w:rsidR="00C56B31">
        <w:t>,</w:t>
      </w:r>
      <w:r w:rsidR="00666A58">
        <w:t xml:space="preserve"> or rebelling</w:t>
      </w:r>
      <w:r w:rsidR="00C06B22">
        <w:t xml:space="preserve"> in order to seek advantage and protect themselves</w:t>
      </w:r>
      <w:r w:rsidR="00666A58">
        <w:t xml:space="preserve">, especially at a time of their </w:t>
      </w:r>
      <w:r w:rsidR="00383315">
        <w:t>overlord’s</w:t>
      </w:r>
      <w:r w:rsidR="00666A58">
        <w:t xml:space="preserve"> weakness</w:t>
      </w:r>
      <w:r w:rsidR="00C06B22">
        <w:t>.</w:t>
      </w:r>
      <w:r w:rsidR="00C06B22">
        <w:rPr>
          <w:rStyle w:val="FootnoteReference"/>
        </w:rPr>
        <w:footnoteReference w:id="97"/>
      </w:r>
      <w:r w:rsidR="00C06B22">
        <w:t xml:space="preserve"> Larger cities could strike out on their own with less fear, smaller </w:t>
      </w:r>
      <w:r w:rsidR="00666A58">
        <w:t>cities</w:t>
      </w:r>
      <w:r w:rsidR="00C06B22">
        <w:t xml:space="preserve"> were fairly often destroyed</w:t>
      </w:r>
      <w:r w:rsidR="0071595C">
        <w:t xml:space="preserve"> or conquered</w:t>
      </w:r>
      <w:r w:rsidR="00C06B22">
        <w:t xml:space="preserve"> for making the wrong alliance or rebellion.</w:t>
      </w:r>
      <w:r w:rsidR="00C06B22">
        <w:rPr>
          <w:rStyle w:val="FootnoteReference"/>
        </w:rPr>
        <w:footnoteReference w:id="98"/>
      </w:r>
      <w:r w:rsidR="00C06B22">
        <w:t xml:space="preserve"> Ergo, with this context in mind, the </w:t>
      </w:r>
      <w:r w:rsidR="00D50C0B">
        <w:t>city’s</w:t>
      </w:r>
      <w:r w:rsidR="00C06B22">
        <w:t xml:space="preserve"> size emphasis the virtue of loyalty. </w:t>
      </w:r>
      <w:r w:rsidR="000562D3">
        <w:t xml:space="preserve">Feats of arms are accentuated in the simplest way by the </w:t>
      </w:r>
      <w:r w:rsidR="00C56B31">
        <w:t>‘</w:t>
      </w:r>
      <w:r w:rsidR="000562D3">
        <w:t>David against Goliath</w:t>
      </w:r>
      <w:r w:rsidR="00C56B31">
        <w:t>’</w:t>
      </w:r>
      <w:r w:rsidR="000562D3">
        <w:t xml:space="preserve"> nature of the conflict, this is not complex and does not need dwelling on except in relation to Thucydides. </w:t>
      </w:r>
      <w:r w:rsidR="00037BF2">
        <w:t>Their ability to bear hardship is made more notable for their size, but also their</w:t>
      </w:r>
      <w:r w:rsidR="000D1BC4">
        <w:t xml:space="preserve"> position;</w:t>
      </w:r>
      <w:r w:rsidR="00037BF2">
        <w:t xml:space="preserve"> they are landlocked with no port, making food imports by road their only option once they cannot feed themselves. </w:t>
      </w:r>
      <w:r w:rsidR="00935FEF">
        <w:t>Many larger cities, in particular Athens, had vast resources and a port from which to maintain their lines of supply.</w:t>
      </w:r>
      <w:r w:rsidR="00935FEF">
        <w:rPr>
          <w:rStyle w:val="FootnoteReference"/>
        </w:rPr>
        <w:footnoteReference w:id="99"/>
      </w:r>
      <w:r w:rsidR="00722D44">
        <w:t xml:space="preserve"> The </w:t>
      </w:r>
      <w:r w:rsidR="00CE6106">
        <w:t>civil</w:t>
      </w:r>
      <w:r w:rsidR="00722D44">
        <w:t xml:space="preserve"> war turned virtuous in Xenophon is not a virtue acce</w:t>
      </w:r>
      <w:r w:rsidR="0055262D">
        <w:t>ntuated by the smallness of their</w:t>
      </w:r>
      <w:r w:rsidR="00E11A18">
        <w:t xml:space="preserve"> city; cities</w:t>
      </w:r>
      <w:r w:rsidR="006D5FDA">
        <w:t xml:space="preserve"> large and small ha</w:t>
      </w:r>
      <w:r w:rsidR="00722D44">
        <w:t>d these problems</w:t>
      </w:r>
      <w:r w:rsidR="004C5E5B">
        <w:t xml:space="preserve"> and fears of internal conflict</w:t>
      </w:r>
      <w:r w:rsidR="00722D44">
        <w:t>.</w:t>
      </w:r>
      <w:r w:rsidR="00722D44">
        <w:rPr>
          <w:rStyle w:val="FootnoteReference"/>
        </w:rPr>
        <w:footnoteReference w:id="100"/>
      </w:r>
      <w:r w:rsidR="00722D44">
        <w:t xml:space="preserve">  </w:t>
      </w:r>
    </w:p>
    <w:p w:rsidR="00053F05" w:rsidRDefault="00722D44" w:rsidP="001E61CE">
      <w:pPr>
        <w:spacing w:line="480" w:lineRule="auto"/>
      </w:pPr>
      <w:r>
        <w:t xml:space="preserve">How this all forms a cohesive argument from Xenophon </w:t>
      </w:r>
      <w:r w:rsidR="006D5FDA">
        <w:t xml:space="preserve">is less than obvious, </w:t>
      </w:r>
      <w:r w:rsidR="003D0AFD">
        <w:t xml:space="preserve">but the section does not just suggest correlation between virtue and victory, but an implied causation. </w:t>
      </w:r>
      <w:r w:rsidR="004C18F8">
        <w:t xml:space="preserve">It can in no way be considered a coincidence that Xenophon focuses more on virtue and their comparative weakness </w:t>
      </w:r>
      <w:r w:rsidR="004C18F8">
        <w:lastRenderedPageBreak/>
        <w:t>than in any other of his moral digressions, nor that a whole city is given extended treatment</w:t>
      </w:r>
      <w:r w:rsidR="00703A69">
        <w:t>,</w:t>
      </w:r>
      <w:r w:rsidR="004C18F8">
        <w:t xml:space="preserve"> and not </w:t>
      </w:r>
      <w:r w:rsidR="00676BAD">
        <w:t xml:space="preserve">just </w:t>
      </w:r>
      <w:r w:rsidR="004C18F8">
        <w:t>a single man or group of men.</w:t>
      </w:r>
    </w:p>
    <w:p w:rsidR="0072399F" w:rsidRDefault="00053F05" w:rsidP="001E61CE">
      <w:pPr>
        <w:spacing w:line="480" w:lineRule="auto"/>
      </w:pPr>
      <w:r>
        <w:t>M</w:t>
      </w:r>
      <w:r w:rsidR="004554A1">
        <w:t>uch focus</w:t>
      </w:r>
      <w:r>
        <w:t xml:space="preserve"> has been given</w:t>
      </w:r>
      <w:r w:rsidR="004554A1">
        <w:t xml:space="preserve"> to the protagonists of this section, but the antagonists are not inconsequential to the moral narrative. It has been suggested that it is because of their impiety that they are defeated in </w:t>
      </w:r>
      <w:r w:rsidR="00611153">
        <w:t>Xenophon’s</w:t>
      </w:r>
      <w:r w:rsidR="004554A1">
        <w:t xml:space="preserve"> view.</w:t>
      </w:r>
      <w:r w:rsidR="00611153">
        <w:rPr>
          <w:rStyle w:val="FootnoteReference"/>
        </w:rPr>
        <w:footnoteReference w:id="101"/>
      </w:r>
      <w:r w:rsidR="00213D98">
        <w:t xml:space="preserve"> It is impossible to know if this parallel was part of </w:t>
      </w:r>
      <w:r w:rsidR="0017528D">
        <w:t>Xenophon’s</w:t>
      </w:r>
      <w:r w:rsidR="00213D98">
        <w:t xml:space="preserve"> authorial intent, but such a subtle nod does suit the pattern of missing </w:t>
      </w:r>
      <w:r w:rsidR="0017528D">
        <w:t>explanations</w:t>
      </w:r>
      <w:r w:rsidR="00213D98">
        <w:t xml:space="preserve"> and events within the enigmatic </w:t>
      </w:r>
      <w:r w:rsidR="00213D98" w:rsidRPr="00A121DE">
        <w:rPr>
          <w:i/>
        </w:rPr>
        <w:t>Hellenica</w:t>
      </w:r>
      <w:r w:rsidR="00213D98">
        <w:t>.</w:t>
      </w:r>
      <w:r w:rsidR="00213D98">
        <w:rPr>
          <w:rStyle w:val="FootnoteReference"/>
        </w:rPr>
        <w:footnoteReference w:id="102"/>
      </w:r>
      <w:r w:rsidR="00213D98">
        <w:t xml:space="preserve"> </w:t>
      </w:r>
      <w:r w:rsidR="00611153">
        <w:t>The unjust are defeated by the just, virtue overcomes strength and order is maintained, the message of this parable is that virtue is paramount,</w:t>
      </w:r>
      <w:r w:rsidR="000B2F9B">
        <w:rPr>
          <w:rStyle w:val="FootnoteReference"/>
        </w:rPr>
        <w:footnoteReference w:id="103"/>
      </w:r>
      <w:r w:rsidR="00611153">
        <w:t xml:space="preserve"> this sharp but subtle break with Thucydides is only made clear in this passage, and its importance should not be underestimated. This is </w:t>
      </w:r>
      <w:r w:rsidR="003E4483">
        <w:t>Xenophon’s</w:t>
      </w:r>
      <w:r w:rsidR="00611153">
        <w:t xml:space="preserve"> reply, indirectly, to the Melian dialogue, and it is because of its subtlety amongst its overt moralisation that it has so often been misjudged as mere digression.</w:t>
      </w:r>
      <w:r w:rsidR="00611153">
        <w:rPr>
          <w:rStyle w:val="FootnoteReference"/>
        </w:rPr>
        <w:footnoteReference w:id="104"/>
      </w:r>
      <w:r w:rsidR="00611153">
        <w:t xml:space="preserve"> </w:t>
      </w:r>
    </w:p>
    <w:p w:rsidR="00C06B22" w:rsidRPr="001A2862" w:rsidRDefault="00806A3D" w:rsidP="001E61CE">
      <w:pPr>
        <w:spacing w:line="480" w:lineRule="auto"/>
      </w:pPr>
      <w:r>
        <w:t xml:space="preserve">Indeed it is key to emphasise the link of virtue and victory and sin and defeat that goes beyond its inherent </w:t>
      </w:r>
      <w:r w:rsidR="007948C6">
        <w:t>virtue, which</w:t>
      </w:r>
      <w:r>
        <w:t xml:space="preserve"> those who are</w:t>
      </w:r>
      <w:r w:rsidR="00666A58">
        <w:t xml:space="preserve"> good will eventually triumph ov</w:t>
      </w:r>
      <w:r w:rsidR="0079278E">
        <w:t>er those who are not;</w:t>
      </w:r>
      <w:r w:rsidR="007948C6">
        <w:rPr>
          <w:rStyle w:val="FootnoteReference"/>
        </w:rPr>
        <w:footnoteReference w:id="105"/>
      </w:r>
      <w:r>
        <w:t xml:space="preserve"> Even if what Xenophon sees as good is hardly objective.</w:t>
      </w:r>
      <w:r>
        <w:rPr>
          <w:rStyle w:val="FootnoteReference"/>
        </w:rPr>
        <w:footnoteReference w:id="106"/>
      </w:r>
      <w:r>
        <w:t xml:space="preserve"> If Thucydides was a cynic then Xenophon is an optimist</w:t>
      </w:r>
      <w:r w:rsidR="00626D45">
        <w:t xml:space="preserve"> whose times make him doubt that optimism</w:t>
      </w:r>
      <w:r>
        <w:t>, it can be no surprise then that we can feel his palpable frustration at the end of his work when all ends in confusion.</w:t>
      </w:r>
      <w:r>
        <w:rPr>
          <w:rStyle w:val="FootnoteReference"/>
        </w:rPr>
        <w:footnoteReference w:id="107"/>
      </w:r>
    </w:p>
    <w:p w:rsidR="00C67747" w:rsidRDefault="0017528D" w:rsidP="001E61CE">
      <w:pPr>
        <w:spacing w:line="480" w:lineRule="auto"/>
      </w:pPr>
      <w:r>
        <w:t>This suggestion of intertextuality may seem farfetched,</w:t>
      </w:r>
      <w:r w:rsidR="003F50BB">
        <w:t xml:space="preserve"> even if </w:t>
      </w:r>
      <w:r w:rsidR="000C7755">
        <w:t>intertextualities</w:t>
      </w:r>
      <w:r w:rsidR="003F50BB">
        <w:t xml:space="preserve"> are plentiful in the </w:t>
      </w:r>
      <w:r w:rsidR="003F50BB" w:rsidRPr="003F50BB">
        <w:rPr>
          <w:i/>
        </w:rPr>
        <w:t>Hellenica</w:t>
      </w:r>
      <w:r w:rsidR="003F50BB">
        <w:rPr>
          <w:i/>
        </w:rPr>
        <w:t>,</w:t>
      </w:r>
      <w:r w:rsidR="003F50BB">
        <w:rPr>
          <w:rStyle w:val="FootnoteReference"/>
          <w:i/>
        </w:rPr>
        <w:footnoteReference w:id="108"/>
      </w:r>
      <w:r>
        <w:t xml:space="preserve"> Xenophon does not have a reputation for a grander view of history or philosophy, neither is the reference so obvious as to be hard to miss. Indeed there can be no certainty that </w:t>
      </w:r>
      <w:r w:rsidR="0099582A">
        <w:lastRenderedPageBreak/>
        <w:t>Thucydides</w:t>
      </w:r>
      <w:r>
        <w:t xml:space="preserve"> views were as we often perceive them to be,</w:t>
      </w:r>
      <w:r w:rsidR="00E568E3">
        <w:rPr>
          <w:rStyle w:val="FootnoteReference"/>
        </w:rPr>
        <w:footnoteReference w:id="109"/>
      </w:r>
      <w:r>
        <w:t xml:space="preserve"> nor that Xenophon understands fully the extent to which he is different from him. However the issue can be resolved in simple terms, in one case, the strong overcome the weak, despite any virtue they may possess, in the other the weak overcome the strong because of their virtue, with other more tangible factors, such as assisting forces being largely</w:t>
      </w:r>
      <w:r w:rsidR="003E79A5">
        <w:t xml:space="preserve"> ignored</w:t>
      </w:r>
      <w:r>
        <w:t>.</w:t>
      </w:r>
      <w:r>
        <w:rPr>
          <w:rStyle w:val="FootnoteReference"/>
        </w:rPr>
        <w:footnoteReference w:id="110"/>
      </w:r>
      <w:r>
        <w:t xml:space="preserve"> We might see such writing</w:t>
      </w:r>
      <w:r w:rsidR="00E6670E">
        <w:t xml:space="preserve"> as romantic at best and down</w:t>
      </w:r>
      <w:r>
        <w:t>right inaccurate at worst, but it was only</w:t>
      </w:r>
      <w:r w:rsidR="00992AFF">
        <w:t xml:space="preserve"> somewhat</w:t>
      </w:r>
      <w:r>
        <w:t xml:space="preserve"> recently moral factors became looked down u</w:t>
      </w:r>
      <w:r w:rsidR="00DC3220">
        <w:t xml:space="preserve">pon in the most respectable of </w:t>
      </w:r>
      <w:r w:rsidR="00BC7DBF">
        <w:t>histories</w:t>
      </w:r>
      <w:r>
        <w:t>.</w:t>
      </w:r>
      <w:r>
        <w:rPr>
          <w:rStyle w:val="FootnoteReference"/>
        </w:rPr>
        <w:footnoteReference w:id="111"/>
      </w:r>
      <w:r>
        <w:t xml:space="preserve"> By the standards of many of the forbearers, if not by our own, </w:t>
      </w:r>
      <w:r w:rsidR="00D01B83">
        <w:t>Xenophon’s</w:t>
      </w:r>
      <w:r>
        <w:t xml:space="preserve"> view of history</w:t>
      </w:r>
      <w:r w:rsidR="00D01B83">
        <w:t>,</w:t>
      </w:r>
      <w:r>
        <w:t xml:space="preserve"> elucidated by this section</w:t>
      </w:r>
      <w:r w:rsidR="00D01B83">
        <w:t>,</w:t>
      </w:r>
      <w:r>
        <w:t xml:space="preserve"> is just as valid as Thucydides</w:t>
      </w:r>
      <w:r w:rsidR="005E5CFC">
        <w:t>’</w:t>
      </w:r>
      <w:r>
        <w:t xml:space="preserve">. </w:t>
      </w:r>
    </w:p>
    <w:p w:rsidR="002375D8" w:rsidRDefault="002375D8" w:rsidP="001E61CE">
      <w:pPr>
        <w:spacing w:line="480" w:lineRule="auto"/>
      </w:pPr>
      <w:r>
        <w:t>It may seem that in order for this view to be valid, we must assume or argue that Thucydides had a certai</w:t>
      </w:r>
      <w:r w:rsidR="009F02CF">
        <w:t>n view of history and the world;</w:t>
      </w:r>
      <w:r>
        <w:t xml:space="preserve"> that of a generally realist outlook. Although if this is the case, it only strength</w:t>
      </w:r>
      <w:r w:rsidR="002F66C4">
        <w:t>en</w:t>
      </w:r>
      <w:r>
        <w:t>s the clear difference of opinion, the fact remains that there is clearly a difference of opinion in the two philosophical climaxes of these two authors</w:t>
      </w:r>
      <w:r w:rsidR="002F66C4">
        <w:t>,</w:t>
      </w:r>
      <w:r>
        <w:t xml:space="preserve"> which is in itself noteworthy. There is not space here to argue fully for Thucydides</w:t>
      </w:r>
      <w:r w:rsidR="002F66C4">
        <w:t>’</w:t>
      </w:r>
      <w:r>
        <w:t xml:space="preserve"> view of the world,</w:t>
      </w:r>
      <w:r w:rsidR="00C51A0E">
        <w:t xml:space="preserve"> although the issues of the Melian Dialog are important to recognise</w:t>
      </w:r>
      <w:r w:rsidR="00717D90">
        <w:t>.</w:t>
      </w:r>
      <w:r w:rsidR="00717D90">
        <w:rPr>
          <w:rStyle w:val="FootnoteReference"/>
        </w:rPr>
        <w:footnoteReference w:id="112"/>
      </w:r>
      <w:r w:rsidR="00717D90">
        <w:t xml:space="preserve"> It cannot be denied though that Xenophon’s focus on virtue throughout his work is in itself a proof of an entirely different </w:t>
      </w:r>
      <w:r w:rsidR="00011232">
        <w:t>purpose and view;</w:t>
      </w:r>
      <w:r w:rsidR="00717D90">
        <w:t xml:space="preserve"> that virtue is worth recording and emphasising, not just greatness and not just the why. To celebrate heroism and condemn evildoers because of its own merits rather than its relevance to events is as alien to Thucydides history as focusing on minor events, and Xenophon is fully aware of his differences</w:t>
      </w:r>
      <w:r w:rsidR="0078605A">
        <w:t xml:space="preserve"> to other H</w:t>
      </w:r>
      <w:r w:rsidR="00717D90">
        <w:t>istorians of his day.</w:t>
      </w:r>
      <w:r w:rsidR="00717D90">
        <w:rPr>
          <w:rStyle w:val="FootnoteReference"/>
        </w:rPr>
        <w:footnoteReference w:id="113"/>
      </w:r>
      <w:r w:rsidR="00717D90">
        <w:t xml:space="preserve"> In light of this, although it will forever be imp</w:t>
      </w:r>
      <w:r w:rsidR="00A51F45">
        <w:t>ossible to confirm, it is</w:t>
      </w:r>
      <w:r w:rsidR="00717D90">
        <w:t xml:space="preserve"> probable there was a large degree of intertextuality and Xenophon rejecte</w:t>
      </w:r>
      <w:r w:rsidR="00D72248">
        <w:t xml:space="preserve">d much of Thucydides views, this is particularly clear </w:t>
      </w:r>
      <w:r w:rsidR="00717D90">
        <w:t>in his focus on virtue and, for lack of a better word, sin.</w:t>
      </w:r>
    </w:p>
    <w:p w:rsidR="004E6392" w:rsidRDefault="004E6392" w:rsidP="001E61CE">
      <w:pPr>
        <w:spacing w:line="480" w:lineRule="auto"/>
      </w:pPr>
    </w:p>
    <w:p w:rsidR="004E6392" w:rsidRDefault="00090DDC" w:rsidP="001E61CE">
      <w:pPr>
        <w:spacing w:line="480" w:lineRule="auto"/>
      </w:pPr>
      <w:r>
        <w:lastRenderedPageBreak/>
        <w:t>To conclude, Xenophon is as much writing a work of moral philosophy as he is ‘History’</w:t>
      </w:r>
      <w:r w:rsidR="00FD77A1">
        <w:t xml:space="preserve"> in a modern, stricter sense,</w:t>
      </w:r>
      <w:r>
        <w:t xml:space="preserve"> and the section on the </w:t>
      </w:r>
      <w:r w:rsidR="00481946" w:rsidRPr="00481946">
        <w:t>Phliasians</w:t>
      </w:r>
      <w:r>
        <w:t xml:space="preserve"> is the climax of </w:t>
      </w:r>
      <w:r w:rsidR="00EB699A">
        <w:t>his philosophical ‘digressions</w:t>
      </w:r>
      <w:r>
        <w:t xml:space="preserve">. </w:t>
      </w:r>
      <w:r w:rsidR="004E6392">
        <w:t xml:space="preserve">His virtues are hardly ground-breaking, and influenced as much by any </w:t>
      </w:r>
      <w:r w:rsidR="00806A3D">
        <w:t>Socratic</w:t>
      </w:r>
      <w:r w:rsidR="004E6392">
        <w:t xml:space="preserve"> philosophy as by what we might tentatively call ‘Greek culture’. </w:t>
      </w:r>
      <w:r w:rsidR="00D50C0B">
        <w:t xml:space="preserve">The virtues of loyalty, skill at arms, mercy, hardiness and unity accentuated by their small size form a compelling parable on the nature of a good city. </w:t>
      </w:r>
      <w:r w:rsidR="00814FE3">
        <w:t>However</w:t>
      </w:r>
      <w:r w:rsidR="00CC4F46">
        <w:t>,</w:t>
      </w:r>
      <w:r w:rsidR="00814FE3">
        <w:t xml:space="preserve"> it is not in the singular virtu</w:t>
      </w:r>
      <w:r w:rsidR="00D50C0B">
        <w:t>es or virtuous case studies in which</w:t>
      </w:r>
      <w:r w:rsidR="00814FE3">
        <w:t xml:space="preserve"> </w:t>
      </w:r>
      <w:r w:rsidR="00D50C0B">
        <w:t xml:space="preserve">much of </w:t>
      </w:r>
      <w:r w:rsidR="00814FE3">
        <w:t>his argument lies, but in their cohesive whole and their relationship to his forbearer Thucydides</w:t>
      </w:r>
      <w:r w:rsidR="00D72248">
        <w:t>, as well as his contemporaries</w:t>
      </w:r>
      <w:r w:rsidR="00814FE3">
        <w:t>.</w:t>
      </w:r>
      <w:r w:rsidR="00D72248">
        <w:t xml:space="preserve"> Xenophon rejects a cynical</w:t>
      </w:r>
      <w:r w:rsidR="00245C99">
        <w:t xml:space="preserve">, or at the very least a pessimistic view of conflict in this section, and revels in a victory, no matter how small, for the </w:t>
      </w:r>
      <w:r w:rsidR="001D3ABF" w:rsidRPr="001D3ABF">
        <w:t xml:space="preserve">virtuous </w:t>
      </w:r>
      <w:r w:rsidR="00245C99">
        <w:t xml:space="preserve">weak against the </w:t>
      </w:r>
      <w:r w:rsidR="001D3ABF">
        <w:t xml:space="preserve">sinful </w:t>
      </w:r>
      <w:r w:rsidR="00245C99">
        <w:t>strong. In terms of genre</w:t>
      </w:r>
      <w:r w:rsidR="006132FB">
        <w:t>, we cannot comfortably place</w:t>
      </w:r>
      <w:r w:rsidR="00245C99">
        <w:t xml:space="preserve"> him, his </w:t>
      </w:r>
      <w:r w:rsidR="00245C99" w:rsidRPr="00A121DE">
        <w:rPr>
          <w:i/>
        </w:rPr>
        <w:t>Hellenica</w:t>
      </w:r>
      <w:r w:rsidR="00245C99">
        <w:t xml:space="preserve"> is almost several works and his purpose is unclear, without a full statement of methodology, arguments will continue to rage over this issue with no conclusion in sight.</w:t>
      </w:r>
      <w:r w:rsidR="00FD77A1">
        <w:t xml:space="preserve"> </w:t>
      </w:r>
      <w:r w:rsidR="00BA3C0A">
        <w:t>Nevertheless</w:t>
      </w:r>
      <w:r w:rsidR="00245C99">
        <w:t xml:space="preserve"> we can say he was a</w:t>
      </w:r>
      <w:r w:rsidR="00213D98">
        <w:t xml:space="preserve">n author </w:t>
      </w:r>
      <w:r w:rsidR="00D945F9">
        <w:t>torn between two worlds, he takes a middle path, applauded in antiquity and derided in modernity</w:t>
      </w:r>
      <w:r w:rsidR="000D4873">
        <w:t>,</w:t>
      </w:r>
      <w:r w:rsidR="00D945F9">
        <w:t xml:space="preserve"> Xenophon’s </w:t>
      </w:r>
      <w:r w:rsidR="00D945F9" w:rsidRPr="00A121DE">
        <w:rPr>
          <w:i/>
        </w:rPr>
        <w:t>Hellenica</w:t>
      </w:r>
      <w:r w:rsidR="00D945F9">
        <w:t xml:space="preserve"> presents unique challenges of genre that are as much to do with our modern perceptions as his own choices. Forever doomed to be compared to </w:t>
      </w:r>
      <w:r w:rsidR="00213D98">
        <w:t>Thucydides</w:t>
      </w:r>
      <w:r w:rsidR="00D945F9">
        <w:t xml:space="preserve"> and judged by his merits, we must try to judge him by his</w:t>
      </w:r>
      <w:r w:rsidR="009D3131">
        <w:t xml:space="preserve"> not inconsiderable</w:t>
      </w:r>
      <w:r w:rsidR="00D945F9">
        <w:t xml:space="preserve"> own.</w:t>
      </w:r>
    </w:p>
    <w:p w:rsidR="003F457B" w:rsidRDefault="003F457B" w:rsidP="001E61CE">
      <w:pPr>
        <w:spacing w:line="480" w:lineRule="auto"/>
      </w:pPr>
    </w:p>
    <w:p w:rsidR="003F457B" w:rsidRDefault="003F457B" w:rsidP="001E61CE">
      <w:pPr>
        <w:spacing w:line="480" w:lineRule="auto"/>
      </w:pPr>
    </w:p>
    <w:p w:rsidR="00651E39" w:rsidRDefault="00651E39" w:rsidP="001E61CE">
      <w:pPr>
        <w:spacing w:line="480" w:lineRule="auto"/>
      </w:pPr>
    </w:p>
    <w:p w:rsidR="00651E39" w:rsidRDefault="00651E39" w:rsidP="001E61CE">
      <w:pPr>
        <w:spacing w:line="480" w:lineRule="auto"/>
      </w:pPr>
    </w:p>
    <w:p w:rsidR="00651E39" w:rsidRDefault="00651E39" w:rsidP="001E61CE">
      <w:pPr>
        <w:spacing w:line="480" w:lineRule="auto"/>
      </w:pPr>
    </w:p>
    <w:p w:rsidR="00651E39" w:rsidRDefault="00651E39" w:rsidP="001E61CE">
      <w:pPr>
        <w:spacing w:line="480" w:lineRule="auto"/>
      </w:pPr>
    </w:p>
    <w:p w:rsidR="00651E39" w:rsidRDefault="00651E39" w:rsidP="001E61CE">
      <w:pPr>
        <w:spacing w:line="480" w:lineRule="auto"/>
      </w:pPr>
    </w:p>
    <w:p w:rsidR="00651E39" w:rsidRDefault="00651E39" w:rsidP="001E61CE">
      <w:pPr>
        <w:spacing w:line="480" w:lineRule="auto"/>
      </w:pPr>
    </w:p>
    <w:p w:rsidR="001E61CE" w:rsidRDefault="001E61CE" w:rsidP="001E61CE">
      <w:pPr>
        <w:spacing w:line="480" w:lineRule="auto"/>
        <w:rPr>
          <w:b/>
        </w:rPr>
      </w:pPr>
      <w:r>
        <w:rPr>
          <w:b/>
        </w:rPr>
        <w:lastRenderedPageBreak/>
        <w:t>References</w:t>
      </w:r>
    </w:p>
    <w:p w:rsidR="009801F2" w:rsidRPr="001E61CE" w:rsidRDefault="009801F2" w:rsidP="001E61CE">
      <w:pPr>
        <w:spacing w:line="480" w:lineRule="auto"/>
        <w:rPr>
          <w:b/>
        </w:rPr>
      </w:pPr>
      <w:r w:rsidRPr="001E61CE">
        <w:rPr>
          <w:b/>
        </w:rPr>
        <w:t xml:space="preserve">Ancient </w:t>
      </w:r>
    </w:p>
    <w:p w:rsidR="00DD0CA6" w:rsidRPr="00784B6F" w:rsidRDefault="00DD0CA6" w:rsidP="001E61CE">
      <w:pPr>
        <w:spacing w:line="480" w:lineRule="auto"/>
      </w:pPr>
      <w:r w:rsidRPr="00784B6F">
        <w:t xml:space="preserve">Herodotus, </w:t>
      </w:r>
      <w:proofErr w:type="gramStart"/>
      <w:r w:rsidRPr="00784B6F">
        <w:rPr>
          <w:i/>
        </w:rPr>
        <w:t>The</w:t>
      </w:r>
      <w:proofErr w:type="gramEnd"/>
      <w:r w:rsidRPr="00784B6F">
        <w:rPr>
          <w:i/>
        </w:rPr>
        <w:t xml:space="preserve"> Histories</w:t>
      </w:r>
      <w:r w:rsidRPr="00784B6F">
        <w:t xml:space="preserve">. </w:t>
      </w:r>
      <w:proofErr w:type="spellStart"/>
      <w:r w:rsidRPr="00784B6F">
        <w:t>Aubery</w:t>
      </w:r>
      <w:proofErr w:type="spellEnd"/>
      <w:r w:rsidRPr="00784B6F">
        <w:t xml:space="preserve"> de </w:t>
      </w:r>
      <w:proofErr w:type="spellStart"/>
      <w:r w:rsidRPr="00784B6F">
        <w:t>Selincourt</w:t>
      </w:r>
      <w:proofErr w:type="spellEnd"/>
      <w:r w:rsidRPr="00784B6F">
        <w:t xml:space="preserve"> (Trans.). 1954. </w:t>
      </w:r>
      <w:r w:rsidR="004D34E6" w:rsidRPr="00784B6F">
        <w:t>Penguin Books</w:t>
      </w:r>
      <w:r w:rsidR="004D34E6">
        <w:t xml:space="preserve">: </w:t>
      </w:r>
      <w:r w:rsidRPr="00784B6F">
        <w:t>Bungay</w:t>
      </w:r>
    </w:p>
    <w:p w:rsidR="00DD0CA6" w:rsidRPr="00784B6F" w:rsidRDefault="00DD0CA6" w:rsidP="001E61CE">
      <w:pPr>
        <w:spacing w:line="480" w:lineRule="auto"/>
      </w:pPr>
      <w:r w:rsidRPr="00784B6F">
        <w:t xml:space="preserve">Homer, </w:t>
      </w:r>
      <w:r w:rsidRPr="00784B6F">
        <w:rPr>
          <w:i/>
        </w:rPr>
        <w:t>Iliad</w:t>
      </w:r>
      <w:r w:rsidRPr="00784B6F">
        <w:t>. Hammond, M. (Trans.). 1987. Penguin</w:t>
      </w:r>
      <w:r w:rsidR="004D34E6">
        <w:t>: London</w:t>
      </w:r>
    </w:p>
    <w:p w:rsidR="00DD0CA6" w:rsidRDefault="00DD0CA6" w:rsidP="001E61CE">
      <w:pPr>
        <w:spacing w:line="480" w:lineRule="auto"/>
      </w:pPr>
      <w:r>
        <w:t xml:space="preserve">Plato, </w:t>
      </w:r>
      <w:r>
        <w:rPr>
          <w:i/>
        </w:rPr>
        <w:t>Complete W</w:t>
      </w:r>
      <w:r w:rsidRPr="001C4852">
        <w:rPr>
          <w:i/>
        </w:rPr>
        <w:t>orks</w:t>
      </w:r>
      <w:r>
        <w:t xml:space="preserve">. Cooper, J.M. Hutchinson, D.S. (Trans.). 1997. </w:t>
      </w:r>
      <w:r w:rsidR="004D34E6">
        <w:t>Hackett: Indianapolis</w:t>
      </w:r>
    </w:p>
    <w:p w:rsidR="00DD0CA6" w:rsidRDefault="00DD0CA6" w:rsidP="001E61CE">
      <w:pPr>
        <w:spacing w:line="480" w:lineRule="auto"/>
      </w:pPr>
      <w:r w:rsidRPr="00784B6F">
        <w:t xml:space="preserve">Plutarch, </w:t>
      </w:r>
      <w:r w:rsidRPr="00784B6F">
        <w:rPr>
          <w:i/>
        </w:rPr>
        <w:t>Lives</w:t>
      </w:r>
      <w:r w:rsidRPr="00784B6F">
        <w:t xml:space="preserve">. </w:t>
      </w:r>
      <w:proofErr w:type="spellStart"/>
      <w:r w:rsidRPr="00784B6F">
        <w:t>Wardman</w:t>
      </w:r>
      <w:proofErr w:type="spellEnd"/>
      <w:r w:rsidRPr="00784B6F">
        <w:t>, A</w:t>
      </w:r>
      <w:r w:rsidR="004D34E6">
        <w:t xml:space="preserve">. (Trans.). 1974. </w:t>
      </w:r>
      <w:proofErr w:type="spellStart"/>
      <w:r w:rsidR="004D34E6">
        <w:t>Elek</w:t>
      </w:r>
      <w:proofErr w:type="spellEnd"/>
      <w:r w:rsidR="004D34E6">
        <w:t>: London</w:t>
      </w:r>
    </w:p>
    <w:p w:rsidR="00DD0CA6" w:rsidRDefault="00DD0CA6" w:rsidP="001E61CE">
      <w:pPr>
        <w:spacing w:line="480" w:lineRule="auto"/>
      </w:pPr>
      <w:r w:rsidRPr="00784B6F">
        <w:t xml:space="preserve">Plutarch, </w:t>
      </w:r>
      <w:proofErr w:type="spellStart"/>
      <w:r w:rsidRPr="00784B6F">
        <w:rPr>
          <w:i/>
        </w:rPr>
        <w:t>Moralia</w:t>
      </w:r>
      <w:proofErr w:type="spellEnd"/>
      <w:r w:rsidRPr="00784B6F">
        <w:t xml:space="preserve">. </w:t>
      </w:r>
      <w:proofErr w:type="spellStart"/>
      <w:r w:rsidRPr="00784B6F">
        <w:t>Helmbold</w:t>
      </w:r>
      <w:proofErr w:type="spellEnd"/>
      <w:r w:rsidRPr="00784B6F">
        <w:t xml:space="preserve"> (Trans.). 1939</w:t>
      </w:r>
      <w:r>
        <w:t>. William Heinemann Ltd</w:t>
      </w:r>
      <w:r w:rsidR="004D34E6">
        <w:t xml:space="preserve">: </w:t>
      </w:r>
      <w:r w:rsidRPr="00784B6F">
        <w:t xml:space="preserve"> </w:t>
      </w:r>
      <w:r w:rsidR="004D34E6">
        <w:t>London</w:t>
      </w:r>
    </w:p>
    <w:p w:rsidR="00DD0CA6" w:rsidRDefault="00DD0CA6" w:rsidP="001E61CE">
      <w:pPr>
        <w:spacing w:line="480" w:lineRule="auto"/>
      </w:pPr>
      <w:r>
        <w:t xml:space="preserve">Thucydides, </w:t>
      </w:r>
      <w:proofErr w:type="gramStart"/>
      <w:r w:rsidRPr="00F52CD2">
        <w:rPr>
          <w:i/>
        </w:rPr>
        <w:t>The</w:t>
      </w:r>
      <w:proofErr w:type="gramEnd"/>
      <w:r w:rsidRPr="00F52CD2">
        <w:rPr>
          <w:i/>
        </w:rPr>
        <w:t xml:space="preserve"> Peloponnesian War. </w:t>
      </w:r>
      <w:r>
        <w:t>Hammond. M. (Trans.). 2009. Oxford University Press</w:t>
      </w:r>
      <w:r w:rsidR="004D34E6">
        <w:t>: Oxford</w:t>
      </w:r>
    </w:p>
    <w:p w:rsidR="00DD0CA6" w:rsidRDefault="00DD0CA6" w:rsidP="001E61CE">
      <w:pPr>
        <w:spacing w:line="480" w:lineRule="auto"/>
      </w:pPr>
      <w:r>
        <w:t xml:space="preserve">Xenophon, </w:t>
      </w:r>
      <w:r w:rsidRPr="001C4852">
        <w:rPr>
          <w:i/>
        </w:rPr>
        <w:t>Hellenica</w:t>
      </w:r>
      <w:r>
        <w:t>. Warner, R. (Trans.). 1966</w:t>
      </w:r>
      <w:r w:rsidRPr="00830B0E">
        <w:t>. Penguin Classics</w:t>
      </w:r>
      <w:r w:rsidR="004D34E6">
        <w:t>:</w:t>
      </w:r>
      <w:r w:rsidR="004D34E6" w:rsidRPr="004D34E6">
        <w:t xml:space="preserve"> </w:t>
      </w:r>
      <w:r w:rsidR="004D34E6">
        <w:t>London</w:t>
      </w:r>
    </w:p>
    <w:p w:rsidR="00DD0CA6" w:rsidRDefault="00DD0CA6" w:rsidP="001E61CE">
      <w:pPr>
        <w:spacing w:line="480" w:lineRule="auto"/>
      </w:pPr>
      <w:r>
        <w:t xml:space="preserve">Xenophon, </w:t>
      </w:r>
      <w:r w:rsidRPr="001C4852">
        <w:rPr>
          <w:i/>
        </w:rPr>
        <w:t>Memorabilia</w:t>
      </w:r>
      <w:r>
        <w:t xml:space="preserve">. </w:t>
      </w:r>
      <w:r w:rsidRPr="00487460">
        <w:t>Marchant</w:t>
      </w:r>
      <w:r>
        <w:t>, E.C. (Trans.). 1923.</w:t>
      </w:r>
    </w:p>
    <w:p w:rsidR="001E61CE" w:rsidRDefault="001E61CE" w:rsidP="001E61CE">
      <w:pPr>
        <w:spacing w:line="480" w:lineRule="auto"/>
        <w:rPr>
          <w:b/>
        </w:rPr>
      </w:pPr>
    </w:p>
    <w:p w:rsidR="00C34B84" w:rsidRPr="001E61CE" w:rsidRDefault="009801F2" w:rsidP="001E61CE">
      <w:pPr>
        <w:spacing w:line="480" w:lineRule="auto"/>
        <w:rPr>
          <w:b/>
        </w:rPr>
      </w:pPr>
      <w:r w:rsidRPr="001E61CE">
        <w:rPr>
          <w:b/>
        </w:rPr>
        <w:t>Modern</w:t>
      </w:r>
    </w:p>
    <w:p w:rsidR="00054C87" w:rsidRDefault="00054C87" w:rsidP="001E61CE">
      <w:pPr>
        <w:spacing w:line="480" w:lineRule="auto"/>
      </w:pPr>
      <w:proofErr w:type="spellStart"/>
      <w:r>
        <w:t>Alcock</w:t>
      </w:r>
      <w:proofErr w:type="spellEnd"/>
      <w:r>
        <w:t xml:space="preserve">, E. 1991. </w:t>
      </w:r>
      <w:r w:rsidRPr="001E2966">
        <w:t xml:space="preserve">‘Urban Survey and the Polis of </w:t>
      </w:r>
      <w:proofErr w:type="spellStart"/>
      <w:r w:rsidRPr="001E2966">
        <w:t>Phlius</w:t>
      </w:r>
      <w:proofErr w:type="spellEnd"/>
      <w:r w:rsidRPr="001E2966">
        <w:t>’</w:t>
      </w:r>
      <w:r w:rsidR="001E2966">
        <w:t xml:space="preserve">, </w:t>
      </w:r>
      <w:r w:rsidRPr="001E2966">
        <w:t xml:space="preserve">in </w:t>
      </w:r>
      <w:r w:rsidRPr="001E2966">
        <w:rPr>
          <w:i/>
        </w:rPr>
        <w:t>Hesperia</w:t>
      </w:r>
      <w:r>
        <w:t>, Vol. 60, 4, 421-63</w:t>
      </w:r>
    </w:p>
    <w:p w:rsidR="00E15B0C" w:rsidRDefault="00E15B0C" w:rsidP="001E61CE">
      <w:pPr>
        <w:spacing w:line="480" w:lineRule="auto"/>
      </w:pPr>
      <w:proofErr w:type="spellStart"/>
      <w:r w:rsidRPr="00E15B0C">
        <w:t>Balot</w:t>
      </w:r>
      <w:proofErr w:type="spellEnd"/>
      <w:r w:rsidRPr="00E15B0C">
        <w:t xml:space="preserve">, R.K. </w:t>
      </w:r>
      <w:proofErr w:type="spellStart"/>
      <w:r w:rsidRPr="00E15B0C">
        <w:t>Forsdyke</w:t>
      </w:r>
      <w:proofErr w:type="spellEnd"/>
      <w:r w:rsidRPr="00E15B0C">
        <w:t>, S. Foster, E.</w:t>
      </w:r>
      <w:r>
        <w:t xml:space="preserve"> 2017. ‘Introduction’ in </w:t>
      </w:r>
      <w:proofErr w:type="gramStart"/>
      <w:r w:rsidRPr="001E2966">
        <w:rPr>
          <w:i/>
        </w:rPr>
        <w:t>The</w:t>
      </w:r>
      <w:proofErr w:type="gramEnd"/>
      <w:r w:rsidRPr="001E2966">
        <w:rPr>
          <w:i/>
        </w:rPr>
        <w:t xml:space="preserve"> Oxford Handbook of Thucydides</w:t>
      </w:r>
      <w:r>
        <w:t xml:space="preserve"> (</w:t>
      </w:r>
      <w:proofErr w:type="spellStart"/>
      <w:r>
        <w:t>Balot</w:t>
      </w:r>
      <w:proofErr w:type="spellEnd"/>
      <w:r>
        <w:t xml:space="preserve">, R.K. </w:t>
      </w:r>
      <w:proofErr w:type="spellStart"/>
      <w:r>
        <w:t>Forsdyke</w:t>
      </w:r>
      <w:proofErr w:type="spellEnd"/>
      <w:r>
        <w:t>, S. Foster, E. Eds.). Oxford University Press: Oxford. 1-19</w:t>
      </w:r>
    </w:p>
    <w:p w:rsidR="007D1076" w:rsidRDefault="007D1076" w:rsidP="001E61CE">
      <w:pPr>
        <w:spacing w:line="480" w:lineRule="auto"/>
      </w:pPr>
      <w:r>
        <w:t xml:space="preserve">Bury, J.B. 1909. </w:t>
      </w:r>
      <w:r w:rsidRPr="007D1076">
        <w:rPr>
          <w:i/>
        </w:rPr>
        <w:t>The Ancient Greek Historians.</w:t>
      </w:r>
      <w:r>
        <w:t xml:space="preserve"> </w:t>
      </w:r>
      <w:r w:rsidR="007B6705">
        <w:t>Macmillan and Co: London</w:t>
      </w:r>
    </w:p>
    <w:p w:rsidR="00054C87" w:rsidRDefault="00054C87" w:rsidP="001E61CE">
      <w:pPr>
        <w:spacing w:line="480" w:lineRule="auto"/>
      </w:pPr>
      <w:proofErr w:type="spellStart"/>
      <w:r w:rsidRPr="00651E39">
        <w:t>Cawkwell</w:t>
      </w:r>
      <w:proofErr w:type="spellEnd"/>
      <w:r>
        <w:t>, G.L.</w:t>
      </w:r>
      <w:r w:rsidRPr="00651E39">
        <w:t xml:space="preserve"> 1977</w:t>
      </w:r>
      <w:r>
        <w:t xml:space="preserve">. </w:t>
      </w:r>
      <w:proofErr w:type="gramStart"/>
      <w:r>
        <w:t>in</w:t>
      </w:r>
      <w:proofErr w:type="gramEnd"/>
      <w:r>
        <w:t xml:space="preserve"> </w:t>
      </w:r>
      <w:r w:rsidR="001E2966">
        <w:rPr>
          <w:i/>
        </w:rPr>
        <w:t>Xenophon: A History of M</w:t>
      </w:r>
      <w:r w:rsidRPr="00E96181">
        <w:rPr>
          <w:i/>
        </w:rPr>
        <w:t>y Times</w:t>
      </w:r>
      <w:r>
        <w:t xml:space="preserve">. London: Penguin </w:t>
      </w:r>
    </w:p>
    <w:p w:rsidR="00054C87" w:rsidRDefault="00054C87" w:rsidP="001E61CE">
      <w:pPr>
        <w:spacing w:line="480" w:lineRule="auto"/>
      </w:pPr>
      <w:proofErr w:type="spellStart"/>
      <w:r>
        <w:t>Cawkwell</w:t>
      </w:r>
      <w:proofErr w:type="spellEnd"/>
      <w:r>
        <w:t xml:space="preserve">, G.L. 2012. ‘Chares’ in </w:t>
      </w:r>
      <w:proofErr w:type="gramStart"/>
      <w:r w:rsidRPr="009C6403">
        <w:rPr>
          <w:i/>
        </w:rPr>
        <w:t>The</w:t>
      </w:r>
      <w:proofErr w:type="gramEnd"/>
      <w:r w:rsidRPr="009C6403">
        <w:rPr>
          <w:i/>
        </w:rPr>
        <w:t xml:space="preserve"> Oxford Classical Dictionary</w:t>
      </w:r>
      <w:r w:rsidR="00762D65">
        <w:t xml:space="preserve"> (</w:t>
      </w:r>
      <w:proofErr w:type="spellStart"/>
      <w:r w:rsidR="00762D65">
        <w:t>Hornblower</w:t>
      </w:r>
      <w:proofErr w:type="spellEnd"/>
      <w:r w:rsidR="00762D65">
        <w:t xml:space="preserve">, S. </w:t>
      </w:r>
      <w:proofErr w:type="spellStart"/>
      <w:r w:rsidR="00762D65">
        <w:t>Spawforth</w:t>
      </w:r>
      <w:proofErr w:type="spellEnd"/>
      <w:r w:rsidR="00762D65">
        <w:t xml:space="preserve">, A. </w:t>
      </w:r>
      <w:proofErr w:type="spellStart"/>
      <w:r w:rsidR="00762D65">
        <w:t>Edinow</w:t>
      </w:r>
      <w:proofErr w:type="spellEnd"/>
      <w:r w:rsidR="00762D65">
        <w:t>, E. Eds.). Oxford University Press: Oxford</w:t>
      </w:r>
    </w:p>
    <w:p w:rsidR="00054C87" w:rsidRPr="00FE41EF" w:rsidRDefault="00054C87" w:rsidP="001E61CE">
      <w:pPr>
        <w:spacing w:line="480" w:lineRule="auto"/>
      </w:pPr>
      <w:proofErr w:type="spellStart"/>
      <w:r>
        <w:t>Christesen</w:t>
      </w:r>
      <w:proofErr w:type="spellEnd"/>
      <w:r>
        <w:t>, P. 2016. ‘</w:t>
      </w:r>
      <w:proofErr w:type="spellStart"/>
      <w:r>
        <w:t>Xenohon’s</w:t>
      </w:r>
      <w:proofErr w:type="spellEnd"/>
      <w:r>
        <w:t xml:space="preserve"> Views on Sparta’ in </w:t>
      </w:r>
      <w:r w:rsidRPr="00ED0DE8">
        <w:rPr>
          <w:i/>
        </w:rPr>
        <w:t>The Cambridge Companion to Xenophon</w:t>
      </w:r>
      <w:r>
        <w:t xml:space="preserve"> (Flower, M.A. Eds.). Cambridge University Press: Cambridge. 376-403</w:t>
      </w:r>
    </w:p>
    <w:p w:rsidR="00054C87" w:rsidRDefault="00054C87" w:rsidP="001E61CE">
      <w:pPr>
        <w:spacing w:line="480" w:lineRule="auto"/>
      </w:pPr>
      <w:proofErr w:type="spellStart"/>
      <w:r>
        <w:lastRenderedPageBreak/>
        <w:t>Csapo</w:t>
      </w:r>
      <w:proofErr w:type="spellEnd"/>
      <w:r>
        <w:t xml:space="preserve">, E. 2005. </w:t>
      </w:r>
      <w:r w:rsidRPr="00FE41EF">
        <w:rPr>
          <w:i/>
        </w:rPr>
        <w:t>Theories of Mythology.</w:t>
      </w:r>
      <w:r>
        <w:rPr>
          <w:i/>
        </w:rPr>
        <w:t xml:space="preserve"> </w:t>
      </w:r>
      <w:r>
        <w:t>Blackwell: Oxford</w:t>
      </w:r>
    </w:p>
    <w:p w:rsidR="00054C87" w:rsidRDefault="00054C87" w:rsidP="001E61CE">
      <w:pPr>
        <w:spacing w:line="480" w:lineRule="auto"/>
      </w:pPr>
      <w:proofErr w:type="spellStart"/>
      <w:r>
        <w:t>Dillery</w:t>
      </w:r>
      <w:proofErr w:type="spellEnd"/>
      <w:r>
        <w:t xml:space="preserve">, J. 1995. </w:t>
      </w:r>
      <w:r w:rsidRPr="00741E67">
        <w:rPr>
          <w:i/>
        </w:rPr>
        <w:t xml:space="preserve">Xenophon and the </w:t>
      </w:r>
      <w:r w:rsidR="001E2966">
        <w:rPr>
          <w:i/>
        </w:rPr>
        <w:t>History o</w:t>
      </w:r>
      <w:r w:rsidR="001E2966" w:rsidRPr="00741E67">
        <w:rPr>
          <w:i/>
        </w:rPr>
        <w:t>f His Times</w:t>
      </w:r>
      <w:r w:rsidRPr="00741E67">
        <w:rPr>
          <w:i/>
        </w:rPr>
        <w:t>.</w:t>
      </w:r>
      <w:r>
        <w:rPr>
          <w:i/>
        </w:rPr>
        <w:t xml:space="preserve"> </w:t>
      </w:r>
      <w:r>
        <w:t>Routledge: New York</w:t>
      </w:r>
    </w:p>
    <w:p w:rsidR="001807BF" w:rsidRDefault="001807BF" w:rsidP="001E61CE">
      <w:pPr>
        <w:spacing w:line="480" w:lineRule="auto"/>
      </w:pPr>
      <w:proofErr w:type="spellStart"/>
      <w:r>
        <w:t>Dillery</w:t>
      </w:r>
      <w:proofErr w:type="spellEnd"/>
      <w:r>
        <w:t xml:space="preserve">, J. 2016. ‘Xenophon: The Small Works’ </w:t>
      </w:r>
      <w:r w:rsidRPr="001807BF">
        <w:t xml:space="preserve">in </w:t>
      </w:r>
      <w:proofErr w:type="gramStart"/>
      <w:r w:rsidRPr="001E2966">
        <w:rPr>
          <w:i/>
        </w:rPr>
        <w:t>The</w:t>
      </w:r>
      <w:proofErr w:type="gramEnd"/>
      <w:r w:rsidRPr="001E2966">
        <w:rPr>
          <w:i/>
        </w:rPr>
        <w:t xml:space="preserve"> Cambridge Companion to Xenophon</w:t>
      </w:r>
      <w:r w:rsidRPr="001807BF">
        <w:t xml:space="preserve"> (Flower, M.A. Eds.). Cambridge University Press: Cambridge.</w:t>
      </w:r>
      <w:r>
        <w:t xml:space="preserve"> 195-223</w:t>
      </w:r>
    </w:p>
    <w:p w:rsidR="00054C87" w:rsidRDefault="00054C87" w:rsidP="001E61CE">
      <w:pPr>
        <w:spacing w:line="480" w:lineRule="auto"/>
      </w:pPr>
      <w:proofErr w:type="spellStart"/>
      <w:r>
        <w:t>Dorion</w:t>
      </w:r>
      <w:proofErr w:type="spellEnd"/>
      <w:r>
        <w:t xml:space="preserve">, L.A. 2016. ‘Xenophon and Greek Philosophy’ </w:t>
      </w:r>
      <w:r w:rsidRPr="00C865E9">
        <w:t xml:space="preserve">in </w:t>
      </w:r>
      <w:proofErr w:type="gramStart"/>
      <w:r w:rsidRPr="001E2966">
        <w:rPr>
          <w:i/>
        </w:rPr>
        <w:t>The</w:t>
      </w:r>
      <w:proofErr w:type="gramEnd"/>
      <w:r w:rsidRPr="001E2966">
        <w:rPr>
          <w:i/>
        </w:rPr>
        <w:t xml:space="preserve"> Cambridge Companion to Xenophon</w:t>
      </w:r>
      <w:r w:rsidRPr="00C865E9">
        <w:t xml:space="preserve"> (Flower, M.A. Eds.). Cambridge Unive</w:t>
      </w:r>
      <w:r>
        <w:t>rsity Press: Cambridge. 37-57</w:t>
      </w:r>
    </w:p>
    <w:p w:rsidR="00054C87" w:rsidRDefault="00054C87" w:rsidP="001E61CE">
      <w:pPr>
        <w:spacing w:line="480" w:lineRule="auto"/>
      </w:pPr>
      <w:r>
        <w:t xml:space="preserve">Flower, M.A. 2016. ‘Introduction’ in </w:t>
      </w:r>
      <w:proofErr w:type="gramStart"/>
      <w:r w:rsidRPr="00ED0DE8">
        <w:rPr>
          <w:i/>
        </w:rPr>
        <w:t>The</w:t>
      </w:r>
      <w:proofErr w:type="gramEnd"/>
      <w:r w:rsidRPr="00ED0DE8">
        <w:rPr>
          <w:i/>
        </w:rPr>
        <w:t xml:space="preserve"> Cambridge Companion to Xenophon</w:t>
      </w:r>
      <w:r>
        <w:t xml:space="preserve"> (Flower, M.A. Eds.). Cambridge University Press: Cambridge. 1-15</w:t>
      </w:r>
    </w:p>
    <w:p w:rsidR="00054C87" w:rsidRPr="00ED0DE8" w:rsidRDefault="00054C87" w:rsidP="001E61CE">
      <w:pPr>
        <w:spacing w:line="480" w:lineRule="auto"/>
      </w:pPr>
      <w:r>
        <w:t>Flower, M.A. 2016. ‘Xenophon as a Historian</w:t>
      </w:r>
      <w:r w:rsidRPr="00DA69E8">
        <w:t xml:space="preserve">’ in </w:t>
      </w:r>
      <w:proofErr w:type="gramStart"/>
      <w:r w:rsidRPr="001E2966">
        <w:rPr>
          <w:i/>
        </w:rPr>
        <w:t>The</w:t>
      </w:r>
      <w:proofErr w:type="gramEnd"/>
      <w:r w:rsidRPr="001E2966">
        <w:rPr>
          <w:i/>
        </w:rPr>
        <w:t xml:space="preserve"> Cambridge Companion to Xenophon</w:t>
      </w:r>
      <w:r w:rsidRPr="00DA69E8">
        <w:t xml:space="preserve"> (Flower, M.A. Eds.). Cambridge University Press: Cambridge.</w:t>
      </w:r>
      <w:r>
        <w:t xml:space="preserve"> 301- 323</w:t>
      </w:r>
    </w:p>
    <w:p w:rsidR="00054C87" w:rsidRPr="009A3C41" w:rsidRDefault="00054C87" w:rsidP="001E61CE">
      <w:pPr>
        <w:spacing w:line="480" w:lineRule="auto"/>
      </w:pPr>
      <w:r>
        <w:t xml:space="preserve">Gibbon, E. 1789. </w:t>
      </w:r>
      <w:r w:rsidR="001E2966">
        <w:rPr>
          <w:i/>
        </w:rPr>
        <w:t xml:space="preserve">Decline and </w:t>
      </w:r>
      <w:proofErr w:type="gramStart"/>
      <w:r w:rsidR="001E2966">
        <w:rPr>
          <w:i/>
        </w:rPr>
        <w:t>Fall</w:t>
      </w:r>
      <w:proofErr w:type="gramEnd"/>
      <w:r w:rsidR="001E2966">
        <w:rPr>
          <w:i/>
        </w:rPr>
        <w:t xml:space="preserve"> of the Roman E</w:t>
      </w:r>
      <w:r w:rsidRPr="009A3C41">
        <w:rPr>
          <w:i/>
        </w:rPr>
        <w:t>mpire</w:t>
      </w:r>
      <w:r>
        <w:rPr>
          <w:i/>
        </w:rPr>
        <w:t xml:space="preserve">. </w:t>
      </w:r>
      <w:r>
        <w:t>Dent: London</w:t>
      </w:r>
    </w:p>
    <w:p w:rsidR="00054C87" w:rsidRDefault="00054C87" w:rsidP="001E61CE">
      <w:pPr>
        <w:spacing w:line="480" w:lineRule="auto"/>
      </w:pPr>
      <w:proofErr w:type="spellStart"/>
      <w:r>
        <w:t>Gray</w:t>
      </w:r>
      <w:proofErr w:type="spellEnd"/>
      <w:r>
        <w:t>, V.</w:t>
      </w:r>
      <w:r w:rsidR="00C14210">
        <w:t xml:space="preserve"> J.</w:t>
      </w:r>
      <w:r>
        <w:t xml:space="preserve"> 2010. </w:t>
      </w:r>
      <w:r w:rsidRPr="00427EA9">
        <w:rPr>
          <w:i/>
        </w:rPr>
        <w:t>Xenophon</w:t>
      </w:r>
      <w:r>
        <w:rPr>
          <w:i/>
        </w:rPr>
        <w:t xml:space="preserve">. </w:t>
      </w:r>
      <w:r>
        <w:t>Oxford University Press: Oxford</w:t>
      </w:r>
    </w:p>
    <w:p w:rsidR="00054C87" w:rsidRDefault="00054C87" w:rsidP="001E61CE">
      <w:pPr>
        <w:spacing w:line="480" w:lineRule="auto"/>
      </w:pPr>
      <w:proofErr w:type="spellStart"/>
      <w:r>
        <w:t>Gray</w:t>
      </w:r>
      <w:proofErr w:type="spellEnd"/>
      <w:r>
        <w:t>, V.</w:t>
      </w:r>
      <w:r w:rsidR="00C14210">
        <w:t xml:space="preserve"> J.</w:t>
      </w:r>
      <w:r>
        <w:t xml:space="preserve"> 2011. </w:t>
      </w:r>
      <w:r w:rsidRPr="00F35EAF">
        <w:rPr>
          <w:i/>
        </w:rPr>
        <w:t>Xenophon's Mirror of Princes: Reading the Reflections</w:t>
      </w:r>
      <w:r>
        <w:t>. Oxford University Press: Oxford</w:t>
      </w:r>
    </w:p>
    <w:p w:rsidR="00C14210" w:rsidRPr="00F35EAF" w:rsidRDefault="00C14210" w:rsidP="001E61CE">
      <w:pPr>
        <w:spacing w:line="480" w:lineRule="auto"/>
      </w:pPr>
      <w:proofErr w:type="spellStart"/>
      <w:r>
        <w:t>Gray</w:t>
      </w:r>
      <w:proofErr w:type="spellEnd"/>
      <w:r>
        <w:t xml:space="preserve">. V. J. 2017. ‘Thucydides and his Continuators’ in </w:t>
      </w:r>
      <w:proofErr w:type="gramStart"/>
      <w:r w:rsidRPr="001E2966">
        <w:rPr>
          <w:i/>
        </w:rPr>
        <w:t>The</w:t>
      </w:r>
      <w:proofErr w:type="gramEnd"/>
      <w:r w:rsidRPr="001E2966">
        <w:rPr>
          <w:i/>
        </w:rPr>
        <w:t xml:space="preserve"> Oxford Handbook of Thucydides</w:t>
      </w:r>
      <w:r>
        <w:t xml:space="preserve"> (</w:t>
      </w:r>
      <w:proofErr w:type="spellStart"/>
      <w:r>
        <w:t>Balot</w:t>
      </w:r>
      <w:proofErr w:type="spellEnd"/>
      <w:r>
        <w:t xml:space="preserve">, R.K. </w:t>
      </w:r>
      <w:proofErr w:type="spellStart"/>
      <w:r>
        <w:t>Forsdyke</w:t>
      </w:r>
      <w:proofErr w:type="spellEnd"/>
      <w:r>
        <w:t>, S. Foster, E. Eds.). Oxford University Press: Oxford</w:t>
      </w:r>
      <w:r w:rsidR="004D19D5">
        <w:t>.</w:t>
      </w:r>
      <w:r>
        <w:t xml:space="preserve"> 621-641 </w:t>
      </w:r>
    </w:p>
    <w:p w:rsidR="00054C87" w:rsidRDefault="00054C87" w:rsidP="001E61CE">
      <w:pPr>
        <w:spacing w:line="480" w:lineRule="auto"/>
      </w:pPr>
      <w:r>
        <w:t>Hall, E. 2016. ‘</w:t>
      </w:r>
      <w:proofErr w:type="spellStart"/>
      <w:r>
        <w:t>Epilouge</w:t>
      </w:r>
      <w:proofErr w:type="spellEnd"/>
      <w:r>
        <w:t xml:space="preserve">: Xenophon: Magician and Friend’ </w:t>
      </w:r>
      <w:r w:rsidRPr="00C865E9">
        <w:t xml:space="preserve">in </w:t>
      </w:r>
      <w:proofErr w:type="gramStart"/>
      <w:r w:rsidRPr="001E2966">
        <w:rPr>
          <w:i/>
        </w:rPr>
        <w:t>The</w:t>
      </w:r>
      <w:proofErr w:type="gramEnd"/>
      <w:r w:rsidRPr="001E2966">
        <w:rPr>
          <w:i/>
        </w:rPr>
        <w:t xml:space="preserve"> Cambridge Companion to Xenophon</w:t>
      </w:r>
      <w:r w:rsidRPr="00C865E9">
        <w:t xml:space="preserve"> (Flower, M.A. Eds.). Cambridge Unive</w:t>
      </w:r>
      <w:r>
        <w:t>rsity Press: Cambridge. 449-459</w:t>
      </w:r>
    </w:p>
    <w:p w:rsidR="00054C87" w:rsidRDefault="00054C87" w:rsidP="001E61CE">
      <w:pPr>
        <w:spacing w:line="480" w:lineRule="auto"/>
      </w:pPr>
      <w:proofErr w:type="spellStart"/>
      <w:r>
        <w:t>Krentz</w:t>
      </w:r>
      <w:proofErr w:type="spellEnd"/>
      <w:r>
        <w:t xml:space="preserve">, L.O. 1989. </w:t>
      </w:r>
      <w:proofErr w:type="spellStart"/>
      <w:r w:rsidRPr="00B95176">
        <w:rPr>
          <w:i/>
        </w:rPr>
        <w:t>Hellenika</w:t>
      </w:r>
      <w:proofErr w:type="spellEnd"/>
      <w:r>
        <w:rPr>
          <w:i/>
        </w:rPr>
        <w:t xml:space="preserve"> I-II.3.10</w:t>
      </w:r>
      <w:r w:rsidRPr="00B95176">
        <w:rPr>
          <w:i/>
        </w:rPr>
        <w:t>.</w:t>
      </w:r>
      <w:r>
        <w:t xml:space="preserve"> </w:t>
      </w:r>
      <w:proofErr w:type="spellStart"/>
      <w:r>
        <w:t>Aris</w:t>
      </w:r>
      <w:proofErr w:type="spellEnd"/>
      <w:r>
        <w:t xml:space="preserve"> and Phillips: Warminster</w:t>
      </w:r>
    </w:p>
    <w:p w:rsidR="00054C87" w:rsidRDefault="00054C87" w:rsidP="001E61CE">
      <w:pPr>
        <w:spacing w:line="480" w:lineRule="auto"/>
      </w:pPr>
      <w:proofErr w:type="spellStart"/>
      <w:r>
        <w:t>Krentz</w:t>
      </w:r>
      <w:proofErr w:type="spellEnd"/>
      <w:r>
        <w:t xml:space="preserve">, L.O. 1995. </w:t>
      </w:r>
      <w:proofErr w:type="spellStart"/>
      <w:r w:rsidRPr="00B95176">
        <w:rPr>
          <w:i/>
        </w:rPr>
        <w:t>Hellenika</w:t>
      </w:r>
      <w:proofErr w:type="spellEnd"/>
      <w:r>
        <w:rPr>
          <w:i/>
        </w:rPr>
        <w:t xml:space="preserve"> III</w:t>
      </w:r>
      <w:r w:rsidRPr="00B95176">
        <w:rPr>
          <w:i/>
        </w:rPr>
        <w:t>.11-iv.2.8.</w:t>
      </w:r>
      <w:r>
        <w:t xml:space="preserve"> </w:t>
      </w:r>
      <w:proofErr w:type="spellStart"/>
      <w:r>
        <w:t>Aris</w:t>
      </w:r>
      <w:proofErr w:type="spellEnd"/>
      <w:r>
        <w:t xml:space="preserve"> and Phillips: Warminster</w:t>
      </w:r>
    </w:p>
    <w:p w:rsidR="00223703" w:rsidRDefault="00223703" w:rsidP="001E61CE">
      <w:pPr>
        <w:spacing w:line="480" w:lineRule="auto"/>
      </w:pPr>
      <w:proofErr w:type="spellStart"/>
      <w:r>
        <w:t>Luce</w:t>
      </w:r>
      <w:proofErr w:type="spellEnd"/>
      <w:r>
        <w:t xml:space="preserve">, T.J. 1997. </w:t>
      </w:r>
      <w:r w:rsidRPr="00223703">
        <w:rPr>
          <w:i/>
        </w:rPr>
        <w:t>The Greek Historians</w:t>
      </w:r>
      <w:r>
        <w:rPr>
          <w:i/>
        </w:rPr>
        <w:t xml:space="preserve">. </w:t>
      </w:r>
      <w:r>
        <w:t xml:space="preserve">Routledge: London  </w:t>
      </w:r>
    </w:p>
    <w:p w:rsidR="00AE5344" w:rsidRDefault="00AE5344" w:rsidP="001E61CE">
      <w:pPr>
        <w:spacing w:line="480" w:lineRule="auto"/>
      </w:pPr>
      <w:r>
        <w:lastRenderedPageBreak/>
        <w:t xml:space="preserve">Ludwig, P. 2017. ‘Xenophon as a Socratic Reader of Thucydides’ </w:t>
      </w:r>
      <w:r w:rsidRPr="00AE5344">
        <w:t xml:space="preserve">in </w:t>
      </w:r>
      <w:proofErr w:type="gramStart"/>
      <w:r w:rsidRPr="001E2966">
        <w:rPr>
          <w:i/>
        </w:rPr>
        <w:t>The</w:t>
      </w:r>
      <w:proofErr w:type="gramEnd"/>
      <w:r w:rsidRPr="001E2966">
        <w:rPr>
          <w:i/>
        </w:rPr>
        <w:t xml:space="preserve"> Oxford Handbook of Thucydides </w:t>
      </w:r>
      <w:r w:rsidRPr="00AE5344">
        <w:t>(</w:t>
      </w:r>
      <w:proofErr w:type="spellStart"/>
      <w:r w:rsidRPr="00AE5344">
        <w:t>Balot</w:t>
      </w:r>
      <w:proofErr w:type="spellEnd"/>
      <w:r w:rsidRPr="00AE5344">
        <w:t xml:space="preserve">, R.K. </w:t>
      </w:r>
      <w:proofErr w:type="spellStart"/>
      <w:r w:rsidRPr="00AE5344">
        <w:t>Forsdyke</w:t>
      </w:r>
      <w:proofErr w:type="spellEnd"/>
      <w:r w:rsidRPr="00AE5344">
        <w:t>, S. Foster, E. Eds.). Oxford University Press: Oxford.</w:t>
      </w:r>
      <w:r>
        <w:t xml:space="preserve"> 515-531</w:t>
      </w:r>
    </w:p>
    <w:p w:rsidR="004D19D5" w:rsidRDefault="004D34E6" w:rsidP="001E61CE">
      <w:pPr>
        <w:spacing w:line="480" w:lineRule="auto"/>
      </w:pPr>
      <w:r>
        <w:t>Mara, G. 2017. ‘Political P</w:t>
      </w:r>
      <w:r w:rsidR="004D19D5">
        <w:t>hilo</w:t>
      </w:r>
      <w:r w:rsidR="004D19D5">
        <w:rPr>
          <w:rFonts w:ascii="Arial" w:hAnsi="Arial" w:cs="Arial"/>
          <w:color w:val="222222"/>
          <w:sz w:val="20"/>
          <w:szCs w:val="20"/>
          <w:shd w:val="clear" w:color="auto" w:fill="FFFFFF"/>
        </w:rPr>
        <w:t>sophy in an Unstable World: Comparing Thucydides and Plato on the Possibilities of Politics’</w:t>
      </w:r>
      <w:r>
        <w:rPr>
          <w:rFonts w:ascii="Arial" w:hAnsi="Arial" w:cs="Arial"/>
          <w:color w:val="222222"/>
          <w:sz w:val="20"/>
          <w:szCs w:val="20"/>
          <w:shd w:val="clear" w:color="auto" w:fill="FFFFFF"/>
        </w:rPr>
        <w:t>,</w:t>
      </w:r>
      <w:r w:rsidR="004D19D5">
        <w:rPr>
          <w:rFonts w:ascii="Arial" w:hAnsi="Arial" w:cs="Arial"/>
          <w:color w:val="222222"/>
          <w:sz w:val="20"/>
          <w:szCs w:val="20"/>
          <w:shd w:val="clear" w:color="auto" w:fill="FFFFFF"/>
        </w:rPr>
        <w:t xml:space="preserve"> </w:t>
      </w:r>
      <w:r w:rsidR="004D19D5">
        <w:t xml:space="preserve">in </w:t>
      </w:r>
      <w:proofErr w:type="gramStart"/>
      <w:r w:rsidR="004D19D5" w:rsidRPr="004D34E6">
        <w:rPr>
          <w:i/>
        </w:rPr>
        <w:t>The</w:t>
      </w:r>
      <w:proofErr w:type="gramEnd"/>
      <w:r w:rsidR="004D19D5" w:rsidRPr="004D34E6">
        <w:rPr>
          <w:i/>
        </w:rPr>
        <w:t xml:space="preserve"> Oxford Handbook of Thucydides</w:t>
      </w:r>
      <w:r w:rsidR="004D19D5">
        <w:t xml:space="preserve"> (</w:t>
      </w:r>
      <w:proofErr w:type="spellStart"/>
      <w:r w:rsidR="004D19D5">
        <w:t>Balot</w:t>
      </w:r>
      <w:proofErr w:type="spellEnd"/>
      <w:r w:rsidR="004D19D5">
        <w:t xml:space="preserve">, R.K. </w:t>
      </w:r>
      <w:proofErr w:type="spellStart"/>
      <w:r w:rsidR="004D19D5">
        <w:t>Forsdyke</w:t>
      </w:r>
      <w:proofErr w:type="spellEnd"/>
      <w:r w:rsidR="004D19D5">
        <w:t>, S. Foster, E. Eds.). Oxford University Press: Oxford. 531-551</w:t>
      </w:r>
    </w:p>
    <w:p w:rsidR="009C0F20" w:rsidRDefault="009C0F20" w:rsidP="001E61CE">
      <w:pPr>
        <w:spacing w:line="480" w:lineRule="auto"/>
      </w:pPr>
      <w:proofErr w:type="spellStart"/>
      <w:r>
        <w:t>Marincola</w:t>
      </w:r>
      <w:proofErr w:type="spellEnd"/>
      <w:r>
        <w:t xml:space="preserve">, J. 2016. ‘Xenophon’s Anabasis and Hellenica’ </w:t>
      </w:r>
      <w:r w:rsidRPr="00C865E9">
        <w:t xml:space="preserve">in </w:t>
      </w:r>
      <w:r w:rsidRPr="004D34E6">
        <w:rPr>
          <w:i/>
        </w:rPr>
        <w:t>The Cambridge Companion to Xenophon</w:t>
      </w:r>
      <w:r w:rsidRPr="00C865E9">
        <w:t xml:space="preserve"> (Flower, M.A. Eds.). Cambridge Unive</w:t>
      </w:r>
      <w:r>
        <w:t>rsity Press: Cambridge. 103-119</w:t>
      </w:r>
    </w:p>
    <w:p w:rsidR="00054C87" w:rsidRDefault="00054C87" w:rsidP="001E61CE">
      <w:pPr>
        <w:spacing w:line="480" w:lineRule="auto"/>
      </w:pPr>
      <w:r>
        <w:t xml:space="preserve">Morley, N. 1999. </w:t>
      </w:r>
      <w:r w:rsidRPr="001540F4">
        <w:rPr>
          <w:i/>
        </w:rPr>
        <w:t>Writing Ancient History</w:t>
      </w:r>
      <w:r>
        <w:rPr>
          <w:i/>
        </w:rPr>
        <w:t xml:space="preserve">. </w:t>
      </w:r>
      <w:r>
        <w:t xml:space="preserve">Cornell University Press: New York </w:t>
      </w:r>
    </w:p>
    <w:p w:rsidR="00054C87" w:rsidRDefault="00054C87" w:rsidP="001E61CE">
      <w:pPr>
        <w:spacing w:line="480" w:lineRule="auto"/>
      </w:pPr>
      <w:proofErr w:type="spellStart"/>
      <w:r>
        <w:t>Pownall</w:t>
      </w:r>
      <w:proofErr w:type="spellEnd"/>
      <w:r>
        <w:t>, F.S. 1998. ‘</w:t>
      </w:r>
      <w:r w:rsidRPr="00143C32">
        <w:t>Condemnation of the Impious in Xenophon's "Hellenica"</w:t>
      </w:r>
      <w:r>
        <w:t xml:space="preserve">’ in </w:t>
      </w:r>
      <w:proofErr w:type="gramStart"/>
      <w:r w:rsidRPr="00143C32">
        <w:rPr>
          <w:i/>
        </w:rPr>
        <w:t>The</w:t>
      </w:r>
      <w:proofErr w:type="gramEnd"/>
      <w:r w:rsidRPr="00143C32">
        <w:rPr>
          <w:i/>
        </w:rPr>
        <w:t xml:space="preserve"> Harvard Theological Review</w:t>
      </w:r>
      <w:r>
        <w:t>, Vol.91. 3, pp.251-277</w:t>
      </w:r>
    </w:p>
    <w:p w:rsidR="00054C87" w:rsidRDefault="00054C87" w:rsidP="001E61CE">
      <w:pPr>
        <w:spacing w:line="480" w:lineRule="auto"/>
      </w:pPr>
      <w:r>
        <w:t xml:space="preserve">Rawson, E. 1999. </w:t>
      </w:r>
      <w:r w:rsidR="004D34E6">
        <w:rPr>
          <w:i/>
        </w:rPr>
        <w:t>The Spartan Tradition in E</w:t>
      </w:r>
      <w:r w:rsidRPr="00F33AFD">
        <w:rPr>
          <w:i/>
        </w:rPr>
        <w:t>u</w:t>
      </w:r>
      <w:r w:rsidR="004D34E6">
        <w:rPr>
          <w:i/>
        </w:rPr>
        <w:t>ropean T</w:t>
      </w:r>
      <w:r w:rsidRPr="00F33AFD">
        <w:rPr>
          <w:i/>
        </w:rPr>
        <w:t>hought</w:t>
      </w:r>
      <w:r>
        <w:t xml:space="preserve">. Clarendon Press: Oxford </w:t>
      </w:r>
    </w:p>
    <w:p w:rsidR="00054C87" w:rsidRDefault="00054C87" w:rsidP="001E61CE">
      <w:pPr>
        <w:spacing w:line="480" w:lineRule="auto"/>
      </w:pPr>
      <w:proofErr w:type="spellStart"/>
      <w:r>
        <w:t>Romm</w:t>
      </w:r>
      <w:proofErr w:type="spellEnd"/>
      <w:r>
        <w:t xml:space="preserve">, J.S. Mensch, P. 2012. </w:t>
      </w:r>
      <w:r w:rsidRPr="00491CAB">
        <w:rPr>
          <w:i/>
        </w:rPr>
        <w:t>Lives that Made Greek History</w:t>
      </w:r>
      <w:r>
        <w:rPr>
          <w:i/>
        </w:rPr>
        <w:t xml:space="preserve">. </w:t>
      </w:r>
      <w:r>
        <w:t>Indianapolis: Hackett</w:t>
      </w:r>
    </w:p>
    <w:p w:rsidR="00054C87" w:rsidRDefault="00054C87" w:rsidP="001E61CE">
      <w:pPr>
        <w:spacing w:line="480" w:lineRule="auto"/>
      </w:pPr>
      <w:r>
        <w:t>Salmond, P.D. 1996. ‘</w:t>
      </w:r>
      <w:r w:rsidRPr="00B00DFC">
        <w:t>Sympathy for the Devil: Chares and Athenian Politics</w:t>
      </w:r>
      <w:r>
        <w:t xml:space="preserve">’ in </w:t>
      </w:r>
      <w:r w:rsidRPr="00B00DFC">
        <w:rPr>
          <w:i/>
        </w:rPr>
        <w:t>Greece &amp; Rome</w:t>
      </w:r>
      <w:r>
        <w:t xml:space="preserve">, Vol. 43, </w:t>
      </w:r>
      <w:r w:rsidRPr="00B00DFC">
        <w:t>1</w:t>
      </w:r>
      <w:r>
        <w:t>, 43-53</w:t>
      </w:r>
    </w:p>
    <w:p w:rsidR="00054C87" w:rsidRDefault="00054C87" w:rsidP="001E61CE">
      <w:pPr>
        <w:spacing w:line="480" w:lineRule="auto"/>
      </w:pPr>
      <w:proofErr w:type="spellStart"/>
      <w:r>
        <w:t>Tamiolaki</w:t>
      </w:r>
      <w:proofErr w:type="spellEnd"/>
      <w:r>
        <w:t>, M. 2008. ‘</w:t>
      </w:r>
      <w:r w:rsidRPr="000443A2">
        <w:t xml:space="preserve">Les </w:t>
      </w:r>
      <w:proofErr w:type="spellStart"/>
      <w:r w:rsidRPr="000443A2">
        <w:t>Helléniques</w:t>
      </w:r>
      <w:proofErr w:type="spellEnd"/>
      <w:r w:rsidRPr="000443A2">
        <w:t xml:space="preserve"> entre tradition et innovation. Aspects de la relation </w:t>
      </w:r>
      <w:proofErr w:type="spellStart"/>
      <w:r w:rsidRPr="000443A2">
        <w:t>intertextuelle</w:t>
      </w:r>
      <w:proofErr w:type="spellEnd"/>
      <w:r w:rsidRPr="000443A2">
        <w:t xml:space="preserve"> de </w:t>
      </w:r>
      <w:proofErr w:type="spellStart"/>
      <w:r w:rsidRPr="000443A2">
        <w:t>Xénophon</w:t>
      </w:r>
      <w:proofErr w:type="spellEnd"/>
      <w:r w:rsidRPr="000443A2">
        <w:t xml:space="preserve"> avec </w:t>
      </w:r>
      <w:proofErr w:type="spellStart"/>
      <w:r w:rsidRPr="000443A2">
        <w:t>Hérodote</w:t>
      </w:r>
      <w:proofErr w:type="spellEnd"/>
      <w:r w:rsidRPr="000443A2">
        <w:t xml:space="preserve"> </w:t>
      </w:r>
      <w:proofErr w:type="gramStart"/>
      <w:r w:rsidRPr="000443A2">
        <w:t>et</w:t>
      </w:r>
      <w:proofErr w:type="gramEnd"/>
      <w:r w:rsidRPr="000443A2">
        <w:t xml:space="preserve"> </w:t>
      </w:r>
      <w:proofErr w:type="spellStart"/>
      <w:r w:rsidRPr="000443A2">
        <w:t>Thucydide</w:t>
      </w:r>
      <w:proofErr w:type="spellEnd"/>
      <w:r>
        <w:t xml:space="preserve">’ </w:t>
      </w:r>
      <w:r w:rsidRPr="004D34E6">
        <w:rPr>
          <w:i/>
        </w:rPr>
        <w:t xml:space="preserve">Cahiers Des Etudes </w:t>
      </w:r>
      <w:proofErr w:type="spellStart"/>
      <w:r w:rsidRPr="004D34E6">
        <w:rPr>
          <w:i/>
        </w:rPr>
        <w:t>Anciennes</w:t>
      </w:r>
      <w:proofErr w:type="spellEnd"/>
      <w:r>
        <w:t xml:space="preserve"> Vol. 45. 15-52 </w:t>
      </w:r>
    </w:p>
    <w:p w:rsidR="00054C87" w:rsidRDefault="00054C87" w:rsidP="001E61CE">
      <w:pPr>
        <w:spacing w:line="480" w:lineRule="auto"/>
      </w:pPr>
      <w:r>
        <w:t xml:space="preserve">Thompson, W.E. 1983. ‘Chares at </w:t>
      </w:r>
      <w:proofErr w:type="spellStart"/>
      <w:r>
        <w:t>Phlius</w:t>
      </w:r>
      <w:proofErr w:type="spellEnd"/>
      <w:r>
        <w:t xml:space="preserve">’ in </w:t>
      </w:r>
      <w:proofErr w:type="spellStart"/>
      <w:r w:rsidRPr="005C2278">
        <w:rPr>
          <w:i/>
        </w:rPr>
        <w:t>Philiologus</w:t>
      </w:r>
      <w:proofErr w:type="spellEnd"/>
      <w:r>
        <w:rPr>
          <w:i/>
        </w:rPr>
        <w:t xml:space="preserve">, </w:t>
      </w:r>
      <w:r>
        <w:t>Vol. 127, 1, 303-5</w:t>
      </w:r>
    </w:p>
    <w:p w:rsidR="00393DDC" w:rsidRPr="005C2278" w:rsidRDefault="00393DDC" w:rsidP="001E61CE">
      <w:pPr>
        <w:spacing w:line="480" w:lineRule="auto"/>
      </w:pPr>
      <w:proofErr w:type="spellStart"/>
      <w:r>
        <w:t>Tuplin</w:t>
      </w:r>
      <w:proofErr w:type="spellEnd"/>
      <w:r>
        <w:t xml:space="preserve">, C. 2016. ‘Xenophon and Athens’ </w:t>
      </w:r>
      <w:r w:rsidRPr="00C865E9">
        <w:t xml:space="preserve">in </w:t>
      </w:r>
      <w:proofErr w:type="gramStart"/>
      <w:r w:rsidRPr="004D34E6">
        <w:rPr>
          <w:i/>
        </w:rPr>
        <w:t>The</w:t>
      </w:r>
      <w:proofErr w:type="gramEnd"/>
      <w:r w:rsidRPr="004D34E6">
        <w:rPr>
          <w:i/>
        </w:rPr>
        <w:t xml:space="preserve"> Cambridge Companion to Xenophon</w:t>
      </w:r>
      <w:r w:rsidRPr="00C865E9">
        <w:t xml:space="preserve"> (Flower, M.A. Eds.). Cambridge Unive</w:t>
      </w:r>
      <w:r>
        <w:t>rsity Press: Cambridge. 338-360</w:t>
      </w:r>
    </w:p>
    <w:p w:rsidR="00054C87" w:rsidRDefault="00054C87" w:rsidP="001E61CE">
      <w:pPr>
        <w:spacing w:line="480" w:lineRule="auto"/>
      </w:pPr>
      <w:r>
        <w:t xml:space="preserve">Underhill, G.E. 1900. </w:t>
      </w:r>
      <w:r w:rsidRPr="000F0D4C">
        <w:rPr>
          <w:i/>
        </w:rPr>
        <w:t>A commentary of on the Hellenica of Xenophon.</w:t>
      </w:r>
      <w:r>
        <w:t xml:space="preserve"> Oxford: Clarendon Press. </w:t>
      </w:r>
    </w:p>
    <w:p w:rsidR="00054C87" w:rsidRDefault="00054C87" w:rsidP="001E61CE">
      <w:pPr>
        <w:spacing w:line="480" w:lineRule="auto"/>
      </w:pPr>
      <w:r>
        <w:t xml:space="preserve">Warner, R. 1966. Introduction in </w:t>
      </w:r>
      <w:r w:rsidR="004D34E6">
        <w:rPr>
          <w:i/>
        </w:rPr>
        <w:t>Xenophon: A History of M</w:t>
      </w:r>
      <w:r w:rsidRPr="00E96181">
        <w:rPr>
          <w:i/>
        </w:rPr>
        <w:t>y Times</w:t>
      </w:r>
      <w:r>
        <w:t>. London: Penguin</w:t>
      </w:r>
    </w:p>
    <w:p w:rsidR="00054C87" w:rsidRDefault="00054C87" w:rsidP="001E61CE">
      <w:pPr>
        <w:spacing w:line="480" w:lineRule="auto"/>
      </w:pPr>
      <w:r>
        <w:lastRenderedPageBreak/>
        <w:t xml:space="preserve">Woodhead, A.G. 1970. </w:t>
      </w:r>
      <w:r w:rsidR="004D19D5" w:rsidRPr="00A26CA2">
        <w:rPr>
          <w:i/>
        </w:rPr>
        <w:t>Thucydides</w:t>
      </w:r>
      <w:r w:rsidRPr="00A26CA2">
        <w:rPr>
          <w:i/>
        </w:rPr>
        <w:t xml:space="preserve"> on the Nature of Power</w:t>
      </w:r>
      <w:r>
        <w:rPr>
          <w:i/>
        </w:rPr>
        <w:t>.</w:t>
      </w:r>
      <w:r w:rsidR="004D34E6">
        <w:t xml:space="preserve"> Harvard University P</w:t>
      </w:r>
      <w:r>
        <w:t xml:space="preserve">ress: Cambridge </w:t>
      </w:r>
    </w:p>
    <w:sectPr w:rsidR="00054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1B88" w:rsidRDefault="00131B88" w:rsidP="004E4364">
      <w:pPr>
        <w:spacing w:after="0" w:line="240" w:lineRule="auto"/>
      </w:pPr>
      <w:r>
        <w:separator/>
      </w:r>
    </w:p>
  </w:endnote>
  <w:endnote w:type="continuationSeparator" w:id="0">
    <w:p w:rsidR="00131B88" w:rsidRDefault="00131B88" w:rsidP="004E4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1B88" w:rsidRDefault="00131B88" w:rsidP="004E4364">
      <w:pPr>
        <w:spacing w:after="0" w:line="240" w:lineRule="auto"/>
      </w:pPr>
      <w:r>
        <w:separator/>
      </w:r>
    </w:p>
  </w:footnote>
  <w:footnote w:type="continuationSeparator" w:id="0">
    <w:p w:rsidR="00131B88" w:rsidRDefault="00131B88" w:rsidP="004E4364">
      <w:pPr>
        <w:spacing w:after="0" w:line="240" w:lineRule="auto"/>
      </w:pPr>
      <w:r>
        <w:continuationSeparator/>
      </w:r>
    </w:p>
  </w:footnote>
  <w:footnote w:id="1">
    <w:p w:rsidR="007363C6" w:rsidRPr="001E61CE" w:rsidRDefault="007363C6">
      <w:pPr>
        <w:pStyle w:val="FootnoteText"/>
      </w:pPr>
      <w:r>
        <w:rPr>
          <w:rStyle w:val="FootnoteReference"/>
        </w:rPr>
        <w:footnoteRef/>
      </w:r>
      <w:r>
        <w:t xml:space="preserve"> </w:t>
      </w:r>
      <w:proofErr w:type="spellStart"/>
      <w:r w:rsidRPr="001E61CE">
        <w:t>Alcock</w:t>
      </w:r>
      <w:proofErr w:type="spellEnd"/>
      <w:r w:rsidRPr="001E61CE">
        <w:t xml:space="preserve"> 1991: 429</w:t>
      </w:r>
    </w:p>
  </w:footnote>
  <w:footnote w:id="2">
    <w:p w:rsidR="00D030A0" w:rsidRPr="001E61CE" w:rsidRDefault="00D030A0">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130</w:t>
      </w:r>
    </w:p>
  </w:footnote>
  <w:footnote w:id="3">
    <w:p w:rsidR="00646F0B" w:rsidRPr="001E61CE" w:rsidRDefault="00646F0B">
      <w:pPr>
        <w:pStyle w:val="FootnoteText"/>
      </w:pPr>
      <w:r w:rsidRPr="001E61CE">
        <w:rPr>
          <w:rStyle w:val="FootnoteReference"/>
        </w:rPr>
        <w:footnoteRef/>
      </w:r>
      <w:r w:rsidRPr="001E61CE">
        <w:t xml:space="preserve"> Anderson 1974 :8; </w:t>
      </w:r>
      <w:proofErr w:type="spellStart"/>
      <w:r w:rsidRPr="001E61CE">
        <w:t>Cawkwell</w:t>
      </w:r>
      <w:proofErr w:type="spellEnd"/>
      <w:r w:rsidRPr="001E61CE">
        <w:t xml:space="preserve"> 1977: 15; Underhill 1900: x-xi</w:t>
      </w:r>
      <w:r w:rsidR="00681869" w:rsidRPr="001E61CE">
        <w:t xml:space="preserve">; </w:t>
      </w:r>
      <w:proofErr w:type="spellStart"/>
      <w:r w:rsidR="00681869" w:rsidRPr="001E61CE">
        <w:t>Dillery</w:t>
      </w:r>
      <w:proofErr w:type="spellEnd"/>
      <w:r w:rsidR="00681869" w:rsidRPr="001E61CE">
        <w:t xml:space="preserve"> 1995: 4</w:t>
      </w:r>
      <w:r w:rsidR="00383975" w:rsidRPr="001E61CE">
        <w:t xml:space="preserve">; </w:t>
      </w:r>
      <w:proofErr w:type="spellStart"/>
      <w:r w:rsidR="00383975" w:rsidRPr="001E61CE">
        <w:t>Gray</w:t>
      </w:r>
      <w:proofErr w:type="spellEnd"/>
      <w:r w:rsidR="00383975" w:rsidRPr="001E61CE">
        <w:t xml:space="preserve"> </w:t>
      </w:r>
      <w:r w:rsidR="00FA596E" w:rsidRPr="001E61CE">
        <w:t>2010: 3</w:t>
      </w:r>
      <w:r w:rsidR="00651DE3" w:rsidRPr="001E61CE">
        <w:t xml:space="preserve">; </w:t>
      </w:r>
      <w:proofErr w:type="spellStart"/>
      <w:r w:rsidR="00651DE3" w:rsidRPr="001E61CE">
        <w:t>Luce</w:t>
      </w:r>
      <w:proofErr w:type="spellEnd"/>
      <w:r w:rsidR="00651DE3" w:rsidRPr="001E61CE">
        <w:t xml:space="preserve"> 1997: 99</w:t>
      </w:r>
      <w:r w:rsidR="002E756E">
        <w:t>; Bury 1909: 152</w:t>
      </w:r>
    </w:p>
  </w:footnote>
  <w:footnote w:id="4">
    <w:p w:rsidR="00646F0B" w:rsidRPr="001E61CE" w:rsidRDefault="00646F0B">
      <w:pPr>
        <w:pStyle w:val="FootnoteText"/>
      </w:pPr>
      <w:r w:rsidRPr="001E61CE">
        <w:rPr>
          <w:rStyle w:val="FootnoteReference"/>
        </w:rPr>
        <w:footnoteRef/>
      </w:r>
      <w:r w:rsidRPr="001E61CE">
        <w:t xml:space="preserve"> Underhill 1900: x-xi</w:t>
      </w:r>
      <w:r w:rsidR="003130CA" w:rsidRPr="001E61CE">
        <w:t xml:space="preserve">; </w:t>
      </w:r>
      <w:proofErr w:type="spellStart"/>
      <w:r w:rsidR="003130CA" w:rsidRPr="001E61CE">
        <w:t>Pownall</w:t>
      </w:r>
      <w:proofErr w:type="spellEnd"/>
      <w:r w:rsidR="003130CA" w:rsidRPr="001E61CE">
        <w:t xml:space="preserve"> 1998: 252</w:t>
      </w:r>
      <w:r w:rsidR="002F4610" w:rsidRPr="001E61CE">
        <w:t xml:space="preserve">; </w:t>
      </w:r>
      <w:proofErr w:type="spellStart"/>
      <w:r w:rsidR="002F4610" w:rsidRPr="001E61CE">
        <w:t>Dillery</w:t>
      </w:r>
      <w:proofErr w:type="spellEnd"/>
      <w:r w:rsidR="002F4610" w:rsidRPr="001E61CE">
        <w:t xml:space="preserve"> 1995: 5</w:t>
      </w:r>
      <w:r w:rsidR="009A2D72" w:rsidRPr="001E61CE">
        <w:t>, 9-11</w:t>
      </w:r>
      <w:r w:rsidR="0076099B">
        <w:t xml:space="preserve">; </w:t>
      </w:r>
      <w:r w:rsidR="00C5033F">
        <w:t>Bury 1909: 151-3</w:t>
      </w:r>
    </w:p>
  </w:footnote>
  <w:footnote w:id="5">
    <w:p w:rsidR="00646F0B" w:rsidRPr="001E61CE" w:rsidRDefault="00646F0B">
      <w:pPr>
        <w:pStyle w:val="FootnoteText"/>
      </w:pPr>
      <w:r w:rsidRPr="001E61CE">
        <w:rPr>
          <w:rStyle w:val="FootnoteReference"/>
        </w:rPr>
        <w:footnoteRef/>
      </w:r>
      <w:r w:rsidRPr="001E61CE">
        <w:t xml:space="preserve"> Underhill 1900: Ix,</w:t>
      </w:r>
      <w:r w:rsidR="002B72E7" w:rsidRPr="001E61CE">
        <w:t xml:space="preserve"> </w:t>
      </w:r>
      <w:r w:rsidRPr="001E61CE">
        <w:t>xii</w:t>
      </w:r>
      <w:r w:rsidR="002B72E7" w:rsidRPr="001E61CE">
        <w:t xml:space="preserve">, </w:t>
      </w:r>
      <w:r w:rsidR="00F679A0" w:rsidRPr="001E61CE">
        <w:t xml:space="preserve">xvi; </w:t>
      </w:r>
      <w:proofErr w:type="spellStart"/>
      <w:r w:rsidR="00F679A0" w:rsidRPr="001E61CE">
        <w:t>Dillery</w:t>
      </w:r>
      <w:proofErr w:type="spellEnd"/>
      <w:r w:rsidR="00F679A0" w:rsidRPr="001E61CE">
        <w:t xml:space="preserve"> 1995: 180, 196</w:t>
      </w:r>
      <w:r w:rsidR="00C34B84" w:rsidRPr="001E61CE">
        <w:t>; Flower 2016: 4</w:t>
      </w:r>
      <w:r w:rsidR="00DF2045" w:rsidRPr="001E61CE">
        <w:t xml:space="preserve">; </w:t>
      </w:r>
      <w:proofErr w:type="spellStart"/>
      <w:r w:rsidR="00DF2045" w:rsidRPr="001E61CE">
        <w:t>Luce</w:t>
      </w:r>
      <w:proofErr w:type="spellEnd"/>
      <w:r w:rsidR="00DF2045" w:rsidRPr="001E61CE">
        <w:t xml:space="preserve"> 1997: 104-5</w:t>
      </w:r>
    </w:p>
  </w:footnote>
  <w:footnote w:id="6">
    <w:p w:rsidR="00646F0B" w:rsidRPr="001E61CE" w:rsidRDefault="00646F0B">
      <w:pPr>
        <w:pStyle w:val="FootnoteText"/>
      </w:pPr>
      <w:r w:rsidRPr="001E61CE">
        <w:rPr>
          <w:rStyle w:val="FootnoteReference"/>
        </w:rPr>
        <w:footnoteRef/>
      </w:r>
      <w:r w:rsidRPr="001E61CE">
        <w:t xml:space="preserve"> Warner 1966: 246; Underhill 1900: xviii</w:t>
      </w:r>
    </w:p>
  </w:footnote>
  <w:footnote w:id="7">
    <w:p w:rsidR="007515BE" w:rsidRPr="001E61CE" w:rsidRDefault="007515BE">
      <w:pPr>
        <w:pStyle w:val="FootnoteText"/>
      </w:pPr>
      <w:r w:rsidRPr="001E61CE">
        <w:rPr>
          <w:rStyle w:val="FootnoteReference"/>
        </w:rPr>
        <w:footnoteRef/>
      </w:r>
      <w:r w:rsidRPr="001E61CE">
        <w:t xml:space="preserve"> </w:t>
      </w:r>
      <w:proofErr w:type="spellStart"/>
      <w:r w:rsidRPr="001E61CE">
        <w:t>Gray</w:t>
      </w:r>
      <w:proofErr w:type="spellEnd"/>
      <w:r w:rsidRPr="001E61CE">
        <w:t xml:space="preserve"> 2010: 553ff</w:t>
      </w:r>
    </w:p>
  </w:footnote>
  <w:footnote w:id="8">
    <w:p w:rsidR="00646F0B" w:rsidRPr="001E61CE" w:rsidRDefault="00646F0B">
      <w:pPr>
        <w:pStyle w:val="FootnoteText"/>
      </w:pPr>
      <w:r w:rsidRPr="001E61CE">
        <w:rPr>
          <w:rStyle w:val="FootnoteReference"/>
        </w:rPr>
        <w:footnoteRef/>
      </w:r>
      <w:r w:rsidRPr="001E61CE">
        <w:t xml:space="preserve"> </w:t>
      </w:r>
      <w:proofErr w:type="spellStart"/>
      <w:r w:rsidRPr="001E61CE">
        <w:t>Hdt</w:t>
      </w:r>
      <w:proofErr w:type="spellEnd"/>
      <w:r w:rsidRPr="001E61CE">
        <w:t xml:space="preserve">. 1.1; </w:t>
      </w:r>
      <w:proofErr w:type="spellStart"/>
      <w:r w:rsidRPr="001E61CE">
        <w:t>Thuc</w:t>
      </w:r>
      <w:proofErr w:type="spellEnd"/>
      <w:r w:rsidRPr="001E61CE">
        <w:t>. 1.20-22; Underhill 1900: xi</w:t>
      </w:r>
      <w:r w:rsidR="00DA69E8" w:rsidRPr="001E61CE">
        <w:t>; Flower 2016: 304</w:t>
      </w:r>
      <w:r w:rsidR="00F15FE2" w:rsidRPr="001E61CE">
        <w:t xml:space="preserve">; </w:t>
      </w:r>
      <w:proofErr w:type="spellStart"/>
      <w:r w:rsidR="00F15FE2" w:rsidRPr="001E61CE">
        <w:t>Luce</w:t>
      </w:r>
      <w:proofErr w:type="spellEnd"/>
      <w:r w:rsidR="00F15FE2" w:rsidRPr="001E61CE">
        <w:t xml:space="preserve"> 1997: 104</w:t>
      </w:r>
    </w:p>
  </w:footnote>
  <w:footnote w:id="9">
    <w:p w:rsidR="00C865E9" w:rsidRPr="001E61CE" w:rsidRDefault="00C865E9">
      <w:pPr>
        <w:pStyle w:val="FootnoteText"/>
      </w:pPr>
      <w:r w:rsidRPr="001E61CE">
        <w:rPr>
          <w:rStyle w:val="FootnoteReference"/>
        </w:rPr>
        <w:footnoteRef/>
      </w:r>
      <w:r w:rsidRPr="001E61CE">
        <w:t xml:space="preserve"> </w:t>
      </w:r>
      <w:proofErr w:type="spellStart"/>
      <w:r w:rsidRPr="001E61CE">
        <w:t>Dorion</w:t>
      </w:r>
      <w:proofErr w:type="spellEnd"/>
      <w:r w:rsidRPr="001E61CE">
        <w:t xml:space="preserve"> 2016: 37</w:t>
      </w:r>
    </w:p>
  </w:footnote>
  <w:footnote w:id="10">
    <w:p w:rsidR="00054120" w:rsidRPr="001E61CE" w:rsidRDefault="00054120">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7</w:t>
      </w:r>
      <w:r w:rsidR="00383975" w:rsidRPr="001E61CE">
        <w:t xml:space="preserve">; </w:t>
      </w:r>
      <w:proofErr w:type="spellStart"/>
      <w:r w:rsidR="00383975" w:rsidRPr="001E61CE">
        <w:t>Gra</w:t>
      </w:r>
      <w:r w:rsidR="00C264F1" w:rsidRPr="001E61CE">
        <w:t>y</w:t>
      </w:r>
      <w:proofErr w:type="spellEnd"/>
      <w:r w:rsidR="00C264F1" w:rsidRPr="001E61CE">
        <w:t xml:space="preserve"> 2010: 1</w:t>
      </w:r>
      <w:r w:rsidR="00EA1D3C" w:rsidRPr="001E61CE">
        <w:t>, 3</w:t>
      </w:r>
      <w:r w:rsidR="009C0F20" w:rsidRPr="001E61CE">
        <w:t xml:space="preserve">; </w:t>
      </w:r>
      <w:proofErr w:type="spellStart"/>
      <w:r w:rsidR="009C0F20" w:rsidRPr="001E61CE">
        <w:t>Marincola</w:t>
      </w:r>
      <w:proofErr w:type="spellEnd"/>
      <w:r w:rsidR="009C0F20" w:rsidRPr="001E61CE">
        <w:t xml:space="preserve"> 2016: 106 </w:t>
      </w:r>
    </w:p>
  </w:footnote>
  <w:footnote w:id="11">
    <w:p w:rsidR="0073397C" w:rsidRPr="001E61CE" w:rsidRDefault="0073397C">
      <w:pPr>
        <w:pStyle w:val="FootnoteText"/>
      </w:pPr>
      <w:r w:rsidRPr="001E61CE">
        <w:rPr>
          <w:rStyle w:val="FootnoteReference"/>
        </w:rPr>
        <w:footnoteRef/>
      </w:r>
      <w:r w:rsidRPr="001E61CE">
        <w:t xml:space="preserve"> </w:t>
      </w:r>
      <w:proofErr w:type="spellStart"/>
      <w:r w:rsidRPr="001E61CE">
        <w:t>Gray</w:t>
      </w:r>
      <w:proofErr w:type="spellEnd"/>
      <w:r w:rsidRPr="001E61CE">
        <w:t xml:space="preserve"> 2011: 372</w:t>
      </w:r>
    </w:p>
  </w:footnote>
  <w:footnote w:id="12">
    <w:p w:rsidR="00C501AA" w:rsidRPr="001E61CE" w:rsidRDefault="00C501AA">
      <w:pPr>
        <w:pStyle w:val="FootnoteText"/>
      </w:pPr>
      <w:r w:rsidRPr="001E61CE">
        <w:rPr>
          <w:rStyle w:val="FootnoteReference"/>
        </w:rPr>
        <w:footnoteRef/>
      </w:r>
      <w:r w:rsidRPr="001E61CE">
        <w:t xml:space="preserve"> </w:t>
      </w:r>
      <w:proofErr w:type="spellStart"/>
      <w:r w:rsidRPr="001E61CE">
        <w:t>Gray</w:t>
      </w:r>
      <w:proofErr w:type="spellEnd"/>
      <w:r w:rsidRPr="001E61CE">
        <w:t xml:space="preserve"> 2010: 554</w:t>
      </w:r>
    </w:p>
  </w:footnote>
  <w:footnote w:id="13">
    <w:p w:rsidR="00473481" w:rsidRPr="001E61CE" w:rsidRDefault="00473481">
      <w:pPr>
        <w:pStyle w:val="FootnoteText"/>
      </w:pPr>
      <w:r w:rsidRPr="001E61CE">
        <w:rPr>
          <w:rStyle w:val="FootnoteReference"/>
        </w:rPr>
        <w:footnoteRef/>
      </w:r>
      <w:r w:rsidRPr="001E61CE">
        <w:t xml:space="preserve"> Diller 1995: 249-51</w:t>
      </w:r>
      <w:r w:rsidR="00427EA9" w:rsidRPr="001E61CE">
        <w:t xml:space="preserve">; </w:t>
      </w:r>
      <w:proofErr w:type="spellStart"/>
      <w:r w:rsidR="00427EA9" w:rsidRPr="001E61CE">
        <w:t>Gray</w:t>
      </w:r>
      <w:proofErr w:type="spellEnd"/>
      <w:r w:rsidR="00427EA9" w:rsidRPr="001E61CE">
        <w:t xml:space="preserve"> 2010: 554</w:t>
      </w:r>
    </w:p>
  </w:footnote>
  <w:footnote w:id="14">
    <w:p w:rsidR="00646F0B" w:rsidRPr="001E61CE" w:rsidRDefault="00646F0B">
      <w:pPr>
        <w:pStyle w:val="FootnoteText"/>
      </w:pPr>
      <w:r w:rsidRPr="001E61CE">
        <w:rPr>
          <w:rStyle w:val="FootnoteReference"/>
        </w:rPr>
        <w:footnoteRef/>
      </w:r>
      <w:r w:rsidRPr="001E61CE">
        <w:t xml:space="preserve"> Xen. 7.2.1-3.1 compare Xen. 5.1.4,</w:t>
      </w:r>
      <w:r w:rsidR="00AD658F" w:rsidRPr="001E61CE">
        <w:t xml:space="preserve"> 5.2.6,</w:t>
      </w:r>
      <w:r w:rsidRPr="001E61CE">
        <w:t xml:space="preserve"> 5.3.5-7</w:t>
      </w:r>
    </w:p>
  </w:footnote>
  <w:footnote w:id="15">
    <w:p w:rsidR="00646F0B" w:rsidRPr="001E61CE" w:rsidRDefault="00646F0B">
      <w:pPr>
        <w:pStyle w:val="FootnoteText"/>
      </w:pPr>
      <w:r w:rsidRPr="001E61CE">
        <w:rPr>
          <w:rStyle w:val="FootnoteReference"/>
        </w:rPr>
        <w:footnoteRef/>
      </w:r>
      <w:r w:rsidRPr="001E61CE">
        <w:t xml:space="preserve"> Xen. 7.2.1-3.1</w:t>
      </w:r>
    </w:p>
  </w:footnote>
  <w:footnote w:id="16">
    <w:p w:rsidR="007630DD" w:rsidRPr="001E61CE" w:rsidRDefault="007630DD">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126-7</w:t>
      </w:r>
      <w:r w:rsidR="00A72F13" w:rsidRPr="001E61CE">
        <w:t>, 135</w:t>
      </w:r>
    </w:p>
  </w:footnote>
  <w:footnote w:id="17">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5.89</w:t>
      </w:r>
    </w:p>
  </w:footnote>
  <w:footnote w:id="18">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1998:262</w:t>
      </w:r>
    </w:p>
  </w:footnote>
  <w:footnote w:id="19">
    <w:p w:rsidR="00646F0B" w:rsidRPr="001E61CE" w:rsidRDefault="00646F0B">
      <w:pPr>
        <w:pStyle w:val="FootnoteText"/>
      </w:pPr>
      <w:r w:rsidRPr="001E61CE">
        <w:rPr>
          <w:rStyle w:val="FootnoteReference"/>
        </w:rPr>
        <w:footnoteRef/>
      </w:r>
      <w:r w:rsidRPr="001E61CE">
        <w:t xml:space="preserve"> </w:t>
      </w:r>
      <w:proofErr w:type="spellStart"/>
      <w:r w:rsidR="006712B7" w:rsidRPr="001E61CE">
        <w:t>Cawkwell</w:t>
      </w:r>
      <w:proofErr w:type="spellEnd"/>
      <w:r w:rsidR="006712B7" w:rsidRPr="001E61CE">
        <w:t xml:space="preserve"> 1977: 43</w:t>
      </w:r>
      <w:r w:rsidR="00473481" w:rsidRPr="001E61CE">
        <w:t>; Diller 1995: 252</w:t>
      </w:r>
    </w:p>
  </w:footnote>
  <w:footnote w:id="20">
    <w:p w:rsidR="00646F0B" w:rsidRPr="001E61CE" w:rsidRDefault="00646F0B">
      <w:pPr>
        <w:pStyle w:val="FootnoteText"/>
      </w:pPr>
      <w:r w:rsidRPr="001E61CE">
        <w:rPr>
          <w:rStyle w:val="FootnoteReference"/>
        </w:rPr>
        <w:footnoteRef/>
      </w:r>
      <w:r w:rsidRPr="001E61CE">
        <w:t xml:space="preserve"> </w:t>
      </w:r>
      <w:r w:rsidR="00B618EB" w:rsidRPr="001E61CE">
        <w:t>Underhill 1900: xxxi</w:t>
      </w:r>
      <w:r w:rsidR="00EB6C59" w:rsidRPr="001E61CE">
        <w:t xml:space="preserve">; </w:t>
      </w:r>
      <w:proofErr w:type="spellStart"/>
      <w:r w:rsidR="00EB6C59" w:rsidRPr="001E61CE">
        <w:t>Cawkwell</w:t>
      </w:r>
      <w:proofErr w:type="spellEnd"/>
      <w:r w:rsidR="00EB6C59" w:rsidRPr="001E61CE">
        <w:t xml:space="preserve"> 1977: 18</w:t>
      </w:r>
      <w:r w:rsidR="001C1F15" w:rsidRPr="001E61CE">
        <w:t xml:space="preserve">; </w:t>
      </w:r>
      <w:proofErr w:type="spellStart"/>
      <w:r w:rsidR="001C1F15" w:rsidRPr="001E61CE">
        <w:t>Kre</w:t>
      </w:r>
      <w:r w:rsidR="0001303E" w:rsidRPr="001E61CE">
        <w:t>ntz</w:t>
      </w:r>
      <w:proofErr w:type="spellEnd"/>
      <w:r w:rsidR="0001303E" w:rsidRPr="001E61CE">
        <w:t xml:space="preserve"> 1989: 5</w:t>
      </w:r>
    </w:p>
  </w:footnote>
  <w:footnote w:id="21">
    <w:p w:rsidR="00646F0B" w:rsidRPr="001E61CE" w:rsidRDefault="00646F0B">
      <w:pPr>
        <w:pStyle w:val="FootnoteText"/>
      </w:pPr>
      <w:r w:rsidRPr="001E61CE">
        <w:rPr>
          <w:rStyle w:val="FootnoteReference"/>
        </w:rPr>
        <w:footnoteRef/>
      </w:r>
      <w:r w:rsidRPr="001E61CE">
        <w:t xml:space="preserve"> </w:t>
      </w:r>
      <w:proofErr w:type="spellStart"/>
      <w:r w:rsidR="00BE61CA" w:rsidRPr="001E61CE">
        <w:t>Pownall</w:t>
      </w:r>
      <w:proofErr w:type="spellEnd"/>
      <w:r w:rsidR="00BE61CA" w:rsidRPr="001E61CE">
        <w:t xml:space="preserve"> 1998: 261</w:t>
      </w:r>
      <w:r w:rsidR="004838D2" w:rsidRPr="001E61CE">
        <w:t>; Underhill 1900: xxxi</w:t>
      </w:r>
    </w:p>
  </w:footnote>
  <w:footnote w:id="22">
    <w:p w:rsidR="00646F0B" w:rsidRPr="001E61CE" w:rsidRDefault="00646F0B">
      <w:pPr>
        <w:pStyle w:val="FootnoteText"/>
      </w:pPr>
      <w:r w:rsidRPr="001E61CE">
        <w:rPr>
          <w:rStyle w:val="FootnoteReference"/>
        </w:rPr>
        <w:footnoteRef/>
      </w:r>
      <w:r w:rsidRPr="001E61CE">
        <w:t xml:space="preserve"> Plat. </w:t>
      </w:r>
      <w:proofErr w:type="spellStart"/>
      <w:r w:rsidRPr="001E61CE">
        <w:t>Apol</w:t>
      </w:r>
      <w:proofErr w:type="spellEnd"/>
      <w:r w:rsidRPr="001E61CE">
        <w:t xml:space="preserve">; Plat. Crito; Plat. </w:t>
      </w:r>
      <w:proofErr w:type="spellStart"/>
      <w:r w:rsidRPr="001E61CE">
        <w:t>Phaedo</w:t>
      </w:r>
      <w:proofErr w:type="spellEnd"/>
      <w:r w:rsidRPr="001E61CE">
        <w:t xml:space="preserve">; Xen. Mem; </w:t>
      </w:r>
      <w:proofErr w:type="spellStart"/>
      <w:r w:rsidRPr="001E61CE">
        <w:t>Plut</w:t>
      </w:r>
      <w:proofErr w:type="spellEnd"/>
      <w:r w:rsidRPr="001E61CE">
        <w:t xml:space="preserve">. </w:t>
      </w:r>
      <w:proofErr w:type="spellStart"/>
      <w:r w:rsidRPr="001E61CE">
        <w:t>Moralia</w:t>
      </w:r>
      <w:proofErr w:type="spellEnd"/>
      <w:r w:rsidRPr="001E61CE">
        <w:t xml:space="preserve"> and Lives</w:t>
      </w:r>
    </w:p>
  </w:footnote>
  <w:footnote w:id="23">
    <w:p w:rsidR="00646F0B" w:rsidRPr="001E61CE" w:rsidRDefault="00646F0B">
      <w:pPr>
        <w:pStyle w:val="FootnoteText"/>
      </w:pPr>
      <w:r w:rsidRPr="001E61CE">
        <w:rPr>
          <w:rStyle w:val="FootnoteReference"/>
        </w:rPr>
        <w:footnoteRef/>
      </w:r>
      <w:r w:rsidRPr="001E61CE">
        <w:t xml:space="preserve"> </w:t>
      </w:r>
      <w:proofErr w:type="spellStart"/>
      <w:r w:rsidRPr="001E61CE">
        <w:t>Hdt</w:t>
      </w:r>
      <w:proofErr w:type="spellEnd"/>
      <w:r w:rsidRPr="001E61CE">
        <w:t>. 7.14ff,</w:t>
      </w:r>
      <w:r w:rsidR="00242FC0" w:rsidRPr="001E61CE">
        <w:t xml:space="preserve"> </w:t>
      </w:r>
      <w:r w:rsidRPr="001E61CE">
        <w:t xml:space="preserve">7.46, </w:t>
      </w:r>
      <w:proofErr w:type="spellStart"/>
      <w:r w:rsidR="00242FC0" w:rsidRPr="001E61CE">
        <w:t>Thuc</w:t>
      </w:r>
      <w:proofErr w:type="spellEnd"/>
      <w:r w:rsidR="00242FC0" w:rsidRPr="001E61CE">
        <w:t xml:space="preserve">. 1.3 </w:t>
      </w:r>
      <w:r w:rsidRPr="001E61CE">
        <w:t xml:space="preserve">to </w:t>
      </w:r>
      <w:r w:rsidR="00242FC0" w:rsidRPr="001E61CE">
        <w:t>name a few particular examples</w:t>
      </w:r>
      <w:r w:rsidRPr="001E61CE">
        <w:t xml:space="preserve">; </w:t>
      </w:r>
      <w:proofErr w:type="spellStart"/>
      <w:r w:rsidRPr="001E61CE">
        <w:t>Romm</w:t>
      </w:r>
      <w:proofErr w:type="spellEnd"/>
      <w:r w:rsidRPr="001E61CE">
        <w:t xml:space="preserve">  2012: 212 </w:t>
      </w:r>
    </w:p>
  </w:footnote>
  <w:footnote w:id="24">
    <w:p w:rsidR="00646F0B" w:rsidRPr="001E61CE" w:rsidRDefault="00646F0B">
      <w:pPr>
        <w:pStyle w:val="FootnoteText"/>
      </w:pPr>
      <w:r w:rsidRPr="001E61CE">
        <w:rPr>
          <w:rStyle w:val="FootnoteReference"/>
        </w:rPr>
        <w:footnoteRef/>
      </w:r>
      <w:r w:rsidRPr="001E61CE">
        <w:t xml:space="preserve"> </w:t>
      </w:r>
      <w:proofErr w:type="spellStart"/>
      <w:r w:rsidRPr="001E61CE">
        <w:t>Hdt</w:t>
      </w:r>
      <w:proofErr w:type="spellEnd"/>
      <w:r w:rsidRPr="001E61CE">
        <w:t>. 3.38,</w:t>
      </w:r>
      <w:r w:rsidR="00631A4F" w:rsidRPr="001E61CE">
        <w:t xml:space="preserve"> </w:t>
      </w:r>
      <w:r w:rsidRPr="001E61CE">
        <w:t xml:space="preserve">6.84; </w:t>
      </w:r>
      <w:proofErr w:type="spellStart"/>
      <w:r w:rsidRPr="001E61CE">
        <w:t>Thuc</w:t>
      </w:r>
      <w:proofErr w:type="spellEnd"/>
      <w:r w:rsidRPr="001E61CE">
        <w:t>. 5.84ff</w:t>
      </w:r>
    </w:p>
  </w:footnote>
  <w:footnote w:id="25">
    <w:p w:rsidR="00646F0B" w:rsidRPr="001E61CE" w:rsidRDefault="00646F0B">
      <w:pPr>
        <w:pStyle w:val="FootnoteText"/>
      </w:pPr>
      <w:r w:rsidRPr="001E61CE">
        <w:rPr>
          <w:rStyle w:val="FootnoteReference"/>
        </w:rPr>
        <w:footnoteRef/>
      </w:r>
      <w:r w:rsidRPr="001E61CE">
        <w:t xml:space="preserve"> </w:t>
      </w:r>
      <w:r w:rsidR="008744A1" w:rsidRPr="001E61CE">
        <w:t xml:space="preserve">Morley 1999: </w:t>
      </w:r>
      <w:r w:rsidR="00AF613C" w:rsidRPr="001E61CE">
        <w:t>20</w:t>
      </w:r>
      <w:r w:rsidR="002D163C" w:rsidRPr="001E61CE">
        <w:t>ff</w:t>
      </w:r>
      <w:r w:rsidR="00AF613C" w:rsidRPr="001E61CE">
        <w:t xml:space="preserve"> </w:t>
      </w:r>
    </w:p>
  </w:footnote>
  <w:footnote w:id="26">
    <w:p w:rsidR="00646F0B" w:rsidRPr="001E61CE" w:rsidRDefault="00646F0B">
      <w:pPr>
        <w:pStyle w:val="FootnoteText"/>
      </w:pPr>
      <w:r w:rsidRPr="001E61CE">
        <w:rPr>
          <w:rStyle w:val="FootnoteReference"/>
        </w:rPr>
        <w:footnoteRef/>
      </w:r>
      <w:proofErr w:type="spellStart"/>
      <w:r w:rsidR="00E47D35" w:rsidRPr="001E61CE">
        <w:t>Csapo</w:t>
      </w:r>
      <w:proofErr w:type="spellEnd"/>
      <w:r w:rsidR="00E47D35" w:rsidRPr="001E61CE">
        <w:t xml:space="preserve"> 2005: 1</w:t>
      </w:r>
    </w:p>
  </w:footnote>
  <w:footnote w:id="27">
    <w:p w:rsidR="00646F0B" w:rsidRPr="001E61CE" w:rsidRDefault="00646F0B">
      <w:pPr>
        <w:pStyle w:val="FootnoteText"/>
      </w:pPr>
      <w:r w:rsidRPr="001E61CE">
        <w:rPr>
          <w:rStyle w:val="FootnoteReference"/>
        </w:rPr>
        <w:footnoteRef/>
      </w:r>
      <w:r w:rsidRPr="001E61CE">
        <w:t xml:space="preserve"> </w:t>
      </w:r>
      <w:r w:rsidR="003D716A" w:rsidRPr="001E61CE">
        <w:t>Morley 1999: 22</w:t>
      </w:r>
    </w:p>
  </w:footnote>
  <w:footnote w:id="28">
    <w:p w:rsidR="002A4749" w:rsidRPr="001E61CE" w:rsidRDefault="002A4749">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w:t>
      </w:r>
      <w:r w:rsidR="00F679A0" w:rsidRPr="001E61CE">
        <w:t>4,</w:t>
      </w:r>
      <w:r w:rsidRPr="001E61CE">
        <w:t>123</w:t>
      </w:r>
    </w:p>
  </w:footnote>
  <w:footnote w:id="29">
    <w:p w:rsidR="00D50C0B" w:rsidRPr="001E61CE" w:rsidRDefault="00D50C0B">
      <w:pPr>
        <w:pStyle w:val="FootnoteText"/>
      </w:pPr>
      <w:r w:rsidRPr="001E61CE">
        <w:rPr>
          <w:rStyle w:val="FootnoteReference"/>
        </w:rPr>
        <w:footnoteRef/>
      </w:r>
      <w:r w:rsidRPr="001E61CE">
        <w:t xml:space="preserve"> </w:t>
      </w:r>
      <w:proofErr w:type="spellStart"/>
      <w:r w:rsidR="00F74C93" w:rsidRPr="001E61CE">
        <w:t>Pownall</w:t>
      </w:r>
      <w:proofErr w:type="spellEnd"/>
      <w:r w:rsidR="00F74C93" w:rsidRPr="001E61CE">
        <w:t xml:space="preserve"> 1998: 252</w:t>
      </w:r>
      <w:r w:rsidR="00EB6C59" w:rsidRPr="001E61CE">
        <w:t xml:space="preserve">; </w:t>
      </w:r>
      <w:proofErr w:type="spellStart"/>
      <w:r w:rsidR="00EB6C59" w:rsidRPr="001E61CE">
        <w:t>Cawkwell</w:t>
      </w:r>
      <w:proofErr w:type="spellEnd"/>
      <w:r w:rsidR="00EB6C59" w:rsidRPr="001E61CE">
        <w:t xml:space="preserve"> 1977: 31</w:t>
      </w:r>
      <w:r w:rsidR="004F4178" w:rsidRPr="001E61CE">
        <w:t>, 43;</w:t>
      </w:r>
      <w:r w:rsidR="00985F7E" w:rsidRPr="001E61CE">
        <w:t xml:space="preserve"> Warner 1966: 7</w:t>
      </w:r>
      <w:r w:rsidR="00C51390" w:rsidRPr="001E61CE">
        <w:t xml:space="preserve">; </w:t>
      </w:r>
      <w:proofErr w:type="spellStart"/>
      <w:r w:rsidR="00C51390" w:rsidRPr="001E61CE">
        <w:t>Krentz</w:t>
      </w:r>
      <w:proofErr w:type="spellEnd"/>
      <w:r w:rsidR="00C51390" w:rsidRPr="001E61CE">
        <w:t xml:space="preserve"> 1989: iv, 4-7</w:t>
      </w:r>
      <w:r w:rsidR="00352F91" w:rsidRPr="001E61CE">
        <w:t xml:space="preserve">; </w:t>
      </w:r>
      <w:proofErr w:type="spellStart"/>
      <w:r w:rsidR="00352F91" w:rsidRPr="001E61CE">
        <w:t>Dillery</w:t>
      </w:r>
      <w:proofErr w:type="spellEnd"/>
      <w:r w:rsidR="00352F91" w:rsidRPr="001E61CE">
        <w:t xml:space="preserve"> 1995: </w:t>
      </w:r>
      <w:r w:rsidR="002F637D" w:rsidRPr="001E61CE">
        <w:t xml:space="preserve">3, </w:t>
      </w:r>
      <w:r w:rsidR="00352F91" w:rsidRPr="001E61CE">
        <w:t>137</w:t>
      </w:r>
      <w:r w:rsidR="004418E4" w:rsidRPr="001E61CE">
        <w:t xml:space="preserve">; </w:t>
      </w:r>
      <w:proofErr w:type="spellStart"/>
      <w:r w:rsidR="004418E4" w:rsidRPr="001E61CE">
        <w:t>Tamiolaki</w:t>
      </w:r>
      <w:proofErr w:type="spellEnd"/>
      <w:r w:rsidR="004418E4" w:rsidRPr="001E61CE">
        <w:t xml:space="preserve"> </w:t>
      </w:r>
      <w:r w:rsidR="000443A2" w:rsidRPr="001E61CE">
        <w:t>2008</w:t>
      </w:r>
      <w:r w:rsidR="004418E4" w:rsidRPr="001E61CE">
        <w:t>: 15</w:t>
      </w:r>
    </w:p>
  </w:footnote>
  <w:footnote w:id="30">
    <w:p w:rsidR="00747628" w:rsidRPr="001E61CE" w:rsidRDefault="00747628">
      <w:pPr>
        <w:pStyle w:val="FootnoteText"/>
      </w:pPr>
      <w:r w:rsidRPr="001E61CE">
        <w:rPr>
          <w:rStyle w:val="FootnoteReference"/>
        </w:rPr>
        <w:footnoteRef/>
      </w:r>
      <w:r w:rsidRPr="001E61CE">
        <w:t xml:space="preserve"> </w:t>
      </w:r>
      <w:proofErr w:type="spellStart"/>
      <w:r w:rsidRPr="001E61CE">
        <w:t>Luce</w:t>
      </w:r>
      <w:proofErr w:type="spellEnd"/>
      <w:r w:rsidRPr="001E61CE">
        <w:t xml:space="preserve"> 1997: 105</w:t>
      </w:r>
    </w:p>
  </w:footnote>
  <w:footnote w:id="31">
    <w:p w:rsidR="00476B16" w:rsidRPr="001E61CE" w:rsidRDefault="00476B16">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127</w:t>
      </w:r>
    </w:p>
  </w:footnote>
  <w:footnote w:id="32">
    <w:p w:rsidR="00476B16" w:rsidRPr="001E61CE" w:rsidRDefault="00476B16">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127-30</w:t>
      </w:r>
    </w:p>
  </w:footnote>
  <w:footnote w:id="33">
    <w:p w:rsidR="00190534" w:rsidRPr="001E61CE" w:rsidRDefault="00190534">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123</w:t>
      </w:r>
      <w:r w:rsidR="00614924" w:rsidRPr="001E61CE">
        <w:t xml:space="preserve">; </w:t>
      </w:r>
      <w:proofErr w:type="spellStart"/>
      <w:r w:rsidR="00614924" w:rsidRPr="001E61CE">
        <w:t>Dillery</w:t>
      </w:r>
      <w:proofErr w:type="spellEnd"/>
      <w:r w:rsidR="00614924" w:rsidRPr="001E61CE">
        <w:t xml:space="preserve"> 2016: 195</w:t>
      </w:r>
    </w:p>
  </w:footnote>
  <w:footnote w:id="34">
    <w:p w:rsidR="00E15B0C" w:rsidRPr="001E61CE" w:rsidRDefault="00E15B0C">
      <w:pPr>
        <w:pStyle w:val="FootnoteText"/>
      </w:pPr>
      <w:r w:rsidRPr="001E61CE">
        <w:rPr>
          <w:rStyle w:val="FootnoteReference"/>
        </w:rPr>
        <w:footnoteRef/>
      </w:r>
      <w:r w:rsidRPr="001E61CE">
        <w:t xml:space="preserve"> </w:t>
      </w:r>
      <w:proofErr w:type="spellStart"/>
      <w:r w:rsidRPr="001E61CE">
        <w:t>Balot</w:t>
      </w:r>
      <w:proofErr w:type="spellEnd"/>
      <w:r w:rsidRPr="001E61CE">
        <w:t xml:space="preserve">, </w:t>
      </w:r>
      <w:proofErr w:type="spellStart"/>
      <w:r w:rsidRPr="001E61CE">
        <w:t>Forsdyke</w:t>
      </w:r>
      <w:proofErr w:type="spellEnd"/>
      <w:r w:rsidRPr="001E61CE">
        <w:t xml:space="preserve"> and Foster 2017: 11 , </w:t>
      </w:r>
      <w:r w:rsidR="00AE5344" w:rsidRPr="001E61CE">
        <w:t xml:space="preserve">Ludwig 2017: </w:t>
      </w:r>
      <w:r w:rsidRPr="001E61CE">
        <w:t>515</w:t>
      </w:r>
      <w:r w:rsidR="00347410">
        <w:t>; Bury 1909: 138-41</w:t>
      </w:r>
    </w:p>
  </w:footnote>
  <w:footnote w:id="35">
    <w:p w:rsidR="009B32DA" w:rsidRPr="001E61CE" w:rsidRDefault="009B32DA">
      <w:pPr>
        <w:pStyle w:val="FootnoteText"/>
        <w:rPr>
          <w:lang w:val="en-US"/>
        </w:rPr>
      </w:pPr>
      <w:r w:rsidRPr="001E61CE">
        <w:rPr>
          <w:rStyle w:val="FootnoteReference"/>
        </w:rPr>
        <w:footnoteRef/>
      </w:r>
      <w:r w:rsidRPr="001E61CE">
        <w:t xml:space="preserve"> </w:t>
      </w:r>
      <w:proofErr w:type="spellStart"/>
      <w:r w:rsidRPr="001E61CE">
        <w:t>Pownall</w:t>
      </w:r>
      <w:proofErr w:type="spellEnd"/>
      <w:r w:rsidRPr="001E61CE">
        <w:t xml:space="preserve"> 1998: 273-274</w:t>
      </w:r>
      <w:r w:rsidR="00DD4A25" w:rsidRPr="001E61CE">
        <w:t xml:space="preserve">; </w:t>
      </w:r>
      <w:proofErr w:type="spellStart"/>
      <w:r w:rsidR="00DD4A25" w:rsidRPr="001E61CE">
        <w:t>Dillery</w:t>
      </w:r>
      <w:proofErr w:type="spellEnd"/>
      <w:r w:rsidR="00DD4A25" w:rsidRPr="001E61CE">
        <w:t xml:space="preserve"> 1995: 242</w:t>
      </w:r>
      <w:r w:rsidR="004D19D5" w:rsidRPr="001E61CE">
        <w:t>; Mara 2017: 533</w:t>
      </w:r>
      <w:r w:rsidR="00DF2045" w:rsidRPr="001E61CE">
        <w:t xml:space="preserve">; </w:t>
      </w:r>
      <w:proofErr w:type="spellStart"/>
      <w:r w:rsidR="00DF2045" w:rsidRPr="001E61CE">
        <w:t>Luce</w:t>
      </w:r>
      <w:proofErr w:type="spellEnd"/>
      <w:r w:rsidR="00DF2045" w:rsidRPr="001E61CE">
        <w:t xml:space="preserve"> 1997: 104</w:t>
      </w:r>
    </w:p>
  </w:footnote>
  <w:footnote w:id="36">
    <w:p w:rsidR="00646F0B" w:rsidRPr="001E61CE" w:rsidRDefault="00646F0B">
      <w:pPr>
        <w:pStyle w:val="FootnoteText"/>
      </w:pPr>
      <w:r w:rsidRPr="001E61CE">
        <w:rPr>
          <w:rStyle w:val="FootnoteReference"/>
        </w:rPr>
        <w:footnoteRef/>
      </w:r>
      <w:r w:rsidRPr="001E61CE">
        <w:t xml:space="preserve"> </w:t>
      </w:r>
      <w:proofErr w:type="spellStart"/>
      <w:r w:rsidRPr="001E61CE">
        <w:t>Hdt</w:t>
      </w:r>
      <w:proofErr w:type="spellEnd"/>
      <w:r w:rsidRPr="001E61CE">
        <w:t xml:space="preserve">. 1.1; </w:t>
      </w:r>
      <w:proofErr w:type="spellStart"/>
      <w:r w:rsidRPr="001E61CE">
        <w:t>Thuc</w:t>
      </w:r>
      <w:proofErr w:type="spellEnd"/>
      <w:r w:rsidRPr="001E61CE">
        <w:t>. 1.20-22</w:t>
      </w:r>
      <w:r w:rsidR="00223703" w:rsidRPr="001E61CE">
        <w:t xml:space="preserve">; </w:t>
      </w:r>
      <w:proofErr w:type="spellStart"/>
      <w:r w:rsidR="00223703" w:rsidRPr="001E61CE">
        <w:t>Luce</w:t>
      </w:r>
      <w:proofErr w:type="spellEnd"/>
      <w:r w:rsidR="00223703" w:rsidRPr="001E61CE">
        <w:t xml:space="preserve"> 1997: 60</w:t>
      </w:r>
    </w:p>
  </w:footnote>
  <w:footnote w:id="37">
    <w:p w:rsidR="002375D8" w:rsidRPr="001E61CE" w:rsidRDefault="002375D8">
      <w:pPr>
        <w:pStyle w:val="FootnoteText"/>
      </w:pPr>
      <w:r w:rsidRPr="001E61CE">
        <w:rPr>
          <w:rStyle w:val="FootnoteReference"/>
        </w:rPr>
        <w:footnoteRef/>
      </w:r>
      <w:r w:rsidRPr="001E61CE">
        <w:t xml:space="preserve"> </w:t>
      </w:r>
      <w:r w:rsidR="00897222" w:rsidRPr="001E61CE">
        <w:t>Warner 1966: 7</w:t>
      </w:r>
      <w:r w:rsidR="00490FB8" w:rsidRPr="001E61CE">
        <w:t xml:space="preserve">; </w:t>
      </w:r>
      <w:proofErr w:type="spellStart"/>
      <w:r w:rsidR="00490FB8" w:rsidRPr="001E61CE">
        <w:t>Pownall</w:t>
      </w:r>
      <w:proofErr w:type="spellEnd"/>
      <w:r w:rsidR="00490FB8" w:rsidRPr="001E61CE">
        <w:t xml:space="preserve"> 199</w:t>
      </w:r>
      <w:r w:rsidR="005D558C" w:rsidRPr="001E61CE">
        <w:t xml:space="preserve">8: 252; Underhill 1900: xi, xvi; </w:t>
      </w:r>
      <w:proofErr w:type="spellStart"/>
      <w:r w:rsidR="005D558C" w:rsidRPr="001E61CE">
        <w:t>Dillery</w:t>
      </w:r>
      <w:proofErr w:type="spellEnd"/>
      <w:r w:rsidR="005D558C" w:rsidRPr="001E61CE">
        <w:t xml:space="preserve"> 1995: 182-6</w:t>
      </w:r>
    </w:p>
  </w:footnote>
  <w:footnote w:id="38">
    <w:p w:rsidR="00646F0B" w:rsidRPr="001E61CE" w:rsidRDefault="00646F0B">
      <w:pPr>
        <w:pStyle w:val="FootnoteText"/>
      </w:pPr>
      <w:r w:rsidRPr="001E61CE">
        <w:rPr>
          <w:rStyle w:val="FootnoteReference"/>
        </w:rPr>
        <w:footnoteRef/>
      </w:r>
      <w:r w:rsidRPr="001E61CE">
        <w:t xml:space="preserve"> Xen. 7.2.1-3.1 ,5.1.4, 5.3.5-7</w:t>
      </w:r>
      <w:r w:rsidR="003C7B68" w:rsidRPr="001E61CE">
        <w:t>;</w:t>
      </w:r>
      <w:r w:rsidR="008B2BCE" w:rsidRPr="001E61CE">
        <w:t xml:space="preserve"> </w:t>
      </w:r>
      <w:proofErr w:type="spellStart"/>
      <w:r w:rsidR="008B2BCE" w:rsidRPr="001E61CE">
        <w:t>Pownal</w:t>
      </w:r>
      <w:proofErr w:type="spellEnd"/>
      <w:r w:rsidR="008B2BCE" w:rsidRPr="001E61CE">
        <w:t xml:space="preserve"> 1998: 253, 276ff</w:t>
      </w:r>
    </w:p>
  </w:footnote>
  <w:footnote w:id="39">
    <w:p w:rsidR="00646F0B" w:rsidRPr="001E61CE" w:rsidRDefault="00646F0B">
      <w:pPr>
        <w:pStyle w:val="FootnoteText"/>
      </w:pPr>
      <w:r w:rsidRPr="001E61CE">
        <w:rPr>
          <w:rStyle w:val="FootnoteReference"/>
        </w:rPr>
        <w:footnoteRef/>
      </w:r>
      <w:r w:rsidRPr="001E61CE">
        <w:t xml:space="preserve"> </w:t>
      </w:r>
      <w:proofErr w:type="spellStart"/>
      <w:r w:rsidRPr="001E61CE">
        <w:t>Cawkwell</w:t>
      </w:r>
      <w:proofErr w:type="spellEnd"/>
      <w:r w:rsidRPr="001E61CE">
        <w:t xml:space="preserve"> 1977: 35,43</w:t>
      </w:r>
    </w:p>
  </w:footnote>
  <w:footnote w:id="40">
    <w:p w:rsidR="00646F0B" w:rsidRPr="001E61CE" w:rsidRDefault="00646F0B">
      <w:pPr>
        <w:pStyle w:val="FootnoteText"/>
      </w:pPr>
      <w:r w:rsidRPr="001E61CE">
        <w:rPr>
          <w:rStyle w:val="FootnoteReference"/>
        </w:rPr>
        <w:footnoteRef/>
      </w:r>
      <w:r w:rsidRPr="001E61CE">
        <w:t xml:space="preserve"> </w:t>
      </w:r>
      <w:proofErr w:type="spellStart"/>
      <w:r w:rsidR="0029171C" w:rsidRPr="001E61CE">
        <w:t>Pownall</w:t>
      </w:r>
      <w:proofErr w:type="spellEnd"/>
      <w:r w:rsidR="0029171C" w:rsidRPr="001E61CE">
        <w:t xml:space="preserve"> 1998: 259;</w:t>
      </w:r>
      <w:r w:rsidR="00A676D8" w:rsidRPr="001E61CE">
        <w:t xml:space="preserve"> Xen. Hell. 2.3.56, 5.1.4, 7.2.1</w:t>
      </w:r>
    </w:p>
  </w:footnote>
  <w:footnote w:id="41">
    <w:p w:rsidR="002A4749" w:rsidRPr="001E61CE" w:rsidRDefault="002A4749">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123</w:t>
      </w:r>
    </w:p>
  </w:footnote>
  <w:footnote w:id="42">
    <w:p w:rsidR="00646F0B" w:rsidRPr="001E61CE" w:rsidRDefault="00646F0B">
      <w:pPr>
        <w:pStyle w:val="FootnoteText"/>
      </w:pPr>
      <w:r w:rsidRPr="001E61CE">
        <w:rPr>
          <w:rStyle w:val="FootnoteReference"/>
        </w:rPr>
        <w:footnoteRef/>
      </w:r>
      <w:r w:rsidRPr="001E61CE">
        <w:t xml:space="preserve"> </w:t>
      </w:r>
      <w:proofErr w:type="spellStart"/>
      <w:r w:rsidRPr="001E61CE">
        <w:t>Cawkwell</w:t>
      </w:r>
      <w:proofErr w:type="spellEnd"/>
      <w:r w:rsidRPr="001E61CE">
        <w:t xml:space="preserve"> 1977: 43</w:t>
      </w:r>
    </w:p>
  </w:footnote>
  <w:footnote w:id="43">
    <w:p w:rsidR="00646F0B" w:rsidRPr="001E61CE" w:rsidRDefault="00646F0B">
      <w:pPr>
        <w:pStyle w:val="FootnoteText"/>
      </w:pPr>
      <w:r w:rsidRPr="001E61CE">
        <w:rPr>
          <w:rStyle w:val="FootnoteReference"/>
        </w:rPr>
        <w:footnoteRef/>
      </w:r>
      <w:r w:rsidRPr="001E61CE">
        <w:t xml:space="preserve"> Underhill 1900: xii</w:t>
      </w:r>
    </w:p>
  </w:footnote>
  <w:footnote w:id="44">
    <w:p w:rsidR="00646F0B" w:rsidRPr="001E61CE" w:rsidRDefault="00646F0B">
      <w:pPr>
        <w:pStyle w:val="FootnoteText"/>
      </w:pPr>
      <w:r w:rsidRPr="001E61CE">
        <w:rPr>
          <w:rStyle w:val="FootnoteReference"/>
        </w:rPr>
        <w:footnoteRef/>
      </w:r>
      <w:r w:rsidRPr="001E61CE">
        <w:t xml:space="preserve"> </w:t>
      </w:r>
      <w:proofErr w:type="spellStart"/>
      <w:r w:rsidRPr="001E61CE">
        <w:t>Cawkwell</w:t>
      </w:r>
      <w:proofErr w:type="spellEnd"/>
      <w:r w:rsidRPr="001E61CE">
        <w:t xml:space="preserve"> 1977: 31</w:t>
      </w:r>
    </w:p>
  </w:footnote>
  <w:footnote w:id="45">
    <w:p w:rsidR="00646F0B" w:rsidRPr="001E61CE" w:rsidRDefault="00646F0B">
      <w:pPr>
        <w:pStyle w:val="FootnoteText"/>
      </w:pPr>
      <w:r w:rsidRPr="001E61CE">
        <w:rPr>
          <w:rStyle w:val="FootnoteReference"/>
        </w:rPr>
        <w:footnoteRef/>
      </w:r>
      <w:r w:rsidRPr="001E61CE">
        <w:t xml:space="preserve"> </w:t>
      </w:r>
      <w:proofErr w:type="spellStart"/>
      <w:r w:rsidRPr="001E61CE">
        <w:t>Cawkwell</w:t>
      </w:r>
      <w:proofErr w:type="spellEnd"/>
      <w:r w:rsidRPr="001E61CE">
        <w:t xml:space="preserve"> 1977: 22-3,43</w:t>
      </w:r>
      <w:r w:rsidR="0094447E" w:rsidRPr="001E61CE">
        <w:t xml:space="preserve">; </w:t>
      </w:r>
      <w:proofErr w:type="spellStart"/>
      <w:r w:rsidR="0094447E" w:rsidRPr="001E61CE">
        <w:t>Pownall</w:t>
      </w:r>
      <w:proofErr w:type="spellEnd"/>
      <w:r w:rsidR="0094447E" w:rsidRPr="001E61CE">
        <w:t xml:space="preserve"> 1998: 252; </w:t>
      </w:r>
      <w:proofErr w:type="spellStart"/>
      <w:r w:rsidR="0094447E" w:rsidRPr="001E61CE">
        <w:t>Krentz</w:t>
      </w:r>
      <w:proofErr w:type="spellEnd"/>
      <w:r w:rsidR="0094447E" w:rsidRPr="001E61CE">
        <w:t xml:space="preserve"> 1989: 4, 7</w:t>
      </w:r>
    </w:p>
  </w:footnote>
  <w:footnote w:id="46">
    <w:p w:rsidR="00646F0B" w:rsidRPr="001E61CE" w:rsidRDefault="00646F0B">
      <w:pPr>
        <w:pStyle w:val="FootnoteText"/>
      </w:pPr>
      <w:r w:rsidRPr="001E61CE">
        <w:rPr>
          <w:rStyle w:val="FootnoteReference"/>
        </w:rPr>
        <w:footnoteRef/>
      </w:r>
      <w:r w:rsidRPr="001E61CE">
        <w:t xml:space="preserve"> </w:t>
      </w:r>
      <w:proofErr w:type="spellStart"/>
      <w:r w:rsidR="002A297C" w:rsidRPr="001E61CE">
        <w:t>Krentz</w:t>
      </w:r>
      <w:proofErr w:type="spellEnd"/>
      <w:r w:rsidR="002A297C" w:rsidRPr="001E61CE">
        <w:t xml:space="preserve"> 1989: 5</w:t>
      </w:r>
    </w:p>
  </w:footnote>
  <w:footnote w:id="47">
    <w:p w:rsidR="00AA20C1" w:rsidRPr="001E61CE" w:rsidRDefault="00AA20C1">
      <w:pPr>
        <w:pStyle w:val="FootnoteText"/>
      </w:pPr>
      <w:r w:rsidRPr="001E61CE">
        <w:rPr>
          <w:rStyle w:val="FootnoteReference"/>
        </w:rPr>
        <w:footnoteRef/>
      </w:r>
      <w:r w:rsidRPr="001E61CE">
        <w:t xml:space="preserve"> </w:t>
      </w:r>
      <w:proofErr w:type="spellStart"/>
      <w:r w:rsidRPr="001E61CE">
        <w:t>Luce</w:t>
      </w:r>
      <w:proofErr w:type="spellEnd"/>
      <w:r w:rsidRPr="001E61CE">
        <w:t xml:space="preserve"> 1997: 102</w:t>
      </w:r>
    </w:p>
  </w:footnote>
  <w:footnote w:id="48">
    <w:p w:rsidR="009A2D72" w:rsidRPr="001E61CE" w:rsidRDefault="009A2D72">
      <w:pPr>
        <w:pStyle w:val="FootnoteText"/>
      </w:pPr>
      <w:r w:rsidRPr="001E61CE">
        <w:rPr>
          <w:rStyle w:val="FootnoteReference"/>
        </w:rPr>
        <w:footnoteRef/>
      </w:r>
      <w:r w:rsidRPr="001E61CE">
        <w:t xml:space="preserve"> </w:t>
      </w:r>
      <w:proofErr w:type="spellStart"/>
      <w:r w:rsidR="001626CE" w:rsidRPr="001E61CE">
        <w:t>Dillery</w:t>
      </w:r>
      <w:proofErr w:type="spellEnd"/>
      <w:r w:rsidR="001626CE" w:rsidRPr="001E61CE">
        <w:t xml:space="preserve"> 1995: </w:t>
      </w:r>
      <w:r w:rsidRPr="001E61CE">
        <w:t>9-11</w:t>
      </w:r>
    </w:p>
  </w:footnote>
  <w:footnote w:id="49">
    <w:p w:rsidR="00C14210" w:rsidRPr="001E61CE" w:rsidRDefault="00C14210">
      <w:pPr>
        <w:pStyle w:val="FootnoteText"/>
      </w:pPr>
      <w:r w:rsidRPr="001E61CE">
        <w:rPr>
          <w:rStyle w:val="FootnoteReference"/>
        </w:rPr>
        <w:footnoteRef/>
      </w:r>
      <w:r w:rsidRPr="001E61CE">
        <w:t xml:space="preserve"> </w:t>
      </w:r>
      <w:proofErr w:type="spellStart"/>
      <w:r w:rsidRPr="001E61CE">
        <w:t>Gray</w:t>
      </w:r>
      <w:proofErr w:type="spellEnd"/>
      <w:r w:rsidRPr="001E61CE">
        <w:t xml:space="preserve"> 2017: 627-37 </w:t>
      </w:r>
    </w:p>
  </w:footnote>
  <w:footnote w:id="50">
    <w:p w:rsidR="00646F0B" w:rsidRPr="001E61CE" w:rsidRDefault="00646F0B">
      <w:pPr>
        <w:pStyle w:val="FootnoteText"/>
      </w:pPr>
      <w:r w:rsidRPr="001E61CE">
        <w:rPr>
          <w:rStyle w:val="FootnoteReference"/>
        </w:rPr>
        <w:footnoteRef/>
      </w:r>
      <w:r w:rsidRPr="001E61CE">
        <w:t xml:space="preserve"> </w:t>
      </w:r>
      <w:proofErr w:type="spellStart"/>
      <w:r w:rsidRPr="001E61CE">
        <w:t>Cawkwell</w:t>
      </w:r>
      <w:proofErr w:type="spellEnd"/>
      <w:r w:rsidRPr="001E61CE">
        <w:t xml:space="preserve"> 1977: 35</w:t>
      </w:r>
    </w:p>
  </w:footnote>
  <w:footnote w:id="51">
    <w:p w:rsidR="00646F0B" w:rsidRPr="001E61CE" w:rsidRDefault="00646F0B">
      <w:pPr>
        <w:pStyle w:val="FootnoteText"/>
      </w:pPr>
      <w:r w:rsidRPr="001E61CE">
        <w:rPr>
          <w:rStyle w:val="FootnoteReference"/>
        </w:rPr>
        <w:footnoteRef/>
      </w:r>
      <w:r w:rsidRPr="001E61CE">
        <w:t xml:space="preserve"> Underhill 1900: x-xi</w:t>
      </w:r>
      <w:r w:rsidR="00734AED" w:rsidRPr="001E61CE">
        <w:t>; Warner 1966: 8</w:t>
      </w:r>
      <w:r w:rsidR="001626CE" w:rsidRPr="001E61CE">
        <w:t xml:space="preserve">; </w:t>
      </w:r>
      <w:proofErr w:type="spellStart"/>
      <w:r w:rsidR="00593D96" w:rsidRPr="001E61CE">
        <w:t>Dillery</w:t>
      </w:r>
      <w:proofErr w:type="spellEnd"/>
      <w:r w:rsidR="00593D96" w:rsidRPr="001E61CE">
        <w:t xml:space="preserve"> 1995: 15</w:t>
      </w:r>
    </w:p>
  </w:footnote>
  <w:footnote w:id="52">
    <w:p w:rsidR="00646F0B" w:rsidRPr="001E61CE" w:rsidRDefault="00646F0B">
      <w:pPr>
        <w:pStyle w:val="FootnoteText"/>
      </w:pPr>
      <w:r w:rsidRPr="001E61CE">
        <w:rPr>
          <w:rStyle w:val="FootnoteReference"/>
        </w:rPr>
        <w:footnoteRef/>
      </w:r>
      <w:r w:rsidRPr="001E61CE">
        <w:t xml:space="preserve"> Plat. Rep. 1.332d</w:t>
      </w:r>
    </w:p>
  </w:footnote>
  <w:footnote w:id="53">
    <w:p w:rsidR="00685AAC" w:rsidRPr="001E61CE" w:rsidRDefault="00685AAC">
      <w:pPr>
        <w:pStyle w:val="FootnoteText"/>
      </w:pPr>
      <w:r w:rsidRPr="001E61CE">
        <w:rPr>
          <w:rStyle w:val="FootnoteReference"/>
        </w:rPr>
        <w:footnoteRef/>
      </w:r>
      <w:r w:rsidRPr="001E61CE">
        <w:t xml:space="preserve"> </w:t>
      </w:r>
      <w:proofErr w:type="spellStart"/>
      <w:r w:rsidRPr="001E61CE">
        <w:t>Christesen</w:t>
      </w:r>
      <w:proofErr w:type="spellEnd"/>
      <w:r w:rsidRPr="001E61CE">
        <w:t xml:space="preserve"> 2016: 376ff</w:t>
      </w:r>
    </w:p>
  </w:footnote>
  <w:footnote w:id="54">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 272</w:t>
      </w:r>
    </w:p>
  </w:footnote>
  <w:footnote w:id="55">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xml:space="preserve">. </w:t>
      </w:r>
      <w:r w:rsidR="0013210F" w:rsidRPr="001E61CE">
        <w:t xml:space="preserve">3.68, </w:t>
      </w:r>
      <w:r w:rsidRPr="001E61CE">
        <w:t>5.14-5, 5.36</w:t>
      </w:r>
      <w:r w:rsidR="00EB3E21" w:rsidRPr="001E61CE">
        <w:t>, 5.89</w:t>
      </w:r>
      <w:r w:rsidR="00866B98" w:rsidRPr="001E61CE">
        <w:t>; Xen. Hell. 6.2.9, 7.4.8</w:t>
      </w:r>
      <w:r w:rsidR="00B33E5A" w:rsidRPr="001E61CE">
        <w:t xml:space="preserve">; </w:t>
      </w:r>
      <w:proofErr w:type="spellStart"/>
      <w:r w:rsidR="00B33E5A" w:rsidRPr="001E61CE">
        <w:t>Hdt</w:t>
      </w:r>
      <w:proofErr w:type="spellEnd"/>
      <w:r w:rsidR="00B33E5A" w:rsidRPr="001E61CE">
        <w:t>. 7.5</w:t>
      </w:r>
      <w:r w:rsidR="000542B1" w:rsidRPr="001E61CE">
        <w:t>, 8.4, 8.62-3</w:t>
      </w:r>
      <w:r w:rsidR="00BA222C" w:rsidRPr="001E61CE">
        <w:t xml:space="preserve">; </w:t>
      </w:r>
      <w:proofErr w:type="spellStart"/>
      <w:r w:rsidR="00BA222C" w:rsidRPr="001E61CE">
        <w:t>Dillery</w:t>
      </w:r>
      <w:proofErr w:type="spellEnd"/>
      <w:r w:rsidR="00BA222C" w:rsidRPr="001E61CE">
        <w:t xml:space="preserve"> 1995: </w:t>
      </w:r>
      <w:r w:rsidR="00681869" w:rsidRPr="001E61CE">
        <w:t xml:space="preserve">4, </w:t>
      </w:r>
      <w:r w:rsidR="00BA222C" w:rsidRPr="001E61CE">
        <w:t>131</w:t>
      </w:r>
      <w:r w:rsidR="00874B40" w:rsidRPr="001E61CE">
        <w:t xml:space="preserve">; </w:t>
      </w:r>
      <w:proofErr w:type="spellStart"/>
      <w:r w:rsidR="00874B40" w:rsidRPr="001E61CE">
        <w:t>Gray</w:t>
      </w:r>
      <w:proofErr w:type="spellEnd"/>
      <w:r w:rsidR="00874B40" w:rsidRPr="001E61CE">
        <w:t xml:space="preserve"> 2011: 114</w:t>
      </w:r>
    </w:p>
  </w:footnote>
  <w:footnote w:id="56">
    <w:p w:rsidR="00646F0B" w:rsidRPr="001E61CE" w:rsidRDefault="00646F0B">
      <w:pPr>
        <w:pStyle w:val="FootnoteText"/>
      </w:pPr>
      <w:r w:rsidRPr="001E61CE">
        <w:rPr>
          <w:rStyle w:val="FootnoteReference"/>
        </w:rPr>
        <w:footnoteRef/>
      </w:r>
      <w:r w:rsidRPr="001E61CE">
        <w:t xml:space="preserve"> Xen. Hell. 7.2.2</w:t>
      </w:r>
    </w:p>
  </w:footnote>
  <w:footnote w:id="57">
    <w:p w:rsidR="00393DDC" w:rsidRPr="001E61CE" w:rsidRDefault="00393DDC">
      <w:pPr>
        <w:pStyle w:val="FootnoteText"/>
      </w:pPr>
      <w:r w:rsidRPr="001E61CE">
        <w:rPr>
          <w:rStyle w:val="FootnoteReference"/>
        </w:rPr>
        <w:footnoteRef/>
      </w:r>
      <w:r w:rsidRPr="001E61CE">
        <w:t xml:space="preserve"> </w:t>
      </w:r>
      <w:proofErr w:type="spellStart"/>
      <w:r w:rsidRPr="001E61CE">
        <w:t>Tuplin</w:t>
      </w:r>
      <w:proofErr w:type="spellEnd"/>
      <w:r w:rsidRPr="001E61CE">
        <w:t xml:space="preserve"> 2016: 350</w:t>
      </w:r>
    </w:p>
  </w:footnote>
  <w:footnote w:id="58">
    <w:p w:rsidR="006C38C9" w:rsidRPr="001E61CE" w:rsidRDefault="006C38C9">
      <w:pPr>
        <w:pStyle w:val="FootnoteText"/>
      </w:pPr>
      <w:r w:rsidRPr="001E61CE">
        <w:rPr>
          <w:rStyle w:val="FootnoteReference"/>
        </w:rPr>
        <w:footnoteRef/>
      </w:r>
      <w:r w:rsidRPr="001E61CE">
        <w:t xml:space="preserve"> </w:t>
      </w:r>
      <w:proofErr w:type="spellStart"/>
      <w:r w:rsidRPr="001E61CE">
        <w:t>Christesen</w:t>
      </w:r>
      <w:proofErr w:type="spellEnd"/>
      <w:r w:rsidRPr="001E61CE">
        <w:t xml:space="preserve"> 2016: 396</w:t>
      </w:r>
    </w:p>
  </w:footnote>
  <w:footnote w:id="59">
    <w:p w:rsidR="00646F0B" w:rsidRPr="001E61CE" w:rsidRDefault="00646F0B">
      <w:pPr>
        <w:pStyle w:val="FootnoteText"/>
      </w:pPr>
      <w:r w:rsidRPr="001E61CE">
        <w:rPr>
          <w:rStyle w:val="FootnoteReference"/>
        </w:rPr>
        <w:footnoteRef/>
      </w:r>
      <w:r w:rsidRPr="001E61CE">
        <w:t xml:space="preserve"> </w:t>
      </w:r>
      <w:proofErr w:type="spellStart"/>
      <w:r w:rsidRPr="001E61CE">
        <w:t>Cawkwell</w:t>
      </w:r>
      <w:proofErr w:type="spellEnd"/>
      <w:r w:rsidRPr="001E61CE">
        <w:t xml:space="preserve"> 1977: 43</w:t>
      </w:r>
    </w:p>
  </w:footnote>
  <w:footnote w:id="60">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 251, 253ff</w:t>
      </w:r>
      <w:r w:rsidR="00443CD2" w:rsidRPr="001E61CE">
        <w:t xml:space="preserve">; </w:t>
      </w:r>
      <w:proofErr w:type="spellStart"/>
      <w:r w:rsidR="00443CD2" w:rsidRPr="001E61CE">
        <w:t>Gray</w:t>
      </w:r>
      <w:proofErr w:type="spellEnd"/>
      <w:r w:rsidR="00443CD2" w:rsidRPr="001E61CE">
        <w:t xml:space="preserve"> 2010: 558 </w:t>
      </w:r>
    </w:p>
  </w:footnote>
  <w:footnote w:id="61">
    <w:p w:rsidR="00646F0B" w:rsidRPr="001E61CE" w:rsidRDefault="00646F0B">
      <w:pPr>
        <w:pStyle w:val="FootnoteText"/>
      </w:pPr>
      <w:r w:rsidRPr="001E61CE">
        <w:rPr>
          <w:rStyle w:val="FootnoteReference"/>
        </w:rPr>
        <w:footnoteRef/>
      </w:r>
      <w:r w:rsidRPr="001E61CE">
        <w:t xml:space="preserve"> Xen. Hell. 7.2.4ff</w:t>
      </w:r>
    </w:p>
  </w:footnote>
  <w:footnote w:id="62">
    <w:p w:rsidR="003F44E4" w:rsidRPr="001E61CE" w:rsidRDefault="003F44E4">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133</w:t>
      </w:r>
    </w:p>
  </w:footnote>
  <w:footnote w:id="63">
    <w:p w:rsidR="00646F0B" w:rsidRPr="001E61CE" w:rsidRDefault="00646F0B">
      <w:pPr>
        <w:pStyle w:val="FootnoteText"/>
      </w:pPr>
      <w:r w:rsidRPr="001E61CE">
        <w:rPr>
          <w:rStyle w:val="FootnoteReference"/>
        </w:rPr>
        <w:footnoteRef/>
      </w:r>
      <w:r w:rsidRPr="001E61CE">
        <w:t xml:space="preserve"> Xen. Hell. 7.2.4</w:t>
      </w:r>
    </w:p>
  </w:footnote>
  <w:footnote w:id="64">
    <w:p w:rsidR="00646F0B" w:rsidRPr="001E61CE" w:rsidRDefault="00646F0B">
      <w:pPr>
        <w:pStyle w:val="FootnoteText"/>
      </w:pPr>
      <w:r w:rsidRPr="001E61CE">
        <w:rPr>
          <w:rStyle w:val="FootnoteReference"/>
        </w:rPr>
        <w:footnoteRef/>
      </w:r>
      <w:r w:rsidRPr="001E61CE">
        <w:t xml:space="preserve"> Xen. Hell. 7.2.5ff</w:t>
      </w:r>
      <w:r w:rsidR="00F13E6F" w:rsidRPr="001E61CE">
        <w:t xml:space="preserve">; </w:t>
      </w:r>
      <w:proofErr w:type="spellStart"/>
      <w:r w:rsidR="00F13E6F" w:rsidRPr="001E61CE">
        <w:t>Dillery</w:t>
      </w:r>
      <w:proofErr w:type="spellEnd"/>
      <w:r w:rsidR="00F13E6F" w:rsidRPr="001E61CE">
        <w:t xml:space="preserve"> 1995: 131</w:t>
      </w:r>
    </w:p>
  </w:footnote>
  <w:footnote w:id="65">
    <w:p w:rsidR="00646F0B" w:rsidRPr="001E61CE" w:rsidRDefault="00646F0B">
      <w:pPr>
        <w:pStyle w:val="FootnoteText"/>
      </w:pPr>
      <w:r w:rsidRPr="001E61CE">
        <w:rPr>
          <w:rStyle w:val="FootnoteReference"/>
        </w:rPr>
        <w:footnoteRef/>
      </w:r>
      <w:r w:rsidRPr="001E61CE">
        <w:t xml:space="preserve"> Xen. Hell. 7.2.9; </w:t>
      </w:r>
      <w:proofErr w:type="spellStart"/>
      <w:r w:rsidRPr="001E61CE">
        <w:t>Hom</w:t>
      </w:r>
      <w:proofErr w:type="spellEnd"/>
      <w:r w:rsidRPr="001E61CE">
        <w:t>. Il. 6.484</w:t>
      </w:r>
      <w:r w:rsidR="006472C9" w:rsidRPr="001E61CE">
        <w:t xml:space="preserve">; </w:t>
      </w:r>
      <w:proofErr w:type="spellStart"/>
      <w:r w:rsidR="006472C9" w:rsidRPr="001E61CE">
        <w:t>Dillery</w:t>
      </w:r>
      <w:proofErr w:type="spellEnd"/>
      <w:r w:rsidR="006472C9" w:rsidRPr="001E61CE">
        <w:t xml:space="preserve"> 1995: 133</w:t>
      </w:r>
      <w:r w:rsidR="00F35EAF" w:rsidRPr="001E61CE">
        <w:t xml:space="preserve">; </w:t>
      </w:r>
      <w:proofErr w:type="spellStart"/>
      <w:r w:rsidR="00F35EAF" w:rsidRPr="001E61CE">
        <w:t>Gray</w:t>
      </w:r>
      <w:proofErr w:type="spellEnd"/>
      <w:r w:rsidR="00F35EAF" w:rsidRPr="001E61CE">
        <w:t xml:space="preserve"> 2011: 138</w:t>
      </w:r>
    </w:p>
  </w:footnote>
  <w:footnote w:id="66">
    <w:p w:rsidR="00646F0B" w:rsidRPr="001E61CE" w:rsidRDefault="00646F0B">
      <w:pPr>
        <w:pStyle w:val="FootnoteText"/>
      </w:pPr>
      <w:r w:rsidRPr="001E61CE">
        <w:rPr>
          <w:rStyle w:val="FootnoteReference"/>
        </w:rPr>
        <w:footnoteRef/>
      </w:r>
      <w:r w:rsidRPr="001E61CE">
        <w:t xml:space="preserve"> </w:t>
      </w:r>
      <w:proofErr w:type="spellStart"/>
      <w:r w:rsidR="006B79D8" w:rsidRPr="001E61CE">
        <w:t>Hom</w:t>
      </w:r>
      <w:proofErr w:type="spellEnd"/>
      <w:r w:rsidR="006B79D8" w:rsidRPr="001E61CE">
        <w:t>. Il. 6.385ff</w:t>
      </w:r>
    </w:p>
  </w:footnote>
  <w:footnote w:id="67">
    <w:p w:rsidR="00646F0B" w:rsidRPr="001E61CE" w:rsidRDefault="00646F0B">
      <w:pPr>
        <w:pStyle w:val="FootnoteText"/>
      </w:pPr>
      <w:r w:rsidRPr="001E61CE">
        <w:rPr>
          <w:rStyle w:val="FootnoteReference"/>
        </w:rPr>
        <w:footnoteRef/>
      </w:r>
      <w:r w:rsidRPr="001E61CE">
        <w:t xml:space="preserve"> Xen. Hell. 7.2.10</w:t>
      </w:r>
    </w:p>
  </w:footnote>
  <w:footnote w:id="68">
    <w:p w:rsidR="00646F0B" w:rsidRPr="001E61CE" w:rsidRDefault="00646F0B">
      <w:pPr>
        <w:pStyle w:val="FootnoteText"/>
      </w:pPr>
      <w:r w:rsidRPr="001E61CE">
        <w:rPr>
          <w:rStyle w:val="FootnoteReference"/>
        </w:rPr>
        <w:footnoteRef/>
      </w:r>
      <w:r w:rsidRPr="001E61CE">
        <w:t xml:space="preserve"> Xen. Hell. 7.2.12-15</w:t>
      </w:r>
    </w:p>
  </w:footnote>
  <w:footnote w:id="69">
    <w:p w:rsidR="00646F0B" w:rsidRPr="001E61CE" w:rsidRDefault="00646F0B">
      <w:pPr>
        <w:pStyle w:val="FootnoteText"/>
      </w:pPr>
      <w:r w:rsidRPr="001E61CE">
        <w:rPr>
          <w:rStyle w:val="FootnoteReference"/>
        </w:rPr>
        <w:footnoteRef/>
      </w:r>
      <w:r w:rsidRPr="001E61CE">
        <w:t xml:space="preserve"> Xen. Hell. 7.2.12-15</w:t>
      </w:r>
    </w:p>
  </w:footnote>
  <w:footnote w:id="70">
    <w:p w:rsidR="00646F0B" w:rsidRPr="001E61CE" w:rsidRDefault="00646F0B">
      <w:pPr>
        <w:pStyle w:val="FootnoteText"/>
      </w:pPr>
      <w:r w:rsidRPr="001E61CE">
        <w:rPr>
          <w:rStyle w:val="FootnoteReference"/>
        </w:rPr>
        <w:footnoteRef/>
      </w:r>
      <w:r w:rsidRPr="001E61CE">
        <w:t xml:space="preserve"> Xen. Hell. 7.2.18ff</w:t>
      </w:r>
      <w:r w:rsidR="00BD273D" w:rsidRPr="001E61CE">
        <w:t xml:space="preserve">; </w:t>
      </w:r>
      <w:proofErr w:type="spellStart"/>
      <w:r w:rsidR="00BD273D" w:rsidRPr="001E61CE">
        <w:t>Dillery</w:t>
      </w:r>
      <w:proofErr w:type="spellEnd"/>
      <w:r w:rsidR="00BD273D" w:rsidRPr="001E61CE">
        <w:t xml:space="preserve"> 1995: 134</w:t>
      </w:r>
    </w:p>
  </w:footnote>
  <w:footnote w:id="71">
    <w:p w:rsidR="00646F0B" w:rsidRPr="001E61CE" w:rsidRDefault="00646F0B">
      <w:pPr>
        <w:pStyle w:val="FootnoteText"/>
      </w:pPr>
      <w:r w:rsidRPr="001E61CE">
        <w:rPr>
          <w:rStyle w:val="FootnoteReference"/>
        </w:rPr>
        <w:footnoteRef/>
      </w:r>
      <w:r w:rsidRPr="001E61CE">
        <w:t xml:space="preserve"> Xen. Hell. 7.2.20-3</w:t>
      </w:r>
      <w:r w:rsidR="005C2278" w:rsidRPr="001E61CE">
        <w:t>; Thompson 1983: 303</w:t>
      </w:r>
    </w:p>
  </w:footnote>
  <w:footnote w:id="72">
    <w:p w:rsidR="00646F0B" w:rsidRPr="001E61CE" w:rsidRDefault="00646F0B">
      <w:pPr>
        <w:pStyle w:val="FootnoteText"/>
      </w:pPr>
      <w:r w:rsidRPr="001E61CE">
        <w:rPr>
          <w:rStyle w:val="FootnoteReference"/>
        </w:rPr>
        <w:footnoteRef/>
      </w:r>
      <w:r w:rsidRPr="001E61CE">
        <w:t xml:space="preserve"> Xen. Hell. 7.2.23</w:t>
      </w:r>
    </w:p>
  </w:footnote>
  <w:footnote w:id="73">
    <w:p w:rsidR="00646F0B" w:rsidRPr="001E61CE" w:rsidRDefault="00646F0B">
      <w:pPr>
        <w:pStyle w:val="FootnoteText"/>
      </w:pPr>
      <w:r w:rsidRPr="001E61CE">
        <w:rPr>
          <w:rStyle w:val="FootnoteReference"/>
        </w:rPr>
        <w:footnoteRef/>
      </w:r>
      <w:r w:rsidRPr="001E61CE">
        <w:t xml:space="preserve"> Xen. Hell. 7.2.16</w:t>
      </w:r>
    </w:p>
  </w:footnote>
  <w:footnote w:id="74">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xml:space="preserve">. 1.126, 2.67, 3.68, 3.81, 5.82; Xen. Hell. 6.4.37, 7.1.25; </w:t>
      </w:r>
      <w:proofErr w:type="spellStart"/>
      <w:r w:rsidRPr="001E61CE">
        <w:t>Hdt</w:t>
      </w:r>
      <w:proofErr w:type="spellEnd"/>
      <w:r w:rsidRPr="001E61CE">
        <w:t>. 5.46, 7.33, 7.133</w:t>
      </w:r>
    </w:p>
  </w:footnote>
  <w:footnote w:id="75">
    <w:p w:rsidR="00BD273D" w:rsidRPr="001E61CE" w:rsidRDefault="00BD273D">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134</w:t>
      </w:r>
    </w:p>
  </w:footnote>
  <w:footnote w:id="76">
    <w:p w:rsidR="00646F0B" w:rsidRPr="001E61CE" w:rsidRDefault="00646F0B">
      <w:pPr>
        <w:pStyle w:val="FootnoteText"/>
      </w:pPr>
      <w:r w:rsidRPr="001E61CE">
        <w:rPr>
          <w:rStyle w:val="FootnoteReference"/>
        </w:rPr>
        <w:footnoteRef/>
      </w:r>
      <w:r w:rsidRPr="001E61CE">
        <w:t xml:space="preserve"> </w:t>
      </w:r>
      <w:r w:rsidR="003D1D4C" w:rsidRPr="001E61CE">
        <w:t>Rawson 1991: 12-14</w:t>
      </w:r>
    </w:p>
  </w:footnote>
  <w:footnote w:id="77">
    <w:p w:rsidR="00BC514F" w:rsidRPr="001E61CE" w:rsidRDefault="00BC514F">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134-7</w:t>
      </w:r>
    </w:p>
  </w:footnote>
  <w:footnote w:id="78">
    <w:p w:rsidR="00646F0B" w:rsidRPr="001E61CE" w:rsidRDefault="00646F0B">
      <w:pPr>
        <w:pStyle w:val="FootnoteText"/>
      </w:pPr>
      <w:r w:rsidRPr="001E61CE">
        <w:rPr>
          <w:rStyle w:val="FootnoteReference"/>
        </w:rPr>
        <w:footnoteRef/>
      </w:r>
      <w:r w:rsidRPr="001E61CE">
        <w:t xml:space="preserve"> Xen. Hell. 7.2.1</w:t>
      </w:r>
    </w:p>
  </w:footnote>
  <w:footnote w:id="79">
    <w:p w:rsidR="00646F0B" w:rsidRPr="001E61CE" w:rsidRDefault="00646F0B">
      <w:pPr>
        <w:pStyle w:val="FootnoteText"/>
      </w:pPr>
      <w:r w:rsidRPr="001E61CE">
        <w:rPr>
          <w:rStyle w:val="FootnoteReference"/>
        </w:rPr>
        <w:footnoteRef/>
      </w:r>
      <w:r w:rsidRPr="001E61CE">
        <w:t xml:space="preserve"> Xen. Hell. 7.2.1-2</w:t>
      </w:r>
    </w:p>
  </w:footnote>
  <w:footnote w:id="80">
    <w:p w:rsidR="00646F0B" w:rsidRPr="001E61CE" w:rsidRDefault="00646F0B">
      <w:pPr>
        <w:pStyle w:val="FootnoteText"/>
      </w:pPr>
      <w:r w:rsidRPr="001E61CE">
        <w:rPr>
          <w:rStyle w:val="FootnoteReference"/>
        </w:rPr>
        <w:footnoteRef/>
      </w:r>
      <w:r w:rsidRPr="001E61CE">
        <w:t xml:space="preserve"> Xen. Hell. 7.2.4</w:t>
      </w:r>
    </w:p>
  </w:footnote>
  <w:footnote w:id="81">
    <w:p w:rsidR="00646F0B" w:rsidRPr="001E61CE" w:rsidRDefault="00646F0B">
      <w:pPr>
        <w:pStyle w:val="FootnoteText"/>
      </w:pPr>
      <w:r w:rsidRPr="001E61CE">
        <w:rPr>
          <w:rStyle w:val="FootnoteReference"/>
        </w:rPr>
        <w:footnoteRef/>
      </w:r>
      <w:r w:rsidRPr="001E61CE">
        <w:t xml:space="preserve"> Xen. Hell. 7.2.17</w:t>
      </w:r>
    </w:p>
  </w:footnote>
  <w:footnote w:id="82">
    <w:p w:rsidR="00646F0B" w:rsidRPr="001E61CE" w:rsidRDefault="00646F0B">
      <w:pPr>
        <w:pStyle w:val="FootnoteText"/>
      </w:pPr>
      <w:r w:rsidRPr="001E61CE">
        <w:rPr>
          <w:rStyle w:val="FootnoteReference"/>
        </w:rPr>
        <w:footnoteRef/>
      </w:r>
      <w:r w:rsidRPr="001E61CE">
        <w:t xml:space="preserve"> Xen. Hell. 7.2.18</w:t>
      </w:r>
      <w:r w:rsidR="009C6403" w:rsidRPr="001E61CE">
        <w:t xml:space="preserve">; </w:t>
      </w:r>
      <w:proofErr w:type="spellStart"/>
      <w:r w:rsidR="009C6403" w:rsidRPr="001E61CE">
        <w:t>Cawkwell</w:t>
      </w:r>
      <w:proofErr w:type="spellEnd"/>
      <w:r w:rsidR="009C6403" w:rsidRPr="001E61CE">
        <w:t xml:space="preserve"> 2012</w:t>
      </w:r>
    </w:p>
  </w:footnote>
  <w:footnote w:id="83">
    <w:p w:rsidR="00646F0B" w:rsidRPr="001E61CE" w:rsidRDefault="00646F0B">
      <w:pPr>
        <w:pStyle w:val="FootnoteText"/>
      </w:pPr>
      <w:r w:rsidRPr="001E61CE">
        <w:rPr>
          <w:rStyle w:val="FootnoteReference"/>
        </w:rPr>
        <w:footnoteRef/>
      </w:r>
      <w:r w:rsidRPr="001E61CE">
        <w:t xml:space="preserve"> Xen. Hell. 7.2.18ff</w:t>
      </w:r>
    </w:p>
  </w:footnote>
  <w:footnote w:id="84">
    <w:p w:rsidR="00646F0B" w:rsidRPr="001E61CE" w:rsidRDefault="00646F0B">
      <w:pPr>
        <w:pStyle w:val="FootnoteText"/>
      </w:pPr>
      <w:r w:rsidRPr="001E61CE">
        <w:rPr>
          <w:rStyle w:val="FootnoteReference"/>
        </w:rPr>
        <w:footnoteRef/>
      </w:r>
      <w:r w:rsidRPr="001E61CE">
        <w:t xml:space="preserve"> Xen. Hell. 7.2.20ff</w:t>
      </w:r>
      <w:r w:rsidR="009D2A7F" w:rsidRPr="001E61CE">
        <w:t>; Salmond 1996: 44</w:t>
      </w:r>
    </w:p>
  </w:footnote>
  <w:footnote w:id="85">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1,126, 2.70, 3.27, 4.26, 4.30</w:t>
      </w:r>
      <w:r w:rsidR="002979E2" w:rsidRPr="001E61CE">
        <w:t xml:space="preserve">; Xen. Hell. 2.2.11, </w:t>
      </w:r>
    </w:p>
  </w:footnote>
  <w:footnote w:id="86">
    <w:p w:rsidR="00646F0B" w:rsidRPr="001E61CE" w:rsidRDefault="00646F0B">
      <w:pPr>
        <w:pStyle w:val="FootnoteText"/>
      </w:pPr>
      <w:r w:rsidRPr="001E61CE">
        <w:rPr>
          <w:rStyle w:val="FootnoteReference"/>
        </w:rPr>
        <w:footnoteRef/>
      </w:r>
      <w:r w:rsidRPr="001E61CE">
        <w:t xml:space="preserve"> </w:t>
      </w:r>
      <w:proofErr w:type="spellStart"/>
      <w:r w:rsidR="005A5435" w:rsidRPr="001E61CE">
        <w:t>Thuc</w:t>
      </w:r>
      <w:proofErr w:type="spellEnd"/>
      <w:r w:rsidR="005A5435" w:rsidRPr="001E61CE">
        <w:t xml:space="preserve">. </w:t>
      </w:r>
      <w:r w:rsidR="00383836" w:rsidRPr="001E61CE">
        <w:t xml:space="preserve">2.70, </w:t>
      </w:r>
      <w:r w:rsidR="005A5435" w:rsidRPr="001E61CE">
        <w:t>3.20</w:t>
      </w:r>
    </w:p>
  </w:footnote>
  <w:footnote w:id="87">
    <w:p w:rsidR="00646F0B" w:rsidRPr="001E61CE" w:rsidRDefault="00646F0B">
      <w:pPr>
        <w:pStyle w:val="FootnoteText"/>
      </w:pPr>
      <w:r w:rsidRPr="001E61CE">
        <w:rPr>
          <w:rStyle w:val="FootnoteReference"/>
        </w:rPr>
        <w:footnoteRef/>
      </w:r>
      <w:r w:rsidRPr="001E61CE">
        <w:t xml:space="preserve"> Xen. Hell. 5.3.11-12</w:t>
      </w:r>
    </w:p>
  </w:footnote>
  <w:footnote w:id="88">
    <w:p w:rsidR="00646F0B" w:rsidRPr="001E61CE" w:rsidRDefault="00646F0B">
      <w:pPr>
        <w:pStyle w:val="FootnoteText"/>
      </w:pPr>
      <w:r w:rsidRPr="001E61CE">
        <w:rPr>
          <w:rStyle w:val="FootnoteReference"/>
        </w:rPr>
        <w:footnoteRef/>
      </w:r>
      <w:r w:rsidRPr="001E61CE">
        <w:t xml:space="preserve"> </w:t>
      </w:r>
      <w:proofErr w:type="spellStart"/>
      <w:r w:rsidR="00A051F9" w:rsidRPr="001E61CE">
        <w:t>Thuc</w:t>
      </w:r>
      <w:proofErr w:type="spellEnd"/>
      <w:r w:rsidR="00A051F9" w:rsidRPr="001E61CE">
        <w:t>. 3.84, 4.86, 4.104</w:t>
      </w:r>
      <w:r w:rsidR="00417F7B" w:rsidRPr="001E61CE">
        <w:t>, 5.62, 5.82</w:t>
      </w:r>
      <w:r w:rsidR="00057DBD" w:rsidRPr="001E61CE">
        <w:t xml:space="preserve">, 6.17, 8.66, </w:t>
      </w:r>
      <w:r w:rsidR="007F5E2A" w:rsidRPr="001E61CE">
        <w:t>8.73</w:t>
      </w:r>
      <w:r w:rsidR="005E337E" w:rsidRPr="001E61CE">
        <w:t xml:space="preserve">; Xen. Hell. 1.7.35, </w:t>
      </w:r>
      <w:r w:rsidR="00EA3304" w:rsidRPr="001E61CE">
        <w:t>5.2.3-6</w:t>
      </w:r>
    </w:p>
  </w:footnote>
  <w:footnote w:id="89">
    <w:p w:rsidR="001D7436" w:rsidRPr="001E61CE" w:rsidRDefault="001D7436">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132</w:t>
      </w:r>
      <w:r w:rsidR="00B23081" w:rsidRPr="001E61CE">
        <w:t>, 138</w:t>
      </w:r>
    </w:p>
  </w:footnote>
  <w:footnote w:id="90">
    <w:p w:rsidR="00646F0B" w:rsidRPr="001E61CE" w:rsidRDefault="00646F0B">
      <w:pPr>
        <w:pStyle w:val="FootnoteText"/>
      </w:pPr>
      <w:r w:rsidRPr="001E61CE">
        <w:rPr>
          <w:rStyle w:val="FootnoteReference"/>
        </w:rPr>
        <w:footnoteRef/>
      </w:r>
      <w:r w:rsidRPr="001E61CE">
        <w:t xml:space="preserve"> Xen. Hell. 7.2.9</w:t>
      </w:r>
      <w:r w:rsidR="00B23081" w:rsidRPr="001E61CE">
        <w:t xml:space="preserve">; </w:t>
      </w:r>
      <w:proofErr w:type="spellStart"/>
      <w:r w:rsidR="00B23081" w:rsidRPr="001E61CE">
        <w:t>Dillery</w:t>
      </w:r>
      <w:proofErr w:type="spellEnd"/>
      <w:r w:rsidR="00B23081" w:rsidRPr="001E61CE">
        <w:t xml:space="preserve"> 1995: 138</w:t>
      </w:r>
    </w:p>
  </w:footnote>
  <w:footnote w:id="91">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2.4, 3.74, 4.126.5, 5.72.4; Xen. Hell. 6.2.21</w:t>
      </w:r>
      <w:r w:rsidR="00E63119" w:rsidRPr="001E61CE">
        <w:t xml:space="preserve">, 7.5.24, </w:t>
      </w:r>
    </w:p>
  </w:footnote>
  <w:footnote w:id="92">
    <w:p w:rsidR="00646F0B" w:rsidRPr="001E61CE" w:rsidRDefault="00646F0B">
      <w:pPr>
        <w:pStyle w:val="FootnoteText"/>
      </w:pPr>
      <w:r w:rsidRPr="001E61CE">
        <w:rPr>
          <w:rStyle w:val="FootnoteReference"/>
        </w:rPr>
        <w:footnoteRef/>
      </w:r>
      <w:r w:rsidRPr="001E61CE">
        <w:t xml:space="preserve"> </w:t>
      </w:r>
      <w:proofErr w:type="spellStart"/>
      <w:r w:rsidR="00525A8E" w:rsidRPr="001E61CE">
        <w:t>Thuc</w:t>
      </w:r>
      <w:proofErr w:type="spellEnd"/>
      <w:r w:rsidR="00525A8E" w:rsidRPr="001E61CE">
        <w:t>. 5.89</w:t>
      </w:r>
    </w:p>
  </w:footnote>
  <w:footnote w:id="93">
    <w:p w:rsidR="0091534A" w:rsidRPr="001E61CE" w:rsidRDefault="0091534A">
      <w:pPr>
        <w:pStyle w:val="FootnoteText"/>
      </w:pPr>
      <w:r w:rsidRPr="001E61CE">
        <w:rPr>
          <w:rStyle w:val="FootnoteReference"/>
        </w:rPr>
        <w:footnoteRef/>
      </w:r>
      <w:r w:rsidRPr="001E61CE">
        <w:t xml:space="preserve"> </w:t>
      </w:r>
      <w:proofErr w:type="spellStart"/>
      <w:r w:rsidRPr="001E61CE">
        <w:t>Dillery</w:t>
      </w:r>
      <w:proofErr w:type="spellEnd"/>
      <w:r w:rsidRPr="001E61CE">
        <w:t xml:space="preserve"> 1995: 124</w:t>
      </w:r>
    </w:p>
  </w:footnote>
  <w:footnote w:id="94">
    <w:p w:rsidR="00646F0B" w:rsidRPr="001E61CE" w:rsidRDefault="00646F0B">
      <w:pPr>
        <w:pStyle w:val="FootnoteText"/>
      </w:pPr>
      <w:r w:rsidRPr="001E61CE">
        <w:rPr>
          <w:rStyle w:val="FootnoteReference"/>
        </w:rPr>
        <w:footnoteRef/>
      </w:r>
      <w:r w:rsidRPr="001E61CE">
        <w:t xml:space="preserve"> Xen. Hell. 7.2.1</w:t>
      </w:r>
    </w:p>
  </w:footnote>
  <w:footnote w:id="95">
    <w:p w:rsidR="00646F0B" w:rsidRPr="001E61CE" w:rsidRDefault="00646F0B">
      <w:pPr>
        <w:pStyle w:val="FootnoteText"/>
      </w:pPr>
      <w:r w:rsidRPr="001E61CE">
        <w:rPr>
          <w:rStyle w:val="FootnoteReference"/>
        </w:rPr>
        <w:footnoteRef/>
      </w:r>
      <w:r w:rsidRPr="001E61CE">
        <w:t xml:space="preserve"> Xen. Hell. 7.2.2</w:t>
      </w:r>
    </w:p>
  </w:footnote>
  <w:footnote w:id="96">
    <w:p w:rsidR="00646F0B" w:rsidRPr="001E61CE" w:rsidRDefault="00646F0B" w:rsidP="00195D42">
      <w:pPr>
        <w:rPr>
          <w:sz w:val="20"/>
          <w:szCs w:val="20"/>
        </w:rPr>
      </w:pPr>
      <w:r w:rsidRPr="001E61CE">
        <w:rPr>
          <w:rStyle w:val="FootnoteReference"/>
          <w:sz w:val="20"/>
          <w:szCs w:val="20"/>
        </w:rPr>
        <w:footnoteRef/>
      </w:r>
      <w:r w:rsidR="00195D42" w:rsidRPr="001E61CE">
        <w:rPr>
          <w:sz w:val="20"/>
          <w:szCs w:val="20"/>
        </w:rPr>
        <w:t>Xen. Hell. 7.2.1; Underhill 1900: xvi</w:t>
      </w:r>
      <w:r w:rsidR="003F50BB" w:rsidRPr="001E61CE">
        <w:rPr>
          <w:sz w:val="20"/>
          <w:szCs w:val="20"/>
        </w:rPr>
        <w:t xml:space="preserve">; </w:t>
      </w:r>
      <w:proofErr w:type="spellStart"/>
      <w:r w:rsidR="003F50BB" w:rsidRPr="001E61CE">
        <w:rPr>
          <w:sz w:val="20"/>
          <w:szCs w:val="20"/>
        </w:rPr>
        <w:t>Tamiolaki</w:t>
      </w:r>
      <w:proofErr w:type="spellEnd"/>
      <w:r w:rsidR="003F50BB" w:rsidRPr="001E61CE">
        <w:rPr>
          <w:sz w:val="20"/>
          <w:szCs w:val="20"/>
        </w:rPr>
        <w:t xml:space="preserve"> 2008</w:t>
      </w:r>
    </w:p>
  </w:footnote>
  <w:footnote w:id="97">
    <w:p w:rsidR="00646F0B" w:rsidRPr="001E61CE" w:rsidRDefault="00646F0B">
      <w:pPr>
        <w:pStyle w:val="FootnoteText"/>
        <w:rPr>
          <w:highlight w:val="yellow"/>
        </w:rPr>
      </w:pPr>
      <w:r w:rsidRPr="001E61CE">
        <w:rPr>
          <w:rStyle w:val="FootnoteReference"/>
        </w:rPr>
        <w:footnoteRef/>
      </w:r>
      <w:r w:rsidRPr="001E61CE">
        <w:t xml:space="preserve"> </w:t>
      </w:r>
      <w:proofErr w:type="spellStart"/>
      <w:r w:rsidRPr="001E61CE">
        <w:t>Thuc</w:t>
      </w:r>
      <w:proofErr w:type="spellEnd"/>
      <w:r w:rsidRPr="001E61CE">
        <w:t>. 1.33.2, 1.34, 1.57, 1.71, 1.103, 3.13, 3.39, 3.55, 5.11, 5.14.2, 5.30</w:t>
      </w:r>
      <w:r w:rsidR="007B4EEF" w:rsidRPr="001E61CE">
        <w:t>; Xen. Hell. 4.1.3</w:t>
      </w:r>
      <w:r w:rsidR="000A5612" w:rsidRPr="001E61CE">
        <w:t>, 4.7.1, 7.1</w:t>
      </w:r>
    </w:p>
  </w:footnote>
  <w:footnote w:id="98">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2.70, 3.57ff Xen. Hell. 1.4.9</w:t>
      </w:r>
    </w:p>
  </w:footnote>
  <w:footnote w:id="99">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1.81</w:t>
      </w:r>
    </w:p>
  </w:footnote>
  <w:footnote w:id="100">
    <w:p w:rsidR="00646F0B" w:rsidRPr="001E61CE" w:rsidRDefault="00646F0B">
      <w:pPr>
        <w:pStyle w:val="FootnoteText"/>
      </w:pPr>
      <w:r w:rsidRPr="001E61CE">
        <w:rPr>
          <w:rStyle w:val="FootnoteReference"/>
        </w:rPr>
        <w:footnoteRef/>
      </w:r>
      <w:r w:rsidRPr="001E61CE">
        <w:t xml:space="preserve"> </w:t>
      </w:r>
      <w:proofErr w:type="spellStart"/>
      <w:r w:rsidRPr="001E61CE">
        <w:t>Thuc</w:t>
      </w:r>
      <w:proofErr w:type="spellEnd"/>
      <w:r w:rsidRPr="001E61CE">
        <w:t xml:space="preserve">. 3.70, 3.82, 4.55, 4.66, 5.14, 6.27, 6.59, 7.33, 8.75; Xen. Hell. 1.1.32, </w:t>
      </w:r>
    </w:p>
  </w:footnote>
  <w:footnote w:id="101">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 262, 265, 267</w:t>
      </w:r>
    </w:p>
  </w:footnote>
  <w:footnote w:id="102">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 252</w:t>
      </w:r>
    </w:p>
  </w:footnote>
  <w:footnote w:id="103">
    <w:p w:rsidR="000B2F9B" w:rsidRPr="001E61CE" w:rsidRDefault="000B2F9B">
      <w:pPr>
        <w:pStyle w:val="FootnoteText"/>
      </w:pPr>
      <w:r w:rsidRPr="001E61CE">
        <w:rPr>
          <w:rStyle w:val="FootnoteReference"/>
        </w:rPr>
        <w:footnoteRef/>
      </w:r>
      <w:r w:rsidRPr="001E61CE">
        <w:t xml:space="preserve"> Hall 2016: 449</w:t>
      </w:r>
    </w:p>
  </w:footnote>
  <w:footnote w:id="104">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 261; Underhill 1900: xxxi</w:t>
      </w:r>
      <w:r w:rsidR="00557BA4" w:rsidRPr="001E61CE">
        <w:t xml:space="preserve">; </w:t>
      </w:r>
      <w:proofErr w:type="spellStart"/>
      <w:r w:rsidR="00557BA4" w:rsidRPr="001E61CE">
        <w:t>Christesen</w:t>
      </w:r>
      <w:proofErr w:type="spellEnd"/>
      <w:r w:rsidR="00557BA4" w:rsidRPr="001E61CE">
        <w:t xml:space="preserve"> 2016: 396</w:t>
      </w:r>
    </w:p>
  </w:footnote>
  <w:footnote w:id="105">
    <w:p w:rsidR="00646F0B" w:rsidRPr="001E61CE" w:rsidRDefault="00646F0B">
      <w:pPr>
        <w:pStyle w:val="FootnoteText"/>
      </w:pPr>
      <w:r w:rsidRPr="001E61CE">
        <w:rPr>
          <w:rStyle w:val="FootnoteReference"/>
        </w:rPr>
        <w:footnoteRef/>
      </w:r>
      <w:r w:rsidRPr="001E61CE">
        <w:t xml:space="preserve"> </w:t>
      </w:r>
      <w:proofErr w:type="spellStart"/>
      <w:r w:rsidRPr="001E61CE">
        <w:t>Pownall</w:t>
      </w:r>
      <w:proofErr w:type="spellEnd"/>
      <w:r w:rsidRPr="001E61CE">
        <w:t xml:space="preserve"> 1998: 271</w:t>
      </w:r>
    </w:p>
  </w:footnote>
  <w:footnote w:id="106">
    <w:p w:rsidR="00646F0B" w:rsidRPr="001E61CE" w:rsidRDefault="00646F0B">
      <w:pPr>
        <w:pStyle w:val="FootnoteText"/>
      </w:pPr>
      <w:r w:rsidRPr="001E61CE">
        <w:rPr>
          <w:rStyle w:val="FootnoteReference"/>
        </w:rPr>
        <w:footnoteRef/>
      </w:r>
      <w:r w:rsidRPr="001E61CE">
        <w:t xml:space="preserve"> Warner</w:t>
      </w:r>
      <w:r w:rsidR="00985F7E" w:rsidRPr="001E61CE">
        <w:t xml:space="preserve"> 1966</w:t>
      </w:r>
      <w:r w:rsidRPr="001E61CE">
        <w:t>: 8-10; Underhill 1900: x-xi</w:t>
      </w:r>
    </w:p>
  </w:footnote>
  <w:footnote w:id="107">
    <w:p w:rsidR="00646F0B" w:rsidRPr="001E61CE" w:rsidRDefault="00646F0B" w:rsidP="00806A3D">
      <w:pPr>
        <w:pStyle w:val="FootnoteText"/>
      </w:pPr>
      <w:r w:rsidRPr="001E61CE">
        <w:rPr>
          <w:rStyle w:val="FootnoteReference"/>
        </w:rPr>
        <w:footnoteRef/>
      </w:r>
      <w:r w:rsidRPr="001E61CE">
        <w:t xml:space="preserve"> </w:t>
      </w:r>
      <w:r w:rsidR="00826BDA" w:rsidRPr="001E61CE">
        <w:t>Xen. Hell. 7.5.27</w:t>
      </w:r>
      <w:r w:rsidR="00D95CE1" w:rsidRPr="001E61CE">
        <w:t xml:space="preserve">; </w:t>
      </w:r>
      <w:proofErr w:type="spellStart"/>
      <w:r w:rsidR="00D95CE1" w:rsidRPr="001E61CE">
        <w:t>Dillery</w:t>
      </w:r>
      <w:proofErr w:type="spellEnd"/>
      <w:r w:rsidR="00D95CE1" w:rsidRPr="001E61CE">
        <w:t xml:space="preserve"> 1995: 16, 38, 241, 252</w:t>
      </w:r>
    </w:p>
  </w:footnote>
  <w:footnote w:id="108">
    <w:p w:rsidR="003F50BB" w:rsidRPr="001E61CE" w:rsidRDefault="003F50BB">
      <w:pPr>
        <w:pStyle w:val="FootnoteText"/>
      </w:pPr>
      <w:r w:rsidRPr="001E61CE">
        <w:rPr>
          <w:rStyle w:val="FootnoteReference"/>
        </w:rPr>
        <w:footnoteRef/>
      </w:r>
      <w:r w:rsidRPr="001E61CE">
        <w:t xml:space="preserve"> </w:t>
      </w:r>
      <w:proofErr w:type="spellStart"/>
      <w:r w:rsidRPr="001E61CE">
        <w:t>Tamiolaki</w:t>
      </w:r>
      <w:proofErr w:type="spellEnd"/>
      <w:r w:rsidRPr="001E61CE">
        <w:t xml:space="preserve"> 2008</w:t>
      </w:r>
    </w:p>
  </w:footnote>
  <w:footnote w:id="109">
    <w:p w:rsidR="00E568E3" w:rsidRPr="001E61CE" w:rsidRDefault="00E568E3">
      <w:pPr>
        <w:pStyle w:val="FootnoteText"/>
        <w:rPr>
          <w:lang w:val="en-US"/>
        </w:rPr>
      </w:pPr>
      <w:r w:rsidRPr="001E61CE">
        <w:rPr>
          <w:rStyle w:val="FootnoteReference"/>
        </w:rPr>
        <w:footnoteRef/>
      </w:r>
      <w:r w:rsidRPr="001E61CE">
        <w:t xml:space="preserve"> </w:t>
      </w:r>
      <w:r w:rsidRPr="001E61CE">
        <w:rPr>
          <w:lang w:val="en-US"/>
        </w:rPr>
        <w:t>Woodhead 1970: 8-9</w:t>
      </w:r>
    </w:p>
  </w:footnote>
  <w:footnote w:id="110">
    <w:p w:rsidR="00646F0B" w:rsidRPr="001E61CE" w:rsidRDefault="00646F0B">
      <w:pPr>
        <w:pStyle w:val="FootnoteText"/>
      </w:pPr>
      <w:r w:rsidRPr="001E61CE">
        <w:rPr>
          <w:rStyle w:val="FootnoteReference"/>
        </w:rPr>
        <w:footnoteRef/>
      </w:r>
      <w:r w:rsidRPr="001E61CE">
        <w:t xml:space="preserve"> </w:t>
      </w:r>
      <w:r w:rsidR="003E79A5" w:rsidRPr="001E61CE">
        <w:t>Xen. Hell. 7.2.18ff</w:t>
      </w:r>
    </w:p>
  </w:footnote>
  <w:footnote w:id="111">
    <w:p w:rsidR="00646F0B" w:rsidRPr="001E61CE" w:rsidRDefault="00646F0B">
      <w:pPr>
        <w:pStyle w:val="FootnoteText"/>
      </w:pPr>
      <w:r w:rsidRPr="001E61CE">
        <w:rPr>
          <w:rStyle w:val="FootnoteReference"/>
        </w:rPr>
        <w:footnoteRef/>
      </w:r>
      <w:r w:rsidRPr="001E61CE">
        <w:t xml:space="preserve"> </w:t>
      </w:r>
      <w:proofErr w:type="spellStart"/>
      <w:r w:rsidR="00992AFF" w:rsidRPr="001E61CE">
        <w:t>Cawkwell</w:t>
      </w:r>
      <w:proofErr w:type="spellEnd"/>
      <w:r w:rsidR="00992AFF" w:rsidRPr="001E61CE">
        <w:t xml:space="preserve"> 1977: 15</w:t>
      </w:r>
      <w:r w:rsidR="00D03F45" w:rsidRPr="001E61CE">
        <w:t>; Gibbon</w:t>
      </w:r>
      <w:r w:rsidR="009A3C41" w:rsidRPr="001E61CE">
        <w:t xml:space="preserve"> 1789</w:t>
      </w:r>
      <w:r w:rsidR="005524D4" w:rsidRPr="001E61CE">
        <w:t>; Morley 1999: 22, 24</w:t>
      </w:r>
      <w:r w:rsidR="00DD0CA6" w:rsidRPr="001E61CE">
        <w:t xml:space="preserve">, </w:t>
      </w:r>
      <w:r w:rsidR="000124D6" w:rsidRPr="001E61CE">
        <w:t xml:space="preserve">63, </w:t>
      </w:r>
      <w:r w:rsidR="00DD0CA6" w:rsidRPr="001E61CE">
        <w:t>91</w:t>
      </w:r>
    </w:p>
  </w:footnote>
  <w:footnote w:id="112">
    <w:p w:rsidR="00717D90" w:rsidRPr="001E61CE" w:rsidRDefault="00717D90">
      <w:pPr>
        <w:pStyle w:val="FootnoteText"/>
      </w:pPr>
      <w:r w:rsidRPr="001E61CE">
        <w:rPr>
          <w:rStyle w:val="FootnoteReference"/>
        </w:rPr>
        <w:footnoteRef/>
      </w:r>
      <w:r w:rsidRPr="001E61CE">
        <w:t xml:space="preserve"> </w:t>
      </w:r>
      <w:r w:rsidR="003E79A5" w:rsidRPr="001E61CE">
        <w:t>Woodhead 1970: 8-9</w:t>
      </w:r>
    </w:p>
  </w:footnote>
  <w:footnote w:id="113">
    <w:p w:rsidR="00717D90" w:rsidRDefault="00717D90">
      <w:pPr>
        <w:pStyle w:val="FootnoteText"/>
      </w:pPr>
      <w:r>
        <w:rPr>
          <w:rStyle w:val="FootnoteReference"/>
        </w:rPr>
        <w:footnoteRef/>
      </w:r>
      <w:r>
        <w:t xml:space="preserve"> </w:t>
      </w:r>
      <w:proofErr w:type="spellStart"/>
      <w:r w:rsidR="00D717C7">
        <w:t>Krentz</w:t>
      </w:r>
      <w:proofErr w:type="spellEnd"/>
      <w:r w:rsidR="00D717C7">
        <w:t xml:space="preserve"> 1995: 139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FC3"/>
    <w:rsid w:val="000036C4"/>
    <w:rsid w:val="00011232"/>
    <w:rsid w:val="000124D6"/>
    <w:rsid w:val="0001303E"/>
    <w:rsid w:val="00013D9B"/>
    <w:rsid w:val="00016938"/>
    <w:rsid w:val="00021574"/>
    <w:rsid w:val="0002237C"/>
    <w:rsid w:val="00022D72"/>
    <w:rsid w:val="00025C4D"/>
    <w:rsid w:val="00037BF2"/>
    <w:rsid w:val="000443A2"/>
    <w:rsid w:val="00053C43"/>
    <w:rsid w:val="00053F05"/>
    <w:rsid w:val="00053F50"/>
    <w:rsid w:val="00054120"/>
    <w:rsid w:val="000542B1"/>
    <w:rsid w:val="00054C87"/>
    <w:rsid w:val="000561AF"/>
    <w:rsid w:val="000562D3"/>
    <w:rsid w:val="00057DBD"/>
    <w:rsid w:val="000640AC"/>
    <w:rsid w:val="000659BA"/>
    <w:rsid w:val="00065E7D"/>
    <w:rsid w:val="0007749D"/>
    <w:rsid w:val="00081D90"/>
    <w:rsid w:val="00083FC9"/>
    <w:rsid w:val="00090DDC"/>
    <w:rsid w:val="000A0186"/>
    <w:rsid w:val="000A42D4"/>
    <w:rsid w:val="000A5612"/>
    <w:rsid w:val="000B2F9B"/>
    <w:rsid w:val="000C3C0D"/>
    <w:rsid w:val="000C7755"/>
    <w:rsid w:val="000D1BC4"/>
    <w:rsid w:val="000D4873"/>
    <w:rsid w:val="000E3A4D"/>
    <w:rsid w:val="000F0D4C"/>
    <w:rsid w:val="000F294C"/>
    <w:rsid w:val="000F41A6"/>
    <w:rsid w:val="000F73D2"/>
    <w:rsid w:val="00105114"/>
    <w:rsid w:val="0010642B"/>
    <w:rsid w:val="0012127D"/>
    <w:rsid w:val="00123706"/>
    <w:rsid w:val="00123985"/>
    <w:rsid w:val="00131B88"/>
    <w:rsid w:val="0013210F"/>
    <w:rsid w:val="00136EFD"/>
    <w:rsid w:val="00143C32"/>
    <w:rsid w:val="00145F05"/>
    <w:rsid w:val="00151E29"/>
    <w:rsid w:val="001540F4"/>
    <w:rsid w:val="001562DC"/>
    <w:rsid w:val="00157A85"/>
    <w:rsid w:val="00161205"/>
    <w:rsid w:val="001626CE"/>
    <w:rsid w:val="00166179"/>
    <w:rsid w:val="0017528D"/>
    <w:rsid w:val="001807BF"/>
    <w:rsid w:val="001838CC"/>
    <w:rsid w:val="00190534"/>
    <w:rsid w:val="00194BE4"/>
    <w:rsid w:val="00195D42"/>
    <w:rsid w:val="001A1DD5"/>
    <w:rsid w:val="001A1FCF"/>
    <w:rsid w:val="001A2862"/>
    <w:rsid w:val="001C1F15"/>
    <w:rsid w:val="001C4852"/>
    <w:rsid w:val="001D3ABF"/>
    <w:rsid w:val="001D592F"/>
    <w:rsid w:val="001D5DDC"/>
    <w:rsid w:val="001D5F85"/>
    <w:rsid w:val="001D7436"/>
    <w:rsid w:val="001E2966"/>
    <w:rsid w:val="001E61CE"/>
    <w:rsid w:val="001F38CA"/>
    <w:rsid w:val="001F6672"/>
    <w:rsid w:val="001F7736"/>
    <w:rsid w:val="00201BAC"/>
    <w:rsid w:val="00202F55"/>
    <w:rsid w:val="002124E3"/>
    <w:rsid w:val="00213824"/>
    <w:rsid w:val="00213D98"/>
    <w:rsid w:val="0021428B"/>
    <w:rsid w:val="00216185"/>
    <w:rsid w:val="0022269D"/>
    <w:rsid w:val="00223703"/>
    <w:rsid w:val="00231A9E"/>
    <w:rsid w:val="002375D8"/>
    <w:rsid w:val="002412EB"/>
    <w:rsid w:val="00242FC0"/>
    <w:rsid w:val="00245C99"/>
    <w:rsid w:val="0024658F"/>
    <w:rsid w:val="0026182E"/>
    <w:rsid w:val="002641F4"/>
    <w:rsid w:val="00266F90"/>
    <w:rsid w:val="0027724E"/>
    <w:rsid w:val="00281AC7"/>
    <w:rsid w:val="00285916"/>
    <w:rsid w:val="0029084C"/>
    <w:rsid w:val="0029171C"/>
    <w:rsid w:val="002979E2"/>
    <w:rsid w:val="002A297C"/>
    <w:rsid w:val="002A4749"/>
    <w:rsid w:val="002B4D25"/>
    <w:rsid w:val="002B6C58"/>
    <w:rsid w:val="002B72E7"/>
    <w:rsid w:val="002D0499"/>
    <w:rsid w:val="002D163C"/>
    <w:rsid w:val="002D29D5"/>
    <w:rsid w:val="002E3E5F"/>
    <w:rsid w:val="002E613D"/>
    <w:rsid w:val="002E756E"/>
    <w:rsid w:val="002F2049"/>
    <w:rsid w:val="002F2D5D"/>
    <w:rsid w:val="002F37AA"/>
    <w:rsid w:val="002F4610"/>
    <w:rsid w:val="002F637D"/>
    <w:rsid w:val="002F66C4"/>
    <w:rsid w:val="00305878"/>
    <w:rsid w:val="0030632D"/>
    <w:rsid w:val="003130CA"/>
    <w:rsid w:val="00317645"/>
    <w:rsid w:val="003225FE"/>
    <w:rsid w:val="00323305"/>
    <w:rsid w:val="0032353F"/>
    <w:rsid w:val="00335605"/>
    <w:rsid w:val="00347410"/>
    <w:rsid w:val="00347B6A"/>
    <w:rsid w:val="00352F91"/>
    <w:rsid w:val="0035639E"/>
    <w:rsid w:val="00367938"/>
    <w:rsid w:val="0037034E"/>
    <w:rsid w:val="00371187"/>
    <w:rsid w:val="00383315"/>
    <w:rsid w:val="00383836"/>
    <w:rsid w:val="00383975"/>
    <w:rsid w:val="00392D76"/>
    <w:rsid w:val="00393DDC"/>
    <w:rsid w:val="003A46AC"/>
    <w:rsid w:val="003A6E59"/>
    <w:rsid w:val="003A7726"/>
    <w:rsid w:val="003B09A0"/>
    <w:rsid w:val="003C0996"/>
    <w:rsid w:val="003C0EFE"/>
    <w:rsid w:val="003C5D68"/>
    <w:rsid w:val="003C7B68"/>
    <w:rsid w:val="003D0AFD"/>
    <w:rsid w:val="003D1D4C"/>
    <w:rsid w:val="003D37AB"/>
    <w:rsid w:val="003D716A"/>
    <w:rsid w:val="003E4483"/>
    <w:rsid w:val="003E79A5"/>
    <w:rsid w:val="003F2DD1"/>
    <w:rsid w:val="003F44E4"/>
    <w:rsid w:val="003F457B"/>
    <w:rsid w:val="003F4638"/>
    <w:rsid w:val="003F50BB"/>
    <w:rsid w:val="004057E8"/>
    <w:rsid w:val="00417F7B"/>
    <w:rsid w:val="00422666"/>
    <w:rsid w:val="00427DE1"/>
    <w:rsid w:val="00427EA9"/>
    <w:rsid w:val="00437BAF"/>
    <w:rsid w:val="004418E4"/>
    <w:rsid w:val="00443CD2"/>
    <w:rsid w:val="004554A1"/>
    <w:rsid w:val="0045585E"/>
    <w:rsid w:val="0045620E"/>
    <w:rsid w:val="0046503D"/>
    <w:rsid w:val="00473481"/>
    <w:rsid w:val="00476B16"/>
    <w:rsid w:val="00480582"/>
    <w:rsid w:val="00481946"/>
    <w:rsid w:val="004838D2"/>
    <w:rsid w:val="00487460"/>
    <w:rsid w:val="00487B19"/>
    <w:rsid w:val="00490FB8"/>
    <w:rsid w:val="00491CAB"/>
    <w:rsid w:val="004A3706"/>
    <w:rsid w:val="004A5113"/>
    <w:rsid w:val="004A5641"/>
    <w:rsid w:val="004B206B"/>
    <w:rsid w:val="004B2B98"/>
    <w:rsid w:val="004C18F8"/>
    <w:rsid w:val="004C5E5B"/>
    <w:rsid w:val="004D19D5"/>
    <w:rsid w:val="004D34E6"/>
    <w:rsid w:val="004E0B69"/>
    <w:rsid w:val="004E41AF"/>
    <w:rsid w:val="004E4364"/>
    <w:rsid w:val="004E6392"/>
    <w:rsid w:val="004F2798"/>
    <w:rsid w:val="004F4178"/>
    <w:rsid w:val="004F4FF3"/>
    <w:rsid w:val="00504323"/>
    <w:rsid w:val="00507170"/>
    <w:rsid w:val="00513681"/>
    <w:rsid w:val="0051548B"/>
    <w:rsid w:val="00525A8E"/>
    <w:rsid w:val="005273C6"/>
    <w:rsid w:val="00543930"/>
    <w:rsid w:val="0054723B"/>
    <w:rsid w:val="005524D4"/>
    <w:rsid w:val="0055262D"/>
    <w:rsid w:val="00555FBC"/>
    <w:rsid w:val="00557BA4"/>
    <w:rsid w:val="00562D36"/>
    <w:rsid w:val="00564B1B"/>
    <w:rsid w:val="00576095"/>
    <w:rsid w:val="00577DFB"/>
    <w:rsid w:val="005814D1"/>
    <w:rsid w:val="00593D96"/>
    <w:rsid w:val="005A5435"/>
    <w:rsid w:val="005B3EAD"/>
    <w:rsid w:val="005C0429"/>
    <w:rsid w:val="005C2278"/>
    <w:rsid w:val="005D558C"/>
    <w:rsid w:val="005E337E"/>
    <w:rsid w:val="005E5CFC"/>
    <w:rsid w:val="005F2AA4"/>
    <w:rsid w:val="005F2FA2"/>
    <w:rsid w:val="005F53B7"/>
    <w:rsid w:val="005F7158"/>
    <w:rsid w:val="00611153"/>
    <w:rsid w:val="006132FB"/>
    <w:rsid w:val="00614924"/>
    <w:rsid w:val="00617379"/>
    <w:rsid w:val="006204AA"/>
    <w:rsid w:val="006217C3"/>
    <w:rsid w:val="00623B70"/>
    <w:rsid w:val="00626D45"/>
    <w:rsid w:val="00627DD3"/>
    <w:rsid w:val="00631A4F"/>
    <w:rsid w:val="0063711B"/>
    <w:rsid w:val="00637C84"/>
    <w:rsid w:val="00646F0B"/>
    <w:rsid w:val="006472C9"/>
    <w:rsid w:val="006479EC"/>
    <w:rsid w:val="00651DE3"/>
    <w:rsid w:val="00651E39"/>
    <w:rsid w:val="00653135"/>
    <w:rsid w:val="006533B1"/>
    <w:rsid w:val="00665409"/>
    <w:rsid w:val="00666A58"/>
    <w:rsid w:val="006712B7"/>
    <w:rsid w:val="00676BAD"/>
    <w:rsid w:val="00681869"/>
    <w:rsid w:val="006855C0"/>
    <w:rsid w:val="00685AAC"/>
    <w:rsid w:val="00686781"/>
    <w:rsid w:val="00687DBF"/>
    <w:rsid w:val="00691BD8"/>
    <w:rsid w:val="0069301C"/>
    <w:rsid w:val="006A2341"/>
    <w:rsid w:val="006A5070"/>
    <w:rsid w:val="006A76A0"/>
    <w:rsid w:val="006A7F3C"/>
    <w:rsid w:val="006B01F1"/>
    <w:rsid w:val="006B4F56"/>
    <w:rsid w:val="006B79D8"/>
    <w:rsid w:val="006C0E6C"/>
    <w:rsid w:val="006C38C9"/>
    <w:rsid w:val="006C51A6"/>
    <w:rsid w:val="006C5928"/>
    <w:rsid w:val="006C78ED"/>
    <w:rsid w:val="006D0B19"/>
    <w:rsid w:val="006D0E70"/>
    <w:rsid w:val="006D5FDA"/>
    <w:rsid w:val="006E2DAD"/>
    <w:rsid w:val="006E5EE6"/>
    <w:rsid w:val="006F2B43"/>
    <w:rsid w:val="0070007D"/>
    <w:rsid w:val="00700FE9"/>
    <w:rsid w:val="00701FC3"/>
    <w:rsid w:val="00703A69"/>
    <w:rsid w:val="00706349"/>
    <w:rsid w:val="0071113C"/>
    <w:rsid w:val="0071595C"/>
    <w:rsid w:val="007179BB"/>
    <w:rsid w:val="00717D90"/>
    <w:rsid w:val="00717EBA"/>
    <w:rsid w:val="00722D44"/>
    <w:rsid w:val="0072399F"/>
    <w:rsid w:val="00727B3D"/>
    <w:rsid w:val="00727DF1"/>
    <w:rsid w:val="0073397C"/>
    <w:rsid w:val="007346C0"/>
    <w:rsid w:val="00734AED"/>
    <w:rsid w:val="007363C6"/>
    <w:rsid w:val="00737201"/>
    <w:rsid w:val="00741E67"/>
    <w:rsid w:val="00743EFD"/>
    <w:rsid w:val="00747628"/>
    <w:rsid w:val="00750D4C"/>
    <w:rsid w:val="007515BE"/>
    <w:rsid w:val="00751858"/>
    <w:rsid w:val="007520A5"/>
    <w:rsid w:val="00754BFF"/>
    <w:rsid w:val="00755073"/>
    <w:rsid w:val="00755870"/>
    <w:rsid w:val="007574BF"/>
    <w:rsid w:val="0076099B"/>
    <w:rsid w:val="00761A9C"/>
    <w:rsid w:val="007626DE"/>
    <w:rsid w:val="00762941"/>
    <w:rsid w:val="00762D65"/>
    <w:rsid w:val="007630DD"/>
    <w:rsid w:val="00771959"/>
    <w:rsid w:val="00775FA4"/>
    <w:rsid w:val="0078605A"/>
    <w:rsid w:val="0079278E"/>
    <w:rsid w:val="0079307A"/>
    <w:rsid w:val="007944E9"/>
    <w:rsid w:val="007948C6"/>
    <w:rsid w:val="007A3130"/>
    <w:rsid w:val="007A7DFD"/>
    <w:rsid w:val="007B1DB3"/>
    <w:rsid w:val="007B3653"/>
    <w:rsid w:val="007B4EEF"/>
    <w:rsid w:val="007B6705"/>
    <w:rsid w:val="007C07E6"/>
    <w:rsid w:val="007C25CC"/>
    <w:rsid w:val="007C5EF7"/>
    <w:rsid w:val="007C645D"/>
    <w:rsid w:val="007D1076"/>
    <w:rsid w:val="007D5399"/>
    <w:rsid w:val="007E7CB9"/>
    <w:rsid w:val="007F3E40"/>
    <w:rsid w:val="007F5E2A"/>
    <w:rsid w:val="00801DBB"/>
    <w:rsid w:val="00806A3D"/>
    <w:rsid w:val="00811DB7"/>
    <w:rsid w:val="00814927"/>
    <w:rsid w:val="00814FE3"/>
    <w:rsid w:val="008174AC"/>
    <w:rsid w:val="00817C41"/>
    <w:rsid w:val="00817D33"/>
    <w:rsid w:val="00824756"/>
    <w:rsid w:val="00824A46"/>
    <w:rsid w:val="00826BDA"/>
    <w:rsid w:val="00832F77"/>
    <w:rsid w:val="00853E3D"/>
    <w:rsid w:val="0086155C"/>
    <w:rsid w:val="00862D81"/>
    <w:rsid w:val="00866B98"/>
    <w:rsid w:val="00871689"/>
    <w:rsid w:val="008744A1"/>
    <w:rsid w:val="00874B40"/>
    <w:rsid w:val="00882137"/>
    <w:rsid w:val="008857E0"/>
    <w:rsid w:val="008912BC"/>
    <w:rsid w:val="00897222"/>
    <w:rsid w:val="008A1FB1"/>
    <w:rsid w:val="008A7771"/>
    <w:rsid w:val="008B2BCE"/>
    <w:rsid w:val="008B4D79"/>
    <w:rsid w:val="008B589C"/>
    <w:rsid w:val="008C4BB9"/>
    <w:rsid w:val="008D5EC4"/>
    <w:rsid w:val="008D6878"/>
    <w:rsid w:val="008F294A"/>
    <w:rsid w:val="008F34DA"/>
    <w:rsid w:val="009021CB"/>
    <w:rsid w:val="009073A0"/>
    <w:rsid w:val="009114D2"/>
    <w:rsid w:val="0091534A"/>
    <w:rsid w:val="00935FEF"/>
    <w:rsid w:val="00937D98"/>
    <w:rsid w:val="00942848"/>
    <w:rsid w:val="0094447E"/>
    <w:rsid w:val="009558DE"/>
    <w:rsid w:val="00960177"/>
    <w:rsid w:val="009750FA"/>
    <w:rsid w:val="009801F2"/>
    <w:rsid w:val="00981F7F"/>
    <w:rsid w:val="00985F7E"/>
    <w:rsid w:val="00987D59"/>
    <w:rsid w:val="00992AFF"/>
    <w:rsid w:val="00993CB4"/>
    <w:rsid w:val="0099582A"/>
    <w:rsid w:val="00997A47"/>
    <w:rsid w:val="009A2D72"/>
    <w:rsid w:val="009A3C41"/>
    <w:rsid w:val="009A71B9"/>
    <w:rsid w:val="009A7D11"/>
    <w:rsid w:val="009B0C88"/>
    <w:rsid w:val="009B32DA"/>
    <w:rsid w:val="009C0F20"/>
    <w:rsid w:val="009C251F"/>
    <w:rsid w:val="009C375E"/>
    <w:rsid w:val="009C3FA1"/>
    <w:rsid w:val="009C6403"/>
    <w:rsid w:val="009D2A7F"/>
    <w:rsid w:val="009D3131"/>
    <w:rsid w:val="009F02CF"/>
    <w:rsid w:val="009F02F3"/>
    <w:rsid w:val="009F434C"/>
    <w:rsid w:val="009F5A74"/>
    <w:rsid w:val="00A051F9"/>
    <w:rsid w:val="00A118A8"/>
    <w:rsid w:val="00A11C6F"/>
    <w:rsid w:val="00A121DE"/>
    <w:rsid w:val="00A239DA"/>
    <w:rsid w:val="00A26CA2"/>
    <w:rsid w:val="00A30AC7"/>
    <w:rsid w:val="00A319CB"/>
    <w:rsid w:val="00A331CD"/>
    <w:rsid w:val="00A51F45"/>
    <w:rsid w:val="00A53B32"/>
    <w:rsid w:val="00A676D8"/>
    <w:rsid w:val="00A72F13"/>
    <w:rsid w:val="00A75EB6"/>
    <w:rsid w:val="00A95BCF"/>
    <w:rsid w:val="00AA0DF3"/>
    <w:rsid w:val="00AA20C1"/>
    <w:rsid w:val="00AA2DBD"/>
    <w:rsid w:val="00AB2C1E"/>
    <w:rsid w:val="00AD4E78"/>
    <w:rsid w:val="00AD5266"/>
    <w:rsid w:val="00AD658F"/>
    <w:rsid w:val="00AD7EF6"/>
    <w:rsid w:val="00AE5344"/>
    <w:rsid w:val="00AE67E0"/>
    <w:rsid w:val="00AF613C"/>
    <w:rsid w:val="00AF6A46"/>
    <w:rsid w:val="00B00DFC"/>
    <w:rsid w:val="00B04F56"/>
    <w:rsid w:val="00B07004"/>
    <w:rsid w:val="00B23081"/>
    <w:rsid w:val="00B2635C"/>
    <w:rsid w:val="00B33E5A"/>
    <w:rsid w:val="00B36F73"/>
    <w:rsid w:val="00B475B2"/>
    <w:rsid w:val="00B5316A"/>
    <w:rsid w:val="00B618EB"/>
    <w:rsid w:val="00B73F49"/>
    <w:rsid w:val="00B75887"/>
    <w:rsid w:val="00B767FB"/>
    <w:rsid w:val="00B95176"/>
    <w:rsid w:val="00BA222C"/>
    <w:rsid w:val="00BA3C0A"/>
    <w:rsid w:val="00BB6A8D"/>
    <w:rsid w:val="00BC514F"/>
    <w:rsid w:val="00BC6095"/>
    <w:rsid w:val="00BC7DBF"/>
    <w:rsid w:val="00BD18D8"/>
    <w:rsid w:val="00BD273D"/>
    <w:rsid w:val="00BD4F3B"/>
    <w:rsid w:val="00BD5DEC"/>
    <w:rsid w:val="00BE61CA"/>
    <w:rsid w:val="00BE669B"/>
    <w:rsid w:val="00BE6861"/>
    <w:rsid w:val="00C01FE4"/>
    <w:rsid w:val="00C06B22"/>
    <w:rsid w:val="00C14210"/>
    <w:rsid w:val="00C16AC5"/>
    <w:rsid w:val="00C264F1"/>
    <w:rsid w:val="00C3142F"/>
    <w:rsid w:val="00C341B3"/>
    <w:rsid w:val="00C34B84"/>
    <w:rsid w:val="00C40964"/>
    <w:rsid w:val="00C46246"/>
    <w:rsid w:val="00C46CA5"/>
    <w:rsid w:val="00C501AA"/>
    <w:rsid w:val="00C5033F"/>
    <w:rsid w:val="00C51390"/>
    <w:rsid w:val="00C51A0E"/>
    <w:rsid w:val="00C56B31"/>
    <w:rsid w:val="00C67747"/>
    <w:rsid w:val="00C7070E"/>
    <w:rsid w:val="00C77FB4"/>
    <w:rsid w:val="00C8077E"/>
    <w:rsid w:val="00C81E64"/>
    <w:rsid w:val="00C81E9A"/>
    <w:rsid w:val="00C82372"/>
    <w:rsid w:val="00C865E9"/>
    <w:rsid w:val="00C964DE"/>
    <w:rsid w:val="00CB69A6"/>
    <w:rsid w:val="00CB6CBC"/>
    <w:rsid w:val="00CC1CF0"/>
    <w:rsid w:val="00CC4F46"/>
    <w:rsid w:val="00CD6686"/>
    <w:rsid w:val="00CE6106"/>
    <w:rsid w:val="00CF2861"/>
    <w:rsid w:val="00CF5014"/>
    <w:rsid w:val="00CF6060"/>
    <w:rsid w:val="00D01307"/>
    <w:rsid w:val="00D01B83"/>
    <w:rsid w:val="00D030A0"/>
    <w:rsid w:val="00D0323D"/>
    <w:rsid w:val="00D03F45"/>
    <w:rsid w:val="00D22072"/>
    <w:rsid w:val="00D36AF9"/>
    <w:rsid w:val="00D44E87"/>
    <w:rsid w:val="00D50C0B"/>
    <w:rsid w:val="00D71744"/>
    <w:rsid w:val="00D717C7"/>
    <w:rsid w:val="00D71A7F"/>
    <w:rsid w:val="00D72248"/>
    <w:rsid w:val="00D7327F"/>
    <w:rsid w:val="00D8619A"/>
    <w:rsid w:val="00D945F9"/>
    <w:rsid w:val="00D95CE1"/>
    <w:rsid w:val="00DA5DBE"/>
    <w:rsid w:val="00DA627D"/>
    <w:rsid w:val="00DA69E8"/>
    <w:rsid w:val="00DB2761"/>
    <w:rsid w:val="00DB4EDA"/>
    <w:rsid w:val="00DC3220"/>
    <w:rsid w:val="00DC776B"/>
    <w:rsid w:val="00DD0CA6"/>
    <w:rsid w:val="00DD4A25"/>
    <w:rsid w:val="00DD4F6C"/>
    <w:rsid w:val="00DE0191"/>
    <w:rsid w:val="00DF2045"/>
    <w:rsid w:val="00DF420B"/>
    <w:rsid w:val="00E04277"/>
    <w:rsid w:val="00E06540"/>
    <w:rsid w:val="00E103D1"/>
    <w:rsid w:val="00E11A18"/>
    <w:rsid w:val="00E15B0C"/>
    <w:rsid w:val="00E2030B"/>
    <w:rsid w:val="00E22D5D"/>
    <w:rsid w:val="00E24EE3"/>
    <w:rsid w:val="00E3170A"/>
    <w:rsid w:val="00E34602"/>
    <w:rsid w:val="00E44B1C"/>
    <w:rsid w:val="00E45B58"/>
    <w:rsid w:val="00E47D35"/>
    <w:rsid w:val="00E50713"/>
    <w:rsid w:val="00E5420F"/>
    <w:rsid w:val="00E54380"/>
    <w:rsid w:val="00E568E3"/>
    <w:rsid w:val="00E56DA3"/>
    <w:rsid w:val="00E63119"/>
    <w:rsid w:val="00E6670E"/>
    <w:rsid w:val="00E71B1E"/>
    <w:rsid w:val="00E96181"/>
    <w:rsid w:val="00EA1D3C"/>
    <w:rsid w:val="00EA2124"/>
    <w:rsid w:val="00EA3304"/>
    <w:rsid w:val="00EA78AC"/>
    <w:rsid w:val="00EB2FD9"/>
    <w:rsid w:val="00EB3E21"/>
    <w:rsid w:val="00EB699A"/>
    <w:rsid w:val="00EB6C59"/>
    <w:rsid w:val="00EB7AB0"/>
    <w:rsid w:val="00ED0DE8"/>
    <w:rsid w:val="00ED17EC"/>
    <w:rsid w:val="00ED49B6"/>
    <w:rsid w:val="00EE7AFA"/>
    <w:rsid w:val="00EF2C5A"/>
    <w:rsid w:val="00F01DCA"/>
    <w:rsid w:val="00F05EC8"/>
    <w:rsid w:val="00F13101"/>
    <w:rsid w:val="00F13E6F"/>
    <w:rsid w:val="00F15FE2"/>
    <w:rsid w:val="00F33AFD"/>
    <w:rsid w:val="00F35EAF"/>
    <w:rsid w:val="00F42977"/>
    <w:rsid w:val="00F47532"/>
    <w:rsid w:val="00F51DE8"/>
    <w:rsid w:val="00F54EC8"/>
    <w:rsid w:val="00F6246A"/>
    <w:rsid w:val="00F679A0"/>
    <w:rsid w:val="00F70743"/>
    <w:rsid w:val="00F72FA4"/>
    <w:rsid w:val="00F74C93"/>
    <w:rsid w:val="00F86E41"/>
    <w:rsid w:val="00F91212"/>
    <w:rsid w:val="00F948A5"/>
    <w:rsid w:val="00FA3ABA"/>
    <w:rsid w:val="00FA596E"/>
    <w:rsid w:val="00FA6218"/>
    <w:rsid w:val="00FB53A6"/>
    <w:rsid w:val="00FD04AC"/>
    <w:rsid w:val="00FD25C4"/>
    <w:rsid w:val="00FD43A5"/>
    <w:rsid w:val="00FD62FC"/>
    <w:rsid w:val="00FD77A1"/>
    <w:rsid w:val="00FE41EF"/>
    <w:rsid w:val="00FE66AF"/>
    <w:rsid w:val="00FF3DC8"/>
    <w:rsid w:val="00FF4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9CAA692-AB43-4B84-B582-AC10C8C93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F61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D5D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D5D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43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4364"/>
    <w:rPr>
      <w:sz w:val="20"/>
      <w:szCs w:val="20"/>
    </w:rPr>
  </w:style>
  <w:style w:type="character" w:styleId="FootnoteReference">
    <w:name w:val="footnote reference"/>
    <w:basedOn w:val="DefaultParagraphFont"/>
    <w:uiPriority w:val="99"/>
    <w:semiHidden/>
    <w:unhideWhenUsed/>
    <w:rsid w:val="004E4364"/>
    <w:rPr>
      <w:vertAlign w:val="superscript"/>
    </w:rPr>
  </w:style>
  <w:style w:type="character" w:customStyle="1" w:styleId="Heading1Char">
    <w:name w:val="Heading 1 Char"/>
    <w:basedOn w:val="DefaultParagraphFont"/>
    <w:link w:val="Heading1"/>
    <w:uiPriority w:val="9"/>
    <w:rsid w:val="00AF613C"/>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AF613C"/>
  </w:style>
  <w:style w:type="character" w:customStyle="1" w:styleId="a-size-large">
    <w:name w:val="a-size-large"/>
    <w:basedOn w:val="DefaultParagraphFont"/>
    <w:rsid w:val="00CB6CBC"/>
  </w:style>
  <w:style w:type="character" w:customStyle="1" w:styleId="a-size-medium">
    <w:name w:val="a-size-medium"/>
    <w:basedOn w:val="DefaultParagraphFont"/>
    <w:rsid w:val="00CB6CBC"/>
  </w:style>
  <w:style w:type="character" w:customStyle="1" w:styleId="a-declarative">
    <w:name w:val="a-declarative"/>
    <w:basedOn w:val="DefaultParagraphFont"/>
    <w:rsid w:val="00CB6CBC"/>
  </w:style>
  <w:style w:type="character" w:styleId="Hyperlink">
    <w:name w:val="Hyperlink"/>
    <w:basedOn w:val="DefaultParagraphFont"/>
    <w:uiPriority w:val="99"/>
    <w:semiHidden/>
    <w:unhideWhenUsed/>
    <w:rsid w:val="00CB6CBC"/>
    <w:rPr>
      <w:color w:val="0000FF"/>
      <w:u w:val="single"/>
    </w:rPr>
  </w:style>
  <w:style w:type="character" w:customStyle="1" w:styleId="a-color-secondary">
    <w:name w:val="a-color-secondary"/>
    <w:basedOn w:val="DefaultParagraphFont"/>
    <w:rsid w:val="00CB6CBC"/>
  </w:style>
  <w:style w:type="character" w:customStyle="1" w:styleId="Heading2Char">
    <w:name w:val="Heading 2 Char"/>
    <w:basedOn w:val="DefaultParagraphFont"/>
    <w:link w:val="Heading2"/>
    <w:uiPriority w:val="9"/>
    <w:semiHidden/>
    <w:rsid w:val="00BD5DE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D5DEC"/>
    <w:rPr>
      <w:rFonts w:asciiTheme="majorHAnsi" w:eastAsiaTheme="majorEastAsia" w:hAnsiTheme="majorHAnsi" w:cstheme="majorBidi"/>
      <w:color w:val="1F4D78" w:themeColor="accent1" w:themeShade="7F"/>
      <w:sz w:val="24"/>
      <w:szCs w:val="24"/>
    </w:rPr>
  </w:style>
  <w:style w:type="character" w:customStyle="1" w:styleId="searchword">
    <w:name w:val="searchword"/>
    <w:basedOn w:val="DefaultParagraphFont"/>
    <w:rsid w:val="00BD5D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3519891">
      <w:bodyDiv w:val="1"/>
      <w:marLeft w:val="0"/>
      <w:marRight w:val="0"/>
      <w:marTop w:val="0"/>
      <w:marBottom w:val="0"/>
      <w:divBdr>
        <w:top w:val="none" w:sz="0" w:space="0" w:color="auto"/>
        <w:left w:val="none" w:sz="0" w:space="0" w:color="auto"/>
        <w:bottom w:val="none" w:sz="0" w:space="0" w:color="auto"/>
        <w:right w:val="none" w:sz="0" w:space="0" w:color="auto"/>
      </w:divBdr>
    </w:div>
    <w:div w:id="554201048">
      <w:bodyDiv w:val="1"/>
      <w:marLeft w:val="0"/>
      <w:marRight w:val="0"/>
      <w:marTop w:val="0"/>
      <w:marBottom w:val="0"/>
      <w:divBdr>
        <w:top w:val="none" w:sz="0" w:space="0" w:color="auto"/>
        <w:left w:val="none" w:sz="0" w:space="0" w:color="auto"/>
        <w:bottom w:val="none" w:sz="0" w:space="0" w:color="auto"/>
        <w:right w:val="none" w:sz="0" w:space="0" w:color="auto"/>
      </w:divBdr>
      <w:divsChild>
        <w:div w:id="1231696498">
          <w:marLeft w:val="0"/>
          <w:marRight w:val="0"/>
          <w:marTop w:val="0"/>
          <w:marBottom w:val="450"/>
          <w:divBdr>
            <w:top w:val="none" w:sz="0" w:space="0" w:color="auto"/>
            <w:left w:val="none" w:sz="0" w:space="0" w:color="auto"/>
            <w:bottom w:val="none" w:sz="0" w:space="0" w:color="auto"/>
            <w:right w:val="none" w:sz="0" w:space="0" w:color="auto"/>
          </w:divBdr>
        </w:div>
        <w:div w:id="1257905515">
          <w:marLeft w:val="0"/>
          <w:marRight w:val="0"/>
          <w:marTop w:val="0"/>
          <w:marBottom w:val="0"/>
          <w:divBdr>
            <w:top w:val="none" w:sz="0" w:space="0" w:color="auto"/>
            <w:left w:val="none" w:sz="0" w:space="0" w:color="auto"/>
            <w:bottom w:val="none" w:sz="0" w:space="0" w:color="auto"/>
            <w:right w:val="none" w:sz="0" w:space="0" w:color="auto"/>
          </w:divBdr>
        </w:div>
      </w:divsChild>
    </w:div>
    <w:div w:id="649285359">
      <w:bodyDiv w:val="1"/>
      <w:marLeft w:val="0"/>
      <w:marRight w:val="0"/>
      <w:marTop w:val="0"/>
      <w:marBottom w:val="0"/>
      <w:divBdr>
        <w:top w:val="none" w:sz="0" w:space="0" w:color="auto"/>
        <w:left w:val="none" w:sz="0" w:space="0" w:color="auto"/>
        <w:bottom w:val="none" w:sz="0" w:space="0" w:color="auto"/>
        <w:right w:val="none" w:sz="0" w:space="0" w:color="auto"/>
      </w:divBdr>
    </w:div>
    <w:div w:id="2024817759">
      <w:bodyDiv w:val="1"/>
      <w:marLeft w:val="0"/>
      <w:marRight w:val="0"/>
      <w:marTop w:val="0"/>
      <w:marBottom w:val="0"/>
      <w:divBdr>
        <w:top w:val="none" w:sz="0" w:space="0" w:color="auto"/>
        <w:left w:val="none" w:sz="0" w:space="0" w:color="auto"/>
        <w:bottom w:val="none" w:sz="0" w:space="0" w:color="auto"/>
        <w:right w:val="none" w:sz="0" w:space="0" w:color="auto"/>
      </w:divBdr>
    </w:div>
    <w:div w:id="203529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F3420-C226-420B-A1DB-104F7BE46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4786</Words>
  <Characters>27286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McLean</dc:creator>
  <cp:keywords/>
  <dc:description/>
  <cp:lastModifiedBy>Justin McLean</cp:lastModifiedBy>
  <cp:revision>2</cp:revision>
  <dcterms:created xsi:type="dcterms:W3CDTF">2018-01-23T15:30:00Z</dcterms:created>
  <dcterms:modified xsi:type="dcterms:W3CDTF">2018-01-23T15:30:00Z</dcterms:modified>
</cp:coreProperties>
</file>