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A2CE4" w14:textId="38D01862" w:rsidR="0072675F" w:rsidRDefault="00A02A72" w:rsidP="00F87138">
      <w:pPr>
        <w:spacing w:after="0" w:line="360" w:lineRule="auto"/>
        <w:jc w:val="both"/>
        <w:rPr>
          <w:rFonts w:ascii="Arial" w:hAnsi="Arial" w:cs="Arial"/>
          <w:b/>
          <w:bCs/>
        </w:rPr>
      </w:pPr>
      <w:r w:rsidRPr="00A02A72">
        <w:rPr>
          <w:rFonts w:ascii="Arial" w:eastAsia="DengXian" w:hAnsi="Arial" w:cs="Arial"/>
          <w:noProof/>
          <w:kern w:val="0"/>
          <w:lang w:eastAsia="zh-CN"/>
          <w14:ligatures w14:val="none"/>
        </w:rPr>
        <w:drawing>
          <wp:inline distT="0" distB="0" distL="0" distR="0" wp14:anchorId="624BB7BB" wp14:editId="2F2018D5">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r>
        <w:rPr>
          <w:rFonts w:ascii="Arial" w:hAnsi="Arial" w:cs="Arial"/>
          <w:b/>
          <w:bCs/>
        </w:rPr>
        <w:t xml:space="preserve"> </w:t>
      </w:r>
    </w:p>
    <w:p w14:paraId="32B71CF4" w14:textId="31F0D79F" w:rsidR="00227B7A" w:rsidRPr="00AF10FC" w:rsidRDefault="00E11E15" w:rsidP="00227B7A">
      <w:pPr>
        <w:jc w:val="center"/>
        <w:rPr>
          <w:rFonts w:ascii="Arial" w:hAnsi="Arial" w:cs="Arial"/>
          <w:sz w:val="72"/>
          <w:szCs w:val="72"/>
        </w:rPr>
      </w:pPr>
      <w:r w:rsidRPr="00AF10FC">
        <w:rPr>
          <w:rFonts w:ascii="Arial" w:hAnsi="Arial" w:cs="Arial"/>
          <w:sz w:val="72"/>
          <w:szCs w:val="72"/>
        </w:rPr>
        <w:t xml:space="preserve">Management Accounting for </w:t>
      </w:r>
      <w:r w:rsidR="00D82944" w:rsidRPr="00AF10FC">
        <w:rPr>
          <w:rFonts w:ascii="Arial" w:hAnsi="Arial" w:cs="Arial"/>
          <w:sz w:val="72"/>
          <w:szCs w:val="72"/>
        </w:rPr>
        <w:t>Managers</w:t>
      </w:r>
    </w:p>
    <w:p w14:paraId="33154E56" w14:textId="1465F866" w:rsidR="00227B7A" w:rsidRDefault="00227B7A" w:rsidP="00227B7A">
      <w:pPr>
        <w:rPr>
          <w:rFonts w:ascii="Arial" w:hAnsi="Arial" w:cs="Arial"/>
        </w:rPr>
      </w:pPr>
      <w:r w:rsidRPr="00B31EB7">
        <w:rPr>
          <w:rFonts w:ascii="Arial" w:hAnsi="Arial" w:cs="Arial"/>
        </w:rPr>
        <w:t xml:space="preserve"> </w:t>
      </w:r>
      <w:r w:rsidR="0035085F">
        <w:rPr>
          <w:noProof/>
        </w:rPr>
        <w:drawing>
          <wp:inline distT="0" distB="0" distL="0" distR="0" wp14:anchorId="0D582F31" wp14:editId="371AA62E">
            <wp:extent cx="5731510" cy="1016018"/>
            <wp:effectExtent l="0" t="0" r="0" b="0"/>
            <wp:docPr id="6" name="Picture 6" descr="GSK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SK Logo, symbol, meaning, history, PNG, bran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016018"/>
                    </a:xfrm>
                    <a:prstGeom prst="rect">
                      <a:avLst/>
                    </a:prstGeom>
                    <a:noFill/>
                    <a:ln>
                      <a:noFill/>
                    </a:ln>
                  </pic:spPr>
                </pic:pic>
              </a:graphicData>
            </a:graphic>
          </wp:inline>
        </w:drawing>
      </w:r>
      <w:r w:rsidR="0035085F">
        <w:rPr>
          <w:rFonts w:ascii="Arial" w:hAnsi="Arial" w:cs="Arial"/>
        </w:rPr>
        <w:t xml:space="preserve"> </w:t>
      </w:r>
      <w:r w:rsidRPr="00B31EB7">
        <w:rPr>
          <w:rFonts w:ascii="Arial" w:hAnsi="Arial" w:cs="Arial"/>
        </w:rPr>
        <w:t xml:space="preserve">         </w:t>
      </w:r>
    </w:p>
    <w:p w14:paraId="3C180A64" w14:textId="4F191A82" w:rsidR="002969BB" w:rsidRPr="00D53497" w:rsidRDefault="002969BB" w:rsidP="00D53497">
      <w:pPr>
        <w:rPr>
          <w:rFonts w:ascii="Arial" w:hAnsi="Arial" w:cs="Arial"/>
        </w:rPr>
      </w:pPr>
    </w:p>
    <w:p w14:paraId="4CDF08C7" w14:textId="02B02F6D" w:rsidR="00227B7A" w:rsidRDefault="00227B7A" w:rsidP="00227B7A">
      <w:pPr>
        <w:jc w:val="center"/>
        <w:rPr>
          <w:rFonts w:ascii="Arial" w:hAnsi="Arial" w:cs="Arial"/>
          <w:sz w:val="52"/>
          <w:szCs w:val="52"/>
        </w:rPr>
      </w:pPr>
      <w:r w:rsidRPr="00B31EB7">
        <w:rPr>
          <w:rFonts w:ascii="Arial" w:hAnsi="Arial" w:cs="Arial"/>
          <w:sz w:val="52"/>
          <w:szCs w:val="52"/>
        </w:rPr>
        <w:t xml:space="preserve">Assignment </w:t>
      </w:r>
      <w:r>
        <w:rPr>
          <w:rFonts w:ascii="Arial" w:hAnsi="Arial" w:cs="Arial"/>
          <w:sz w:val="52"/>
          <w:szCs w:val="52"/>
        </w:rPr>
        <w:t>1</w:t>
      </w:r>
    </w:p>
    <w:p w14:paraId="62FCA14C" w14:textId="205EB36C" w:rsidR="006C2DD8" w:rsidRDefault="00227B7A" w:rsidP="006C2DD8">
      <w:pPr>
        <w:jc w:val="center"/>
        <w:rPr>
          <w:rFonts w:ascii="Arial" w:hAnsi="Arial" w:cs="Arial"/>
          <w:sz w:val="52"/>
          <w:szCs w:val="52"/>
        </w:rPr>
      </w:pPr>
      <w:r>
        <w:rPr>
          <w:rFonts w:ascii="Arial" w:hAnsi="Arial" w:cs="Arial"/>
          <w:sz w:val="52"/>
          <w:szCs w:val="52"/>
        </w:rPr>
        <w:t>Submission deadline</w:t>
      </w:r>
    </w:p>
    <w:p w14:paraId="4956A296" w14:textId="72813C8B" w:rsidR="00227B7A" w:rsidRPr="00B31EB7" w:rsidRDefault="00227B7A" w:rsidP="00227B7A">
      <w:pPr>
        <w:jc w:val="center"/>
        <w:rPr>
          <w:rFonts w:ascii="Arial" w:hAnsi="Arial" w:cs="Arial"/>
          <w:sz w:val="52"/>
          <w:szCs w:val="52"/>
        </w:rPr>
      </w:pPr>
      <w:r>
        <w:rPr>
          <w:rFonts w:ascii="Arial" w:hAnsi="Arial" w:cs="Arial"/>
          <w:sz w:val="52"/>
          <w:szCs w:val="52"/>
        </w:rPr>
        <w:t>1</w:t>
      </w:r>
      <w:r w:rsidR="00D82944">
        <w:rPr>
          <w:rFonts w:ascii="Arial" w:hAnsi="Arial" w:cs="Arial"/>
          <w:sz w:val="52"/>
          <w:szCs w:val="52"/>
        </w:rPr>
        <w:t>7</w:t>
      </w:r>
      <w:r>
        <w:rPr>
          <w:rFonts w:ascii="Arial" w:hAnsi="Arial" w:cs="Arial"/>
          <w:sz w:val="52"/>
          <w:szCs w:val="52"/>
        </w:rPr>
        <w:t>/</w:t>
      </w:r>
      <w:r w:rsidR="00987A47">
        <w:rPr>
          <w:rFonts w:ascii="Arial" w:hAnsi="Arial" w:cs="Arial"/>
          <w:sz w:val="52"/>
          <w:szCs w:val="52"/>
        </w:rPr>
        <w:t>07</w:t>
      </w:r>
      <w:r>
        <w:rPr>
          <w:rFonts w:ascii="Arial" w:hAnsi="Arial" w:cs="Arial"/>
          <w:sz w:val="52"/>
          <w:szCs w:val="52"/>
        </w:rPr>
        <w:t>/202</w:t>
      </w:r>
      <w:r w:rsidR="00987A47">
        <w:rPr>
          <w:rFonts w:ascii="Arial" w:hAnsi="Arial" w:cs="Arial"/>
          <w:sz w:val="52"/>
          <w:szCs w:val="52"/>
        </w:rPr>
        <w:t>6</w:t>
      </w:r>
    </w:p>
    <w:p w14:paraId="1E6AE007" w14:textId="77777777" w:rsidR="00227B7A" w:rsidRPr="00B31EB7" w:rsidRDefault="00227B7A" w:rsidP="00227B7A">
      <w:pPr>
        <w:rPr>
          <w:rFonts w:ascii="Arial" w:hAnsi="Arial" w:cs="Arial"/>
        </w:rPr>
      </w:pPr>
    </w:p>
    <w:p w14:paraId="052128CA" w14:textId="77777777" w:rsidR="00227B7A" w:rsidRPr="00B31EB7" w:rsidRDefault="00227B7A" w:rsidP="00227B7A">
      <w:pPr>
        <w:rPr>
          <w:rFonts w:ascii="Arial" w:hAnsi="Arial" w:cs="Arial"/>
        </w:rPr>
      </w:pPr>
    </w:p>
    <w:p w14:paraId="3463C702" w14:textId="77777777" w:rsidR="00227B7A" w:rsidRPr="00B31EB7" w:rsidRDefault="00227B7A" w:rsidP="00227B7A">
      <w:pPr>
        <w:rPr>
          <w:rFonts w:ascii="Arial" w:hAnsi="Arial" w:cs="Arial"/>
          <w:sz w:val="40"/>
          <w:szCs w:val="40"/>
        </w:rPr>
      </w:pPr>
      <w:r w:rsidRPr="00B31EB7">
        <w:rPr>
          <w:rFonts w:ascii="Arial" w:hAnsi="Arial" w:cs="Arial"/>
          <w:sz w:val="40"/>
          <w:szCs w:val="40"/>
        </w:rPr>
        <w:t>Name:              Badru Keanene</w:t>
      </w:r>
    </w:p>
    <w:p w14:paraId="72D66B6B" w14:textId="77777777" w:rsidR="00227B7A" w:rsidRPr="00B31EB7" w:rsidRDefault="00227B7A" w:rsidP="00227B7A">
      <w:pPr>
        <w:rPr>
          <w:rFonts w:ascii="Arial" w:hAnsi="Arial" w:cs="Arial"/>
          <w:sz w:val="40"/>
          <w:szCs w:val="40"/>
        </w:rPr>
      </w:pPr>
      <w:r w:rsidRPr="00B31EB7">
        <w:rPr>
          <w:rFonts w:ascii="Arial" w:hAnsi="Arial" w:cs="Arial"/>
          <w:sz w:val="40"/>
          <w:szCs w:val="40"/>
        </w:rPr>
        <w:t>Student ID:       2416450</w:t>
      </w:r>
    </w:p>
    <w:p w14:paraId="26E3E3F4" w14:textId="2016D60E" w:rsidR="00227B7A" w:rsidRPr="00B31EB7" w:rsidRDefault="00227B7A" w:rsidP="00227B7A">
      <w:pPr>
        <w:rPr>
          <w:rFonts w:ascii="Arial" w:hAnsi="Arial" w:cs="Arial"/>
          <w:sz w:val="40"/>
          <w:szCs w:val="40"/>
        </w:rPr>
      </w:pPr>
      <w:r w:rsidRPr="00B31EB7">
        <w:rPr>
          <w:rFonts w:ascii="Arial" w:hAnsi="Arial" w:cs="Arial"/>
          <w:sz w:val="40"/>
          <w:szCs w:val="40"/>
        </w:rPr>
        <w:t>Module code:   LCBB</w:t>
      </w:r>
      <w:r>
        <w:rPr>
          <w:rFonts w:ascii="Arial" w:hAnsi="Arial" w:cs="Arial"/>
          <w:sz w:val="40"/>
          <w:szCs w:val="40"/>
        </w:rPr>
        <w:t>5</w:t>
      </w:r>
      <w:r w:rsidRPr="00B31EB7">
        <w:rPr>
          <w:rFonts w:ascii="Arial" w:hAnsi="Arial" w:cs="Arial"/>
          <w:sz w:val="40"/>
          <w:szCs w:val="40"/>
        </w:rPr>
        <w:t>0</w:t>
      </w:r>
      <w:r>
        <w:rPr>
          <w:rFonts w:ascii="Arial" w:hAnsi="Arial" w:cs="Arial"/>
          <w:sz w:val="40"/>
          <w:szCs w:val="40"/>
        </w:rPr>
        <w:t>1</w:t>
      </w:r>
      <w:r w:rsidR="00987A47">
        <w:rPr>
          <w:rFonts w:ascii="Arial" w:hAnsi="Arial" w:cs="Arial"/>
          <w:sz w:val="40"/>
          <w:szCs w:val="40"/>
        </w:rPr>
        <w:t>0</w:t>
      </w:r>
      <w:r w:rsidRPr="00B31EB7">
        <w:rPr>
          <w:rFonts w:ascii="Arial" w:hAnsi="Arial" w:cs="Arial"/>
          <w:sz w:val="40"/>
          <w:szCs w:val="40"/>
        </w:rPr>
        <w:t>_LON</w:t>
      </w:r>
    </w:p>
    <w:p w14:paraId="0FACD9B1" w14:textId="3C5764E0" w:rsidR="00227B7A" w:rsidRDefault="00227B7A" w:rsidP="00227B7A">
      <w:pPr>
        <w:tabs>
          <w:tab w:val="left" w:pos="6935"/>
        </w:tabs>
        <w:rPr>
          <w:rFonts w:ascii="Arial" w:hAnsi="Arial" w:cs="Arial"/>
          <w:sz w:val="40"/>
          <w:szCs w:val="40"/>
        </w:rPr>
      </w:pPr>
      <w:r w:rsidRPr="00B31EB7">
        <w:rPr>
          <w:rFonts w:ascii="Arial" w:hAnsi="Arial" w:cs="Arial"/>
          <w:sz w:val="40"/>
          <w:szCs w:val="40"/>
        </w:rPr>
        <w:t xml:space="preserve">Lecturer:          </w:t>
      </w:r>
      <w:r w:rsidR="00733F67">
        <w:rPr>
          <w:rFonts w:ascii="Arial" w:hAnsi="Arial" w:cs="Arial"/>
          <w:color w:val="1D2125"/>
          <w:sz w:val="40"/>
          <w:szCs w:val="40"/>
          <w:shd w:val="clear" w:color="auto" w:fill="FFFFFF"/>
        </w:rPr>
        <w:t>Zainab Atta</w:t>
      </w:r>
    </w:p>
    <w:sdt>
      <w:sdtPr>
        <w:rPr>
          <w:rFonts w:asciiTheme="minorHAnsi" w:eastAsiaTheme="minorHAnsi" w:hAnsiTheme="minorHAnsi" w:cstheme="minorBidi"/>
          <w:color w:val="auto"/>
          <w:kern w:val="2"/>
          <w:sz w:val="24"/>
          <w:szCs w:val="24"/>
          <w:lang w:val="en-GB"/>
          <w14:ligatures w14:val="standardContextual"/>
        </w:rPr>
        <w:id w:val="1757472817"/>
        <w:docPartObj>
          <w:docPartGallery w:val="Table of Contents"/>
          <w:docPartUnique/>
        </w:docPartObj>
      </w:sdtPr>
      <w:sdtEndPr>
        <w:rPr>
          <w:b/>
          <w:bCs/>
          <w:noProof/>
        </w:rPr>
      </w:sdtEndPr>
      <w:sdtContent>
        <w:p w14:paraId="619D5996" w14:textId="29837D09" w:rsidR="00752D25" w:rsidRDefault="00752D25">
          <w:pPr>
            <w:pStyle w:val="TOCHeading"/>
          </w:pPr>
          <w:r>
            <w:t>Table of Contents</w:t>
          </w:r>
        </w:p>
        <w:p w14:paraId="125EBFBA" w14:textId="67DDDE67" w:rsidR="00B777F5" w:rsidRDefault="00752D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881983" w:history="1">
            <w:r w:rsidR="00B777F5" w:rsidRPr="00B876C0">
              <w:rPr>
                <w:rStyle w:val="Hyperlink"/>
                <w:rFonts w:ascii="Arial" w:hAnsi="Arial" w:cs="Arial"/>
                <w:b/>
                <w:bCs/>
                <w:noProof/>
              </w:rPr>
              <w:t>1. Introduction</w:t>
            </w:r>
            <w:r w:rsidR="00B777F5">
              <w:rPr>
                <w:noProof/>
                <w:webHidden/>
              </w:rPr>
              <w:tab/>
            </w:r>
            <w:r w:rsidR="00B777F5">
              <w:rPr>
                <w:noProof/>
                <w:webHidden/>
              </w:rPr>
              <w:fldChar w:fldCharType="begin"/>
            </w:r>
            <w:r w:rsidR="00B777F5">
              <w:rPr>
                <w:noProof/>
                <w:webHidden/>
              </w:rPr>
              <w:instrText xml:space="preserve"> PAGEREF _Toc234881983 \h </w:instrText>
            </w:r>
            <w:r w:rsidR="00B777F5">
              <w:rPr>
                <w:noProof/>
                <w:webHidden/>
              </w:rPr>
            </w:r>
            <w:r w:rsidR="00B777F5">
              <w:rPr>
                <w:noProof/>
                <w:webHidden/>
              </w:rPr>
              <w:fldChar w:fldCharType="separate"/>
            </w:r>
            <w:r w:rsidR="00B777F5">
              <w:rPr>
                <w:noProof/>
                <w:webHidden/>
              </w:rPr>
              <w:t>3</w:t>
            </w:r>
            <w:r w:rsidR="00B777F5">
              <w:rPr>
                <w:noProof/>
                <w:webHidden/>
              </w:rPr>
              <w:fldChar w:fldCharType="end"/>
            </w:r>
          </w:hyperlink>
        </w:p>
        <w:p w14:paraId="57EDF9CB" w14:textId="20409AA5" w:rsidR="00B777F5" w:rsidRDefault="00C667D2">
          <w:pPr>
            <w:pStyle w:val="TOC1"/>
            <w:tabs>
              <w:tab w:val="right" w:leader="dot" w:pos="9016"/>
            </w:tabs>
            <w:rPr>
              <w:rFonts w:eastAsiaTheme="minorEastAsia"/>
              <w:noProof/>
              <w:lang w:eastAsia="en-GB"/>
            </w:rPr>
          </w:pPr>
          <w:hyperlink w:anchor="_Toc234881984" w:history="1">
            <w:r w:rsidR="00B777F5" w:rsidRPr="00B876C0">
              <w:rPr>
                <w:rStyle w:val="Hyperlink"/>
                <w:rFonts w:ascii="Arial" w:hAnsi="Arial" w:cs="Arial"/>
                <w:b/>
                <w:bCs/>
                <w:noProof/>
                <w:lang w:eastAsia="en-GB"/>
              </w:rPr>
              <w:t>2. GSK’s Cost Analysis and Business Model</w:t>
            </w:r>
            <w:r w:rsidR="00B777F5">
              <w:rPr>
                <w:noProof/>
                <w:webHidden/>
              </w:rPr>
              <w:tab/>
            </w:r>
            <w:r w:rsidR="00B777F5">
              <w:rPr>
                <w:noProof/>
                <w:webHidden/>
              </w:rPr>
              <w:fldChar w:fldCharType="begin"/>
            </w:r>
            <w:r w:rsidR="00B777F5">
              <w:rPr>
                <w:noProof/>
                <w:webHidden/>
              </w:rPr>
              <w:instrText xml:space="preserve"> PAGEREF _Toc234881984 \h </w:instrText>
            </w:r>
            <w:r w:rsidR="00B777F5">
              <w:rPr>
                <w:noProof/>
                <w:webHidden/>
              </w:rPr>
            </w:r>
            <w:r w:rsidR="00B777F5">
              <w:rPr>
                <w:noProof/>
                <w:webHidden/>
              </w:rPr>
              <w:fldChar w:fldCharType="separate"/>
            </w:r>
            <w:r w:rsidR="00B777F5">
              <w:rPr>
                <w:noProof/>
                <w:webHidden/>
              </w:rPr>
              <w:t>4</w:t>
            </w:r>
            <w:r w:rsidR="00B777F5">
              <w:rPr>
                <w:noProof/>
                <w:webHidden/>
              </w:rPr>
              <w:fldChar w:fldCharType="end"/>
            </w:r>
          </w:hyperlink>
        </w:p>
        <w:p w14:paraId="5F94B590" w14:textId="59B12689" w:rsidR="00B777F5" w:rsidRDefault="00C667D2">
          <w:pPr>
            <w:pStyle w:val="TOC2"/>
            <w:tabs>
              <w:tab w:val="right" w:leader="dot" w:pos="9016"/>
            </w:tabs>
            <w:rPr>
              <w:rFonts w:eastAsiaTheme="minorEastAsia"/>
              <w:noProof/>
              <w:lang w:eastAsia="en-GB"/>
            </w:rPr>
          </w:pPr>
          <w:hyperlink w:anchor="_Toc234881985" w:history="1">
            <w:r w:rsidR="00B777F5" w:rsidRPr="00B876C0">
              <w:rPr>
                <w:rStyle w:val="Hyperlink"/>
                <w:rFonts w:ascii="Arial" w:hAnsi="Arial" w:cs="Arial"/>
                <w:b/>
                <w:bCs/>
                <w:noProof/>
                <w:lang w:eastAsia="en-GB"/>
              </w:rPr>
              <w:t>2.1. Revenue Model</w:t>
            </w:r>
            <w:r w:rsidR="00B777F5">
              <w:rPr>
                <w:noProof/>
                <w:webHidden/>
              </w:rPr>
              <w:tab/>
            </w:r>
            <w:r w:rsidR="00B777F5">
              <w:rPr>
                <w:noProof/>
                <w:webHidden/>
              </w:rPr>
              <w:fldChar w:fldCharType="begin"/>
            </w:r>
            <w:r w:rsidR="00B777F5">
              <w:rPr>
                <w:noProof/>
                <w:webHidden/>
              </w:rPr>
              <w:instrText xml:space="preserve"> PAGEREF _Toc234881985 \h </w:instrText>
            </w:r>
            <w:r w:rsidR="00B777F5">
              <w:rPr>
                <w:noProof/>
                <w:webHidden/>
              </w:rPr>
            </w:r>
            <w:r w:rsidR="00B777F5">
              <w:rPr>
                <w:noProof/>
                <w:webHidden/>
              </w:rPr>
              <w:fldChar w:fldCharType="separate"/>
            </w:r>
            <w:r w:rsidR="00B777F5">
              <w:rPr>
                <w:noProof/>
                <w:webHidden/>
              </w:rPr>
              <w:t>5</w:t>
            </w:r>
            <w:r w:rsidR="00B777F5">
              <w:rPr>
                <w:noProof/>
                <w:webHidden/>
              </w:rPr>
              <w:fldChar w:fldCharType="end"/>
            </w:r>
          </w:hyperlink>
        </w:p>
        <w:p w14:paraId="670646D4" w14:textId="2F57AF73" w:rsidR="00B777F5" w:rsidRDefault="00C667D2">
          <w:pPr>
            <w:pStyle w:val="TOC2"/>
            <w:tabs>
              <w:tab w:val="right" w:leader="dot" w:pos="9016"/>
            </w:tabs>
            <w:rPr>
              <w:rFonts w:eastAsiaTheme="minorEastAsia"/>
              <w:noProof/>
              <w:lang w:eastAsia="en-GB"/>
            </w:rPr>
          </w:pPr>
          <w:hyperlink w:anchor="_Toc234881986" w:history="1">
            <w:r w:rsidR="00B777F5" w:rsidRPr="00B876C0">
              <w:rPr>
                <w:rStyle w:val="Hyperlink"/>
                <w:rFonts w:ascii="Arial" w:hAnsi="Arial" w:cs="Arial"/>
                <w:b/>
                <w:bCs/>
                <w:noProof/>
                <w:lang w:eastAsia="en-GB"/>
              </w:rPr>
              <w:t>2.2. Cost Structure</w:t>
            </w:r>
            <w:r w:rsidR="00B777F5">
              <w:rPr>
                <w:noProof/>
                <w:webHidden/>
              </w:rPr>
              <w:tab/>
            </w:r>
            <w:r w:rsidR="00B777F5">
              <w:rPr>
                <w:noProof/>
                <w:webHidden/>
              </w:rPr>
              <w:fldChar w:fldCharType="begin"/>
            </w:r>
            <w:r w:rsidR="00B777F5">
              <w:rPr>
                <w:noProof/>
                <w:webHidden/>
              </w:rPr>
              <w:instrText xml:space="preserve"> PAGEREF _Toc234881986 \h </w:instrText>
            </w:r>
            <w:r w:rsidR="00B777F5">
              <w:rPr>
                <w:noProof/>
                <w:webHidden/>
              </w:rPr>
            </w:r>
            <w:r w:rsidR="00B777F5">
              <w:rPr>
                <w:noProof/>
                <w:webHidden/>
              </w:rPr>
              <w:fldChar w:fldCharType="separate"/>
            </w:r>
            <w:r w:rsidR="00B777F5">
              <w:rPr>
                <w:noProof/>
                <w:webHidden/>
              </w:rPr>
              <w:t>5</w:t>
            </w:r>
            <w:r w:rsidR="00B777F5">
              <w:rPr>
                <w:noProof/>
                <w:webHidden/>
              </w:rPr>
              <w:fldChar w:fldCharType="end"/>
            </w:r>
          </w:hyperlink>
        </w:p>
        <w:p w14:paraId="76D813F8" w14:textId="4234F41A" w:rsidR="00B777F5" w:rsidRDefault="00C667D2">
          <w:pPr>
            <w:pStyle w:val="TOC1"/>
            <w:tabs>
              <w:tab w:val="right" w:leader="dot" w:pos="9016"/>
            </w:tabs>
            <w:rPr>
              <w:rFonts w:eastAsiaTheme="minorEastAsia"/>
              <w:noProof/>
              <w:lang w:eastAsia="en-GB"/>
            </w:rPr>
          </w:pPr>
          <w:hyperlink w:anchor="_Toc234881987" w:history="1">
            <w:r w:rsidR="00B777F5" w:rsidRPr="00B876C0">
              <w:rPr>
                <w:rStyle w:val="Hyperlink"/>
                <w:rFonts w:ascii="Arial" w:eastAsia="Times New Roman" w:hAnsi="Arial" w:cs="Arial"/>
                <w:b/>
                <w:bCs/>
                <w:noProof/>
                <w:lang w:eastAsia="en-GB"/>
              </w:rPr>
              <w:t>3. The Role of Budgeting in GSK's Operations</w:t>
            </w:r>
            <w:r w:rsidR="00B777F5">
              <w:rPr>
                <w:noProof/>
                <w:webHidden/>
              </w:rPr>
              <w:tab/>
            </w:r>
            <w:r w:rsidR="00B777F5">
              <w:rPr>
                <w:noProof/>
                <w:webHidden/>
              </w:rPr>
              <w:fldChar w:fldCharType="begin"/>
            </w:r>
            <w:r w:rsidR="00B777F5">
              <w:rPr>
                <w:noProof/>
                <w:webHidden/>
              </w:rPr>
              <w:instrText xml:space="preserve"> PAGEREF _Toc234881987 \h </w:instrText>
            </w:r>
            <w:r w:rsidR="00B777F5">
              <w:rPr>
                <w:noProof/>
                <w:webHidden/>
              </w:rPr>
            </w:r>
            <w:r w:rsidR="00B777F5">
              <w:rPr>
                <w:noProof/>
                <w:webHidden/>
              </w:rPr>
              <w:fldChar w:fldCharType="separate"/>
            </w:r>
            <w:r w:rsidR="00B777F5">
              <w:rPr>
                <w:noProof/>
                <w:webHidden/>
              </w:rPr>
              <w:t>6</w:t>
            </w:r>
            <w:r w:rsidR="00B777F5">
              <w:rPr>
                <w:noProof/>
                <w:webHidden/>
              </w:rPr>
              <w:fldChar w:fldCharType="end"/>
            </w:r>
          </w:hyperlink>
        </w:p>
        <w:p w14:paraId="5A8312F1" w14:textId="00693B18" w:rsidR="00B777F5" w:rsidRDefault="00C667D2">
          <w:pPr>
            <w:pStyle w:val="TOC1"/>
            <w:tabs>
              <w:tab w:val="right" w:leader="dot" w:pos="9016"/>
            </w:tabs>
            <w:rPr>
              <w:rFonts w:eastAsiaTheme="minorEastAsia"/>
              <w:noProof/>
              <w:lang w:eastAsia="en-GB"/>
            </w:rPr>
          </w:pPr>
          <w:hyperlink w:anchor="_Toc234881988" w:history="1">
            <w:r w:rsidR="00B777F5" w:rsidRPr="00B876C0">
              <w:rPr>
                <w:rStyle w:val="Hyperlink"/>
                <w:rFonts w:ascii="Arial" w:hAnsi="Arial" w:cs="Arial"/>
                <w:b/>
                <w:bCs/>
                <w:noProof/>
              </w:rPr>
              <w:t>4. GSK’s Performance Measurement and Decision Making</w:t>
            </w:r>
            <w:r w:rsidR="00B777F5">
              <w:rPr>
                <w:noProof/>
                <w:webHidden/>
              </w:rPr>
              <w:tab/>
            </w:r>
            <w:r w:rsidR="00B777F5">
              <w:rPr>
                <w:noProof/>
                <w:webHidden/>
              </w:rPr>
              <w:fldChar w:fldCharType="begin"/>
            </w:r>
            <w:r w:rsidR="00B777F5">
              <w:rPr>
                <w:noProof/>
                <w:webHidden/>
              </w:rPr>
              <w:instrText xml:space="preserve"> PAGEREF _Toc234881988 \h </w:instrText>
            </w:r>
            <w:r w:rsidR="00B777F5">
              <w:rPr>
                <w:noProof/>
                <w:webHidden/>
              </w:rPr>
            </w:r>
            <w:r w:rsidR="00B777F5">
              <w:rPr>
                <w:noProof/>
                <w:webHidden/>
              </w:rPr>
              <w:fldChar w:fldCharType="separate"/>
            </w:r>
            <w:r w:rsidR="00B777F5">
              <w:rPr>
                <w:noProof/>
                <w:webHidden/>
              </w:rPr>
              <w:t>8</w:t>
            </w:r>
            <w:r w:rsidR="00B777F5">
              <w:rPr>
                <w:noProof/>
                <w:webHidden/>
              </w:rPr>
              <w:fldChar w:fldCharType="end"/>
            </w:r>
          </w:hyperlink>
        </w:p>
        <w:p w14:paraId="717A9F82" w14:textId="1B78FAEB" w:rsidR="00B777F5" w:rsidRDefault="00C667D2">
          <w:pPr>
            <w:pStyle w:val="TOC1"/>
            <w:tabs>
              <w:tab w:val="right" w:leader="dot" w:pos="9016"/>
            </w:tabs>
            <w:rPr>
              <w:rFonts w:eastAsiaTheme="minorEastAsia"/>
              <w:noProof/>
              <w:lang w:eastAsia="en-GB"/>
            </w:rPr>
          </w:pPr>
          <w:hyperlink w:anchor="_Toc234881989" w:history="1">
            <w:r w:rsidR="00B777F5" w:rsidRPr="00B876C0">
              <w:rPr>
                <w:rStyle w:val="Hyperlink"/>
                <w:rFonts w:ascii="Arial" w:hAnsi="Arial" w:cs="Arial"/>
                <w:b/>
                <w:bCs/>
                <w:noProof/>
                <w:lang w:eastAsia="en-GB"/>
              </w:rPr>
              <w:t>5. GSK's Integration of Sustainability into Financial Decision-Making and         Ethical Cost Management</w:t>
            </w:r>
            <w:r w:rsidR="00B777F5">
              <w:rPr>
                <w:noProof/>
                <w:webHidden/>
              </w:rPr>
              <w:tab/>
            </w:r>
            <w:r w:rsidR="00B777F5">
              <w:rPr>
                <w:noProof/>
                <w:webHidden/>
              </w:rPr>
              <w:fldChar w:fldCharType="begin"/>
            </w:r>
            <w:r w:rsidR="00B777F5">
              <w:rPr>
                <w:noProof/>
                <w:webHidden/>
              </w:rPr>
              <w:instrText xml:space="preserve"> PAGEREF _Toc234881989 \h </w:instrText>
            </w:r>
            <w:r w:rsidR="00B777F5">
              <w:rPr>
                <w:noProof/>
                <w:webHidden/>
              </w:rPr>
            </w:r>
            <w:r w:rsidR="00B777F5">
              <w:rPr>
                <w:noProof/>
                <w:webHidden/>
              </w:rPr>
              <w:fldChar w:fldCharType="separate"/>
            </w:r>
            <w:r w:rsidR="00B777F5">
              <w:rPr>
                <w:noProof/>
                <w:webHidden/>
              </w:rPr>
              <w:t>9</w:t>
            </w:r>
            <w:r w:rsidR="00B777F5">
              <w:rPr>
                <w:noProof/>
                <w:webHidden/>
              </w:rPr>
              <w:fldChar w:fldCharType="end"/>
            </w:r>
          </w:hyperlink>
        </w:p>
        <w:p w14:paraId="08463704" w14:textId="045A3340" w:rsidR="00B777F5" w:rsidRDefault="00C667D2">
          <w:pPr>
            <w:pStyle w:val="TOC1"/>
            <w:tabs>
              <w:tab w:val="right" w:leader="dot" w:pos="9016"/>
            </w:tabs>
            <w:rPr>
              <w:rFonts w:eastAsiaTheme="minorEastAsia"/>
              <w:noProof/>
              <w:lang w:eastAsia="en-GB"/>
            </w:rPr>
          </w:pPr>
          <w:hyperlink w:anchor="_Toc234881990" w:history="1">
            <w:r w:rsidR="00B777F5" w:rsidRPr="00B876C0">
              <w:rPr>
                <w:rStyle w:val="Hyperlink"/>
                <w:rFonts w:ascii="Arial" w:hAnsi="Arial" w:cs="Arial"/>
                <w:b/>
                <w:bCs/>
                <w:noProof/>
              </w:rPr>
              <w:t>6. Conclusion and Recommendations</w:t>
            </w:r>
            <w:r w:rsidR="00B777F5">
              <w:rPr>
                <w:noProof/>
                <w:webHidden/>
              </w:rPr>
              <w:tab/>
            </w:r>
            <w:r w:rsidR="00B777F5">
              <w:rPr>
                <w:noProof/>
                <w:webHidden/>
              </w:rPr>
              <w:fldChar w:fldCharType="begin"/>
            </w:r>
            <w:r w:rsidR="00B777F5">
              <w:rPr>
                <w:noProof/>
                <w:webHidden/>
              </w:rPr>
              <w:instrText xml:space="preserve"> PAGEREF _Toc234881990 \h </w:instrText>
            </w:r>
            <w:r w:rsidR="00B777F5">
              <w:rPr>
                <w:noProof/>
                <w:webHidden/>
              </w:rPr>
            </w:r>
            <w:r w:rsidR="00B777F5">
              <w:rPr>
                <w:noProof/>
                <w:webHidden/>
              </w:rPr>
              <w:fldChar w:fldCharType="separate"/>
            </w:r>
            <w:r w:rsidR="00B777F5">
              <w:rPr>
                <w:noProof/>
                <w:webHidden/>
              </w:rPr>
              <w:t>11</w:t>
            </w:r>
            <w:r w:rsidR="00B777F5">
              <w:rPr>
                <w:noProof/>
                <w:webHidden/>
              </w:rPr>
              <w:fldChar w:fldCharType="end"/>
            </w:r>
          </w:hyperlink>
        </w:p>
        <w:p w14:paraId="08B94071" w14:textId="2848B3CB" w:rsidR="00B777F5" w:rsidRDefault="00C667D2">
          <w:pPr>
            <w:pStyle w:val="TOC1"/>
            <w:tabs>
              <w:tab w:val="right" w:leader="dot" w:pos="9016"/>
            </w:tabs>
            <w:rPr>
              <w:rFonts w:eastAsiaTheme="minorEastAsia"/>
              <w:noProof/>
              <w:lang w:eastAsia="en-GB"/>
            </w:rPr>
          </w:pPr>
          <w:hyperlink w:anchor="_Toc234881991" w:history="1">
            <w:r w:rsidR="00B777F5" w:rsidRPr="00B876C0">
              <w:rPr>
                <w:rStyle w:val="Hyperlink"/>
                <w:rFonts w:ascii="Arial" w:hAnsi="Arial" w:cs="Arial"/>
                <w:b/>
                <w:bCs/>
                <w:noProof/>
              </w:rPr>
              <w:t>References</w:t>
            </w:r>
            <w:r w:rsidR="00B777F5">
              <w:rPr>
                <w:noProof/>
                <w:webHidden/>
              </w:rPr>
              <w:tab/>
            </w:r>
            <w:r w:rsidR="00B777F5">
              <w:rPr>
                <w:noProof/>
                <w:webHidden/>
              </w:rPr>
              <w:fldChar w:fldCharType="begin"/>
            </w:r>
            <w:r w:rsidR="00B777F5">
              <w:rPr>
                <w:noProof/>
                <w:webHidden/>
              </w:rPr>
              <w:instrText xml:space="preserve"> PAGEREF _Toc234881991 \h </w:instrText>
            </w:r>
            <w:r w:rsidR="00B777F5">
              <w:rPr>
                <w:noProof/>
                <w:webHidden/>
              </w:rPr>
            </w:r>
            <w:r w:rsidR="00B777F5">
              <w:rPr>
                <w:noProof/>
                <w:webHidden/>
              </w:rPr>
              <w:fldChar w:fldCharType="separate"/>
            </w:r>
            <w:r w:rsidR="00B777F5">
              <w:rPr>
                <w:noProof/>
                <w:webHidden/>
              </w:rPr>
              <w:t>12</w:t>
            </w:r>
            <w:r w:rsidR="00B777F5">
              <w:rPr>
                <w:noProof/>
                <w:webHidden/>
              </w:rPr>
              <w:fldChar w:fldCharType="end"/>
            </w:r>
          </w:hyperlink>
        </w:p>
        <w:p w14:paraId="6C82BA0A" w14:textId="45E9D411" w:rsidR="00752D25" w:rsidRDefault="00752D25">
          <w:r>
            <w:rPr>
              <w:b/>
              <w:bCs/>
              <w:noProof/>
            </w:rPr>
            <w:fldChar w:fldCharType="end"/>
          </w:r>
        </w:p>
      </w:sdtContent>
    </w:sdt>
    <w:p w14:paraId="2D5B0D97" w14:textId="648C9745" w:rsidR="00DB6217" w:rsidRDefault="00DB6217" w:rsidP="00F87138">
      <w:pPr>
        <w:spacing w:after="0" w:line="360" w:lineRule="auto"/>
        <w:jc w:val="both"/>
        <w:rPr>
          <w:rFonts w:ascii="Arial" w:hAnsi="Arial" w:cs="Arial"/>
          <w:b/>
          <w:bCs/>
        </w:rPr>
      </w:pPr>
    </w:p>
    <w:p w14:paraId="49459718" w14:textId="77777777" w:rsidR="0072675F" w:rsidRDefault="0072675F">
      <w:pPr>
        <w:rPr>
          <w:rFonts w:ascii="Arial" w:hAnsi="Arial" w:cs="Arial"/>
          <w:b/>
          <w:bCs/>
        </w:rPr>
      </w:pPr>
      <w:r>
        <w:rPr>
          <w:rFonts w:ascii="Arial" w:hAnsi="Arial" w:cs="Arial"/>
          <w:b/>
          <w:bCs/>
        </w:rPr>
        <w:br w:type="page"/>
      </w:r>
    </w:p>
    <w:p w14:paraId="1B5EB4EC" w14:textId="3BA40CAE" w:rsidR="00012927" w:rsidRPr="002841A0" w:rsidRDefault="00012927" w:rsidP="00753B23">
      <w:pPr>
        <w:pStyle w:val="Heading1"/>
        <w:rPr>
          <w:rFonts w:ascii="Arial" w:hAnsi="Arial" w:cs="Arial"/>
          <w:b/>
          <w:bCs/>
          <w:color w:val="000000" w:themeColor="text1"/>
          <w:sz w:val="24"/>
          <w:szCs w:val="24"/>
        </w:rPr>
      </w:pPr>
      <w:bookmarkStart w:id="0" w:name="_Toc234881983"/>
      <w:r w:rsidRPr="002841A0">
        <w:rPr>
          <w:rFonts w:ascii="Arial" w:hAnsi="Arial" w:cs="Arial"/>
          <w:b/>
          <w:bCs/>
          <w:color w:val="000000" w:themeColor="text1"/>
          <w:sz w:val="24"/>
          <w:szCs w:val="24"/>
        </w:rPr>
        <w:lastRenderedPageBreak/>
        <w:t>1</w:t>
      </w:r>
      <w:r w:rsidR="009E0182">
        <w:rPr>
          <w:rFonts w:ascii="Arial" w:hAnsi="Arial" w:cs="Arial"/>
          <w:b/>
          <w:bCs/>
          <w:color w:val="000000" w:themeColor="text1"/>
          <w:sz w:val="24"/>
          <w:szCs w:val="24"/>
        </w:rPr>
        <w:t>.</w:t>
      </w:r>
      <w:r w:rsidRPr="002841A0">
        <w:rPr>
          <w:rFonts w:ascii="Arial" w:hAnsi="Arial" w:cs="Arial"/>
          <w:b/>
          <w:bCs/>
          <w:color w:val="000000" w:themeColor="text1"/>
          <w:sz w:val="24"/>
          <w:szCs w:val="24"/>
        </w:rPr>
        <w:t xml:space="preserve"> Introduction</w:t>
      </w:r>
      <w:bookmarkEnd w:id="0"/>
    </w:p>
    <w:p w14:paraId="12DC0BCA" w14:textId="499F52C6" w:rsidR="00012927" w:rsidRPr="00BC2C29" w:rsidRDefault="00012927" w:rsidP="00BC2C29">
      <w:pPr>
        <w:spacing w:after="0" w:line="360" w:lineRule="auto"/>
        <w:ind w:left="284"/>
        <w:jc w:val="both"/>
        <w:rPr>
          <w:rFonts w:ascii="Arial" w:eastAsia="Times New Roman" w:hAnsi="Arial" w:cs="Arial"/>
          <w:color w:val="FF0000"/>
          <w:kern w:val="0"/>
          <w:lang w:eastAsia="en-GB"/>
          <w14:ligatures w14:val="none"/>
        </w:rPr>
      </w:pPr>
      <w:r w:rsidRPr="00630C65">
        <w:rPr>
          <w:rFonts w:ascii="Arial" w:hAnsi="Arial" w:cs="Arial"/>
        </w:rPr>
        <w:t xml:space="preserve">GlaxoSmithKline (GSK) is a British multinational pharmaceutical and biotechnology company headquartered in London, England. It was established in 2000 through the merger of Glaxo </w:t>
      </w:r>
      <w:proofErr w:type="spellStart"/>
      <w:r w:rsidRPr="00630C65">
        <w:rPr>
          <w:rFonts w:ascii="Arial" w:hAnsi="Arial" w:cs="Arial"/>
        </w:rPr>
        <w:t>Wellcome</w:t>
      </w:r>
      <w:proofErr w:type="spellEnd"/>
      <w:r w:rsidRPr="00630C65">
        <w:rPr>
          <w:rFonts w:ascii="Arial" w:hAnsi="Arial" w:cs="Arial"/>
        </w:rPr>
        <w:t xml:space="preserve"> and SmithKline Beecham</w:t>
      </w:r>
      <w:r w:rsidR="00AB47B1">
        <w:rPr>
          <w:rFonts w:ascii="Arial" w:hAnsi="Arial" w:cs="Arial"/>
        </w:rPr>
        <w:t>.</w:t>
      </w:r>
      <w:r w:rsidRPr="00630C65">
        <w:rPr>
          <w:rFonts w:ascii="Arial" w:hAnsi="Arial" w:cs="Arial"/>
        </w:rPr>
        <w:t xml:space="preserve"> GSK focuses on specialty medicines, vaccines, and general medicines, with key therapeutic areas including HIV, respiratory, cancer, and infectious diseases. GSK is also known for its innovative products, including the first malaria vaccine and various over-the-counter medications</w:t>
      </w:r>
      <w:r>
        <w:rPr>
          <w:rFonts w:ascii="Arial" w:hAnsi="Arial" w:cs="Arial"/>
        </w:rPr>
        <w:t xml:space="preserve"> </w:t>
      </w:r>
      <w:r w:rsidRPr="00EF3CB2">
        <w:rPr>
          <w:rFonts w:ascii="Arial" w:eastAsia="Times New Roman" w:hAnsi="Arial" w:cs="Arial"/>
          <w:color w:val="FF0000"/>
          <w:kern w:val="0"/>
          <w:lang w:eastAsia="en-GB"/>
          <w14:ligatures w14:val="none"/>
        </w:rPr>
        <w:t>(</w:t>
      </w:r>
      <w:r w:rsidR="00345159" w:rsidRPr="004D1C74">
        <w:rPr>
          <w:rFonts w:ascii="Arial" w:eastAsia="Times New Roman" w:hAnsi="Arial" w:cs="Arial"/>
          <w:color w:val="FF0000"/>
          <w:kern w:val="0"/>
          <w:lang w:eastAsia="en-GB"/>
          <w14:ligatures w14:val="none"/>
        </w:rPr>
        <w:t>Gsk.com</w:t>
      </w:r>
      <w:r w:rsidRPr="00EF3CB2">
        <w:rPr>
          <w:rFonts w:ascii="Arial" w:eastAsia="Times New Roman" w:hAnsi="Arial" w:cs="Arial"/>
          <w:color w:val="FF0000"/>
          <w:kern w:val="0"/>
          <w:lang w:eastAsia="en-GB"/>
          <w14:ligatures w14:val="none"/>
        </w:rPr>
        <w:t>, 2025)</w:t>
      </w:r>
    </w:p>
    <w:p w14:paraId="5343DBAB" w14:textId="77777777" w:rsidR="00012927" w:rsidRPr="00652524" w:rsidRDefault="00012927" w:rsidP="00F87138">
      <w:pPr>
        <w:spacing w:after="0" w:line="360" w:lineRule="auto"/>
        <w:ind w:left="284"/>
        <w:jc w:val="both"/>
        <w:rPr>
          <w:rFonts w:ascii="Arial" w:eastAsia="Times New Roman" w:hAnsi="Arial" w:cs="Arial"/>
          <w:kern w:val="0"/>
          <w:lang w:eastAsia="en-GB"/>
          <w14:ligatures w14:val="none"/>
        </w:rPr>
      </w:pPr>
      <w:r w:rsidRPr="00652524">
        <w:rPr>
          <w:rFonts w:ascii="Arial" w:hAnsi="Arial" w:cs="Arial"/>
        </w:rPr>
        <w:t xml:space="preserve">As of 2024, the top 10 pharmaceutical companies (by total revenue) included: Roche, Merck &amp; Co., Pfizer, Johnson &amp; Johnson, AbbVie, AstraZeneca, Novartis, Sanofi, Bristol Myers Squibb, and Eli Lilly </w:t>
      </w:r>
      <w:r w:rsidRPr="00652524">
        <w:rPr>
          <w:rFonts w:ascii="Arial" w:eastAsia="Times New Roman" w:hAnsi="Arial" w:cs="Arial"/>
          <w:kern w:val="0"/>
          <w:lang w:eastAsia="en-GB"/>
          <w14:ligatures w14:val="none"/>
        </w:rPr>
        <w:t>(</w:t>
      </w:r>
      <w:proofErr w:type="spellStart"/>
      <w:r w:rsidRPr="0097791A">
        <w:rPr>
          <w:rFonts w:ascii="Arial" w:eastAsia="Times New Roman" w:hAnsi="Arial" w:cs="Arial"/>
          <w:color w:val="FF0000"/>
          <w:kern w:val="0"/>
          <w:lang w:eastAsia="en-GB"/>
          <w14:ligatures w14:val="none"/>
        </w:rPr>
        <w:t>IntuitionLabs</w:t>
      </w:r>
      <w:proofErr w:type="spellEnd"/>
      <w:r w:rsidRPr="00652524">
        <w:rPr>
          <w:rFonts w:ascii="Arial" w:eastAsia="Times New Roman" w:hAnsi="Arial" w:cs="Arial"/>
          <w:kern w:val="0"/>
          <w:lang w:eastAsia="en-GB"/>
          <w14:ligatures w14:val="none"/>
        </w:rPr>
        <w:t>, 2025).</w:t>
      </w:r>
    </w:p>
    <w:p w14:paraId="6D4F1F10" w14:textId="77777777" w:rsidR="00012927" w:rsidRDefault="00012927" w:rsidP="00F87138">
      <w:pPr>
        <w:spacing w:after="0" w:line="360" w:lineRule="auto"/>
        <w:ind w:left="284"/>
        <w:jc w:val="both"/>
        <w:rPr>
          <w:rFonts w:ascii="Times New Roman" w:eastAsia="Times New Roman" w:hAnsi="Times New Roman" w:cs="Times New Roman"/>
          <w:kern w:val="0"/>
          <w:lang w:eastAsia="en-GB"/>
          <w14:ligatures w14:val="none"/>
        </w:rPr>
      </w:pPr>
    </w:p>
    <w:p w14:paraId="0F6790E4" w14:textId="31A24077" w:rsidR="00012927" w:rsidRDefault="00012927" w:rsidP="00F87138">
      <w:pPr>
        <w:spacing w:line="360" w:lineRule="auto"/>
        <w:ind w:left="284"/>
        <w:jc w:val="both"/>
        <w:rPr>
          <w:b/>
          <w:bCs/>
        </w:rPr>
      </w:pPr>
      <w:r w:rsidRPr="00565831">
        <w:rPr>
          <w:rFonts w:ascii="Arial" w:hAnsi="Arial" w:cs="Arial"/>
        </w:rPr>
        <w:t>GSK's share of the global pharmaceutical market is approximately £32.7 billion of industry revenue</w:t>
      </w:r>
      <w:r w:rsidR="00FF5DF7">
        <w:rPr>
          <w:rFonts w:ascii="Arial" w:hAnsi="Arial" w:cs="Arial"/>
        </w:rPr>
        <w:t xml:space="preserve"> in 2025</w:t>
      </w:r>
      <w:r w:rsidRPr="00565831">
        <w:rPr>
          <w:rFonts w:ascii="Arial" w:hAnsi="Arial" w:cs="Arial"/>
        </w:rPr>
        <w:t>, representing about 2.4% of the global pharmaceutical market.</w:t>
      </w:r>
      <w:r w:rsidRPr="000440B7">
        <w:rPr>
          <w:b/>
          <w:bCs/>
        </w:rPr>
        <w:t xml:space="preserve"> </w:t>
      </w:r>
    </w:p>
    <w:p w14:paraId="7485AF17" w14:textId="794CABB2" w:rsidR="00253074" w:rsidRPr="00253074" w:rsidRDefault="00253074" w:rsidP="00253074">
      <w:pPr>
        <w:spacing w:line="360" w:lineRule="auto"/>
        <w:ind w:left="284"/>
        <w:jc w:val="both"/>
        <w:rPr>
          <w:b/>
          <w:bCs/>
        </w:rPr>
      </w:pPr>
      <w:r w:rsidRPr="00253074">
        <w:rPr>
          <w:b/>
          <w:bCs/>
          <w:noProof/>
        </w:rPr>
        <w:drawing>
          <wp:inline distT="0" distB="0" distL="0" distR="0" wp14:anchorId="13DBDBA3" wp14:editId="14AEC37B">
            <wp:extent cx="5731510" cy="30587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058795"/>
                    </a:xfrm>
                    <a:prstGeom prst="rect">
                      <a:avLst/>
                    </a:prstGeom>
                    <a:noFill/>
                    <a:ln>
                      <a:noFill/>
                    </a:ln>
                  </pic:spPr>
                </pic:pic>
              </a:graphicData>
            </a:graphic>
          </wp:inline>
        </w:drawing>
      </w:r>
    </w:p>
    <w:p w14:paraId="3299B37A" w14:textId="1C5F28FF" w:rsidR="00253074" w:rsidRPr="00B25362" w:rsidRDefault="00BA2CBF" w:rsidP="00B25362">
      <w:pPr>
        <w:spacing w:line="360" w:lineRule="auto"/>
        <w:ind w:left="284"/>
        <w:jc w:val="both"/>
        <w:rPr>
          <w:rFonts w:ascii="Arial" w:hAnsi="Arial" w:cs="Arial"/>
        </w:rPr>
      </w:pPr>
      <w:r w:rsidRPr="00B25362">
        <w:rPr>
          <w:rFonts w:ascii="Arial" w:hAnsi="Arial" w:cs="Arial"/>
        </w:rPr>
        <w:t>Source: (G</w:t>
      </w:r>
      <w:r w:rsidR="00B25362" w:rsidRPr="00B25362">
        <w:rPr>
          <w:rFonts w:ascii="Arial" w:hAnsi="Arial" w:cs="Arial"/>
        </w:rPr>
        <w:t>sk.com, 2025)</w:t>
      </w:r>
    </w:p>
    <w:p w14:paraId="5EF3250A" w14:textId="77777777" w:rsidR="008E7264" w:rsidRPr="008E7264" w:rsidRDefault="008E7264" w:rsidP="00966720">
      <w:pPr>
        <w:spacing w:line="360" w:lineRule="auto"/>
        <w:ind w:left="284"/>
        <w:jc w:val="both"/>
        <w:rPr>
          <w:rFonts w:ascii="Arial" w:eastAsia="Times New Roman" w:hAnsi="Arial" w:cs="Arial"/>
          <w:color w:val="FF0000"/>
          <w:kern w:val="0"/>
          <w:lang w:eastAsia="en-GB"/>
          <w14:ligatures w14:val="none"/>
        </w:rPr>
      </w:pPr>
      <w:r w:rsidRPr="008E7264">
        <w:rPr>
          <w:rFonts w:ascii="Arial" w:eastAsia="Times New Roman" w:hAnsi="Arial" w:cs="Arial"/>
          <w:color w:val="000000" w:themeColor="text1"/>
          <w:kern w:val="0"/>
          <w:lang w:eastAsia="en-GB"/>
          <w14:ligatures w14:val="none"/>
        </w:rPr>
        <w:t xml:space="preserve">According to CIMA, management accounting combines accounting, finance, and management techniques to support decision-making, strategy formulation, and business performance monitoring </w:t>
      </w:r>
      <w:r w:rsidRPr="008E7264">
        <w:rPr>
          <w:rFonts w:ascii="Arial" w:eastAsia="Times New Roman" w:hAnsi="Arial" w:cs="Arial"/>
          <w:color w:val="FF0000"/>
          <w:kern w:val="0"/>
          <w:lang w:eastAsia="en-GB"/>
          <w14:ligatures w14:val="none"/>
        </w:rPr>
        <w:t>(CIMA, 2023)</w:t>
      </w:r>
    </w:p>
    <w:p w14:paraId="64295612" w14:textId="0F1209E7" w:rsidR="00082B71" w:rsidRPr="00EB647B" w:rsidRDefault="008E7264" w:rsidP="00EB647B">
      <w:pPr>
        <w:spacing w:line="360" w:lineRule="auto"/>
        <w:ind w:left="284"/>
        <w:jc w:val="both"/>
        <w:rPr>
          <w:rFonts w:ascii="Arial" w:eastAsia="Times New Roman" w:hAnsi="Arial" w:cs="Arial"/>
          <w:color w:val="000000" w:themeColor="text1"/>
          <w:kern w:val="0"/>
          <w:lang w:eastAsia="en-GB"/>
          <w14:ligatures w14:val="none"/>
        </w:rPr>
      </w:pPr>
      <w:r w:rsidRPr="008E7264">
        <w:rPr>
          <w:rFonts w:ascii="Arial" w:eastAsia="Times New Roman" w:hAnsi="Arial" w:cs="Arial"/>
          <w:color w:val="000000" w:themeColor="text1"/>
          <w:kern w:val="0"/>
          <w:lang w:eastAsia="en-GB"/>
          <w14:ligatures w14:val="none"/>
        </w:rPr>
        <w:lastRenderedPageBreak/>
        <w:t xml:space="preserve">For </w:t>
      </w:r>
      <w:proofErr w:type="gramStart"/>
      <w:r w:rsidRPr="008E7264">
        <w:rPr>
          <w:rFonts w:ascii="Arial" w:eastAsia="Times New Roman" w:hAnsi="Arial" w:cs="Arial"/>
          <w:color w:val="000000" w:themeColor="text1"/>
          <w:kern w:val="0"/>
          <w:lang w:eastAsia="en-GB"/>
          <w14:ligatures w14:val="none"/>
        </w:rPr>
        <w:t>example</w:t>
      </w:r>
      <w:proofErr w:type="gramEnd"/>
      <w:r w:rsidRPr="008E7264">
        <w:rPr>
          <w:rFonts w:ascii="Arial" w:eastAsia="Times New Roman" w:hAnsi="Arial" w:cs="Arial"/>
          <w:color w:val="000000" w:themeColor="text1"/>
          <w:kern w:val="0"/>
          <w:lang w:eastAsia="en-GB"/>
          <w14:ligatures w14:val="none"/>
        </w:rPr>
        <w:t xml:space="preserve"> GSK has recently bought </w:t>
      </w:r>
      <w:proofErr w:type="spellStart"/>
      <w:r w:rsidRPr="00A06019">
        <w:rPr>
          <w:rFonts w:ascii="Arial" w:eastAsia="Times New Roman" w:hAnsi="Arial" w:cs="Arial"/>
          <w:color w:val="000000" w:themeColor="text1"/>
          <w:kern w:val="0"/>
          <w:lang w:eastAsia="en-GB"/>
          <w14:ligatures w14:val="none"/>
        </w:rPr>
        <w:t>Nuvalent</w:t>
      </w:r>
      <w:proofErr w:type="spellEnd"/>
      <w:r w:rsidRPr="008E7264">
        <w:rPr>
          <w:rFonts w:ascii="Arial" w:eastAsia="Times New Roman" w:hAnsi="Arial" w:cs="Arial"/>
          <w:color w:val="000000" w:themeColor="text1"/>
          <w:kern w:val="0"/>
          <w:lang w:eastAsia="en-GB"/>
          <w14:ligatures w14:val="none"/>
        </w:rPr>
        <w:t xml:space="preserve"> which specialise in lung cancer treatment for £10.6bn </w:t>
      </w:r>
      <w:r w:rsidRPr="008E7264">
        <w:rPr>
          <w:rFonts w:ascii="Arial" w:eastAsia="Times New Roman" w:hAnsi="Arial" w:cs="Arial"/>
          <w:color w:val="FF0000"/>
          <w:kern w:val="0"/>
          <w:lang w:eastAsia="en-GB"/>
          <w14:ligatures w14:val="none"/>
        </w:rPr>
        <w:t xml:space="preserve">(Gsk.com, 2026). </w:t>
      </w:r>
      <w:r w:rsidRPr="008E7264">
        <w:rPr>
          <w:rFonts w:ascii="Arial" w:eastAsia="Times New Roman" w:hAnsi="Arial" w:cs="Arial"/>
          <w:color w:val="000000" w:themeColor="text1"/>
          <w:kern w:val="0"/>
          <w:lang w:eastAsia="en-GB"/>
          <w14:ligatures w14:val="none"/>
        </w:rPr>
        <w:t xml:space="preserve">Management accounting would have provided an analysis and indicated that the return on investment if GSK bought this firm, given the increase in cancer rates </w:t>
      </w:r>
      <w:r w:rsidRPr="008E7264">
        <w:rPr>
          <w:rFonts w:ascii="Arial" w:eastAsia="Times New Roman" w:hAnsi="Arial" w:cs="Arial"/>
          <w:color w:val="FF0000"/>
          <w:kern w:val="0"/>
          <w:lang w:eastAsia="en-GB"/>
          <w14:ligatures w14:val="none"/>
        </w:rPr>
        <w:t>(ScienceDaily, 2026).</w:t>
      </w:r>
    </w:p>
    <w:p w14:paraId="5106ED85" w14:textId="75AE529B" w:rsidR="00012927" w:rsidRPr="002841A0" w:rsidRDefault="00012927" w:rsidP="00753B23">
      <w:pPr>
        <w:pStyle w:val="Heading1"/>
        <w:rPr>
          <w:rFonts w:ascii="Arial" w:hAnsi="Arial" w:cs="Arial"/>
          <w:b/>
          <w:bCs/>
          <w:color w:val="000000" w:themeColor="text1"/>
          <w:sz w:val="24"/>
          <w:szCs w:val="24"/>
          <w:lang w:eastAsia="en-GB"/>
        </w:rPr>
      </w:pPr>
      <w:bookmarkStart w:id="1" w:name="_Toc234881984"/>
      <w:r w:rsidRPr="002841A0">
        <w:rPr>
          <w:rFonts w:ascii="Arial" w:hAnsi="Arial" w:cs="Arial"/>
          <w:b/>
          <w:bCs/>
          <w:color w:val="000000" w:themeColor="text1"/>
          <w:sz w:val="24"/>
          <w:szCs w:val="24"/>
          <w:lang w:eastAsia="en-GB"/>
        </w:rPr>
        <w:t>2</w:t>
      </w:r>
      <w:r w:rsidR="009E0182">
        <w:rPr>
          <w:rFonts w:ascii="Arial" w:hAnsi="Arial" w:cs="Arial"/>
          <w:b/>
          <w:bCs/>
          <w:color w:val="000000" w:themeColor="text1"/>
          <w:sz w:val="24"/>
          <w:szCs w:val="24"/>
          <w:lang w:eastAsia="en-GB"/>
        </w:rPr>
        <w:t>.</w:t>
      </w:r>
      <w:r w:rsidRPr="002841A0">
        <w:rPr>
          <w:rFonts w:ascii="Arial" w:hAnsi="Arial" w:cs="Arial"/>
          <w:b/>
          <w:bCs/>
          <w:color w:val="000000" w:themeColor="text1"/>
          <w:sz w:val="24"/>
          <w:szCs w:val="24"/>
          <w:lang w:eastAsia="en-GB"/>
        </w:rPr>
        <w:t xml:space="preserve"> GSK’s Cost Analysis and Business Model</w:t>
      </w:r>
      <w:bookmarkEnd w:id="1"/>
      <w:r w:rsidRPr="002841A0">
        <w:rPr>
          <w:rFonts w:ascii="Arial" w:hAnsi="Arial" w:cs="Arial"/>
          <w:b/>
          <w:bCs/>
          <w:color w:val="000000" w:themeColor="text1"/>
          <w:sz w:val="24"/>
          <w:szCs w:val="24"/>
          <w:lang w:eastAsia="en-GB"/>
        </w:rPr>
        <w:t xml:space="preserve"> </w:t>
      </w:r>
    </w:p>
    <w:p w14:paraId="11D2EB93" w14:textId="4268EE5E" w:rsidR="00012927" w:rsidRDefault="00012927" w:rsidP="00F87138">
      <w:pPr>
        <w:spacing w:before="100" w:beforeAutospacing="1" w:after="100" w:afterAutospacing="1" w:line="360" w:lineRule="auto"/>
        <w:ind w:left="284"/>
        <w:jc w:val="both"/>
        <w:rPr>
          <w:rFonts w:ascii="Arial" w:eastAsia="Times New Roman" w:hAnsi="Arial" w:cs="Arial"/>
          <w:kern w:val="0"/>
          <w:lang w:eastAsia="en-GB"/>
          <w14:ligatures w14:val="none"/>
        </w:rPr>
      </w:pPr>
      <w:r w:rsidRPr="00C26FA4">
        <w:rPr>
          <w:rFonts w:ascii="Arial" w:eastAsia="Times New Roman" w:hAnsi="Arial" w:cs="Arial"/>
          <w:kern w:val="0"/>
          <w:lang w:eastAsia="en-GB"/>
          <w14:ligatures w14:val="none"/>
        </w:rPr>
        <w:t>GSK is a research-based biopharmaceutical company that creates value through the discovery, development, manufacturing, and commerciali</w:t>
      </w:r>
      <w:r w:rsidR="005F754E">
        <w:rPr>
          <w:rFonts w:ascii="Arial" w:eastAsia="Times New Roman" w:hAnsi="Arial" w:cs="Arial"/>
          <w:kern w:val="0"/>
          <w:lang w:eastAsia="en-GB"/>
          <w14:ligatures w14:val="none"/>
        </w:rPr>
        <w:t>s</w:t>
      </w:r>
      <w:r w:rsidRPr="00C26FA4">
        <w:rPr>
          <w:rFonts w:ascii="Arial" w:eastAsia="Times New Roman" w:hAnsi="Arial" w:cs="Arial"/>
          <w:kern w:val="0"/>
          <w:lang w:eastAsia="en-GB"/>
          <w14:ligatures w14:val="none"/>
        </w:rPr>
        <w:t xml:space="preserve">ation of prescription medicines and vaccines. Following the demerger of its consumer healthcare business in 2022, GSK’s business model is focused on three revenue-generating segments: Specialty Medicines, Vaccines, and General Medicines. In 2025, GSK generated £32.7 billion in turnover, of which £13.5 billion (41%) came from Specialty Medicines, £9.2 billion (28%) from Vaccines, and £10.0 billion (31%) from General Medicines. Its largest therapeutic areas are HIV, oncology, respiratory disease, immunology, and infectious diseases </w:t>
      </w:r>
      <w:bookmarkStart w:id="2" w:name="_Hlk234257696"/>
      <w:r w:rsidRPr="00C26FA4">
        <w:rPr>
          <w:rFonts w:ascii="Arial" w:eastAsia="Times New Roman" w:hAnsi="Arial" w:cs="Arial"/>
          <w:b/>
          <w:bCs/>
          <w:kern w:val="0"/>
          <w:lang w:eastAsia="en-GB"/>
          <w14:ligatures w14:val="none"/>
        </w:rPr>
        <w:t>(</w:t>
      </w:r>
      <w:r w:rsidRPr="00C26FA4">
        <w:rPr>
          <w:rFonts w:ascii="Arial" w:hAnsi="Arial" w:cs="Arial"/>
          <w:color w:val="FF0000"/>
        </w:rPr>
        <w:t>Gsk.com. 2025</w:t>
      </w:r>
      <w:r w:rsidRPr="00C26FA4">
        <w:rPr>
          <w:rFonts w:ascii="Arial" w:eastAsia="Times New Roman" w:hAnsi="Arial" w:cs="Arial"/>
          <w:b/>
          <w:bCs/>
          <w:kern w:val="0"/>
          <w:lang w:eastAsia="en-GB"/>
          <w14:ligatures w14:val="none"/>
        </w:rPr>
        <w:t>)</w:t>
      </w:r>
      <w:r w:rsidRPr="00C26FA4">
        <w:rPr>
          <w:rFonts w:ascii="Arial" w:eastAsia="Times New Roman" w:hAnsi="Arial" w:cs="Arial"/>
          <w:kern w:val="0"/>
          <w:lang w:eastAsia="en-GB"/>
          <w14:ligatures w14:val="none"/>
        </w:rPr>
        <w:t>.</w:t>
      </w:r>
      <w:bookmarkEnd w:id="2"/>
    </w:p>
    <w:p w14:paraId="1672D422" w14:textId="7EE565DA" w:rsidR="002D6A78" w:rsidRPr="0031223D" w:rsidRDefault="00C7411F" w:rsidP="00F87138">
      <w:pPr>
        <w:spacing w:after="0" w:line="36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w:t>
      </w:r>
      <w:r w:rsidR="002D6A78" w:rsidRPr="0031223D">
        <w:rPr>
          <w:rFonts w:ascii="Arial" w:eastAsia="Times New Roman" w:hAnsi="Arial" w:cs="Arial"/>
          <w:b/>
          <w:bCs/>
          <w:kern w:val="0"/>
          <w:lang w:eastAsia="en-GB"/>
          <w14:ligatures w14:val="none"/>
        </w:rPr>
        <w:t>Gsk</w:t>
      </w:r>
      <w:r w:rsidR="0083386D" w:rsidRPr="0031223D">
        <w:rPr>
          <w:rFonts w:ascii="Arial" w:eastAsia="Times New Roman" w:hAnsi="Arial" w:cs="Arial"/>
          <w:b/>
          <w:bCs/>
          <w:kern w:val="0"/>
          <w:lang w:eastAsia="en-GB"/>
          <w14:ligatures w14:val="none"/>
        </w:rPr>
        <w:t>’s consolidated income statement</w:t>
      </w:r>
    </w:p>
    <w:p w14:paraId="158A719D" w14:textId="4A235310" w:rsidR="00AA2D42" w:rsidRPr="0031223D" w:rsidRDefault="00C7411F" w:rsidP="00F87138">
      <w:pPr>
        <w:spacing w:after="0" w:line="36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w:t>
      </w:r>
      <w:r w:rsidR="00AA2D42" w:rsidRPr="0031223D">
        <w:rPr>
          <w:rFonts w:ascii="Arial" w:eastAsia="Times New Roman" w:hAnsi="Arial" w:cs="Arial"/>
          <w:b/>
          <w:bCs/>
          <w:kern w:val="0"/>
          <w:lang w:eastAsia="en-GB"/>
          <w14:ligatures w14:val="none"/>
        </w:rPr>
        <w:t>For the year ended 31</w:t>
      </w:r>
      <w:r w:rsidR="0031223D" w:rsidRPr="0031223D">
        <w:rPr>
          <w:rFonts w:ascii="Arial" w:eastAsia="Times New Roman" w:hAnsi="Arial" w:cs="Arial"/>
          <w:b/>
          <w:bCs/>
          <w:kern w:val="0"/>
          <w:lang w:eastAsia="en-GB"/>
          <w14:ligatures w14:val="none"/>
        </w:rPr>
        <w:t xml:space="preserve"> December 2025</w:t>
      </w:r>
    </w:p>
    <w:p w14:paraId="764D7D37" w14:textId="4979CCE1" w:rsidR="00096C94" w:rsidRPr="00096C94" w:rsidRDefault="00096C94" w:rsidP="00F87138">
      <w:pPr>
        <w:spacing w:after="0" w:line="360" w:lineRule="auto"/>
        <w:jc w:val="both"/>
        <w:rPr>
          <w:rFonts w:ascii="Arial" w:eastAsia="Times New Roman" w:hAnsi="Arial" w:cs="Arial"/>
          <w:kern w:val="0"/>
          <w:lang w:eastAsia="en-GB"/>
          <w14:ligatures w14:val="none"/>
        </w:rPr>
      </w:pPr>
      <w:r w:rsidRPr="00096C94">
        <w:rPr>
          <w:rFonts w:ascii="Arial" w:eastAsia="Times New Roman" w:hAnsi="Arial" w:cs="Arial"/>
          <w:noProof/>
          <w:kern w:val="0"/>
          <w:lang w:eastAsia="en-GB"/>
          <w14:ligatures w14:val="none"/>
        </w:rPr>
        <w:drawing>
          <wp:inline distT="0" distB="0" distL="0" distR="0" wp14:anchorId="4A9FFA2D" wp14:editId="2061B48F">
            <wp:extent cx="5731510" cy="28848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884805"/>
                    </a:xfrm>
                    <a:prstGeom prst="rect">
                      <a:avLst/>
                    </a:prstGeom>
                    <a:noFill/>
                    <a:ln>
                      <a:noFill/>
                    </a:ln>
                  </pic:spPr>
                </pic:pic>
              </a:graphicData>
            </a:graphic>
          </wp:inline>
        </w:drawing>
      </w:r>
    </w:p>
    <w:p w14:paraId="4E1BEE72" w14:textId="3DCBF243" w:rsidR="00F27DCF" w:rsidRDefault="003E36AD" w:rsidP="00F87138">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9E60FE">
        <w:rPr>
          <w:rFonts w:ascii="Arial" w:eastAsia="Times New Roman" w:hAnsi="Arial" w:cs="Arial"/>
          <w:kern w:val="0"/>
          <w:lang w:eastAsia="en-GB"/>
          <w14:ligatures w14:val="none"/>
        </w:rPr>
        <w:t xml:space="preserve"> </w:t>
      </w:r>
      <w:r w:rsidR="00C7411F">
        <w:rPr>
          <w:rFonts w:ascii="Arial" w:eastAsia="Times New Roman" w:hAnsi="Arial" w:cs="Arial"/>
          <w:kern w:val="0"/>
          <w:lang w:eastAsia="en-GB"/>
          <w14:ligatures w14:val="none"/>
        </w:rPr>
        <w:t xml:space="preserve"> </w:t>
      </w:r>
      <w:r w:rsidR="003D4F5D">
        <w:rPr>
          <w:rFonts w:ascii="Arial" w:eastAsia="Times New Roman" w:hAnsi="Arial" w:cs="Arial"/>
          <w:kern w:val="0"/>
          <w:lang w:eastAsia="en-GB"/>
          <w14:ligatures w14:val="none"/>
        </w:rPr>
        <w:t>Source</w:t>
      </w:r>
      <w:r w:rsidR="00885F78">
        <w:rPr>
          <w:rFonts w:ascii="Arial" w:eastAsia="Times New Roman" w:hAnsi="Arial" w:cs="Arial"/>
          <w:kern w:val="0"/>
          <w:lang w:eastAsia="en-GB"/>
          <w14:ligatures w14:val="none"/>
        </w:rPr>
        <w:t>:</w:t>
      </w:r>
      <w:r w:rsidR="00885F78" w:rsidRPr="00885F78">
        <w:rPr>
          <w:rFonts w:ascii="Arial" w:eastAsia="Times New Roman" w:hAnsi="Arial" w:cs="Arial"/>
          <w:b/>
          <w:bCs/>
          <w:kern w:val="0"/>
          <w:lang w:eastAsia="en-GB"/>
          <w14:ligatures w14:val="none"/>
        </w:rPr>
        <w:t xml:space="preserve"> </w:t>
      </w:r>
      <w:r w:rsidR="00885F78" w:rsidRPr="00C26FA4">
        <w:rPr>
          <w:rFonts w:ascii="Arial" w:eastAsia="Times New Roman" w:hAnsi="Arial" w:cs="Arial"/>
          <w:b/>
          <w:bCs/>
          <w:kern w:val="0"/>
          <w:lang w:eastAsia="en-GB"/>
          <w14:ligatures w14:val="none"/>
        </w:rPr>
        <w:t>(</w:t>
      </w:r>
      <w:r w:rsidR="00885F78" w:rsidRPr="00C26FA4">
        <w:rPr>
          <w:rFonts w:ascii="Arial" w:hAnsi="Arial" w:cs="Arial"/>
          <w:color w:val="FF0000"/>
        </w:rPr>
        <w:t>Gsk.com. 2025</w:t>
      </w:r>
      <w:r w:rsidR="00885F78" w:rsidRPr="00C26FA4">
        <w:rPr>
          <w:rFonts w:ascii="Arial" w:eastAsia="Times New Roman" w:hAnsi="Arial" w:cs="Arial"/>
          <w:b/>
          <w:bCs/>
          <w:kern w:val="0"/>
          <w:lang w:eastAsia="en-GB"/>
          <w14:ligatures w14:val="none"/>
        </w:rPr>
        <w:t>)</w:t>
      </w:r>
      <w:r w:rsidR="00885F78" w:rsidRPr="00C26FA4">
        <w:rPr>
          <w:rFonts w:ascii="Arial" w:eastAsia="Times New Roman" w:hAnsi="Arial" w:cs="Arial"/>
          <w:kern w:val="0"/>
          <w:lang w:eastAsia="en-GB"/>
          <w14:ligatures w14:val="none"/>
        </w:rPr>
        <w:t>.</w:t>
      </w:r>
    </w:p>
    <w:p w14:paraId="20D42D74" w14:textId="77777777" w:rsidR="00765091" w:rsidRPr="00C26FA4" w:rsidRDefault="00765091" w:rsidP="00F87138">
      <w:pPr>
        <w:spacing w:after="0" w:line="360" w:lineRule="auto"/>
        <w:jc w:val="both"/>
        <w:rPr>
          <w:rFonts w:ascii="Arial" w:eastAsia="Times New Roman" w:hAnsi="Arial" w:cs="Arial"/>
          <w:kern w:val="0"/>
          <w:lang w:eastAsia="en-GB"/>
          <w14:ligatures w14:val="none"/>
        </w:rPr>
      </w:pPr>
    </w:p>
    <w:p w14:paraId="63A41B3A" w14:textId="17A6D10B" w:rsidR="00012927" w:rsidRPr="00235A79" w:rsidRDefault="00012927" w:rsidP="00E71EF9">
      <w:pPr>
        <w:pStyle w:val="Heading2"/>
        <w:rPr>
          <w:rFonts w:ascii="Arial" w:hAnsi="Arial" w:cs="Arial"/>
          <w:b/>
          <w:bCs/>
          <w:color w:val="000000" w:themeColor="text1"/>
          <w:sz w:val="24"/>
          <w:szCs w:val="24"/>
          <w:lang w:eastAsia="en-GB"/>
        </w:rPr>
      </w:pPr>
      <w:bookmarkStart w:id="3" w:name="_Toc234881985"/>
      <w:r w:rsidRPr="00235A79">
        <w:rPr>
          <w:rFonts w:ascii="Arial" w:hAnsi="Arial" w:cs="Arial"/>
          <w:b/>
          <w:bCs/>
          <w:color w:val="000000" w:themeColor="text1"/>
          <w:sz w:val="24"/>
          <w:szCs w:val="24"/>
          <w:lang w:eastAsia="en-GB"/>
        </w:rPr>
        <w:lastRenderedPageBreak/>
        <w:t>2.1</w:t>
      </w:r>
      <w:r w:rsidR="009E0182">
        <w:rPr>
          <w:rFonts w:ascii="Arial" w:hAnsi="Arial" w:cs="Arial"/>
          <w:b/>
          <w:bCs/>
          <w:color w:val="000000" w:themeColor="text1"/>
          <w:sz w:val="24"/>
          <w:szCs w:val="24"/>
          <w:lang w:eastAsia="en-GB"/>
        </w:rPr>
        <w:t>.</w:t>
      </w:r>
      <w:r w:rsidRPr="00235A79">
        <w:rPr>
          <w:rFonts w:ascii="Arial" w:hAnsi="Arial" w:cs="Arial"/>
          <w:b/>
          <w:bCs/>
          <w:color w:val="000000" w:themeColor="text1"/>
          <w:sz w:val="24"/>
          <w:szCs w:val="24"/>
          <w:lang w:eastAsia="en-GB"/>
        </w:rPr>
        <w:t xml:space="preserve"> Revenue Model</w:t>
      </w:r>
      <w:bookmarkEnd w:id="3"/>
    </w:p>
    <w:p w14:paraId="29B55C15" w14:textId="4296816D" w:rsidR="00012927" w:rsidRDefault="00012927" w:rsidP="00F87138">
      <w:pPr>
        <w:spacing w:before="100" w:beforeAutospacing="1" w:after="100" w:afterAutospacing="1" w:line="360" w:lineRule="auto"/>
        <w:ind w:left="284"/>
        <w:jc w:val="both"/>
        <w:rPr>
          <w:rFonts w:ascii="Arial" w:eastAsia="Times New Roman" w:hAnsi="Arial" w:cs="Arial"/>
          <w:kern w:val="0"/>
          <w:lang w:eastAsia="en-GB"/>
          <w14:ligatures w14:val="none"/>
        </w:rPr>
      </w:pPr>
      <w:r w:rsidRPr="00CC6070">
        <w:rPr>
          <w:rFonts w:ascii="Arial" w:eastAsia="Times New Roman" w:hAnsi="Arial" w:cs="Arial"/>
          <w:kern w:val="0"/>
          <w:lang w:eastAsia="en-GB"/>
          <w14:ligatures w14:val="none"/>
        </w:rPr>
        <w:t>GSK is primarily a product-sales business</w:t>
      </w:r>
      <w:r>
        <w:rPr>
          <w:rFonts w:ascii="Arial" w:eastAsia="Times New Roman" w:hAnsi="Arial" w:cs="Arial"/>
          <w:kern w:val="0"/>
          <w:lang w:eastAsia="en-GB"/>
          <w14:ligatures w14:val="none"/>
        </w:rPr>
        <w:t xml:space="preserve">. </w:t>
      </w:r>
      <w:r w:rsidRPr="00CC6070">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R</w:t>
      </w:r>
      <w:r w:rsidRPr="00C26FA4">
        <w:rPr>
          <w:rFonts w:ascii="Arial" w:eastAsia="Times New Roman" w:hAnsi="Arial" w:cs="Arial"/>
          <w:kern w:val="0"/>
          <w:lang w:eastAsia="en-GB"/>
          <w14:ligatures w14:val="none"/>
        </w:rPr>
        <w:t xml:space="preserve">evenue </w:t>
      </w:r>
      <w:r>
        <w:rPr>
          <w:rFonts w:ascii="Arial" w:eastAsia="Times New Roman" w:hAnsi="Arial" w:cs="Arial"/>
          <w:kern w:val="0"/>
          <w:lang w:eastAsia="en-GB"/>
          <w14:ligatures w14:val="none"/>
        </w:rPr>
        <w:t xml:space="preserve">mainly comes </w:t>
      </w:r>
      <w:r w:rsidRPr="00C26FA4">
        <w:rPr>
          <w:rFonts w:ascii="Arial" w:eastAsia="Times New Roman" w:hAnsi="Arial" w:cs="Arial"/>
          <w:kern w:val="0"/>
          <w:lang w:eastAsia="en-GB"/>
          <w14:ligatures w14:val="none"/>
        </w:rPr>
        <w:t xml:space="preserve">through the sale of patented pharmaceuticals and vaccines. The company’s revenue model relies heavily on intellectual property rights, which provide temporary market exclusivity and allow premium pricing during patent-protected periods. High-performing products such as the HIV portfolio, Shingrix, and </w:t>
      </w:r>
      <w:proofErr w:type="spellStart"/>
      <w:r w:rsidRPr="00C26FA4">
        <w:rPr>
          <w:rFonts w:ascii="Arial" w:eastAsia="Times New Roman" w:hAnsi="Arial" w:cs="Arial"/>
          <w:kern w:val="0"/>
          <w:lang w:eastAsia="en-GB"/>
          <w14:ligatures w14:val="none"/>
        </w:rPr>
        <w:t>Trelegy</w:t>
      </w:r>
      <w:proofErr w:type="spellEnd"/>
      <w:r w:rsidRPr="00C26FA4">
        <w:rPr>
          <w:rFonts w:ascii="Arial" w:eastAsia="Times New Roman" w:hAnsi="Arial" w:cs="Arial"/>
          <w:kern w:val="0"/>
          <w:lang w:eastAsia="en-GB"/>
          <w14:ligatures w14:val="none"/>
        </w:rPr>
        <w:t xml:space="preserve"> generate significant cash flows that fund future research and development activities</w:t>
      </w:r>
      <w:r w:rsidR="00282FC1">
        <w:rPr>
          <w:rFonts w:ascii="Arial" w:eastAsia="Times New Roman" w:hAnsi="Arial" w:cs="Arial"/>
          <w:kern w:val="0"/>
          <w:lang w:eastAsia="en-GB"/>
          <w14:ligatures w14:val="none"/>
        </w:rPr>
        <w:t>.</w:t>
      </w:r>
      <w:r>
        <w:rPr>
          <w:rFonts w:ascii="Arial" w:eastAsia="Times New Roman" w:hAnsi="Arial" w:cs="Arial"/>
          <w:color w:val="FF0000"/>
          <w:kern w:val="0"/>
          <w:lang w:eastAsia="en-GB"/>
          <w14:ligatures w14:val="none"/>
        </w:rPr>
        <w:t xml:space="preserve"> </w:t>
      </w:r>
      <w:r w:rsidRPr="00C26FA4">
        <w:rPr>
          <w:rFonts w:ascii="Arial" w:eastAsia="Times New Roman" w:hAnsi="Arial" w:cs="Arial"/>
          <w:kern w:val="0"/>
          <w:lang w:eastAsia="en-GB"/>
          <w14:ligatures w14:val="none"/>
        </w:rPr>
        <w:t xml:space="preserve">In addition to product sales, GSK earns income through licensing agreements, royalties, and strategic collaborations with other pharmaceutical companies. This model aligns with the broader pharmaceutical industry, where innovation and patent protection are key drivers of profitability </w:t>
      </w:r>
      <w:bookmarkStart w:id="4" w:name="_Hlk234844130"/>
      <w:r w:rsidRPr="00C26FA4">
        <w:rPr>
          <w:rFonts w:ascii="Arial" w:eastAsia="Times New Roman" w:hAnsi="Arial" w:cs="Arial"/>
          <w:b/>
          <w:bCs/>
          <w:kern w:val="0"/>
          <w:lang w:eastAsia="en-GB"/>
          <w14:ligatures w14:val="none"/>
        </w:rPr>
        <w:t>(</w:t>
      </w:r>
      <w:r w:rsidRPr="00C26FA4">
        <w:rPr>
          <w:rFonts w:ascii="Arial" w:eastAsia="Times New Roman" w:hAnsi="Arial" w:cs="Arial"/>
          <w:color w:val="FF0000"/>
          <w:kern w:val="0"/>
          <w:lang w:eastAsia="en-GB"/>
          <w14:ligatures w14:val="none"/>
        </w:rPr>
        <w:t>Gsk.com, 2025</w:t>
      </w:r>
      <w:bookmarkEnd w:id="4"/>
      <w:r w:rsidRPr="00C26FA4">
        <w:rPr>
          <w:rFonts w:ascii="Arial" w:eastAsia="Times New Roman" w:hAnsi="Arial" w:cs="Arial"/>
          <w:b/>
          <w:bCs/>
          <w:kern w:val="0"/>
          <w:lang w:eastAsia="en-GB"/>
          <w14:ligatures w14:val="none"/>
        </w:rPr>
        <w:t xml:space="preserve">; </w:t>
      </w:r>
      <w:proofErr w:type="spellStart"/>
      <w:r w:rsidRPr="008E175C">
        <w:rPr>
          <w:rFonts w:ascii="Arial" w:eastAsia="Times New Roman" w:hAnsi="Arial" w:cs="Arial"/>
          <w:color w:val="FF0000"/>
          <w:kern w:val="0"/>
          <w:lang w:eastAsia="en-GB"/>
          <w14:ligatures w14:val="none"/>
        </w:rPr>
        <w:t>Umbrex</w:t>
      </w:r>
      <w:proofErr w:type="spellEnd"/>
      <w:r w:rsidRPr="008E175C">
        <w:rPr>
          <w:rFonts w:ascii="Arial" w:eastAsia="Times New Roman" w:hAnsi="Arial" w:cs="Arial"/>
          <w:color w:val="FF0000"/>
          <w:kern w:val="0"/>
          <w:lang w:eastAsia="en-GB"/>
          <w14:ligatures w14:val="none"/>
        </w:rPr>
        <w:t>, 2026</w:t>
      </w:r>
      <w:r w:rsidRPr="00C26FA4">
        <w:rPr>
          <w:rFonts w:ascii="Arial" w:eastAsia="Times New Roman" w:hAnsi="Arial" w:cs="Arial"/>
          <w:b/>
          <w:bCs/>
          <w:kern w:val="0"/>
          <w:lang w:eastAsia="en-GB"/>
          <w14:ligatures w14:val="none"/>
        </w:rPr>
        <w:t>)</w:t>
      </w:r>
      <w:r w:rsidRPr="00C26FA4">
        <w:rPr>
          <w:rFonts w:ascii="Arial" w:eastAsia="Times New Roman" w:hAnsi="Arial" w:cs="Arial"/>
          <w:kern w:val="0"/>
          <w:lang w:eastAsia="en-GB"/>
          <w14:ligatures w14:val="none"/>
        </w:rPr>
        <w:t>.</w:t>
      </w:r>
    </w:p>
    <w:p w14:paraId="2D9A6D91" w14:textId="2FF9A7CB" w:rsidR="00012927" w:rsidRPr="00235A79" w:rsidRDefault="00012927" w:rsidP="00235A79">
      <w:pPr>
        <w:pStyle w:val="Heading2"/>
        <w:rPr>
          <w:rFonts w:ascii="Arial" w:hAnsi="Arial" w:cs="Arial"/>
          <w:b/>
          <w:bCs/>
          <w:color w:val="000000" w:themeColor="text1"/>
          <w:sz w:val="24"/>
          <w:szCs w:val="24"/>
          <w:lang w:eastAsia="en-GB"/>
        </w:rPr>
      </w:pPr>
      <w:bookmarkStart w:id="5" w:name="_Toc234881986"/>
      <w:r w:rsidRPr="00235A79">
        <w:rPr>
          <w:rFonts w:ascii="Arial" w:hAnsi="Arial" w:cs="Arial"/>
          <w:b/>
          <w:bCs/>
          <w:color w:val="000000" w:themeColor="text1"/>
          <w:sz w:val="24"/>
          <w:szCs w:val="24"/>
          <w:lang w:eastAsia="en-GB"/>
        </w:rPr>
        <w:t>2.2</w:t>
      </w:r>
      <w:r w:rsidR="009E0182">
        <w:rPr>
          <w:rFonts w:ascii="Arial" w:hAnsi="Arial" w:cs="Arial"/>
          <w:b/>
          <w:bCs/>
          <w:color w:val="000000" w:themeColor="text1"/>
          <w:sz w:val="24"/>
          <w:szCs w:val="24"/>
          <w:lang w:eastAsia="en-GB"/>
        </w:rPr>
        <w:t>.</w:t>
      </w:r>
      <w:r w:rsidRPr="00235A79">
        <w:rPr>
          <w:rFonts w:ascii="Arial" w:hAnsi="Arial" w:cs="Arial"/>
          <w:b/>
          <w:bCs/>
          <w:color w:val="000000" w:themeColor="text1"/>
          <w:sz w:val="24"/>
          <w:szCs w:val="24"/>
          <w:lang w:eastAsia="en-GB"/>
        </w:rPr>
        <w:t xml:space="preserve"> Cost Structure</w:t>
      </w:r>
      <w:bookmarkEnd w:id="5"/>
    </w:p>
    <w:p w14:paraId="186A28A6" w14:textId="77777777" w:rsidR="00012927" w:rsidRPr="00D3416D" w:rsidRDefault="00012927" w:rsidP="00F87138">
      <w:pPr>
        <w:spacing w:line="360" w:lineRule="auto"/>
        <w:ind w:left="284"/>
        <w:jc w:val="both"/>
        <w:rPr>
          <w:lang w:eastAsia="en-GB"/>
        </w:rPr>
      </w:pPr>
      <w:r w:rsidRPr="00D3416D">
        <w:rPr>
          <w:lang w:eastAsia="en-GB"/>
        </w:rPr>
        <w:t>GSK (GlaxoSmithKline) does not publish a standalone "cost structure" document,</w:t>
      </w:r>
      <w:r w:rsidRPr="00D3416D">
        <w:rPr>
          <w:rFonts w:ascii="Arial" w:eastAsia="Times New Roman" w:hAnsi="Arial" w:cs="Arial"/>
          <w:kern w:val="0"/>
          <w:lang w:eastAsia="en-GB"/>
          <w14:ligatures w14:val="none"/>
        </w:rPr>
        <w:t xml:space="preserve"> but rather details its cost base in its comprehensive annual financial disclosures. The overarching operational and cost structure is detailed across multiple official reports, breaking down expenditures into Cost of Sales, SG&amp;A</w:t>
      </w:r>
      <w:r>
        <w:rPr>
          <w:rFonts w:ascii="Arial" w:eastAsia="Times New Roman" w:hAnsi="Arial" w:cs="Arial"/>
          <w:kern w:val="0"/>
          <w:lang w:eastAsia="en-GB"/>
          <w14:ligatures w14:val="none"/>
        </w:rPr>
        <w:t xml:space="preserve"> (</w:t>
      </w:r>
      <w:r w:rsidRPr="00D3416D">
        <w:rPr>
          <w:rFonts w:ascii="Arial" w:eastAsia="Times New Roman" w:hAnsi="Arial" w:cs="Arial"/>
          <w:kern w:val="0"/>
          <w:lang w:eastAsia="en-GB"/>
          <w14:ligatures w14:val="none"/>
        </w:rPr>
        <w:t>Selling, General, and Administration</w:t>
      </w:r>
      <w:r>
        <w:rPr>
          <w:rFonts w:ascii="Arial" w:eastAsia="Times New Roman" w:hAnsi="Arial" w:cs="Arial"/>
          <w:kern w:val="0"/>
          <w:lang w:eastAsia="en-GB"/>
          <w14:ligatures w14:val="none"/>
        </w:rPr>
        <w:t>)</w:t>
      </w:r>
      <w:r w:rsidRPr="00D3416D">
        <w:rPr>
          <w:rFonts w:ascii="Arial" w:eastAsia="Times New Roman" w:hAnsi="Arial" w:cs="Arial"/>
          <w:kern w:val="0"/>
          <w:lang w:eastAsia="en-GB"/>
          <w14:ligatures w14:val="none"/>
        </w:rPr>
        <w:t>, R&amp;D</w:t>
      </w:r>
      <w:r>
        <w:rPr>
          <w:rFonts w:ascii="Arial" w:eastAsia="Times New Roman" w:hAnsi="Arial" w:cs="Arial"/>
          <w:kern w:val="0"/>
          <w:lang w:eastAsia="en-GB"/>
          <w14:ligatures w14:val="none"/>
        </w:rPr>
        <w:t xml:space="preserve"> (</w:t>
      </w:r>
      <w:r w:rsidRPr="00D3416D">
        <w:rPr>
          <w:rFonts w:ascii="Arial" w:eastAsia="Times New Roman" w:hAnsi="Arial" w:cs="Arial"/>
          <w:kern w:val="0"/>
          <w:lang w:eastAsia="en-GB"/>
          <w14:ligatures w14:val="none"/>
        </w:rPr>
        <w:t>Research &amp; Development</w:t>
      </w:r>
      <w:r>
        <w:rPr>
          <w:rFonts w:ascii="Arial" w:eastAsia="Times New Roman" w:hAnsi="Arial" w:cs="Arial"/>
          <w:kern w:val="0"/>
          <w:lang w:eastAsia="en-GB"/>
          <w14:ligatures w14:val="none"/>
        </w:rPr>
        <w:t>)</w:t>
      </w:r>
      <w:r w:rsidRPr="00D3416D">
        <w:rPr>
          <w:rFonts w:ascii="Arial" w:eastAsia="Times New Roman" w:hAnsi="Arial" w:cs="Arial"/>
          <w:kern w:val="0"/>
          <w:lang w:eastAsia="en-GB"/>
          <w14:ligatures w14:val="none"/>
        </w:rPr>
        <w:t>, and Restructuring.</w:t>
      </w:r>
    </w:p>
    <w:p w14:paraId="3BA61B08" w14:textId="77777777" w:rsidR="00012927" w:rsidRPr="00D3416D" w:rsidRDefault="00012927" w:rsidP="00F87138">
      <w:pPr>
        <w:spacing w:line="360" w:lineRule="auto"/>
        <w:ind w:left="284"/>
        <w:jc w:val="both"/>
        <w:rPr>
          <w:lang w:eastAsia="en-GB"/>
        </w:rPr>
      </w:pPr>
      <w:r w:rsidRPr="00D3416D">
        <w:rPr>
          <w:lang w:eastAsia="en-GB"/>
        </w:rPr>
        <w:t>Key Cost Structure Components</w:t>
      </w:r>
    </w:p>
    <w:p w14:paraId="6E67DA9E" w14:textId="77777777" w:rsidR="00012927" w:rsidRPr="0075157E" w:rsidRDefault="00012927" w:rsidP="00F87138">
      <w:pPr>
        <w:pStyle w:val="ListParagraph"/>
        <w:numPr>
          <w:ilvl w:val="0"/>
          <w:numId w:val="1"/>
        </w:num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C</w:t>
      </w:r>
      <w:r w:rsidRPr="0075157E">
        <w:rPr>
          <w:rFonts w:ascii="Arial" w:eastAsia="Times New Roman" w:hAnsi="Arial" w:cs="Arial"/>
          <w:kern w:val="0"/>
          <w:lang w:eastAsia="en-GB"/>
          <w14:ligatures w14:val="none"/>
        </w:rPr>
        <w:t>osts required to produce GSK's specialty medicines, vaccines, and general medicines.</w:t>
      </w:r>
    </w:p>
    <w:p w14:paraId="29A1E347" w14:textId="74CB34B1" w:rsidR="001B4F04" w:rsidRPr="005A6572" w:rsidRDefault="00012927" w:rsidP="005A6572">
      <w:pPr>
        <w:pStyle w:val="ListParagraph"/>
        <w:numPr>
          <w:ilvl w:val="0"/>
          <w:numId w:val="1"/>
        </w:numPr>
        <w:spacing w:line="360" w:lineRule="auto"/>
        <w:jc w:val="both"/>
        <w:rPr>
          <w:rFonts w:ascii="Arial" w:eastAsia="Times New Roman" w:hAnsi="Arial" w:cs="Arial"/>
          <w:color w:val="000000" w:themeColor="text1"/>
          <w:kern w:val="0"/>
          <w:lang w:eastAsia="en-GB"/>
          <w14:ligatures w14:val="none"/>
        </w:rPr>
      </w:pPr>
      <w:r w:rsidRPr="002D31A8">
        <w:rPr>
          <w:rFonts w:ascii="Arial" w:eastAsia="Times New Roman" w:hAnsi="Arial" w:cs="Arial"/>
          <w:color w:val="000000" w:themeColor="text1"/>
          <w:kern w:val="0"/>
          <w:lang w:eastAsia="en-GB"/>
          <w14:ligatures w14:val="none"/>
        </w:rPr>
        <w:t xml:space="preserve">Selling, General, and Administration (SG&amp;A): The largest overhead and commercial cost block. This includes global sales force expenses, marketing operations, legal/compliance costs, and corporate administrative functions. </w:t>
      </w:r>
      <w:r w:rsidR="0093548D" w:rsidRPr="002D31A8">
        <w:rPr>
          <w:rFonts w:ascii="Arial" w:eastAsia="Times New Roman" w:hAnsi="Arial" w:cs="Arial"/>
          <w:color w:val="000000" w:themeColor="text1"/>
          <w:kern w:val="0"/>
          <w:lang w:eastAsia="en-GB"/>
          <w14:ligatures w14:val="none"/>
        </w:rPr>
        <w:t>GSK SG&amp;A expenses for 2025 were $11.984B, a 14.86% decline from 2024</w:t>
      </w:r>
      <w:r w:rsidR="00274D34" w:rsidRPr="002D31A8">
        <w:rPr>
          <w:rFonts w:ascii="Arial" w:eastAsia="Times New Roman" w:hAnsi="Arial" w:cs="Arial"/>
          <w:color w:val="000000" w:themeColor="text1"/>
          <w:kern w:val="0"/>
          <w:lang w:eastAsia="en-GB"/>
          <w14:ligatures w14:val="none"/>
        </w:rPr>
        <w:t xml:space="preserve"> </w:t>
      </w:r>
      <w:r w:rsidR="00701FF9" w:rsidRPr="002D31A8">
        <w:rPr>
          <w:rFonts w:ascii="Arial" w:eastAsia="Times New Roman" w:hAnsi="Arial" w:cs="Arial"/>
          <w:color w:val="000000" w:themeColor="text1"/>
          <w:kern w:val="0"/>
          <w:lang w:eastAsia="en-GB"/>
          <w14:ligatures w14:val="none"/>
        </w:rPr>
        <w:t xml:space="preserve">which </w:t>
      </w:r>
      <w:r w:rsidR="00DD14E6" w:rsidRPr="002D31A8">
        <w:rPr>
          <w:rFonts w:ascii="Arial" w:eastAsia="Times New Roman" w:hAnsi="Arial" w:cs="Arial"/>
          <w:color w:val="000000" w:themeColor="text1"/>
          <w:kern w:val="0"/>
          <w:lang w:eastAsia="en-GB"/>
          <w14:ligatures w14:val="none"/>
        </w:rPr>
        <w:t>had</w:t>
      </w:r>
      <w:r w:rsidR="00387522" w:rsidRPr="002D31A8">
        <w:rPr>
          <w:rFonts w:ascii="Arial" w:eastAsia="Times New Roman" w:hAnsi="Arial" w:cs="Arial"/>
          <w:color w:val="000000" w:themeColor="text1"/>
          <w:kern w:val="0"/>
          <w:lang w:eastAsia="en-GB"/>
          <w14:ligatures w14:val="none"/>
        </w:rPr>
        <w:t xml:space="preserve"> expenses of </w:t>
      </w:r>
      <w:r w:rsidR="00701FF9" w:rsidRPr="002D31A8">
        <w:rPr>
          <w:rFonts w:ascii="Arial" w:eastAsia="Times New Roman" w:hAnsi="Arial" w:cs="Arial"/>
          <w:color w:val="000000" w:themeColor="text1"/>
          <w:kern w:val="0"/>
          <w:lang w:eastAsia="en-GB"/>
          <w14:ligatures w14:val="none"/>
        </w:rPr>
        <w:t>$14.076B</w:t>
      </w:r>
      <w:r w:rsidR="00375E0D" w:rsidRPr="002D31A8">
        <w:rPr>
          <w:rFonts w:ascii="Arial" w:eastAsia="Times New Roman" w:hAnsi="Arial" w:cs="Arial"/>
          <w:color w:val="000000" w:themeColor="text1"/>
          <w:kern w:val="0"/>
          <w:lang w:eastAsia="en-GB"/>
          <w14:ligatures w14:val="none"/>
        </w:rPr>
        <w:t xml:space="preserve"> (</w:t>
      </w:r>
      <w:r w:rsidR="00375E0D" w:rsidRPr="0050192A">
        <w:rPr>
          <w:rFonts w:ascii="Arial" w:hAnsi="Arial" w:cs="Arial"/>
          <w:color w:val="FF0000"/>
        </w:rPr>
        <w:t>Macrotrends, 2026a</w:t>
      </w:r>
      <w:r w:rsidR="00375E0D" w:rsidRPr="002D31A8">
        <w:rPr>
          <w:rFonts w:ascii="Arial" w:hAnsi="Arial" w:cs="Arial"/>
          <w:color w:val="000000" w:themeColor="text1"/>
        </w:rPr>
        <w:t>).</w:t>
      </w:r>
      <w:r w:rsidR="00C94773" w:rsidRPr="005A6572">
        <w:rPr>
          <w:rFonts w:ascii="Arial" w:eastAsia="Times New Roman" w:hAnsi="Arial" w:cs="Arial"/>
          <w:color w:val="FF0000"/>
          <w:kern w:val="0"/>
          <w:lang w:eastAsia="en-GB"/>
          <w14:ligatures w14:val="none"/>
        </w:rPr>
        <w:t xml:space="preserve"> </w:t>
      </w:r>
    </w:p>
    <w:p w14:paraId="6C812D2E" w14:textId="6F07F211" w:rsidR="00350EE8" w:rsidRPr="00350EE8" w:rsidRDefault="00012927" w:rsidP="00FD5EF7">
      <w:pPr>
        <w:pStyle w:val="ListParagraph"/>
        <w:numPr>
          <w:ilvl w:val="0"/>
          <w:numId w:val="1"/>
        </w:numPr>
        <w:spacing w:line="360" w:lineRule="auto"/>
        <w:jc w:val="both"/>
        <w:rPr>
          <w:rFonts w:ascii="Times New Roman" w:eastAsia="Times New Roman" w:hAnsi="Times New Roman" w:cs="Times New Roman"/>
          <w:kern w:val="0"/>
          <w:lang w:eastAsia="en-GB"/>
          <w14:ligatures w14:val="none"/>
        </w:rPr>
      </w:pPr>
      <w:bookmarkStart w:id="6" w:name="_Hlk233297489"/>
      <w:r w:rsidRPr="00350EE8">
        <w:rPr>
          <w:rFonts w:ascii="Arial" w:eastAsia="Times New Roman" w:hAnsi="Arial" w:cs="Arial"/>
          <w:kern w:val="0"/>
          <w:lang w:eastAsia="en-GB"/>
          <w14:ligatures w14:val="none"/>
        </w:rPr>
        <w:t xml:space="preserve">Research &amp; Development </w:t>
      </w:r>
      <w:bookmarkEnd w:id="6"/>
      <w:r w:rsidRPr="00350EE8">
        <w:rPr>
          <w:rFonts w:ascii="Arial" w:eastAsia="Times New Roman" w:hAnsi="Arial" w:cs="Arial"/>
          <w:kern w:val="0"/>
          <w:lang w:eastAsia="en-GB"/>
          <w14:ligatures w14:val="none"/>
        </w:rPr>
        <w:t>(R&amp;D): Major investments in clinical trials, scientific platforms, and drug discovery. GSK consistently allocates a significant portion of total turnover (typically 14%</w:t>
      </w:r>
      <w:r w:rsidR="00761593" w:rsidRPr="00350EE8">
        <w:rPr>
          <w:rFonts w:ascii="Arial" w:eastAsia="Times New Roman" w:hAnsi="Arial" w:cs="Arial"/>
          <w:kern w:val="0"/>
          <w:lang w:eastAsia="en-GB"/>
          <w14:ligatures w14:val="none"/>
        </w:rPr>
        <w:t xml:space="preserve"> </w:t>
      </w:r>
      <w:r w:rsidR="00A42807" w:rsidRPr="00350EE8">
        <w:rPr>
          <w:rFonts w:ascii="Arial" w:eastAsia="Times New Roman" w:hAnsi="Arial" w:cs="Arial"/>
          <w:kern w:val="0"/>
          <w:lang w:eastAsia="en-GB"/>
          <w14:ligatures w14:val="none"/>
        </w:rPr>
        <w:t>plus</w:t>
      </w:r>
      <w:r w:rsidRPr="00350EE8">
        <w:rPr>
          <w:rFonts w:ascii="Arial" w:eastAsia="Times New Roman" w:hAnsi="Arial" w:cs="Arial"/>
          <w:kern w:val="0"/>
          <w:lang w:eastAsia="en-GB"/>
          <w14:ligatures w14:val="none"/>
        </w:rPr>
        <w:t>) to its R&amp;D pipeline.</w:t>
      </w:r>
      <w:r w:rsidR="00657FED" w:rsidRPr="00350EE8">
        <w:rPr>
          <w:rFonts w:ascii="Arial" w:eastAsia="Times New Roman" w:hAnsi="Arial" w:cs="Arial"/>
          <w:kern w:val="0"/>
          <w:lang w:eastAsia="en-GB"/>
          <w14:ligatures w14:val="none"/>
        </w:rPr>
        <w:t xml:space="preserve"> </w:t>
      </w:r>
      <w:r w:rsidR="007004C0" w:rsidRPr="00350EE8">
        <w:rPr>
          <w:rFonts w:ascii="Arial" w:eastAsia="Times New Roman" w:hAnsi="Arial" w:cs="Arial"/>
          <w:color w:val="FF0000"/>
          <w:kern w:val="0"/>
          <w:lang w:eastAsia="en-GB"/>
          <w14:ligatures w14:val="none"/>
        </w:rPr>
        <w:t xml:space="preserve">In 2025, </w:t>
      </w:r>
      <w:r w:rsidR="00D56257" w:rsidRPr="00350EE8">
        <w:rPr>
          <w:rFonts w:ascii="Arial" w:eastAsia="Times New Roman" w:hAnsi="Arial" w:cs="Arial"/>
          <w:color w:val="FF0000"/>
          <w:kern w:val="0"/>
          <w:lang w:eastAsia="en-GB"/>
          <w14:ligatures w14:val="none"/>
        </w:rPr>
        <w:t xml:space="preserve">GSK </w:t>
      </w:r>
      <w:r w:rsidR="007004C0" w:rsidRPr="00350EE8">
        <w:rPr>
          <w:rFonts w:ascii="Arial" w:eastAsia="Times New Roman" w:hAnsi="Arial" w:cs="Arial"/>
          <w:color w:val="FF0000"/>
          <w:kern w:val="0"/>
          <w:lang w:eastAsia="en-GB"/>
          <w14:ligatures w14:val="none"/>
        </w:rPr>
        <w:t xml:space="preserve">invested £6.6 billion in core R&amp;D across our portfolio, up 9% AER and 11% CER on 2024. </w:t>
      </w:r>
      <w:r w:rsidR="00B73FB2" w:rsidRPr="00350EE8">
        <w:rPr>
          <w:rFonts w:ascii="Arial" w:eastAsia="Times New Roman" w:hAnsi="Arial" w:cs="Arial"/>
          <w:color w:val="FF0000"/>
          <w:kern w:val="0"/>
          <w:lang w:eastAsia="en-GB"/>
          <w14:ligatures w14:val="none"/>
        </w:rPr>
        <w:t>They have</w:t>
      </w:r>
      <w:r w:rsidR="007004C0" w:rsidRPr="00350EE8">
        <w:rPr>
          <w:rFonts w:ascii="Arial" w:eastAsia="Times New Roman" w:hAnsi="Arial" w:cs="Arial"/>
          <w:color w:val="FF0000"/>
          <w:kern w:val="0"/>
          <w:lang w:eastAsia="en-GB"/>
          <w14:ligatures w14:val="none"/>
        </w:rPr>
        <w:t xml:space="preserve"> 58 assets in our pipeline with over half of these coming through business development </w:t>
      </w:r>
      <w:r w:rsidR="00E97217" w:rsidRPr="00E97217">
        <w:rPr>
          <w:rFonts w:ascii="Arial" w:eastAsia="Times New Roman" w:hAnsi="Arial" w:cs="Arial"/>
          <w:b/>
          <w:bCs/>
          <w:color w:val="FF0000"/>
          <w:kern w:val="0"/>
          <w:lang w:eastAsia="en-GB"/>
          <w14:ligatures w14:val="none"/>
        </w:rPr>
        <w:t>(</w:t>
      </w:r>
      <w:r w:rsidR="00E97217" w:rsidRPr="00E97217">
        <w:rPr>
          <w:rFonts w:ascii="Arial" w:eastAsia="Times New Roman" w:hAnsi="Arial" w:cs="Arial"/>
          <w:color w:val="FF0000"/>
          <w:kern w:val="0"/>
          <w:lang w:eastAsia="en-GB"/>
          <w14:ligatures w14:val="none"/>
        </w:rPr>
        <w:t>Gsk.com, 2025</w:t>
      </w:r>
      <w:r w:rsidR="00E97217">
        <w:rPr>
          <w:rFonts w:ascii="Arial" w:eastAsia="Times New Roman" w:hAnsi="Arial" w:cs="Arial"/>
          <w:color w:val="FF0000"/>
          <w:kern w:val="0"/>
          <w:lang w:eastAsia="en-GB"/>
          <w14:ligatures w14:val="none"/>
        </w:rPr>
        <w:t>)</w:t>
      </w:r>
      <w:r w:rsidR="005E48BD">
        <w:rPr>
          <w:rFonts w:ascii="Arial" w:eastAsia="Times New Roman" w:hAnsi="Arial" w:cs="Arial"/>
          <w:color w:val="FF0000"/>
          <w:kern w:val="0"/>
          <w:lang w:eastAsia="en-GB"/>
          <w14:ligatures w14:val="none"/>
        </w:rPr>
        <w:t>.</w:t>
      </w:r>
    </w:p>
    <w:p w14:paraId="02D8EB2A" w14:textId="71BFF75A" w:rsidR="00012927" w:rsidRPr="00266484" w:rsidRDefault="00012927" w:rsidP="00FD5EF7">
      <w:pPr>
        <w:pStyle w:val="ListParagraph"/>
        <w:numPr>
          <w:ilvl w:val="0"/>
          <w:numId w:val="1"/>
        </w:numPr>
        <w:spacing w:line="360" w:lineRule="auto"/>
        <w:jc w:val="both"/>
        <w:rPr>
          <w:rFonts w:ascii="Arial" w:eastAsia="Times New Roman" w:hAnsi="Arial" w:cs="Arial"/>
          <w:kern w:val="0"/>
          <w:lang w:eastAsia="en-GB"/>
          <w14:ligatures w14:val="none"/>
        </w:rPr>
      </w:pPr>
      <w:r w:rsidRPr="00350EE8">
        <w:rPr>
          <w:rFonts w:ascii="Arial" w:eastAsia="Times New Roman" w:hAnsi="Arial" w:cs="Arial"/>
          <w:kern w:val="0"/>
          <w:lang w:eastAsia="en-GB"/>
          <w14:ligatures w14:val="none"/>
        </w:rPr>
        <w:lastRenderedPageBreak/>
        <w:t>Restructuring Costs: Ongoing operational transformation and site optimization expenses designed to improve long-term margins</w:t>
      </w:r>
      <w:r w:rsidRPr="00350EE8">
        <w:rPr>
          <w:rFonts w:ascii="Arial" w:eastAsia="Times New Roman" w:hAnsi="Arial" w:cs="Arial"/>
          <w:b/>
          <w:bCs/>
          <w:kern w:val="0"/>
          <w:lang w:eastAsia="en-GB"/>
          <w14:ligatures w14:val="none"/>
        </w:rPr>
        <w:t>.</w:t>
      </w:r>
      <w:r w:rsidR="001C44A9" w:rsidRPr="00350EE8">
        <w:rPr>
          <w:rFonts w:ascii="Arial" w:eastAsia="Times New Roman" w:hAnsi="Arial" w:cs="Arial"/>
          <w:b/>
          <w:bCs/>
          <w:kern w:val="0"/>
          <w:lang w:eastAsia="en-GB"/>
          <w14:ligatures w14:val="none"/>
        </w:rPr>
        <w:t xml:space="preserve"> </w:t>
      </w:r>
      <w:r w:rsidR="00312566" w:rsidRPr="00266484">
        <w:rPr>
          <w:rFonts w:ascii="Arial" w:eastAsia="Times New Roman" w:hAnsi="Arial" w:cs="Arial"/>
          <w:kern w:val="0"/>
          <w:lang w:eastAsia="en-GB"/>
          <w14:ligatures w14:val="none"/>
        </w:rPr>
        <w:t>GSK is axing up to around 350 research and development jobs across the US and UK as part of an ongoing overhaul of the division</w:t>
      </w:r>
      <w:r w:rsidR="007D50CC" w:rsidRPr="00266484">
        <w:rPr>
          <w:rFonts w:ascii="Arial" w:eastAsia="Times New Roman" w:hAnsi="Arial" w:cs="Arial"/>
          <w:kern w:val="0"/>
          <w:lang w:eastAsia="en-GB"/>
          <w14:ligatures w14:val="none"/>
        </w:rPr>
        <w:t xml:space="preserve"> (</w:t>
      </w:r>
      <w:r w:rsidR="007D50CC" w:rsidRPr="00266484">
        <w:rPr>
          <w:rFonts w:ascii="Arial" w:eastAsia="Times New Roman" w:hAnsi="Arial" w:cs="Arial"/>
          <w:color w:val="FF0000"/>
          <w:kern w:val="0"/>
          <w:lang w:eastAsia="en-GB"/>
          <w14:ligatures w14:val="none"/>
        </w:rPr>
        <w:t>Williams, 2026</w:t>
      </w:r>
      <w:r w:rsidR="007D50CC" w:rsidRPr="00266484">
        <w:rPr>
          <w:rFonts w:ascii="Arial" w:eastAsia="Times New Roman" w:hAnsi="Arial" w:cs="Arial"/>
          <w:kern w:val="0"/>
          <w:lang w:eastAsia="en-GB"/>
          <w14:ligatures w14:val="none"/>
        </w:rPr>
        <w:t>)</w:t>
      </w:r>
      <w:r w:rsidR="00750841" w:rsidRPr="00266484">
        <w:rPr>
          <w:rFonts w:ascii="Arial" w:eastAsia="Times New Roman" w:hAnsi="Arial" w:cs="Arial"/>
          <w:kern w:val="0"/>
          <w:lang w:eastAsia="en-GB"/>
          <w14:ligatures w14:val="none"/>
        </w:rPr>
        <w:t>.</w:t>
      </w:r>
    </w:p>
    <w:p w14:paraId="14BF4878" w14:textId="77777777" w:rsidR="00750841" w:rsidRPr="00750841" w:rsidRDefault="00750841" w:rsidP="00750841">
      <w:pPr>
        <w:rPr>
          <w:rFonts w:ascii="Times New Roman" w:eastAsia="Times New Roman" w:hAnsi="Times New Roman" w:cs="Times New Roman"/>
          <w:kern w:val="0"/>
          <w:lang w:eastAsia="en-GB"/>
          <w14:ligatures w14:val="none"/>
        </w:rPr>
      </w:pPr>
    </w:p>
    <w:p w14:paraId="56C25A23" w14:textId="6EC071C1" w:rsidR="00012927" w:rsidRPr="00C26FA4" w:rsidRDefault="00012927" w:rsidP="00F87138">
      <w:pPr>
        <w:spacing w:before="100" w:beforeAutospacing="1" w:after="100" w:afterAutospacing="1" w:line="360" w:lineRule="auto"/>
        <w:ind w:left="284"/>
        <w:jc w:val="both"/>
        <w:rPr>
          <w:rFonts w:ascii="Arial" w:eastAsia="Times New Roman" w:hAnsi="Arial" w:cs="Arial"/>
          <w:kern w:val="0"/>
          <w:lang w:eastAsia="en-GB"/>
          <w14:ligatures w14:val="none"/>
        </w:rPr>
      </w:pPr>
      <w:r w:rsidRPr="00C26FA4">
        <w:rPr>
          <w:rFonts w:ascii="Arial" w:eastAsia="Times New Roman" w:hAnsi="Arial" w:cs="Arial"/>
          <w:kern w:val="0"/>
          <w:lang w:eastAsia="en-GB"/>
          <w14:ligatures w14:val="none"/>
        </w:rPr>
        <w:t>Variable costs increase with production and sales volumes and include raw materials, active pharmaceutical ingredients, packaging, distribution, logistics, and certain marketing expenses</w:t>
      </w:r>
      <w:r w:rsidR="00E828CC">
        <w:rPr>
          <w:rFonts w:ascii="Arial" w:eastAsia="Times New Roman" w:hAnsi="Arial" w:cs="Arial"/>
          <w:kern w:val="0"/>
          <w:lang w:eastAsia="en-GB"/>
          <w14:ligatures w14:val="none"/>
        </w:rPr>
        <w:t xml:space="preserve">. </w:t>
      </w:r>
      <w:r w:rsidRPr="00C26FA4">
        <w:rPr>
          <w:rFonts w:ascii="Arial" w:eastAsia="Times New Roman" w:hAnsi="Arial" w:cs="Arial"/>
          <w:kern w:val="0"/>
          <w:lang w:eastAsia="en-GB"/>
          <w14:ligatures w14:val="none"/>
        </w:rPr>
        <w:t>Vaccine production also requires speciali</w:t>
      </w:r>
      <w:r w:rsidR="0012148F">
        <w:rPr>
          <w:rFonts w:ascii="Arial" w:eastAsia="Times New Roman" w:hAnsi="Arial" w:cs="Arial"/>
          <w:kern w:val="0"/>
          <w:lang w:eastAsia="en-GB"/>
          <w14:ligatures w14:val="none"/>
        </w:rPr>
        <w:t>s</w:t>
      </w:r>
      <w:r w:rsidRPr="00C26FA4">
        <w:rPr>
          <w:rFonts w:ascii="Arial" w:eastAsia="Times New Roman" w:hAnsi="Arial" w:cs="Arial"/>
          <w:kern w:val="0"/>
          <w:lang w:eastAsia="en-GB"/>
          <w14:ligatures w14:val="none"/>
        </w:rPr>
        <w:t>ed biological inputs that vary according to output levels. However, once a medicine has been developed and approved, the marginal cost of producing additional units is relatively low compared with the original R&amp;D investment. As a result, pharmaceutical firms often benefit from economies of scale and relatively high profit margins on successful products</w:t>
      </w:r>
      <w:r>
        <w:rPr>
          <w:rFonts w:ascii="Arial" w:eastAsia="Times New Roman" w:hAnsi="Arial" w:cs="Arial"/>
          <w:kern w:val="0"/>
          <w:lang w:eastAsia="en-GB"/>
          <w14:ligatures w14:val="none"/>
        </w:rPr>
        <w:t>.</w:t>
      </w:r>
      <w:r w:rsidRPr="00C26FA4">
        <w:rPr>
          <w:rFonts w:ascii="Arial" w:eastAsia="Times New Roman" w:hAnsi="Arial" w:cs="Arial"/>
          <w:kern w:val="0"/>
          <w:lang w:eastAsia="en-GB"/>
          <w14:ligatures w14:val="none"/>
        </w:rPr>
        <w:t xml:space="preserve"> </w:t>
      </w:r>
    </w:p>
    <w:p w14:paraId="1D58E458" w14:textId="79F91FF5" w:rsidR="001248F3" w:rsidRDefault="00012927" w:rsidP="008775D2">
      <w:pPr>
        <w:spacing w:before="100" w:beforeAutospacing="1" w:after="100" w:afterAutospacing="1" w:line="360" w:lineRule="auto"/>
        <w:ind w:left="284"/>
        <w:jc w:val="both"/>
        <w:rPr>
          <w:rFonts w:ascii="Arial" w:eastAsia="Times New Roman" w:hAnsi="Arial" w:cs="Arial"/>
          <w:kern w:val="0"/>
          <w:lang w:eastAsia="en-GB"/>
          <w14:ligatures w14:val="none"/>
        </w:rPr>
      </w:pPr>
      <w:r w:rsidRPr="00C26FA4">
        <w:rPr>
          <w:rFonts w:ascii="Arial" w:eastAsia="Times New Roman" w:hAnsi="Arial" w:cs="Arial"/>
          <w:kern w:val="0"/>
          <w:lang w:eastAsia="en-GB"/>
          <w14:ligatures w14:val="none"/>
        </w:rPr>
        <w:t>Overall, GSK’s business model is characteri</w:t>
      </w:r>
      <w:r w:rsidR="00525EAA">
        <w:rPr>
          <w:rFonts w:ascii="Arial" w:eastAsia="Times New Roman" w:hAnsi="Arial" w:cs="Arial"/>
          <w:kern w:val="0"/>
          <w:lang w:eastAsia="en-GB"/>
          <w14:ligatures w14:val="none"/>
        </w:rPr>
        <w:t>s</w:t>
      </w:r>
      <w:r w:rsidRPr="00C26FA4">
        <w:rPr>
          <w:rFonts w:ascii="Arial" w:eastAsia="Times New Roman" w:hAnsi="Arial" w:cs="Arial"/>
          <w:kern w:val="0"/>
          <w:lang w:eastAsia="en-GB"/>
          <w14:ligatures w14:val="none"/>
        </w:rPr>
        <w:t xml:space="preserve">ed by high fixed costs associated with innovation and comparatively lower variable production costs. Consequently, long-term success depends on maintaining a strong pipeline of patented medicines and vaccines capable of generating sufficient revenue to recover substantial R&amp;D investments and support future growth </w:t>
      </w:r>
      <w:r w:rsidRPr="00C26FA4">
        <w:rPr>
          <w:rFonts w:ascii="Arial" w:eastAsia="Times New Roman" w:hAnsi="Arial" w:cs="Arial"/>
          <w:b/>
          <w:bCs/>
          <w:kern w:val="0"/>
          <w:lang w:eastAsia="en-GB"/>
          <w14:ligatures w14:val="none"/>
        </w:rPr>
        <w:t>(</w:t>
      </w:r>
      <w:r w:rsidRPr="00C26FA4">
        <w:rPr>
          <w:rFonts w:ascii="Arial" w:eastAsia="Times New Roman" w:hAnsi="Arial" w:cs="Arial"/>
          <w:color w:val="FF0000"/>
          <w:kern w:val="0"/>
          <w:lang w:eastAsia="en-GB"/>
          <w14:ligatures w14:val="none"/>
        </w:rPr>
        <w:t>Gsk.com, 2025</w:t>
      </w:r>
      <w:r w:rsidRPr="00C26FA4">
        <w:rPr>
          <w:rFonts w:ascii="Arial" w:eastAsia="Times New Roman" w:hAnsi="Arial" w:cs="Arial"/>
          <w:b/>
          <w:bCs/>
          <w:kern w:val="0"/>
          <w:lang w:eastAsia="en-GB"/>
          <w14:ligatures w14:val="none"/>
        </w:rPr>
        <w:t>)</w:t>
      </w:r>
      <w:r w:rsidRPr="00C26FA4">
        <w:rPr>
          <w:rFonts w:ascii="Arial" w:eastAsia="Times New Roman" w:hAnsi="Arial" w:cs="Arial"/>
          <w:kern w:val="0"/>
          <w:lang w:eastAsia="en-GB"/>
          <w14:ligatures w14:val="none"/>
        </w:rPr>
        <w:t>.</w:t>
      </w:r>
    </w:p>
    <w:p w14:paraId="6670A9E6" w14:textId="4A5813BA" w:rsidR="00FE2199" w:rsidRPr="00235A79" w:rsidRDefault="00FE2199" w:rsidP="00235A79">
      <w:pPr>
        <w:pStyle w:val="Heading1"/>
        <w:rPr>
          <w:rFonts w:ascii="Arial" w:eastAsia="Times New Roman" w:hAnsi="Arial" w:cs="Arial"/>
          <w:b/>
          <w:bCs/>
          <w:color w:val="000000" w:themeColor="text1"/>
          <w:sz w:val="24"/>
          <w:szCs w:val="24"/>
          <w:lang w:eastAsia="en-GB"/>
        </w:rPr>
      </w:pPr>
      <w:bookmarkStart w:id="7" w:name="_Toc234881987"/>
      <w:r w:rsidRPr="00235A79">
        <w:rPr>
          <w:rFonts w:ascii="Arial" w:eastAsia="Times New Roman" w:hAnsi="Arial" w:cs="Arial"/>
          <w:b/>
          <w:bCs/>
          <w:color w:val="000000" w:themeColor="text1"/>
          <w:sz w:val="24"/>
          <w:szCs w:val="24"/>
          <w:lang w:eastAsia="en-GB"/>
        </w:rPr>
        <w:t>3</w:t>
      </w:r>
      <w:r w:rsidR="009E0182">
        <w:rPr>
          <w:rFonts w:ascii="Arial" w:eastAsia="Times New Roman" w:hAnsi="Arial" w:cs="Arial"/>
          <w:b/>
          <w:bCs/>
          <w:color w:val="000000" w:themeColor="text1"/>
          <w:sz w:val="24"/>
          <w:szCs w:val="24"/>
          <w:lang w:eastAsia="en-GB"/>
        </w:rPr>
        <w:t>.</w:t>
      </w:r>
      <w:r w:rsidRPr="00235A79">
        <w:rPr>
          <w:rFonts w:ascii="Arial" w:eastAsia="Times New Roman" w:hAnsi="Arial" w:cs="Arial"/>
          <w:b/>
          <w:bCs/>
          <w:color w:val="000000" w:themeColor="text1"/>
          <w:sz w:val="24"/>
          <w:szCs w:val="24"/>
          <w:lang w:eastAsia="en-GB"/>
        </w:rPr>
        <w:t xml:space="preserve"> The Role of Budgeting in GSK's Operations</w:t>
      </w:r>
      <w:bookmarkEnd w:id="7"/>
      <w:r w:rsidRPr="00235A79">
        <w:rPr>
          <w:rFonts w:ascii="Arial" w:eastAsia="Times New Roman" w:hAnsi="Arial" w:cs="Arial"/>
          <w:b/>
          <w:bCs/>
          <w:color w:val="000000" w:themeColor="text1"/>
          <w:sz w:val="24"/>
          <w:szCs w:val="24"/>
          <w:lang w:eastAsia="en-GB"/>
        </w:rPr>
        <w:t xml:space="preserve"> </w:t>
      </w:r>
    </w:p>
    <w:p w14:paraId="0B32C1E6" w14:textId="77777777" w:rsidR="00FE2199" w:rsidRPr="00FE2199" w:rsidRDefault="00FE2199" w:rsidP="00F87138">
      <w:pPr>
        <w:spacing w:before="100" w:beforeAutospacing="1" w:after="100" w:afterAutospacing="1" w:line="360" w:lineRule="auto"/>
        <w:ind w:left="284"/>
        <w:jc w:val="both"/>
        <w:rPr>
          <w:rFonts w:ascii="Arial" w:eastAsia="Times New Roman" w:hAnsi="Arial" w:cs="Arial"/>
          <w:kern w:val="0"/>
          <w:lang w:eastAsia="en-GB"/>
          <w14:ligatures w14:val="none"/>
        </w:rPr>
      </w:pPr>
      <w:r w:rsidRPr="00FE2199">
        <w:rPr>
          <w:rFonts w:ascii="Arial" w:eastAsia="Times New Roman" w:hAnsi="Arial" w:cs="Arial"/>
          <w:kern w:val="0"/>
          <w:lang w:eastAsia="en-GB"/>
          <w14:ligatures w14:val="none"/>
        </w:rPr>
        <w:t xml:space="preserve">Budgeting plays a critical role in GSK's operational and strategic management by enabling the company to allocate resources efficiently, control costs, support research and development (R&amp;D), and achieve long-term financial objectives. As a research-based biopharmaceutical company, GSK operates in an industry characterised by high capital investment, lengthy product development cycles, and significant regulatory requirements. Consequently, budgeting provides a framework for prioritising investment in high-value projects while ensuring financial discipline across the organisation </w:t>
      </w:r>
      <w:r w:rsidRPr="00FE2199">
        <w:rPr>
          <w:rFonts w:ascii="Arial" w:eastAsia="Times New Roman" w:hAnsi="Arial" w:cs="Arial"/>
          <w:b/>
          <w:bCs/>
          <w:kern w:val="0"/>
          <w:lang w:eastAsia="en-GB"/>
          <w14:ligatures w14:val="none"/>
        </w:rPr>
        <w:t>(Drury, 2021; GSK, 2025)</w:t>
      </w:r>
      <w:r w:rsidRPr="00FE2199">
        <w:rPr>
          <w:rFonts w:ascii="Arial" w:eastAsia="Times New Roman" w:hAnsi="Arial" w:cs="Arial"/>
          <w:kern w:val="0"/>
          <w:lang w:eastAsia="en-GB"/>
          <w14:ligatures w14:val="none"/>
        </w:rPr>
        <w:t>.</w:t>
      </w:r>
    </w:p>
    <w:p w14:paraId="35454E8D" w14:textId="77777777" w:rsidR="00FE2199" w:rsidRPr="00FE2199" w:rsidRDefault="00FE2199" w:rsidP="00F87138">
      <w:pPr>
        <w:spacing w:before="100" w:beforeAutospacing="1" w:after="100" w:afterAutospacing="1" w:line="360" w:lineRule="auto"/>
        <w:ind w:left="284"/>
        <w:jc w:val="both"/>
        <w:rPr>
          <w:rFonts w:ascii="Arial" w:eastAsia="Times New Roman" w:hAnsi="Arial" w:cs="Arial"/>
          <w:kern w:val="0"/>
          <w:lang w:eastAsia="en-GB"/>
          <w14:ligatures w14:val="none"/>
        </w:rPr>
      </w:pPr>
      <w:r w:rsidRPr="00FE2199">
        <w:rPr>
          <w:rFonts w:ascii="Arial" w:eastAsia="Times New Roman" w:hAnsi="Arial" w:cs="Arial"/>
          <w:kern w:val="0"/>
          <w:lang w:eastAsia="en-GB"/>
          <w14:ligatures w14:val="none"/>
        </w:rPr>
        <w:t xml:space="preserve">One of GSK's largest budget allocations is directed towards </w:t>
      </w:r>
      <w:r w:rsidRPr="00FE2199">
        <w:rPr>
          <w:rFonts w:ascii="Arial" w:eastAsia="Times New Roman" w:hAnsi="Arial" w:cs="Arial"/>
          <w:b/>
          <w:bCs/>
          <w:kern w:val="0"/>
          <w:lang w:eastAsia="en-GB"/>
          <w14:ligatures w14:val="none"/>
        </w:rPr>
        <w:t>research and development (R&amp;D)</w:t>
      </w:r>
      <w:r w:rsidRPr="00FE2199">
        <w:rPr>
          <w:rFonts w:ascii="Arial" w:eastAsia="Times New Roman" w:hAnsi="Arial" w:cs="Arial"/>
          <w:kern w:val="0"/>
          <w:lang w:eastAsia="en-GB"/>
          <w14:ligatures w14:val="none"/>
        </w:rPr>
        <w:t xml:space="preserve">, which is essential for maintaining a competitive pipeline of medicines and vaccines. Budget planning enables management to evaluate </w:t>
      </w:r>
      <w:r w:rsidRPr="00FE2199">
        <w:rPr>
          <w:rFonts w:ascii="Arial" w:eastAsia="Times New Roman" w:hAnsi="Arial" w:cs="Arial"/>
          <w:kern w:val="0"/>
          <w:lang w:eastAsia="en-GB"/>
          <w14:ligatures w14:val="none"/>
        </w:rPr>
        <w:lastRenderedPageBreak/>
        <w:t xml:space="preserve">investment opportunities, forecast future cash flows, and allocate funding to clinical trials, manufacturing capacity, regulatory compliance, and commercial activities. Budgeting also supports performance evaluation by comparing actual expenditure with planned expenditure, allowing management to identify variances and implement corrective actions </w:t>
      </w:r>
      <w:r w:rsidRPr="00FE2199">
        <w:rPr>
          <w:rFonts w:ascii="Arial" w:eastAsia="Times New Roman" w:hAnsi="Arial" w:cs="Arial"/>
          <w:b/>
          <w:bCs/>
          <w:kern w:val="0"/>
          <w:lang w:eastAsia="en-GB"/>
          <w14:ligatures w14:val="none"/>
        </w:rPr>
        <w:t>(GSK, 2025)</w:t>
      </w:r>
      <w:r w:rsidRPr="00FE2199">
        <w:rPr>
          <w:rFonts w:ascii="Arial" w:eastAsia="Times New Roman" w:hAnsi="Arial" w:cs="Arial"/>
          <w:kern w:val="0"/>
          <w:lang w:eastAsia="en-GB"/>
          <w14:ligatures w14:val="none"/>
        </w:rPr>
        <w:t>.</w:t>
      </w:r>
    </w:p>
    <w:p w14:paraId="3EE34154" w14:textId="77777777" w:rsidR="00FE2199" w:rsidRPr="00FE2199" w:rsidRDefault="00FE2199" w:rsidP="00F87138">
      <w:pPr>
        <w:spacing w:before="100" w:beforeAutospacing="1" w:after="100" w:afterAutospacing="1" w:line="360" w:lineRule="auto"/>
        <w:ind w:left="284"/>
        <w:jc w:val="both"/>
        <w:rPr>
          <w:rFonts w:ascii="Arial" w:eastAsia="Times New Roman" w:hAnsi="Arial" w:cs="Arial"/>
          <w:kern w:val="0"/>
          <w:lang w:eastAsia="en-GB"/>
          <w14:ligatures w14:val="none"/>
        </w:rPr>
      </w:pPr>
      <w:r w:rsidRPr="00FE2199">
        <w:rPr>
          <w:rFonts w:ascii="Arial" w:eastAsia="Times New Roman" w:hAnsi="Arial" w:cs="Arial"/>
          <w:kern w:val="0"/>
          <w:lang w:eastAsia="en-GB"/>
          <w14:ligatures w14:val="none"/>
        </w:rPr>
        <w:t xml:space="preserve"> </w:t>
      </w:r>
    </w:p>
    <w:p w14:paraId="2F4DFFA5" w14:textId="6DC950E6" w:rsidR="00FE2199" w:rsidRPr="00FE2199" w:rsidRDefault="00FE2199" w:rsidP="0005203A">
      <w:pPr>
        <w:spacing w:before="100" w:beforeAutospacing="1" w:after="100" w:afterAutospacing="1" w:line="360" w:lineRule="auto"/>
        <w:ind w:left="284"/>
        <w:jc w:val="both"/>
        <w:rPr>
          <w:rFonts w:ascii="Arial" w:eastAsia="Times New Roman" w:hAnsi="Arial" w:cs="Arial"/>
          <w:kern w:val="0"/>
          <w:lang w:eastAsia="en-GB"/>
          <w14:ligatures w14:val="none"/>
        </w:rPr>
      </w:pPr>
      <w:r w:rsidRPr="00FE2199">
        <w:rPr>
          <w:rFonts w:ascii="Arial" w:eastAsia="Times New Roman" w:hAnsi="Arial" w:cs="Arial"/>
          <w:kern w:val="0"/>
          <w:lang w:eastAsia="en-GB"/>
          <w14:ligatures w14:val="none"/>
        </w:rPr>
        <w:t xml:space="preserve">The year-on-year change in operating expenses reported in GSK’s 2025 Annual Financial Statement reflects a notable decline compared with 2024, signalling both internal managerial actions and external macroeconomic influences. </w:t>
      </w:r>
      <w:r w:rsidR="007B3283" w:rsidRPr="007B3283">
        <w:rPr>
          <w:rFonts w:ascii="Arial" w:eastAsia="Times New Roman" w:hAnsi="Arial" w:cs="Arial"/>
          <w:kern w:val="0"/>
          <w:lang w:eastAsia="en-GB"/>
          <w14:ligatures w14:val="none"/>
        </w:rPr>
        <w:t xml:space="preserve">According to </w:t>
      </w:r>
      <w:r w:rsidR="007B3283" w:rsidRPr="007B3283">
        <w:rPr>
          <w:rFonts w:ascii="Arial" w:eastAsia="Times New Roman" w:hAnsi="Arial" w:cs="Arial"/>
          <w:b/>
          <w:bCs/>
          <w:kern w:val="0"/>
          <w:lang w:eastAsia="en-GB"/>
          <w14:ligatures w14:val="none"/>
        </w:rPr>
        <w:t>Google Finance</w:t>
      </w:r>
      <w:r w:rsidR="007B3283" w:rsidRPr="007B3283">
        <w:rPr>
          <w:rFonts w:ascii="Arial" w:eastAsia="Times New Roman" w:hAnsi="Arial" w:cs="Arial"/>
          <w:kern w:val="0"/>
          <w:lang w:eastAsia="en-GB"/>
          <w14:ligatures w14:val="none"/>
        </w:rPr>
        <w:t xml:space="preserve"> and GSK's 2025 Annual Report, GSK's operating expenses </w:t>
      </w:r>
      <w:r w:rsidR="007B3283" w:rsidRPr="007B3283">
        <w:rPr>
          <w:rFonts w:ascii="Arial" w:eastAsia="Times New Roman" w:hAnsi="Arial" w:cs="Arial"/>
          <w:b/>
          <w:bCs/>
          <w:kern w:val="0"/>
          <w:lang w:eastAsia="en-GB"/>
          <w14:ligatures w14:val="none"/>
        </w:rPr>
        <w:t>declined year-on-year</w:t>
      </w:r>
      <w:r w:rsidR="007B3283" w:rsidRPr="007B3283">
        <w:rPr>
          <w:rFonts w:ascii="Arial" w:eastAsia="Times New Roman" w:hAnsi="Arial" w:cs="Arial"/>
          <w:kern w:val="0"/>
          <w:lang w:eastAsia="en-GB"/>
          <w14:ligatures w14:val="none"/>
        </w:rPr>
        <w:t xml:space="preserve">. Operating expenses decreased from approximately </w:t>
      </w:r>
      <w:r w:rsidR="007B3283" w:rsidRPr="007B3283">
        <w:rPr>
          <w:rFonts w:ascii="Arial" w:eastAsia="Times New Roman" w:hAnsi="Arial" w:cs="Arial"/>
          <w:b/>
          <w:bCs/>
          <w:kern w:val="0"/>
          <w:lang w:eastAsia="en-GB"/>
          <w14:ligatures w14:val="none"/>
        </w:rPr>
        <w:t>US$34.96 billion in 2024 to US$32.62 billion in 2025</w:t>
      </w:r>
      <w:r w:rsidR="007B3283" w:rsidRPr="007B3283">
        <w:rPr>
          <w:rFonts w:ascii="Arial" w:eastAsia="Times New Roman" w:hAnsi="Arial" w:cs="Arial"/>
          <w:kern w:val="0"/>
          <w:lang w:eastAsia="en-GB"/>
          <w14:ligatures w14:val="none"/>
        </w:rPr>
        <w:t xml:space="preserve">, representing a reduction of around </w:t>
      </w:r>
      <w:r w:rsidR="007B3283" w:rsidRPr="007B3283">
        <w:rPr>
          <w:rFonts w:ascii="Arial" w:eastAsia="Times New Roman" w:hAnsi="Arial" w:cs="Arial"/>
          <w:b/>
          <w:bCs/>
          <w:kern w:val="0"/>
          <w:lang w:eastAsia="en-GB"/>
          <w14:ligatures w14:val="none"/>
        </w:rPr>
        <w:t>6.7%</w:t>
      </w:r>
      <w:r w:rsidR="007B3283" w:rsidRPr="007B3283">
        <w:rPr>
          <w:rFonts w:ascii="Arial" w:eastAsia="Times New Roman" w:hAnsi="Arial" w:cs="Arial"/>
          <w:kern w:val="0"/>
          <w:lang w:eastAsia="en-GB"/>
          <w14:ligatures w14:val="none"/>
        </w:rPr>
        <w:t xml:space="preserve"> </w:t>
      </w:r>
      <w:r w:rsidR="007B3283" w:rsidRPr="00356634">
        <w:rPr>
          <w:rFonts w:ascii="Arial" w:eastAsia="Times New Roman" w:hAnsi="Arial" w:cs="Arial"/>
          <w:color w:val="FF0000"/>
          <w:kern w:val="0"/>
          <w:lang w:eastAsia="en-GB"/>
          <w14:ligatures w14:val="none"/>
        </w:rPr>
        <w:t>(Macrotrends</w:t>
      </w:r>
      <w:r w:rsidR="00356634">
        <w:rPr>
          <w:rFonts w:ascii="Arial" w:eastAsia="Times New Roman" w:hAnsi="Arial" w:cs="Arial"/>
          <w:color w:val="FF0000"/>
          <w:kern w:val="0"/>
          <w:lang w:eastAsia="en-GB"/>
          <w14:ligatures w14:val="none"/>
        </w:rPr>
        <w:t>,</w:t>
      </w:r>
      <w:r w:rsidR="007B3283" w:rsidRPr="00356634">
        <w:rPr>
          <w:rFonts w:ascii="Arial" w:eastAsia="Times New Roman" w:hAnsi="Arial" w:cs="Arial"/>
          <w:color w:val="FF0000"/>
          <w:kern w:val="0"/>
          <w:lang w:eastAsia="en-GB"/>
          <w14:ligatures w14:val="none"/>
        </w:rPr>
        <w:t xml:space="preserve"> 2026</w:t>
      </w:r>
      <w:r w:rsidR="007B3283" w:rsidRPr="007B3283">
        <w:rPr>
          <w:rFonts w:ascii="Arial" w:eastAsia="Times New Roman" w:hAnsi="Arial" w:cs="Arial"/>
          <w:kern w:val="0"/>
          <w:lang w:eastAsia="en-GB"/>
          <w14:ligatures w14:val="none"/>
        </w:rPr>
        <w:t xml:space="preserve">). </w:t>
      </w:r>
      <w:r w:rsidRPr="00FE2199">
        <w:rPr>
          <w:rFonts w:ascii="Arial" w:eastAsia="Times New Roman" w:hAnsi="Arial" w:cs="Arial"/>
          <w:kern w:val="0"/>
          <w:lang w:eastAsia="en-GB"/>
          <w14:ligatures w14:val="none"/>
        </w:rPr>
        <w:t>This reduction is primarily attributed to lower significant legal charges and contingent consideration liabilities, which had materially inflated operating costs in the prior year. The company’s management emphasised improved SG&amp;A (selling, general, and administrative expenses)</w:t>
      </w:r>
      <w:r w:rsidR="00945AB9">
        <w:rPr>
          <w:rFonts w:ascii="Arial" w:eastAsia="Times New Roman" w:hAnsi="Arial" w:cs="Arial"/>
          <w:kern w:val="0"/>
          <w:lang w:eastAsia="en-GB"/>
          <w14:ligatures w14:val="none"/>
        </w:rPr>
        <w:t xml:space="preserve"> </w:t>
      </w:r>
      <w:r w:rsidRPr="00FE2199">
        <w:rPr>
          <w:rFonts w:ascii="Arial" w:eastAsia="Times New Roman" w:hAnsi="Arial" w:cs="Arial"/>
          <w:kern w:val="0"/>
          <w:lang w:eastAsia="en-GB"/>
          <w14:ligatures w14:val="none"/>
        </w:rPr>
        <w:t>productivity and more disciplined allocation of research and development expenditure, indicating a strategic shift towards cost efficiency and targeted investment in late-stage pipeline assets (GSK, 2025).</w:t>
      </w:r>
    </w:p>
    <w:p w14:paraId="5E552565" w14:textId="6C190D1B" w:rsidR="00FE2199" w:rsidRPr="00FE2199" w:rsidRDefault="00FE2199" w:rsidP="00F87138">
      <w:pPr>
        <w:spacing w:before="100" w:beforeAutospacing="1" w:after="100" w:afterAutospacing="1" w:line="360" w:lineRule="auto"/>
        <w:ind w:left="284"/>
        <w:jc w:val="both"/>
        <w:rPr>
          <w:rFonts w:ascii="Arial" w:eastAsia="Times New Roman" w:hAnsi="Arial" w:cs="Arial"/>
          <w:kern w:val="0"/>
          <w:lang w:eastAsia="en-GB"/>
          <w14:ligatures w14:val="none"/>
        </w:rPr>
      </w:pPr>
      <w:r w:rsidRPr="00FE2199">
        <w:rPr>
          <w:rFonts w:ascii="Arial" w:eastAsia="Times New Roman" w:hAnsi="Arial" w:cs="Arial"/>
          <w:kern w:val="0"/>
          <w:lang w:eastAsia="en-GB"/>
          <w14:ligatures w14:val="none"/>
        </w:rPr>
        <w:t>Internally,</w:t>
      </w:r>
      <w:r w:rsidR="00734B92">
        <w:rPr>
          <w:rFonts w:ascii="Arial" w:eastAsia="Times New Roman" w:hAnsi="Arial" w:cs="Arial"/>
          <w:kern w:val="0"/>
          <w:lang w:eastAsia="en-GB"/>
          <w14:ligatures w14:val="none"/>
        </w:rPr>
        <w:t xml:space="preserve"> </w:t>
      </w:r>
      <w:proofErr w:type="gramStart"/>
      <w:r w:rsidRPr="00FE2199">
        <w:rPr>
          <w:rFonts w:ascii="Arial" w:eastAsia="Times New Roman" w:hAnsi="Arial" w:cs="Arial"/>
          <w:kern w:val="0"/>
          <w:lang w:eastAsia="en-GB"/>
          <w14:ligatures w14:val="none"/>
        </w:rPr>
        <w:t>GSK’s</w:t>
      </w:r>
      <w:proofErr w:type="gramEnd"/>
      <w:r w:rsidRPr="00FE2199">
        <w:rPr>
          <w:rFonts w:ascii="Arial" w:eastAsia="Times New Roman" w:hAnsi="Arial" w:cs="Arial"/>
          <w:kern w:val="0"/>
          <w:lang w:eastAsia="en-GB"/>
          <w14:ligatures w14:val="none"/>
        </w:rPr>
        <w:t xml:space="preserve"> continued focus on high-margin Specialty Medicines contributed to enhanced operating leverage. The strong commercial performance of this portfolio segment enabled the organisation to sustain revenue growth without proportionate increases in operating costs. This aligns with broader strategic trends in the pharmaceutical sector, where firms increasingly prioritise specialised therapeutics to improve profitability (PwC, 2024).</w:t>
      </w:r>
    </w:p>
    <w:p w14:paraId="03888656" w14:textId="77777777" w:rsidR="00FE2199" w:rsidRPr="00FE2199" w:rsidRDefault="00FE2199" w:rsidP="00F87138">
      <w:pPr>
        <w:spacing w:before="100" w:beforeAutospacing="1" w:after="100" w:afterAutospacing="1" w:line="360" w:lineRule="auto"/>
        <w:ind w:left="284"/>
        <w:jc w:val="both"/>
        <w:rPr>
          <w:rFonts w:ascii="Arial" w:eastAsia="Times New Roman" w:hAnsi="Arial" w:cs="Arial"/>
          <w:kern w:val="0"/>
          <w:lang w:eastAsia="en-GB"/>
          <w14:ligatures w14:val="none"/>
        </w:rPr>
      </w:pPr>
      <w:r w:rsidRPr="00FE2199">
        <w:rPr>
          <w:rFonts w:ascii="Arial" w:eastAsia="Times New Roman" w:hAnsi="Arial" w:cs="Arial"/>
          <w:kern w:val="0"/>
          <w:lang w:eastAsia="en-GB"/>
          <w14:ligatures w14:val="none"/>
        </w:rPr>
        <w:t xml:space="preserve">Externally, macroeconomic conditions also played a role in shaping the reported decline in expenses. Currency movements, particularly the relative strength of sterling, contributed to lower reported costs when translated into US dollars, reflecting the sensitivity of multinational pharmaceutical firms to exchange rate fluctuations. Additionally, global inflationary pressures moderated in 2025, reducing input cost volatility across manufacturing and logistics. The post-pandemic </w:t>
      </w:r>
      <w:r w:rsidRPr="00FE2199">
        <w:rPr>
          <w:rFonts w:ascii="Arial" w:eastAsia="Times New Roman" w:hAnsi="Arial" w:cs="Arial"/>
          <w:kern w:val="0"/>
          <w:lang w:eastAsia="en-GB"/>
          <w14:ligatures w14:val="none"/>
        </w:rPr>
        <w:lastRenderedPageBreak/>
        <w:t>stabilisation of healthcare demand further eased operational pressures, allowing GSK to normalise expenditure following the heightened legal and restructuring costs experienced in 2024.</w:t>
      </w:r>
    </w:p>
    <w:p w14:paraId="270F3BF8" w14:textId="23BC4CDD" w:rsidR="00711968" w:rsidRDefault="00FE2199" w:rsidP="004833A1">
      <w:pPr>
        <w:spacing w:before="100" w:beforeAutospacing="1" w:after="100" w:afterAutospacing="1" w:line="360" w:lineRule="auto"/>
        <w:ind w:left="284"/>
        <w:jc w:val="both"/>
        <w:rPr>
          <w:rFonts w:ascii="Arial" w:eastAsia="Times New Roman" w:hAnsi="Arial" w:cs="Arial"/>
          <w:kern w:val="0"/>
          <w:lang w:eastAsia="en-GB"/>
          <w14:ligatures w14:val="none"/>
        </w:rPr>
      </w:pPr>
      <w:r w:rsidRPr="00FE2199">
        <w:rPr>
          <w:rFonts w:ascii="Arial" w:eastAsia="Times New Roman" w:hAnsi="Arial" w:cs="Arial"/>
          <w:kern w:val="0"/>
          <w:lang w:eastAsia="en-GB"/>
          <w14:ligatures w14:val="none"/>
        </w:rPr>
        <w:t>Overall, the decline in operating expenses in 2025 demonstrates a combination of effective managerial cost control and favourable external conditions. These developments strengthened GSK’s operating margin and positioned the company for improved financial resilience and strategic growth in subsequent periods.</w:t>
      </w:r>
    </w:p>
    <w:p w14:paraId="454025B7" w14:textId="18532FA9" w:rsidR="00711968" w:rsidRPr="004833A1" w:rsidRDefault="00711968" w:rsidP="008775D2">
      <w:pPr>
        <w:pStyle w:val="Heading1"/>
        <w:rPr>
          <w:rFonts w:ascii="Arial" w:hAnsi="Arial" w:cs="Arial"/>
          <w:b/>
          <w:bCs/>
          <w:sz w:val="24"/>
          <w:szCs w:val="24"/>
        </w:rPr>
      </w:pPr>
      <w:bookmarkStart w:id="8" w:name="_Toc234881988"/>
      <w:r w:rsidRPr="004833A1">
        <w:rPr>
          <w:rFonts w:ascii="Arial" w:hAnsi="Arial" w:cs="Arial"/>
          <w:b/>
          <w:bCs/>
          <w:color w:val="000000" w:themeColor="text1"/>
          <w:sz w:val="24"/>
          <w:szCs w:val="24"/>
        </w:rPr>
        <w:t>4</w:t>
      </w:r>
      <w:r w:rsidR="009E0182">
        <w:rPr>
          <w:rFonts w:ascii="Arial" w:hAnsi="Arial" w:cs="Arial"/>
          <w:b/>
          <w:bCs/>
          <w:color w:val="000000" w:themeColor="text1"/>
          <w:sz w:val="24"/>
          <w:szCs w:val="24"/>
        </w:rPr>
        <w:t>.</w:t>
      </w:r>
      <w:r w:rsidRPr="004833A1">
        <w:rPr>
          <w:rFonts w:ascii="Arial" w:hAnsi="Arial" w:cs="Arial"/>
          <w:b/>
          <w:bCs/>
          <w:color w:val="000000" w:themeColor="text1"/>
          <w:sz w:val="24"/>
          <w:szCs w:val="24"/>
        </w:rPr>
        <w:t xml:space="preserve"> GSK’s Performance Measurement and Decision Making</w:t>
      </w:r>
      <w:bookmarkEnd w:id="8"/>
      <w:r w:rsidRPr="004833A1">
        <w:rPr>
          <w:rFonts w:ascii="Arial" w:hAnsi="Arial" w:cs="Arial"/>
          <w:b/>
          <w:bCs/>
          <w:sz w:val="24"/>
          <w:szCs w:val="24"/>
        </w:rPr>
        <w:t xml:space="preserve"> </w:t>
      </w:r>
    </w:p>
    <w:p w14:paraId="19C40798" w14:textId="77777777" w:rsidR="00DA2A64" w:rsidRPr="00DA2A64" w:rsidRDefault="00DA2A64" w:rsidP="005C7577">
      <w:pPr>
        <w:spacing w:after="0" w:line="360" w:lineRule="auto"/>
        <w:ind w:left="284"/>
        <w:jc w:val="both"/>
        <w:rPr>
          <w:rFonts w:ascii="Arial" w:hAnsi="Arial" w:cs="Arial"/>
        </w:rPr>
      </w:pPr>
      <w:r w:rsidRPr="00DA2A64">
        <w:rPr>
          <w:rFonts w:ascii="Arial" w:hAnsi="Arial" w:cs="Arial"/>
        </w:rPr>
        <w:t>Key Performance Indicators (KPIs) are quantifiable measures used to assess whether an organisation, business unit, or project is achieving its strategic objectives. In strategic management, KPIs provide an evidence</w:t>
      </w:r>
      <w:r w:rsidRPr="00DA2A64">
        <w:rPr>
          <w:rFonts w:ascii="Arial" w:hAnsi="Arial" w:cs="Arial"/>
        </w:rPr>
        <w:noBreakHyphen/>
        <w:t>based foundation for evaluating performance, guiding managerial decisions, and ensuring alignment between operational activities and long</w:t>
      </w:r>
      <w:r w:rsidRPr="00DA2A64">
        <w:rPr>
          <w:rFonts w:ascii="Arial" w:hAnsi="Arial" w:cs="Arial"/>
        </w:rPr>
        <w:noBreakHyphen/>
        <w:t>term goals. For GSK, KPIs are integral to monitoring financial outcomes, innovation capability, sustainability commitments, and organisational effectiveness as the company advances its ambition to be a leading biopharmaceutical firm (</w:t>
      </w:r>
      <w:r w:rsidRPr="00DA2A64">
        <w:rPr>
          <w:rFonts w:ascii="Arial" w:hAnsi="Arial" w:cs="Arial"/>
          <w:color w:val="FF0000"/>
        </w:rPr>
        <w:t>Hennigan, 2024).</w:t>
      </w:r>
    </w:p>
    <w:p w14:paraId="106406AC" w14:textId="77777777" w:rsidR="00DA2A64" w:rsidRPr="00DA2A64" w:rsidRDefault="00DA2A64" w:rsidP="005C7577">
      <w:pPr>
        <w:spacing w:after="0" w:line="360" w:lineRule="auto"/>
        <w:ind w:left="284"/>
        <w:jc w:val="both"/>
        <w:rPr>
          <w:rFonts w:ascii="Arial" w:hAnsi="Arial" w:cs="Arial"/>
        </w:rPr>
      </w:pPr>
      <w:r w:rsidRPr="00DA2A64">
        <w:rPr>
          <w:rFonts w:ascii="Arial" w:hAnsi="Arial" w:cs="Arial"/>
        </w:rPr>
        <w:t xml:space="preserve"> </w:t>
      </w:r>
    </w:p>
    <w:p w14:paraId="6860ADA7" w14:textId="77777777" w:rsidR="00DA2A64" w:rsidRPr="00DA2A64" w:rsidRDefault="00DA2A64" w:rsidP="005C7577">
      <w:pPr>
        <w:spacing w:after="0" w:line="360" w:lineRule="auto"/>
        <w:ind w:left="284"/>
        <w:jc w:val="both"/>
        <w:rPr>
          <w:rFonts w:ascii="Arial" w:hAnsi="Arial" w:cs="Arial"/>
        </w:rPr>
      </w:pPr>
      <w:r w:rsidRPr="00DA2A64">
        <w:rPr>
          <w:rFonts w:ascii="Arial" w:hAnsi="Arial" w:cs="Arial"/>
        </w:rPr>
        <w:t xml:space="preserve">The 2025 Annual Report highlights several KPIs that reflect GSK’s financial strength, research productivity, sustainability commitments, and organisational culture. First, </w:t>
      </w:r>
      <w:r w:rsidRPr="00DA2A64">
        <w:rPr>
          <w:rFonts w:ascii="Arial" w:hAnsi="Arial" w:cs="Arial"/>
          <w:b/>
          <w:bCs/>
        </w:rPr>
        <w:t>Group Turnover</w:t>
      </w:r>
      <w:r w:rsidRPr="00DA2A64">
        <w:rPr>
          <w:rFonts w:ascii="Arial" w:hAnsi="Arial" w:cs="Arial"/>
        </w:rPr>
        <w:t xml:space="preserve"> reached £32.7 billion, representing 4% growth at actual exchange rates and 7% at constant exchange rates. This KPI demonstrates GSK’s ability to expand its market position and generate consistent revenue. Second, </w:t>
      </w:r>
      <w:r w:rsidRPr="00DA2A64">
        <w:rPr>
          <w:rFonts w:ascii="Arial" w:hAnsi="Arial" w:cs="Arial"/>
          <w:b/>
          <w:bCs/>
        </w:rPr>
        <w:t>Core Operating Profit</w:t>
      </w:r>
      <w:r w:rsidRPr="00DA2A64">
        <w:rPr>
          <w:rFonts w:ascii="Arial" w:hAnsi="Arial" w:cs="Arial"/>
        </w:rPr>
        <w:t xml:space="preserve"> increased to £9.8 billion, an 11% CER rise, signalling improved operational efficiency driven by higher sales and targeted productivity initiatives </w:t>
      </w:r>
      <w:bookmarkStart w:id="9" w:name="_Hlk234854646"/>
      <w:r w:rsidRPr="00DA2A64">
        <w:rPr>
          <w:rFonts w:ascii="Arial" w:hAnsi="Arial" w:cs="Arial"/>
          <w:color w:val="FF0000"/>
        </w:rPr>
        <w:t>(</w:t>
      </w:r>
      <w:bookmarkStart w:id="10" w:name="_Hlk234852004"/>
      <w:r w:rsidRPr="00DA2A64">
        <w:rPr>
          <w:rFonts w:ascii="Arial" w:hAnsi="Arial" w:cs="Arial"/>
          <w:color w:val="FF0000"/>
        </w:rPr>
        <w:t>Gsk.com, 2025</w:t>
      </w:r>
      <w:bookmarkEnd w:id="10"/>
      <w:r w:rsidRPr="00DA2A64">
        <w:rPr>
          <w:rFonts w:ascii="Arial" w:hAnsi="Arial" w:cs="Arial"/>
          <w:color w:val="FF0000"/>
        </w:rPr>
        <w:t>)</w:t>
      </w:r>
      <w:bookmarkEnd w:id="9"/>
    </w:p>
    <w:p w14:paraId="5FF2D035" w14:textId="77777777" w:rsidR="00DA2A64" w:rsidRPr="00DA2A64" w:rsidRDefault="00DA2A64" w:rsidP="005C7577">
      <w:pPr>
        <w:spacing w:after="0" w:line="360" w:lineRule="auto"/>
        <w:ind w:left="284"/>
        <w:jc w:val="both"/>
        <w:rPr>
          <w:rFonts w:ascii="Arial" w:hAnsi="Arial" w:cs="Arial"/>
        </w:rPr>
      </w:pPr>
      <w:r w:rsidRPr="00DA2A64">
        <w:rPr>
          <w:rFonts w:ascii="Arial" w:hAnsi="Arial" w:cs="Arial"/>
        </w:rPr>
        <w:t xml:space="preserve"> </w:t>
      </w:r>
    </w:p>
    <w:p w14:paraId="012A7AB8" w14:textId="77777777" w:rsidR="00DA2A64" w:rsidRPr="00DA2A64" w:rsidRDefault="00DA2A64" w:rsidP="005C7577">
      <w:pPr>
        <w:spacing w:after="0" w:line="360" w:lineRule="auto"/>
        <w:ind w:left="284"/>
        <w:jc w:val="both"/>
        <w:rPr>
          <w:rFonts w:ascii="Arial" w:hAnsi="Arial" w:cs="Arial"/>
        </w:rPr>
      </w:pPr>
      <w:r w:rsidRPr="00DA2A64">
        <w:rPr>
          <w:rFonts w:ascii="Arial" w:hAnsi="Arial" w:cs="Arial"/>
        </w:rPr>
        <w:t xml:space="preserve">Innovation performance is measured through the </w:t>
      </w:r>
      <w:r w:rsidRPr="00DA2A64">
        <w:rPr>
          <w:rFonts w:ascii="Arial" w:hAnsi="Arial" w:cs="Arial"/>
          <w:b/>
          <w:bCs/>
        </w:rPr>
        <w:t>R&amp;D Pipeline</w:t>
      </w:r>
      <w:r w:rsidRPr="00DA2A64">
        <w:rPr>
          <w:rFonts w:ascii="Arial" w:hAnsi="Arial" w:cs="Arial"/>
        </w:rPr>
        <w:t>, which in 2025 included 58 pipeline assets, 17 Phase III or registration programmes, five major approvals, and 14 new collaborations and acquisitions. These non</w:t>
      </w:r>
      <w:r w:rsidRPr="00DA2A64">
        <w:rPr>
          <w:rFonts w:ascii="Arial" w:hAnsi="Arial" w:cs="Arial"/>
        </w:rPr>
        <w:noBreakHyphen/>
        <w:t xml:space="preserve">financial KPIs indicate strong future revenue potential and sustained investment in biopharmaceutical innovation </w:t>
      </w:r>
      <w:r w:rsidRPr="00DA2A64">
        <w:rPr>
          <w:rFonts w:ascii="Arial" w:hAnsi="Arial" w:cs="Arial"/>
          <w:color w:val="FF0000"/>
        </w:rPr>
        <w:t>(Gsk.com, 2025)</w:t>
      </w:r>
    </w:p>
    <w:p w14:paraId="55B282D0" w14:textId="77777777" w:rsidR="00DA2A64" w:rsidRPr="00DA2A64" w:rsidRDefault="00DA2A64" w:rsidP="005C7577">
      <w:pPr>
        <w:spacing w:after="0" w:line="360" w:lineRule="auto"/>
        <w:ind w:left="284"/>
        <w:jc w:val="both"/>
        <w:rPr>
          <w:rFonts w:ascii="Arial" w:hAnsi="Arial" w:cs="Arial"/>
        </w:rPr>
      </w:pPr>
      <w:r w:rsidRPr="00DA2A64">
        <w:rPr>
          <w:rFonts w:ascii="Arial" w:hAnsi="Arial" w:cs="Arial"/>
        </w:rPr>
        <w:t xml:space="preserve"> </w:t>
      </w:r>
    </w:p>
    <w:p w14:paraId="3C515894" w14:textId="3500C748" w:rsidR="00DA2A64" w:rsidRPr="00DA2A64" w:rsidRDefault="00DA2A64" w:rsidP="005C7577">
      <w:pPr>
        <w:spacing w:after="0" w:line="360" w:lineRule="auto"/>
        <w:ind w:left="284"/>
        <w:jc w:val="both"/>
        <w:rPr>
          <w:rFonts w:ascii="Arial" w:hAnsi="Arial" w:cs="Arial"/>
        </w:rPr>
      </w:pPr>
      <w:r w:rsidRPr="00DA2A64">
        <w:rPr>
          <w:rFonts w:ascii="Arial" w:hAnsi="Arial" w:cs="Arial"/>
        </w:rPr>
        <w:lastRenderedPageBreak/>
        <w:t xml:space="preserve">GSK’s </w:t>
      </w:r>
      <w:r w:rsidRPr="00DA2A64">
        <w:rPr>
          <w:rFonts w:ascii="Arial" w:hAnsi="Arial" w:cs="Arial"/>
          <w:b/>
          <w:bCs/>
        </w:rPr>
        <w:t>Responsible Business Performance Rating</w:t>
      </w:r>
      <w:r w:rsidRPr="00DA2A64">
        <w:rPr>
          <w:rFonts w:ascii="Arial" w:hAnsi="Arial" w:cs="Arial"/>
        </w:rPr>
        <w:t xml:space="preserve"> reached 92%, covering sustainability, ethics, product governance, inclusion, and global health</w:t>
      </w:r>
      <w:r w:rsidR="00D90E18">
        <w:rPr>
          <w:rFonts w:ascii="Arial" w:hAnsi="Arial" w:cs="Arial"/>
        </w:rPr>
        <w:t xml:space="preserve"> </w:t>
      </w:r>
      <w:r w:rsidRPr="00DA2A64">
        <w:rPr>
          <w:rFonts w:ascii="Arial" w:hAnsi="Arial" w:cs="Arial"/>
          <w:color w:val="FF0000"/>
        </w:rPr>
        <w:t xml:space="preserve">(Gsk.com, 2025a). </w:t>
      </w:r>
      <w:r w:rsidRPr="00DA2A64">
        <w:rPr>
          <w:rFonts w:ascii="Arial" w:hAnsi="Arial" w:cs="Arial"/>
        </w:rPr>
        <w:t xml:space="preserve">The company achieved a 45% reduction in operational carbon emissions from its 2020 baseline, sourced 100% imported renewable electricity, contributed £6 million to the Global Fund through </w:t>
      </w:r>
      <w:proofErr w:type="spellStart"/>
      <w:r w:rsidRPr="00DA2A64">
        <w:rPr>
          <w:rFonts w:ascii="Arial" w:hAnsi="Arial" w:cs="Arial"/>
        </w:rPr>
        <w:t>ViiV</w:t>
      </w:r>
      <w:proofErr w:type="spellEnd"/>
      <w:r w:rsidRPr="00DA2A64">
        <w:rPr>
          <w:rFonts w:ascii="Arial" w:hAnsi="Arial" w:cs="Arial"/>
        </w:rPr>
        <w:t xml:space="preserve"> Healthcare, and supplied 560 million doses to lower</w:t>
      </w:r>
      <w:r w:rsidRPr="00DA2A64">
        <w:rPr>
          <w:rFonts w:ascii="Arial" w:hAnsi="Arial" w:cs="Arial"/>
        </w:rPr>
        <w:noBreakHyphen/>
        <w:t xml:space="preserve">income countries advancing its goal of reaching 1.3 billion people by 2030 (Potter, 2026). Finally, </w:t>
      </w:r>
      <w:r w:rsidRPr="00DA2A64">
        <w:rPr>
          <w:rFonts w:ascii="Arial" w:hAnsi="Arial" w:cs="Arial"/>
          <w:b/>
          <w:bCs/>
        </w:rPr>
        <w:t>Employee Engagement</w:t>
      </w:r>
      <w:r w:rsidRPr="00DA2A64">
        <w:rPr>
          <w:rFonts w:ascii="Arial" w:hAnsi="Arial" w:cs="Arial"/>
        </w:rPr>
        <w:t xml:space="preserve"> remained above 80% for the third consecutive year, reflecting strong organisational culture, motivation, and talent retention </w:t>
      </w:r>
      <w:r w:rsidRPr="00DA2A64">
        <w:rPr>
          <w:rFonts w:ascii="Arial" w:hAnsi="Arial" w:cs="Arial"/>
          <w:color w:val="FF0000"/>
        </w:rPr>
        <w:t>(Gsk.com, 2025)</w:t>
      </w:r>
      <w:r w:rsidR="00D90E18">
        <w:rPr>
          <w:rFonts w:ascii="Arial" w:hAnsi="Arial" w:cs="Arial"/>
          <w:color w:val="FF0000"/>
        </w:rPr>
        <w:t>.</w:t>
      </w:r>
      <w:r w:rsidRPr="00DA2A64">
        <w:rPr>
          <w:rFonts w:ascii="Arial" w:hAnsi="Arial" w:cs="Arial"/>
          <w:color w:val="FF0000"/>
        </w:rPr>
        <w:t xml:space="preserve"> </w:t>
      </w:r>
    </w:p>
    <w:p w14:paraId="17C0041A" w14:textId="77777777" w:rsidR="00DA2A64" w:rsidRPr="00DA2A64" w:rsidRDefault="00DA2A64" w:rsidP="005C7577">
      <w:pPr>
        <w:spacing w:after="0" w:line="360" w:lineRule="auto"/>
        <w:ind w:left="284"/>
        <w:jc w:val="both"/>
        <w:rPr>
          <w:rFonts w:ascii="Arial" w:hAnsi="Arial" w:cs="Arial"/>
        </w:rPr>
      </w:pPr>
      <w:r w:rsidRPr="00DA2A64">
        <w:rPr>
          <w:rFonts w:ascii="Arial" w:hAnsi="Arial" w:cs="Arial"/>
        </w:rPr>
        <w:t>These KPIs directly shaped strategic decisions in 2025. Strong financial performance in Specialty Medicines particularly HIV, oncology, and respiratory therapies encouraged increased investment in high</w:t>
      </w:r>
      <w:r w:rsidRPr="00DA2A64">
        <w:rPr>
          <w:rFonts w:ascii="Arial" w:hAnsi="Arial" w:cs="Arial"/>
        </w:rPr>
        <w:noBreakHyphen/>
        <w:t>growth therapeutic areas while reducing reliance on lower</w:t>
      </w:r>
      <w:r w:rsidRPr="00DA2A64">
        <w:rPr>
          <w:rFonts w:ascii="Arial" w:hAnsi="Arial" w:cs="Arial"/>
        </w:rPr>
        <w:noBreakHyphen/>
        <w:t>growth General Medicines. The robust R&amp;D pipeline and new collaborations supported continued acquisitions and licensing agreements to strengthen late</w:t>
      </w:r>
      <w:r w:rsidRPr="00DA2A64">
        <w:rPr>
          <w:rFonts w:ascii="Arial" w:hAnsi="Arial" w:cs="Arial"/>
        </w:rPr>
        <w:noBreakHyphen/>
        <w:t>stage assets. Productivity data informed more efficient SG&amp;A expenditure, enabling GSK to maintain increased R&amp;D investment without resorting to broad cost</w:t>
      </w:r>
      <w:r w:rsidRPr="00DA2A64">
        <w:rPr>
          <w:rFonts w:ascii="Arial" w:hAnsi="Arial" w:cs="Arial"/>
        </w:rPr>
        <w:noBreakHyphen/>
        <w:t>cutting measures. Instead, resources were strategically reallocated toward oncology, vaccines, and innovative medicines with higher long</w:t>
      </w:r>
      <w:r w:rsidRPr="00DA2A64">
        <w:rPr>
          <w:rFonts w:ascii="Arial" w:hAnsi="Arial" w:cs="Arial"/>
        </w:rPr>
        <w:noBreakHyphen/>
        <w:t>term potential.</w:t>
      </w:r>
    </w:p>
    <w:p w14:paraId="3C6A2739" w14:textId="3AEFFC9F" w:rsidR="00DA2A64" w:rsidRPr="00DA2A64" w:rsidRDefault="00DA2A64" w:rsidP="005C7577">
      <w:pPr>
        <w:spacing w:after="0" w:line="360" w:lineRule="auto"/>
        <w:ind w:left="284"/>
        <w:jc w:val="both"/>
        <w:rPr>
          <w:rFonts w:ascii="Arial" w:hAnsi="Arial" w:cs="Arial"/>
        </w:rPr>
      </w:pPr>
      <w:r w:rsidRPr="00DA2A64">
        <w:rPr>
          <w:rFonts w:ascii="Arial" w:hAnsi="Arial" w:cs="Arial"/>
        </w:rPr>
        <w:t>Non</w:t>
      </w:r>
      <w:r w:rsidRPr="00DA2A64">
        <w:rPr>
          <w:rFonts w:ascii="Arial" w:hAnsi="Arial" w:cs="Arial"/>
        </w:rPr>
        <w:noBreakHyphen/>
        <w:t>financial KPIs also guided decision making. Sustainability achievements reinforced investment in environmental and global health programmes, while strong employee engagement supported leadership development and cultural initiatives. Together, these KPIs illustrate GSK’s Balanced Scorecard approach, enabling the company to balance short</w:t>
      </w:r>
      <w:r w:rsidRPr="00DA2A64">
        <w:rPr>
          <w:rFonts w:ascii="Arial" w:hAnsi="Arial" w:cs="Arial"/>
        </w:rPr>
        <w:noBreakHyphen/>
        <w:t>term profitability with innovation, sustainability, and long</w:t>
      </w:r>
      <w:r w:rsidRPr="00DA2A64">
        <w:rPr>
          <w:rFonts w:ascii="Arial" w:hAnsi="Arial" w:cs="Arial"/>
        </w:rPr>
        <w:noBreakHyphen/>
        <w:t xml:space="preserve">term shareholder value </w:t>
      </w:r>
      <w:r w:rsidRPr="00DA2A64">
        <w:rPr>
          <w:rFonts w:ascii="Arial" w:hAnsi="Arial" w:cs="Arial"/>
          <w:color w:val="FF0000"/>
        </w:rPr>
        <w:t>(Gsk.com, 2025)</w:t>
      </w:r>
      <w:r w:rsidR="00D90E18">
        <w:rPr>
          <w:rFonts w:ascii="Arial" w:hAnsi="Arial" w:cs="Arial"/>
          <w:color w:val="FF0000"/>
        </w:rPr>
        <w:t>.</w:t>
      </w:r>
      <w:r w:rsidRPr="00DA2A64">
        <w:rPr>
          <w:rFonts w:ascii="Arial" w:hAnsi="Arial" w:cs="Arial"/>
          <w:color w:val="FF0000"/>
        </w:rPr>
        <w:t xml:space="preserve"> </w:t>
      </w:r>
    </w:p>
    <w:p w14:paraId="173035D1" w14:textId="59F3A21D" w:rsidR="00711968" w:rsidRPr="008049D3" w:rsidRDefault="00DA2A64" w:rsidP="00F87138">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p w14:paraId="0F410BE3" w14:textId="1E552A11" w:rsidR="0028377A" w:rsidRPr="00216FAD" w:rsidRDefault="0028377A" w:rsidP="007935A2">
      <w:pPr>
        <w:pStyle w:val="Heading1"/>
        <w:rPr>
          <w:rFonts w:ascii="Arial" w:hAnsi="Arial" w:cs="Arial"/>
          <w:b/>
          <w:bCs/>
          <w:color w:val="000000" w:themeColor="text1"/>
          <w:sz w:val="24"/>
          <w:szCs w:val="24"/>
          <w:lang w:eastAsia="en-GB"/>
        </w:rPr>
      </w:pPr>
      <w:bookmarkStart w:id="11" w:name="_Toc234881989"/>
      <w:r w:rsidRPr="00216FAD">
        <w:rPr>
          <w:rFonts w:ascii="Arial" w:hAnsi="Arial" w:cs="Arial"/>
          <w:b/>
          <w:bCs/>
          <w:color w:val="000000" w:themeColor="text1"/>
          <w:sz w:val="24"/>
          <w:szCs w:val="24"/>
          <w:lang w:eastAsia="en-GB"/>
        </w:rPr>
        <w:t>5</w:t>
      </w:r>
      <w:r w:rsidR="00B87856">
        <w:rPr>
          <w:rFonts w:ascii="Arial" w:hAnsi="Arial" w:cs="Arial"/>
          <w:b/>
          <w:bCs/>
          <w:color w:val="000000" w:themeColor="text1"/>
          <w:sz w:val="24"/>
          <w:szCs w:val="24"/>
          <w:lang w:eastAsia="en-GB"/>
        </w:rPr>
        <w:t>.</w:t>
      </w:r>
      <w:r w:rsidRPr="00216FAD">
        <w:rPr>
          <w:rFonts w:ascii="Arial" w:hAnsi="Arial" w:cs="Arial"/>
          <w:b/>
          <w:bCs/>
          <w:color w:val="000000" w:themeColor="text1"/>
          <w:sz w:val="24"/>
          <w:szCs w:val="24"/>
          <w:lang w:eastAsia="en-GB"/>
        </w:rPr>
        <w:t xml:space="preserve"> GSK's Integration of Sustainability into Financial Decision-Making and </w:t>
      </w:r>
      <w:r w:rsidR="008C25B5" w:rsidRPr="00216FAD">
        <w:rPr>
          <w:rFonts w:ascii="Arial" w:hAnsi="Arial" w:cs="Arial"/>
          <w:b/>
          <w:bCs/>
          <w:color w:val="000000" w:themeColor="text1"/>
          <w:sz w:val="24"/>
          <w:szCs w:val="24"/>
          <w:lang w:eastAsia="en-GB"/>
        </w:rPr>
        <w:t xml:space="preserve">    </w:t>
      </w:r>
      <w:r w:rsidR="00B65C28">
        <w:rPr>
          <w:rFonts w:ascii="Arial" w:hAnsi="Arial" w:cs="Arial"/>
          <w:b/>
          <w:bCs/>
          <w:color w:val="000000" w:themeColor="text1"/>
          <w:sz w:val="24"/>
          <w:szCs w:val="24"/>
          <w:lang w:eastAsia="en-GB"/>
        </w:rPr>
        <w:t xml:space="preserve">    </w:t>
      </w:r>
      <w:r w:rsidRPr="00216FAD">
        <w:rPr>
          <w:rFonts w:ascii="Arial" w:hAnsi="Arial" w:cs="Arial"/>
          <w:b/>
          <w:bCs/>
          <w:color w:val="000000" w:themeColor="text1"/>
          <w:sz w:val="24"/>
          <w:szCs w:val="24"/>
          <w:lang w:eastAsia="en-GB"/>
        </w:rPr>
        <w:t>Ethical Cost Management</w:t>
      </w:r>
      <w:bookmarkEnd w:id="11"/>
    </w:p>
    <w:p w14:paraId="4D71CCBF" w14:textId="7F71082D" w:rsidR="0028377A" w:rsidRPr="00F11686" w:rsidRDefault="0028377A" w:rsidP="00F87138">
      <w:pPr>
        <w:spacing w:line="360" w:lineRule="auto"/>
        <w:ind w:left="284"/>
        <w:jc w:val="both"/>
        <w:rPr>
          <w:rFonts w:ascii="Times New Roman" w:eastAsia="Times New Roman" w:hAnsi="Times New Roman" w:cs="Times New Roman"/>
          <w:kern w:val="0"/>
          <w:lang w:eastAsia="en-GB"/>
          <w14:ligatures w14:val="none"/>
        </w:rPr>
      </w:pPr>
      <w:r w:rsidRPr="006E5D4B">
        <w:rPr>
          <w:rFonts w:ascii="Arial" w:eastAsia="Times New Roman" w:hAnsi="Arial" w:cs="Arial"/>
          <w:kern w:val="0"/>
          <w:lang w:eastAsia="en-GB"/>
          <w14:ligatures w14:val="none"/>
        </w:rPr>
        <w:t xml:space="preserve">Rather than treating sustainability as a separate corporate responsibility initiative, GSK incorporates ESG objectives into business planning and investment decisions to support long-term value creation. The company's </w:t>
      </w:r>
      <w:r w:rsidRPr="005275D4">
        <w:rPr>
          <w:rFonts w:ascii="Arial" w:eastAsia="Times New Roman" w:hAnsi="Arial" w:cs="Arial"/>
          <w:kern w:val="0"/>
          <w:lang w:eastAsia="en-GB"/>
          <w14:ligatures w14:val="none"/>
        </w:rPr>
        <w:t>Responsible Business Performance Rating</w:t>
      </w:r>
      <w:r w:rsidRPr="006E5D4B">
        <w:rPr>
          <w:rFonts w:ascii="Arial" w:eastAsia="Times New Roman" w:hAnsi="Arial" w:cs="Arial"/>
          <w:b/>
          <w:bCs/>
          <w:kern w:val="0"/>
          <w:lang w:eastAsia="en-GB"/>
          <w14:ligatures w14:val="none"/>
        </w:rPr>
        <w:t xml:space="preserve"> (RBPR)</w:t>
      </w:r>
      <w:r w:rsidRPr="006E5D4B">
        <w:rPr>
          <w:rFonts w:ascii="Arial" w:eastAsia="Times New Roman" w:hAnsi="Arial" w:cs="Arial"/>
          <w:kern w:val="0"/>
          <w:lang w:eastAsia="en-GB"/>
          <w14:ligatures w14:val="none"/>
        </w:rPr>
        <w:t xml:space="preserve"> measures performance across six strategic areas: access to healthcare, global health and health security, environmental </w:t>
      </w:r>
      <w:r w:rsidRPr="006E5D4B">
        <w:rPr>
          <w:rFonts w:ascii="Arial" w:eastAsia="Times New Roman" w:hAnsi="Arial" w:cs="Arial"/>
          <w:kern w:val="0"/>
          <w:lang w:eastAsia="en-GB"/>
          <w14:ligatures w14:val="none"/>
        </w:rPr>
        <w:lastRenderedPageBreak/>
        <w:t xml:space="preserve">sustainability, inclusion, ethical standards, and product governance. In 2025, </w:t>
      </w:r>
      <w:r w:rsidRPr="005275D4">
        <w:rPr>
          <w:rFonts w:ascii="Arial" w:eastAsia="Times New Roman" w:hAnsi="Arial" w:cs="Arial"/>
          <w:kern w:val="0"/>
          <w:lang w:eastAsia="en-GB"/>
          <w14:ligatures w14:val="none"/>
        </w:rPr>
        <w:t>92% of these performance metrics were either met or exceeded,</w:t>
      </w:r>
      <w:r w:rsidRPr="006E5D4B">
        <w:rPr>
          <w:rFonts w:ascii="Arial" w:eastAsia="Times New Roman" w:hAnsi="Arial" w:cs="Arial"/>
          <w:kern w:val="0"/>
          <w:lang w:eastAsia="en-GB"/>
          <w14:ligatures w14:val="none"/>
        </w:rPr>
        <w:t xml:space="preserve"> demonstrating that sustainability performance is directly monitored alongside financial performance </w:t>
      </w:r>
      <w:r w:rsidRPr="00C26FA4">
        <w:rPr>
          <w:rFonts w:ascii="Arial" w:eastAsia="Times New Roman" w:hAnsi="Arial" w:cs="Arial"/>
          <w:b/>
          <w:bCs/>
          <w:kern w:val="0"/>
          <w:lang w:eastAsia="en-GB"/>
          <w14:ligatures w14:val="none"/>
        </w:rPr>
        <w:t>(</w:t>
      </w:r>
      <w:r w:rsidRPr="00C26FA4">
        <w:rPr>
          <w:rFonts w:ascii="Arial" w:hAnsi="Arial" w:cs="Arial"/>
          <w:color w:val="FF0000"/>
        </w:rPr>
        <w:t>Gsk.com. 2025</w:t>
      </w:r>
      <w:r w:rsidRPr="00C26FA4">
        <w:rPr>
          <w:rFonts w:ascii="Arial" w:eastAsia="Times New Roman" w:hAnsi="Arial" w:cs="Arial"/>
          <w:b/>
          <w:bCs/>
          <w:kern w:val="0"/>
          <w:lang w:eastAsia="en-GB"/>
          <w14:ligatures w14:val="none"/>
        </w:rPr>
        <w:t>)</w:t>
      </w:r>
      <w:r w:rsidRPr="00C26FA4">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p>
    <w:p w14:paraId="25067B48" w14:textId="1D4969E0" w:rsidR="0028377A" w:rsidRPr="00A03FD9" w:rsidRDefault="0028377A" w:rsidP="00F87138">
      <w:pPr>
        <w:spacing w:line="360" w:lineRule="auto"/>
        <w:ind w:left="284"/>
        <w:jc w:val="both"/>
        <w:rPr>
          <w:rFonts w:ascii="Times New Roman" w:eastAsia="Times New Roman" w:hAnsi="Times New Roman" w:cs="Times New Roman"/>
          <w:kern w:val="0"/>
          <w:lang w:eastAsia="en-GB"/>
          <w14:ligatures w14:val="none"/>
        </w:rPr>
      </w:pPr>
      <w:r w:rsidRPr="006E5D4B">
        <w:rPr>
          <w:rFonts w:ascii="Arial" w:eastAsia="Times New Roman" w:hAnsi="Arial" w:cs="Arial"/>
          <w:kern w:val="0"/>
          <w:lang w:eastAsia="en-GB"/>
          <w14:ligatures w14:val="none"/>
        </w:rPr>
        <w:t xml:space="preserve">Furthermore, GSK reported a </w:t>
      </w:r>
      <w:r w:rsidRPr="005275D4">
        <w:rPr>
          <w:rFonts w:ascii="Arial" w:eastAsia="Times New Roman" w:hAnsi="Arial" w:cs="Arial"/>
          <w:kern w:val="0"/>
          <w:lang w:eastAsia="en-GB"/>
          <w14:ligatures w14:val="none"/>
        </w:rPr>
        <w:t>14% reduction in Scope 1 and Scope 2 operational carbon emissions in 2025, reflecting continued investment in low</w:t>
      </w:r>
      <w:r w:rsidRPr="006E5D4B">
        <w:rPr>
          <w:rFonts w:ascii="Arial" w:eastAsia="Times New Roman" w:hAnsi="Arial" w:cs="Arial"/>
          <w:kern w:val="0"/>
          <w:lang w:eastAsia="en-GB"/>
          <w14:ligatures w14:val="none"/>
        </w:rPr>
        <w:t xml:space="preserve">-carbon operations and resource efficiency as part of its long-term financial strategy. Climate-related risks are also integrated into enterprise risk management and financial governance through oversight by both Sustainability and Finance committees, ensuring that environmental risks are considered in strategic investment decisions </w:t>
      </w:r>
      <w:r w:rsidRPr="00C26FA4">
        <w:rPr>
          <w:rFonts w:ascii="Arial" w:eastAsia="Times New Roman" w:hAnsi="Arial" w:cs="Arial"/>
          <w:b/>
          <w:bCs/>
          <w:kern w:val="0"/>
          <w:lang w:eastAsia="en-GB"/>
          <w14:ligatures w14:val="none"/>
        </w:rPr>
        <w:t>(</w:t>
      </w:r>
      <w:r w:rsidRPr="00C26FA4">
        <w:rPr>
          <w:rFonts w:ascii="Arial" w:hAnsi="Arial" w:cs="Arial"/>
          <w:color w:val="FF0000"/>
        </w:rPr>
        <w:t>Gsk.com. 2025</w:t>
      </w:r>
      <w:r w:rsidRPr="00C26FA4">
        <w:rPr>
          <w:rFonts w:ascii="Arial" w:eastAsia="Times New Roman" w:hAnsi="Arial" w:cs="Arial"/>
          <w:b/>
          <w:bCs/>
          <w:kern w:val="0"/>
          <w:lang w:eastAsia="en-GB"/>
          <w14:ligatures w14:val="none"/>
        </w:rPr>
        <w:t>)</w:t>
      </w:r>
      <w:r w:rsidRPr="00C26FA4">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p>
    <w:p w14:paraId="04B44151" w14:textId="77777777" w:rsidR="0028377A" w:rsidRDefault="0028377A" w:rsidP="00F87138">
      <w:pPr>
        <w:spacing w:line="360" w:lineRule="auto"/>
        <w:ind w:left="284"/>
        <w:jc w:val="both"/>
        <w:rPr>
          <w:rFonts w:ascii="Arial" w:eastAsia="Times New Roman" w:hAnsi="Arial" w:cs="Arial"/>
          <w:b/>
          <w:bCs/>
          <w:kern w:val="0"/>
          <w:lang w:eastAsia="en-GB"/>
          <w14:ligatures w14:val="none"/>
        </w:rPr>
      </w:pPr>
      <w:r w:rsidRPr="006E5D4B">
        <w:rPr>
          <w:rFonts w:ascii="Arial" w:eastAsia="Times New Roman" w:hAnsi="Arial" w:cs="Arial"/>
          <w:kern w:val="0"/>
          <w:lang w:eastAsia="en-GB"/>
          <w14:ligatures w14:val="none"/>
        </w:rPr>
        <w:t>Ethical considerations also play a significant role in GSK's cost management and pricing strategies. As a global pharmaceutical company, GSK seeks to balance profitability with patient access to medicines</w:t>
      </w:r>
      <w:r>
        <w:rPr>
          <w:rFonts w:ascii="Arial" w:eastAsia="Times New Roman" w:hAnsi="Arial" w:cs="Arial"/>
          <w:kern w:val="0"/>
          <w:lang w:eastAsia="en-GB"/>
          <w14:ligatures w14:val="none"/>
        </w:rPr>
        <w:t xml:space="preserve"> and the </w:t>
      </w:r>
      <w:r w:rsidRPr="00AC2F42">
        <w:rPr>
          <w:rFonts w:ascii="Arial" w:eastAsia="Times New Roman" w:hAnsi="Arial" w:cs="Arial"/>
          <w:kern w:val="0"/>
          <w:lang w:eastAsia="en-GB"/>
          <w14:ligatures w14:val="none"/>
        </w:rPr>
        <w:t>benefits they bring to patients and healthcare systems</w:t>
      </w:r>
      <w:r>
        <w:rPr>
          <w:rFonts w:ascii="Arial" w:eastAsia="Times New Roman" w:hAnsi="Arial" w:cs="Arial"/>
          <w:kern w:val="0"/>
          <w:lang w:eastAsia="en-GB"/>
          <w14:ligatures w14:val="none"/>
        </w:rPr>
        <w:t xml:space="preserve">. </w:t>
      </w:r>
      <w:r w:rsidRPr="006E5D4B">
        <w:rPr>
          <w:rFonts w:ascii="Arial" w:eastAsia="Times New Roman" w:hAnsi="Arial" w:cs="Arial"/>
          <w:kern w:val="0"/>
          <w:lang w:eastAsia="en-GB"/>
          <w14:ligatures w14:val="none"/>
        </w:rPr>
        <w:t xml:space="preserve">The company applies </w:t>
      </w:r>
      <w:r w:rsidRPr="005275D4">
        <w:rPr>
          <w:rFonts w:ascii="Arial" w:eastAsia="Times New Roman" w:hAnsi="Arial" w:cs="Arial"/>
          <w:kern w:val="0"/>
          <w:lang w:eastAsia="en-GB"/>
          <w14:ligatures w14:val="none"/>
        </w:rPr>
        <w:t>tiered and responsible pricing strategies,</w:t>
      </w:r>
      <w:r w:rsidRPr="006E5D4B">
        <w:rPr>
          <w:rFonts w:ascii="Arial" w:eastAsia="Times New Roman" w:hAnsi="Arial" w:cs="Arial"/>
          <w:kern w:val="0"/>
          <w:lang w:eastAsia="en-GB"/>
          <w14:ligatures w14:val="none"/>
        </w:rPr>
        <w:t xml:space="preserve"> particularly for vaccines and essential medicines in low- and middle-income countries, while collaborating with organisations such as Gavi to improve global vaccine accessibility. In 2025, GSK supplied </w:t>
      </w:r>
      <w:r w:rsidRPr="005275D4">
        <w:rPr>
          <w:rFonts w:ascii="Arial" w:eastAsia="Times New Roman" w:hAnsi="Arial" w:cs="Arial"/>
          <w:kern w:val="0"/>
          <w:lang w:eastAsia="en-GB"/>
          <w14:ligatures w14:val="none"/>
        </w:rPr>
        <w:t>99 million doses of critical vaccines</w:t>
      </w:r>
      <w:r w:rsidRPr="006E5D4B">
        <w:rPr>
          <w:rFonts w:ascii="Arial" w:eastAsia="Times New Roman" w:hAnsi="Arial" w:cs="Arial"/>
          <w:kern w:val="0"/>
          <w:lang w:eastAsia="en-GB"/>
          <w14:ligatures w14:val="none"/>
        </w:rPr>
        <w:t xml:space="preserve"> through Gavi, illustrating how pricing and distribution decisions support both commercial sustainability and public health objectives </w:t>
      </w:r>
      <w:r w:rsidRPr="00C26FA4">
        <w:rPr>
          <w:rFonts w:ascii="Arial" w:eastAsia="Times New Roman" w:hAnsi="Arial" w:cs="Arial"/>
          <w:b/>
          <w:bCs/>
          <w:kern w:val="0"/>
          <w:lang w:eastAsia="en-GB"/>
          <w14:ligatures w14:val="none"/>
        </w:rPr>
        <w:t>(</w:t>
      </w:r>
      <w:r w:rsidRPr="00C26FA4">
        <w:rPr>
          <w:rFonts w:ascii="Arial" w:hAnsi="Arial" w:cs="Arial"/>
          <w:color w:val="FF0000"/>
        </w:rPr>
        <w:t>Gsk.com. 2025</w:t>
      </w:r>
      <w:r w:rsidRPr="00C26FA4">
        <w:rPr>
          <w:rFonts w:ascii="Arial" w:eastAsia="Times New Roman" w:hAnsi="Arial" w:cs="Arial"/>
          <w:b/>
          <w:bCs/>
          <w:kern w:val="0"/>
          <w:lang w:eastAsia="en-GB"/>
          <w14:ligatures w14:val="none"/>
        </w:rPr>
        <w:t>)</w:t>
      </w:r>
      <w:r>
        <w:rPr>
          <w:rFonts w:ascii="Times New Roman" w:eastAsia="Times New Roman" w:hAnsi="Times New Roman" w:cs="Times New Roman"/>
          <w:kern w:val="0"/>
          <w:lang w:eastAsia="en-GB"/>
          <w14:ligatures w14:val="none"/>
        </w:rPr>
        <w:t xml:space="preserve">. </w:t>
      </w:r>
      <w:r w:rsidRPr="006E5D4B">
        <w:rPr>
          <w:rFonts w:ascii="Arial" w:eastAsia="Times New Roman" w:hAnsi="Arial" w:cs="Arial"/>
          <w:kern w:val="0"/>
          <w:lang w:eastAsia="en-GB"/>
          <w14:ligatures w14:val="none"/>
        </w:rPr>
        <w:t xml:space="preserve">Cost management decisions similarly reflect ethical priorities by maintaining investment in research and development while pursuing operational efficiencies through productivity improvements rather than reducing investment in innovation. This approach enables GSK to manage costs responsibly without compromising medicine quality, patient safety or future scientific advancement </w:t>
      </w:r>
      <w:r w:rsidRPr="00C26FA4">
        <w:rPr>
          <w:rFonts w:ascii="Arial" w:eastAsia="Times New Roman" w:hAnsi="Arial" w:cs="Arial"/>
          <w:b/>
          <w:bCs/>
          <w:kern w:val="0"/>
          <w:lang w:eastAsia="en-GB"/>
          <w14:ligatures w14:val="none"/>
        </w:rPr>
        <w:t>(</w:t>
      </w:r>
      <w:r w:rsidRPr="00C26FA4">
        <w:rPr>
          <w:rFonts w:ascii="Arial" w:hAnsi="Arial" w:cs="Arial"/>
          <w:color w:val="FF0000"/>
        </w:rPr>
        <w:t>Gsk.com. 2025</w:t>
      </w:r>
      <w:r w:rsidRPr="00C26FA4">
        <w:rPr>
          <w:rFonts w:ascii="Arial" w:eastAsia="Times New Roman" w:hAnsi="Arial" w:cs="Arial"/>
          <w:b/>
          <w:bCs/>
          <w:kern w:val="0"/>
          <w:lang w:eastAsia="en-GB"/>
          <w14:ligatures w14:val="none"/>
        </w:rPr>
        <w:t>)</w:t>
      </w:r>
      <w:r w:rsidRPr="00C26FA4">
        <w:rPr>
          <w:rFonts w:ascii="Arial" w:eastAsia="Times New Roman" w:hAnsi="Arial" w:cs="Arial"/>
          <w:kern w:val="0"/>
          <w:lang w:eastAsia="en-GB"/>
          <w14:ligatures w14:val="none"/>
        </w:rPr>
        <w:t>.</w:t>
      </w:r>
      <w:r w:rsidRPr="00BE1BE6">
        <w:rPr>
          <w:rFonts w:ascii="Arial" w:eastAsia="Times New Roman" w:hAnsi="Arial" w:cs="Arial"/>
          <w:b/>
          <w:bCs/>
          <w:kern w:val="0"/>
          <w:lang w:eastAsia="en-GB"/>
          <w14:ligatures w14:val="none"/>
        </w:rPr>
        <w:t xml:space="preserve"> </w:t>
      </w:r>
    </w:p>
    <w:p w14:paraId="123A70D5" w14:textId="32BD6952" w:rsidR="0028377A" w:rsidRDefault="0028377A" w:rsidP="00F87138">
      <w:pPr>
        <w:spacing w:line="360" w:lineRule="auto"/>
        <w:ind w:left="284"/>
        <w:jc w:val="both"/>
        <w:rPr>
          <w:rFonts w:ascii="Arial" w:eastAsia="Times New Roman" w:hAnsi="Arial" w:cs="Arial"/>
          <w:kern w:val="0"/>
          <w:lang w:eastAsia="en-GB"/>
          <w14:ligatures w14:val="none"/>
        </w:rPr>
      </w:pPr>
      <w:r w:rsidRPr="006E5D4B">
        <w:rPr>
          <w:rFonts w:ascii="Arial" w:eastAsia="Times New Roman" w:hAnsi="Arial" w:cs="Arial"/>
          <w:kern w:val="0"/>
          <w:lang w:eastAsia="en-GB"/>
          <w14:ligatures w14:val="none"/>
        </w:rPr>
        <w:t xml:space="preserve">Academic research suggests that integrating sustainability and ethical governance into financial decision-making enhances long-term organisational resilience, stakeholder trust and corporate performance </w:t>
      </w:r>
      <w:r w:rsidRPr="006E5D4B">
        <w:rPr>
          <w:rFonts w:ascii="Arial" w:eastAsia="Times New Roman" w:hAnsi="Arial" w:cs="Arial"/>
          <w:b/>
          <w:bCs/>
          <w:kern w:val="0"/>
          <w:lang w:eastAsia="en-GB"/>
          <w14:ligatures w14:val="none"/>
        </w:rPr>
        <w:t>(</w:t>
      </w:r>
      <w:r w:rsidRPr="00390187">
        <w:rPr>
          <w:rFonts w:ascii="Arial" w:eastAsia="Times New Roman" w:hAnsi="Arial" w:cs="Arial"/>
          <w:color w:val="FF0000"/>
          <w:kern w:val="0"/>
          <w:lang w:eastAsia="en-GB"/>
          <w14:ligatures w14:val="none"/>
        </w:rPr>
        <w:t xml:space="preserve">Eccles, Lee and </w:t>
      </w:r>
      <w:proofErr w:type="spellStart"/>
      <w:r w:rsidRPr="00390187">
        <w:rPr>
          <w:rFonts w:ascii="Arial" w:eastAsia="Times New Roman" w:hAnsi="Arial" w:cs="Arial"/>
          <w:color w:val="FF0000"/>
          <w:kern w:val="0"/>
          <w:lang w:eastAsia="en-GB"/>
          <w14:ligatures w14:val="none"/>
        </w:rPr>
        <w:t>Stroehle</w:t>
      </w:r>
      <w:proofErr w:type="spellEnd"/>
      <w:r w:rsidRPr="00390187">
        <w:rPr>
          <w:rFonts w:ascii="Arial" w:eastAsia="Times New Roman" w:hAnsi="Arial" w:cs="Arial"/>
          <w:color w:val="FF0000"/>
          <w:kern w:val="0"/>
          <w:lang w:eastAsia="en-GB"/>
          <w14:ligatures w14:val="none"/>
        </w:rPr>
        <w:t>, 2020</w:t>
      </w:r>
      <w:r w:rsidRPr="006E5D4B">
        <w:rPr>
          <w:rFonts w:ascii="Arial" w:eastAsia="Times New Roman" w:hAnsi="Arial" w:cs="Arial"/>
          <w:b/>
          <w:bCs/>
          <w:kern w:val="0"/>
          <w:lang w:eastAsia="en-GB"/>
          <w14:ligatures w14:val="none"/>
        </w:rPr>
        <w:t>)</w:t>
      </w:r>
      <w:r w:rsidRPr="006E5D4B">
        <w:rPr>
          <w:rFonts w:ascii="Arial" w:eastAsia="Times New Roman" w:hAnsi="Arial" w:cs="Arial"/>
          <w:kern w:val="0"/>
          <w:lang w:eastAsia="en-GB"/>
          <w14:ligatures w14:val="none"/>
        </w:rPr>
        <w:t xml:space="preserve">. Consequently, GSK demonstrates that sustainable financial management involves balancing shareholder returns with social responsibility, ethical pricing, and long-term healthcare outcomes. </w:t>
      </w:r>
    </w:p>
    <w:p w14:paraId="788A169B" w14:textId="246F814E" w:rsidR="005554C1" w:rsidRPr="008C5F1C" w:rsidRDefault="005554C1" w:rsidP="00216FAD">
      <w:pPr>
        <w:pStyle w:val="Heading1"/>
        <w:rPr>
          <w:rFonts w:ascii="Arial" w:eastAsia="Times New Roman" w:hAnsi="Arial" w:cs="Arial"/>
          <w:b/>
          <w:bCs/>
          <w:color w:val="000000" w:themeColor="text1"/>
          <w:kern w:val="0"/>
          <w:sz w:val="24"/>
          <w:szCs w:val="24"/>
          <w:lang w:eastAsia="en-GB"/>
          <w14:ligatures w14:val="none"/>
        </w:rPr>
      </w:pPr>
      <w:bookmarkStart w:id="12" w:name="_Toc234881990"/>
      <w:r w:rsidRPr="008C5F1C">
        <w:rPr>
          <w:rFonts w:ascii="Arial" w:hAnsi="Arial" w:cs="Arial"/>
          <w:b/>
          <w:bCs/>
          <w:color w:val="000000" w:themeColor="text1"/>
          <w:sz w:val="24"/>
          <w:szCs w:val="24"/>
        </w:rPr>
        <w:lastRenderedPageBreak/>
        <w:t>6</w:t>
      </w:r>
      <w:r w:rsidR="00DB1277">
        <w:rPr>
          <w:rFonts w:ascii="Arial" w:hAnsi="Arial" w:cs="Arial"/>
          <w:b/>
          <w:bCs/>
          <w:color w:val="000000" w:themeColor="text1"/>
          <w:sz w:val="24"/>
          <w:szCs w:val="24"/>
        </w:rPr>
        <w:t>.</w:t>
      </w:r>
      <w:r w:rsidRPr="008C5F1C">
        <w:rPr>
          <w:rFonts w:ascii="Arial" w:hAnsi="Arial" w:cs="Arial"/>
          <w:b/>
          <w:bCs/>
          <w:color w:val="000000" w:themeColor="text1"/>
          <w:sz w:val="24"/>
          <w:szCs w:val="24"/>
        </w:rPr>
        <w:t xml:space="preserve"> Conclusion and Recommendations</w:t>
      </w:r>
      <w:bookmarkEnd w:id="12"/>
      <w:r w:rsidRPr="008C5F1C">
        <w:rPr>
          <w:rFonts w:ascii="Arial" w:hAnsi="Arial" w:cs="Arial"/>
          <w:b/>
          <w:bCs/>
          <w:color w:val="000000" w:themeColor="text1"/>
          <w:sz w:val="24"/>
          <w:szCs w:val="24"/>
        </w:rPr>
        <w:t xml:space="preserve"> </w:t>
      </w:r>
    </w:p>
    <w:p w14:paraId="5F5E2F8D" w14:textId="7FA20981" w:rsidR="005554C1" w:rsidRPr="005554C1" w:rsidRDefault="005554C1" w:rsidP="00F87138">
      <w:pPr>
        <w:pStyle w:val="NormalWeb"/>
        <w:spacing w:line="360" w:lineRule="auto"/>
        <w:ind w:left="284"/>
        <w:jc w:val="both"/>
        <w:rPr>
          <w:rFonts w:ascii="Arial" w:hAnsi="Arial" w:cs="Arial"/>
        </w:rPr>
      </w:pPr>
      <w:r w:rsidRPr="005554C1">
        <w:rPr>
          <w:rFonts w:ascii="Arial" w:hAnsi="Arial" w:cs="Arial"/>
          <w:color w:val="000000" w:themeColor="text1"/>
        </w:rPr>
        <w:t xml:space="preserve">GSK’s 2025 performance reflects </w:t>
      </w:r>
      <w:r w:rsidRPr="005554C1">
        <w:rPr>
          <w:rFonts w:ascii="Arial" w:hAnsi="Arial" w:cs="Arial"/>
        </w:rPr>
        <w:t>a resilient and innovation</w:t>
      </w:r>
      <w:r w:rsidRPr="005554C1">
        <w:rPr>
          <w:rFonts w:ascii="Arial" w:hAnsi="Arial" w:cs="Arial"/>
        </w:rPr>
        <w:noBreakHyphen/>
        <w:t>centred business model supported by strong revenue growth, disciplined budgeting, and sustained investment in high</w:t>
      </w:r>
      <w:r w:rsidRPr="005554C1">
        <w:rPr>
          <w:rFonts w:ascii="Arial" w:hAnsi="Arial" w:cs="Arial"/>
        </w:rPr>
        <w:noBreakHyphen/>
        <w:t>value therapeutic areas. The company’s cost structure</w:t>
      </w:r>
      <w:r>
        <w:rPr>
          <w:rFonts w:ascii="Arial" w:hAnsi="Arial" w:cs="Arial"/>
        </w:rPr>
        <w:t xml:space="preserve"> </w:t>
      </w:r>
      <w:r w:rsidRPr="005554C1">
        <w:rPr>
          <w:rFonts w:ascii="Arial" w:hAnsi="Arial" w:cs="Arial"/>
        </w:rPr>
        <w:t>characterised by high fixed R&amp;D expenditure and comparatively low marginal production costs</w:t>
      </w:r>
      <w:r>
        <w:rPr>
          <w:rFonts w:ascii="Arial" w:hAnsi="Arial" w:cs="Arial"/>
        </w:rPr>
        <w:t xml:space="preserve"> </w:t>
      </w:r>
      <w:r w:rsidRPr="005554C1">
        <w:rPr>
          <w:rFonts w:ascii="Arial" w:hAnsi="Arial" w:cs="Arial"/>
        </w:rPr>
        <w:t>continues to benefit from economies of scale and strategic resource allocation. Performance measurement through financial and non</w:t>
      </w:r>
      <w:r w:rsidRPr="005554C1">
        <w:rPr>
          <w:rFonts w:ascii="Arial" w:hAnsi="Arial" w:cs="Arial"/>
        </w:rPr>
        <w:noBreakHyphen/>
        <w:t xml:space="preserve">financial KPIs, including achieving </w:t>
      </w:r>
      <w:r w:rsidRPr="00A50445">
        <w:rPr>
          <w:rStyle w:val="Strong"/>
          <w:rFonts w:ascii="Arial" w:eastAsiaTheme="majorEastAsia" w:hAnsi="Arial" w:cs="Arial"/>
          <w:b w:val="0"/>
          <w:bCs w:val="0"/>
        </w:rPr>
        <w:t>92% of Responsible Business metrics</w:t>
      </w:r>
      <w:r w:rsidRPr="00A50445">
        <w:rPr>
          <w:rFonts w:ascii="Arial" w:hAnsi="Arial" w:cs="Arial"/>
          <w:b/>
          <w:bCs/>
        </w:rPr>
        <w:t xml:space="preserve"> and supplying </w:t>
      </w:r>
      <w:r w:rsidRPr="00A50445">
        <w:rPr>
          <w:rStyle w:val="Strong"/>
          <w:rFonts w:ascii="Arial" w:eastAsiaTheme="majorEastAsia" w:hAnsi="Arial" w:cs="Arial"/>
          <w:b w:val="0"/>
          <w:bCs w:val="0"/>
        </w:rPr>
        <w:t>99 million vaccine doses through Gavi</w:t>
      </w:r>
      <w:r w:rsidRPr="005554C1">
        <w:rPr>
          <w:rFonts w:ascii="Arial" w:hAnsi="Arial" w:cs="Arial"/>
        </w:rPr>
        <w:t>, demonstrates GSK’s commitment to ethical governance and long</w:t>
      </w:r>
      <w:r w:rsidRPr="005554C1">
        <w:rPr>
          <w:rFonts w:ascii="Arial" w:hAnsi="Arial" w:cs="Arial"/>
        </w:rPr>
        <w:noBreakHyphen/>
        <w:t>term value creation. Overall, the evidence indicates that GSK effectively integrates sustainability, financial discipline, and strategic decision</w:t>
      </w:r>
      <w:r w:rsidRPr="005554C1">
        <w:rPr>
          <w:rFonts w:ascii="Arial" w:hAnsi="Arial" w:cs="Arial"/>
        </w:rPr>
        <w:noBreakHyphen/>
        <w:t>making to enhance organisational resilience.</w:t>
      </w:r>
    </w:p>
    <w:p w14:paraId="3B532DE8" w14:textId="77777777" w:rsidR="005554C1" w:rsidRPr="005554C1" w:rsidRDefault="005554C1" w:rsidP="00F87138">
      <w:pPr>
        <w:pStyle w:val="NormalWeb"/>
        <w:spacing w:line="360" w:lineRule="auto"/>
        <w:jc w:val="both"/>
        <w:rPr>
          <w:rFonts w:ascii="Arial" w:hAnsi="Arial" w:cs="Arial"/>
        </w:rPr>
      </w:pPr>
      <w:r w:rsidRPr="005554C1">
        <w:rPr>
          <w:rStyle w:val="Strong"/>
          <w:rFonts w:ascii="Arial" w:eastAsiaTheme="majorEastAsia" w:hAnsi="Arial" w:cs="Arial"/>
        </w:rPr>
        <w:t>Recommendations</w:t>
      </w:r>
    </w:p>
    <w:p w14:paraId="0114F686" w14:textId="77777777" w:rsidR="005554C1" w:rsidRPr="005554C1" w:rsidRDefault="005554C1" w:rsidP="00F87138">
      <w:pPr>
        <w:pStyle w:val="NormalWeb"/>
        <w:numPr>
          <w:ilvl w:val="0"/>
          <w:numId w:val="3"/>
        </w:numPr>
        <w:spacing w:line="360" w:lineRule="auto"/>
        <w:jc w:val="both"/>
        <w:rPr>
          <w:rFonts w:ascii="Arial" w:hAnsi="Arial" w:cs="Arial"/>
        </w:rPr>
      </w:pPr>
      <w:r w:rsidRPr="00A50445">
        <w:rPr>
          <w:rStyle w:val="Strong"/>
          <w:rFonts w:ascii="Arial" w:eastAsiaTheme="majorEastAsia" w:hAnsi="Arial" w:cs="Arial"/>
          <w:b w:val="0"/>
          <w:bCs w:val="0"/>
        </w:rPr>
        <w:t>Adopt ROI</w:t>
      </w:r>
      <w:r w:rsidRPr="00A50445">
        <w:rPr>
          <w:rStyle w:val="Strong"/>
          <w:rFonts w:ascii="Arial" w:eastAsiaTheme="majorEastAsia" w:hAnsi="Arial" w:cs="Arial"/>
          <w:b w:val="0"/>
          <w:bCs w:val="0"/>
        </w:rPr>
        <w:noBreakHyphen/>
        <w:t>driven R&amp;D portfolio optimisation</w:t>
      </w:r>
      <w:r w:rsidRPr="005554C1">
        <w:rPr>
          <w:rFonts w:ascii="Arial" w:hAnsi="Arial" w:cs="Arial"/>
        </w:rPr>
        <w:t xml:space="preserve"> to strengthen investment decisions in oncology, HIV, and vaccines.</w:t>
      </w:r>
    </w:p>
    <w:p w14:paraId="1C4232F8" w14:textId="77777777" w:rsidR="005554C1" w:rsidRPr="005554C1" w:rsidRDefault="005554C1" w:rsidP="00F87138">
      <w:pPr>
        <w:pStyle w:val="NormalWeb"/>
        <w:numPr>
          <w:ilvl w:val="0"/>
          <w:numId w:val="3"/>
        </w:numPr>
        <w:spacing w:line="360" w:lineRule="auto"/>
        <w:jc w:val="both"/>
        <w:rPr>
          <w:rFonts w:ascii="Arial" w:hAnsi="Arial" w:cs="Arial"/>
        </w:rPr>
      </w:pPr>
      <w:r w:rsidRPr="00A50445">
        <w:rPr>
          <w:rStyle w:val="Strong"/>
          <w:rFonts w:ascii="Arial" w:eastAsiaTheme="majorEastAsia" w:hAnsi="Arial" w:cs="Arial"/>
          <w:b w:val="0"/>
          <w:bCs w:val="0"/>
        </w:rPr>
        <w:t>Implement activity</w:t>
      </w:r>
      <w:r w:rsidRPr="00A50445">
        <w:rPr>
          <w:rStyle w:val="Strong"/>
          <w:rFonts w:ascii="Arial" w:eastAsiaTheme="majorEastAsia" w:hAnsi="Arial" w:cs="Arial"/>
          <w:b w:val="0"/>
          <w:bCs w:val="0"/>
        </w:rPr>
        <w:noBreakHyphen/>
        <w:t>based costing</w:t>
      </w:r>
      <w:r w:rsidRPr="005554C1">
        <w:rPr>
          <w:rStyle w:val="Strong"/>
          <w:rFonts w:ascii="Arial" w:eastAsiaTheme="majorEastAsia" w:hAnsi="Arial" w:cs="Arial"/>
        </w:rPr>
        <w:t xml:space="preserve"> (ABC)</w:t>
      </w:r>
      <w:r w:rsidRPr="005554C1">
        <w:rPr>
          <w:rFonts w:ascii="Arial" w:hAnsi="Arial" w:cs="Arial"/>
        </w:rPr>
        <w:t xml:space="preserve"> to improve cost visibility across SG&amp;A and manufacturing processes, supporting margin enhancement.</w:t>
      </w:r>
    </w:p>
    <w:p w14:paraId="550EAED2" w14:textId="048FBDFE" w:rsidR="008C0737" w:rsidRDefault="005554C1" w:rsidP="008C0737">
      <w:pPr>
        <w:pStyle w:val="NormalWeb"/>
        <w:numPr>
          <w:ilvl w:val="0"/>
          <w:numId w:val="3"/>
        </w:numPr>
        <w:spacing w:line="360" w:lineRule="auto"/>
        <w:jc w:val="both"/>
        <w:rPr>
          <w:rFonts w:ascii="Arial" w:hAnsi="Arial" w:cs="Arial"/>
        </w:rPr>
      </w:pPr>
      <w:r w:rsidRPr="00A50445">
        <w:rPr>
          <w:rStyle w:val="Strong"/>
          <w:rFonts w:ascii="Arial" w:eastAsiaTheme="majorEastAsia" w:hAnsi="Arial" w:cs="Arial"/>
          <w:b w:val="0"/>
          <w:bCs w:val="0"/>
        </w:rPr>
        <w:t>Expand sustainability</w:t>
      </w:r>
      <w:r w:rsidRPr="00A50445">
        <w:rPr>
          <w:rStyle w:val="Strong"/>
          <w:rFonts w:ascii="Arial" w:eastAsiaTheme="majorEastAsia" w:hAnsi="Arial" w:cs="Arial"/>
          <w:b w:val="0"/>
          <w:bCs w:val="0"/>
        </w:rPr>
        <w:noBreakHyphen/>
        <w:t>linked budgeting frameworks</w:t>
      </w:r>
      <w:r w:rsidRPr="005554C1">
        <w:rPr>
          <w:rFonts w:ascii="Arial" w:hAnsi="Arial" w:cs="Arial"/>
        </w:rPr>
        <w:t xml:space="preserve"> to embed carbon</w:t>
      </w:r>
      <w:r w:rsidRPr="005554C1">
        <w:rPr>
          <w:rFonts w:ascii="Arial" w:hAnsi="Arial" w:cs="Arial"/>
        </w:rPr>
        <w:noBreakHyphen/>
        <w:t>reduction targets into financial planning and reinforce progress following the 14% emissions reduction reported in 2025.</w:t>
      </w:r>
    </w:p>
    <w:p w14:paraId="3B165D40" w14:textId="77777777" w:rsidR="008C0737" w:rsidRDefault="008C0737" w:rsidP="008C0737">
      <w:pPr>
        <w:pStyle w:val="NormalWeb"/>
        <w:spacing w:line="360" w:lineRule="auto"/>
        <w:jc w:val="both"/>
        <w:rPr>
          <w:rFonts w:ascii="Arial" w:hAnsi="Arial" w:cs="Arial"/>
        </w:rPr>
      </w:pPr>
    </w:p>
    <w:p w14:paraId="3D9E8E6C" w14:textId="77777777" w:rsidR="000C62C3" w:rsidRDefault="000C62C3" w:rsidP="008C0737">
      <w:pPr>
        <w:pStyle w:val="NormalWeb"/>
        <w:spacing w:line="360" w:lineRule="auto"/>
        <w:jc w:val="both"/>
        <w:rPr>
          <w:rFonts w:ascii="Arial" w:hAnsi="Arial" w:cs="Arial"/>
        </w:rPr>
      </w:pPr>
    </w:p>
    <w:p w14:paraId="0F051704" w14:textId="77777777" w:rsidR="000C62C3" w:rsidRDefault="000C62C3" w:rsidP="008C0737">
      <w:pPr>
        <w:pStyle w:val="NormalWeb"/>
        <w:spacing w:line="360" w:lineRule="auto"/>
        <w:jc w:val="both"/>
        <w:rPr>
          <w:rFonts w:ascii="Arial" w:hAnsi="Arial" w:cs="Arial"/>
        </w:rPr>
      </w:pPr>
    </w:p>
    <w:p w14:paraId="3A9C9333" w14:textId="77777777" w:rsidR="000C62C3" w:rsidRDefault="000C62C3" w:rsidP="008C0737">
      <w:pPr>
        <w:pStyle w:val="NormalWeb"/>
        <w:spacing w:line="360" w:lineRule="auto"/>
        <w:jc w:val="both"/>
        <w:rPr>
          <w:rFonts w:ascii="Arial" w:hAnsi="Arial" w:cs="Arial"/>
        </w:rPr>
      </w:pPr>
    </w:p>
    <w:p w14:paraId="22DB2B24" w14:textId="77777777" w:rsidR="000C62C3" w:rsidRDefault="000C62C3" w:rsidP="008C0737">
      <w:pPr>
        <w:pStyle w:val="NormalWeb"/>
        <w:spacing w:line="360" w:lineRule="auto"/>
        <w:jc w:val="both"/>
        <w:rPr>
          <w:rFonts w:ascii="Arial" w:hAnsi="Arial" w:cs="Arial"/>
        </w:rPr>
      </w:pPr>
    </w:p>
    <w:p w14:paraId="5EC11388" w14:textId="77777777" w:rsidR="000C62C3" w:rsidRDefault="000C62C3" w:rsidP="008C0737">
      <w:pPr>
        <w:pStyle w:val="NormalWeb"/>
        <w:spacing w:line="360" w:lineRule="auto"/>
        <w:jc w:val="both"/>
        <w:rPr>
          <w:rFonts w:ascii="Arial" w:hAnsi="Arial" w:cs="Arial"/>
        </w:rPr>
      </w:pPr>
    </w:p>
    <w:p w14:paraId="052038DD" w14:textId="77777777" w:rsidR="000C62C3" w:rsidRPr="008C0737" w:rsidRDefault="000C62C3" w:rsidP="008C0737">
      <w:pPr>
        <w:pStyle w:val="NormalWeb"/>
        <w:spacing w:line="360" w:lineRule="auto"/>
        <w:jc w:val="both"/>
        <w:rPr>
          <w:rFonts w:ascii="Arial" w:hAnsi="Arial" w:cs="Arial"/>
        </w:rPr>
      </w:pPr>
    </w:p>
    <w:sectPr w:rsidR="000C62C3" w:rsidRPr="008C07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829D7" w14:textId="77777777" w:rsidR="0050619A" w:rsidRDefault="0050619A" w:rsidP="005901D4">
      <w:pPr>
        <w:spacing w:after="0" w:line="240" w:lineRule="auto"/>
      </w:pPr>
      <w:r>
        <w:separator/>
      </w:r>
    </w:p>
  </w:endnote>
  <w:endnote w:type="continuationSeparator" w:id="0">
    <w:p w14:paraId="7B8F908D" w14:textId="77777777" w:rsidR="0050619A" w:rsidRDefault="0050619A" w:rsidP="005901D4">
      <w:pPr>
        <w:spacing w:after="0" w:line="240" w:lineRule="auto"/>
      </w:pPr>
      <w:r>
        <w:continuationSeparator/>
      </w:r>
    </w:p>
  </w:endnote>
  <w:endnote w:type="continuationNotice" w:id="1">
    <w:p w14:paraId="78BBF0FB" w14:textId="77777777" w:rsidR="0050619A" w:rsidRDefault="0050619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090EA" w14:textId="77777777" w:rsidR="0050619A" w:rsidRDefault="0050619A" w:rsidP="005901D4">
      <w:pPr>
        <w:spacing w:after="0" w:line="240" w:lineRule="auto"/>
      </w:pPr>
      <w:r>
        <w:separator/>
      </w:r>
    </w:p>
  </w:footnote>
  <w:footnote w:type="continuationSeparator" w:id="0">
    <w:p w14:paraId="626A91E3" w14:textId="77777777" w:rsidR="0050619A" w:rsidRDefault="0050619A" w:rsidP="005901D4">
      <w:pPr>
        <w:spacing w:after="0" w:line="240" w:lineRule="auto"/>
      </w:pPr>
      <w:r>
        <w:continuationSeparator/>
      </w:r>
    </w:p>
  </w:footnote>
  <w:footnote w:type="continuationNotice" w:id="1">
    <w:p w14:paraId="13E2A8F5" w14:textId="77777777" w:rsidR="0050619A" w:rsidRDefault="0050619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838DB"/>
    <w:multiLevelType w:val="hybridMultilevel"/>
    <w:tmpl w:val="C1D24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997CEB"/>
    <w:multiLevelType w:val="multilevel"/>
    <w:tmpl w:val="48123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91146FA"/>
    <w:multiLevelType w:val="multilevel"/>
    <w:tmpl w:val="3092AB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6369065">
    <w:abstractNumId w:val="0"/>
  </w:num>
  <w:num w:numId="2" w16cid:durableId="1809778246">
    <w:abstractNumId w:val="2"/>
  </w:num>
  <w:num w:numId="3" w16cid:durableId="7378969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927"/>
    <w:rsid w:val="00012927"/>
    <w:rsid w:val="0001781C"/>
    <w:rsid w:val="00020024"/>
    <w:rsid w:val="00032265"/>
    <w:rsid w:val="0005203A"/>
    <w:rsid w:val="000557E2"/>
    <w:rsid w:val="00073054"/>
    <w:rsid w:val="00082B71"/>
    <w:rsid w:val="00096C94"/>
    <w:rsid w:val="000A5F6E"/>
    <w:rsid w:val="000C1B8B"/>
    <w:rsid w:val="000C62C3"/>
    <w:rsid w:val="00104D47"/>
    <w:rsid w:val="0012148F"/>
    <w:rsid w:val="001248F3"/>
    <w:rsid w:val="001312BE"/>
    <w:rsid w:val="00146132"/>
    <w:rsid w:val="00162CA0"/>
    <w:rsid w:val="00164802"/>
    <w:rsid w:val="001A436A"/>
    <w:rsid w:val="001B4F04"/>
    <w:rsid w:val="001C00DA"/>
    <w:rsid w:val="001C44A9"/>
    <w:rsid w:val="001D07CB"/>
    <w:rsid w:val="001E6C59"/>
    <w:rsid w:val="001F3D14"/>
    <w:rsid w:val="00216451"/>
    <w:rsid w:val="00216FAD"/>
    <w:rsid w:val="0021742D"/>
    <w:rsid w:val="002278E3"/>
    <w:rsid w:val="00227B7A"/>
    <w:rsid w:val="00235A79"/>
    <w:rsid w:val="002375B0"/>
    <w:rsid w:val="00253074"/>
    <w:rsid w:val="00261D7C"/>
    <w:rsid w:val="00266484"/>
    <w:rsid w:val="00274D34"/>
    <w:rsid w:val="002751DE"/>
    <w:rsid w:val="00282FC1"/>
    <w:rsid w:val="00283139"/>
    <w:rsid w:val="0028377A"/>
    <w:rsid w:val="002841A0"/>
    <w:rsid w:val="002854B8"/>
    <w:rsid w:val="0029165D"/>
    <w:rsid w:val="0029633E"/>
    <w:rsid w:val="002969BB"/>
    <w:rsid w:val="002B5076"/>
    <w:rsid w:val="002B611F"/>
    <w:rsid w:val="002C144B"/>
    <w:rsid w:val="002C3793"/>
    <w:rsid w:val="002D31A8"/>
    <w:rsid w:val="002D6A78"/>
    <w:rsid w:val="002E1AF9"/>
    <w:rsid w:val="002E256B"/>
    <w:rsid w:val="002E364F"/>
    <w:rsid w:val="002F22B8"/>
    <w:rsid w:val="002F422C"/>
    <w:rsid w:val="0031223D"/>
    <w:rsid w:val="00312566"/>
    <w:rsid w:val="003160FD"/>
    <w:rsid w:val="00342358"/>
    <w:rsid w:val="00345159"/>
    <w:rsid w:val="0035085F"/>
    <w:rsid w:val="00350EE8"/>
    <w:rsid w:val="00352BDE"/>
    <w:rsid w:val="00356634"/>
    <w:rsid w:val="00362672"/>
    <w:rsid w:val="00375E0D"/>
    <w:rsid w:val="003809B9"/>
    <w:rsid w:val="00387522"/>
    <w:rsid w:val="00391019"/>
    <w:rsid w:val="00391718"/>
    <w:rsid w:val="00391F47"/>
    <w:rsid w:val="00393722"/>
    <w:rsid w:val="003A5327"/>
    <w:rsid w:val="003A5430"/>
    <w:rsid w:val="003C138A"/>
    <w:rsid w:val="003D4F5D"/>
    <w:rsid w:val="003E36AD"/>
    <w:rsid w:val="004571BF"/>
    <w:rsid w:val="00462338"/>
    <w:rsid w:val="004628D4"/>
    <w:rsid w:val="004633F0"/>
    <w:rsid w:val="00474660"/>
    <w:rsid w:val="0047620A"/>
    <w:rsid w:val="004833A1"/>
    <w:rsid w:val="004D437D"/>
    <w:rsid w:val="0050192A"/>
    <w:rsid w:val="0050619A"/>
    <w:rsid w:val="005149A6"/>
    <w:rsid w:val="005205C8"/>
    <w:rsid w:val="00525EAA"/>
    <w:rsid w:val="005275D4"/>
    <w:rsid w:val="005554C1"/>
    <w:rsid w:val="005577FB"/>
    <w:rsid w:val="00571CA3"/>
    <w:rsid w:val="005808B8"/>
    <w:rsid w:val="005836A9"/>
    <w:rsid w:val="005901D4"/>
    <w:rsid w:val="00596F7D"/>
    <w:rsid w:val="005A6572"/>
    <w:rsid w:val="005C7577"/>
    <w:rsid w:val="005E48BD"/>
    <w:rsid w:val="005E5F49"/>
    <w:rsid w:val="005E6CF7"/>
    <w:rsid w:val="005F754E"/>
    <w:rsid w:val="005F7B85"/>
    <w:rsid w:val="00624792"/>
    <w:rsid w:val="00657FED"/>
    <w:rsid w:val="00666E75"/>
    <w:rsid w:val="0069149E"/>
    <w:rsid w:val="00695313"/>
    <w:rsid w:val="006B342F"/>
    <w:rsid w:val="006B3F48"/>
    <w:rsid w:val="006C2DD8"/>
    <w:rsid w:val="006C7131"/>
    <w:rsid w:val="007004C0"/>
    <w:rsid w:val="00701FF9"/>
    <w:rsid w:val="00711968"/>
    <w:rsid w:val="0072675F"/>
    <w:rsid w:val="00732F6B"/>
    <w:rsid w:val="00733F67"/>
    <w:rsid w:val="00734B92"/>
    <w:rsid w:val="00750841"/>
    <w:rsid w:val="00752D25"/>
    <w:rsid w:val="00753B23"/>
    <w:rsid w:val="00754E31"/>
    <w:rsid w:val="00761593"/>
    <w:rsid w:val="00765091"/>
    <w:rsid w:val="007713B8"/>
    <w:rsid w:val="00790CD8"/>
    <w:rsid w:val="007935A2"/>
    <w:rsid w:val="007B3283"/>
    <w:rsid w:val="007B4D01"/>
    <w:rsid w:val="007B6037"/>
    <w:rsid w:val="007D50CC"/>
    <w:rsid w:val="007F13BB"/>
    <w:rsid w:val="00815600"/>
    <w:rsid w:val="0083386D"/>
    <w:rsid w:val="00851B17"/>
    <w:rsid w:val="008540C5"/>
    <w:rsid w:val="0085533F"/>
    <w:rsid w:val="008775D2"/>
    <w:rsid w:val="008832A1"/>
    <w:rsid w:val="00885F78"/>
    <w:rsid w:val="008879CB"/>
    <w:rsid w:val="008A1380"/>
    <w:rsid w:val="008A2A59"/>
    <w:rsid w:val="008B3AC3"/>
    <w:rsid w:val="008B7552"/>
    <w:rsid w:val="008B7784"/>
    <w:rsid w:val="008C0737"/>
    <w:rsid w:val="008C25B5"/>
    <w:rsid w:val="008C46CC"/>
    <w:rsid w:val="008C5F1C"/>
    <w:rsid w:val="008D18A7"/>
    <w:rsid w:val="008D7351"/>
    <w:rsid w:val="008E5A6E"/>
    <w:rsid w:val="008E7264"/>
    <w:rsid w:val="0090058B"/>
    <w:rsid w:val="00914048"/>
    <w:rsid w:val="00934235"/>
    <w:rsid w:val="0093548D"/>
    <w:rsid w:val="00945AB9"/>
    <w:rsid w:val="00956B4D"/>
    <w:rsid w:val="00956CD6"/>
    <w:rsid w:val="00957F7E"/>
    <w:rsid w:val="00966720"/>
    <w:rsid w:val="0097791A"/>
    <w:rsid w:val="009828E0"/>
    <w:rsid w:val="00987A47"/>
    <w:rsid w:val="009A674E"/>
    <w:rsid w:val="009A722A"/>
    <w:rsid w:val="009C31D2"/>
    <w:rsid w:val="009C711B"/>
    <w:rsid w:val="009E0182"/>
    <w:rsid w:val="009E60FE"/>
    <w:rsid w:val="009E7EF8"/>
    <w:rsid w:val="00A01CC2"/>
    <w:rsid w:val="00A02A72"/>
    <w:rsid w:val="00A03FD9"/>
    <w:rsid w:val="00A06019"/>
    <w:rsid w:val="00A40496"/>
    <w:rsid w:val="00A42807"/>
    <w:rsid w:val="00A428DF"/>
    <w:rsid w:val="00A50445"/>
    <w:rsid w:val="00A57AC1"/>
    <w:rsid w:val="00A70BB5"/>
    <w:rsid w:val="00A70FAF"/>
    <w:rsid w:val="00A74AD8"/>
    <w:rsid w:val="00A83EFC"/>
    <w:rsid w:val="00A9383E"/>
    <w:rsid w:val="00AA1253"/>
    <w:rsid w:val="00AA2D42"/>
    <w:rsid w:val="00AA79DC"/>
    <w:rsid w:val="00AA7B64"/>
    <w:rsid w:val="00AB47B1"/>
    <w:rsid w:val="00AC5FF0"/>
    <w:rsid w:val="00AD6334"/>
    <w:rsid w:val="00AF10FC"/>
    <w:rsid w:val="00B178D2"/>
    <w:rsid w:val="00B22204"/>
    <w:rsid w:val="00B25362"/>
    <w:rsid w:val="00B462AC"/>
    <w:rsid w:val="00B467C1"/>
    <w:rsid w:val="00B5257A"/>
    <w:rsid w:val="00B60D2B"/>
    <w:rsid w:val="00B63FDB"/>
    <w:rsid w:val="00B65C28"/>
    <w:rsid w:val="00B71358"/>
    <w:rsid w:val="00B73FB2"/>
    <w:rsid w:val="00B777F5"/>
    <w:rsid w:val="00B87856"/>
    <w:rsid w:val="00BA2CBF"/>
    <w:rsid w:val="00BA71DE"/>
    <w:rsid w:val="00BB0CC6"/>
    <w:rsid w:val="00BC2C29"/>
    <w:rsid w:val="00BC4A3C"/>
    <w:rsid w:val="00BC7223"/>
    <w:rsid w:val="00BD45B8"/>
    <w:rsid w:val="00BE33D6"/>
    <w:rsid w:val="00C1373A"/>
    <w:rsid w:val="00C207D9"/>
    <w:rsid w:val="00C31C9C"/>
    <w:rsid w:val="00C41CAA"/>
    <w:rsid w:val="00C46CC7"/>
    <w:rsid w:val="00C667D2"/>
    <w:rsid w:val="00C675F5"/>
    <w:rsid w:val="00C70267"/>
    <w:rsid w:val="00C73E2D"/>
    <w:rsid w:val="00C73ED8"/>
    <w:rsid w:val="00C7411F"/>
    <w:rsid w:val="00C8520E"/>
    <w:rsid w:val="00C94773"/>
    <w:rsid w:val="00C97D38"/>
    <w:rsid w:val="00CB34E9"/>
    <w:rsid w:val="00D02987"/>
    <w:rsid w:val="00D16E5E"/>
    <w:rsid w:val="00D2556F"/>
    <w:rsid w:val="00D316C9"/>
    <w:rsid w:val="00D53497"/>
    <w:rsid w:val="00D56257"/>
    <w:rsid w:val="00D82944"/>
    <w:rsid w:val="00D90E18"/>
    <w:rsid w:val="00DA2A64"/>
    <w:rsid w:val="00DA4A72"/>
    <w:rsid w:val="00DB1277"/>
    <w:rsid w:val="00DB2DCF"/>
    <w:rsid w:val="00DB6217"/>
    <w:rsid w:val="00DC3701"/>
    <w:rsid w:val="00DD14E6"/>
    <w:rsid w:val="00DD27A1"/>
    <w:rsid w:val="00DD3535"/>
    <w:rsid w:val="00DF08C5"/>
    <w:rsid w:val="00DF66E2"/>
    <w:rsid w:val="00E01C8E"/>
    <w:rsid w:val="00E11E15"/>
    <w:rsid w:val="00E344D0"/>
    <w:rsid w:val="00E66979"/>
    <w:rsid w:val="00E71EF9"/>
    <w:rsid w:val="00E828CC"/>
    <w:rsid w:val="00E97217"/>
    <w:rsid w:val="00EA67BF"/>
    <w:rsid w:val="00EB38D2"/>
    <w:rsid w:val="00EB647B"/>
    <w:rsid w:val="00EC6732"/>
    <w:rsid w:val="00EC7C61"/>
    <w:rsid w:val="00EE7C39"/>
    <w:rsid w:val="00F06AA5"/>
    <w:rsid w:val="00F27DCF"/>
    <w:rsid w:val="00F404BE"/>
    <w:rsid w:val="00F4560C"/>
    <w:rsid w:val="00F509CF"/>
    <w:rsid w:val="00F620FF"/>
    <w:rsid w:val="00F87138"/>
    <w:rsid w:val="00F9460C"/>
    <w:rsid w:val="00FA60BA"/>
    <w:rsid w:val="00FB5246"/>
    <w:rsid w:val="00FB5C6C"/>
    <w:rsid w:val="00FE2199"/>
    <w:rsid w:val="00FF5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47080"/>
  <w15:chartTrackingRefBased/>
  <w15:docId w15:val="{F6E56DE1-AC06-40B7-BF11-6FE6AAD08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F49"/>
  </w:style>
  <w:style w:type="paragraph" w:styleId="Heading1">
    <w:name w:val="heading 1"/>
    <w:basedOn w:val="Normal"/>
    <w:next w:val="Normal"/>
    <w:link w:val="Heading1Char"/>
    <w:uiPriority w:val="9"/>
    <w:qFormat/>
    <w:rsid w:val="000129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29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29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29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29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29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29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29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29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9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29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29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29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29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29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29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29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2927"/>
    <w:rPr>
      <w:rFonts w:eastAsiaTheme="majorEastAsia" w:cstheme="majorBidi"/>
      <w:color w:val="272727" w:themeColor="text1" w:themeTint="D8"/>
    </w:rPr>
  </w:style>
  <w:style w:type="paragraph" w:styleId="Title">
    <w:name w:val="Title"/>
    <w:basedOn w:val="Normal"/>
    <w:next w:val="Normal"/>
    <w:link w:val="TitleChar"/>
    <w:uiPriority w:val="10"/>
    <w:qFormat/>
    <w:rsid w:val="000129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29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29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29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2927"/>
    <w:pPr>
      <w:spacing w:before="160"/>
      <w:jc w:val="center"/>
    </w:pPr>
    <w:rPr>
      <w:i/>
      <w:iCs/>
      <w:color w:val="404040" w:themeColor="text1" w:themeTint="BF"/>
    </w:rPr>
  </w:style>
  <w:style w:type="character" w:customStyle="1" w:styleId="QuoteChar">
    <w:name w:val="Quote Char"/>
    <w:basedOn w:val="DefaultParagraphFont"/>
    <w:link w:val="Quote"/>
    <w:uiPriority w:val="29"/>
    <w:rsid w:val="00012927"/>
    <w:rPr>
      <w:i/>
      <w:iCs/>
      <w:color w:val="404040" w:themeColor="text1" w:themeTint="BF"/>
    </w:rPr>
  </w:style>
  <w:style w:type="paragraph" w:styleId="ListParagraph">
    <w:name w:val="List Paragraph"/>
    <w:basedOn w:val="Normal"/>
    <w:uiPriority w:val="34"/>
    <w:qFormat/>
    <w:rsid w:val="00012927"/>
    <w:pPr>
      <w:ind w:left="720"/>
      <w:contextualSpacing/>
    </w:pPr>
  </w:style>
  <w:style w:type="character" w:styleId="IntenseEmphasis">
    <w:name w:val="Intense Emphasis"/>
    <w:basedOn w:val="DefaultParagraphFont"/>
    <w:uiPriority w:val="21"/>
    <w:qFormat/>
    <w:rsid w:val="00012927"/>
    <w:rPr>
      <w:i/>
      <w:iCs/>
      <w:color w:val="0F4761" w:themeColor="accent1" w:themeShade="BF"/>
    </w:rPr>
  </w:style>
  <w:style w:type="paragraph" w:styleId="IntenseQuote">
    <w:name w:val="Intense Quote"/>
    <w:basedOn w:val="Normal"/>
    <w:next w:val="Normal"/>
    <w:link w:val="IntenseQuoteChar"/>
    <w:uiPriority w:val="30"/>
    <w:qFormat/>
    <w:rsid w:val="000129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2927"/>
    <w:rPr>
      <w:i/>
      <w:iCs/>
      <w:color w:val="0F4761" w:themeColor="accent1" w:themeShade="BF"/>
    </w:rPr>
  </w:style>
  <w:style w:type="character" w:styleId="IntenseReference">
    <w:name w:val="Intense Reference"/>
    <w:basedOn w:val="DefaultParagraphFont"/>
    <w:uiPriority w:val="32"/>
    <w:qFormat/>
    <w:rsid w:val="00012927"/>
    <w:rPr>
      <w:b/>
      <w:bCs/>
      <w:smallCaps/>
      <w:color w:val="0F4761" w:themeColor="accent1" w:themeShade="BF"/>
      <w:spacing w:val="5"/>
    </w:rPr>
  </w:style>
  <w:style w:type="table" w:styleId="TableGrid">
    <w:name w:val="Table Grid"/>
    <w:basedOn w:val="TableNormal"/>
    <w:uiPriority w:val="39"/>
    <w:rsid w:val="000129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12927"/>
    <w:pPr>
      <w:spacing w:after="0" w:line="240" w:lineRule="auto"/>
    </w:pPr>
  </w:style>
  <w:style w:type="paragraph" w:styleId="NormalWeb">
    <w:name w:val="Normal (Web)"/>
    <w:basedOn w:val="Normal"/>
    <w:uiPriority w:val="99"/>
    <w:unhideWhenUsed/>
    <w:rsid w:val="0001292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12927"/>
    <w:rPr>
      <w:color w:val="0000FF"/>
      <w:u w:val="single"/>
    </w:rPr>
  </w:style>
  <w:style w:type="character" w:styleId="FollowedHyperlink">
    <w:name w:val="FollowedHyperlink"/>
    <w:basedOn w:val="DefaultParagraphFont"/>
    <w:uiPriority w:val="99"/>
    <w:semiHidden/>
    <w:unhideWhenUsed/>
    <w:rsid w:val="00345159"/>
    <w:rPr>
      <w:color w:val="96607D" w:themeColor="followedHyperlink"/>
      <w:u w:val="single"/>
    </w:rPr>
  </w:style>
  <w:style w:type="character" w:styleId="UnresolvedMention">
    <w:name w:val="Unresolved Mention"/>
    <w:basedOn w:val="DefaultParagraphFont"/>
    <w:uiPriority w:val="99"/>
    <w:semiHidden/>
    <w:unhideWhenUsed/>
    <w:rsid w:val="00FE2199"/>
    <w:rPr>
      <w:color w:val="605E5C"/>
      <w:shd w:val="clear" w:color="auto" w:fill="E1DFDD"/>
    </w:rPr>
  </w:style>
  <w:style w:type="character" w:styleId="Strong">
    <w:name w:val="Strong"/>
    <w:basedOn w:val="DefaultParagraphFont"/>
    <w:uiPriority w:val="22"/>
    <w:qFormat/>
    <w:rsid w:val="005554C1"/>
    <w:rPr>
      <w:b/>
      <w:bCs/>
    </w:rPr>
  </w:style>
  <w:style w:type="paragraph" w:styleId="Header">
    <w:name w:val="header"/>
    <w:basedOn w:val="Normal"/>
    <w:link w:val="HeaderChar"/>
    <w:uiPriority w:val="99"/>
    <w:unhideWhenUsed/>
    <w:rsid w:val="00590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1D4"/>
  </w:style>
  <w:style w:type="paragraph" w:styleId="Footer">
    <w:name w:val="footer"/>
    <w:basedOn w:val="Normal"/>
    <w:link w:val="FooterChar"/>
    <w:uiPriority w:val="99"/>
    <w:unhideWhenUsed/>
    <w:rsid w:val="00590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1D4"/>
  </w:style>
  <w:style w:type="paragraph" w:styleId="TOCHeading">
    <w:name w:val="TOC Heading"/>
    <w:basedOn w:val="Heading1"/>
    <w:next w:val="Normal"/>
    <w:uiPriority w:val="39"/>
    <w:unhideWhenUsed/>
    <w:qFormat/>
    <w:rsid w:val="00BA71D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52D25"/>
    <w:pPr>
      <w:spacing w:after="100"/>
    </w:pPr>
  </w:style>
  <w:style w:type="paragraph" w:styleId="TOC2">
    <w:name w:val="toc 2"/>
    <w:basedOn w:val="Normal"/>
    <w:next w:val="Normal"/>
    <w:autoRedefine/>
    <w:uiPriority w:val="39"/>
    <w:unhideWhenUsed/>
    <w:rsid w:val="00752D25"/>
    <w:pPr>
      <w:spacing w:after="100"/>
      <w:ind w:left="240"/>
    </w:pPr>
  </w:style>
  <w:style w:type="character" w:styleId="CommentReference">
    <w:name w:val="annotation reference"/>
    <w:basedOn w:val="DefaultParagraphFont"/>
    <w:uiPriority w:val="99"/>
    <w:semiHidden/>
    <w:unhideWhenUsed/>
    <w:rsid w:val="00D316C9"/>
    <w:rPr>
      <w:sz w:val="16"/>
      <w:szCs w:val="16"/>
    </w:rPr>
  </w:style>
  <w:style w:type="paragraph" w:styleId="CommentText">
    <w:name w:val="annotation text"/>
    <w:basedOn w:val="Normal"/>
    <w:link w:val="CommentTextChar"/>
    <w:uiPriority w:val="99"/>
    <w:semiHidden/>
    <w:unhideWhenUsed/>
    <w:rsid w:val="00D316C9"/>
    <w:pPr>
      <w:spacing w:line="240" w:lineRule="auto"/>
    </w:pPr>
    <w:rPr>
      <w:sz w:val="20"/>
      <w:szCs w:val="20"/>
    </w:rPr>
  </w:style>
  <w:style w:type="character" w:customStyle="1" w:styleId="CommentTextChar">
    <w:name w:val="Comment Text Char"/>
    <w:basedOn w:val="DefaultParagraphFont"/>
    <w:link w:val="CommentText"/>
    <w:uiPriority w:val="99"/>
    <w:semiHidden/>
    <w:rsid w:val="00D316C9"/>
    <w:rPr>
      <w:sz w:val="20"/>
      <w:szCs w:val="20"/>
    </w:rPr>
  </w:style>
  <w:style w:type="paragraph" w:styleId="CommentSubject">
    <w:name w:val="annotation subject"/>
    <w:basedOn w:val="CommentText"/>
    <w:next w:val="CommentText"/>
    <w:link w:val="CommentSubjectChar"/>
    <w:uiPriority w:val="99"/>
    <w:semiHidden/>
    <w:unhideWhenUsed/>
    <w:rsid w:val="00D316C9"/>
    <w:rPr>
      <w:b/>
      <w:bCs/>
    </w:rPr>
  </w:style>
  <w:style w:type="character" w:customStyle="1" w:styleId="CommentSubjectChar">
    <w:name w:val="Comment Subject Char"/>
    <w:basedOn w:val="CommentTextChar"/>
    <w:link w:val="CommentSubject"/>
    <w:uiPriority w:val="99"/>
    <w:semiHidden/>
    <w:rsid w:val="00D316C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139988">
      <w:bodyDiv w:val="1"/>
      <w:marLeft w:val="0"/>
      <w:marRight w:val="0"/>
      <w:marTop w:val="0"/>
      <w:marBottom w:val="0"/>
      <w:divBdr>
        <w:top w:val="none" w:sz="0" w:space="0" w:color="auto"/>
        <w:left w:val="none" w:sz="0" w:space="0" w:color="auto"/>
        <w:bottom w:val="none" w:sz="0" w:space="0" w:color="auto"/>
        <w:right w:val="none" w:sz="0" w:space="0" w:color="auto"/>
      </w:divBdr>
    </w:div>
    <w:div w:id="785387504">
      <w:bodyDiv w:val="1"/>
      <w:marLeft w:val="0"/>
      <w:marRight w:val="0"/>
      <w:marTop w:val="0"/>
      <w:marBottom w:val="0"/>
      <w:divBdr>
        <w:top w:val="none" w:sz="0" w:space="0" w:color="auto"/>
        <w:left w:val="none" w:sz="0" w:space="0" w:color="auto"/>
        <w:bottom w:val="none" w:sz="0" w:space="0" w:color="auto"/>
        <w:right w:val="none" w:sz="0" w:space="0" w:color="auto"/>
      </w:divBdr>
      <w:divsChild>
        <w:div w:id="588392612">
          <w:marLeft w:val="0"/>
          <w:marRight w:val="0"/>
          <w:marTop w:val="0"/>
          <w:marBottom w:val="0"/>
          <w:divBdr>
            <w:top w:val="none" w:sz="0" w:space="0" w:color="auto"/>
            <w:left w:val="none" w:sz="0" w:space="0" w:color="auto"/>
            <w:bottom w:val="none" w:sz="0" w:space="0" w:color="auto"/>
            <w:right w:val="none" w:sz="0" w:space="0" w:color="auto"/>
          </w:divBdr>
        </w:div>
      </w:divsChild>
    </w:div>
    <w:div w:id="796214891">
      <w:bodyDiv w:val="1"/>
      <w:marLeft w:val="0"/>
      <w:marRight w:val="0"/>
      <w:marTop w:val="0"/>
      <w:marBottom w:val="0"/>
      <w:divBdr>
        <w:top w:val="none" w:sz="0" w:space="0" w:color="auto"/>
        <w:left w:val="none" w:sz="0" w:space="0" w:color="auto"/>
        <w:bottom w:val="none" w:sz="0" w:space="0" w:color="auto"/>
        <w:right w:val="none" w:sz="0" w:space="0" w:color="auto"/>
      </w:divBdr>
    </w:div>
    <w:div w:id="850098410">
      <w:bodyDiv w:val="1"/>
      <w:marLeft w:val="0"/>
      <w:marRight w:val="0"/>
      <w:marTop w:val="0"/>
      <w:marBottom w:val="0"/>
      <w:divBdr>
        <w:top w:val="none" w:sz="0" w:space="0" w:color="auto"/>
        <w:left w:val="none" w:sz="0" w:space="0" w:color="auto"/>
        <w:bottom w:val="none" w:sz="0" w:space="0" w:color="auto"/>
        <w:right w:val="none" w:sz="0" w:space="0" w:color="auto"/>
      </w:divBdr>
    </w:div>
    <w:div w:id="986981936">
      <w:bodyDiv w:val="1"/>
      <w:marLeft w:val="0"/>
      <w:marRight w:val="0"/>
      <w:marTop w:val="0"/>
      <w:marBottom w:val="0"/>
      <w:divBdr>
        <w:top w:val="none" w:sz="0" w:space="0" w:color="auto"/>
        <w:left w:val="none" w:sz="0" w:space="0" w:color="auto"/>
        <w:bottom w:val="none" w:sz="0" w:space="0" w:color="auto"/>
        <w:right w:val="none" w:sz="0" w:space="0" w:color="auto"/>
      </w:divBdr>
      <w:divsChild>
        <w:div w:id="931745305">
          <w:marLeft w:val="0"/>
          <w:marRight w:val="0"/>
          <w:marTop w:val="0"/>
          <w:marBottom w:val="0"/>
          <w:divBdr>
            <w:top w:val="none" w:sz="0" w:space="0" w:color="auto"/>
            <w:left w:val="none" w:sz="0" w:space="0" w:color="auto"/>
            <w:bottom w:val="none" w:sz="0" w:space="0" w:color="auto"/>
            <w:right w:val="none" w:sz="0" w:space="0" w:color="auto"/>
          </w:divBdr>
        </w:div>
      </w:divsChild>
    </w:div>
    <w:div w:id="1011495549">
      <w:bodyDiv w:val="1"/>
      <w:marLeft w:val="0"/>
      <w:marRight w:val="0"/>
      <w:marTop w:val="0"/>
      <w:marBottom w:val="0"/>
      <w:divBdr>
        <w:top w:val="none" w:sz="0" w:space="0" w:color="auto"/>
        <w:left w:val="none" w:sz="0" w:space="0" w:color="auto"/>
        <w:bottom w:val="none" w:sz="0" w:space="0" w:color="auto"/>
        <w:right w:val="none" w:sz="0" w:space="0" w:color="auto"/>
      </w:divBdr>
      <w:divsChild>
        <w:div w:id="381708577">
          <w:marLeft w:val="0"/>
          <w:marRight w:val="0"/>
          <w:marTop w:val="0"/>
          <w:marBottom w:val="0"/>
          <w:divBdr>
            <w:top w:val="none" w:sz="0" w:space="0" w:color="auto"/>
            <w:left w:val="none" w:sz="0" w:space="0" w:color="auto"/>
            <w:bottom w:val="none" w:sz="0" w:space="0" w:color="auto"/>
            <w:right w:val="none" w:sz="0" w:space="0" w:color="auto"/>
          </w:divBdr>
        </w:div>
      </w:divsChild>
    </w:div>
    <w:div w:id="1038048993">
      <w:bodyDiv w:val="1"/>
      <w:marLeft w:val="0"/>
      <w:marRight w:val="0"/>
      <w:marTop w:val="0"/>
      <w:marBottom w:val="0"/>
      <w:divBdr>
        <w:top w:val="none" w:sz="0" w:space="0" w:color="auto"/>
        <w:left w:val="none" w:sz="0" w:space="0" w:color="auto"/>
        <w:bottom w:val="none" w:sz="0" w:space="0" w:color="auto"/>
        <w:right w:val="none" w:sz="0" w:space="0" w:color="auto"/>
      </w:divBdr>
      <w:divsChild>
        <w:div w:id="497699997">
          <w:marLeft w:val="0"/>
          <w:marRight w:val="0"/>
          <w:marTop w:val="0"/>
          <w:marBottom w:val="0"/>
          <w:divBdr>
            <w:top w:val="none" w:sz="0" w:space="0" w:color="auto"/>
            <w:left w:val="none" w:sz="0" w:space="0" w:color="auto"/>
            <w:bottom w:val="none" w:sz="0" w:space="0" w:color="auto"/>
            <w:right w:val="none" w:sz="0" w:space="0" w:color="auto"/>
          </w:divBdr>
        </w:div>
      </w:divsChild>
    </w:div>
    <w:div w:id="1655989709">
      <w:bodyDiv w:val="1"/>
      <w:marLeft w:val="0"/>
      <w:marRight w:val="0"/>
      <w:marTop w:val="0"/>
      <w:marBottom w:val="0"/>
      <w:divBdr>
        <w:top w:val="none" w:sz="0" w:space="0" w:color="auto"/>
        <w:left w:val="none" w:sz="0" w:space="0" w:color="auto"/>
        <w:bottom w:val="none" w:sz="0" w:space="0" w:color="auto"/>
        <w:right w:val="none" w:sz="0" w:space="0" w:color="auto"/>
      </w:divBdr>
      <w:divsChild>
        <w:div w:id="1583952085">
          <w:marLeft w:val="0"/>
          <w:marRight w:val="0"/>
          <w:marTop w:val="0"/>
          <w:marBottom w:val="0"/>
          <w:divBdr>
            <w:top w:val="none" w:sz="0" w:space="0" w:color="auto"/>
            <w:left w:val="none" w:sz="0" w:space="0" w:color="auto"/>
            <w:bottom w:val="none" w:sz="0" w:space="0" w:color="auto"/>
            <w:right w:val="none" w:sz="0" w:space="0" w:color="auto"/>
          </w:divBdr>
        </w:div>
      </w:divsChild>
    </w:div>
    <w:div w:id="1707177967">
      <w:bodyDiv w:val="1"/>
      <w:marLeft w:val="0"/>
      <w:marRight w:val="0"/>
      <w:marTop w:val="0"/>
      <w:marBottom w:val="0"/>
      <w:divBdr>
        <w:top w:val="none" w:sz="0" w:space="0" w:color="auto"/>
        <w:left w:val="none" w:sz="0" w:space="0" w:color="auto"/>
        <w:bottom w:val="none" w:sz="0" w:space="0" w:color="auto"/>
        <w:right w:val="none" w:sz="0" w:space="0" w:color="auto"/>
      </w:divBdr>
    </w:div>
    <w:div w:id="1844391950">
      <w:bodyDiv w:val="1"/>
      <w:marLeft w:val="0"/>
      <w:marRight w:val="0"/>
      <w:marTop w:val="0"/>
      <w:marBottom w:val="0"/>
      <w:divBdr>
        <w:top w:val="none" w:sz="0" w:space="0" w:color="auto"/>
        <w:left w:val="none" w:sz="0" w:space="0" w:color="auto"/>
        <w:bottom w:val="none" w:sz="0" w:space="0" w:color="auto"/>
        <w:right w:val="none" w:sz="0" w:space="0" w:color="auto"/>
      </w:divBdr>
    </w:div>
    <w:div w:id="1924801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EDCD02-6A78-4C10-8DE3-1EA439D7B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2701</Words>
  <Characters>15398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 Keanene</dc:creator>
  <cp:keywords/>
  <dc:description/>
  <cp:lastModifiedBy>Badru Keanene</cp:lastModifiedBy>
  <cp:revision>3</cp:revision>
  <dcterms:created xsi:type="dcterms:W3CDTF">2026-07-14T15:34:00Z</dcterms:created>
  <dcterms:modified xsi:type="dcterms:W3CDTF">2026-07-14T15:35:00Z</dcterms:modified>
</cp:coreProperties>
</file>