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ABB72B" w14:textId="77777777" w:rsidR="004450F2" w:rsidRPr="00E62AA7" w:rsidRDefault="004450F2" w:rsidP="007850AF">
      <w:pPr>
        <w:spacing w:line="360" w:lineRule="auto"/>
        <w:jc w:val="both"/>
        <w:rPr>
          <w:rFonts w:ascii="Times New Roman" w:hAnsi="Times New Roman" w:cs="Times New Roman"/>
          <w:sz w:val="24"/>
          <w:szCs w:val="24"/>
        </w:rPr>
      </w:pPr>
    </w:p>
    <w:p w14:paraId="53BC7305" w14:textId="77777777" w:rsidR="00AF6C10" w:rsidRPr="00AF6C10" w:rsidRDefault="00AF6C10" w:rsidP="00AF6C10">
      <w:pPr>
        <w:spacing w:before="0" w:after="0" w:line="360" w:lineRule="auto"/>
        <w:jc w:val="center"/>
        <w:rPr>
          <w:rFonts w:ascii="Arial" w:eastAsia="Arial" w:hAnsi="Arial" w:cs="Arial"/>
          <w:b/>
          <w:bCs/>
          <w:sz w:val="40"/>
          <w:szCs w:val="40"/>
          <w:lang w:val="en-GB" w:eastAsia="en-GB"/>
        </w:rPr>
      </w:pPr>
      <w:r w:rsidRPr="00AF6C10">
        <w:rPr>
          <w:rFonts w:ascii="Arial" w:eastAsia="Arial" w:hAnsi="Arial" w:cs="Arial"/>
          <w:noProof/>
          <w:sz w:val="22"/>
          <w:szCs w:val="22"/>
          <w:lang w:val="en-GB" w:eastAsia="en-GB"/>
        </w:rPr>
        <w:drawing>
          <wp:anchor distT="57150" distB="57150" distL="57150" distR="57150" simplePos="0" relativeHeight="251659264" behindDoc="0" locked="0" layoutInCell="1" allowOverlap="1" wp14:anchorId="3FAFB02E" wp14:editId="5206AD6D">
            <wp:simplePos x="0" y="0"/>
            <wp:positionH relativeFrom="column">
              <wp:posOffset>2000250</wp:posOffset>
            </wp:positionH>
            <wp:positionV relativeFrom="line">
              <wp:posOffset>18415</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8"/>
                    <a:stretch>
                      <a:fillRect/>
                    </a:stretch>
                  </pic:blipFill>
                  <pic:spPr>
                    <a:xfrm>
                      <a:off x="0" y="0"/>
                      <a:ext cx="1809750" cy="723900"/>
                    </a:xfrm>
                    <a:prstGeom prst="rect">
                      <a:avLst/>
                    </a:prstGeom>
                    <a:ln w="12700" cap="flat">
                      <a:noFill/>
                      <a:miter lim="400000"/>
                    </a:ln>
                    <a:effectLst/>
                  </pic:spPr>
                </pic:pic>
              </a:graphicData>
            </a:graphic>
          </wp:anchor>
        </w:drawing>
      </w:r>
    </w:p>
    <w:p w14:paraId="7F95721C" w14:textId="77777777" w:rsidR="00AF6C10" w:rsidRPr="00AF6C10" w:rsidRDefault="00AF6C10" w:rsidP="00AF6C10">
      <w:pPr>
        <w:spacing w:before="0" w:after="0" w:line="360" w:lineRule="auto"/>
        <w:jc w:val="center"/>
        <w:rPr>
          <w:rFonts w:ascii="Arial" w:eastAsia="Arial" w:hAnsi="Arial" w:cs="Arial"/>
          <w:b/>
          <w:bCs/>
          <w:sz w:val="40"/>
          <w:szCs w:val="40"/>
          <w:lang w:val="en-GB" w:eastAsia="en-GB"/>
        </w:rPr>
      </w:pPr>
    </w:p>
    <w:p w14:paraId="2347A092" w14:textId="77777777" w:rsidR="00AF6C10" w:rsidRPr="00AF6C10" w:rsidRDefault="00AF6C10" w:rsidP="00AF6C10">
      <w:pPr>
        <w:spacing w:before="0" w:after="0" w:line="360" w:lineRule="auto"/>
        <w:jc w:val="center"/>
        <w:rPr>
          <w:rFonts w:ascii="Arial" w:eastAsia="Arial" w:hAnsi="Arial" w:cs="Arial"/>
          <w:b/>
          <w:bCs/>
          <w:sz w:val="40"/>
          <w:szCs w:val="40"/>
          <w:lang w:val="en-GB" w:eastAsia="en-GB"/>
        </w:rPr>
      </w:pPr>
    </w:p>
    <w:p w14:paraId="0DE7D962" w14:textId="77777777" w:rsidR="00AF6C10" w:rsidRPr="00AF6C10" w:rsidRDefault="00AF6C10" w:rsidP="002C7A33">
      <w:pPr>
        <w:spacing w:line="360" w:lineRule="auto"/>
        <w:jc w:val="center"/>
        <w:rPr>
          <w:rFonts w:ascii="Times New Roman" w:hAnsi="Times New Roman" w:cs="Times New Roman"/>
          <w:b/>
          <w:sz w:val="28"/>
          <w:szCs w:val="28"/>
        </w:rPr>
      </w:pPr>
      <w:r w:rsidRPr="00AF6C10">
        <w:rPr>
          <w:rFonts w:ascii="Times New Roman" w:hAnsi="Times New Roman" w:cs="Times New Roman"/>
          <w:b/>
          <w:sz w:val="28"/>
          <w:szCs w:val="28"/>
        </w:rPr>
        <w:t>Module: Global Business Challenges</w:t>
      </w:r>
    </w:p>
    <w:p w14:paraId="128B3E00" w14:textId="77777777" w:rsidR="00AF6C10" w:rsidRPr="00AF6C10" w:rsidRDefault="00AF6C10" w:rsidP="002C7A33">
      <w:pPr>
        <w:spacing w:line="360" w:lineRule="auto"/>
        <w:jc w:val="center"/>
        <w:rPr>
          <w:rFonts w:ascii="Times New Roman" w:hAnsi="Times New Roman" w:cs="Times New Roman"/>
          <w:b/>
          <w:sz w:val="28"/>
          <w:szCs w:val="28"/>
        </w:rPr>
      </w:pPr>
      <w:r w:rsidRPr="00AF6C10">
        <w:rPr>
          <w:rFonts w:ascii="Times New Roman" w:hAnsi="Times New Roman" w:cs="Times New Roman"/>
          <w:b/>
          <w:sz w:val="28"/>
          <w:szCs w:val="28"/>
        </w:rPr>
        <w:t>Module code: BMMB7006</w:t>
      </w:r>
    </w:p>
    <w:p w14:paraId="02D63EBA" w14:textId="77777777" w:rsidR="00AF6C10" w:rsidRPr="00AF6C10" w:rsidRDefault="00AF6C10" w:rsidP="002C7A33">
      <w:pPr>
        <w:spacing w:line="360" w:lineRule="auto"/>
        <w:jc w:val="center"/>
        <w:rPr>
          <w:rFonts w:ascii="Times New Roman" w:hAnsi="Times New Roman" w:cs="Times New Roman"/>
          <w:b/>
          <w:sz w:val="28"/>
          <w:szCs w:val="28"/>
        </w:rPr>
      </w:pPr>
      <w:r w:rsidRPr="00AF6C10">
        <w:rPr>
          <w:rFonts w:ascii="Times New Roman" w:hAnsi="Times New Roman" w:cs="Times New Roman"/>
          <w:b/>
          <w:sz w:val="28"/>
          <w:szCs w:val="28"/>
        </w:rPr>
        <w:t>Lecturer: Rebecca Francis-Davies</w:t>
      </w:r>
    </w:p>
    <w:p w14:paraId="703105F0" w14:textId="77777777" w:rsidR="00AF6C10" w:rsidRPr="00AF6C10" w:rsidRDefault="00AF6C10" w:rsidP="00AF6C10">
      <w:pPr>
        <w:spacing w:before="0" w:after="0" w:line="360" w:lineRule="auto"/>
        <w:jc w:val="center"/>
        <w:rPr>
          <w:rFonts w:ascii="Times New Roman" w:eastAsia="Arial" w:hAnsi="Times New Roman" w:cs="Times New Roman"/>
          <w:b/>
          <w:bCs/>
          <w:sz w:val="28"/>
          <w:szCs w:val="28"/>
          <w:lang w:val="en-GB" w:eastAsia="en-GB"/>
        </w:rPr>
      </w:pPr>
    </w:p>
    <w:p w14:paraId="76220F2F" w14:textId="77777777" w:rsidR="004450F2" w:rsidRPr="00E62AA7" w:rsidRDefault="004450F2" w:rsidP="007850AF">
      <w:pPr>
        <w:spacing w:line="360" w:lineRule="auto"/>
        <w:jc w:val="both"/>
        <w:rPr>
          <w:rFonts w:ascii="Times New Roman" w:hAnsi="Times New Roman" w:cs="Times New Roman"/>
          <w:sz w:val="24"/>
          <w:szCs w:val="24"/>
        </w:rPr>
      </w:pPr>
    </w:p>
    <w:p w14:paraId="7F17BAE3" w14:textId="77777777" w:rsidR="004450F2" w:rsidRPr="00AF6C10" w:rsidRDefault="00A900DC" w:rsidP="00AF6C10">
      <w:pPr>
        <w:spacing w:line="360" w:lineRule="auto"/>
        <w:jc w:val="center"/>
        <w:rPr>
          <w:rFonts w:ascii="Times New Roman" w:hAnsi="Times New Roman" w:cs="Times New Roman"/>
          <w:sz w:val="28"/>
          <w:szCs w:val="28"/>
        </w:rPr>
      </w:pPr>
      <w:r w:rsidRPr="00AF6C10">
        <w:rPr>
          <w:rFonts w:ascii="Times New Roman" w:hAnsi="Times New Roman" w:cs="Times New Roman"/>
          <w:b/>
          <w:sz w:val="28"/>
          <w:szCs w:val="28"/>
        </w:rPr>
        <w:t>Regulatory Volatility, AI Assurance and Risk Management at Sage Group plc</w:t>
      </w:r>
    </w:p>
    <w:p w14:paraId="0A4D09DE" w14:textId="77777777" w:rsidR="004450F2" w:rsidRPr="00AF6C10" w:rsidRDefault="004450F2" w:rsidP="00AF6C10">
      <w:pPr>
        <w:spacing w:line="360" w:lineRule="auto"/>
        <w:jc w:val="center"/>
        <w:rPr>
          <w:rFonts w:ascii="Times New Roman" w:hAnsi="Times New Roman" w:cs="Times New Roman"/>
          <w:sz w:val="28"/>
          <w:szCs w:val="28"/>
        </w:rPr>
      </w:pPr>
    </w:p>
    <w:p w14:paraId="209763B9" w14:textId="77777777" w:rsidR="00AF6C10" w:rsidRPr="00AF6C10" w:rsidRDefault="00AF6C10" w:rsidP="00AF6C10">
      <w:pPr>
        <w:spacing w:line="360" w:lineRule="auto"/>
        <w:jc w:val="center"/>
        <w:rPr>
          <w:rFonts w:ascii="Times New Roman" w:hAnsi="Times New Roman" w:cs="Times New Roman"/>
          <w:sz w:val="28"/>
          <w:szCs w:val="28"/>
          <w:lang w:val="en-GB"/>
        </w:rPr>
      </w:pPr>
      <w:r w:rsidRPr="00AF6C10">
        <w:rPr>
          <w:rFonts w:ascii="Times New Roman" w:hAnsi="Times New Roman" w:cs="Times New Roman"/>
          <w:sz w:val="28"/>
          <w:szCs w:val="28"/>
          <w:lang w:val="en-GB"/>
        </w:rPr>
        <w:t xml:space="preserve">STUDENT NAME: </w:t>
      </w:r>
      <w:proofErr w:type="spellStart"/>
      <w:r w:rsidRPr="00AF6C10">
        <w:rPr>
          <w:rFonts w:ascii="Times New Roman" w:hAnsi="Times New Roman" w:cs="Times New Roman"/>
          <w:sz w:val="28"/>
          <w:szCs w:val="28"/>
          <w:lang w:val="en-GB"/>
        </w:rPr>
        <w:t>Bidut</w:t>
      </w:r>
      <w:proofErr w:type="spellEnd"/>
      <w:r w:rsidRPr="00AF6C10">
        <w:rPr>
          <w:rFonts w:ascii="Times New Roman" w:hAnsi="Times New Roman" w:cs="Times New Roman"/>
          <w:sz w:val="28"/>
          <w:szCs w:val="28"/>
          <w:lang w:val="en-GB"/>
        </w:rPr>
        <w:t xml:space="preserve"> Hossain</w:t>
      </w:r>
    </w:p>
    <w:p w14:paraId="6AD975BD" w14:textId="77777777" w:rsidR="00AF6C10" w:rsidRPr="00AF6C10" w:rsidRDefault="00AF6C10" w:rsidP="00AF6C10">
      <w:pPr>
        <w:spacing w:line="360" w:lineRule="auto"/>
        <w:jc w:val="center"/>
        <w:rPr>
          <w:rFonts w:ascii="Times New Roman" w:hAnsi="Times New Roman" w:cs="Times New Roman"/>
          <w:sz w:val="28"/>
          <w:szCs w:val="28"/>
          <w:lang w:val="en-GB"/>
        </w:rPr>
      </w:pPr>
      <w:r w:rsidRPr="00AF6C10">
        <w:rPr>
          <w:rFonts w:ascii="Times New Roman" w:hAnsi="Times New Roman" w:cs="Times New Roman"/>
          <w:sz w:val="28"/>
          <w:szCs w:val="28"/>
          <w:lang w:val="en-GB"/>
        </w:rPr>
        <w:t>STUDENT ID: 2503964</w:t>
      </w:r>
    </w:p>
    <w:p w14:paraId="488048BD" w14:textId="77777777" w:rsidR="004450F2" w:rsidRPr="00AF6C10" w:rsidRDefault="004450F2" w:rsidP="00AF6C10">
      <w:pPr>
        <w:spacing w:line="360" w:lineRule="auto"/>
        <w:jc w:val="center"/>
        <w:rPr>
          <w:rFonts w:ascii="Times New Roman" w:hAnsi="Times New Roman" w:cs="Times New Roman"/>
          <w:sz w:val="28"/>
          <w:szCs w:val="28"/>
        </w:rPr>
      </w:pPr>
    </w:p>
    <w:p w14:paraId="7C73523F" w14:textId="77777777" w:rsidR="004450F2" w:rsidRPr="00AF6C10" w:rsidRDefault="004450F2" w:rsidP="00AF6C10">
      <w:pPr>
        <w:spacing w:line="360" w:lineRule="auto"/>
        <w:jc w:val="center"/>
        <w:rPr>
          <w:rFonts w:ascii="Times New Roman" w:hAnsi="Times New Roman" w:cs="Times New Roman"/>
          <w:sz w:val="28"/>
          <w:szCs w:val="28"/>
        </w:rPr>
      </w:pPr>
    </w:p>
    <w:p w14:paraId="5103FCA7" w14:textId="716B194F" w:rsidR="004450F2" w:rsidRDefault="00A900DC" w:rsidP="00AF6C10">
      <w:pPr>
        <w:spacing w:line="360" w:lineRule="auto"/>
        <w:jc w:val="center"/>
        <w:rPr>
          <w:rFonts w:ascii="Times New Roman" w:hAnsi="Times New Roman" w:cs="Times New Roman"/>
          <w:sz w:val="28"/>
          <w:szCs w:val="28"/>
        </w:rPr>
      </w:pPr>
      <w:r w:rsidRPr="00AF6C10">
        <w:rPr>
          <w:rFonts w:ascii="Times New Roman" w:hAnsi="Times New Roman" w:cs="Times New Roman"/>
          <w:sz w:val="28"/>
          <w:szCs w:val="28"/>
        </w:rPr>
        <w:t>24 July 2026</w:t>
      </w:r>
    </w:p>
    <w:p w14:paraId="34B6EC47" w14:textId="77777777" w:rsidR="00AF6C10" w:rsidRPr="00AF6C10" w:rsidRDefault="00AF6C10" w:rsidP="00AF6C10">
      <w:pPr>
        <w:spacing w:line="360" w:lineRule="auto"/>
        <w:jc w:val="center"/>
        <w:rPr>
          <w:rFonts w:ascii="Times New Roman" w:hAnsi="Times New Roman" w:cs="Times New Roman"/>
          <w:sz w:val="28"/>
          <w:szCs w:val="28"/>
        </w:rPr>
      </w:pPr>
    </w:p>
    <w:p w14:paraId="2AA56E00"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br w:type="page"/>
      </w:r>
    </w:p>
    <w:p w14:paraId="2779C234" w14:textId="77777777" w:rsidR="004450F2" w:rsidRPr="00E62AA7" w:rsidRDefault="00A900DC" w:rsidP="007850AF">
      <w:pPr>
        <w:pStyle w:val="Heading1"/>
        <w:spacing w:line="360" w:lineRule="auto"/>
        <w:jc w:val="both"/>
        <w:rPr>
          <w:rFonts w:ascii="Times New Roman" w:hAnsi="Times New Roman" w:cs="Times New Roman"/>
          <w:color w:val="auto"/>
          <w:sz w:val="24"/>
          <w:szCs w:val="24"/>
        </w:rPr>
      </w:pPr>
      <w:bookmarkStart w:id="0" w:name="_Toc235795689"/>
      <w:r w:rsidRPr="00E62AA7">
        <w:rPr>
          <w:rFonts w:ascii="Times New Roman" w:hAnsi="Times New Roman" w:cs="Times New Roman"/>
          <w:color w:val="auto"/>
          <w:sz w:val="24"/>
          <w:szCs w:val="24"/>
        </w:rPr>
        <w:lastRenderedPageBreak/>
        <w:t>Executive Summary</w:t>
      </w:r>
      <w:bookmarkEnd w:id="0"/>
    </w:p>
    <w:p w14:paraId="143EAB06" w14:textId="77777777" w:rsidR="00C44088" w:rsidRPr="00E62AA7" w:rsidRDefault="00C44088"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This report contends that the primary challenge to the expanding adoption of AI by Sage Group plc is not a single, finalized compliance requirement, but the uncertainty of regulatory norms themselves as exhibited in Colorado, which less than two years after enacting its pioneering AI law, has repealed and replaced it on 14 May 2026. Sage Group plc, a United Kingdom headquartered provider of accounting, finance and payroll software, is embedding generative artificial intelligence into the daily workflows of small and medium sized businesses through its Sage Copilot assistant precisely as this instability unfolds in its largest market (</w:t>
      </w:r>
      <w:proofErr w:type="spellStart"/>
      <w:r w:rsidRPr="00E62AA7">
        <w:rPr>
          <w:rFonts w:ascii="Times New Roman" w:hAnsi="Times New Roman" w:cs="Times New Roman"/>
          <w:sz w:val="24"/>
          <w:szCs w:val="24"/>
        </w:rPr>
        <w:t>LawFuel</w:t>
      </w:r>
      <w:proofErr w:type="spellEnd"/>
      <w:r w:rsidRPr="00E62AA7">
        <w:rPr>
          <w:rFonts w:ascii="Times New Roman" w:hAnsi="Times New Roman" w:cs="Times New Roman"/>
          <w:sz w:val="24"/>
          <w:szCs w:val="24"/>
        </w:rPr>
        <w:t>, 2026; Skadden, Arps, Slate, Meagher &amp; Flom LLP, 2026).</w:t>
      </w:r>
    </w:p>
    <w:p w14:paraId="4333B702" w14:textId="77ADFB97" w:rsidR="00C44088" w:rsidRPr="00E62AA7" w:rsidRDefault="00C44088"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This report recommends Sage on the risks and opportunities that could arise </w:t>
      </w:r>
      <w:r w:rsidR="00B808A9">
        <w:rPr>
          <w:rFonts w:ascii="Times New Roman" w:hAnsi="Times New Roman" w:cs="Times New Roman"/>
          <w:sz w:val="24"/>
          <w:szCs w:val="24"/>
        </w:rPr>
        <w:t>from this AI-based strategy, contrasting the UK and USA markets</w:t>
      </w:r>
      <w:r w:rsidRPr="00E62AA7">
        <w:rPr>
          <w:rFonts w:ascii="Times New Roman" w:hAnsi="Times New Roman" w:cs="Times New Roman"/>
          <w:sz w:val="24"/>
          <w:szCs w:val="24"/>
        </w:rPr>
        <w:t xml:space="preserve">, where Sage earns the largest proportion of its revenue (Sage Group plc, 2025b). In addition to regulatory uncertainty, it </w:t>
      </w:r>
      <w:r w:rsidR="00B808A9">
        <w:rPr>
          <w:rFonts w:ascii="Times New Roman" w:hAnsi="Times New Roman" w:cs="Times New Roman"/>
          <w:sz w:val="24"/>
          <w:szCs w:val="24"/>
        </w:rPr>
        <w:t xml:space="preserve">highlights another operational risk – the accuracy of AI tools used in financial software, given the significant academic literature on their potential and limitations </w:t>
      </w:r>
      <w:r w:rsidRPr="00E62AA7">
        <w:rPr>
          <w:rFonts w:ascii="Times New Roman" w:hAnsi="Times New Roman" w:cs="Times New Roman"/>
          <w:sz w:val="24"/>
          <w:szCs w:val="24"/>
        </w:rPr>
        <w:t>in detecting financial anomalies and fraud (</w:t>
      </w:r>
      <w:proofErr w:type="spellStart"/>
      <w:r w:rsidRPr="00E62AA7">
        <w:rPr>
          <w:rFonts w:ascii="Times New Roman" w:hAnsi="Times New Roman" w:cs="Times New Roman"/>
          <w:sz w:val="24"/>
          <w:szCs w:val="24"/>
        </w:rPr>
        <w:t>Ashtiani</w:t>
      </w:r>
      <w:proofErr w:type="spellEnd"/>
      <w:r w:rsidRPr="00E62AA7">
        <w:rPr>
          <w:rFonts w:ascii="Times New Roman" w:hAnsi="Times New Roman" w:cs="Times New Roman"/>
          <w:sz w:val="24"/>
          <w:szCs w:val="24"/>
        </w:rPr>
        <w:t xml:space="preserve"> and </w:t>
      </w:r>
      <w:proofErr w:type="spellStart"/>
      <w:r w:rsidRPr="00E62AA7">
        <w:rPr>
          <w:rFonts w:ascii="Times New Roman" w:hAnsi="Times New Roman" w:cs="Times New Roman"/>
          <w:sz w:val="24"/>
          <w:szCs w:val="24"/>
        </w:rPr>
        <w:t>Raahemi</w:t>
      </w:r>
      <w:proofErr w:type="spellEnd"/>
      <w:r w:rsidRPr="00E62AA7">
        <w:rPr>
          <w:rFonts w:ascii="Times New Roman" w:hAnsi="Times New Roman" w:cs="Times New Roman"/>
          <w:sz w:val="24"/>
          <w:szCs w:val="24"/>
        </w:rPr>
        <w:t xml:space="preserve">, 2021; Hafez et al., 2025). The two analytical tools used are </w:t>
      </w:r>
      <w:r w:rsidR="00782772">
        <w:rPr>
          <w:rFonts w:ascii="Times New Roman" w:hAnsi="Times New Roman" w:cs="Times New Roman"/>
          <w:sz w:val="24"/>
          <w:szCs w:val="24"/>
        </w:rPr>
        <w:t>Porter's Five Forces and the PESTLE analysis, both tailored to Sage's competitive and regulatory landscape rather than used as ‘checklists'</w:t>
      </w:r>
      <w:r w:rsidRPr="00E62AA7">
        <w:rPr>
          <w:rFonts w:ascii="Times New Roman" w:hAnsi="Times New Roman" w:cs="Times New Roman"/>
          <w:sz w:val="24"/>
          <w:szCs w:val="24"/>
        </w:rPr>
        <w:t>.</w:t>
      </w:r>
    </w:p>
    <w:p w14:paraId="451AA52C" w14:textId="585C326B" w:rsidR="00C44088" w:rsidRPr="00E62AA7" w:rsidRDefault="00C44088"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The report concludes with a three-part implementation plan that spans the short, medium and long term, and culminates in a credible point of competitive difference for Sage over Intuit, Xero and Oracle NetSuite through the introduction of AI assurance. An indicative cost is provided with each recommendation, and a cost basis and named point of ownership are provided, as a plan without either of these is hard for a board to act on.</w:t>
      </w:r>
    </w:p>
    <w:p w14:paraId="05DDC2E5" w14:textId="2308CAB7" w:rsidR="00B808A9"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br w:type="page"/>
      </w:r>
    </w:p>
    <w:sdt>
      <w:sdtPr>
        <w:rPr>
          <w:caps w:val="0"/>
          <w:color w:val="auto"/>
          <w:spacing w:val="0"/>
          <w:sz w:val="20"/>
          <w:szCs w:val="20"/>
        </w:rPr>
        <w:id w:val="970870628"/>
        <w:docPartObj>
          <w:docPartGallery w:val="Table of Contents"/>
          <w:docPartUnique/>
        </w:docPartObj>
      </w:sdtPr>
      <w:sdtEndPr>
        <w:rPr>
          <w:b/>
          <w:bCs/>
          <w:noProof/>
        </w:rPr>
      </w:sdtEndPr>
      <w:sdtContent>
        <w:p w14:paraId="278A84BD" w14:textId="3529BAC8" w:rsidR="00B808A9" w:rsidRDefault="00B808A9">
          <w:pPr>
            <w:pStyle w:val="TOCHeading"/>
          </w:pPr>
          <w:r>
            <w:t>Table of Contents</w:t>
          </w:r>
        </w:p>
        <w:p w14:paraId="19657C9B" w14:textId="5A375BA4" w:rsidR="00B808A9" w:rsidRPr="00B808A9" w:rsidRDefault="00B808A9" w:rsidP="00B808A9">
          <w:pPr>
            <w:pStyle w:val="TOC1"/>
            <w:tabs>
              <w:tab w:val="right" w:leader="dot" w:pos="8630"/>
            </w:tabs>
            <w:spacing w:line="360" w:lineRule="auto"/>
            <w:rPr>
              <w:rFonts w:ascii="Times New Roman" w:hAnsi="Times New Roman" w:cs="Times New Roman"/>
              <w:noProof/>
              <w:kern w:val="2"/>
              <w:sz w:val="24"/>
              <w:szCs w:val="24"/>
              <w14:ligatures w14:val="standardContextual"/>
            </w:rPr>
          </w:pPr>
          <w:r w:rsidRPr="00B808A9">
            <w:rPr>
              <w:rFonts w:ascii="Times New Roman" w:hAnsi="Times New Roman" w:cs="Times New Roman"/>
              <w:sz w:val="24"/>
              <w:szCs w:val="24"/>
            </w:rPr>
            <w:fldChar w:fldCharType="begin"/>
          </w:r>
          <w:r w:rsidRPr="00B808A9">
            <w:rPr>
              <w:rFonts w:ascii="Times New Roman" w:hAnsi="Times New Roman" w:cs="Times New Roman"/>
              <w:sz w:val="24"/>
              <w:szCs w:val="24"/>
            </w:rPr>
            <w:instrText xml:space="preserve"> TOC \o "1-3" \h \z \u </w:instrText>
          </w:r>
          <w:r w:rsidRPr="00B808A9">
            <w:rPr>
              <w:rFonts w:ascii="Times New Roman" w:hAnsi="Times New Roman" w:cs="Times New Roman"/>
              <w:sz w:val="24"/>
              <w:szCs w:val="24"/>
            </w:rPr>
            <w:fldChar w:fldCharType="separate"/>
          </w:r>
          <w:hyperlink w:anchor="_Toc235795689" w:history="1">
            <w:r w:rsidRPr="00B808A9">
              <w:rPr>
                <w:rStyle w:val="Hyperlink"/>
                <w:rFonts w:ascii="Times New Roman" w:hAnsi="Times New Roman" w:cs="Times New Roman"/>
                <w:noProof/>
                <w:sz w:val="24"/>
                <w:szCs w:val="24"/>
              </w:rPr>
              <w:t>Executive Summary</w:t>
            </w:r>
            <w:r w:rsidRPr="00B808A9">
              <w:rPr>
                <w:rFonts w:ascii="Times New Roman" w:hAnsi="Times New Roman" w:cs="Times New Roman"/>
                <w:noProof/>
                <w:webHidden/>
                <w:sz w:val="24"/>
                <w:szCs w:val="24"/>
              </w:rPr>
              <w:tab/>
            </w:r>
            <w:r w:rsidRPr="00B808A9">
              <w:rPr>
                <w:rFonts w:ascii="Times New Roman" w:hAnsi="Times New Roman" w:cs="Times New Roman"/>
                <w:noProof/>
                <w:webHidden/>
                <w:sz w:val="24"/>
                <w:szCs w:val="24"/>
              </w:rPr>
              <w:fldChar w:fldCharType="begin"/>
            </w:r>
            <w:r w:rsidRPr="00B808A9">
              <w:rPr>
                <w:rFonts w:ascii="Times New Roman" w:hAnsi="Times New Roman" w:cs="Times New Roman"/>
                <w:noProof/>
                <w:webHidden/>
                <w:sz w:val="24"/>
                <w:szCs w:val="24"/>
              </w:rPr>
              <w:instrText xml:space="preserve"> PAGEREF _Toc235795689 \h </w:instrText>
            </w:r>
            <w:r w:rsidRPr="00B808A9">
              <w:rPr>
                <w:rFonts w:ascii="Times New Roman" w:hAnsi="Times New Roman" w:cs="Times New Roman"/>
                <w:noProof/>
                <w:webHidden/>
                <w:sz w:val="24"/>
                <w:szCs w:val="24"/>
              </w:rPr>
            </w:r>
            <w:r w:rsidRPr="00B808A9">
              <w:rPr>
                <w:rFonts w:ascii="Times New Roman" w:hAnsi="Times New Roman" w:cs="Times New Roman"/>
                <w:noProof/>
                <w:webHidden/>
                <w:sz w:val="24"/>
                <w:szCs w:val="24"/>
              </w:rPr>
              <w:fldChar w:fldCharType="separate"/>
            </w:r>
            <w:r w:rsidR="00AF6C10">
              <w:rPr>
                <w:rFonts w:ascii="Times New Roman" w:hAnsi="Times New Roman" w:cs="Times New Roman"/>
                <w:noProof/>
                <w:webHidden/>
                <w:sz w:val="24"/>
                <w:szCs w:val="24"/>
              </w:rPr>
              <w:t>2</w:t>
            </w:r>
            <w:r w:rsidRPr="00B808A9">
              <w:rPr>
                <w:rFonts w:ascii="Times New Roman" w:hAnsi="Times New Roman" w:cs="Times New Roman"/>
                <w:noProof/>
                <w:webHidden/>
                <w:sz w:val="24"/>
                <w:szCs w:val="24"/>
              </w:rPr>
              <w:fldChar w:fldCharType="end"/>
            </w:r>
          </w:hyperlink>
        </w:p>
        <w:p w14:paraId="6569F30A" w14:textId="66E56489" w:rsidR="00B808A9" w:rsidRPr="00B808A9" w:rsidRDefault="00A900DC" w:rsidP="00B808A9">
          <w:pPr>
            <w:pStyle w:val="TOC1"/>
            <w:tabs>
              <w:tab w:val="right" w:leader="dot" w:pos="8630"/>
            </w:tabs>
            <w:spacing w:line="360" w:lineRule="auto"/>
            <w:rPr>
              <w:rFonts w:ascii="Times New Roman" w:hAnsi="Times New Roman" w:cs="Times New Roman"/>
              <w:noProof/>
              <w:kern w:val="2"/>
              <w:sz w:val="24"/>
              <w:szCs w:val="24"/>
              <w14:ligatures w14:val="standardContextual"/>
            </w:rPr>
          </w:pPr>
          <w:hyperlink w:anchor="_Toc235795690" w:history="1">
            <w:r w:rsidR="00B808A9" w:rsidRPr="00B808A9">
              <w:rPr>
                <w:rStyle w:val="Hyperlink"/>
                <w:rFonts w:ascii="Times New Roman" w:hAnsi="Times New Roman" w:cs="Times New Roman"/>
                <w:noProof/>
                <w:sz w:val="24"/>
                <w:szCs w:val="24"/>
              </w:rPr>
              <w:t>1. Introduction</w:t>
            </w:r>
            <w:r w:rsidR="00B808A9" w:rsidRPr="00B808A9">
              <w:rPr>
                <w:rFonts w:ascii="Times New Roman" w:hAnsi="Times New Roman" w:cs="Times New Roman"/>
                <w:noProof/>
                <w:webHidden/>
                <w:sz w:val="24"/>
                <w:szCs w:val="24"/>
              </w:rPr>
              <w:tab/>
            </w:r>
            <w:r w:rsidR="00B808A9" w:rsidRPr="00B808A9">
              <w:rPr>
                <w:rFonts w:ascii="Times New Roman" w:hAnsi="Times New Roman" w:cs="Times New Roman"/>
                <w:noProof/>
                <w:webHidden/>
                <w:sz w:val="24"/>
                <w:szCs w:val="24"/>
              </w:rPr>
              <w:fldChar w:fldCharType="begin"/>
            </w:r>
            <w:r w:rsidR="00B808A9" w:rsidRPr="00B808A9">
              <w:rPr>
                <w:rFonts w:ascii="Times New Roman" w:hAnsi="Times New Roman" w:cs="Times New Roman"/>
                <w:noProof/>
                <w:webHidden/>
                <w:sz w:val="24"/>
                <w:szCs w:val="24"/>
              </w:rPr>
              <w:instrText xml:space="preserve"> PAGEREF _Toc235795690 \h </w:instrText>
            </w:r>
            <w:r w:rsidR="00B808A9" w:rsidRPr="00B808A9">
              <w:rPr>
                <w:rFonts w:ascii="Times New Roman" w:hAnsi="Times New Roman" w:cs="Times New Roman"/>
                <w:noProof/>
                <w:webHidden/>
                <w:sz w:val="24"/>
                <w:szCs w:val="24"/>
              </w:rPr>
            </w:r>
            <w:r w:rsidR="00B808A9" w:rsidRPr="00B808A9">
              <w:rPr>
                <w:rFonts w:ascii="Times New Roman" w:hAnsi="Times New Roman" w:cs="Times New Roman"/>
                <w:noProof/>
                <w:webHidden/>
                <w:sz w:val="24"/>
                <w:szCs w:val="24"/>
              </w:rPr>
              <w:fldChar w:fldCharType="separate"/>
            </w:r>
            <w:r w:rsidR="00AF6C10">
              <w:rPr>
                <w:rFonts w:ascii="Times New Roman" w:hAnsi="Times New Roman" w:cs="Times New Roman"/>
                <w:noProof/>
                <w:webHidden/>
                <w:sz w:val="24"/>
                <w:szCs w:val="24"/>
              </w:rPr>
              <w:t>4</w:t>
            </w:r>
            <w:r w:rsidR="00B808A9" w:rsidRPr="00B808A9">
              <w:rPr>
                <w:rFonts w:ascii="Times New Roman" w:hAnsi="Times New Roman" w:cs="Times New Roman"/>
                <w:noProof/>
                <w:webHidden/>
                <w:sz w:val="24"/>
                <w:szCs w:val="24"/>
              </w:rPr>
              <w:fldChar w:fldCharType="end"/>
            </w:r>
          </w:hyperlink>
        </w:p>
        <w:p w14:paraId="2C9DB155" w14:textId="57446E87" w:rsidR="00B808A9" w:rsidRPr="00B808A9" w:rsidRDefault="00A900DC" w:rsidP="00B808A9">
          <w:pPr>
            <w:pStyle w:val="TOC1"/>
            <w:tabs>
              <w:tab w:val="right" w:leader="dot" w:pos="8630"/>
            </w:tabs>
            <w:spacing w:line="360" w:lineRule="auto"/>
            <w:rPr>
              <w:rFonts w:ascii="Times New Roman" w:hAnsi="Times New Roman" w:cs="Times New Roman"/>
              <w:noProof/>
              <w:kern w:val="2"/>
              <w:sz w:val="24"/>
              <w:szCs w:val="24"/>
              <w14:ligatures w14:val="standardContextual"/>
            </w:rPr>
          </w:pPr>
          <w:hyperlink w:anchor="_Toc235795691" w:history="1">
            <w:r w:rsidR="00B808A9" w:rsidRPr="00B808A9">
              <w:rPr>
                <w:rStyle w:val="Hyperlink"/>
                <w:rFonts w:ascii="Times New Roman" w:hAnsi="Times New Roman" w:cs="Times New Roman"/>
                <w:noProof/>
                <w:sz w:val="24"/>
                <w:szCs w:val="24"/>
              </w:rPr>
              <w:t>2. Industry and Company Context</w:t>
            </w:r>
            <w:r w:rsidR="00B808A9" w:rsidRPr="00B808A9">
              <w:rPr>
                <w:rFonts w:ascii="Times New Roman" w:hAnsi="Times New Roman" w:cs="Times New Roman"/>
                <w:noProof/>
                <w:webHidden/>
                <w:sz w:val="24"/>
                <w:szCs w:val="24"/>
              </w:rPr>
              <w:tab/>
            </w:r>
            <w:r w:rsidR="00B808A9" w:rsidRPr="00B808A9">
              <w:rPr>
                <w:rFonts w:ascii="Times New Roman" w:hAnsi="Times New Roman" w:cs="Times New Roman"/>
                <w:noProof/>
                <w:webHidden/>
                <w:sz w:val="24"/>
                <w:szCs w:val="24"/>
              </w:rPr>
              <w:fldChar w:fldCharType="begin"/>
            </w:r>
            <w:r w:rsidR="00B808A9" w:rsidRPr="00B808A9">
              <w:rPr>
                <w:rFonts w:ascii="Times New Roman" w:hAnsi="Times New Roman" w:cs="Times New Roman"/>
                <w:noProof/>
                <w:webHidden/>
                <w:sz w:val="24"/>
                <w:szCs w:val="24"/>
              </w:rPr>
              <w:instrText xml:space="preserve"> PAGEREF _Toc235795691 \h </w:instrText>
            </w:r>
            <w:r w:rsidR="00B808A9" w:rsidRPr="00B808A9">
              <w:rPr>
                <w:rFonts w:ascii="Times New Roman" w:hAnsi="Times New Roman" w:cs="Times New Roman"/>
                <w:noProof/>
                <w:webHidden/>
                <w:sz w:val="24"/>
                <w:szCs w:val="24"/>
              </w:rPr>
            </w:r>
            <w:r w:rsidR="00B808A9" w:rsidRPr="00B808A9">
              <w:rPr>
                <w:rFonts w:ascii="Times New Roman" w:hAnsi="Times New Roman" w:cs="Times New Roman"/>
                <w:noProof/>
                <w:webHidden/>
                <w:sz w:val="24"/>
                <w:szCs w:val="24"/>
              </w:rPr>
              <w:fldChar w:fldCharType="separate"/>
            </w:r>
            <w:r w:rsidR="00AF6C10">
              <w:rPr>
                <w:rFonts w:ascii="Times New Roman" w:hAnsi="Times New Roman" w:cs="Times New Roman"/>
                <w:noProof/>
                <w:webHidden/>
                <w:sz w:val="24"/>
                <w:szCs w:val="24"/>
              </w:rPr>
              <w:t>5</w:t>
            </w:r>
            <w:r w:rsidR="00B808A9" w:rsidRPr="00B808A9">
              <w:rPr>
                <w:rFonts w:ascii="Times New Roman" w:hAnsi="Times New Roman" w:cs="Times New Roman"/>
                <w:noProof/>
                <w:webHidden/>
                <w:sz w:val="24"/>
                <w:szCs w:val="24"/>
              </w:rPr>
              <w:fldChar w:fldCharType="end"/>
            </w:r>
          </w:hyperlink>
        </w:p>
        <w:p w14:paraId="38A8D688" w14:textId="2ED71422" w:rsidR="00B808A9" w:rsidRPr="00B808A9" w:rsidRDefault="00A900DC" w:rsidP="00B808A9">
          <w:pPr>
            <w:pStyle w:val="TOC2"/>
            <w:tabs>
              <w:tab w:val="right" w:leader="dot" w:pos="8630"/>
            </w:tabs>
            <w:spacing w:line="360" w:lineRule="auto"/>
            <w:rPr>
              <w:rFonts w:ascii="Times New Roman" w:hAnsi="Times New Roman" w:cs="Times New Roman"/>
              <w:noProof/>
              <w:kern w:val="2"/>
              <w:sz w:val="24"/>
              <w:szCs w:val="24"/>
              <w14:ligatures w14:val="standardContextual"/>
            </w:rPr>
          </w:pPr>
          <w:hyperlink w:anchor="_Toc235795692" w:history="1">
            <w:r w:rsidR="00B808A9" w:rsidRPr="00B808A9">
              <w:rPr>
                <w:rStyle w:val="Hyperlink"/>
                <w:rFonts w:ascii="Times New Roman" w:hAnsi="Times New Roman" w:cs="Times New Roman"/>
                <w:noProof/>
                <w:sz w:val="24"/>
                <w:szCs w:val="24"/>
              </w:rPr>
              <w:t>2.1 Sage in Numbers: Scale and Strategy</w:t>
            </w:r>
            <w:r w:rsidR="00B808A9" w:rsidRPr="00B808A9">
              <w:rPr>
                <w:rFonts w:ascii="Times New Roman" w:hAnsi="Times New Roman" w:cs="Times New Roman"/>
                <w:noProof/>
                <w:webHidden/>
                <w:sz w:val="24"/>
                <w:szCs w:val="24"/>
              </w:rPr>
              <w:tab/>
            </w:r>
            <w:r w:rsidR="00B808A9" w:rsidRPr="00B808A9">
              <w:rPr>
                <w:rFonts w:ascii="Times New Roman" w:hAnsi="Times New Roman" w:cs="Times New Roman"/>
                <w:noProof/>
                <w:webHidden/>
                <w:sz w:val="24"/>
                <w:szCs w:val="24"/>
              </w:rPr>
              <w:fldChar w:fldCharType="begin"/>
            </w:r>
            <w:r w:rsidR="00B808A9" w:rsidRPr="00B808A9">
              <w:rPr>
                <w:rFonts w:ascii="Times New Roman" w:hAnsi="Times New Roman" w:cs="Times New Roman"/>
                <w:noProof/>
                <w:webHidden/>
                <w:sz w:val="24"/>
                <w:szCs w:val="24"/>
              </w:rPr>
              <w:instrText xml:space="preserve"> PAGEREF _Toc235795692 \h </w:instrText>
            </w:r>
            <w:r w:rsidR="00B808A9" w:rsidRPr="00B808A9">
              <w:rPr>
                <w:rFonts w:ascii="Times New Roman" w:hAnsi="Times New Roman" w:cs="Times New Roman"/>
                <w:noProof/>
                <w:webHidden/>
                <w:sz w:val="24"/>
                <w:szCs w:val="24"/>
              </w:rPr>
            </w:r>
            <w:r w:rsidR="00B808A9" w:rsidRPr="00B808A9">
              <w:rPr>
                <w:rFonts w:ascii="Times New Roman" w:hAnsi="Times New Roman" w:cs="Times New Roman"/>
                <w:noProof/>
                <w:webHidden/>
                <w:sz w:val="24"/>
                <w:szCs w:val="24"/>
              </w:rPr>
              <w:fldChar w:fldCharType="separate"/>
            </w:r>
            <w:r w:rsidR="00AF6C10">
              <w:rPr>
                <w:rFonts w:ascii="Times New Roman" w:hAnsi="Times New Roman" w:cs="Times New Roman"/>
                <w:noProof/>
                <w:webHidden/>
                <w:sz w:val="24"/>
                <w:szCs w:val="24"/>
              </w:rPr>
              <w:t>5</w:t>
            </w:r>
            <w:r w:rsidR="00B808A9" w:rsidRPr="00B808A9">
              <w:rPr>
                <w:rFonts w:ascii="Times New Roman" w:hAnsi="Times New Roman" w:cs="Times New Roman"/>
                <w:noProof/>
                <w:webHidden/>
                <w:sz w:val="24"/>
                <w:szCs w:val="24"/>
              </w:rPr>
              <w:fldChar w:fldCharType="end"/>
            </w:r>
          </w:hyperlink>
        </w:p>
        <w:p w14:paraId="403AF247" w14:textId="1823EBAE" w:rsidR="00B808A9" w:rsidRPr="00B808A9" w:rsidRDefault="00A900DC" w:rsidP="00B808A9">
          <w:pPr>
            <w:pStyle w:val="TOC2"/>
            <w:tabs>
              <w:tab w:val="right" w:leader="dot" w:pos="8630"/>
            </w:tabs>
            <w:spacing w:line="360" w:lineRule="auto"/>
            <w:rPr>
              <w:rFonts w:ascii="Times New Roman" w:hAnsi="Times New Roman" w:cs="Times New Roman"/>
              <w:noProof/>
              <w:kern w:val="2"/>
              <w:sz w:val="24"/>
              <w:szCs w:val="24"/>
              <w14:ligatures w14:val="standardContextual"/>
            </w:rPr>
          </w:pPr>
          <w:hyperlink w:anchor="_Toc235795693" w:history="1">
            <w:r w:rsidR="00B808A9" w:rsidRPr="00B808A9">
              <w:rPr>
                <w:rStyle w:val="Hyperlink"/>
                <w:rFonts w:ascii="Times New Roman" w:hAnsi="Times New Roman" w:cs="Times New Roman"/>
                <w:noProof/>
                <w:sz w:val="24"/>
                <w:szCs w:val="24"/>
              </w:rPr>
              <w:t>2.2 The Rise of Sage Copilot</w:t>
            </w:r>
            <w:r w:rsidR="00B808A9" w:rsidRPr="00B808A9">
              <w:rPr>
                <w:rFonts w:ascii="Times New Roman" w:hAnsi="Times New Roman" w:cs="Times New Roman"/>
                <w:noProof/>
                <w:webHidden/>
                <w:sz w:val="24"/>
                <w:szCs w:val="24"/>
              </w:rPr>
              <w:tab/>
            </w:r>
            <w:r w:rsidR="00B808A9" w:rsidRPr="00B808A9">
              <w:rPr>
                <w:rFonts w:ascii="Times New Roman" w:hAnsi="Times New Roman" w:cs="Times New Roman"/>
                <w:noProof/>
                <w:webHidden/>
                <w:sz w:val="24"/>
                <w:szCs w:val="24"/>
              </w:rPr>
              <w:fldChar w:fldCharType="begin"/>
            </w:r>
            <w:r w:rsidR="00B808A9" w:rsidRPr="00B808A9">
              <w:rPr>
                <w:rFonts w:ascii="Times New Roman" w:hAnsi="Times New Roman" w:cs="Times New Roman"/>
                <w:noProof/>
                <w:webHidden/>
                <w:sz w:val="24"/>
                <w:szCs w:val="24"/>
              </w:rPr>
              <w:instrText xml:space="preserve"> PAGEREF _Toc235795693 \h </w:instrText>
            </w:r>
            <w:r w:rsidR="00B808A9" w:rsidRPr="00B808A9">
              <w:rPr>
                <w:rFonts w:ascii="Times New Roman" w:hAnsi="Times New Roman" w:cs="Times New Roman"/>
                <w:noProof/>
                <w:webHidden/>
                <w:sz w:val="24"/>
                <w:szCs w:val="24"/>
              </w:rPr>
            </w:r>
            <w:r w:rsidR="00B808A9" w:rsidRPr="00B808A9">
              <w:rPr>
                <w:rFonts w:ascii="Times New Roman" w:hAnsi="Times New Roman" w:cs="Times New Roman"/>
                <w:noProof/>
                <w:webHidden/>
                <w:sz w:val="24"/>
                <w:szCs w:val="24"/>
              </w:rPr>
              <w:fldChar w:fldCharType="separate"/>
            </w:r>
            <w:r w:rsidR="00AF6C10">
              <w:rPr>
                <w:rFonts w:ascii="Times New Roman" w:hAnsi="Times New Roman" w:cs="Times New Roman"/>
                <w:noProof/>
                <w:webHidden/>
                <w:sz w:val="24"/>
                <w:szCs w:val="24"/>
              </w:rPr>
              <w:t>6</w:t>
            </w:r>
            <w:r w:rsidR="00B808A9" w:rsidRPr="00B808A9">
              <w:rPr>
                <w:rFonts w:ascii="Times New Roman" w:hAnsi="Times New Roman" w:cs="Times New Roman"/>
                <w:noProof/>
                <w:webHidden/>
                <w:sz w:val="24"/>
                <w:szCs w:val="24"/>
              </w:rPr>
              <w:fldChar w:fldCharType="end"/>
            </w:r>
          </w:hyperlink>
        </w:p>
        <w:p w14:paraId="306D6396" w14:textId="796551BB" w:rsidR="00B808A9" w:rsidRPr="00B808A9" w:rsidRDefault="00A900DC" w:rsidP="00B808A9">
          <w:pPr>
            <w:pStyle w:val="TOC2"/>
            <w:tabs>
              <w:tab w:val="right" w:leader="dot" w:pos="8630"/>
            </w:tabs>
            <w:spacing w:line="360" w:lineRule="auto"/>
            <w:rPr>
              <w:rFonts w:ascii="Times New Roman" w:hAnsi="Times New Roman" w:cs="Times New Roman"/>
              <w:noProof/>
              <w:kern w:val="2"/>
              <w:sz w:val="24"/>
              <w:szCs w:val="24"/>
              <w14:ligatures w14:val="standardContextual"/>
            </w:rPr>
          </w:pPr>
          <w:hyperlink w:anchor="_Toc235795694" w:history="1">
            <w:r w:rsidR="00B808A9" w:rsidRPr="00B808A9">
              <w:rPr>
                <w:rStyle w:val="Hyperlink"/>
                <w:rFonts w:ascii="Times New Roman" w:hAnsi="Times New Roman" w:cs="Times New Roman"/>
                <w:noProof/>
                <w:sz w:val="24"/>
                <w:szCs w:val="24"/>
              </w:rPr>
              <w:t>2.3 Competitive Terrain: Intuit, Xero and NetSuite</w:t>
            </w:r>
            <w:r w:rsidR="00B808A9" w:rsidRPr="00B808A9">
              <w:rPr>
                <w:rFonts w:ascii="Times New Roman" w:hAnsi="Times New Roman" w:cs="Times New Roman"/>
                <w:noProof/>
                <w:webHidden/>
                <w:sz w:val="24"/>
                <w:szCs w:val="24"/>
              </w:rPr>
              <w:tab/>
            </w:r>
            <w:r w:rsidR="00B808A9" w:rsidRPr="00B808A9">
              <w:rPr>
                <w:rFonts w:ascii="Times New Roman" w:hAnsi="Times New Roman" w:cs="Times New Roman"/>
                <w:noProof/>
                <w:webHidden/>
                <w:sz w:val="24"/>
                <w:szCs w:val="24"/>
              </w:rPr>
              <w:fldChar w:fldCharType="begin"/>
            </w:r>
            <w:r w:rsidR="00B808A9" w:rsidRPr="00B808A9">
              <w:rPr>
                <w:rFonts w:ascii="Times New Roman" w:hAnsi="Times New Roman" w:cs="Times New Roman"/>
                <w:noProof/>
                <w:webHidden/>
                <w:sz w:val="24"/>
                <w:szCs w:val="24"/>
              </w:rPr>
              <w:instrText xml:space="preserve"> PAGEREF _Toc235795694 \h </w:instrText>
            </w:r>
            <w:r w:rsidR="00B808A9" w:rsidRPr="00B808A9">
              <w:rPr>
                <w:rFonts w:ascii="Times New Roman" w:hAnsi="Times New Roman" w:cs="Times New Roman"/>
                <w:noProof/>
                <w:webHidden/>
                <w:sz w:val="24"/>
                <w:szCs w:val="24"/>
              </w:rPr>
            </w:r>
            <w:r w:rsidR="00B808A9" w:rsidRPr="00B808A9">
              <w:rPr>
                <w:rFonts w:ascii="Times New Roman" w:hAnsi="Times New Roman" w:cs="Times New Roman"/>
                <w:noProof/>
                <w:webHidden/>
                <w:sz w:val="24"/>
                <w:szCs w:val="24"/>
              </w:rPr>
              <w:fldChar w:fldCharType="separate"/>
            </w:r>
            <w:r w:rsidR="00AF6C10">
              <w:rPr>
                <w:rFonts w:ascii="Times New Roman" w:hAnsi="Times New Roman" w:cs="Times New Roman"/>
                <w:noProof/>
                <w:webHidden/>
                <w:sz w:val="24"/>
                <w:szCs w:val="24"/>
              </w:rPr>
              <w:t>6</w:t>
            </w:r>
            <w:r w:rsidR="00B808A9" w:rsidRPr="00B808A9">
              <w:rPr>
                <w:rFonts w:ascii="Times New Roman" w:hAnsi="Times New Roman" w:cs="Times New Roman"/>
                <w:noProof/>
                <w:webHidden/>
                <w:sz w:val="24"/>
                <w:szCs w:val="24"/>
              </w:rPr>
              <w:fldChar w:fldCharType="end"/>
            </w:r>
          </w:hyperlink>
        </w:p>
        <w:p w14:paraId="6F924A81" w14:textId="3072C189" w:rsidR="00B808A9" w:rsidRPr="00B808A9" w:rsidRDefault="00A900DC" w:rsidP="00B808A9">
          <w:pPr>
            <w:pStyle w:val="TOC2"/>
            <w:tabs>
              <w:tab w:val="right" w:leader="dot" w:pos="8630"/>
            </w:tabs>
            <w:spacing w:line="360" w:lineRule="auto"/>
            <w:rPr>
              <w:rFonts w:ascii="Times New Roman" w:hAnsi="Times New Roman" w:cs="Times New Roman"/>
              <w:noProof/>
              <w:kern w:val="2"/>
              <w:sz w:val="24"/>
              <w:szCs w:val="24"/>
              <w14:ligatures w14:val="standardContextual"/>
            </w:rPr>
          </w:pPr>
          <w:hyperlink w:anchor="_Toc235795695" w:history="1">
            <w:r w:rsidR="00B808A9" w:rsidRPr="00B808A9">
              <w:rPr>
                <w:rStyle w:val="Hyperlink"/>
                <w:rFonts w:ascii="Times New Roman" w:hAnsi="Times New Roman" w:cs="Times New Roman"/>
                <w:noProof/>
                <w:sz w:val="24"/>
                <w:szCs w:val="24"/>
              </w:rPr>
              <w:t>2.4 Two Markets, Two Trajectories</w:t>
            </w:r>
            <w:r w:rsidR="00B808A9" w:rsidRPr="00B808A9">
              <w:rPr>
                <w:rFonts w:ascii="Times New Roman" w:hAnsi="Times New Roman" w:cs="Times New Roman"/>
                <w:noProof/>
                <w:webHidden/>
                <w:sz w:val="24"/>
                <w:szCs w:val="24"/>
              </w:rPr>
              <w:tab/>
            </w:r>
            <w:r w:rsidR="00B808A9" w:rsidRPr="00B808A9">
              <w:rPr>
                <w:rFonts w:ascii="Times New Roman" w:hAnsi="Times New Roman" w:cs="Times New Roman"/>
                <w:noProof/>
                <w:webHidden/>
                <w:sz w:val="24"/>
                <w:szCs w:val="24"/>
              </w:rPr>
              <w:fldChar w:fldCharType="begin"/>
            </w:r>
            <w:r w:rsidR="00B808A9" w:rsidRPr="00B808A9">
              <w:rPr>
                <w:rFonts w:ascii="Times New Roman" w:hAnsi="Times New Roman" w:cs="Times New Roman"/>
                <w:noProof/>
                <w:webHidden/>
                <w:sz w:val="24"/>
                <w:szCs w:val="24"/>
              </w:rPr>
              <w:instrText xml:space="preserve"> PAGEREF _Toc235795695 \h </w:instrText>
            </w:r>
            <w:r w:rsidR="00B808A9" w:rsidRPr="00B808A9">
              <w:rPr>
                <w:rFonts w:ascii="Times New Roman" w:hAnsi="Times New Roman" w:cs="Times New Roman"/>
                <w:noProof/>
                <w:webHidden/>
                <w:sz w:val="24"/>
                <w:szCs w:val="24"/>
              </w:rPr>
            </w:r>
            <w:r w:rsidR="00B808A9" w:rsidRPr="00B808A9">
              <w:rPr>
                <w:rFonts w:ascii="Times New Roman" w:hAnsi="Times New Roman" w:cs="Times New Roman"/>
                <w:noProof/>
                <w:webHidden/>
                <w:sz w:val="24"/>
                <w:szCs w:val="24"/>
              </w:rPr>
              <w:fldChar w:fldCharType="separate"/>
            </w:r>
            <w:r w:rsidR="00AF6C10">
              <w:rPr>
                <w:rFonts w:ascii="Times New Roman" w:hAnsi="Times New Roman" w:cs="Times New Roman"/>
                <w:noProof/>
                <w:webHidden/>
                <w:sz w:val="24"/>
                <w:szCs w:val="24"/>
              </w:rPr>
              <w:t>7</w:t>
            </w:r>
            <w:r w:rsidR="00B808A9" w:rsidRPr="00B808A9">
              <w:rPr>
                <w:rFonts w:ascii="Times New Roman" w:hAnsi="Times New Roman" w:cs="Times New Roman"/>
                <w:noProof/>
                <w:webHidden/>
                <w:sz w:val="24"/>
                <w:szCs w:val="24"/>
              </w:rPr>
              <w:fldChar w:fldCharType="end"/>
            </w:r>
          </w:hyperlink>
        </w:p>
        <w:p w14:paraId="5A412EF9" w14:textId="620B80DF" w:rsidR="00B808A9" w:rsidRPr="00B808A9" w:rsidRDefault="00A900DC" w:rsidP="00B808A9">
          <w:pPr>
            <w:pStyle w:val="TOC1"/>
            <w:tabs>
              <w:tab w:val="right" w:leader="dot" w:pos="8630"/>
            </w:tabs>
            <w:spacing w:line="360" w:lineRule="auto"/>
            <w:rPr>
              <w:rFonts w:ascii="Times New Roman" w:hAnsi="Times New Roman" w:cs="Times New Roman"/>
              <w:noProof/>
              <w:kern w:val="2"/>
              <w:sz w:val="24"/>
              <w:szCs w:val="24"/>
              <w14:ligatures w14:val="standardContextual"/>
            </w:rPr>
          </w:pPr>
          <w:hyperlink w:anchor="_Toc235795696" w:history="1">
            <w:r w:rsidR="00B808A9" w:rsidRPr="00B808A9">
              <w:rPr>
                <w:rStyle w:val="Hyperlink"/>
                <w:rFonts w:ascii="Times New Roman" w:hAnsi="Times New Roman" w:cs="Times New Roman"/>
                <w:noProof/>
                <w:sz w:val="24"/>
                <w:szCs w:val="24"/>
              </w:rPr>
              <w:t>3. Main Findings</w:t>
            </w:r>
            <w:r w:rsidR="00B808A9" w:rsidRPr="00B808A9">
              <w:rPr>
                <w:rFonts w:ascii="Times New Roman" w:hAnsi="Times New Roman" w:cs="Times New Roman"/>
                <w:noProof/>
                <w:webHidden/>
                <w:sz w:val="24"/>
                <w:szCs w:val="24"/>
              </w:rPr>
              <w:tab/>
            </w:r>
            <w:r w:rsidR="00B808A9" w:rsidRPr="00B808A9">
              <w:rPr>
                <w:rFonts w:ascii="Times New Roman" w:hAnsi="Times New Roman" w:cs="Times New Roman"/>
                <w:noProof/>
                <w:webHidden/>
                <w:sz w:val="24"/>
                <w:szCs w:val="24"/>
              </w:rPr>
              <w:fldChar w:fldCharType="begin"/>
            </w:r>
            <w:r w:rsidR="00B808A9" w:rsidRPr="00B808A9">
              <w:rPr>
                <w:rFonts w:ascii="Times New Roman" w:hAnsi="Times New Roman" w:cs="Times New Roman"/>
                <w:noProof/>
                <w:webHidden/>
                <w:sz w:val="24"/>
                <w:szCs w:val="24"/>
              </w:rPr>
              <w:instrText xml:space="preserve"> PAGEREF _Toc235795696 \h </w:instrText>
            </w:r>
            <w:r w:rsidR="00B808A9" w:rsidRPr="00B808A9">
              <w:rPr>
                <w:rFonts w:ascii="Times New Roman" w:hAnsi="Times New Roman" w:cs="Times New Roman"/>
                <w:noProof/>
                <w:webHidden/>
                <w:sz w:val="24"/>
                <w:szCs w:val="24"/>
              </w:rPr>
            </w:r>
            <w:r w:rsidR="00B808A9" w:rsidRPr="00B808A9">
              <w:rPr>
                <w:rFonts w:ascii="Times New Roman" w:hAnsi="Times New Roman" w:cs="Times New Roman"/>
                <w:noProof/>
                <w:webHidden/>
                <w:sz w:val="24"/>
                <w:szCs w:val="24"/>
              </w:rPr>
              <w:fldChar w:fldCharType="separate"/>
            </w:r>
            <w:r w:rsidR="00AF6C10">
              <w:rPr>
                <w:rFonts w:ascii="Times New Roman" w:hAnsi="Times New Roman" w:cs="Times New Roman"/>
                <w:noProof/>
                <w:webHidden/>
                <w:sz w:val="24"/>
                <w:szCs w:val="24"/>
              </w:rPr>
              <w:t>9</w:t>
            </w:r>
            <w:r w:rsidR="00B808A9" w:rsidRPr="00B808A9">
              <w:rPr>
                <w:rFonts w:ascii="Times New Roman" w:hAnsi="Times New Roman" w:cs="Times New Roman"/>
                <w:noProof/>
                <w:webHidden/>
                <w:sz w:val="24"/>
                <w:szCs w:val="24"/>
              </w:rPr>
              <w:fldChar w:fldCharType="end"/>
            </w:r>
          </w:hyperlink>
        </w:p>
        <w:p w14:paraId="11B3E6E5" w14:textId="2102B6BE" w:rsidR="00B808A9" w:rsidRPr="00B808A9" w:rsidRDefault="00A900DC" w:rsidP="00B808A9">
          <w:pPr>
            <w:pStyle w:val="TOC2"/>
            <w:tabs>
              <w:tab w:val="right" w:leader="dot" w:pos="8630"/>
            </w:tabs>
            <w:spacing w:line="360" w:lineRule="auto"/>
            <w:rPr>
              <w:rFonts w:ascii="Times New Roman" w:hAnsi="Times New Roman" w:cs="Times New Roman"/>
              <w:noProof/>
              <w:kern w:val="2"/>
              <w:sz w:val="24"/>
              <w:szCs w:val="24"/>
              <w14:ligatures w14:val="standardContextual"/>
            </w:rPr>
          </w:pPr>
          <w:hyperlink w:anchor="_Toc235795697" w:history="1">
            <w:r w:rsidR="00B808A9" w:rsidRPr="00B808A9">
              <w:rPr>
                <w:rStyle w:val="Hyperlink"/>
                <w:rFonts w:ascii="Times New Roman" w:hAnsi="Times New Roman" w:cs="Times New Roman"/>
                <w:noProof/>
                <w:sz w:val="24"/>
                <w:szCs w:val="24"/>
              </w:rPr>
              <w:t>3.1 Competitive Intensity: A Five Forces Reading</w:t>
            </w:r>
            <w:r w:rsidR="00B808A9" w:rsidRPr="00B808A9">
              <w:rPr>
                <w:rFonts w:ascii="Times New Roman" w:hAnsi="Times New Roman" w:cs="Times New Roman"/>
                <w:noProof/>
                <w:webHidden/>
                <w:sz w:val="24"/>
                <w:szCs w:val="24"/>
              </w:rPr>
              <w:tab/>
            </w:r>
            <w:r w:rsidR="00B808A9" w:rsidRPr="00B808A9">
              <w:rPr>
                <w:rFonts w:ascii="Times New Roman" w:hAnsi="Times New Roman" w:cs="Times New Roman"/>
                <w:noProof/>
                <w:webHidden/>
                <w:sz w:val="24"/>
                <w:szCs w:val="24"/>
              </w:rPr>
              <w:fldChar w:fldCharType="begin"/>
            </w:r>
            <w:r w:rsidR="00B808A9" w:rsidRPr="00B808A9">
              <w:rPr>
                <w:rFonts w:ascii="Times New Roman" w:hAnsi="Times New Roman" w:cs="Times New Roman"/>
                <w:noProof/>
                <w:webHidden/>
                <w:sz w:val="24"/>
                <w:szCs w:val="24"/>
              </w:rPr>
              <w:instrText xml:space="preserve"> PAGEREF _Toc235795697 \h </w:instrText>
            </w:r>
            <w:r w:rsidR="00B808A9" w:rsidRPr="00B808A9">
              <w:rPr>
                <w:rFonts w:ascii="Times New Roman" w:hAnsi="Times New Roman" w:cs="Times New Roman"/>
                <w:noProof/>
                <w:webHidden/>
                <w:sz w:val="24"/>
                <w:szCs w:val="24"/>
              </w:rPr>
            </w:r>
            <w:r w:rsidR="00B808A9" w:rsidRPr="00B808A9">
              <w:rPr>
                <w:rFonts w:ascii="Times New Roman" w:hAnsi="Times New Roman" w:cs="Times New Roman"/>
                <w:noProof/>
                <w:webHidden/>
                <w:sz w:val="24"/>
                <w:szCs w:val="24"/>
              </w:rPr>
              <w:fldChar w:fldCharType="separate"/>
            </w:r>
            <w:r w:rsidR="00AF6C10">
              <w:rPr>
                <w:rFonts w:ascii="Times New Roman" w:hAnsi="Times New Roman" w:cs="Times New Roman"/>
                <w:noProof/>
                <w:webHidden/>
                <w:sz w:val="24"/>
                <w:szCs w:val="24"/>
              </w:rPr>
              <w:t>9</w:t>
            </w:r>
            <w:r w:rsidR="00B808A9" w:rsidRPr="00B808A9">
              <w:rPr>
                <w:rFonts w:ascii="Times New Roman" w:hAnsi="Times New Roman" w:cs="Times New Roman"/>
                <w:noProof/>
                <w:webHidden/>
                <w:sz w:val="24"/>
                <w:szCs w:val="24"/>
              </w:rPr>
              <w:fldChar w:fldCharType="end"/>
            </w:r>
          </w:hyperlink>
        </w:p>
        <w:p w14:paraId="3DAD89E7" w14:textId="74201133" w:rsidR="00B808A9" w:rsidRPr="00B808A9" w:rsidRDefault="00A900DC" w:rsidP="00B808A9">
          <w:pPr>
            <w:pStyle w:val="TOC2"/>
            <w:tabs>
              <w:tab w:val="right" w:leader="dot" w:pos="8630"/>
            </w:tabs>
            <w:spacing w:line="360" w:lineRule="auto"/>
            <w:rPr>
              <w:rFonts w:ascii="Times New Roman" w:hAnsi="Times New Roman" w:cs="Times New Roman"/>
              <w:noProof/>
              <w:kern w:val="2"/>
              <w:sz w:val="24"/>
              <w:szCs w:val="24"/>
              <w14:ligatures w14:val="standardContextual"/>
            </w:rPr>
          </w:pPr>
          <w:hyperlink w:anchor="_Toc235795698" w:history="1">
            <w:r w:rsidR="00B808A9" w:rsidRPr="00B808A9">
              <w:rPr>
                <w:rStyle w:val="Hyperlink"/>
                <w:rFonts w:ascii="Times New Roman" w:hAnsi="Times New Roman" w:cs="Times New Roman"/>
                <w:noProof/>
                <w:sz w:val="24"/>
                <w:szCs w:val="24"/>
              </w:rPr>
              <w:t>3.2 Regulatory Divergence: PESTLE Across Two Markets</w:t>
            </w:r>
            <w:r w:rsidR="00B808A9" w:rsidRPr="00B808A9">
              <w:rPr>
                <w:rFonts w:ascii="Times New Roman" w:hAnsi="Times New Roman" w:cs="Times New Roman"/>
                <w:noProof/>
                <w:webHidden/>
                <w:sz w:val="24"/>
                <w:szCs w:val="24"/>
              </w:rPr>
              <w:tab/>
            </w:r>
            <w:r w:rsidR="00B808A9" w:rsidRPr="00B808A9">
              <w:rPr>
                <w:rFonts w:ascii="Times New Roman" w:hAnsi="Times New Roman" w:cs="Times New Roman"/>
                <w:noProof/>
                <w:webHidden/>
                <w:sz w:val="24"/>
                <w:szCs w:val="24"/>
              </w:rPr>
              <w:fldChar w:fldCharType="begin"/>
            </w:r>
            <w:r w:rsidR="00B808A9" w:rsidRPr="00B808A9">
              <w:rPr>
                <w:rFonts w:ascii="Times New Roman" w:hAnsi="Times New Roman" w:cs="Times New Roman"/>
                <w:noProof/>
                <w:webHidden/>
                <w:sz w:val="24"/>
                <w:szCs w:val="24"/>
              </w:rPr>
              <w:instrText xml:space="preserve"> PAGEREF _Toc235795698 \h </w:instrText>
            </w:r>
            <w:r w:rsidR="00B808A9" w:rsidRPr="00B808A9">
              <w:rPr>
                <w:rFonts w:ascii="Times New Roman" w:hAnsi="Times New Roman" w:cs="Times New Roman"/>
                <w:noProof/>
                <w:webHidden/>
                <w:sz w:val="24"/>
                <w:szCs w:val="24"/>
              </w:rPr>
            </w:r>
            <w:r w:rsidR="00B808A9" w:rsidRPr="00B808A9">
              <w:rPr>
                <w:rFonts w:ascii="Times New Roman" w:hAnsi="Times New Roman" w:cs="Times New Roman"/>
                <w:noProof/>
                <w:webHidden/>
                <w:sz w:val="24"/>
                <w:szCs w:val="24"/>
              </w:rPr>
              <w:fldChar w:fldCharType="separate"/>
            </w:r>
            <w:r w:rsidR="00AF6C10">
              <w:rPr>
                <w:rFonts w:ascii="Times New Roman" w:hAnsi="Times New Roman" w:cs="Times New Roman"/>
                <w:noProof/>
                <w:webHidden/>
                <w:sz w:val="24"/>
                <w:szCs w:val="24"/>
              </w:rPr>
              <w:t>10</w:t>
            </w:r>
            <w:r w:rsidR="00B808A9" w:rsidRPr="00B808A9">
              <w:rPr>
                <w:rFonts w:ascii="Times New Roman" w:hAnsi="Times New Roman" w:cs="Times New Roman"/>
                <w:noProof/>
                <w:webHidden/>
                <w:sz w:val="24"/>
                <w:szCs w:val="24"/>
              </w:rPr>
              <w:fldChar w:fldCharType="end"/>
            </w:r>
          </w:hyperlink>
        </w:p>
        <w:p w14:paraId="45902AED" w14:textId="482312A8" w:rsidR="00B808A9" w:rsidRPr="00B808A9" w:rsidRDefault="00A900DC" w:rsidP="00B808A9">
          <w:pPr>
            <w:pStyle w:val="TOC2"/>
            <w:tabs>
              <w:tab w:val="right" w:leader="dot" w:pos="8630"/>
            </w:tabs>
            <w:spacing w:line="360" w:lineRule="auto"/>
            <w:rPr>
              <w:rFonts w:ascii="Times New Roman" w:hAnsi="Times New Roman" w:cs="Times New Roman"/>
              <w:noProof/>
              <w:kern w:val="2"/>
              <w:sz w:val="24"/>
              <w:szCs w:val="24"/>
              <w14:ligatures w14:val="standardContextual"/>
            </w:rPr>
          </w:pPr>
          <w:hyperlink w:anchor="_Toc235795699" w:history="1">
            <w:r w:rsidR="00B808A9" w:rsidRPr="00B808A9">
              <w:rPr>
                <w:rStyle w:val="Hyperlink"/>
                <w:rFonts w:ascii="Times New Roman" w:hAnsi="Times New Roman" w:cs="Times New Roman"/>
                <w:noProof/>
                <w:sz w:val="24"/>
                <w:szCs w:val="24"/>
              </w:rPr>
              <w:t>3.3 Assurance and Governance Risk</w:t>
            </w:r>
            <w:r w:rsidR="00B808A9" w:rsidRPr="00B808A9">
              <w:rPr>
                <w:rFonts w:ascii="Times New Roman" w:hAnsi="Times New Roman" w:cs="Times New Roman"/>
                <w:noProof/>
                <w:webHidden/>
                <w:sz w:val="24"/>
                <w:szCs w:val="24"/>
              </w:rPr>
              <w:tab/>
            </w:r>
            <w:r w:rsidR="00B808A9" w:rsidRPr="00B808A9">
              <w:rPr>
                <w:rFonts w:ascii="Times New Roman" w:hAnsi="Times New Roman" w:cs="Times New Roman"/>
                <w:noProof/>
                <w:webHidden/>
                <w:sz w:val="24"/>
                <w:szCs w:val="24"/>
              </w:rPr>
              <w:fldChar w:fldCharType="begin"/>
            </w:r>
            <w:r w:rsidR="00B808A9" w:rsidRPr="00B808A9">
              <w:rPr>
                <w:rFonts w:ascii="Times New Roman" w:hAnsi="Times New Roman" w:cs="Times New Roman"/>
                <w:noProof/>
                <w:webHidden/>
                <w:sz w:val="24"/>
                <w:szCs w:val="24"/>
              </w:rPr>
              <w:instrText xml:space="preserve"> PAGEREF _Toc235795699 \h </w:instrText>
            </w:r>
            <w:r w:rsidR="00B808A9" w:rsidRPr="00B808A9">
              <w:rPr>
                <w:rFonts w:ascii="Times New Roman" w:hAnsi="Times New Roman" w:cs="Times New Roman"/>
                <w:noProof/>
                <w:webHidden/>
                <w:sz w:val="24"/>
                <w:szCs w:val="24"/>
              </w:rPr>
            </w:r>
            <w:r w:rsidR="00B808A9" w:rsidRPr="00B808A9">
              <w:rPr>
                <w:rFonts w:ascii="Times New Roman" w:hAnsi="Times New Roman" w:cs="Times New Roman"/>
                <w:noProof/>
                <w:webHidden/>
                <w:sz w:val="24"/>
                <w:szCs w:val="24"/>
              </w:rPr>
              <w:fldChar w:fldCharType="separate"/>
            </w:r>
            <w:r w:rsidR="00AF6C10">
              <w:rPr>
                <w:rFonts w:ascii="Times New Roman" w:hAnsi="Times New Roman" w:cs="Times New Roman"/>
                <w:noProof/>
                <w:webHidden/>
                <w:sz w:val="24"/>
                <w:szCs w:val="24"/>
              </w:rPr>
              <w:t>13</w:t>
            </w:r>
            <w:r w:rsidR="00B808A9" w:rsidRPr="00B808A9">
              <w:rPr>
                <w:rFonts w:ascii="Times New Roman" w:hAnsi="Times New Roman" w:cs="Times New Roman"/>
                <w:noProof/>
                <w:webHidden/>
                <w:sz w:val="24"/>
                <w:szCs w:val="24"/>
              </w:rPr>
              <w:fldChar w:fldCharType="end"/>
            </w:r>
          </w:hyperlink>
        </w:p>
        <w:p w14:paraId="46CB8EEE" w14:textId="43FE3968" w:rsidR="00B808A9" w:rsidRPr="00B808A9" w:rsidRDefault="00A900DC" w:rsidP="00B808A9">
          <w:pPr>
            <w:pStyle w:val="TOC2"/>
            <w:tabs>
              <w:tab w:val="right" w:leader="dot" w:pos="8630"/>
            </w:tabs>
            <w:spacing w:line="360" w:lineRule="auto"/>
            <w:rPr>
              <w:rFonts w:ascii="Times New Roman" w:hAnsi="Times New Roman" w:cs="Times New Roman"/>
              <w:noProof/>
              <w:kern w:val="2"/>
              <w:sz w:val="24"/>
              <w:szCs w:val="24"/>
              <w14:ligatures w14:val="standardContextual"/>
            </w:rPr>
          </w:pPr>
          <w:hyperlink w:anchor="_Toc235795700" w:history="1">
            <w:r w:rsidR="00B808A9" w:rsidRPr="00B808A9">
              <w:rPr>
                <w:rStyle w:val="Hyperlink"/>
                <w:rFonts w:ascii="Times New Roman" w:hAnsi="Times New Roman" w:cs="Times New Roman"/>
                <w:noProof/>
                <w:sz w:val="24"/>
                <w:szCs w:val="24"/>
              </w:rPr>
              <w:t>3.4 Can Customers Trust the Machine?</w:t>
            </w:r>
            <w:r w:rsidR="00B808A9" w:rsidRPr="00B808A9">
              <w:rPr>
                <w:rFonts w:ascii="Times New Roman" w:hAnsi="Times New Roman" w:cs="Times New Roman"/>
                <w:noProof/>
                <w:webHidden/>
                <w:sz w:val="24"/>
                <w:szCs w:val="24"/>
              </w:rPr>
              <w:tab/>
            </w:r>
            <w:r w:rsidR="00B808A9" w:rsidRPr="00B808A9">
              <w:rPr>
                <w:rFonts w:ascii="Times New Roman" w:hAnsi="Times New Roman" w:cs="Times New Roman"/>
                <w:noProof/>
                <w:webHidden/>
                <w:sz w:val="24"/>
                <w:szCs w:val="24"/>
              </w:rPr>
              <w:fldChar w:fldCharType="begin"/>
            </w:r>
            <w:r w:rsidR="00B808A9" w:rsidRPr="00B808A9">
              <w:rPr>
                <w:rFonts w:ascii="Times New Roman" w:hAnsi="Times New Roman" w:cs="Times New Roman"/>
                <w:noProof/>
                <w:webHidden/>
                <w:sz w:val="24"/>
                <w:szCs w:val="24"/>
              </w:rPr>
              <w:instrText xml:space="preserve"> PAGEREF _Toc235795700 \h </w:instrText>
            </w:r>
            <w:r w:rsidR="00B808A9" w:rsidRPr="00B808A9">
              <w:rPr>
                <w:rFonts w:ascii="Times New Roman" w:hAnsi="Times New Roman" w:cs="Times New Roman"/>
                <w:noProof/>
                <w:webHidden/>
                <w:sz w:val="24"/>
                <w:szCs w:val="24"/>
              </w:rPr>
            </w:r>
            <w:r w:rsidR="00B808A9" w:rsidRPr="00B808A9">
              <w:rPr>
                <w:rFonts w:ascii="Times New Roman" w:hAnsi="Times New Roman" w:cs="Times New Roman"/>
                <w:noProof/>
                <w:webHidden/>
                <w:sz w:val="24"/>
                <w:szCs w:val="24"/>
              </w:rPr>
              <w:fldChar w:fldCharType="separate"/>
            </w:r>
            <w:r w:rsidR="00AF6C10">
              <w:rPr>
                <w:rFonts w:ascii="Times New Roman" w:hAnsi="Times New Roman" w:cs="Times New Roman"/>
                <w:noProof/>
                <w:webHidden/>
                <w:sz w:val="24"/>
                <w:szCs w:val="24"/>
              </w:rPr>
              <w:t>16</w:t>
            </w:r>
            <w:r w:rsidR="00B808A9" w:rsidRPr="00B808A9">
              <w:rPr>
                <w:rFonts w:ascii="Times New Roman" w:hAnsi="Times New Roman" w:cs="Times New Roman"/>
                <w:noProof/>
                <w:webHidden/>
                <w:sz w:val="24"/>
                <w:szCs w:val="24"/>
              </w:rPr>
              <w:fldChar w:fldCharType="end"/>
            </w:r>
          </w:hyperlink>
        </w:p>
        <w:p w14:paraId="0A370938" w14:textId="2CC33FDB" w:rsidR="00B808A9" w:rsidRPr="00B808A9" w:rsidRDefault="00A900DC" w:rsidP="00B808A9">
          <w:pPr>
            <w:pStyle w:val="TOC2"/>
            <w:tabs>
              <w:tab w:val="right" w:leader="dot" w:pos="8630"/>
            </w:tabs>
            <w:spacing w:line="360" w:lineRule="auto"/>
            <w:rPr>
              <w:rFonts w:ascii="Times New Roman" w:hAnsi="Times New Roman" w:cs="Times New Roman"/>
              <w:noProof/>
              <w:kern w:val="2"/>
              <w:sz w:val="24"/>
              <w:szCs w:val="24"/>
              <w14:ligatures w14:val="standardContextual"/>
            </w:rPr>
          </w:pPr>
          <w:hyperlink w:anchor="_Toc235795701" w:history="1">
            <w:r w:rsidR="00B808A9" w:rsidRPr="00B808A9">
              <w:rPr>
                <w:rStyle w:val="Hyperlink"/>
                <w:rFonts w:ascii="Times New Roman" w:hAnsi="Times New Roman" w:cs="Times New Roman"/>
                <w:noProof/>
                <w:sz w:val="24"/>
                <w:szCs w:val="24"/>
              </w:rPr>
              <w:t>3.5 Weighing the Frameworks</w:t>
            </w:r>
            <w:r w:rsidR="00B808A9" w:rsidRPr="00B808A9">
              <w:rPr>
                <w:rFonts w:ascii="Times New Roman" w:hAnsi="Times New Roman" w:cs="Times New Roman"/>
                <w:noProof/>
                <w:webHidden/>
                <w:sz w:val="24"/>
                <w:szCs w:val="24"/>
              </w:rPr>
              <w:tab/>
            </w:r>
            <w:r w:rsidR="00B808A9" w:rsidRPr="00B808A9">
              <w:rPr>
                <w:rFonts w:ascii="Times New Roman" w:hAnsi="Times New Roman" w:cs="Times New Roman"/>
                <w:noProof/>
                <w:webHidden/>
                <w:sz w:val="24"/>
                <w:szCs w:val="24"/>
              </w:rPr>
              <w:fldChar w:fldCharType="begin"/>
            </w:r>
            <w:r w:rsidR="00B808A9" w:rsidRPr="00B808A9">
              <w:rPr>
                <w:rFonts w:ascii="Times New Roman" w:hAnsi="Times New Roman" w:cs="Times New Roman"/>
                <w:noProof/>
                <w:webHidden/>
                <w:sz w:val="24"/>
                <w:szCs w:val="24"/>
              </w:rPr>
              <w:instrText xml:space="preserve"> PAGEREF _Toc235795701 \h </w:instrText>
            </w:r>
            <w:r w:rsidR="00B808A9" w:rsidRPr="00B808A9">
              <w:rPr>
                <w:rFonts w:ascii="Times New Roman" w:hAnsi="Times New Roman" w:cs="Times New Roman"/>
                <w:noProof/>
                <w:webHidden/>
                <w:sz w:val="24"/>
                <w:szCs w:val="24"/>
              </w:rPr>
            </w:r>
            <w:r w:rsidR="00B808A9" w:rsidRPr="00B808A9">
              <w:rPr>
                <w:rFonts w:ascii="Times New Roman" w:hAnsi="Times New Roman" w:cs="Times New Roman"/>
                <w:noProof/>
                <w:webHidden/>
                <w:sz w:val="24"/>
                <w:szCs w:val="24"/>
              </w:rPr>
              <w:fldChar w:fldCharType="separate"/>
            </w:r>
            <w:r w:rsidR="00AF6C10">
              <w:rPr>
                <w:rFonts w:ascii="Times New Roman" w:hAnsi="Times New Roman" w:cs="Times New Roman"/>
                <w:noProof/>
                <w:webHidden/>
                <w:sz w:val="24"/>
                <w:szCs w:val="24"/>
              </w:rPr>
              <w:t>17</w:t>
            </w:r>
            <w:r w:rsidR="00B808A9" w:rsidRPr="00B808A9">
              <w:rPr>
                <w:rFonts w:ascii="Times New Roman" w:hAnsi="Times New Roman" w:cs="Times New Roman"/>
                <w:noProof/>
                <w:webHidden/>
                <w:sz w:val="24"/>
                <w:szCs w:val="24"/>
              </w:rPr>
              <w:fldChar w:fldCharType="end"/>
            </w:r>
          </w:hyperlink>
        </w:p>
        <w:p w14:paraId="7C696B21" w14:textId="1A17579B" w:rsidR="00B808A9" w:rsidRPr="00B808A9" w:rsidRDefault="00A900DC" w:rsidP="00B808A9">
          <w:pPr>
            <w:pStyle w:val="TOC1"/>
            <w:tabs>
              <w:tab w:val="right" w:leader="dot" w:pos="8630"/>
            </w:tabs>
            <w:spacing w:line="360" w:lineRule="auto"/>
            <w:rPr>
              <w:rFonts w:ascii="Times New Roman" w:hAnsi="Times New Roman" w:cs="Times New Roman"/>
              <w:noProof/>
              <w:kern w:val="2"/>
              <w:sz w:val="24"/>
              <w:szCs w:val="24"/>
              <w14:ligatures w14:val="standardContextual"/>
            </w:rPr>
          </w:pPr>
          <w:hyperlink w:anchor="_Toc235795702" w:history="1">
            <w:r w:rsidR="00B808A9" w:rsidRPr="00B808A9">
              <w:rPr>
                <w:rStyle w:val="Hyperlink"/>
                <w:rFonts w:ascii="Times New Roman" w:hAnsi="Times New Roman" w:cs="Times New Roman"/>
                <w:noProof/>
                <w:sz w:val="24"/>
                <w:szCs w:val="24"/>
              </w:rPr>
              <w:t>4. Implementation Plan</w:t>
            </w:r>
            <w:r w:rsidR="00B808A9" w:rsidRPr="00B808A9">
              <w:rPr>
                <w:rFonts w:ascii="Times New Roman" w:hAnsi="Times New Roman" w:cs="Times New Roman"/>
                <w:noProof/>
                <w:webHidden/>
                <w:sz w:val="24"/>
                <w:szCs w:val="24"/>
              </w:rPr>
              <w:tab/>
            </w:r>
            <w:r w:rsidR="00B808A9" w:rsidRPr="00B808A9">
              <w:rPr>
                <w:rFonts w:ascii="Times New Roman" w:hAnsi="Times New Roman" w:cs="Times New Roman"/>
                <w:noProof/>
                <w:webHidden/>
                <w:sz w:val="24"/>
                <w:szCs w:val="24"/>
              </w:rPr>
              <w:fldChar w:fldCharType="begin"/>
            </w:r>
            <w:r w:rsidR="00B808A9" w:rsidRPr="00B808A9">
              <w:rPr>
                <w:rFonts w:ascii="Times New Roman" w:hAnsi="Times New Roman" w:cs="Times New Roman"/>
                <w:noProof/>
                <w:webHidden/>
                <w:sz w:val="24"/>
                <w:szCs w:val="24"/>
              </w:rPr>
              <w:instrText xml:space="preserve"> PAGEREF _Toc235795702 \h </w:instrText>
            </w:r>
            <w:r w:rsidR="00B808A9" w:rsidRPr="00B808A9">
              <w:rPr>
                <w:rFonts w:ascii="Times New Roman" w:hAnsi="Times New Roman" w:cs="Times New Roman"/>
                <w:noProof/>
                <w:webHidden/>
                <w:sz w:val="24"/>
                <w:szCs w:val="24"/>
              </w:rPr>
            </w:r>
            <w:r w:rsidR="00B808A9" w:rsidRPr="00B808A9">
              <w:rPr>
                <w:rFonts w:ascii="Times New Roman" w:hAnsi="Times New Roman" w:cs="Times New Roman"/>
                <w:noProof/>
                <w:webHidden/>
                <w:sz w:val="24"/>
                <w:szCs w:val="24"/>
              </w:rPr>
              <w:fldChar w:fldCharType="separate"/>
            </w:r>
            <w:r w:rsidR="00AF6C10">
              <w:rPr>
                <w:rFonts w:ascii="Times New Roman" w:hAnsi="Times New Roman" w:cs="Times New Roman"/>
                <w:noProof/>
                <w:webHidden/>
                <w:sz w:val="24"/>
                <w:szCs w:val="24"/>
              </w:rPr>
              <w:t>18</w:t>
            </w:r>
            <w:r w:rsidR="00B808A9" w:rsidRPr="00B808A9">
              <w:rPr>
                <w:rFonts w:ascii="Times New Roman" w:hAnsi="Times New Roman" w:cs="Times New Roman"/>
                <w:noProof/>
                <w:webHidden/>
                <w:sz w:val="24"/>
                <w:szCs w:val="24"/>
              </w:rPr>
              <w:fldChar w:fldCharType="end"/>
            </w:r>
          </w:hyperlink>
        </w:p>
        <w:p w14:paraId="733FBD42" w14:textId="674DC3EC" w:rsidR="00B808A9" w:rsidRPr="00B808A9" w:rsidRDefault="00A900DC" w:rsidP="00B808A9">
          <w:pPr>
            <w:pStyle w:val="TOC1"/>
            <w:tabs>
              <w:tab w:val="right" w:leader="dot" w:pos="8630"/>
            </w:tabs>
            <w:spacing w:line="360" w:lineRule="auto"/>
            <w:rPr>
              <w:rFonts w:ascii="Times New Roman" w:hAnsi="Times New Roman" w:cs="Times New Roman"/>
              <w:noProof/>
              <w:kern w:val="2"/>
              <w:sz w:val="24"/>
              <w:szCs w:val="24"/>
              <w14:ligatures w14:val="standardContextual"/>
            </w:rPr>
          </w:pPr>
          <w:hyperlink w:anchor="_Toc235795703" w:history="1">
            <w:r w:rsidR="00B808A9" w:rsidRPr="00B808A9">
              <w:rPr>
                <w:rStyle w:val="Hyperlink"/>
                <w:rFonts w:ascii="Times New Roman" w:hAnsi="Times New Roman" w:cs="Times New Roman"/>
                <w:noProof/>
                <w:sz w:val="24"/>
                <w:szCs w:val="24"/>
              </w:rPr>
              <w:t>5. Conclusion</w:t>
            </w:r>
            <w:r w:rsidR="00B808A9" w:rsidRPr="00B808A9">
              <w:rPr>
                <w:rFonts w:ascii="Times New Roman" w:hAnsi="Times New Roman" w:cs="Times New Roman"/>
                <w:noProof/>
                <w:webHidden/>
                <w:sz w:val="24"/>
                <w:szCs w:val="24"/>
              </w:rPr>
              <w:tab/>
            </w:r>
            <w:r w:rsidR="00B808A9" w:rsidRPr="00B808A9">
              <w:rPr>
                <w:rFonts w:ascii="Times New Roman" w:hAnsi="Times New Roman" w:cs="Times New Roman"/>
                <w:noProof/>
                <w:webHidden/>
                <w:sz w:val="24"/>
                <w:szCs w:val="24"/>
              </w:rPr>
              <w:fldChar w:fldCharType="begin"/>
            </w:r>
            <w:r w:rsidR="00B808A9" w:rsidRPr="00B808A9">
              <w:rPr>
                <w:rFonts w:ascii="Times New Roman" w:hAnsi="Times New Roman" w:cs="Times New Roman"/>
                <w:noProof/>
                <w:webHidden/>
                <w:sz w:val="24"/>
                <w:szCs w:val="24"/>
              </w:rPr>
              <w:instrText xml:space="preserve"> PAGEREF _Toc235795703 \h </w:instrText>
            </w:r>
            <w:r w:rsidR="00B808A9" w:rsidRPr="00B808A9">
              <w:rPr>
                <w:rFonts w:ascii="Times New Roman" w:hAnsi="Times New Roman" w:cs="Times New Roman"/>
                <w:noProof/>
                <w:webHidden/>
                <w:sz w:val="24"/>
                <w:szCs w:val="24"/>
              </w:rPr>
            </w:r>
            <w:r w:rsidR="00B808A9" w:rsidRPr="00B808A9">
              <w:rPr>
                <w:rFonts w:ascii="Times New Roman" w:hAnsi="Times New Roman" w:cs="Times New Roman"/>
                <w:noProof/>
                <w:webHidden/>
                <w:sz w:val="24"/>
                <w:szCs w:val="24"/>
              </w:rPr>
              <w:fldChar w:fldCharType="separate"/>
            </w:r>
            <w:r w:rsidR="00AF6C10">
              <w:rPr>
                <w:rFonts w:ascii="Times New Roman" w:hAnsi="Times New Roman" w:cs="Times New Roman"/>
                <w:noProof/>
                <w:webHidden/>
                <w:sz w:val="24"/>
                <w:szCs w:val="24"/>
              </w:rPr>
              <w:t>19</w:t>
            </w:r>
            <w:r w:rsidR="00B808A9" w:rsidRPr="00B808A9">
              <w:rPr>
                <w:rFonts w:ascii="Times New Roman" w:hAnsi="Times New Roman" w:cs="Times New Roman"/>
                <w:noProof/>
                <w:webHidden/>
                <w:sz w:val="24"/>
                <w:szCs w:val="24"/>
              </w:rPr>
              <w:fldChar w:fldCharType="end"/>
            </w:r>
          </w:hyperlink>
        </w:p>
        <w:p w14:paraId="6F4C78F2" w14:textId="1F0F4D6C" w:rsidR="00B808A9" w:rsidRPr="00B808A9" w:rsidRDefault="00A900DC" w:rsidP="00B808A9">
          <w:pPr>
            <w:pStyle w:val="TOC1"/>
            <w:tabs>
              <w:tab w:val="right" w:leader="dot" w:pos="8630"/>
            </w:tabs>
            <w:spacing w:line="360" w:lineRule="auto"/>
            <w:rPr>
              <w:rFonts w:ascii="Times New Roman" w:hAnsi="Times New Roman" w:cs="Times New Roman"/>
              <w:noProof/>
              <w:kern w:val="2"/>
              <w:sz w:val="24"/>
              <w:szCs w:val="24"/>
              <w14:ligatures w14:val="standardContextual"/>
            </w:rPr>
          </w:pPr>
          <w:hyperlink w:anchor="_Toc235795704" w:history="1">
            <w:r w:rsidR="00B808A9" w:rsidRPr="00B808A9">
              <w:rPr>
                <w:rStyle w:val="Hyperlink"/>
                <w:rFonts w:ascii="Times New Roman" w:hAnsi="Times New Roman" w:cs="Times New Roman"/>
                <w:noProof/>
                <w:sz w:val="24"/>
                <w:szCs w:val="24"/>
              </w:rPr>
              <w:t>References List</w:t>
            </w:r>
            <w:r w:rsidR="00B808A9" w:rsidRPr="00B808A9">
              <w:rPr>
                <w:rFonts w:ascii="Times New Roman" w:hAnsi="Times New Roman" w:cs="Times New Roman"/>
                <w:noProof/>
                <w:webHidden/>
                <w:sz w:val="24"/>
                <w:szCs w:val="24"/>
              </w:rPr>
              <w:tab/>
            </w:r>
            <w:r w:rsidR="00B808A9" w:rsidRPr="00B808A9">
              <w:rPr>
                <w:rFonts w:ascii="Times New Roman" w:hAnsi="Times New Roman" w:cs="Times New Roman"/>
                <w:noProof/>
                <w:webHidden/>
                <w:sz w:val="24"/>
                <w:szCs w:val="24"/>
              </w:rPr>
              <w:fldChar w:fldCharType="begin"/>
            </w:r>
            <w:r w:rsidR="00B808A9" w:rsidRPr="00B808A9">
              <w:rPr>
                <w:rFonts w:ascii="Times New Roman" w:hAnsi="Times New Roman" w:cs="Times New Roman"/>
                <w:noProof/>
                <w:webHidden/>
                <w:sz w:val="24"/>
                <w:szCs w:val="24"/>
              </w:rPr>
              <w:instrText xml:space="preserve"> PAGEREF _Toc235795704 \h </w:instrText>
            </w:r>
            <w:r w:rsidR="00B808A9" w:rsidRPr="00B808A9">
              <w:rPr>
                <w:rFonts w:ascii="Times New Roman" w:hAnsi="Times New Roman" w:cs="Times New Roman"/>
                <w:noProof/>
                <w:webHidden/>
                <w:sz w:val="24"/>
                <w:szCs w:val="24"/>
              </w:rPr>
            </w:r>
            <w:r w:rsidR="00B808A9" w:rsidRPr="00B808A9">
              <w:rPr>
                <w:rFonts w:ascii="Times New Roman" w:hAnsi="Times New Roman" w:cs="Times New Roman"/>
                <w:noProof/>
                <w:webHidden/>
                <w:sz w:val="24"/>
                <w:szCs w:val="24"/>
              </w:rPr>
              <w:fldChar w:fldCharType="separate"/>
            </w:r>
            <w:r w:rsidR="00AF6C10">
              <w:rPr>
                <w:rFonts w:ascii="Times New Roman" w:hAnsi="Times New Roman" w:cs="Times New Roman"/>
                <w:noProof/>
                <w:webHidden/>
                <w:sz w:val="24"/>
                <w:szCs w:val="24"/>
              </w:rPr>
              <w:t>21</w:t>
            </w:r>
            <w:r w:rsidR="00B808A9" w:rsidRPr="00B808A9">
              <w:rPr>
                <w:rFonts w:ascii="Times New Roman" w:hAnsi="Times New Roman" w:cs="Times New Roman"/>
                <w:noProof/>
                <w:webHidden/>
                <w:sz w:val="24"/>
                <w:szCs w:val="24"/>
              </w:rPr>
              <w:fldChar w:fldCharType="end"/>
            </w:r>
          </w:hyperlink>
        </w:p>
        <w:p w14:paraId="08130D52" w14:textId="12A3E8E1" w:rsidR="00B808A9" w:rsidRDefault="00B808A9" w:rsidP="00B808A9">
          <w:pPr>
            <w:spacing w:line="360" w:lineRule="auto"/>
          </w:pPr>
          <w:r w:rsidRPr="00B808A9">
            <w:rPr>
              <w:rFonts w:ascii="Times New Roman" w:hAnsi="Times New Roman" w:cs="Times New Roman"/>
              <w:b/>
              <w:bCs/>
              <w:noProof/>
              <w:sz w:val="24"/>
              <w:szCs w:val="24"/>
            </w:rPr>
            <w:fldChar w:fldCharType="end"/>
          </w:r>
        </w:p>
      </w:sdtContent>
    </w:sdt>
    <w:p w14:paraId="01B78370" w14:textId="2B6ADB61" w:rsidR="00B808A9" w:rsidRDefault="00B808A9">
      <w:pPr>
        <w:rPr>
          <w:rFonts w:ascii="Times New Roman" w:hAnsi="Times New Roman" w:cs="Times New Roman"/>
          <w:sz w:val="24"/>
          <w:szCs w:val="24"/>
        </w:rPr>
      </w:pPr>
      <w:r>
        <w:rPr>
          <w:rFonts w:ascii="Times New Roman" w:hAnsi="Times New Roman" w:cs="Times New Roman"/>
          <w:sz w:val="24"/>
          <w:szCs w:val="24"/>
        </w:rPr>
        <w:br w:type="page"/>
      </w:r>
    </w:p>
    <w:p w14:paraId="3D6EF3E0" w14:textId="77777777" w:rsidR="004450F2" w:rsidRPr="00E62AA7" w:rsidRDefault="004450F2" w:rsidP="007850AF">
      <w:pPr>
        <w:spacing w:line="360" w:lineRule="auto"/>
        <w:jc w:val="both"/>
        <w:rPr>
          <w:rFonts w:ascii="Times New Roman" w:hAnsi="Times New Roman" w:cs="Times New Roman"/>
          <w:sz w:val="24"/>
          <w:szCs w:val="24"/>
        </w:rPr>
      </w:pPr>
    </w:p>
    <w:p w14:paraId="783A1A21" w14:textId="77777777" w:rsidR="004450F2" w:rsidRPr="00E62AA7" w:rsidRDefault="00A900DC" w:rsidP="007850AF">
      <w:pPr>
        <w:pStyle w:val="Heading1"/>
        <w:spacing w:line="360" w:lineRule="auto"/>
        <w:jc w:val="both"/>
        <w:rPr>
          <w:rFonts w:ascii="Times New Roman" w:hAnsi="Times New Roman" w:cs="Times New Roman"/>
          <w:color w:val="auto"/>
          <w:sz w:val="24"/>
          <w:szCs w:val="24"/>
        </w:rPr>
      </w:pPr>
      <w:bookmarkStart w:id="1" w:name="_Toc235795690"/>
      <w:r w:rsidRPr="00E62AA7">
        <w:rPr>
          <w:rFonts w:ascii="Times New Roman" w:hAnsi="Times New Roman" w:cs="Times New Roman"/>
          <w:color w:val="auto"/>
          <w:sz w:val="24"/>
          <w:szCs w:val="24"/>
        </w:rPr>
        <w:t>1. Introduction</w:t>
      </w:r>
      <w:bookmarkEnd w:id="1"/>
    </w:p>
    <w:p w14:paraId="2656D315" w14:textId="6C1462B5" w:rsidR="00C44088" w:rsidRPr="00E62AA7" w:rsidRDefault="00C44088"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The U.S. regulatory landscape for AI is particularly volatile at the moment. In May 2024, Colorado enacted a near-identical Artificial Intelligence Act, which was twice postponed, called into question in federal court by the developer of the Grok chatbot with the help of the </w:t>
      </w:r>
      <w:proofErr w:type="spellStart"/>
      <w:r w:rsidRPr="00E62AA7">
        <w:rPr>
          <w:rFonts w:ascii="Times New Roman" w:hAnsi="Times New Roman" w:cs="Times New Roman"/>
          <w:sz w:val="24"/>
          <w:szCs w:val="24"/>
        </w:rPr>
        <w:t>DoJ</w:t>
      </w:r>
      <w:proofErr w:type="spellEnd"/>
      <w:r w:rsidRPr="00E62AA7">
        <w:rPr>
          <w:rFonts w:ascii="Times New Roman" w:hAnsi="Times New Roman" w:cs="Times New Roman"/>
          <w:sz w:val="24"/>
          <w:szCs w:val="24"/>
        </w:rPr>
        <w:t xml:space="preserve">, and was eventually withdrawn and replaced by a narrower Automated Decision-Making Technology Act in May 2026 (Siegal and Garcia, 2024; </w:t>
      </w:r>
      <w:proofErr w:type="spellStart"/>
      <w:r w:rsidRPr="00E62AA7">
        <w:rPr>
          <w:rFonts w:ascii="Times New Roman" w:hAnsi="Times New Roman" w:cs="Times New Roman"/>
          <w:sz w:val="24"/>
          <w:szCs w:val="24"/>
        </w:rPr>
        <w:t>LawFuel</w:t>
      </w:r>
      <w:proofErr w:type="spellEnd"/>
      <w:r w:rsidRPr="00E62AA7">
        <w:rPr>
          <w:rFonts w:ascii="Times New Roman" w:hAnsi="Times New Roman" w:cs="Times New Roman"/>
          <w:sz w:val="24"/>
          <w:szCs w:val="24"/>
        </w:rPr>
        <w:t xml:space="preserve">, 2026). Financial services </w:t>
      </w:r>
      <w:r w:rsidR="00B808A9">
        <w:rPr>
          <w:rFonts w:ascii="Times New Roman" w:hAnsi="Times New Roman" w:cs="Times New Roman"/>
          <w:sz w:val="24"/>
          <w:szCs w:val="24"/>
        </w:rPr>
        <w:t>are</w:t>
      </w:r>
      <w:r w:rsidRPr="00E62AA7">
        <w:rPr>
          <w:rFonts w:ascii="Times New Roman" w:hAnsi="Times New Roman" w:cs="Times New Roman"/>
          <w:sz w:val="24"/>
          <w:szCs w:val="24"/>
        </w:rPr>
        <w:t xml:space="preserve"> a clear target of the new law in one of its six domains (Norton Rose Fulbright, 2026). For a company like Sage, whose software increasingly makes automated or AI decisions regarding customer invoices, cash flow forecasts and tax submissions, this is a very big deal.</w:t>
      </w:r>
    </w:p>
    <w:p w14:paraId="6BEC82BA" w14:textId="64384443" w:rsidR="00C44088" w:rsidRPr="00E62AA7" w:rsidRDefault="00C44088"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Sage Group plc is a </w:t>
      </w:r>
      <w:proofErr w:type="gramStart"/>
      <w:r w:rsidRPr="00E62AA7">
        <w:rPr>
          <w:rFonts w:ascii="Times New Roman" w:hAnsi="Times New Roman" w:cs="Times New Roman"/>
          <w:sz w:val="24"/>
          <w:szCs w:val="24"/>
        </w:rPr>
        <w:t>long established</w:t>
      </w:r>
      <w:proofErr w:type="gramEnd"/>
      <w:r w:rsidRPr="00E62AA7">
        <w:rPr>
          <w:rFonts w:ascii="Times New Roman" w:hAnsi="Times New Roman" w:cs="Times New Roman"/>
          <w:sz w:val="24"/>
          <w:szCs w:val="24"/>
        </w:rPr>
        <w:t xml:space="preserve"> accounting, financial, HR and payroll technology firm for small and </w:t>
      </w:r>
      <w:proofErr w:type="spellStart"/>
      <w:r w:rsidRPr="00E62AA7">
        <w:rPr>
          <w:rFonts w:ascii="Times New Roman" w:hAnsi="Times New Roman" w:cs="Times New Roman"/>
          <w:sz w:val="24"/>
          <w:szCs w:val="24"/>
        </w:rPr>
        <w:t>mid sized</w:t>
      </w:r>
      <w:proofErr w:type="spellEnd"/>
      <w:r w:rsidRPr="00E62AA7">
        <w:rPr>
          <w:rFonts w:ascii="Times New Roman" w:hAnsi="Times New Roman" w:cs="Times New Roman"/>
          <w:sz w:val="24"/>
          <w:szCs w:val="24"/>
        </w:rPr>
        <w:t xml:space="preserve"> businesses (SMBs) with total revenue of approximately two billion pounds and </w:t>
      </w:r>
      <w:proofErr w:type="spellStart"/>
      <w:r w:rsidRPr="00E62AA7">
        <w:rPr>
          <w:rFonts w:ascii="Times New Roman" w:hAnsi="Times New Roman" w:cs="Times New Roman"/>
          <w:sz w:val="24"/>
          <w:szCs w:val="24"/>
        </w:rPr>
        <w:t>annualised</w:t>
      </w:r>
      <w:proofErr w:type="spellEnd"/>
      <w:r w:rsidRPr="00E62AA7">
        <w:rPr>
          <w:rFonts w:ascii="Times New Roman" w:hAnsi="Times New Roman" w:cs="Times New Roman"/>
          <w:sz w:val="24"/>
          <w:szCs w:val="24"/>
        </w:rPr>
        <w:t xml:space="preserve"> recurring revenue of two point six billion pounds in its previous full financial year, with North America now the largest and fastest growing region in the company's operations (Sage Group plc, 2025a; Sage Group plc, 2025b). The heart of its latest approach is Sage Copilot, a generative AI assistant that integrates into dozens of models at the core of the Sage Intacct, Sage 50 and Sage 200 product families, allowing for automating invoice processing and assisting month end financial close operations (Gaetano, 2024; Quartr, 2025). This report recommends Sage with regard to the risk management implications of this strategy, focusing on the United Kingdom and the United States</w:t>
      </w:r>
      <w:r w:rsidR="00782772">
        <w:rPr>
          <w:rFonts w:ascii="Times New Roman" w:hAnsi="Times New Roman" w:cs="Times New Roman"/>
          <w:sz w:val="24"/>
          <w:szCs w:val="24"/>
        </w:rPr>
        <w:t>, and using Five Forces and PESTLE, in particular, to address</w:t>
      </w:r>
      <w:r w:rsidRPr="00E62AA7">
        <w:rPr>
          <w:rFonts w:ascii="Times New Roman" w:hAnsi="Times New Roman" w:cs="Times New Roman"/>
          <w:sz w:val="24"/>
          <w:szCs w:val="24"/>
        </w:rPr>
        <w:t xml:space="preserve"> a regulatory environment </w:t>
      </w:r>
      <w:r w:rsidR="00B808A9">
        <w:rPr>
          <w:rFonts w:ascii="Times New Roman" w:hAnsi="Times New Roman" w:cs="Times New Roman"/>
          <w:sz w:val="24"/>
          <w:szCs w:val="24"/>
        </w:rPr>
        <w:t>that</w:t>
      </w:r>
      <w:r w:rsidRPr="00E62AA7">
        <w:rPr>
          <w:rFonts w:ascii="Times New Roman" w:hAnsi="Times New Roman" w:cs="Times New Roman"/>
          <w:sz w:val="24"/>
          <w:szCs w:val="24"/>
        </w:rPr>
        <w:t xml:space="preserve"> neither framework was developed to describe.</w:t>
      </w:r>
    </w:p>
    <w:p w14:paraId="49CA547E" w14:textId="0D051D91" w:rsidR="00C44088" w:rsidRPr="00E62AA7" w:rsidRDefault="00C44088"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The report contains four additional sections. Before any framework can be applied, it is necessary to provide the industry and company background, which is covered in section two, including </w:t>
      </w:r>
      <w:r w:rsidR="00B808A9">
        <w:rPr>
          <w:rFonts w:ascii="Times New Roman" w:hAnsi="Times New Roman" w:cs="Times New Roman"/>
          <w:sz w:val="24"/>
          <w:szCs w:val="24"/>
        </w:rPr>
        <w:t xml:space="preserve">Sage's size, the nature of the Copilot product, </w:t>
      </w:r>
      <w:r w:rsidRPr="00E62AA7">
        <w:rPr>
          <w:rFonts w:ascii="Times New Roman" w:hAnsi="Times New Roman" w:cs="Times New Roman"/>
          <w:sz w:val="24"/>
          <w:szCs w:val="24"/>
        </w:rPr>
        <w:t xml:space="preserve">key competitors, and the broader regulatory background. The main findings are outlined in section three, which explores the competitive intensity through Five Forces and a PESTLE analysis of the United Kingdom and the United States. There is then a detailed consideration of AI </w:t>
      </w:r>
      <w:r w:rsidRPr="00E62AA7">
        <w:rPr>
          <w:rFonts w:ascii="Times New Roman" w:hAnsi="Times New Roman" w:cs="Times New Roman"/>
          <w:sz w:val="24"/>
          <w:szCs w:val="24"/>
        </w:rPr>
        <w:lastRenderedPageBreak/>
        <w:t xml:space="preserve">assurance and customer trust, followed by a detailed comparison of </w:t>
      </w:r>
      <w:r w:rsidR="00B808A9">
        <w:rPr>
          <w:rFonts w:ascii="Times New Roman" w:hAnsi="Times New Roman" w:cs="Times New Roman"/>
          <w:sz w:val="24"/>
          <w:szCs w:val="24"/>
        </w:rPr>
        <w:t>the two frameworks</w:t>
      </w:r>
      <w:r w:rsidRPr="00E62AA7">
        <w:rPr>
          <w:rFonts w:ascii="Times New Roman" w:hAnsi="Times New Roman" w:cs="Times New Roman"/>
          <w:sz w:val="24"/>
          <w:szCs w:val="24"/>
        </w:rPr>
        <w:t>. A costed, phased implementation plan with named ownership is provided in section four with a conclusion in section five.</w:t>
      </w:r>
    </w:p>
    <w:p w14:paraId="369313BD" w14:textId="77777777" w:rsidR="004450F2" w:rsidRPr="00E62AA7" w:rsidRDefault="00A900DC" w:rsidP="007850AF">
      <w:pPr>
        <w:pStyle w:val="Heading1"/>
        <w:spacing w:line="360" w:lineRule="auto"/>
        <w:jc w:val="both"/>
        <w:rPr>
          <w:rFonts w:ascii="Times New Roman" w:hAnsi="Times New Roman" w:cs="Times New Roman"/>
          <w:color w:val="auto"/>
          <w:sz w:val="24"/>
          <w:szCs w:val="24"/>
        </w:rPr>
      </w:pPr>
      <w:bookmarkStart w:id="2" w:name="_Toc235795691"/>
      <w:r w:rsidRPr="00E62AA7">
        <w:rPr>
          <w:rFonts w:ascii="Times New Roman" w:hAnsi="Times New Roman" w:cs="Times New Roman"/>
          <w:color w:val="auto"/>
          <w:sz w:val="24"/>
          <w:szCs w:val="24"/>
        </w:rPr>
        <w:t>2. Industry and Company Context</w:t>
      </w:r>
      <w:bookmarkEnd w:id="2"/>
    </w:p>
    <w:p w14:paraId="43690770" w14:textId="77777777" w:rsidR="004450F2" w:rsidRPr="00E62AA7" w:rsidRDefault="00A900DC" w:rsidP="007850AF">
      <w:pPr>
        <w:pStyle w:val="Heading2"/>
        <w:spacing w:line="360" w:lineRule="auto"/>
        <w:jc w:val="both"/>
        <w:rPr>
          <w:rFonts w:ascii="Times New Roman" w:hAnsi="Times New Roman" w:cs="Times New Roman"/>
          <w:sz w:val="24"/>
          <w:szCs w:val="24"/>
        </w:rPr>
      </w:pPr>
      <w:bookmarkStart w:id="3" w:name="_Toc235795692"/>
      <w:r w:rsidRPr="00E62AA7">
        <w:rPr>
          <w:rFonts w:ascii="Times New Roman" w:hAnsi="Times New Roman" w:cs="Times New Roman"/>
          <w:sz w:val="24"/>
          <w:szCs w:val="24"/>
        </w:rPr>
        <w:t>2.1 Sage in Numbers: Scale and Strategy</w:t>
      </w:r>
      <w:bookmarkEnd w:id="3"/>
    </w:p>
    <w:p w14:paraId="3057436F" w14:textId="7FAE80C9" w:rsidR="00C44088" w:rsidRPr="00E62AA7" w:rsidRDefault="00C44088"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Sage's financial strength, evidenced by its revenue base of </w:t>
      </w:r>
      <w:r w:rsidR="00B808A9">
        <w:rPr>
          <w:rFonts w:ascii="Times New Roman" w:hAnsi="Times New Roman" w:cs="Times New Roman"/>
          <w:sz w:val="24"/>
          <w:szCs w:val="24"/>
        </w:rPr>
        <w:t xml:space="preserve">2.1 billion pounds, is key to the AI transformation described throughout this report and to </w:t>
      </w:r>
      <w:r w:rsidRPr="00E62AA7">
        <w:rPr>
          <w:rFonts w:ascii="Times New Roman" w:hAnsi="Times New Roman" w:cs="Times New Roman"/>
          <w:sz w:val="24"/>
          <w:szCs w:val="24"/>
        </w:rPr>
        <w:t xml:space="preserve">its ongoing margin growth. The group revenue for the financial year ended on 31 September 2025 was approximately two point one billion pounds, of which the overwhelming majority was recurring (Sage Group plc, 2025a). Growth has not been evenly spread. </w:t>
      </w:r>
      <w:r w:rsidR="00B808A9">
        <w:rPr>
          <w:rFonts w:ascii="Times New Roman" w:hAnsi="Times New Roman" w:cs="Times New Roman"/>
          <w:sz w:val="24"/>
          <w:szCs w:val="24"/>
        </w:rPr>
        <w:t>Revenue grew by 11 per cent in the North American region to R846M in the nine months to June 2025, compared with a 9 per cent increase to R539M in</w:t>
      </w:r>
      <w:r w:rsidRPr="00E62AA7">
        <w:rPr>
          <w:rFonts w:ascii="Times New Roman" w:hAnsi="Times New Roman" w:cs="Times New Roman"/>
          <w:sz w:val="24"/>
          <w:szCs w:val="24"/>
        </w:rPr>
        <w:t xml:space="preserve"> the United Kingdom and Ireland region over the same period (Sage Group plc, 2025b). The most recent quarterly report indicated that North American growth is further </w:t>
      </w:r>
      <w:r w:rsidR="00782772">
        <w:rPr>
          <w:rFonts w:ascii="Times New Roman" w:hAnsi="Times New Roman" w:cs="Times New Roman"/>
          <w:sz w:val="24"/>
          <w:szCs w:val="24"/>
        </w:rPr>
        <w:t>accelerating, rising to 13</w:t>
      </w:r>
      <w:r w:rsidRPr="00E62AA7">
        <w:rPr>
          <w:rFonts w:ascii="Times New Roman" w:hAnsi="Times New Roman" w:cs="Times New Roman"/>
          <w:sz w:val="24"/>
          <w:szCs w:val="24"/>
        </w:rPr>
        <w:t xml:space="preserve"> per cent (Sage Group plc, 2025c).</w:t>
      </w:r>
    </w:p>
    <w:p w14:paraId="1EC2D138" w14:textId="2BD416D9" w:rsidR="00C44088" w:rsidRPr="00E62AA7" w:rsidRDefault="00C44088"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This shift matters for </w:t>
      </w:r>
      <w:r w:rsidR="00B808A9">
        <w:rPr>
          <w:rFonts w:ascii="Times New Roman" w:hAnsi="Times New Roman" w:cs="Times New Roman"/>
          <w:sz w:val="24"/>
          <w:szCs w:val="24"/>
        </w:rPr>
        <w:t xml:space="preserve">the </w:t>
      </w:r>
      <w:proofErr w:type="spellStart"/>
      <w:r w:rsidR="00B808A9">
        <w:rPr>
          <w:rFonts w:ascii="Times New Roman" w:hAnsi="Times New Roman" w:cs="Times New Roman"/>
          <w:sz w:val="24"/>
          <w:szCs w:val="24"/>
        </w:rPr>
        <w:t>reportis</w:t>
      </w:r>
      <w:proofErr w:type="spellEnd"/>
      <w:r w:rsidR="00B808A9">
        <w:rPr>
          <w:rFonts w:ascii="Times New Roman" w:hAnsi="Times New Roman" w:cs="Times New Roman"/>
          <w:sz w:val="24"/>
          <w:szCs w:val="24"/>
        </w:rPr>
        <w:t xml:space="preserve"> structure</w:t>
      </w:r>
      <w:r w:rsidRPr="00E62AA7">
        <w:rPr>
          <w:rFonts w:ascii="Times New Roman" w:hAnsi="Times New Roman" w:cs="Times New Roman"/>
          <w:sz w:val="24"/>
          <w:szCs w:val="24"/>
        </w:rPr>
        <w:t xml:space="preserve">. Ten years ago, the UK would have been the market that everyone looked at when </w:t>
      </w:r>
      <w:proofErr w:type="spellStart"/>
      <w:r w:rsidRPr="00E62AA7">
        <w:rPr>
          <w:rFonts w:ascii="Times New Roman" w:hAnsi="Times New Roman" w:cs="Times New Roman"/>
          <w:sz w:val="24"/>
          <w:szCs w:val="24"/>
        </w:rPr>
        <w:t>analysing</w:t>
      </w:r>
      <w:proofErr w:type="spellEnd"/>
      <w:r w:rsidRPr="00E62AA7">
        <w:rPr>
          <w:rFonts w:ascii="Times New Roman" w:hAnsi="Times New Roman" w:cs="Times New Roman"/>
          <w:sz w:val="24"/>
          <w:szCs w:val="24"/>
        </w:rPr>
        <w:t xml:space="preserve"> Sage. Sage is expanding most rapidly in North America and, as described later, the </w:t>
      </w:r>
      <w:r w:rsidR="00782772">
        <w:rPr>
          <w:rFonts w:ascii="Times New Roman" w:hAnsi="Times New Roman" w:cs="Times New Roman"/>
          <w:sz w:val="24"/>
          <w:szCs w:val="24"/>
        </w:rPr>
        <w:t>regulatory landscape</w:t>
      </w:r>
      <w:r w:rsidRPr="00E62AA7">
        <w:rPr>
          <w:rFonts w:ascii="Times New Roman" w:hAnsi="Times New Roman" w:cs="Times New Roman"/>
          <w:sz w:val="24"/>
          <w:szCs w:val="24"/>
        </w:rPr>
        <w:t xml:space="preserve"> is the least clear. In Sage's own results, executives said that artificial intelligence is at the core of this growth, not an afterthought, as cloud native revenue increased by </w:t>
      </w:r>
      <w:proofErr w:type="gramStart"/>
      <w:r w:rsidRPr="00E62AA7">
        <w:rPr>
          <w:rFonts w:ascii="Times New Roman" w:hAnsi="Times New Roman" w:cs="Times New Roman"/>
          <w:sz w:val="24"/>
          <w:szCs w:val="24"/>
        </w:rPr>
        <w:t>twenty three</w:t>
      </w:r>
      <w:proofErr w:type="gramEnd"/>
      <w:r w:rsidRPr="00E62AA7">
        <w:rPr>
          <w:rFonts w:ascii="Times New Roman" w:hAnsi="Times New Roman" w:cs="Times New Roman"/>
          <w:sz w:val="24"/>
          <w:szCs w:val="24"/>
        </w:rPr>
        <w:t xml:space="preserve"> per cent in the final full year (Sage Group plc, 2025a; Quartr, 2025).</w:t>
      </w:r>
    </w:p>
    <w:p w14:paraId="0393AB2D" w14:textId="319084B4" w:rsidR="00C44088" w:rsidRDefault="00C44088"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It is also important to keep in mind the financial discipline behind this growth. Sage's subscription model has achieved one hundred and one per cent renewal by value for its last full year, and cash </w:t>
      </w:r>
      <w:r w:rsidR="00B808A9">
        <w:rPr>
          <w:rFonts w:ascii="Times New Roman" w:hAnsi="Times New Roman" w:cs="Times New Roman"/>
          <w:sz w:val="24"/>
          <w:szCs w:val="24"/>
        </w:rPr>
        <w:t>conversion</w:t>
      </w:r>
      <w:r w:rsidRPr="00E62AA7">
        <w:rPr>
          <w:rFonts w:ascii="Times New Roman" w:hAnsi="Times New Roman" w:cs="Times New Roman"/>
          <w:sz w:val="24"/>
          <w:szCs w:val="24"/>
        </w:rPr>
        <w:t xml:space="preserve"> greater than one hundred per cent, meaning that existing customers spend more over time than they do not (Sage Group plc, 2025a). This retention pattern is the key reason why the trust question explored later in this report is so critical, as a subscription business relying on customers to renew and increase use every year has much more at stake if the trust is lost due to an AI incident than a one-off sale.</w:t>
      </w:r>
    </w:p>
    <w:p w14:paraId="103FC702" w14:textId="77777777" w:rsidR="00AF6C10" w:rsidRPr="00E62AA7" w:rsidRDefault="00AF6C10" w:rsidP="007850AF">
      <w:pPr>
        <w:spacing w:line="360" w:lineRule="auto"/>
        <w:jc w:val="both"/>
        <w:rPr>
          <w:rFonts w:ascii="Times New Roman" w:hAnsi="Times New Roman" w:cs="Times New Roman"/>
          <w:sz w:val="24"/>
          <w:szCs w:val="24"/>
        </w:rPr>
      </w:pPr>
    </w:p>
    <w:p w14:paraId="74CE47C9" w14:textId="77777777" w:rsidR="004450F2" w:rsidRPr="00E62AA7" w:rsidRDefault="00A900DC" w:rsidP="007850AF">
      <w:pPr>
        <w:pStyle w:val="Heading2"/>
        <w:spacing w:line="360" w:lineRule="auto"/>
        <w:jc w:val="both"/>
        <w:rPr>
          <w:rFonts w:ascii="Times New Roman" w:hAnsi="Times New Roman" w:cs="Times New Roman"/>
          <w:sz w:val="24"/>
          <w:szCs w:val="24"/>
        </w:rPr>
      </w:pPr>
      <w:bookmarkStart w:id="4" w:name="_Toc235795693"/>
      <w:r w:rsidRPr="00E62AA7">
        <w:rPr>
          <w:rFonts w:ascii="Times New Roman" w:hAnsi="Times New Roman" w:cs="Times New Roman"/>
          <w:sz w:val="24"/>
          <w:szCs w:val="24"/>
        </w:rPr>
        <w:lastRenderedPageBreak/>
        <w:t>2.2 The Rise of Sage Copilot</w:t>
      </w:r>
      <w:bookmarkEnd w:id="4"/>
    </w:p>
    <w:p w14:paraId="7F8FADC2" w14:textId="3BA52C7B" w:rsidR="00467EC3" w:rsidRPr="00E62AA7" w:rsidRDefault="00467EC3"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Sage Copilot stands as a prime example of this AI strategy. An accounting-specific generative AI assistant, trained specifically on accounting principles and tax rules, not a general purpose chatbot; not a standalone application but built into Sage Intacct and other Sage products (Conner, 2025). Prior to the introduction of Copilot, Sage's own chief technology officer said it </w:t>
      </w:r>
      <w:r w:rsidR="00B808A9">
        <w:rPr>
          <w:rFonts w:ascii="Times New Roman" w:hAnsi="Times New Roman" w:cs="Times New Roman"/>
          <w:sz w:val="24"/>
          <w:szCs w:val="24"/>
        </w:rPr>
        <w:t>had already had to run approximately 27 separate underlying models in conjunction with each other, and Copilot is designed to work with these models, with</w:t>
      </w:r>
      <w:r w:rsidRPr="00E62AA7">
        <w:rPr>
          <w:rFonts w:ascii="Times New Roman" w:hAnsi="Times New Roman" w:cs="Times New Roman"/>
          <w:sz w:val="24"/>
          <w:szCs w:val="24"/>
        </w:rPr>
        <w:t xml:space="preserve"> the user posing a question in plain language (Gaetano, 2024).</w:t>
      </w:r>
    </w:p>
    <w:p w14:paraId="4609DECB" w14:textId="097CF4F7" w:rsidR="00467EC3" w:rsidRPr="00E62AA7" w:rsidRDefault="00467EC3"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Independent commentary on the product is cautiously positive. Bonilla (2025) and Martin (2025) state that Copilot saves manual time and effort during month end close and error checking, and Kulik (2026) says that Sage has introduced Copilot at all price points, even its lowest cost plan, which is unusual. This distribution option is a strategic cue, too. As mentioned in section three, if AI is available for all customers, and no matter how much they pay</w:t>
      </w:r>
      <w:r w:rsidR="00782772">
        <w:rPr>
          <w:rFonts w:ascii="Times New Roman" w:hAnsi="Times New Roman" w:cs="Times New Roman"/>
          <w:sz w:val="24"/>
          <w:szCs w:val="24"/>
        </w:rPr>
        <w:t>,</w:t>
      </w:r>
      <w:r w:rsidRPr="00E62AA7">
        <w:rPr>
          <w:rFonts w:ascii="Times New Roman" w:hAnsi="Times New Roman" w:cs="Times New Roman"/>
          <w:sz w:val="24"/>
          <w:szCs w:val="24"/>
        </w:rPr>
        <w:t xml:space="preserve"> Sage is hoping that the trust placed in the AI Assistant will be a reason customers will stay on Sage instead of going to a competitor.</w:t>
      </w:r>
    </w:p>
    <w:p w14:paraId="01B0249C" w14:textId="49CF000A" w:rsidR="00467EC3" w:rsidRPr="00E62AA7" w:rsidRDefault="00467EC3"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The term </w:t>
      </w:r>
      <w:r w:rsidR="00B808A9">
        <w:rPr>
          <w:rFonts w:ascii="Times New Roman" w:hAnsi="Times New Roman" w:cs="Times New Roman"/>
          <w:sz w:val="24"/>
          <w:szCs w:val="24"/>
        </w:rPr>
        <w:t>"generative AI" might be a bit confusing, as it's</w:t>
      </w:r>
      <w:r w:rsidRPr="00E62AA7">
        <w:rPr>
          <w:rFonts w:ascii="Times New Roman" w:hAnsi="Times New Roman" w:cs="Times New Roman"/>
          <w:sz w:val="24"/>
          <w:szCs w:val="24"/>
        </w:rPr>
        <w:t xml:space="preserve"> easy to misunderstand what Copilot actually does. Martin (2025) explains that the assistant's role is precisely to manage month end close, to monitor outstanding tasks, and to respond to a simple question when it comes to a company's own financial data as opposed to creating new content like a general purpose chatbot. This is important for the risks to be highlighted below. However, there is only a reputational risk if the customer's accounting data is offensive to the chatbot, as in this case Copilot's output is based on the customer's own accounting data, which is the focus of section three.</w:t>
      </w:r>
    </w:p>
    <w:p w14:paraId="5EEDEC5D" w14:textId="77777777" w:rsidR="004450F2" w:rsidRPr="00E62AA7" w:rsidRDefault="00A900DC" w:rsidP="007850AF">
      <w:pPr>
        <w:pStyle w:val="Heading2"/>
        <w:spacing w:line="360" w:lineRule="auto"/>
        <w:jc w:val="both"/>
        <w:rPr>
          <w:rFonts w:ascii="Times New Roman" w:hAnsi="Times New Roman" w:cs="Times New Roman"/>
          <w:sz w:val="24"/>
          <w:szCs w:val="24"/>
        </w:rPr>
      </w:pPr>
      <w:bookmarkStart w:id="5" w:name="_Toc235795694"/>
      <w:r w:rsidRPr="00E62AA7">
        <w:rPr>
          <w:rFonts w:ascii="Times New Roman" w:hAnsi="Times New Roman" w:cs="Times New Roman"/>
          <w:sz w:val="24"/>
          <w:szCs w:val="24"/>
        </w:rPr>
        <w:t>2.3 Competitive Terrain: Intuit, Xero and NetSuite</w:t>
      </w:r>
      <w:bookmarkEnd w:id="5"/>
    </w:p>
    <w:p w14:paraId="7C0FDC74" w14:textId="33ED53E8" w:rsidR="00467EC3" w:rsidRPr="00E62AA7" w:rsidRDefault="00467EC3"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That's not the only competition Sage faces, and that component provides the foundation for the Five Forces analysis in section three. In the United States, Intuit's QuickBooks </w:t>
      </w:r>
      <w:r w:rsidR="00782772">
        <w:rPr>
          <w:rFonts w:ascii="Times New Roman" w:hAnsi="Times New Roman" w:cs="Times New Roman"/>
          <w:sz w:val="24"/>
          <w:szCs w:val="24"/>
        </w:rPr>
        <w:t>remains the clear leader, with both desktop and online products accounting for the majority of the American small-business</w:t>
      </w:r>
      <w:r w:rsidRPr="00E62AA7">
        <w:rPr>
          <w:rFonts w:ascii="Times New Roman" w:hAnsi="Times New Roman" w:cs="Times New Roman"/>
          <w:sz w:val="24"/>
          <w:szCs w:val="24"/>
        </w:rPr>
        <w:t xml:space="preserve"> accounting market, but with much less presence in other countries (</w:t>
      </w:r>
      <w:proofErr w:type="spellStart"/>
      <w:r w:rsidRPr="00E62AA7">
        <w:rPr>
          <w:rFonts w:ascii="Times New Roman" w:hAnsi="Times New Roman" w:cs="Times New Roman"/>
          <w:sz w:val="24"/>
          <w:szCs w:val="24"/>
        </w:rPr>
        <w:t>Aminetzah</w:t>
      </w:r>
      <w:proofErr w:type="spellEnd"/>
      <w:r w:rsidRPr="00E62AA7">
        <w:rPr>
          <w:rFonts w:ascii="Times New Roman" w:hAnsi="Times New Roman" w:cs="Times New Roman"/>
          <w:sz w:val="24"/>
          <w:szCs w:val="24"/>
        </w:rPr>
        <w:t xml:space="preserve">, 2026; Watson, 2025). Intuit's own </w:t>
      </w:r>
      <w:r w:rsidR="00B808A9">
        <w:rPr>
          <w:rFonts w:ascii="Times New Roman" w:hAnsi="Times New Roman" w:cs="Times New Roman"/>
          <w:sz w:val="24"/>
          <w:szCs w:val="24"/>
        </w:rPr>
        <w:t xml:space="preserve">NetSuite-adjacent product is </w:t>
      </w:r>
      <w:r w:rsidRPr="00E62AA7">
        <w:rPr>
          <w:rFonts w:ascii="Times New Roman" w:hAnsi="Times New Roman" w:cs="Times New Roman"/>
          <w:sz w:val="24"/>
          <w:szCs w:val="24"/>
        </w:rPr>
        <w:lastRenderedPageBreak/>
        <w:t>increasingly focused on embedded AI, using language similar to Sage's about their Copilot (Intuit, 2026): real-time financial data and automated compliance support.</w:t>
      </w:r>
    </w:p>
    <w:p w14:paraId="07895132" w14:textId="5F32D4EA" w:rsidR="00467EC3" w:rsidRPr="00E62AA7" w:rsidRDefault="00467EC3"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Xero is a New Zealand-based business software that more directly competes with Sage outside North America, and has reportedly more than one thousand three hundred third party integrations to increase the cost of switching users from Sage to Xero (</w:t>
      </w:r>
      <w:proofErr w:type="spellStart"/>
      <w:r w:rsidRPr="00E62AA7">
        <w:rPr>
          <w:rFonts w:ascii="Times New Roman" w:hAnsi="Times New Roman" w:cs="Times New Roman"/>
          <w:sz w:val="24"/>
          <w:szCs w:val="24"/>
        </w:rPr>
        <w:t>PortersFiveForce</w:t>
      </w:r>
      <w:proofErr w:type="spellEnd"/>
      <w:r w:rsidRPr="00E62AA7">
        <w:rPr>
          <w:rFonts w:ascii="Times New Roman" w:hAnsi="Times New Roman" w:cs="Times New Roman"/>
          <w:sz w:val="24"/>
          <w:szCs w:val="24"/>
        </w:rPr>
        <w:t xml:space="preserve"> Team, 2026). In between the two are Oracle NetSuite, which focuses on larger companies that have outgrown a basic accounting solution and require a more comprehensive enterprise resource planning (ERP) solution. None of these competitors is sitting still on AI, which is the competitive landscape in which Sage's AI investment must be evaluated.</w:t>
      </w:r>
    </w:p>
    <w:p w14:paraId="13E94D04" w14:textId="1895936E" w:rsidR="00467EC3" w:rsidRPr="00E62AA7" w:rsidRDefault="00467EC3"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The outsider looking in at any of these companies can only see how their AI strategy meshes with the regulators' exposure, however. The majority of Intuit's AI investment is within the highly regulated tax environment of the U.S. where the company enjoys a strong dominance of the home market in small business accounting (</w:t>
      </w:r>
      <w:proofErr w:type="spellStart"/>
      <w:r w:rsidRPr="00E62AA7">
        <w:rPr>
          <w:rFonts w:ascii="Times New Roman" w:hAnsi="Times New Roman" w:cs="Times New Roman"/>
          <w:sz w:val="24"/>
          <w:szCs w:val="24"/>
        </w:rPr>
        <w:t>Aminetzah</w:t>
      </w:r>
      <w:proofErr w:type="spellEnd"/>
      <w:r w:rsidRPr="00E62AA7">
        <w:rPr>
          <w:rFonts w:ascii="Times New Roman" w:hAnsi="Times New Roman" w:cs="Times New Roman"/>
          <w:sz w:val="24"/>
          <w:szCs w:val="24"/>
        </w:rPr>
        <w:t xml:space="preserve">, 2026). By contrast, </w:t>
      </w:r>
      <w:r w:rsidR="00B808A9">
        <w:rPr>
          <w:rFonts w:ascii="Times New Roman" w:hAnsi="Times New Roman" w:cs="Times New Roman"/>
          <w:sz w:val="24"/>
          <w:szCs w:val="24"/>
        </w:rPr>
        <w:t>Sage</w:t>
      </w:r>
      <w:r w:rsidRPr="00E62AA7">
        <w:rPr>
          <w:rFonts w:ascii="Times New Roman" w:hAnsi="Times New Roman" w:cs="Times New Roman"/>
          <w:sz w:val="24"/>
          <w:szCs w:val="24"/>
        </w:rPr>
        <w:t xml:space="preserve"> has spread its exposure over a UK home market and a fast-growing US business increasingly exposed to state level scrutiny as Colorado has been, the latter of which is not necessarily a bad thing, but as far as learning from the cross market is concerned, this will be to </w:t>
      </w:r>
      <w:r w:rsidR="00B808A9">
        <w:rPr>
          <w:rFonts w:ascii="Times New Roman" w:hAnsi="Times New Roman" w:cs="Times New Roman"/>
          <w:sz w:val="24"/>
          <w:szCs w:val="24"/>
        </w:rPr>
        <w:t>its</w:t>
      </w:r>
      <w:r w:rsidRPr="00E62AA7">
        <w:rPr>
          <w:rFonts w:ascii="Times New Roman" w:hAnsi="Times New Roman" w:cs="Times New Roman"/>
          <w:sz w:val="24"/>
          <w:szCs w:val="24"/>
        </w:rPr>
        <w:t xml:space="preserve"> own benefit if done deliberately, rather than ad hoc.</w:t>
      </w:r>
    </w:p>
    <w:p w14:paraId="4DE0E8C7" w14:textId="77777777" w:rsidR="004450F2" w:rsidRPr="00E62AA7" w:rsidRDefault="00A900DC" w:rsidP="007850AF">
      <w:pPr>
        <w:pStyle w:val="Heading2"/>
        <w:spacing w:line="360" w:lineRule="auto"/>
        <w:jc w:val="both"/>
        <w:rPr>
          <w:rFonts w:ascii="Times New Roman" w:hAnsi="Times New Roman" w:cs="Times New Roman"/>
          <w:sz w:val="24"/>
          <w:szCs w:val="24"/>
        </w:rPr>
      </w:pPr>
      <w:bookmarkStart w:id="6" w:name="_Toc235795695"/>
      <w:r w:rsidRPr="00E62AA7">
        <w:rPr>
          <w:rFonts w:ascii="Times New Roman" w:hAnsi="Times New Roman" w:cs="Times New Roman"/>
          <w:sz w:val="24"/>
          <w:szCs w:val="24"/>
        </w:rPr>
        <w:t>2.4 Two Markets, Two Trajectories</w:t>
      </w:r>
      <w:bookmarkEnd w:id="6"/>
    </w:p>
    <w:p w14:paraId="6673019C" w14:textId="77777777" w:rsidR="00E62AA7" w:rsidRPr="00E62AA7" w:rsidRDefault="00E62AA7" w:rsidP="007850AF">
      <w:pPr>
        <w:keepNext/>
        <w:spacing w:line="360" w:lineRule="auto"/>
        <w:jc w:val="both"/>
        <w:rPr>
          <w:rFonts w:ascii="Times New Roman" w:hAnsi="Times New Roman" w:cs="Times New Roman"/>
          <w:sz w:val="24"/>
          <w:szCs w:val="24"/>
        </w:rPr>
      </w:pPr>
      <w:r w:rsidRPr="00E62AA7">
        <w:rPr>
          <w:rFonts w:ascii="Times New Roman" w:hAnsi="Times New Roman" w:cs="Times New Roman"/>
          <w:noProof/>
          <w:sz w:val="24"/>
          <w:szCs w:val="24"/>
        </w:rPr>
        <w:lastRenderedPageBreak/>
        <w:drawing>
          <wp:inline distT="0" distB="0" distL="0" distR="0" wp14:anchorId="3CF567B3" wp14:editId="4016345D">
            <wp:extent cx="5486075" cy="2129195"/>
            <wp:effectExtent l="19050" t="19050" r="19685" b="23495"/>
            <wp:docPr id="280224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224300" name=""/>
                    <pic:cNvPicPr/>
                  </pic:nvPicPr>
                  <pic:blipFill rotWithShape="1">
                    <a:blip r:embed="rId9"/>
                    <a:srcRect t="8966" b="19945"/>
                    <a:stretch>
                      <a:fillRect/>
                    </a:stretch>
                  </pic:blipFill>
                  <pic:spPr bwMode="auto">
                    <a:xfrm>
                      <a:off x="0" y="0"/>
                      <a:ext cx="5486400" cy="212932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1ADAC18" w14:textId="70079338" w:rsidR="00E62AA7" w:rsidRPr="00B808A9" w:rsidRDefault="00E62AA7" w:rsidP="00B808A9">
      <w:pPr>
        <w:pStyle w:val="Caption"/>
        <w:spacing w:line="360" w:lineRule="auto"/>
        <w:jc w:val="center"/>
        <w:rPr>
          <w:rFonts w:ascii="Times New Roman" w:hAnsi="Times New Roman" w:cs="Times New Roman"/>
          <w:b w:val="0"/>
          <w:bCs w:val="0"/>
          <w:i/>
          <w:iCs/>
          <w:color w:val="auto"/>
          <w:sz w:val="24"/>
          <w:szCs w:val="24"/>
        </w:rPr>
      </w:pPr>
      <w:r w:rsidRPr="00E62AA7">
        <w:rPr>
          <w:rFonts w:ascii="Times New Roman" w:hAnsi="Times New Roman" w:cs="Times New Roman"/>
          <w:b w:val="0"/>
          <w:bCs w:val="0"/>
          <w:i/>
          <w:iCs/>
          <w:color w:val="auto"/>
          <w:sz w:val="24"/>
          <w:szCs w:val="24"/>
        </w:rPr>
        <w:t xml:space="preserve">Figure </w:t>
      </w:r>
      <w:r w:rsidRPr="00E62AA7">
        <w:rPr>
          <w:rFonts w:ascii="Times New Roman" w:hAnsi="Times New Roman" w:cs="Times New Roman"/>
          <w:b w:val="0"/>
          <w:bCs w:val="0"/>
          <w:i/>
          <w:iCs/>
          <w:color w:val="auto"/>
          <w:sz w:val="24"/>
          <w:szCs w:val="24"/>
        </w:rPr>
        <w:fldChar w:fldCharType="begin"/>
      </w:r>
      <w:r w:rsidRPr="00E62AA7">
        <w:rPr>
          <w:rFonts w:ascii="Times New Roman" w:hAnsi="Times New Roman" w:cs="Times New Roman"/>
          <w:b w:val="0"/>
          <w:bCs w:val="0"/>
          <w:i/>
          <w:iCs/>
          <w:color w:val="auto"/>
          <w:sz w:val="24"/>
          <w:szCs w:val="24"/>
        </w:rPr>
        <w:instrText xml:space="preserve"> SEQ Figure \* ARABIC </w:instrText>
      </w:r>
      <w:r w:rsidRPr="00E62AA7">
        <w:rPr>
          <w:rFonts w:ascii="Times New Roman" w:hAnsi="Times New Roman" w:cs="Times New Roman"/>
          <w:b w:val="0"/>
          <w:bCs w:val="0"/>
          <w:i/>
          <w:iCs/>
          <w:color w:val="auto"/>
          <w:sz w:val="24"/>
          <w:szCs w:val="24"/>
        </w:rPr>
        <w:fldChar w:fldCharType="separate"/>
      </w:r>
      <w:r w:rsidRPr="00E62AA7">
        <w:rPr>
          <w:rFonts w:ascii="Times New Roman" w:hAnsi="Times New Roman" w:cs="Times New Roman"/>
          <w:b w:val="0"/>
          <w:bCs w:val="0"/>
          <w:i/>
          <w:iCs/>
          <w:noProof/>
          <w:color w:val="auto"/>
          <w:sz w:val="24"/>
          <w:szCs w:val="24"/>
        </w:rPr>
        <w:t>1</w:t>
      </w:r>
      <w:r w:rsidRPr="00E62AA7">
        <w:rPr>
          <w:rFonts w:ascii="Times New Roman" w:hAnsi="Times New Roman" w:cs="Times New Roman"/>
          <w:b w:val="0"/>
          <w:bCs w:val="0"/>
          <w:i/>
          <w:iCs/>
          <w:color w:val="auto"/>
          <w:sz w:val="24"/>
          <w:szCs w:val="24"/>
        </w:rPr>
        <w:fldChar w:fldCharType="end"/>
      </w:r>
      <w:r w:rsidRPr="00E62AA7">
        <w:rPr>
          <w:rFonts w:ascii="Times New Roman" w:hAnsi="Times New Roman" w:cs="Times New Roman"/>
          <w:b w:val="0"/>
          <w:bCs w:val="0"/>
          <w:i/>
          <w:iCs/>
          <w:color w:val="auto"/>
          <w:sz w:val="24"/>
          <w:szCs w:val="24"/>
        </w:rPr>
        <w:t>: US regulatory timeline and amendments vs. the UK's baseline approach (2024–2027).</w:t>
      </w:r>
    </w:p>
    <w:p w14:paraId="7C12B04E" w14:textId="77777777" w:rsidR="00220E0B" w:rsidRPr="00E62AA7" w:rsidRDefault="00220E0B"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The Colorado incident mentioned in the introduction is not a unique occurrence. It represents a broader trend of U.S. states creating state laws on AI without a federal bill in place, creating a complex compliance landscape for businesses with interstate operations (</w:t>
      </w:r>
      <w:proofErr w:type="spellStart"/>
      <w:r w:rsidRPr="00E62AA7">
        <w:rPr>
          <w:rFonts w:ascii="Times New Roman" w:hAnsi="Times New Roman" w:cs="Times New Roman"/>
          <w:sz w:val="24"/>
          <w:szCs w:val="24"/>
        </w:rPr>
        <w:t>LawFuel</w:t>
      </w:r>
      <w:proofErr w:type="spellEnd"/>
      <w:r w:rsidRPr="00E62AA7">
        <w:rPr>
          <w:rFonts w:ascii="Times New Roman" w:hAnsi="Times New Roman" w:cs="Times New Roman"/>
          <w:sz w:val="24"/>
          <w:szCs w:val="24"/>
        </w:rPr>
        <w:t xml:space="preserve">, 2026). The original AI Act in Colorado would have mandated impact assessments and disclosure of algorithmic decision making for </w:t>
      </w:r>
      <w:proofErr w:type="gramStart"/>
      <w:r w:rsidRPr="00E62AA7">
        <w:rPr>
          <w:rFonts w:ascii="Times New Roman" w:hAnsi="Times New Roman" w:cs="Times New Roman"/>
          <w:sz w:val="24"/>
          <w:szCs w:val="24"/>
        </w:rPr>
        <w:t>high risk</w:t>
      </w:r>
      <w:proofErr w:type="gramEnd"/>
      <w:r w:rsidRPr="00E62AA7">
        <w:rPr>
          <w:rFonts w:ascii="Times New Roman" w:hAnsi="Times New Roman" w:cs="Times New Roman"/>
          <w:sz w:val="24"/>
          <w:szCs w:val="24"/>
        </w:rPr>
        <w:t xml:space="preserve"> AI systems, such as those used in financial services (Siegal and Garcia, 2024). The replacement, the Automated Decision-Making Technology Act, restricts the language but maintains financial services coverage and doesn't come into effect until January 2027, which may well be a time when the political and legal landscape has changed once again (Skadden, Arps, Slate, Meagher &amp; Flom LLP, 2026; Stein et al., 2026).</w:t>
      </w:r>
    </w:p>
    <w:p w14:paraId="7402985E" w14:textId="77777777" w:rsidR="00220E0B" w:rsidRPr="00E62AA7" w:rsidRDefault="00220E0B"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The situation is quite different in the United Kingdom. In contrast, the UK has not seen a single new statute being enacted, but continued to leave regulators to deal with AI in their own areas of responsibility, with limited legislation drama and ultimately more uncertain about how a specific AI application will be treated. This isn't a triviality. A UK regulator reviewing an existing part of the law has in principle the power to arrive at a new interpretation just as dramatically as a new law passed by a US state legislature does, albeit without the advance warning that a bill going through a state legislature often brings.</w:t>
      </w:r>
    </w:p>
    <w:p w14:paraId="42F5F74A" w14:textId="229C4E0E" w:rsidR="00220E0B" w:rsidRPr="00E62AA7" w:rsidRDefault="00220E0B"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Technically speaking, the same roadmap for the Product is not expected to have the same compliance playbook between the two markets, as this would be hard for Sage to </w:t>
      </w:r>
      <w:r w:rsidRPr="00E62AA7">
        <w:rPr>
          <w:rFonts w:ascii="Times New Roman" w:hAnsi="Times New Roman" w:cs="Times New Roman"/>
          <w:sz w:val="24"/>
          <w:szCs w:val="24"/>
        </w:rPr>
        <w:lastRenderedPageBreak/>
        <w:t>implement for Copilot. That divergence is the main fact to be dealt with here, rather than the footnote, in the rest of this report.</w:t>
      </w:r>
    </w:p>
    <w:p w14:paraId="0EDBA577" w14:textId="77777777" w:rsidR="004450F2" w:rsidRPr="00E62AA7" w:rsidRDefault="00A900DC" w:rsidP="007850AF">
      <w:pPr>
        <w:pStyle w:val="Heading1"/>
        <w:spacing w:line="360" w:lineRule="auto"/>
        <w:jc w:val="both"/>
        <w:rPr>
          <w:rFonts w:ascii="Times New Roman" w:hAnsi="Times New Roman" w:cs="Times New Roman"/>
          <w:color w:val="auto"/>
          <w:sz w:val="24"/>
          <w:szCs w:val="24"/>
        </w:rPr>
      </w:pPr>
      <w:bookmarkStart w:id="7" w:name="_Toc235795696"/>
      <w:r w:rsidRPr="00E62AA7">
        <w:rPr>
          <w:rFonts w:ascii="Times New Roman" w:hAnsi="Times New Roman" w:cs="Times New Roman"/>
          <w:color w:val="auto"/>
          <w:sz w:val="24"/>
          <w:szCs w:val="24"/>
        </w:rPr>
        <w:t xml:space="preserve">3. </w:t>
      </w:r>
      <w:r w:rsidRPr="00E62AA7">
        <w:rPr>
          <w:rFonts w:ascii="Times New Roman" w:hAnsi="Times New Roman" w:cs="Times New Roman"/>
          <w:color w:val="auto"/>
          <w:sz w:val="24"/>
          <w:szCs w:val="24"/>
        </w:rPr>
        <w:t>Main Findings</w:t>
      </w:r>
      <w:bookmarkEnd w:id="7"/>
    </w:p>
    <w:p w14:paraId="1B678A31" w14:textId="77777777" w:rsidR="004450F2" w:rsidRPr="00E62AA7" w:rsidRDefault="00A900DC" w:rsidP="007850AF">
      <w:pPr>
        <w:pStyle w:val="Heading2"/>
        <w:spacing w:line="360" w:lineRule="auto"/>
        <w:jc w:val="both"/>
        <w:rPr>
          <w:rFonts w:ascii="Times New Roman" w:hAnsi="Times New Roman" w:cs="Times New Roman"/>
          <w:sz w:val="24"/>
          <w:szCs w:val="24"/>
        </w:rPr>
      </w:pPr>
      <w:bookmarkStart w:id="8" w:name="_Toc235795697"/>
      <w:r w:rsidRPr="00E62AA7">
        <w:rPr>
          <w:rFonts w:ascii="Times New Roman" w:hAnsi="Times New Roman" w:cs="Times New Roman"/>
          <w:sz w:val="24"/>
          <w:szCs w:val="24"/>
        </w:rPr>
        <w:t>3.1 Competitive Intensity: A Five Forces Reading</w:t>
      </w:r>
      <w:bookmarkEnd w:id="8"/>
    </w:p>
    <w:p w14:paraId="295B1ABD" w14:textId="77777777" w:rsidR="00220E0B" w:rsidRPr="00E62AA7" w:rsidRDefault="00220E0B"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The Five Forces has been applied here to evaluate the rivalry that Sage is facing in accounting and financial software. In a study specifically focusing on the continued relevance of the framework in the knowledge intensive technology industries, Isabelle et al. (2020) conclude that Five Forces can be used as a starting point, but is more effective when combined with the focus on </w:t>
      </w:r>
      <w:proofErr w:type="spellStart"/>
      <w:r w:rsidRPr="00E62AA7">
        <w:rPr>
          <w:rFonts w:ascii="Times New Roman" w:hAnsi="Times New Roman" w:cs="Times New Roman"/>
          <w:sz w:val="24"/>
          <w:szCs w:val="24"/>
        </w:rPr>
        <w:t>digitalisation</w:t>
      </w:r>
      <w:proofErr w:type="spellEnd"/>
      <w:r w:rsidRPr="00E62AA7">
        <w:rPr>
          <w:rFonts w:ascii="Times New Roman" w:hAnsi="Times New Roman" w:cs="Times New Roman"/>
          <w:sz w:val="24"/>
          <w:szCs w:val="24"/>
        </w:rPr>
        <w:t xml:space="preserve"> and the speed of regulatory changes, both of which are discussed in this section, but not treated as separate forces.</w:t>
      </w:r>
    </w:p>
    <w:p w14:paraId="271D997B" w14:textId="77777777" w:rsidR="00220E0B" w:rsidRPr="00E62AA7" w:rsidRDefault="00220E0B"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There is high rivalry between the already existing players. Together, Intuit, Xero, Oracle NetSuite and Microsoft Dynamics are vying for a large customer base of small and medium sized business customers, and now they are competing based on embedded artificial intelligence capabilities as well as on features and costs (</w:t>
      </w:r>
      <w:proofErr w:type="spellStart"/>
      <w:r w:rsidRPr="00E62AA7">
        <w:rPr>
          <w:rFonts w:ascii="Times New Roman" w:hAnsi="Times New Roman" w:cs="Times New Roman"/>
          <w:sz w:val="24"/>
          <w:szCs w:val="24"/>
        </w:rPr>
        <w:t>Aminetzah</w:t>
      </w:r>
      <w:proofErr w:type="spellEnd"/>
      <w:r w:rsidRPr="00E62AA7">
        <w:rPr>
          <w:rFonts w:ascii="Times New Roman" w:hAnsi="Times New Roman" w:cs="Times New Roman"/>
          <w:sz w:val="24"/>
          <w:szCs w:val="24"/>
        </w:rPr>
        <w:t>, 2026; Intuit, 2026). There is a moderate, not low, threat from new competition. While the creation of a convincing accounting platform from the ground up is still a challenge, the increasing prevalence of large language model tools will make it more affordable to integrate an AI component into a new product and reduce one of the benefits that established players like Sage have traditionally enjoyed.</w:t>
      </w:r>
    </w:p>
    <w:p w14:paraId="3595CED6" w14:textId="70694AFD" w:rsidR="00220E0B" w:rsidRPr="00E62AA7" w:rsidRDefault="00220E0B"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Buyer power is moderate and varies by market. The Xero ecosystem, with more than 1,000 integrations, is an example of how the company is working to make its switch costs a deliberate and intentional decrease in buyer power (</w:t>
      </w:r>
      <w:proofErr w:type="spellStart"/>
      <w:r w:rsidRPr="00E62AA7">
        <w:rPr>
          <w:rFonts w:ascii="Times New Roman" w:hAnsi="Times New Roman" w:cs="Times New Roman"/>
          <w:sz w:val="24"/>
          <w:szCs w:val="24"/>
        </w:rPr>
        <w:t>PortersFiveForce</w:t>
      </w:r>
      <w:proofErr w:type="spellEnd"/>
      <w:r w:rsidRPr="00E62AA7">
        <w:rPr>
          <w:rFonts w:ascii="Times New Roman" w:hAnsi="Times New Roman" w:cs="Times New Roman"/>
          <w:sz w:val="24"/>
          <w:szCs w:val="24"/>
        </w:rPr>
        <w:t xml:space="preserve"> Team, 2026; Conner, 2025). Traditional inputs like hardware and software still have a strong degree of supplier power, but where accounting software companies rely on underlying large language model infrastructure that they cannot control, supplier power is increasing in this area and is not part of Porter's original five categories. While the potential of substitutes may be limited for key bookkeeping tasks, it is increasing at the fringe, where the use of spreadsheets or manual methods has become less compelling as AI tools start to prove time-saving.</w:t>
      </w:r>
    </w:p>
    <w:p w14:paraId="6675BBD8" w14:textId="6A6D34C2" w:rsidR="00220E0B" w:rsidRPr="00E62AA7" w:rsidRDefault="00220E0B"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lastRenderedPageBreak/>
        <w:t xml:space="preserve">Combined, these five forces suggest that competition is now being waged based on the ability to use AI, and not so much on its fundamental bookkeeping capabilities that have long set the products apart. The relevance </w:t>
      </w:r>
      <w:r w:rsidR="00B808A9">
        <w:rPr>
          <w:rFonts w:ascii="Times New Roman" w:hAnsi="Times New Roman" w:cs="Times New Roman"/>
          <w:sz w:val="24"/>
          <w:szCs w:val="24"/>
        </w:rPr>
        <w:t>is that a one-size-fits-all approach to the model would fail to capture it</w:t>
      </w:r>
      <w:r w:rsidRPr="00E62AA7">
        <w:rPr>
          <w:rFonts w:ascii="Times New Roman" w:hAnsi="Times New Roman" w:cs="Times New Roman"/>
          <w:sz w:val="24"/>
          <w:szCs w:val="24"/>
        </w:rPr>
        <w:t>. The fact that every serious competitor is racing to add broadly similar generative AI features increases the relative speed at which the feature becomes a less distinguishing differentiator; and the accuracy, governance and trustworthiness of the AI feature examined in sections 3.3 and 3.4 becomes the more persistent source of competitive advantage</w:t>
      </w:r>
    </w:p>
    <w:p w14:paraId="27DD6C9A" w14:textId="77777777" w:rsidR="00750F21" w:rsidRPr="00E62AA7" w:rsidRDefault="00750F21" w:rsidP="007850AF">
      <w:pPr>
        <w:keepNext/>
        <w:spacing w:line="360" w:lineRule="auto"/>
        <w:jc w:val="both"/>
        <w:rPr>
          <w:rFonts w:ascii="Times New Roman" w:hAnsi="Times New Roman" w:cs="Times New Roman"/>
          <w:sz w:val="24"/>
          <w:szCs w:val="24"/>
        </w:rPr>
      </w:pPr>
      <w:r w:rsidRPr="00E62AA7">
        <w:rPr>
          <w:rFonts w:ascii="Times New Roman" w:hAnsi="Times New Roman" w:cs="Times New Roman"/>
          <w:noProof/>
          <w:sz w:val="24"/>
          <w:szCs w:val="24"/>
        </w:rPr>
        <w:drawing>
          <wp:inline distT="0" distB="0" distL="0" distR="0" wp14:anchorId="1C348BDC" wp14:editId="74ECA499">
            <wp:extent cx="5486400" cy="2656392"/>
            <wp:effectExtent l="0" t="0" r="0" b="0"/>
            <wp:docPr id="24198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98997" name=""/>
                    <pic:cNvPicPr/>
                  </pic:nvPicPr>
                  <pic:blipFill rotWithShape="1">
                    <a:blip r:embed="rId10"/>
                    <a:srcRect t="11314"/>
                    <a:stretch>
                      <a:fillRect/>
                    </a:stretch>
                  </pic:blipFill>
                  <pic:spPr bwMode="auto">
                    <a:xfrm>
                      <a:off x="0" y="0"/>
                      <a:ext cx="5486400" cy="2656392"/>
                    </a:xfrm>
                    <a:prstGeom prst="rect">
                      <a:avLst/>
                    </a:prstGeom>
                    <a:ln>
                      <a:noFill/>
                    </a:ln>
                    <a:extLst>
                      <a:ext uri="{53640926-AAD7-44D8-BBD7-CCE9431645EC}">
                        <a14:shadowObscured xmlns:a14="http://schemas.microsoft.com/office/drawing/2010/main"/>
                      </a:ext>
                    </a:extLst>
                  </pic:spPr>
                </pic:pic>
              </a:graphicData>
            </a:graphic>
          </wp:inline>
        </w:drawing>
      </w:r>
    </w:p>
    <w:p w14:paraId="679576B4" w14:textId="125DCBF4" w:rsidR="004450F2" w:rsidRPr="00E62AA7" w:rsidRDefault="00750F21" w:rsidP="007850AF">
      <w:pPr>
        <w:pStyle w:val="Caption"/>
        <w:spacing w:line="360" w:lineRule="auto"/>
        <w:jc w:val="both"/>
        <w:rPr>
          <w:rFonts w:ascii="Times New Roman" w:hAnsi="Times New Roman" w:cs="Times New Roman"/>
          <w:b w:val="0"/>
          <w:bCs w:val="0"/>
          <w:i/>
          <w:iCs/>
          <w:color w:val="auto"/>
          <w:sz w:val="24"/>
          <w:szCs w:val="24"/>
        </w:rPr>
      </w:pPr>
      <w:r w:rsidRPr="00E62AA7">
        <w:rPr>
          <w:rFonts w:ascii="Times New Roman" w:hAnsi="Times New Roman" w:cs="Times New Roman"/>
          <w:b w:val="0"/>
          <w:bCs w:val="0"/>
          <w:i/>
          <w:iCs/>
          <w:color w:val="auto"/>
          <w:sz w:val="24"/>
          <w:szCs w:val="24"/>
        </w:rPr>
        <w:t>Figure 2: Five Forces Intensity Chart, Sage in Accounting and Financial Software</w:t>
      </w:r>
      <w:r w:rsidR="00B808A9">
        <w:rPr>
          <w:rFonts w:ascii="Times New Roman" w:hAnsi="Times New Roman" w:cs="Times New Roman"/>
          <w:b w:val="0"/>
          <w:bCs w:val="0"/>
          <w:i/>
          <w:iCs/>
          <w:color w:val="auto"/>
          <w:sz w:val="24"/>
          <w:szCs w:val="24"/>
        </w:rPr>
        <w:t xml:space="preserve"> </w:t>
      </w:r>
      <w:r w:rsidRPr="00E62AA7">
        <w:rPr>
          <w:rFonts w:ascii="Times New Roman" w:hAnsi="Times New Roman" w:cs="Times New Roman"/>
          <w:b w:val="0"/>
          <w:bCs w:val="0"/>
          <w:i/>
          <w:iCs/>
          <w:color w:val="auto"/>
          <w:sz w:val="24"/>
          <w:szCs w:val="24"/>
        </w:rPr>
        <w:t>(Source: Author)</w:t>
      </w:r>
    </w:p>
    <w:p w14:paraId="6BF7C5AF" w14:textId="77777777" w:rsidR="004450F2" w:rsidRPr="00E62AA7" w:rsidRDefault="00A900DC" w:rsidP="007850AF">
      <w:pPr>
        <w:pStyle w:val="Heading2"/>
        <w:spacing w:line="360" w:lineRule="auto"/>
        <w:jc w:val="both"/>
        <w:rPr>
          <w:rFonts w:ascii="Times New Roman" w:hAnsi="Times New Roman" w:cs="Times New Roman"/>
          <w:sz w:val="24"/>
          <w:szCs w:val="24"/>
        </w:rPr>
      </w:pPr>
      <w:bookmarkStart w:id="9" w:name="_Toc235795698"/>
      <w:r w:rsidRPr="00E62AA7">
        <w:rPr>
          <w:rFonts w:ascii="Times New Roman" w:hAnsi="Times New Roman" w:cs="Times New Roman"/>
          <w:sz w:val="24"/>
          <w:szCs w:val="24"/>
        </w:rPr>
        <w:t>3.2 Regulatory Divergence: PESTLE Across Two Markets</w:t>
      </w:r>
      <w:bookmarkEnd w:id="9"/>
    </w:p>
    <w:p w14:paraId="2456E2BC" w14:textId="79C2547D" w:rsidR="00220E0B" w:rsidRDefault="00220E0B"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PESTLE is used here to compare the United Kingdom and the United States, the two markets that are core to Sage's strategy. This comparison was not carried out simply by describing the different regulations, as the main thrust of this report is that the stability of the regulation rather than the direction of regulation is the most important variable for Sage to deal with. Table 1 </w:t>
      </w:r>
      <w:proofErr w:type="spellStart"/>
      <w:r w:rsidRPr="00E62AA7">
        <w:rPr>
          <w:rFonts w:ascii="Times New Roman" w:hAnsi="Times New Roman" w:cs="Times New Roman"/>
          <w:sz w:val="24"/>
          <w:szCs w:val="24"/>
        </w:rPr>
        <w:t>summarises</w:t>
      </w:r>
      <w:proofErr w:type="spellEnd"/>
      <w:r w:rsidRPr="00E62AA7">
        <w:rPr>
          <w:rFonts w:ascii="Times New Roman" w:hAnsi="Times New Roman" w:cs="Times New Roman"/>
          <w:sz w:val="24"/>
          <w:szCs w:val="24"/>
        </w:rPr>
        <w:t xml:space="preserve"> this comparison using a </w:t>
      </w:r>
      <w:proofErr w:type="gramStart"/>
      <w:r w:rsidRPr="00E62AA7">
        <w:rPr>
          <w:rFonts w:ascii="Times New Roman" w:hAnsi="Times New Roman" w:cs="Times New Roman"/>
          <w:sz w:val="24"/>
          <w:szCs w:val="24"/>
        </w:rPr>
        <w:t>volatility based</w:t>
      </w:r>
      <w:proofErr w:type="gramEnd"/>
      <w:r w:rsidRPr="00E62AA7">
        <w:rPr>
          <w:rFonts w:ascii="Times New Roman" w:hAnsi="Times New Roman" w:cs="Times New Roman"/>
          <w:sz w:val="24"/>
          <w:szCs w:val="24"/>
        </w:rPr>
        <w:t xml:space="preserve"> scoring approach.</w:t>
      </w:r>
    </w:p>
    <w:p w14:paraId="2F304B87" w14:textId="272AC5D7" w:rsidR="00AF6C10" w:rsidRDefault="00AF6C10" w:rsidP="007850AF">
      <w:pPr>
        <w:spacing w:line="360" w:lineRule="auto"/>
        <w:jc w:val="both"/>
        <w:rPr>
          <w:rFonts w:ascii="Times New Roman" w:hAnsi="Times New Roman" w:cs="Times New Roman"/>
          <w:sz w:val="24"/>
          <w:szCs w:val="24"/>
        </w:rPr>
      </w:pPr>
    </w:p>
    <w:p w14:paraId="2EF48CB1" w14:textId="77777777" w:rsidR="00AF6C10" w:rsidRPr="00E62AA7" w:rsidRDefault="00AF6C10" w:rsidP="007850AF">
      <w:pPr>
        <w:spacing w:line="360" w:lineRule="auto"/>
        <w:jc w:val="both"/>
        <w:rPr>
          <w:rFonts w:ascii="Times New Roman" w:hAnsi="Times New Roman" w:cs="Times New Roman"/>
          <w:sz w:val="24"/>
          <w:szCs w:val="24"/>
        </w:rPr>
      </w:pPr>
    </w:p>
    <w:p w14:paraId="74432F6C" w14:textId="6D21C577" w:rsidR="004450F2" w:rsidRPr="007850AF" w:rsidRDefault="00A900DC" w:rsidP="007850AF">
      <w:pPr>
        <w:spacing w:after="120" w:line="360" w:lineRule="auto"/>
        <w:jc w:val="both"/>
        <w:rPr>
          <w:rFonts w:ascii="Times New Roman" w:hAnsi="Times New Roman" w:cs="Times New Roman"/>
          <w:b/>
          <w:bCs/>
          <w:iCs/>
          <w:sz w:val="24"/>
          <w:szCs w:val="24"/>
        </w:rPr>
      </w:pPr>
      <w:r w:rsidRPr="007850AF">
        <w:rPr>
          <w:rFonts w:ascii="Times New Roman" w:hAnsi="Times New Roman" w:cs="Times New Roman"/>
          <w:b/>
          <w:bCs/>
          <w:iCs/>
          <w:sz w:val="24"/>
          <w:szCs w:val="24"/>
        </w:rPr>
        <w:lastRenderedPageBreak/>
        <w:t>Table 1: Regulatory Volatility Assessment, Sage's UK and US Position (Author</w:t>
      </w:r>
      <w:r w:rsidR="007850AF" w:rsidRPr="007850AF">
        <w:rPr>
          <w:rFonts w:ascii="Times New Roman" w:hAnsi="Times New Roman" w:cs="Times New Roman"/>
          <w:b/>
          <w:bCs/>
          <w:iCs/>
          <w:sz w:val="24"/>
          <w:szCs w:val="24"/>
        </w:rPr>
        <w:t>)</w:t>
      </w:r>
    </w:p>
    <w:tbl>
      <w:tblPr>
        <w:tblStyle w:val="TableGridLight"/>
        <w:tblW w:w="0" w:type="auto"/>
        <w:tblLook w:val="04A0" w:firstRow="1" w:lastRow="0" w:firstColumn="1" w:lastColumn="0" w:noHBand="0" w:noVBand="1"/>
      </w:tblPr>
      <w:tblGrid>
        <w:gridCol w:w="1643"/>
        <w:gridCol w:w="2381"/>
        <w:gridCol w:w="3005"/>
        <w:gridCol w:w="1417"/>
      </w:tblGrid>
      <w:tr w:rsidR="004450F2" w:rsidRPr="00E62AA7" w14:paraId="10293791" w14:textId="77777777" w:rsidTr="007850AF">
        <w:tc>
          <w:tcPr>
            <w:tcW w:w="1304" w:type="dxa"/>
          </w:tcPr>
          <w:p w14:paraId="507F30FA"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b/>
                <w:sz w:val="24"/>
                <w:szCs w:val="24"/>
              </w:rPr>
              <w:t>PESTLE Factor</w:t>
            </w:r>
          </w:p>
        </w:tc>
        <w:tc>
          <w:tcPr>
            <w:tcW w:w="2381" w:type="dxa"/>
          </w:tcPr>
          <w:p w14:paraId="3A86D2A5"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b/>
                <w:sz w:val="24"/>
                <w:szCs w:val="24"/>
              </w:rPr>
              <w:t>United Kingdom Position</w:t>
            </w:r>
          </w:p>
        </w:tc>
        <w:tc>
          <w:tcPr>
            <w:tcW w:w="3005" w:type="dxa"/>
          </w:tcPr>
          <w:p w14:paraId="614BC607"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b/>
                <w:sz w:val="24"/>
                <w:szCs w:val="24"/>
              </w:rPr>
              <w:t>United States Position</w:t>
            </w:r>
          </w:p>
        </w:tc>
        <w:tc>
          <w:tcPr>
            <w:tcW w:w="1417" w:type="dxa"/>
          </w:tcPr>
          <w:p w14:paraId="32F8DC53"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b/>
                <w:sz w:val="24"/>
                <w:szCs w:val="24"/>
              </w:rPr>
              <w:t>Volatility Score</w:t>
            </w:r>
          </w:p>
        </w:tc>
      </w:tr>
      <w:tr w:rsidR="004450F2" w:rsidRPr="00E62AA7" w14:paraId="3830F630" w14:textId="77777777" w:rsidTr="007850AF">
        <w:tc>
          <w:tcPr>
            <w:tcW w:w="1304" w:type="dxa"/>
          </w:tcPr>
          <w:p w14:paraId="1845803B"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Political</w:t>
            </w:r>
          </w:p>
        </w:tc>
        <w:tc>
          <w:tcPr>
            <w:tcW w:w="2381" w:type="dxa"/>
          </w:tcPr>
          <w:p w14:paraId="3D552702"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Existing regulators apply existing law; no dedicated AI statute</w:t>
            </w:r>
          </w:p>
        </w:tc>
        <w:tc>
          <w:tcPr>
            <w:tcW w:w="3005" w:type="dxa"/>
          </w:tcPr>
          <w:p w14:paraId="06C64DD3"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Colorado AI Act enacted, delayed twice, repealed and replaced within two years (Siegal and Garcia, 2024; LawFuel, 2026)</w:t>
            </w:r>
          </w:p>
        </w:tc>
        <w:tc>
          <w:tcPr>
            <w:tcW w:w="1417" w:type="dxa"/>
          </w:tcPr>
          <w:p w14:paraId="00A43FD1"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Low (UK) / Extreme (US)</w:t>
            </w:r>
          </w:p>
        </w:tc>
      </w:tr>
      <w:tr w:rsidR="004450F2" w:rsidRPr="00E62AA7" w14:paraId="6C6CC62B" w14:textId="77777777" w:rsidTr="007850AF">
        <w:tc>
          <w:tcPr>
            <w:tcW w:w="1304" w:type="dxa"/>
          </w:tcPr>
          <w:p w14:paraId="4961714B"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Economic</w:t>
            </w:r>
          </w:p>
        </w:tc>
        <w:tc>
          <w:tcPr>
            <w:tcW w:w="2381" w:type="dxa"/>
          </w:tcPr>
          <w:p w14:paraId="3A443817"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UKIA revenue growth of 9% in most rece</w:t>
            </w:r>
            <w:r w:rsidRPr="00E62AA7">
              <w:rPr>
                <w:rFonts w:ascii="Times New Roman" w:hAnsi="Times New Roman" w:cs="Times New Roman"/>
                <w:sz w:val="24"/>
                <w:szCs w:val="24"/>
              </w:rPr>
              <w:t>nt period (Sage Group plc, 2025b)</w:t>
            </w:r>
          </w:p>
        </w:tc>
        <w:tc>
          <w:tcPr>
            <w:tcW w:w="3005" w:type="dxa"/>
          </w:tcPr>
          <w:p w14:paraId="6628AF22"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North America revenue growth of 11-13%, Sage's fastest growing and largest region (Sage Group plc, 2025b; Sage Group plc, 2025c)</w:t>
            </w:r>
          </w:p>
        </w:tc>
        <w:tc>
          <w:tcPr>
            <w:tcW w:w="1417" w:type="dxa"/>
          </w:tcPr>
          <w:p w14:paraId="41D390F4"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Low / Low</w:t>
            </w:r>
          </w:p>
        </w:tc>
      </w:tr>
      <w:tr w:rsidR="004450F2" w:rsidRPr="00E62AA7" w14:paraId="3680126E" w14:textId="77777777" w:rsidTr="007850AF">
        <w:tc>
          <w:tcPr>
            <w:tcW w:w="1304" w:type="dxa"/>
          </w:tcPr>
          <w:p w14:paraId="23FB3E2F"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Social</w:t>
            </w:r>
          </w:p>
        </w:tc>
        <w:tc>
          <w:tcPr>
            <w:tcW w:w="2381" w:type="dxa"/>
          </w:tcPr>
          <w:p w14:paraId="788D4D8A"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SME technology readiness shapes adoption more than tool sophistication (Sha</w:t>
            </w:r>
            <w:r w:rsidRPr="00E62AA7">
              <w:rPr>
                <w:rFonts w:ascii="Times New Roman" w:hAnsi="Times New Roman" w:cs="Times New Roman"/>
                <w:sz w:val="24"/>
                <w:szCs w:val="24"/>
              </w:rPr>
              <w:t>hadat et al., 2023)</w:t>
            </w:r>
          </w:p>
        </w:tc>
        <w:tc>
          <w:tcPr>
            <w:tcW w:w="3005" w:type="dxa"/>
          </w:tcPr>
          <w:p w14:paraId="5FE49760"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Same underlying finding applies; research volume on AI/SME adoption growing faster than evidence base (Ahmad, Mahomed and Hashim, 2025)</w:t>
            </w:r>
          </w:p>
        </w:tc>
        <w:tc>
          <w:tcPr>
            <w:tcW w:w="1417" w:type="dxa"/>
          </w:tcPr>
          <w:p w14:paraId="5F901B9C"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Medium / Medium</w:t>
            </w:r>
          </w:p>
        </w:tc>
      </w:tr>
      <w:tr w:rsidR="004450F2" w:rsidRPr="00E62AA7" w14:paraId="3A74114D" w14:textId="77777777" w:rsidTr="007850AF">
        <w:tc>
          <w:tcPr>
            <w:tcW w:w="1304" w:type="dxa"/>
          </w:tcPr>
          <w:p w14:paraId="6A4FC8DF"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Technological</w:t>
            </w:r>
          </w:p>
        </w:tc>
        <w:tc>
          <w:tcPr>
            <w:tcW w:w="2381" w:type="dxa"/>
          </w:tcPr>
          <w:p w14:paraId="11D9F4B9"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Cloud and AI tools available; trust in provider predicts continued us</w:t>
            </w:r>
            <w:r w:rsidRPr="00E62AA7">
              <w:rPr>
                <w:rFonts w:ascii="Times New Roman" w:hAnsi="Times New Roman" w:cs="Times New Roman"/>
                <w:sz w:val="24"/>
                <w:szCs w:val="24"/>
              </w:rPr>
              <w:t>e (Merlo, Fard and Hawamdeh, 2025)</w:t>
            </w:r>
          </w:p>
        </w:tc>
        <w:tc>
          <w:tcPr>
            <w:tcW w:w="3005" w:type="dxa"/>
          </w:tcPr>
          <w:p w14:paraId="718E0B49"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Same technology base; digital transformation research still maturing (Gao, Teh and Ho, 2026)</w:t>
            </w:r>
          </w:p>
        </w:tc>
        <w:tc>
          <w:tcPr>
            <w:tcW w:w="1417" w:type="dxa"/>
          </w:tcPr>
          <w:p w14:paraId="7153E48E"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Medium / Medium</w:t>
            </w:r>
          </w:p>
        </w:tc>
      </w:tr>
      <w:tr w:rsidR="004450F2" w:rsidRPr="00E62AA7" w14:paraId="5B42477A" w14:textId="77777777" w:rsidTr="007850AF">
        <w:tc>
          <w:tcPr>
            <w:tcW w:w="1304" w:type="dxa"/>
          </w:tcPr>
          <w:p w14:paraId="11C8783D"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Legal</w:t>
            </w:r>
          </w:p>
        </w:tc>
        <w:tc>
          <w:tcPr>
            <w:tcW w:w="2381" w:type="dxa"/>
          </w:tcPr>
          <w:p w14:paraId="52B977A7"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AI governed through existing sector </w:t>
            </w:r>
            <w:r w:rsidRPr="00E62AA7">
              <w:rPr>
                <w:rFonts w:ascii="Times New Roman" w:hAnsi="Times New Roman" w:cs="Times New Roman"/>
                <w:sz w:val="24"/>
                <w:szCs w:val="24"/>
              </w:rPr>
              <w:lastRenderedPageBreak/>
              <w:t>regulation rather than a bespoke statute</w:t>
            </w:r>
          </w:p>
        </w:tc>
        <w:tc>
          <w:tcPr>
            <w:tcW w:w="3005" w:type="dxa"/>
          </w:tcPr>
          <w:p w14:paraId="3030240D"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lastRenderedPageBreak/>
              <w:t xml:space="preserve">Automated </w:t>
            </w:r>
            <w:r w:rsidRPr="00E62AA7">
              <w:rPr>
                <w:rFonts w:ascii="Times New Roman" w:hAnsi="Times New Roman" w:cs="Times New Roman"/>
                <w:sz w:val="24"/>
                <w:szCs w:val="24"/>
              </w:rPr>
              <w:t xml:space="preserve">Decision-Making Technology Act covers financial services </w:t>
            </w:r>
            <w:r w:rsidRPr="00E62AA7">
              <w:rPr>
                <w:rFonts w:ascii="Times New Roman" w:hAnsi="Times New Roman" w:cs="Times New Roman"/>
                <w:sz w:val="24"/>
                <w:szCs w:val="24"/>
              </w:rPr>
              <w:lastRenderedPageBreak/>
              <w:t>explicitly, effective January 2027 (Skadden, Arps, Slate, Meagher &amp; Flom LLP, 2026; Stein et al., 2026)</w:t>
            </w:r>
          </w:p>
        </w:tc>
        <w:tc>
          <w:tcPr>
            <w:tcW w:w="1417" w:type="dxa"/>
          </w:tcPr>
          <w:p w14:paraId="41E3CD28"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lastRenderedPageBreak/>
              <w:t>Low / High</w:t>
            </w:r>
          </w:p>
        </w:tc>
      </w:tr>
      <w:tr w:rsidR="004450F2" w:rsidRPr="00E62AA7" w14:paraId="265A8E4E" w14:textId="77777777" w:rsidTr="007850AF">
        <w:tc>
          <w:tcPr>
            <w:tcW w:w="1304" w:type="dxa"/>
          </w:tcPr>
          <w:p w14:paraId="18BD0C42"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Environmental</w:t>
            </w:r>
          </w:p>
        </w:tc>
        <w:tc>
          <w:tcPr>
            <w:tcW w:w="2381" w:type="dxa"/>
          </w:tcPr>
          <w:p w14:paraId="278BF9E6"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Automation framed as a secondary sustainability contributor (Sage Gro</w:t>
            </w:r>
            <w:r w:rsidRPr="00E62AA7">
              <w:rPr>
                <w:rFonts w:ascii="Times New Roman" w:hAnsi="Times New Roman" w:cs="Times New Roman"/>
                <w:sz w:val="24"/>
                <w:szCs w:val="24"/>
              </w:rPr>
              <w:t>up plc, 2025a)</w:t>
            </w:r>
          </w:p>
        </w:tc>
        <w:tc>
          <w:tcPr>
            <w:tcW w:w="3005" w:type="dxa"/>
          </w:tcPr>
          <w:p w14:paraId="3FFEAFB1"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Same group-wide framing applies</w:t>
            </w:r>
          </w:p>
        </w:tc>
        <w:tc>
          <w:tcPr>
            <w:tcW w:w="1417" w:type="dxa"/>
          </w:tcPr>
          <w:p w14:paraId="28A6E98D"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Low / Low</w:t>
            </w:r>
          </w:p>
        </w:tc>
      </w:tr>
    </w:tbl>
    <w:p w14:paraId="7B121622" w14:textId="77777777" w:rsidR="004450F2" w:rsidRPr="00E62AA7" w:rsidRDefault="004450F2" w:rsidP="007850AF">
      <w:pPr>
        <w:spacing w:line="360" w:lineRule="auto"/>
        <w:jc w:val="both"/>
        <w:rPr>
          <w:rFonts w:ascii="Times New Roman" w:hAnsi="Times New Roman" w:cs="Times New Roman"/>
          <w:sz w:val="24"/>
          <w:szCs w:val="24"/>
        </w:rPr>
      </w:pPr>
    </w:p>
    <w:p w14:paraId="2F9067E4" w14:textId="77777777" w:rsidR="00220E0B" w:rsidRPr="00E62AA7" w:rsidRDefault="00220E0B"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In terms of the </w:t>
      </w:r>
      <w:r w:rsidRPr="00E62AA7">
        <w:rPr>
          <w:rFonts w:ascii="Times New Roman" w:hAnsi="Times New Roman" w:cs="Times New Roman"/>
          <w:b/>
          <w:bCs/>
          <w:sz w:val="24"/>
          <w:szCs w:val="24"/>
        </w:rPr>
        <w:t>political and legal nature</w:t>
      </w:r>
      <w:r w:rsidRPr="00E62AA7">
        <w:rPr>
          <w:rFonts w:ascii="Times New Roman" w:hAnsi="Times New Roman" w:cs="Times New Roman"/>
          <w:sz w:val="24"/>
          <w:szCs w:val="24"/>
        </w:rPr>
        <w:t xml:space="preserve">, the two markets are quite different. The United States, and Colorado in particular, has given a very volatile picture: a law passed, twice delayed, brought to challenge in federal court where the Department of Justice intervened against the state, and then a law passed that superseded the previous one within two years of it being signed (Siegal and Garcia, 2024; </w:t>
      </w:r>
      <w:proofErr w:type="spellStart"/>
      <w:r w:rsidRPr="00E62AA7">
        <w:rPr>
          <w:rFonts w:ascii="Times New Roman" w:hAnsi="Times New Roman" w:cs="Times New Roman"/>
          <w:sz w:val="24"/>
          <w:szCs w:val="24"/>
        </w:rPr>
        <w:t>LawFuel</w:t>
      </w:r>
      <w:proofErr w:type="spellEnd"/>
      <w:r w:rsidRPr="00E62AA7">
        <w:rPr>
          <w:rFonts w:ascii="Times New Roman" w:hAnsi="Times New Roman" w:cs="Times New Roman"/>
          <w:sz w:val="24"/>
          <w:szCs w:val="24"/>
        </w:rPr>
        <w:t>, 2026). There are other states that have enacted equivalent legislation, but not necessarily on the path of Colorado, which provide additional uncertainty instead of a clear trend (</w:t>
      </w:r>
      <w:proofErr w:type="spellStart"/>
      <w:r w:rsidRPr="00E62AA7">
        <w:rPr>
          <w:rFonts w:ascii="Times New Roman" w:hAnsi="Times New Roman" w:cs="Times New Roman"/>
          <w:sz w:val="24"/>
          <w:szCs w:val="24"/>
        </w:rPr>
        <w:t>LawFuel</w:t>
      </w:r>
      <w:proofErr w:type="spellEnd"/>
      <w:r w:rsidRPr="00E62AA7">
        <w:rPr>
          <w:rFonts w:ascii="Times New Roman" w:hAnsi="Times New Roman" w:cs="Times New Roman"/>
          <w:sz w:val="24"/>
          <w:szCs w:val="24"/>
        </w:rPr>
        <w:t>, 2026). In contrast the United Kingdom has not experienced this level of legislative 'turbulence' and instead has sector-based regulators. This isn't settled law, it's untested law, because a regulator can change laws in a manner that is as disruptive as a State legislature, except without as much advance notice.</w:t>
      </w:r>
    </w:p>
    <w:p w14:paraId="51EE74D6" w14:textId="77777777" w:rsidR="00220E0B" w:rsidRPr="00E62AA7" w:rsidRDefault="00220E0B"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From an </w:t>
      </w:r>
      <w:r w:rsidRPr="00E62AA7">
        <w:rPr>
          <w:rFonts w:ascii="Times New Roman" w:hAnsi="Times New Roman" w:cs="Times New Roman"/>
          <w:b/>
          <w:bCs/>
          <w:sz w:val="24"/>
          <w:szCs w:val="24"/>
        </w:rPr>
        <w:t>economic perspective</w:t>
      </w:r>
      <w:r w:rsidRPr="00E62AA7">
        <w:rPr>
          <w:rFonts w:ascii="Times New Roman" w:hAnsi="Times New Roman" w:cs="Times New Roman"/>
          <w:sz w:val="24"/>
          <w:szCs w:val="24"/>
        </w:rPr>
        <w:t xml:space="preserve">, both markets are currently offering positive returns on continued investment in AI, albeit with macroeconomic caveats not captured by the analysis above. This is because the movements of sterling against the dollar have a material impact on the growth that is reported in a different currency; as such, Sage's own results have been reported on a 'constant currency </w:t>
      </w:r>
      <w:proofErr w:type="spellStart"/>
      <w:r w:rsidRPr="00E62AA7">
        <w:rPr>
          <w:rFonts w:ascii="Times New Roman" w:hAnsi="Times New Roman" w:cs="Times New Roman"/>
          <w:sz w:val="24"/>
          <w:szCs w:val="24"/>
        </w:rPr>
        <w:t>basis'</w:t>
      </w:r>
      <w:proofErr w:type="spellEnd"/>
      <w:r w:rsidRPr="00E62AA7">
        <w:rPr>
          <w:rFonts w:ascii="Times New Roman" w:hAnsi="Times New Roman" w:cs="Times New Roman"/>
          <w:sz w:val="24"/>
          <w:szCs w:val="24"/>
        </w:rPr>
        <w:t xml:space="preserve"> to remind readers that currency risk is as real as regulatory risk when it comes to the transatlantic exposure (Sage Group plc, 2025b; Sage Group plc, 2025c). While the advantages of </w:t>
      </w:r>
      <w:proofErr w:type="spellStart"/>
      <w:r w:rsidRPr="00E62AA7">
        <w:rPr>
          <w:rFonts w:ascii="Times New Roman" w:hAnsi="Times New Roman" w:cs="Times New Roman"/>
          <w:sz w:val="24"/>
          <w:szCs w:val="24"/>
        </w:rPr>
        <w:t>digitalisation</w:t>
      </w:r>
      <w:proofErr w:type="spellEnd"/>
      <w:r w:rsidRPr="00E62AA7">
        <w:rPr>
          <w:rFonts w:ascii="Times New Roman" w:hAnsi="Times New Roman" w:cs="Times New Roman"/>
          <w:sz w:val="24"/>
          <w:szCs w:val="24"/>
        </w:rPr>
        <w:t xml:space="preserve"> have grown over the past few years, the OECD also highlights that </w:t>
      </w:r>
      <w:proofErr w:type="spellStart"/>
      <w:r w:rsidRPr="00E62AA7">
        <w:rPr>
          <w:rFonts w:ascii="Times New Roman" w:hAnsi="Times New Roman" w:cs="Times New Roman"/>
          <w:sz w:val="24"/>
          <w:szCs w:val="24"/>
        </w:rPr>
        <w:t>digitalisation</w:t>
      </w:r>
      <w:proofErr w:type="spellEnd"/>
      <w:r w:rsidRPr="00E62AA7">
        <w:rPr>
          <w:rFonts w:ascii="Times New Roman" w:hAnsi="Times New Roman" w:cs="Times New Roman"/>
          <w:sz w:val="24"/>
          <w:szCs w:val="24"/>
        </w:rPr>
        <w:t xml:space="preserve"> disparities between small and large businesses have increased, implying that AI tools built into existing software might be </w:t>
      </w:r>
      <w:r w:rsidRPr="00E62AA7">
        <w:rPr>
          <w:rFonts w:ascii="Times New Roman" w:hAnsi="Times New Roman" w:cs="Times New Roman"/>
          <w:sz w:val="24"/>
          <w:szCs w:val="24"/>
        </w:rPr>
        <w:lastRenderedPageBreak/>
        <w:t>more likely to improve these gaps than add-on technology that needs to be discovered by small businesses themselves (OECD, 2024).</w:t>
      </w:r>
    </w:p>
    <w:p w14:paraId="44051BDF" w14:textId="77777777" w:rsidR="00220E0B" w:rsidRPr="00E62AA7" w:rsidRDefault="00220E0B"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In terms of </w:t>
      </w:r>
      <w:r w:rsidRPr="00E62AA7">
        <w:rPr>
          <w:rFonts w:ascii="Times New Roman" w:hAnsi="Times New Roman" w:cs="Times New Roman"/>
          <w:b/>
          <w:bCs/>
          <w:sz w:val="24"/>
          <w:szCs w:val="24"/>
        </w:rPr>
        <w:t>social and technological aspects</w:t>
      </w:r>
      <w:r w:rsidRPr="00E62AA7">
        <w:rPr>
          <w:rFonts w:ascii="Times New Roman" w:hAnsi="Times New Roman" w:cs="Times New Roman"/>
          <w:sz w:val="24"/>
          <w:szCs w:val="24"/>
        </w:rPr>
        <w:t xml:space="preserve">, the findings of research on the adoption of SMEs are broadly similar, with the emphasis being on </w:t>
      </w:r>
      <w:proofErr w:type="spellStart"/>
      <w:r w:rsidRPr="00E62AA7">
        <w:rPr>
          <w:rFonts w:ascii="Times New Roman" w:hAnsi="Times New Roman" w:cs="Times New Roman"/>
          <w:sz w:val="24"/>
          <w:szCs w:val="24"/>
        </w:rPr>
        <w:t>organisational</w:t>
      </w:r>
      <w:proofErr w:type="spellEnd"/>
      <w:r w:rsidRPr="00E62AA7">
        <w:rPr>
          <w:rFonts w:ascii="Times New Roman" w:hAnsi="Times New Roman" w:cs="Times New Roman"/>
          <w:sz w:val="24"/>
          <w:szCs w:val="24"/>
        </w:rPr>
        <w:t xml:space="preserve"> readiness to implement the technology rather than the sophistication of the technology itself in achieving good adoption once it is implemented (Shahadat et al., 2023; Bayat et al., 2025). Ahmad, Mahomed and Hashim (2025) and later, Saeed Ahmad et al. (2026) discover in the study of the cloud computing literature that research interest in AI in relation to SME adoption of cloud has surged since 2020, albeit empirical evidence on the outcomes have not yet matched the amount of conceptual discussion, which may be relevant to the cautiousness Sage should show in promoting the benefits of Copilot to its customers. Gao, Teh and Ho (2026) come to a similar conclusion, and Merlo, </w:t>
      </w:r>
      <w:proofErr w:type="spellStart"/>
      <w:r w:rsidRPr="00E62AA7">
        <w:rPr>
          <w:rFonts w:ascii="Times New Roman" w:hAnsi="Times New Roman" w:cs="Times New Roman"/>
          <w:sz w:val="24"/>
          <w:szCs w:val="24"/>
        </w:rPr>
        <w:t>Fard</w:t>
      </w:r>
      <w:proofErr w:type="spellEnd"/>
      <w:r w:rsidRPr="00E62AA7">
        <w:rPr>
          <w:rFonts w:ascii="Times New Roman" w:hAnsi="Times New Roman" w:cs="Times New Roman"/>
          <w:sz w:val="24"/>
          <w:szCs w:val="24"/>
        </w:rPr>
        <w:t xml:space="preserve"> and </w:t>
      </w:r>
      <w:proofErr w:type="spellStart"/>
      <w:r w:rsidRPr="00E62AA7">
        <w:rPr>
          <w:rFonts w:ascii="Times New Roman" w:hAnsi="Times New Roman" w:cs="Times New Roman"/>
          <w:sz w:val="24"/>
          <w:szCs w:val="24"/>
        </w:rPr>
        <w:t>Hawamdeh</w:t>
      </w:r>
      <w:proofErr w:type="spellEnd"/>
      <w:r w:rsidRPr="00E62AA7">
        <w:rPr>
          <w:rFonts w:ascii="Times New Roman" w:hAnsi="Times New Roman" w:cs="Times New Roman"/>
          <w:sz w:val="24"/>
          <w:szCs w:val="24"/>
        </w:rPr>
        <w:t xml:space="preserve"> (2025) conclude that trust in the cloud service provider specifically </w:t>
      </w:r>
      <w:proofErr w:type="spellStart"/>
      <w:r w:rsidRPr="00E62AA7">
        <w:rPr>
          <w:rFonts w:ascii="Times New Roman" w:hAnsi="Times New Roman" w:cs="Times New Roman"/>
          <w:sz w:val="24"/>
          <w:szCs w:val="24"/>
        </w:rPr>
        <w:t>forepells</w:t>
      </w:r>
      <w:proofErr w:type="spellEnd"/>
      <w:r w:rsidRPr="00E62AA7">
        <w:rPr>
          <w:rFonts w:ascii="Times New Roman" w:hAnsi="Times New Roman" w:cs="Times New Roman"/>
          <w:sz w:val="24"/>
          <w:szCs w:val="24"/>
        </w:rPr>
        <w:t xml:space="preserve"> the continued use of a cloud tool after adoption, which is directly pertinent to Sage's retention.</w:t>
      </w:r>
    </w:p>
    <w:p w14:paraId="044216BF" w14:textId="3D34426C" w:rsidR="00220E0B" w:rsidRPr="00E62AA7" w:rsidRDefault="00220E0B"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In terms of the </w:t>
      </w:r>
      <w:r w:rsidRPr="00E62AA7">
        <w:rPr>
          <w:rFonts w:ascii="Times New Roman" w:hAnsi="Times New Roman" w:cs="Times New Roman"/>
          <w:b/>
          <w:bCs/>
          <w:sz w:val="24"/>
          <w:szCs w:val="24"/>
        </w:rPr>
        <w:t>environment</w:t>
      </w:r>
      <w:r w:rsidRPr="00E62AA7">
        <w:rPr>
          <w:rFonts w:ascii="Times New Roman" w:hAnsi="Times New Roman" w:cs="Times New Roman"/>
          <w:sz w:val="24"/>
          <w:szCs w:val="24"/>
        </w:rPr>
        <w:t>, this is the least mature of the six, but dismissing it as a minor risk underestimates a serious and escalating issue. While Sage's own reporting did not make the energy impact of large language model infrastructure a primary concern of sustainability, the general focus now on the energy use of LLM infrastructure would suggest that this should be taken more seriously in their own reporting going forward than it was captured in this report by public sources alone.</w:t>
      </w:r>
    </w:p>
    <w:p w14:paraId="711A4618" w14:textId="77777777" w:rsidR="004450F2" w:rsidRPr="00E62AA7" w:rsidRDefault="00A900DC" w:rsidP="007850AF">
      <w:pPr>
        <w:pStyle w:val="Heading2"/>
        <w:spacing w:line="360" w:lineRule="auto"/>
        <w:jc w:val="both"/>
        <w:rPr>
          <w:rFonts w:ascii="Times New Roman" w:hAnsi="Times New Roman" w:cs="Times New Roman"/>
          <w:sz w:val="24"/>
          <w:szCs w:val="24"/>
        </w:rPr>
      </w:pPr>
      <w:bookmarkStart w:id="10" w:name="_Toc235795699"/>
      <w:r w:rsidRPr="00E62AA7">
        <w:rPr>
          <w:rFonts w:ascii="Times New Roman" w:hAnsi="Times New Roman" w:cs="Times New Roman"/>
          <w:sz w:val="24"/>
          <w:szCs w:val="24"/>
        </w:rPr>
        <w:t>3.3 Assurance and Governance Risk</w:t>
      </w:r>
      <w:bookmarkEnd w:id="10"/>
    </w:p>
    <w:p w14:paraId="7CBD6C5D" w14:textId="76C635FE" w:rsidR="00E442AC" w:rsidRDefault="00E442A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After assessing the external environment, this section explores the risks stemming from the effectiveness, or otherwise, of Sage's own AI products. Table 2 presents an </w:t>
      </w:r>
      <w:proofErr w:type="gramStart"/>
      <w:r w:rsidRPr="00E62AA7">
        <w:rPr>
          <w:rFonts w:ascii="Times New Roman" w:hAnsi="Times New Roman" w:cs="Times New Roman"/>
          <w:sz w:val="24"/>
          <w:szCs w:val="24"/>
        </w:rPr>
        <w:t>assurance based</w:t>
      </w:r>
      <w:proofErr w:type="gramEnd"/>
      <w:r w:rsidRPr="00E62AA7">
        <w:rPr>
          <w:rFonts w:ascii="Times New Roman" w:hAnsi="Times New Roman" w:cs="Times New Roman"/>
          <w:sz w:val="24"/>
          <w:szCs w:val="24"/>
        </w:rPr>
        <w:t xml:space="preserve"> approach to this risk over a traditional likelihood and impact register, as the existing academic literature on this topic is more focused on model reliability than on the risk itself.</w:t>
      </w:r>
    </w:p>
    <w:p w14:paraId="2D124D5B" w14:textId="322E6E1B" w:rsidR="00AF6C10" w:rsidRDefault="00AF6C10" w:rsidP="007850AF">
      <w:pPr>
        <w:spacing w:line="360" w:lineRule="auto"/>
        <w:jc w:val="both"/>
        <w:rPr>
          <w:rFonts w:ascii="Times New Roman" w:hAnsi="Times New Roman" w:cs="Times New Roman"/>
          <w:sz w:val="24"/>
          <w:szCs w:val="24"/>
        </w:rPr>
      </w:pPr>
    </w:p>
    <w:p w14:paraId="3A42D7AD" w14:textId="3158E7D5" w:rsidR="00AF6C10" w:rsidRDefault="00AF6C10" w:rsidP="007850AF">
      <w:pPr>
        <w:spacing w:line="360" w:lineRule="auto"/>
        <w:jc w:val="both"/>
        <w:rPr>
          <w:rFonts w:ascii="Times New Roman" w:hAnsi="Times New Roman" w:cs="Times New Roman"/>
          <w:sz w:val="24"/>
          <w:szCs w:val="24"/>
        </w:rPr>
      </w:pPr>
    </w:p>
    <w:p w14:paraId="3AC2A401" w14:textId="77777777" w:rsidR="00AF6C10" w:rsidRPr="00E62AA7" w:rsidRDefault="00AF6C10" w:rsidP="007850AF">
      <w:pPr>
        <w:spacing w:line="360" w:lineRule="auto"/>
        <w:jc w:val="both"/>
        <w:rPr>
          <w:rFonts w:ascii="Times New Roman" w:hAnsi="Times New Roman" w:cs="Times New Roman"/>
          <w:sz w:val="24"/>
          <w:szCs w:val="24"/>
        </w:rPr>
      </w:pPr>
    </w:p>
    <w:p w14:paraId="50B80447" w14:textId="7D321A06" w:rsidR="004450F2" w:rsidRPr="00E62AA7" w:rsidRDefault="00A900DC" w:rsidP="007850AF">
      <w:pPr>
        <w:spacing w:after="120" w:line="360" w:lineRule="auto"/>
        <w:jc w:val="both"/>
        <w:rPr>
          <w:rFonts w:ascii="Times New Roman" w:hAnsi="Times New Roman" w:cs="Times New Roman"/>
          <w:b/>
          <w:bCs/>
          <w:iCs/>
          <w:sz w:val="24"/>
          <w:szCs w:val="24"/>
        </w:rPr>
      </w:pPr>
      <w:r w:rsidRPr="00E62AA7">
        <w:rPr>
          <w:rFonts w:ascii="Times New Roman" w:hAnsi="Times New Roman" w:cs="Times New Roman"/>
          <w:b/>
          <w:bCs/>
          <w:iCs/>
          <w:sz w:val="24"/>
          <w:szCs w:val="24"/>
        </w:rPr>
        <w:lastRenderedPageBreak/>
        <w:t>Table 2: AI Assurance Checklist for Sage Copilot (Author)</w:t>
      </w:r>
    </w:p>
    <w:tbl>
      <w:tblPr>
        <w:tblStyle w:val="TableGridLight"/>
        <w:tblW w:w="0" w:type="auto"/>
        <w:tblLook w:val="04A0" w:firstRow="1" w:lastRow="0" w:firstColumn="1" w:lastColumn="0" w:noHBand="0" w:noVBand="1"/>
      </w:tblPr>
      <w:tblGrid>
        <w:gridCol w:w="1587"/>
        <w:gridCol w:w="2948"/>
        <w:gridCol w:w="2438"/>
        <w:gridCol w:w="1030"/>
      </w:tblGrid>
      <w:tr w:rsidR="004450F2" w:rsidRPr="00E62AA7" w14:paraId="3E2489F0" w14:textId="77777777" w:rsidTr="00B808A9">
        <w:trPr>
          <w:tblHeader/>
        </w:trPr>
        <w:tc>
          <w:tcPr>
            <w:tcW w:w="1587" w:type="dxa"/>
          </w:tcPr>
          <w:p w14:paraId="3E8900D8"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b/>
                <w:sz w:val="24"/>
                <w:szCs w:val="24"/>
              </w:rPr>
              <w:t>Assurance Area</w:t>
            </w:r>
          </w:p>
        </w:tc>
        <w:tc>
          <w:tcPr>
            <w:tcW w:w="2948" w:type="dxa"/>
          </w:tcPr>
          <w:p w14:paraId="28F22B46"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b/>
                <w:sz w:val="24"/>
                <w:szCs w:val="24"/>
              </w:rPr>
              <w:t>Evidence from Literature</w:t>
            </w:r>
          </w:p>
        </w:tc>
        <w:tc>
          <w:tcPr>
            <w:tcW w:w="2438" w:type="dxa"/>
          </w:tcPr>
          <w:p w14:paraId="6D72D6DF"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b/>
                <w:sz w:val="24"/>
                <w:szCs w:val="24"/>
              </w:rPr>
              <w:t>Residual Gap for Sage</w:t>
            </w:r>
          </w:p>
        </w:tc>
        <w:tc>
          <w:tcPr>
            <w:tcW w:w="964" w:type="dxa"/>
          </w:tcPr>
          <w:p w14:paraId="69AA1CEC"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b/>
                <w:sz w:val="24"/>
                <w:szCs w:val="24"/>
              </w:rPr>
              <w:t>Priority</w:t>
            </w:r>
          </w:p>
        </w:tc>
      </w:tr>
      <w:tr w:rsidR="004450F2" w:rsidRPr="00E62AA7" w14:paraId="6B9BE831" w14:textId="77777777" w:rsidTr="007850AF">
        <w:tc>
          <w:tcPr>
            <w:tcW w:w="1587" w:type="dxa"/>
          </w:tcPr>
          <w:p w14:paraId="1ACC8DDD"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Model accuracy in fraud detection</w:t>
            </w:r>
          </w:p>
        </w:tc>
        <w:tc>
          <w:tcPr>
            <w:tcW w:w="2948" w:type="dxa"/>
          </w:tcPr>
          <w:p w14:paraId="346B0A50"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Performance varies with data quality and technique; no single method </w:t>
            </w:r>
            <w:r w:rsidRPr="00E62AA7">
              <w:rPr>
                <w:rFonts w:ascii="Times New Roman" w:hAnsi="Times New Roman" w:cs="Times New Roman"/>
                <w:sz w:val="24"/>
                <w:szCs w:val="24"/>
              </w:rPr>
              <w:t>reliable across all fraud types (Ashtiani and Raahemi, 2021; Alghofaili, Albattah and Rassam, 2020)</w:t>
            </w:r>
          </w:p>
        </w:tc>
        <w:tc>
          <w:tcPr>
            <w:tcW w:w="2438" w:type="dxa"/>
          </w:tcPr>
          <w:p w14:paraId="09776D4B"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Small business transaction irregularity is understudied relative to larger organisations (Mallesha and Hymavathi, 2024)</w:t>
            </w:r>
          </w:p>
        </w:tc>
        <w:tc>
          <w:tcPr>
            <w:tcW w:w="964" w:type="dxa"/>
          </w:tcPr>
          <w:p w14:paraId="45A87BA3"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High</w:t>
            </w:r>
          </w:p>
        </w:tc>
      </w:tr>
      <w:tr w:rsidR="004450F2" w:rsidRPr="00E62AA7" w14:paraId="025AFE7B" w14:textId="77777777" w:rsidTr="007850AF">
        <w:tc>
          <w:tcPr>
            <w:tcW w:w="1587" w:type="dxa"/>
          </w:tcPr>
          <w:p w14:paraId="572780AF"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Explainability of AI alerts</w:t>
            </w:r>
          </w:p>
        </w:tc>
        <w:tc>
          <w:tcPr>
            <w:tcW w:w="2948" w:type="dxa"/>
          </w:tcPr>
          <w:p w14:paraId="21808E2C"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Trust depends on users understanding why an alert was raised, not only on accuracy (Naseer and Ahmed, 2025; Anggi Putri and Nuswantara, 2025)</w:t>
            </w:r>
          </w:p>
        </w:tc>
        <w:tc>
          <w:tcPr>
            <w:tcW w:w="2438" w:type="dxa"/>
          </w:tcPr>
          <w:p w14:paraId="5BDAE43B"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No publicly documented plain language explainability layer in Copilot</w:t>
            </w:r>
          </w:p>
        </w:tc>
        <w:tc>
          <w:tcPr>
            <w:tcW w:w="964" w:type="dxa"/>
          </w:tcPr>
          <w:p w14:paraId="777298C0"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High</w:t>
            </w:r>
          </w:p>
        </w:tc>
      </w:tr>
      <w:tr w:rsidR="004450F2" w:rsidRPr="00E62AA7" w14:paraId="22B5294E" w14:textId="77777777" w:rsidTr="007850AF">
        <w:tc>
          <w:tcPr>
            <w:tcW w:w="1587" w:type="dxa"/>
          </w:tcPr>
          <w:p w14:paraId="77E16A8E"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Continuous model monitoring</w:t>
            </w:r>
          </w:p>
        </w:tc>
        <w:tc>
          <w:tcPr>
            <w:tcW w:w="2948" w:type="dxa"/>
          </w:tcPr>
          <w:p w14:paraId="1DC1BA6F"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Models req</w:t>
            </w:r>
            <w:r w:rsidRPr="00E62AA7">
              <w:rPr>
                <w:rFonts w:ascii="Times New Roman" w:hAnsi="Times New Roman" w:cs="Times New Roman"/>
                <w:sz w:val="24"/>
                <w:szCs w:val="24"/>
              </w:rPr>
              <w:t>uire ongoing rather than one-off validation to remain reliable (Li, Liu and Zhou, 2024; Lu et al., 2023)</w:t>
            </w:r>
          </w:p>
        </w:tc>
        <w:tc>
          <w:tcPr>
            <w:tcW w:w="2438" w:type="dxa"/>
          </w:tcPr>
          <w:p w14:paraId="2C19EDA5"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Unclear whether Copilot is monitored continuously or reviewed periodically</w:t>
            </w:r>
          </w:p>
        </w:tc>
        <w:tc>
          <w:tcPr>
            <w:tcW w:w="964" w:type="dxa"/>
          </w:tcPr>
          <w:p w14:paraId="79BEAB0E"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Medium</w:t>
            </w:r>
          </w:p>
        </w:tc>
      </w:tr>
      <w:tr w:rsidR="004450F2" w:rsidRPr="00E62AA7" w14:paraId="177FFB99" w14:textId="77777777" w:rsidTr="007850AF">
        <w:tc>
          <w:tcPr>
            <w:tcW w:w="1587" w:type="dxa"/>
          </w:tcPr>
          <w:p w14:paraId="1AFE5A7F"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Enterprise-wide governance integration</w:t>
            </w:r>
          </w:p>
        </w:tc>
        <w:tc>
          <w:tcPr>
            <w:tcW w:w="2948" w:type="dxa"/>
          </w:tcPr>
          <w:p w14:paraId="2AE286B7"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AI governance principles for </w:t>
            </w:r>
            <w:r w:rsidRPr="00E62AA7">
              <w:rPr>
                <w:rFonts w:ascii="Times New Roman" w:hAnsi="Times New Roman" w:cs="Times New Roman"/>
                <w:sz w:val="24"/>
                <w:szCs w:val="24"/>
              </w:rPr>
              <w:t>ERP systems require structured integration (Eugenia and Cătălina, 2024)</w:t>
            </w:r>
          </w:p>
        </w:tc>
        <w:tc>
          <w:tcPr>
            <w:tcW w:w="2438" w:type="dxa"/>
          </w:tcPr>
          <w:p w14:paraId="4F56E662"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No public documentation of governance framework across the full Sage product suite</w:t>
            </w:r>
          </w:p>
        </w:tc>
        <w:tc>
          <w:tcPr>
            <w:tcW w:w="964" w:type="dxa"/>
          </w:tcPr>
          <w:p w14:paraId="53D11784"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Medium</w:t>
            </w:r>
          </w:p>
        </w:tc>
      </w:tr>
      <w:tr w:rsidR="004450F2" w:rsidRPr="00E62AA7" w14:paraId="7313E282" w14:textId="77777777" w:rsidTr="007850AF">
        <w:tc>
          <w:tcPr>
            <w:tcW w:w="1587" w:type="dxa"/>
          </w:tcPr>
          <w:p w14:paraId="23E3CB7D"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Adjacent emerging </w:t>
            </w:r>
            <w:r w:rsidRPr="00E62AA7">
              <w:rPr>
                <w:rFonts w:ascii="Times New Roman" w:hAnsi="Times New Roman" w:cs="Times New Roman"/>
                <w:sz w:val="24"/>
                <w:szCs w:val="24"/>
              </w:rPr>
              <w:lastRenderedPageBreak/>
              <w:t>technology governance</w:t>
            </w:r>
          </w:p>
        </w:tc>
        <w:tc>
          <w:tcPr>
            <w:tcW w:w="2948" w:type="dxa"/>
          </w:tcPr>
          <w:p w14:paraId="75024902"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lastRenderedPageBreak/>
              <w:t>Blockchain and AI governance challenges are convergin</w:t>
            </w:r>
            <w:r w:rsidRPr="00E62AA7">
              <w:rPr>
                <w:rFonts w:ascii="Times New Roman" w:hAnsi="Times New Roman" w:cs="Times New Roman"/>
                <w:sz w:val="24"/>
                <w:szCs w:val="24"/>
              </w:rPr>
              <w:t xml:space="preserve">g in accounting </w:t>
            </w:r>
            <w:r w:rsidRPr="00E62AA7">
              <w:rPr>
                <w:rFonts w:ascii="Times New Roman" w:hAnsi="Times New Roman" w:cs="Times New Roman"/>
                <w:sz w:val="24"/>
                <w:szCs w:val="24"/>
              </w:rPr>
              <w:lastRenderedPageBreak/>
              <w:t>and audit (Georgiou et al., 2024)</w:t>
            </w:r>
          </w:p>
        </w:tc>
        <w:tc>
          <w:tcPr>
            <w:tcW w:w="2438" w:type="dxa"/>
          </w:tcPr>
          <w:p w14:paraId="73B7C051"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lastRenderedPageBreak/>
              <w:t>Not yet a stated Sage priority but relevant to future proofing</w:t>
            </w:r>
          </w:p>
        </w:tc>
        <w:tc>
          <w:tcPr>
            <w:tcW w:w="964" w:type="dxa"/>
          </w:tcPr>
          <w:p w14:paraId="6B59E786"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Low</w:t>
            </w:r>
          </w:p>
        </w:tc>
      </w:tr>
    </w:tbl>
    <w:p w14:paraId="7C772C5B" w14:textId="4B1FEFF1" w:rsidR="00E442AC" w:rsidRPr="00E62AA7" w:rsidRDefault="00E442A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Over the past few years, </w:t>
      </w:r>
      <w:r w:rsidR="007850AF">
        <w:rPr>
          <w:rFonts w:ascii="Times New Roman" w:hAnsi="Times New Roman" w:cs="Times New Roman"/>
          <w:sz w:val="24"/>
          <w:szCs w:val="24"/>
        </w:rPr>
        <w:t>a significant amount of research has been published on AI for fraud and anomaly detection, and the message from all of it</w:t>
      </w:r>
      <w:r w:rsidRPr="00E62AA7">
        <w:rPr>
          <w:rFonts w:ascii="Times New Roman" w:hAnsi="Times New Roman" w:cs="Times New Roman"/>
          <w:sz w:val="24"/>
          <w:szCs w:val="24"/>
        </w:rPr>
        <w:t xml:space="preserve"> is clearly applicable to Sage. In a systematic review of machine learning techniques applied to financial statement fraud detection, </w:t>
      </w:r>
      <w:proofErr w:type="spellStart"/>
      <w:r w:rsidRPr="00E62AA7">
        <w:rPr>
          <w:rFonts w:ascii="Times New Roman" w:hAnsi="Times New Roman" w:cs="Times New Roman"/>
          <w:sz w:val="24"/>
          <w:szCs w:val="24"/>
        </w:rPr>
        <w:t>Ashtiani</w:t>
      </w:r>
      <w:proofErr w:type="spellEnd"/>
      <w:r w:rsidRPr="00E62AA7">
        <w:rPr>
          <w:rFonts w:ascii="Times New Roman" w:hAnsi="Times New Roman" w:cs="Times New Roman"/>
          <w:sz w:val="24"/>
          <w:szCs w:val="24"/>
        </w:rPr>
        <w:t xml:space="preserve"> and </w:t>
      </w:r>
      <w:proofErr w:type="spellStart"/>
      <w:r w:rsidRPr="00E62AA7">
        <w:rPr>
          <w:rFonts w:ascii="Times New Roman" w:hAnsi="Times New Roman" w:cs="Times New Roman"/>
          <w:sz w:val="24"/>
          <w:szCs w:val="24"/>
        </w:rPr>
        <w:t>Raahemi</w:t>
      </w:r>
      <w:proofErr w:type="spellEnd"/>
      <w:r w:rsidRPr="00E62AA7">
        <w:rPr>
          <w:rFonts w:ascii="Times New Roman" w:hAnsi="Times New Roman" w:cs="Times New Roman"/>
          <w:sz w:val="24"/>
          <w:szCs w:val="24"/>
        </w:rPr>
        <w:t xml:space="preserve"> (2021) conclude that the performance of the models differs significantly depending on the quality of the data used </w:t>
      </w:r>
      <w:proofErr w:type="gramStart"/>
      <w:r w:rsidRPr="00E62AA7">
        <w:rPr>
          <w:rFonts w:ascii="Times New Roman" w:hAnsi="Times New Roman" w:cs="Times New Roman"/>
          <w:sz w:val="24"/>
          <w:szCs w:val="24"/>
        </w:rPr>
        <w:t>and on the technique</w:t>
      </w:r>
      <w:proofErr w:type="gramEnd"/>
      <w:r w:rsidRPr="00E62AA7">
        <w:rPr>
          <w:rFonts w:ascii="Times New Roman" w:hAnsi="Times New Roman" w:cs="Times New Roman"/>
          <w:sz w:val="24"/>
          <w:szCs w:val="24"/>
        </w:rPr>
        <w:t xml:space="preserve"> used and none of the models performs reliably for all types of fraud. One such technique is exemplified directly by </w:t>
      </w:r>
      <w:proofErr w:type="spellStart"/>
      <w:r w:rsidRPr="00E62AA7">
        <w:rPr>
          <w:rFonts w:ascii="Times New Roman" w:hAnsi="Times New Roman" w:cs="Times New Roman"/>
          <w:sz w:val="24"/>
          <w:szCs w:val="24"/>
        </w:rPr>
        <w:t>Alghofaili</w:t>
      </w:r>
      <w:proofErr w:type="spellEnd"/>
      <w:r w:rsidRPr="00E62AA7">
        <w:rPr>
          <w:rFonts w:ascii="Times New Roman" w:hAnsi="Times New Roman" w:cs="Times New Roman"/>
          <w:sz w:val="24"/>
          <w:szCs w:val="24"/>
        </w:rPr>
        <w:t xml:space="preserve">, </w:t>
      </w:r>
      <w:proofErr w:type="spellStart"/>
      <w:r w:rsidRPr="00E62AA7">
        <w:rPr>
          <w:rFonts w:ascii="Times New Roman" w:hAnsi="Times New Roman" w:cs="Times New Roman"/>
          <w:sz w:val="24"/>
          <w:szCs w:val="24"/>
        </w:rPr>
        <w:t>Albattah</w:t>
      </w:r>
      <w:proofErr w:type="spellEnd"/>
      <w:r w:rsidRPr="00E62AA7">
        <w:rPr>
          <w:rFonts w:ascii="Times New Roman" w:hAnsi="Times New Roman" w:cs="Times New Roman"/>
          <w:sz w:val="24"/>
          <w:szCs w:val="24"/>
        </w:rPr>
        <w:t xml:space="preserve"> and </w:t>
      </w:r>
      <w:proofErr w:type="spellStart"/>
      <w:r w:rsidRPr="00E62AA7">
        <w:rPr>
          <w:rFonts w:ascii="Times New Roman" w:hAnsi="Times New Roman" w:cs="Times New Roman"/>
          <w:sz w:val="24"/>
          <w:szCs w:val="24"/>
        </w:rPr>
        <w:t>Rassam</w:t>
      </w:r>
      <w:proofErr w:type="spellEnd"/>
      <w:r w:rsidRPr="00E62AA7">
        <w:rPr>
          <w:rFonts w:ascii="Times New Roman" w:hAnsi="Times New Roman" w:cs="Times New Roman"/>
          <w:sz w:val="24"/>
          <w:szCs w:val="24"/>
        </w:rPr>
        <w:t xml:space="preserve"> (2020), who show that a long short term memory deep learning model can achieve reasonable accuracy in fraud detection of transactions; however they also find that performance drops markedly when considering more typical smaller irregular transactions of a small business as opposed to a large corporate account. In the narrower context of credit card fraud, Hafez et al. (2025) arrive at the same conclusion and both Li, Liu and Zhou (2024) and Lu et al. (2023) show that deep learning and machine learning models can be valuable tools for anomaly detection in corporate financial reporting, if they are carefully trained and monitored, but not deployed and left to run on their own.</w:t>
      </w:r>
    </w:p>
    <w:p w14:paraId="02ED8B56" w14:textId="1E44E36E" w:rsidR="00E442AC" w:rsidRPr="00E62AA7" w:rsidRDefault="00E442A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The final one is significant for a product like Sage Copilot, which is used on a </w:t>
      </w:r>
      <w:r w:rsidR="00B808A9">
        <w:rPr>
          <w:rFonts w:ascii="Times New Roman" w:hAnsi="Times New Roman" w:cs="Times New Roman"/>
          <w:sz w:val="24"/>
          <w:szCs w:val="24"/>
        </w:rPr>
        <w:t>daily basis by the customer rather than</w:t>
      </w:r>
      <w:r w:rsidRPr="00E62AA7">
        <w:rPr>
          <w:rFonts w:ascii="Times New Roman" w:hAnsi="Times New Roman" w:cs="Times New Roman"/>
          <w:sz w:val="24"/>
          <w:szCs w:val="24"/>
        </w:rPr>
        <w:t xml:space="preserve"> periodically by a specialist audit team. In a mixed method study on the use of AI in financial audit, Naseer and Ahmed (2025) find that practitioners are less likely to trust financial audit fraud alerts generated by AI systems, despite the fact that the AI systems are objectively more accurate, because the justification behind the flag is less intuitive for a non-specialist user. In their respective systematic reviews, </w:t>
      </w:r>
      <w:proofErr w:type="spellStart"/>
      <w:r w:rsidRPr="00E62AA7">
        <w:rPr>
          <w:rFonts w:ascii="Times New Roman" w:hAnsi="Times New Roman" w:cs="Times New Roman"/>
          <w:sz w:val="24"/>
          <w:szCs w:val="24"/>
        </w:rPr>
        <w:t>Anggi</w:t>
      </w:r>
      <w:proofErr w:type="spellEnd"/>
      <w:r w:rsidRPr="00E62AA7">
        <w:rPr>
          <w:rFonts w:ascii="Times New Roman" w:hAnsi="Times New Roman" w:cs="Times New Roman"/>
          <w:sz w:val="24"/>
          <w:szCs w:val="24"/>
        </w:rPr>
        <w:t xml:space="preserve"> Putri and </w:t>
      </w:r>
      <w:proofErr w:type="spellStart"/>
      <w:r w:rsidRPr="00E62AA7">
        <w:rPr>
          <w:rFonts w:ascii="Times New Roman" w:hAnsi="Times New Roman" w:cs="Times New Roman"/>
          <w:sz w:val="24"/>
          <w:szCs w:val="24"/>
        </w:rPr>
        <w:t>Nuswantara</w:t>
      </w:r>
      <w:proofErr w:type="spellEnd"/>
      <w:r w:rsidRPr="00E62AA7">
        <w:rPr>
          <w:rFonts w:ascii="Times New Roman" w:hAnsi="Times New Roman" w:cs="Times New Roman"/>
          <w:sz w:val="24"/>
          <w:szCs w:val="24"/>
        </w:rPr>
        <w:t xml:space="preserve"> (2025) and </w:t>
      </w:r>
      <w:proofErr w:type="spellStart"/>
      <w:r w:rsidRPr="00E62AA7">
        <w:rPr>
          <w:rFonts w:ascii="Times New Roman" w:hAnsi="Times New Roman" w:cs="Times New Roman"/>
          <w:sz w:val="24"/>
          <w:szCs w:val="24"/>
        </w:rPr>
        <w:t>Yuhertiana</w:t>
      </w:r>
      <w:proofErr w:type="spellEnd"/>
      <w:r w:rsidRPr="00E62AA7">
        <w:rPr>
          <w:rFonts w:ascii="Times New Roman" w:hAnsi="Times New Roman" w:cs="Times New Roman"/>
          <w:sz w:val="24"/>
          <w:szCs w:val="24"/>
        </w:rPr>
        <w:t xml:space="preserve"> and </w:t>
      </w:r>
      <w:proofErr w:type="spellStart"/>
      <w:r w:rsidRPr="00E62AA7">
        <w:rPr>
          <w:rFonts w:ascii="Times New Roman" w:hAnsi="Times New Roman" w:cs="Times New Roman"/>
          <w:sz w:val="24"/>
          <w:szCs w:val="24"/>
        </w:rPr>
        <w:t>Hadi</w:t>
      </w:r>
      <w:proofErr w:type="spellEnd"/>
      <w:r w:rsidRPr="00E62AA7">
        <w:rPr>
          <w:rFonts w:ascii="Times New Roman" w:hAnsi="Times New Roman" w:cs="Times New Roman"/>
          <w:sz w:val="24"/>
          <w:szCs w:val="24"/>
        </w:rPr>
        <w:t xml:space="preserve"> Amin (2024) arrive at basically the same conclusion – that explainability, rather than accuracy, is the stricter limitation on the broader use of AI in financial fraud detection. The challenge of limited data is again accepted by peer reviewed research on the subject: Mallesha and Hymavathi (2024) note that AI systems based on data from larger companies often struggle with data from smaller </w:t>
      </w:r>
      <w:r w:rsidRPr="00E62AA7">
        <w:rPr>
          <w:rFonts w:ascii="Times New Roman" w:hAnsi="Times New Roman" w:cs="Times New Roman"/>
          <w:sz w:val="24"/>
          <w:szCs w:val="24"/>
        </w:rPr>
        <w:lastRenderedPageBreak/>
        <w:t>companies, and that more irregular transactions, such as those typical of very small companies, are less predictable, which is exactly the type of customers Sage serves.</w:t>
      </w:r>
    </w:p>
    <w:p w14:paraId="2E6CFE01" w14:textId="39D8FA51" w:rsidR="00E442AC" w:rsidRPr="00E62AA7" w:rsidRDefault="00E442A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This evidence, along with the findings of Georgiou et al. (2024), who report on the parallel governance issues arising with blockchain based accounting and auditing, and Eugenia and Cătălina (2024), who report on the practical integration of AI into enterprise resource planning on a broader scale, suggests one clear takeaway. The exposure here isn't necessarily a big failure, but rather a combination of smaller failures, easier to go unnoticed across a huge number of customers, which add up to a significant failure when not noticed.</w:t>
      </w:r>
    </w:p>
    <w:p w14:paraId="11C24539" w14:textId="77777777" w:rsidR="004450F2" w:rsidRPr="007850AF" w:rsidRDefault="00A900DC" w:rsidP="007850AF">
      <w:pPr>
        <w:pStyle w:val="Heading2"/>
        <w:spacing w:line="360" w:lineRule="auto"/>
        <w:jc w:val="both"/>
        <w:rPr>
          <w:rFonts w:ascii="Times New Roman" w:hAnsi="Times New Roman" w:cs="Times New Roman"/>
          <w:sz w:val="24"/>
          <w:szCs w:val="24"/>
        </w:rPr>
      </w:pPr>
      <w:bookmarkStart w:id="11" w:name="_Toc235795700"/>
      <w:r w:rsidRPr="007850AF">
        <w:rPr>
          <w:rFonts w:ascii="Times New Roman" w:hAnsi="Times New Roman" w:cs="Times New Roman"/>
          <w:sz w:val="24"/>
          <w:szCs w:val="24"/>
        </w:rPr>
        <w:t>3.4 Can Customers Trust the Machine?</w:t>
      </w:r>
      <w:bookmarkEnd w:id="11"/>
    </w:p>
    <w:p w14:paraId="5B6E15EB" w14:textId="4A690537" w:rsidR="00E442AC" w:rsidRPr="00E62AA7" w:rsidRDefault="00E442A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It is not the same thing to say that customers will actually trust Copilot's output </w:t>
      </w:r>
      <w:r w:rsidR="007850AF">
        <w:rPr>
          <w:rFonts w:ascii="Times New Roman" w:hAnsi="Times New Roman" w:cs="Times New Roman"/>
          <w:sz w:val="24"/>
          <w:szCs w:val="24"/>
        </w:rPr>
        <w:t>as to say that the output is</w:t>
      </w:r>
      <w:r w:rsidRPr="00E62AA7">
        <w:rPr>
          <w:rFonts w:ascii="Times New Roman" w:hAnsi="Times New Roman" w:cs="Times New Roman"/>
          <w:sz w:val="24"/>
          <w:szCs w:val="24"/>
        </w:rPr>
        <w:t xml:space="preserve"> technically accurate, and the evidence cited above indicates that trust and accuracy do not necessarily go hand in hand. Trust in an AI-generated financial alert </w:t>
      </w:r>
      <w:r w:rsidR="007850AF">
        <w:rPr>
          <w:rFonts w:ascii="Times New Roman" w:hAnsi="Times New Roman" w:cs="Times New Roman"/>
          <w:sz w:val="24"/>
          <w:szCs w:val="24"/>
        </w:rPr>
        <w:t xml:space="preserve">depends largely on the user's ability to understand the reasoning behind it, not just </w:t>
      </w:r>
      <w:r w:rsidRPr="00E62AA7">
        <w:rPr>
          <w:rFonts w:ascii="Times New Roman" w:hAnsi="Times New Roman" w:cs="Times New Roman"/>
          <w:sz w:val="24"/>
          <w:szCs w:val="24"/>
        </w:rPr>
        <w:t xml:space="preserve">its accuracy. This is a real limitation for Sage's small business </w:t>
      </w:r>
      <w:r w:rsidR="00B808A9">
        <w:rPr>
          <w:rFonts w:ascii="Times New Roman" w:hAnsi="Times New Roman" w:cs="Times New Roman"/>
          <w:sz w:val="24"/>
          <w:szCs w:val="24"/>
        </w:rPr>
        <w:t>owners and bookkeepers'</w:t>
      </w:r>
      <w:r w:rsidRPr="00E62AA7">
        <w:rPr>
          <w:rFonts w:ascii="Times New Roman" w:hAnsi="Times New Roman" w:cs="Times New Roman"/>
          <w:sz w:val="24"/>
          <w:szCs w:val="24"/>
        </w:rPr>
        <w:t xml:space="preserve"> customers, who often don't have any expertise in AI training.</w:t>
      </w:r>
    </w:p>
    <w:p w14:paraId="294BB2D0" w14:textId="77777777" w:rsidR="00E442AC" w:rsidRPr="00E62AA7" w:rsidRDefault="00E442A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In a broader matrix of technology adoption in SMEs, </w:t>
      </w:r>
      <w:proofErr w:type="spellStart"/>
      <w:r w:rsidRPr="00E62AA7">
        <w:rPr>
          <w:rFonts w:ascii="Times New Roman" w:hAnsi="Times New Roman" w:cs="Times New Roman"/>
          <w:sz w:val="24"/>
          <w:szCs w:val="24"/>
        </w:rPr>
        <w:t>organisational</w:t>
      </w:r>
      <w:proofErr w:type="spellEnd"/>
      <w:r w:rsidRPr="00E62AA7">
        <w:rPr>
          <w:rFonts w:ascii="Times New Roman" w:hAnsi="Times New Roman" w:cs="Times New Roman"/>
          <w:sz w:val="24"/>
          <w:szCs w:val="24"/>
        </w:rPr>
        <w:t xml:space="preserve"> and individual readiness influence the trust in and the effective use of a new tool more than the sophistication of the tool itself, according to Shahadat et al. (2023). With Sage, this means that just making Copilot technically more capable won't, by itself, solve the trust issue. Keeping in line with Kulik's (2026) view, Merlo, </w:t>
      </w:r>
      <w:proofErr w:type="spellStart"/>
      <w:r w:rsidRPr="00E62AA7">
        <w:rPr>
          <w:rFonts w:ascii="Times New Roman" w:hAnsi="Times New Roman" w:cs="Times New Roman"/>
          <w:sz w:val="24"/>
          <w:szCs w:val="24"/>
        </w:rPr>
        <w:t>Fard</w:t>
      </w:r>
      <w:proofErr w:type="spellEnd"/>
      <w:r w:rsidRPr="00E62AA7">
        <w:rPr>
          <w:rFonts w:ascii="Times New Roman" w:hAnsi="Times New Roman" w:cs="Times New Roman"/>
          <w:sz w:val="24"/>
          <w:szCs w:val="24"/>
        </w:rPr>
        <w:t xml:space="preserve"> and </w:t>
      </w:r>
      <w:proofErr w:type="spellStart"/>
      <w:r w:rsidRPr="00E62AA7">
        <w:rPr>
          <w:rFonts w:ascii="Times New Roman" w:hAnsi="Times New Roman" w:cs="Times New Roman"/>
          <w:sz w:val="24"/>
          <w:szCs w:val="24"/>
        </w:rPr>
        <w:t>Hawamdeh</w:t>
      </w:r>
      <w:proofErr w:type="spellEnd"/>
      <w:r w:rsidRPr="00E62AA7">
        <w:rPr>
          <w:rFonts w:ascii="Times New Roman" w:hAnsi="Times New Roman" w:cs="Times New Roman"/>
          <w:sz w:val="24"/>
          <w:szCs w:val="24"/>
        </w:rPr>
        <w:t xml:space="preserve"> (2025) confirm that one of the biggest drivers of ongoing use of cloud-based tools is the level of trust in the software provider itself, achieved over time via regular and reliable service, and that may be more about familiarity than any one feature announcement.</w:t>
      </w:r>
    </w:p>
    <w:p w14:paraId="58179241" w14:textId="69CF6AFD" w:rsidR="00E442AC" w:rsidRPr="00E62AA7" w:rsidRDefault="00E442A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Practical: In fact, Sage can't assume that users will automatically trust Copilot based on their general experience of Sage built up over 40 years of accounting software provision. Every new </w:t>
      </w:r>
      <w:r w:rsidR="00B808A9">
        <w:rPr>
          <w:rFonts w:ascii="Times New Roman" w:hAnsi="Times New Roman" w:cs="Times New Roman"/>
          <w:sz w:val="24"/>
          <w:szCs w:val="24"/>
        </w:rPr>
        <w:t xml:space="preserve">AI capability needs to prove itself, especially with non-accounting customers, who have fewer ways to verify the accuracy of a flag or recommendation </w:t>
      </w:r>
      <w:r w:rsidRPr="00E62AA7">
        <w:rPr>
          <w:rFonts w:ascii="Times New Roman" w:hAnsi="Times New Roman" w:cs="Times New Roman"/>
          <w:sz w:val="24"/>
          <w:szCs w:val="24"/>
        </w:rPr>
        <w:t>the AI produces on its own.</w:t>
      </w:r>
    </w:p>
    <w:p w14:paraId="7271DAF0" w14:textId="3C9C911D" w:rsidR="00E442AC" w:rsidRPr="00E62AA7" w:rsidRDefault="00E442A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lastRenderedPageBreak/>
        <w:t xml:space="preserve">There is yet an added twist to consider, which it would be good to spell out. It's the customer who is too trusting and </w:t>
      </w:r>
      <w:r w:rsidR="00B808A9">
        <w:rPr>
          <w:rFonts w:ascii="Times New Roman" w:hAnsi="Times New Roman" w:cs="Times New Roman"/>
          <w:sz w:val="24"/>
          <w:szCs w:val="24"/>
        </w:rPr>
        <w:t xml:space="preserve">accepts what Copilot produces without the same questioning they once might have put to a human bookkeeper; that's actually a bigger risk to Sage in the long run, perhaps, than the customer who is too </w:t>
      </w:r>
      <w:proofErr w:type="spellStart"/>
      <w:r w:rsidR="00B808A9">
        <w:rPr>
          <w:rFonts w:ascii="Times New Roman" w:hAnsi="Times New Roman" w:cs="Times New Roman"/>
          <w:sz w:val="24"/>
          <w:szCs w:val="24"/>
        </w:rPr>
        <w:t>sceptical</w:t>
      </w:r>
      <w:proofErr w:type="spellEnd"/>
      <w:r w:rsidRPr="00E62AA7">
        <w:rPr>
          <w:rFonts w:ascii="Times New Roman" w:hAnsi="Times New Roman" w:cs="Times New Roman"/>
          <w:sz w:val="24"/>
          <w:szCs w:val="24"/>
        </w:rPr>
        <w:t>. Under trust merely limits adoption and revenue growth. Over trust, however, could mean that an incorrect AI-generated fraud alert is missed or perhaps the AI fails to generate the alert at all, until the time comes when Sage could be seriously harmed (reputationally as well as potentially through legal liability) due to the loss of that custom. This balance should be a conscious design objective for Copilot, not something that it will just happen.</w:t>
      </w:r>
    </w:p>
    <w:p w14:paraId="33AF8C94" w14:textId="77777777" w:rsidR="004450F2" w:rsidRPr="007850AF" w:rsidRDefault="00A900DC" w:rsidP="007850AF">
      <w:pPr>
        <w:pStyle w:val="Heading2"/>
        <w:spacing w:line="360" w:lineRule="auto"/>
        <w:jc w:val="both"/>
        <w:rPr>
          <w:rFonts w:ascii="Times New Roman" w:hAnsi="Times New Roman" w:cs="Times New Roman"/>
          <w:sz w:val="24"/>
          <w:szCs w:val="24"/>
        </w:rPr>
      </w:pPr>
      <w:bookmarkStart w:id="12" w:name="_Toc235795701"/>
      <w:r w:rsidRPr="007850AF">
        <w:rPr>
          <w:rFonts w:ascii="Times New Roman" w:hAnsi="Times New Roman" w:cs="Times New Roman"/>
          <w:sz w:val="24"/>
          <w:szCs w:val="24"/>
        </w:rPr>
        <w:t>3.5 Weighing the Frameworks</w:t>
      </w:r>
      <w:bookmarkEnd w:id="12"/>
    </w:p>
    <w:p w14:paraId="7B6DC4A7" w14:textId="23559B49" w:rsidR="00E442AC" w:rsidRPr="00E62AA7" w:rsidRDefault="00E442A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However, both frameworks employed in this report need a more critical examination than has been undertaken to date before recommendations are made. Isabelle et al. (2020) make the point that, although the Five Forces framework remains a broad</w:t>
      </w:r>
      <w:r w:rsidR="007850AF">
        <w:rPr>
          <w:rFonts w:ascii="Times New Roman" w:hAnsi="Times New Roman" w:cs="Times New Roman"/>
          <w:sz w:val="24"/>
          <w:szCs w:val="24"/>
        </w:rPr>
        <w:t>,</w:t>
      </w:r>
      <w:r w:rsidRPr="00E62AA7">
        <w:rPr>
          <w:rFonts w:ascii="Times New Roman" w:hAnsi="Times New Roman" w:cs="Times New Roman"/>
          <w:sz w:val="24"/>
          <w:szCs w:val="24"/>
        </w:rPr>
        <w:t xml:space="preserve"> well-used tool, it was not intended to address the pace of regulatory and technological change that has now occurred in the software industry, which is precisely what this report has sought to cover in its two other sections: </w:t>
      </w:r>
      <w:proofErr w:type="spellStart"/>
      <w:r w:rsidRPr="00E62AA7">
        <w:rPr>
          <w:rFonts w:ascii="Times New Roman" w:hAnsi="Times New Roman" w:cs="Times New Roman"/>
          <w:sz w:val="24"/>
          <w:szCs w:val="24"/>
        </w:rPr>
        <w:t>digitalisation</w:t>
      </w:r>
      <w:proofErr w:type="spellEnd"/>
      <w:r w:rsidRPr="00E62AA7">
        <w:rPr>
          <w:rFonts w:ascii="Times New Roman" w:hAnsi="Times New Roman" w:cs="Times New Roman"/>
          <w:sz w:val="24"/>
          <w:szCs w:val="24"/>
        </w:rPr>
        <w:t xml:space="preserve"> and exposure to regulation. Grundy (2006) also comments generally that an industry's structure is relatively stable in relatively stable industries, but in fast-moving technology industries</w:t>
      </w:r>
      <w:r w:rsidR="00B808A9">
        <w:rPr>
          <w:rFonts w:ascii="Times New Roman" w:hAnsi="Times New Roman" w:cs="Times New Roman"/>
          <w:sz w:val="24"/>
          <w:szCs w:val="24"/>
        </w:rPr>
        <w:t>,</w:t>
      </w:r>
      <w:r w:rsidRPr="00E62AA7">
        <w:rPr>
          <w:rFonts w:ascii="Times New Roman" w:hAnsi="Times New Roman" w:cs="Times New Roman"/>
          <w:sz w:val="24"/>
          <w:szCs w:val="24"/>
        </w:rPr>
        <w:t xml:space="preserve"> it can be one of the most dynamic things of all.</w:t>
      </w:r>
    </w:p>
    <w:p w14:paraId="3D1E3C5F" w14:textId="77777777" w:rsidR="00E442AC" w:rsidRPr="00E62AA7" w:rsidRDefault="00E442A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The report has used both frameworks in sections 3.1 and 3.2, and now reflects on the limitations of each framework prior to implementation. PESTLE is admittedly a little less formal than Five Forces, and it does not make direct environment assumptions like Five Forces does, but the framework does not apportion weights between the six factors—it is up to the analyst to do so, which is not well guided. In attempting to fill that void, this report has sought to explicitly consider the political and legal volatility in the United States as the most important factor, rather than treating all six factors as equally influential, a judgement call made by a different analyst on the same evidence using the same framework, but that differs from Yüksel's and, which is also significant, illustrates his underlying point about the framework's lack of built in weighting.</w:t>
      </w:r>
    </w:p>
    <w:p w14:paraId="729B41BC" w14:textId="4BFECC2C" w:rsidR="00E442AC" w:rsidRPr="00E62AA7" w:rsidRDefault="00E442A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lastRenderedPageBreak/>
        <w:t xml:space="preserve">Neither was created specifically with AI in mind, and both needed to be adapted: the need for a data and model dependence dimension was added to Five Forces, while the </w:t>
      </w:r>
      <w:proofErr w:type="gramStart"/>
      <w:r w:rsidRPr="00E62AA7">
        <w:rPr>
          <w:rFonts w:ascii="Times New Roman" w:hAnsi="Times New Roman" w:cs="Times New Roman"/>
          <w:sz w:val="24"/>
          <w:szCs w:val="24"/>
        </w:rPr>
        <w:t>volatility based</w:t>
      </w:r>
      <w:proofErr w:type="gramEnd"/>
      <w:r w:rsidRPr="00E62AA7">
        <w:rPr>
          <w:rFonts w:ascii="Times New Roman" w:hAnsi="Times New Roman" w:cs="Times New Roman"/>
          <w:sz w:val="24"/>
          <w:szCs w:val="24"/>
        </w:rPr>
        <w:t xml:space="preserve"> scoring used in Table 1 was added to PESTLE to make it a more meaningful statement about Sage's circumstances and less so about the broader accounting software sector.</w:t>
      </w:r>
    </w:p>
    <w:p w14:paraId="6B730B44" w14:textId="77777777" w:rsidR="004450F2" w:rsidRPr="007850AF" w:rsidRDefault="00A900DC" w:rsidP="007850AF">
      <w:pPr>
        <w:pStyle w:val="Heading1"/>
        <w:spacing w:line="360" w:lineRule="auto"/>
        <w:jc w:val="both"/>
        <w:rPr>
          <w:rFonts w:ascii="Times New Roman" w:hAnsi="Times New Roman" w:cs="Times New Roman"/>
          <w:color w:val="auto"/>
          <w:sz w:val="24"/>
          <w:szCs w:val="24"/>
        </w:rPr>
      </w:pPr>
      <w:bookmarkStart w:id="13" w:name="_Toc235795702"/>
      <w:r w:rsidRPr="007850AF">
        <w:rPr>
          <w:rFonts w:ascii="Times New Roman" w:hAnsi="Times New Roman" w:cs="Times New Roman"/>
          <w:color w:val="auto"/>
          <w:sz w:val="24"/>
          <w:szCs w:val="24"/>
        </w:rPr>
        <w:t>4. Implementation Plan</w:t>
      </w:r>
      <w:bookmarkEnd w:id="13"/>
    </w:p>
    <w:p w14:paraId="35240B12" w14:textId="11D07418" w:rsidR="005C486D" w:rsidRPr="00E62AA7" w:rsidRDefault="005C486D"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The recommendations below are broken down into </w:t>
      </w:r>
      <w:proofErr w:type="gramStart"/>
      <w:r w:rsidRPr="00E62AA7">
        <w:rPr>
          <w:rFonts w:ascii="Times New Roman" w:hAnsi="Times New Roman" w:cs="Times New Roman"/>
          <w:sz w:val="24"/>
          <w:szCs w:val="24"/>
        </w:rPr>
        <w:t>three time</w:t>
      </w:r>
      <w:proofErr w:type="gramEnd"/>
      <w:r w:rsidRPr="00E62AA7">
        <w:rPr>
          <w:rFonts w:ascii="Times New Roman" w:hAnsi="Times New Roman" w:cs="Times New Roman"/>
          <w:sz w:val="24"/>
          <w:szCs w:val="24"/>
        </w:rPr>
        <w:t xml:space="preserve"> horizons, from the immediate governance work through a longer term positioning exercise. They are all expressed as an action, cost indicator, cost basis and named owner. The contingency for each phase is that if a more serious issue arises than originally anticipated, escalation is immediate to the next phase's owner, not waiting for the next phase on the original list.</w:t>
      </w:r>
    </w:p>
    <w:p w14:paraId="62B085BD" w14:textId="77777777" w:rsidR="004450F2" w:rsidRPr="00E62AA7" w:rsidRDefault="00A900DC" w:rsidP="007850AF">
      <w:pPr>
        <w:spacing w:before="200" w:after="120" w:line="360" w:lineRule="auto"/>
        <w:jc w:val="both"/>
        <w:rPr>
          <w:rFonts w:ascii="Times New Roman" w:hAnsi="Times New Roman" w:cs="Times New Roman"/>
          <w:sz w:val="24"/>
          <w:szCs w:val="24"/>
        </w:rPr>
      </w:pPr>
      <w:r w:rsidRPr="00E62AA7">
        <w:rPr>
          <w:rFonts w:ascii="Times New Roman" w:hAnsi="Times New Roman" w:cs="Times New Roman"/>
          <w:b/>
          <w:sz w:val="24"/>
          <w:szCs w:val="24"/>
        </w:rPr>
        <w:t>Immediate priorities, zero to six months:</w:t>
      </w:r>
    </w:p>
    <w:p w14:paraId="4C518069" w14:textId="76AA6FC0" w:rsidR="005C486D" w:rsidRPr="00E62AA7" w:rsidRDefault="005C486D" w:rsidP="007850AF">
      <w:pPr>
        <w:pStyle w:val="ListBullet"/>
        <w:spacing w:after="160"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Commission an in-house audit of the accuracy of Copilot's fraud and anomaly detection models on very small business customers, in view of evidence that models trained on very large organizations can fail on anomalous small business transaction patterns (Mallesha and </w:t>
      </w:r>
      <w:proofErr w:type="spellStart"/>
      <w:r w:rsidRPr="00E62AA7">
        <w:rPr>
          <w:rFonts w:ascii="Times New Roman" w:hAnsi="Times New Roman" w:cs="Times New Roman"/>
          <w:sz w:val="24"/>
          <w:szCs w:val="24"/>
        </w:rPr>
        <w:t>Hymavathi</w:t>
      </w:r>
      <w:proofErr w:type="spellEnd"/>
      <w:r w:rsidRPr="00E62AA7">
        <w:rPr>
          <w:rFonts w:ascii="Times New Roman" w:hAnsi="Times New Roman" w:cs="Times New Roman"/>
          <w:sz w:val="24"/>
          <w:szCs w:val="24"/>
        </w:rPr>
        <w:t xml:space="preserve">, 2024; </w:t>
      </w:r>
      <w:proofErr w:type="spellStart"/>
      <w:r w:rsidRPr="00E62AA7">
        <w:rPr>
          <w:rFonts w:ascii="Times New Roman" w:hAnsi="Times New Roman" w:cs="Times New Roman"/>
          <w:sz w:val="24"/>
          <w:szCs w:val="24"/>
        </w:rPr>
        <w:t>Alghofaili</w:t>
      </w:r>
      <w:proofErr w:type="spellEnd"/>
      <w:r w:rsidRPr="00E62AA7">
        <w:rPr>
          <w:rFonts w:ascii="Times New Roman" w:hAnsi="Times New Roman" w:cs="Times New Roman"/>
          <w:sz w:val="24"/>
          <w:szCs w:val="24"/>
        </w:rPr>
        <w:t xml:space="preserve">, </w:t>
      </w:r>
      <w:proofErr w:type="spellStart"/>
      <w:r w:rsidRPr="00E62AA7">
        <w:rPr>
          <w:rFonts w:ascii="Times New Roman" w:hAnsi="Times New Roman" w:cs="Times New Roman"/>
          <w:sz w:val="24"/>
          <w:szCs w:val="24"/>
        </w:rPr>
        <w:t>Albattah</w:t>
      </w:r>
      <w:proofErr w:type="spellEnd"/>
      <w:r w:rsidRPr="00E62AA7">
        <w:rPr>
          <w:rFonts w:ascii="Times New Roman" w:hAnsi="Times New Roman" w:cs="Times New Roman"/>
          <w:sz w:val="24"/>
          <w:szCs w:val="24"/>
        </w:rPr>
        <w:t xml:space="preserve"> and </w:t>
      </w:r>
      <w:proofErr w:type="spellStart"/>
      <w:r w:rsidRPr="00E62AA7">
        <w:rPr>
          <w:rFonts w:ascii="Times New Roman" w:hAnsi="Times New Roman" w:cs="Times New Roman"/>
          <w:sz w:val="24"/>
          <w:szCs w:val="24"/>
        </w:rPr>
        <w:t>Rassam</w:t>
      </w:r>
      <w:proofErr w:type="spellEnd"/>
      <w:r w:rsidRPr="00E62AA7">
        <w:rPr>
          <w:rFonts w:ascii="Times New Roman" w:hAnsi="Times New Roman" w:cs="Times New Roman"/>
          <w:sz w:val="24"/>
          <w:szCs w:val="24"/>
        </w:rPr>
        <w:t>, 2020). Indicative cost: 60,000 to 90,000 pounds, external specialists engaged at around 800 to 1200 pounds per day for 60 to 75 days. Owner: Chief Data Officer.</w:t>
      </w:r>
    </w:p>
    <w:p w14:paraId="79D6A30C" w14:textId="550D2C1B" w:rsidR="005C486D" w:rsidRPr="00E62AA7" w:rsidRDefault="005C486D" w:rsidP="007850AF">
      <w:pPr>
        <w:pStyle w:val="ListBullet"/>
        <w:spacing w:after="160"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Create a joint UK and US regulatory monitoring mechanism for state level AI legislation, especially since Colorado has progressed so rapidly (Siegal and Garcia, 2024; </w:t>
      </w:r>
      <w:proofErr w:type="spellStart"/>
      <w:r w:rsidRPr="00E62AA7">
        <w:rPr>
          <w:rFonts w:ascii="Times New Roman" w:hAnsi="Times New Roman" w:cs="Times New Roman"/>
          <w:sz w:val="24"/>
          <w:szCs w:val="24"/>
        </w:rPr>
        <w:t>LawFuel</w:t>
      </w:r>
      <w:proofErr w:type="spellEnd"/>
      <w:r w:rsidRPr="00E62AA7">
        <w:rPr>
          <w:rFonts w:ascii="Times New Roman" w:hAnsi="Times New Roman" w:cs="Times New Roman"/>
          <w:sz w:val="24"/>
          <w:szCs w:val="24"/>
        </w:rPr>
        <w:t>, 2026). Indicative cost: 40,000 to 60,000 pounds per annum, which equates to one part time legal analyst position. Owner: General Counsel.</w:t>
      </w:r>
    </w:p>
    <w:p w14:paraId="17574F65" w14:textId="77777777" w:rsidR="004450F2" w:rsidRPr="00E62AA7" w:rsidRDefault="00A900DC" w:rsidP="007850AF">
      <w:pPr>
        <w:spacing w:before="200" w:after="120" w:line="360" w:lineRule="auto"/>
        <w:jc w:val="both"/>
        <w:rPr>
          <w:rFonts w:ascii="Times New Roman" w:hAnsi="Times New Roman" w:cs="Times New Roman"/>
          <w:sz w:val="24"/>
          <w:szCs w:val="24"/>
        </w:rPr>
      </w:pPr>
      <w:r w:rsidRPr="00E62AA7">
        <w:rPr>
          <w:rFonts w:ascii="Times New Roman" w:hAnsi="Times New Roman" w:cs="Times New Roman"/>
          <w:b/>
          <w:sz w:val="24"/>
          <w:szCs w:val="24"/>
        </w:rPr>
        <w:t>Building assurance, six to eighteen months:</w:t>
      </w:r>
    </w:p>
    <w:p w14:paraId="47202EB8" w14:textId="75ABC9B6" w:rsidR="005C486D" w:rsidRPr="00E62AA7" w:rsidRDefault="005C486D" w:rsidP="007850AF">
      <w:pPr>
        <w:pStyle w:val="ListBullet"/>
        <w:spacing w:after="160"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Add a plain-language explainability layer to the fraud and anomaly alerts in Copilot, as finding the meaning behind an alarm is more important than whether it is accurate or not (Naseer and Ahmed, 2025; </w:t>
      </w:r>
      <w:proofErr w:type="spellStart"/>
      <w:r w:rsidRPr="00E62AA7">
        <w:rPr>
          <w:rFonts w:ascii="Times New Roman" w:hAnsi="Times New Roman" w:cs="Times New Roman"/>
          <w:sz w:val="24"/>
          <w:szCs w:val="24"/>
        </w:rPr>
        <w:t>Anggi</w:t>
      </w:r>
      <w:proofErr w:type="spellEnd"/>
      <w:r w:rsidRPr="00E62AA7">
        <w:rPr>
          <w:rFonts w:ascii="Times New Roman" w:hAnsi="Times New Roman" w:cs="Times New Roman"/>
          <w:sz w:val="24"/>
          <w:szCs w:val="24"/>
        </w:rPr>
        <w:t xml:space="preserve"> Putri and </w:t>
      </w:r>
      <w:proofErr w:type="spellStart"/>
      <w:r w:rsidRPr="00E62AA7">
        <w:rPr>
          <w:rFonts w:ascii="Times New Roman" w:hAnsi="Times New Roman" w:cs="Times New Roman"/>
          <w:sz w:val="24"/>
          <w:szCs w:val="24"/>
        </w:rPr>
        <w:t>Nuswantara</w:t>
      </w:r>
      <w:proofErr w:type="spellEnd"/>
      <w:r w:rsidRPr="00E62AA7">
        <w:rPr>
          <w:rFonts w:ascii="Times New Roman" w:hAnsi="Times New Roman" w:cs="Times New Roman"/>
          <w:sz w:val="24"/>
          <w:szCs w:val="24"/>
        </w:rPr>
        <w:t>, 2025). Indicative cost: comparable product engineering at this scale typically ranges from £120k to £180k. Owner: Head of Product, Sage Copilot.</w:t>
      </w:r>
    </w:p>
    <w:p w14:paraId="54BF22C0" w14:textId="4D83382C" w:rsidR="005C486D" w:rsidRPr="00E62AA7" w:rsidRDefault="005C486D" w:rsidP="007850AF">
      <w:pPr>
        <w:pStyle w:val="ListBullet"/>
        <w:spacing w:after="160" w:line="360" w:lineRule="auto"/>
        <w:jc w:val="both"/>
        <w:rPr>
          <w:rFonts w:ascii="Times New Roman" w:hAnsi="Times New Roman" w:cs="Times New Roman"/>
          <w:sz w:val="24"/>
          <w:szCs w:val="24"/>
        </w:rPr>
      </w:pPr>
      <w:r w:rsidRPr="00E62AA7">
        <w:rPr>
          <w:rFonts w:ascii="Times New Roman" w:hAnsi="Times New Roman" w:cs="Times New Roman"/>
          <w:sz w:val="24"/>
          <w:szCs w:val="24"/>
        </w:rPr>
        <w:lastRenderedPageBreak/>
        <w:t>Establish a formal data governance model for Copilot's data models, based on the integration of AI in enterprise resource planning (ERP) systems (</w:t>
      </w:r>
      <w:proofErr w:type="spellStart"/>
      <w:r w:rsidRPr="00E62AA7">
        <w:rPr>
          <w:rFonts w:ascii="Times New Roman" w:hAnsi="Times New Roman" w:cs="Times New Roman"/>
          <w:sz w:val="24"/>
          <w:szCs w:val="24"/>
        </w:rPr>
        <w:t>Cātălina</w:t>
      </w:r>
      <w:proofErr w:type="spellEnd"/>
      <w:r w:rsidRPr="00E62AA7">
        <w:rPr>
          <w:rFonts w:ascii="Times New Roman" w:hAnsi="Times New Roman" w:cs="Times New Roman"/>
          <w:sz w:val="24"/>
          <w:szCs w:val="24"/>
        </w:rPr>
        <w:t xml:space="preserve"> and Eugenia, 2024), and introduce an escalation process unique to the United States due to the speed of the changes there. The indicative price is between £100,000 and £150,000. Owners: Chief Data Officer.</w:t>
      </w:r>
    </w:p>
    <w:p w14:paraId="320D7EAA" w14:textId="77777777" w:rsidR="004450F2" w:rsidRPr="00E62AA7" w:rsidRDefault="00A900DC" w:rsidP="007850AF">
      <w:pPr>
        <w:spacing w:before="200" w:after="120" w:line="360" w:lineRule="auto"/>
        <w:jc w:val="both"/>
        <w:rPr>
          <w:rFonts w:ascii="Times New Roman" w:hAnsi="Times New Roman" w:cs="Times New Roman"/>
          <w:sz w:val="24"/>
          <w:szCs w:val="24"/>
        </w:rPr>
      </w:pPr>
      <w:r w:rsidRPr="00E62AA7">
        <w:rPr>
          <w:rFonts w:ascii="Times New Roman" w:hAnsi="Times New Roman" w:cs="Times New Roman"/>
          <w:b/>
          <w:sz w:val="24"/>
          <w:szCs w:val="24"/>
        </w:rPr>
        <w:t xml:space="preserve">Sustained advantage, eighteen to </w:t>
      </w:r>
      <w:proofErr w:type="gramStart"/>
      <w:r w:rsidRPr="00E62AA7">
        <w:rPr>
          <w:rFonts w:ascii="Times New Roman" w:hAnsi="Times New Roman" w:cs="Times New Roman"/>
          <w:b/>
          <w:sz w:val="24"/>
          <w:szCs w:val="24"/>
        </w:rPr>
        <w:t>thirty six</w:t>
      </w:r>
      <w:proofErr w:type="gramEnd"/>
      <w:r w:rsidRPr="00E62AA7">
        <w:rPr>
          <w:rFonts w:ascii="Times New Roman" w:hAnsi="Times New Roman" w:cs="Times New Roman"/>
          <w:b/>
          <w:sz w:val="24"/>
          <w:szCs w:val="24"/>
        </w:rPr>
        <w:t xml:space="preserve"> months:</w:t>
      </w:r>
    </w:p>
    <w:p w14:paraId="398F2296" w14:textId="462A6CB3" w:rsidR="00311F2F" w:rsidRPr="00E62AA7" w:rsidRDefault="00311F2F" w:rsidP="007850AF">
      <w:pPr>
        <w:pStyle w:val="ListBullet"/>
        <w:spacing w:after="160" w:line="360" w:lineRule="auto"/>
        <w:jc w:val="both"/>
        <w:rPr>
          <w:rFonts w:ascii="Times New Roman" w:hAnsi="Times New Roman" w:cs="Times New Roman"/>
          <w:sz w:val="24"/>
          <w:szCs w:val="24"/>
        </w:rPr>
      </w:pPr>
      <w:r w:rsidRPr="00E62AA7">
        <w:rPr>
          <w:rFonts w:ascii="Times New Roman" w:hAnsi="Times New Roman" w:cs="Times New Roman"/>
          <w:sz w:val="24"/>
          <w:szCs w:val="24"/>
        </w:rPr>
        <w:t>Communicate an annual AI assurance report; deliberately designed to be a competitive advantage over Intuit, Xero and Oracle NetSuite, not a compliance checklist (</w:t>
      </w:r>
      <w:proofErr w:type="spellStart"/>
      <w:r w:rsidRPr="00E62AA7">
        <w:rPr>
          <w:rFonts w:ascii="Times New Roman" w:hAnsi="Times New Roman" w:cs="Times New Roman"/>
          <w:sz w:val="24"/>
          <w:szCs w:val="24"/>
        </w:rPr>
        <w:t>Aminetzah</w:t>
      </w:r>
      <w:proofErr w:type="spellEnd"/>
      <w:r w:rsidRPr="00E62AA7">
        <w:rPr>
          <w:rFonts w:ascii="Times New Roman" w:hAnsi="Times New Roman" w:cs="Times New Roman"/>
          <w:sz w:val="24"/>
          <w:szCs w:val="24"/>
        </w:rPr>
        <w:t xml:space="preserve">, 2026; </w:t>
      </w:r>
      <w:proofErr w:type="spellStart"/>
      <w:r w:rsidRPr="00E62AA7">
        <w:rPr>
          <w:rFonts w:ascii="Times New Roman" w:hAnsi="Times New Roman" w:cs="Times New Roman"/>
          <w:sz w:val="24"/>
          <w:szCs w:val="24"/>
        </w:rPr>
        <w:t>PortersFiveForce</w:t>
      </w:r>
      <w:proofErr w:type="spellEnd"/>
      <w:r w:rsidRPr="00E62AA7">
        <w:rPr>
          <w:rFonts w:ascii="Times New Roman" w:hAnsi="Times New Roman" w:cs="Times New Roman"/>
          <w:sz w:val="24"/>
          <w:szCs w:val="24"/>
        </w:rPr>
        <w:t xml:space="preserve"> Team, 2026). Typical cost: 150,000-200,000 pounds per year. Owner: Chief Communications Officer (in consultation with Head of Investor Relations).</w:t>
      </w:r>
    </w:p>
    <w:p w14:paraId="59BCF7B9" w14:textId="1F1DAB94" w:rsidR="00311F2F" w:rsidRPr="00E62AA7" w:rsidRDefault="00311F2F" w:rsidP="007850AF">
      <w:pPr>
        <w:pStyle w:val="ListBullet"/>
        <w:spacing w:after="160" w:line="360" w:lineRule="auto"/>
        <w:jc w:val="both"/>
        <w:rPr>
          <w:rFonts w:ascii="Times New Roman" w:hAnsi="Times New Roman" w:cs="Times New Roman"/>
          <w:sz w:val="24"/>
          <w:szCs w:val="24"/>
        </w:rPr>
      </w:pPr>
      <w:r w:rsidRPr="00E62AA7">
        <w:rPr>
          <w:rFonts w:ascii="Times New Roman" w:hAnsi="Times New Roman" w:cs="Times New Roman"/>
          <w:sz w:val="24"/>
          <w:szCs w:val="24"/>
        </w:rPr>
        <w:t>Incorporate continuous and not periodic model monitoring in all deployments of Copilot, based on the evidence that fraud detection tools require continuous validation to remain reliable (</w:t>
      </w:r>
      <w:proofErr w:type="spellStart"/>
      <w:r w:rsidRPr="00E62AA7">
        <w:rPr>
          <w:rFonts w:ascii="Times New Roman" w:hAnsi="Times New Roman" w:cs="Times New Roman"/>
          <w:sz w:val="24"/>
          <w:szCs w:val="24"/>
        </w:rPr>
        <w:t>Ashtiani</w:t>
      </w:r>
      <w:proofErr w:type="spellEnd"/>
      <w:r w:rsidRPr="00E62AA7">
        <w:rPr>
          <w:rFonts w:ascii="Times New Roman" w:hAnsi="Times New Roman" w:cs="Times New Roman"/>
          <w:sz w:val="24"/>
          <w:szCs w:val="24"/>
        </w:rPr>
        <w:t xml:space="preserve"> and </w:t>
      </w:r>
      <w:proofErr w:type="spellStart"/>
      <w:r w:rsidRPr="00E62AA7">
        <w:rPr>
          <w:rFonts w:ascii="Times New Roman" w:hAnsi="Times New Roman" w:cs="Times New Roman"/>
          <w:sz w:val="24"/>
          <w:szCs w:val="24"/>
        </w:rPr>
        <w:t>Raahemi</w:t>
      </w:r>
      <w:proofErr w:type="spellEnd"/>
      <w:r w:rsidRPr="00E62AA7">
        <w:rPr>
          <w:rFonts w:ascii="Times New Roman" w:hAnsi="Times New Roman" w:cs="Times New Roman"/>
          <w:sz w:val="24"/>
          <w:szCs w:val="24"/>
        </w:rPr>
        <w:t>, 2021; Li, Liu and Zhou, 2024). Indicative expenditure: £80,000 - £120,000 per annum. Owner: Chief Data Officer.</w:t>
      </w:r>
    </w:p>
    <w:p w14:paraId="0E6D1F4D" w14:textId="3DF63A42" w:rsidR="00311F2F" w:rsidRPr="00E62AA7" w:rsidRDefault="00311F2F"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The report does not seek to create new roles but rather to integrate the work into existing roles </w:t>
      </w:r>
      <w:r w:rsidR="007850AF">
        <w:rPr>
          <w:rFonts w:ascii="Times New Roman" w:hAnsi="Times New Roman" w:cs="Times New Roman"/>
          <w:sz w:val="24"/>
          <w:szCs w:val="24"/>
        </w:rPr>
        <w:t>within Sage's existing governance structure</w:t>
      </w:r>
      <w:r w:rsidRPr="00E62AA7">
        <w:rPr>
          <w:rFonts w:ascii="Times New Roman" w:hAnsi="Times New Roman" w:cs="Times New Roman"/>
          <w:sz w:val="24"/>
          <w:szCs w:val="24"/>
        </w:rPr>
        <w:t>, as new roles are less likely to gain traction than roles already in place.</w:t>
      </w:r>
    </w:p>
    <w:p w14:paraId="7084CC74" w14:textId="77777777" w:rsidR="004450F2" w:rsidRPr="007850AF" w:rsidRDefault="00A900DC" w:rsidP="007850AF">
      <w:pPr>
        <w:pStyle w:val="Heading1"/>
        <w:spacing w:line="360" w:lineRule="auto"/>
        <w:jc w:val="both"/>
        <w:rPr>
          <w:rFonts w:ascii="Times New Roman" w:hAnsi="Times New Roman" w:cs="Times New Roman"/>
          <w:color w:val="auto"/>
          <w:sz w:val="24"/>
          <w:szCs w:val="24"/>
        </w:rPr>
      </w:pPr>
      <w:bookmarkStart w:id="14" w:name="_Toc235795703"/>
      <w:r w:rsidRPr="007850AF">
        <w:rPr>
          <w:rFonts w:ascii="Times New Roman" w:hAnsi="Times New Roman" w:cs="Times New Roman"/>
          <w:color w:val="auto"/>
          <w:sz w:val="24"/>
          <w:szCs w:val="24"/>
        </w:rPr>
        <w:t>5. Conclusion</w:t>
      </w:r>
      <w:bookmarkEnd w:id="14"/>
    </w:p>
    <w:p w14:paraId="462DF892" w14:textId="15EF0540" w:rsidR="00311F2F" w:rsidRPr="00E62AA7" w:rsidRDefault="00311F2F"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The aim of this report was to provide Sage Group plc with guidance on the potential risks and opportunities associated with its adoption of AI, specifically highlighting the United Kingdom and the United States as the two countries most important to Sage Group plc's strategy. The data collected here indicates that Sage's AI vision, particularly through the Sage Copilot product, has a solid business case: the product has </w:t>
      </w:r>
      <w:r w:rsidR="007850AF">
        <w:rPr>
          <w:rFonts w:ascii="Times New Roman" w:hAnsi="Times New Roman" w:cs="Times New Roman"/>
          <w:sz w:val="24"/>
          <w:szCs w:val="24"/>
        </w:rPr>
        <w:t>2.1 billion pounds in revenue, its growth in North America is accelerating, and it's a subscription-based service designed to retain</w:t>
      </w:r>
      <w:r w:rsidRPr="00E62AA7">
        <w:rPr>
          <w:rFonts w:ascii="Times New Roman" w:hAnsi="Times New Roman" w:cs="Times New Roman"/>
          <w:sz w:val="24"/>
          <w:szCs w:val="24"/>
        </w:rPr>
        <w:t xml:space="preserve"> customers. But that base is subject to two very different forms of risk that can easily be mistaken for the same and must be dealt with differently.</w:t>
      </w:r>
    </w:p>
    <w:p w14:paraId="6CA5CC35" w14:textId="77777777" w:rsidR="00311F2F" w:rsidRPr="00E62AA7" w:rsidRDefault="00311F2F"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lastRenderedPageBreak/>
        <w:t xml:space="preserve">It is a regulatory one initially. In contrast, the approach to AI in the United Kingdom is still not fully codified, but it is firmly established, and it is a completely different story of uncertainty (Siegal and Garcia, 2024; </w:t>
      </w:r>
      <w:proofErr w:type="spellStart"/>
      <w:r w:rsidRPr="00E62AA7">
        <w:rPr>
          <w:rFonts w:ascii="Times New Roman" w:hAnsi="Times New Roman" w:cs="Times New Roman"/>
          <w:sz w:val="24"/>
          <w:szCs w:val="24"/>
        </w:rPr>
        <w:t>LawFuel</w:t>
      </w:r>
      <w:proofErr w:type="spellEnd"/>
      <w:r w:rsidRPr="00E62AA7">
        <w:rPr>
          <w:rFonts w:ascii="Times New Roman" w:hAnsi="Times New Roman" w:cs="Times New Roman"/>
          <w:sz w:val="24"/>
          <w:szCs w:val="24"/>
        </w:rPr>
        <w:t xml:space="preserve">, 2026). The second risk is operational, that is, can Copilot's answers be trusted, and are they “explainable” enough for Sage to trust them, a question only partially answered by the literature on fraud detection and anomaly detection in </w:t>
      </w:r>
      <w:proofErr w:type="spellStart"/>
      <w:r w:rsidRPr="00E62AA7">
        <w:rPr>
          <w:rFonts w:ascii="Times New Roman" w:hAnsi="Times New Roman" w:cs="Times New Roman"/>
          <w:sz w:val="24"/>
          <w:szCs w:val="24"/>
        </w:rPr>
        <w:t>favour</w:t>
      </w:r>
      <w:proofErr w:type="spellEnd"/>
      <w:r w:rsidRPr="00E62AA7">
        <w:rPr>
          <w:rFonts w:ascii="Times New Roman" w:hAnsi="Times New Roman" w:cs="Times New Roman"/>
          <w:sz w:val="24"/>
          <w:szCs w:val="24"/>
        </w:rPr>
        <w:t xml:space="preserve"> of Sage (</w:t>
      </w:r>
      <w:proofErr w:type="spellStart"/>
      <w:r w:rsidRPr="00E62AA7">
        <w:rPr>
          <w:rFonts w:ascii="Times New Roman" w:hAnsi="Times New Roman" w:cs="Times New Roman"/>
          <w:sz w:val="24"/>
          <w:szCs w:val="24"/>
        </w:rPr>
        <w:t>Ashtiani</w:t>
      </w:r>
      <w:proofErr w:type="spellEnd"/>
      <w:r w:rsidRPr="00E62AA7">
        <w:rPr>
          <w:rFonts w:ascii="Times New Roman" w:hAnsi="Times New Roman" w:cs="Times New Roman"/>
          <w:sz w:val="24"/>
          <w:szCs w:val="24"/>
        </w:rPr>
        <w:t xml:space="preserve"> and </w:t>
      </w:r>
      <w:proofErr w:type="spellStart"/>
      <w:r w:rsidRPr="00E62AA7">
        <w:rPr>
          <w:rFonts w:ascii="Times New Roman" w:hAnsi="Times New Roman" w:cs="Times New Roman"/>
          <w:sz w:val="24"/>
          <w:szCs w:val="24"/>
        </w:rPr>
        <w:t>Raahemi</w:t>
      </w:r>
      <w:proofErr w:type="spellEnd"/>
      <w:r w:rsidRPr="00E62AA7">
        <w:rPr>
          <w:rFonts w:ascii="Times New Roman" w:hAnsi="Times New Roman" w:cs="Times New Roman"/>
          <w:sz w:val="24"/>
          <w:szCs w:val="24"/>
        </w:rPr>
        <w:t>, 2021; Naseer and Ahmed, 2025).</w:t>
      </w:r>
    </w:p>
    <w:p w14:paraId="2F97FEEC" w14:textId="77777777" w:rsidR="00311F2F" w:rsidRPr="00E62AA7" w:rsidRDefault="00311F2F"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Both Porter's Five Forces and PESTLE have provided something unique to this analysis: competitive intensity in the former and comparative regulatory volatility in the latter, but as the critical evaluation in section three demonstrated, neither of these frameworks was constructed with the case of AI in mind, nor were they intended to be used "as is" without adaptation in order to have meaning for Sage's situation. The action plan in section four was developed to move the needle between this analysis and action, incorporating named ownership and cost of indicative actions where they have been added, not left as general aspirations.</w:t>
      </w:r>
    </w:p>
    <w:p w14:paraId="499DBB9B" w14:textId="751B6C56" w:rsidR="00311F2F" w:rsidRPr="00E62AA7" w:rsidRDefault="00311F2F"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t xml:space="preserve">Sage's competitive edge will depend not solely on how quickly it can develop new AI capabilities, but on the </w:t>
      </w:r>
      <w:proofErr w:type="gramStart"/>
      <w:r w:rsidRPr="00E62AA7">
        <w:rPr>
          <w:rFonts w:ascii="Times New Roman" w:hAnsi="Times New Roman" w:cs="Times New Roman"/>
          <w:sz w:val="24"/>
          <w:szCs w:val="24"/>
        </w:rPr>
        <w:t>confidence</w:t>
      </w:r>
      <w:proofErr w:type="gramEnd"/>
      <w:r w:rsidRPr="00E62AA7">
        <w:rPr>
          <w:rFonts w:ascii="Times New Roman" w:hAnsi="Times New Roman" w:cs="Times New Roman"/>
          <w:sz w:val="24"/>
          <w:szCs w:val="24"/>
        </w:rPr>
        <w:t xml:space="preserve"> it can build around the accuracy of its financial AI, its explainability and governance, and its ability to withstand scrutiny by a regulator in two more and more different jurisdictions, and by the customers themselves who might not be able to verify an AI-generated result independently.</w:t>
      </w:r>
    </w:p>
    <w:p w14:paraId="74D55712" w14:textId="77777777" w:rsidR="004450F2" w:rsidRPr="00E62AA7" w:rsidRDefault="00A900DC" w:rsidP="007850AF">
      <w:pPr>
        <w:spacing w:line="360" w:lineRule="auto"/>
        <w:jc w:val="both"/>
        <w:rPr>
          <w:rFonts w:ascii="Times New Roman" w:hAnsi="Times New Roman" w:cs="Times New Roman"/>
          <w:sz w:val="24"/>
          <w:szCs w:val="24"/>
        </w:rPr>
      </w:pPr>
      <w:r w:rsidRPr="00E62AA7">
        <w:rPr>
          <w:rFonts w:ascii="Times New Roman" w:hAnsi="Times New Roman" w:cs="Times New Roman"/>
          <w:sz w:val="24"/>
          <w:szCs w:val="24"/>
        </w:rPr>
        <w:br w:type="page"/>
      </w:r>
    </w:p>
    <w:p w14:paraId="377A335E" w14:textId="15561B33" w:rsidR="004450F2" w:rsidRPr="007850AF" w:rsidRDefault="00311F2F" w:rsidP="007850AF">
      <w:pPr>
        <w:pStyle w:val="Heading1"/>
        <w:spacing w:line="360" w:lineRule="auto"/>
        <w:jc w:val="both"/>
        <w:rPr>
          <w:rFonts w:ascii="Times New Roman" w:hAnsi="Times New Roman" w:cs="Times New Roman"/>
          <w:color w:val="auto"/>
          <w:sz w:val="24"/>
          <w:szCs w:val="24"/>
        </w:rPr>
      </w:pPr>
      <w:bookmarkStart w:id="15" w:name="_Toc235795704"/>
      <w:r w:rsidRPr="007850AF">
        <w:rPr>
          <w:rFonts w:ascii="Times New Roman" w:hAnsi="Times New Roman" w:cs="Times New Roman"/>
          <w:color w:val="auto"/>
          <w:sz w:val="24"/>
          <w:szCs w:val="24"/>
        </w:rPr>
        <w:lastRenderedPageBreak/>
        <w:t>References List</w:t>
      </w:r>
      <w:bookmarkEnd w:id="15"/>
    </w:p>
    <w:p w14:paraId="6611714A" w14:textId="77777777"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 xml:space="preserve">Ahmad, C.S., Mahomed, A.S.B. and Hashim, H. (2025) 'Cloud computing adoption in SMEs: Exploring IaaS, PaaS and SaaS through a bibliometric study', International Journal of Academic Research in </w:t>
      </w:r>
      <w:r w:rsidRPr="00E62AA7">
        <w:rPr>
          <w:rFonts w:ascii="Times New Roman" w:hAnsi="Times New Roman" w:cs="Times New Roman"/>
          <w:sz w:val="24"/>
          <w:szCs w:val="24"/>
        </w:rPr>
        <w:t>Business and Social Sciences, 15(1). doi:10.6007/ijarbss/v15-i1/24452.</w:t>
      </w:r>
    </w:p>
    <w:p w14:paraId="46342369" w14:textId="77777777"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Alghofaili, Y., Albattah, A. and Rassam, M.A. (2020) 'A financial fraud detection model based on LSTM deep learning technique', Journal of Applied Security Research, pp.1-19. doi:10.108</w:t>
      </w:r>
      <w:r w:rsidRPr="00E62AA7">
        <w:rPr>
          <w:rFonts w:ascii="Times New Roman" w:hAnsi="Times New Roman" w:cs="Times New Roman"/>
          <w:sz w:val="24"/>
          <w:szCs w:val="24"/>
        </w:rPr>
        <w:t>0/19361610.2020.1815491.</w:t>
      </w:r>
    </w:p>
    <w:p w14:paraId="593F52D4" w14:textId="4308E358"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Aminetzah, D. (2026) 'What is competitive landscape of Intuit company?', Pestel Analysis. Available at: https://pestel-analysis.com/blogs/competitors/intuit (Accessed 2</w:t>
      </w:r>
      <w:r w:rsidR="007850AF">
        <w:rPr>
          <w:rFonts w:ascii="Times New Roman" w:hAnsi="Times New Roman" w:cs="Times New Roman"/>
          <w:sz w:val="24"/>
          <w:szCs w:val="24"/>
        </w:rPr>
        <w:t>2</w:t>
      </w:r>
      <w:r w:rsidRPr="00E62AA7">
        <w:rPr>
          <w:rFonts w:ascii="Times New Roman" w:hAnsi="Times New Roman" w:cs="Times New Roman"/>
          <w:sz w:val="24"/>
          <w:szCs w:val="24"/>
        </w:rPr>
        <w:t xml:space="preserve"> July 2026).</w:t>
      </w:r>
    </w:p>
    <w:p w14:paraId="6D596721" w14:textId="77777777"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Anggi Putri and Nuswantara, D.A. (2025) 'Artifici</w:t>
      </w:r>
      <w:r w:rsidRPr="00E62AA7">
        <w:rPr>
          <w:rFonts w:ascii="Times New Roman" w:hAnsi="Times New Roman" w:cs="Times New Roman"/>
          <w:sz w:val="24"/>
          <w:szCs w:val="24"/>
        </w:rPr>
        <w:t>al intelligence and data mining in detecting financial statement fraud: A systematic literature review', Journal of Accounting Science, 9(2), pp.204-257. doi:10.21070/jas.v9i2.2025.</w:t>
      </w:r>
    </w:p>
    <w:p w14:paraId="19D64E35" w14:textId="77777777"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Ashtiani, M.N. and Raahemi, B. (2021) 'Intelligent fraud detection in fina</w:t>
      </w:r>
      <w:r w:rsidRPr="00E62AA7">
        <w:rPr>
          <w:rFonts w:ascii="Times New Roman" w:hAnsi="Times New Roman" w:cs="Times New Roman"/>
          <w:sz w:val="24"/>
          <w:szCs w:val="24"/>
        </w:rPr>
        <w:t>ncial statements using machine learning and data mining: A systematic literature review', IEEE Access, 10, pp.72504-72525. doi:10.1109/access.2021.3096799.</w:t>
      </w:r>
    </w:p>
    <w:p w14:paraId="4D830C6A" w14:textId="77777777"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Bayat, M., Hassanzadeh, A., Shayan, A., Ostadi, B. and Hassani, H. (2025) 'Agile digital transformat</w:t>
      </w:r>
      <w:r w:rsidRPr="00E62AA7">
        <w:rPr>
          <w:rFonts w:ascii="Times New Roman" w:hAnsi="Times New Roman" w:cs="Times New Roman"/>
          <w:sz w:val="24"/>
          <w:szCs w:val="24"/>
        </w:rPr>
        <w:t>ion in SMEs: A hybrid prioritization approach', Frontiers in Sustainability, 6. doi:10.3389/frsus.2025.1618920.</w:t>
      </w:r>
    </w:p>
    <w:p w14:paraId="37800B16" w14:textId="5F857700"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Bonilla, H. (2025) 'Sage Copilot: Enhance accounting and financial management with AI', SWK Technologies. Available at: https://www.swktech.com/</w:t>
      </w:r>
      <w:r w:rsidRPr="00E62AA7">
        <w:rPr>
          <w:rFonts w:ascii="Times New Roman" w:hAnsi="Times New Roman" w:cs="Times New Roman"/>
          <w:sz w:val="24"/>
          <w:szCs w:val="24"/>
        </w:rPr>
        <w:t>sage-copilot-enhance-accounting-and-financial-management-with-ai/ (Accessed 2</w:t>
      </w:r>
      <w:r w:rsidR="007850AF">
        <w:rPr>
          <w:rFonts w:ascii="Times New Roman" w:hAnsi="Times New Roman" w:cs="Times New Roman"/>
          <w:sz w:val="24"/>
          <w:szCs w:val="24"/>
        </w:rPr>
        <w:t>1</w:t>
      </w:r>
      <w:r w:rsidRPr="00E62AA7">
        <w:rPr>
          <w:rFonts w:ascii="Times New Roman" w:hAnsi="Times New Roman" w:cs="Times New Roman"/>
          <w:sz w:val="24"/>
          <w:szCs w:val="24"/>
        </w:rPr>
        <w:t xml:space="preserve"> July 2026).</w:t>
      </w:r>
    </w:p>
    <w:p w14:paraId="463616E5" w14:textId="29402771"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Conner, K. (2025) 'What is Sage AI: Your complete guide to Sage Copilot', Rand Group. Available at: https://www.randgroup.com/insights/sage/sage-intacct/what-is-sage</w:t>
      </w:r>
      <w:r w:rsidRPr="00E62AA7">
        <w:rPr>
          <w:rFonts w:ascii="Times New Roman" w:hAnsi="Times New Roman" w:cs="Times New Roman"/>
          <w:sz w:val="24"/>
          <w:szCs w:val="24"/>
        </w:rPr>
        <w:t>-ai-your-complete-guide-to-sage-copilot/ (Accessed 2</w:t>
      </w:r>
      <w:r w:rsidR="007850AF">
        <w:rPr>
          <w:rFonts w:ascii="Times New Roman" w:hAnsi="Times New Roman" w:cs="Times New Roman"/>
          <w:sz w:val="24"/>
          <w:szCs w:val="24"/>
        </w:rPr>
        <w:t>2</w:t>
      </w:r>
      <w:r w:rsidRPr="00E62AA7">
        <w:rPr>
          <w:rFonts w:ascii="Times New Roman" w:hAnsi="Times New Roman" w:cs="Times New Roman"/>
          <w:sz w:val="24"/>
          <w:szCs w:val="24"/>
        </w:rPr>
        <w:t xml:space="preserve"> July 2026).</w:t>
      </w:r>
    </w:p>
    <w:p w14:paraId="2419291B" w14:textId="3844F5BC"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lastRenderedPageBreak/>
        <w:t>Mallesha, C. and Hymavathi, M. (2024) 'A review on AI and fraud detection in accounting: Reducing risks and enhancing financial security', Academy of Accounting and Financial Studies Journal</w:t>
      </w:r>
      <w:r w:rsidRPr="00E62AA7">
        <w:rPr>
          <w:rFonts w:ascii="Times New Roman" w:hAnsi="Times New Roman" w:cs="Times New Roman"/>
          <w:sz w:val="24"/>
          <w:szCs w:val="24"/>
        </w:rPr>
        <w:t>, 28(2), pp.1-18. Available at: https://www.abacademies.org/articles/a-review-on-ai-and-fraud-detection-in-accounting-reducing-risks-and-enhancing-financial-security-16747.html (Accessed 2</w:t>
      </w:r>
      <w:r w:rsidR="007850AF">
        <w:rPr>
          <w:rFonts w:ascii="Times New Roman" w:hAnsi="Times New Roman" w:cs="Times New Roman"/>
          <w:sz w:val="24"/>
          <w:szCs w:val="24"/>
        </w:rPr>
        <w:t>2</w:t>
      </w:r>
      <w:r w:rsidRPr="00E62AA7">
        <w:rPr>
          <w:rFonts w:ascii="Times New Roman" w:hAnsi="Times New Roman" w:cs="Times New Roman"/>
          <w:sz w:val="24"/>
          <w:szCs w:val="24"/>
        </w:rPr>
        <w:t xml:space="preserve"> July 2026).</w:t>
      </w:r>
    </w:p>
    <w:p w14:paraId="744AC972" w14:textId="77777777"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Eugenia, L. and Cătălina, C. (2024) 'The impact of usi</w:t>
      </w:r>
      <w:r w:rsidRPr="00E62AA7">
        <w:rPr>
          <w:rFonts w:ascii="Times New Roman" w:hAnsi="Times New Roman" w:cs="Times New Roman"/>
          <w:sz w:val="24"/>
          <w:szCs w:val="24"/>
        </w:rPr>
        <w:t>ng artificial intelligence and ERP systems in the work of accounting professionals and auditors', The Annals of the University of Oradea Economic Sciences, 33(1), pp.246-258. doi:10.47535/1991auoes33(1)028.</w:t>
      </w:r>
    </w:p>
    <w:p w14:paraId="741F160B" w14:textId="72A8F276"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 xml:space="preserve">Gaetano, C. (2024) 'Sage Copilot AI aims to pair </w:t>
      </w:r>
      <w:r w:rsidRPr="00E62AA7">
        <w:rPr>
          <w:rFonts w:ascii="Times New Roman" w:hAnsi="Times New Roman" w:cs="Times New Roman"/>
          <w:sz w:val="24"/>
          <w:szCs w:val="24"/>
        </w:rPr>
        <w:t>power and simplicity', Accounting Today. Available at: https://www.accountingtoday.com/news/sage-copilot-ai-aims-to-pair-power-and-simplicity-for-small-and-medium-businesses (Accessed 2</w:t>
      </w:r>
      <w:r w:rsidR="007850AF">
        <w:rPr>
          <w:rFonts w:ascii="Times New Roman" w:hAnsi="Times New Roman" w:cs="Times New Roman"/>
          <w:sz w:val="24"/>
          <w:szCs w:val="24"/>
        </w:rPr>
        <w:t>1</w:t>
      </w:r>
      <w:r w:rsidRPr="00E62AA7">
        <w:rPr>
          <w:rFonts w:ascii="Times New Roman" w:hAnsi="Times New Roman" w:cs="Times New Roman"/>
          <w:sz w:val="24"/>
          <w:szCs w:val="24"/>
        </w:rPr>
        <w:t xml:space="preserve"> July 2026).</w:t>
      </w:r>
    </w:p>
    <w:p w14:paraId="679D991B" w14:textId="77777777"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Gao, S., Teh, P.-L. and Ho, H.H.P. (2026) 'Digital transf</w:t>
      </w:r>
      <w:r w:rsidRPr="00E62AA7">
        <w:rPr>
          <w:rFonts w:ascii="Times New Roman" w:hAnsi="Times New Roman" w:cs="Times New Roman"/>
          <w:sz w:val="24"/>
          <w:szCs w:val="24"/>
        </w:rPr>
        <w:t>ormation and innovation in small and medium enterprises (SMEs): A systematic review and future research agenda', Cogent Business &amp; Management, 13(1). doi:10.1080/23311975.2026.2612775.</w:t>
      </w:r>
    </w:p>
    <w:p w14:paraId="24079D6B" w14:textId="77777777"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Georgiou, I., Sapuric, S., Lois, P. and Thrassou, A. (2024) 'Blockchain</w:t>
      </w:r>
      <w:r w:rsidRPr="00E62AA7">
        <w:rPr>
          <w:rFonts w:ascii="Times New Roman" w:hAnsi="Times New Roman" w:cs="Times New Roman"/>
          <w:sz w:val="24"/>
          <w:szCs w:val="24"/>
        </w:rPr>
        <w:t xml:space="preserve"> for accounting and auditing: Accounting and auditing for cryptocurrencies, a systematic literature review and future research directions', Journal of Risk and Financial Management, 17(7), p.276. doi:10.3390/jrfm17070276.</w:t>
      </w:r>
    </w:p>
    <w:p w14:paraId="532EC7F8" w14:textId="77777777"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 xml:space="preserve">Grundy, T. (2006) 'Rethinking and </w:t>
      </w:r>
      <w:r w:rsidRPr="00E62AA7">
        <w:rPr>
          <w:rFonts w:ascii="Times New Roman" w:hAnsi="Times New Roman" w:cs="Times New Roman"/>
          <w:sz w:val="24"/>
          <w:szCs w:val="24"/>
        </w:rPr>
        <w:t>reinventing Michael Porter's five forces model', Strategic Change, 15(5), pp.213-229. doi:10.1002/jsc.764.</w:t>
      </w:r>
    </w:p>
    <w:p w14:paraId="44BA547A" w14:textId="77777777"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 xml:space="preserve">Hafez, I.Y., Hafez, A.Y., Saleh, A., El-Mageed, A.A.A. and Abohany, A.A. (2025) 'A systematic review of AI-enhanced techniques in credit card </w:t>
      </w:r>
      <w:r w:rsidRPr="00E62AA7">
        <w:rPr>
          <w:rFonts w:ascii="Times New Roman" w:hAnsi="Times New Roman" w:cs="Times New Roman"/>
          <w:sz w:val="24"/>
          <w:szCs w:val="24"/>
        </w:rPr>
        <w:t>fraud detection', Journal of Big Data, 12(1). doi:10.1186/s40537-024-01048-8.</w:t>
      </w:r>
    </w:p>
    <w:p w14:paraId="3B47AEED" w14:textId="500F556C"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lastRenderedPageBreak/>
        <w:t xml:space="preserve">Intuit (2026) 'QuickBooks Online', Intuit.com. Available at: </w:t>
      </w:r>
      <w:r w:rsidRPr="00E62AA7">
        <w:rPr>
          <w:rFonts w:ascii="Times New Roman" w:hAnsi="Times New Roman" w:cs="Times New Roman"/>
          <w:sz w:val="24"/>
          <w:szCs w:val="24"/>
        </w:rPr>
        <w:t>https://quickbooks.intuit.com/compare/netsuite-vs-quickbooks/ (Accessed 2</w:t>
      </w:r>
      <w:r w:rsidR="007850AF">
        <w:rPr>
          <w:rFonts w:ascii="Times New Roman" w:hAnsi="Times New Roman" w:cs="Times New Roman"/>
          <w:sz w:val="24"/>
          <w:szCs w:val="24"/>
        </w:rPr>
        <w:t>2</w:t>
      </w:r>
      <w:r w:rsidRPr="00E62AA7">
        <w:rPr>
          <w:rFonts w:ascii="Times New Roman" w:hAnsi="Times New Roman" w:cs="Times New Roman"/>
          <w:sz w:val="24"/>
          <w:szCs w:val="24"/>
        </w:rPr>
        <w:t xml:space="preserve"> July 2026).</w:t>
      </w:r>
    </w:p>
    <w:p w14:paraId="480E956F" w14:textId="77777777"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Isabelle, D., Horak, K., McKinnon, S. and Palumbo, C. (2020) 'Is Porter's Five Forces Framework Still Relevant? A study of the capital/labour intensity continuum via min</w:t>
      </w:r>
      <w:r w:rsidRPr="00E62AA7">
        <w:rPr>
          <w:rFonts w:ascii="Times New Roman" w:hAnsi="Times New Roman" w:cs="Times New Roman"/>
          <w:sz w:val="24"/>
          <w:szCs w:val="24"/>
        </w:rPr>
        <w:t>ing and IT industries', Technology Innovation Management Review, 10(6), pp.28-41. doi:10.22215/timreview/1366.</w:t>
      </w:r>
    </w:p>
    <w:p w14:paraId="7287AD45" w14:textId="77777777"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Kulik, S. (2026) 'LedgerLab', LedgerLab. Available at: https://bestaiaccounting.com/reviews/sage-review/ (Accessed 24 July 2026).</w:t>
      </w:r>
    </w:p>
    <w:p w14:paraId="5A0F2A20" w14:textId="608B20BB"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 xml:space="preserve">LawFuel (2026) </w:t>
      </w:r>
      <w:r w:rsidRPr="00E62AA7">
        <w:rPr>
          <w:rFonts w:ascii="Times New Roman" w:hAnsi="Times New Roman" w:cs="Times New Roman"/>
          <w:sz w:val="24"/>
          <w:szCs w:val="24"/>
        </w:rPr>
        <w:t>'Colorado AI Act 2026: What changed and what you must do now'. Available at: https://www.lawfuel.com/colorado-ai-act-2026-sb-26-189/ (Accessed 2</w:t>
      </w:r>
      <w:r w:rsidR="007850AF">
        <w:rPr>
          <w:rFonts w:ascii="Times New Roman" w:hAnsi="Times New Roman" w:cs="Times New Roman"/>
          <w:sz w:val="24"/>
          <w:szCs w:val="24"/>
        </w:rPr>
        <w:t>2</w:t>
      </w:r>
      <w:r w:rsidRPr="00E62AA7">
        <w:rPr>
          <w:rFonts w:ascii="Times New Roman" w:hAnsi="Times New Roman" w:cs="Times New Roman"/>
          <w:sz w:val="24"/>
          <w:szCs w:val="24"/>
        </w:rPr>
        <w:t xml:space="preserve"> July 2026).</w:t>
      </w:r>
    </w:p>
    <w:p w14:paraId="12CFE36C" w14:textId="77777777"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 xml:space="preserve">Li, W., Liu, X. and Zhou, S. (2024) 'Deep learning </w:t>
      </w:r>
      <w:proofErr w:type="gramStart"/>
      <w:r w:rsidRPr="00E62AA7">
        <w:rPr>
          <w:rFonts w:ascii="Times New Roman" w:hAnsi="Times New Roman" w:cs="Times New Roman"/>
          <w:sz w:val="24"/>
          <w:szCs w:val="24"/>
        </w:rPr>
        <w:t>model based</w:t>
      </w:r>
      <w:proofErr w:type="gramEnd"/>
      <w:r w:rsidRPr="00E62AA7">
        <w:rPr>
          <w:rFonts w:ascii="Times New Roman" w:hAnsi="Times New Roman" w:cs="Times New Roman"/>
          <w:sz w:val="24"/>
          <w:szCs w:val="24"/>
        </w:rPr>
        <w:t xml:space="preserve"> research on anomaly detection and f</w:t>
      </w:r>
      <w:r w:rsidRPr="00E62AA7">
        <w:rPr>
          <w:rFonts w:ascii="Times New Roman" w:hAnsi="Times New Roman" w:cs="Times New Roman"/>
          <w:sz w:val="24"/>
          <w:szCs w:val="24"/>
        </w:rPr>
        <w:t>inancial fraud identification in corporate financial reporting statements', Journal of Combinatorial Mathematics and Combinatorial Computing, 123(1), pp.343-355. doi:10.61091/jcmcc123-24.</w:t>
      </w:r>
    </w:p>
    <w:p w14:paraId="4C5458E3" w14:textId="77777777"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Lu, Q., Fu, C., Nan, K., Fang, Y., Xu, J., Liu, J., Bellotti, A.G. a</w:t>
      </w:r>
      <w:r w:rsidRPr="00E62AA7">
        <w:rPr>
          <w:rFonts w:ascii="Times New Roman" w:hAnsi="Times New Roman" w:cs="Times New Roman"/>
          <w:sz w:val="24"/>
          <w:szCs w:val="24"/>
        </w:rPr>
        <w:t>nd Lee, B.G. (2023) 'Chinese corporate fraud risk assessment with machine learning', Intelligent Systems with Applications, 20, p.200294. doi:10.1016/j.iswa.2023.200294.</w:t>
      </w:r>
    </w:p>
    <w:p w14:paraId="5AE2CE36" w14:textId="7146BA94"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Martin, M. (2025) 'Sage Intacct AI: The future of finance is Intacct Copilot', Cargas.</w:t>
      </w:r>
      <w:r w:rsidRPr="00E62AA7">
        <w:rPr>
          <w:rFonts w:ascii="Times New Roman" w:hAnsi="Times New Roman" w:cs="Times New Roman"/>
          <w:sz w:val="24"/>
          <w:szCs w:val="24"/>
        </w:rPr>
        <w:t xml:space="preserve"> Available at: https://cargas.com/blog/what-is-sage-intacct-copilot/ (Accessed 2</w:t>
      </w:r>
      <w:r w:rsidR="007850AF">
        <w:rPr>
          <w:rFonts w:ascii="Times New Roman" w:hAnsi="Times New Roman" w:cs="Times New Roman"/>
          <w:sz w:val="24"/>
          <w:szCs w:val="24"/>
        </w:rPr>
        <w:t>2</w:t>
      </w:r>
      <w:r w:rsidRPr="00E62AA7">
        <w:rPr>
          <w:rFonts w:ascii="Times New Roman" w:hAnsi="Times New Roman" w:cs="Times New Roman"/>
          <w:sz w:val="24"/>
          <w:szCs w:val="24"/>
        </w:rPr>
        <w:t xml:space="preserve"> July 2026).</w:t>
      </w:r>
    </w:p>
    <w:p w14:paraId="4A0DCDFA" w14:textId="1A178629"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 xml:space="preserve">Stein, M.M.K., Lashway, S.T., O'Malley, M. and Pinto, T. (2026) 'Colorado's not finished regulating AI: Reenacted AI law expands scope, presents new legal risks, </w:t>
      </w:r>
      <w:r w:rsidRPr="00E62AA7">
        <w:rPr>
          <w:rFonts w:ascii="Times New Roman" w:hAnsi="Times New Roman" w:cs="Times New Roman"/>
          <w:sz w:val="24"/>
          <w:szCs w:val="24"/>
        </w:rPr>
        <w:t>and focuses on outcomes', Mintz. Available at: https://www.mintz.com/insights-center/viewpoints/54731/2026-06-12-colorados-not-finished-regulating-ai-reenacted-ai-law (Accessed 2</w:t>
      </w:r>
      <w:r w:rsidR="007850AF">
        <w:rPr>
          <w:rFonts w:ascii="Times New Roman" w:hAnsi="Times New Roman" w:cs="Times New Roman"/>
          <w:sz w:val="24"/>
          <w:szCs w:val="24"/>
        </w:rPr>
        <w:t>2</w:t>
      </w:r>
      <w:r w:rsidRPr="00E62AA7">
        <w:rPr>
          <w:rFonts w:ascii="Times New Roman" w:hAnsi="Times New Roman" w:cs="Times New Roman"/>
          <w:sz w:val="24"/>
          <w:szCs w:val="24"/>
        </w:rPr>
        <w:t xml:space="preserve"> July 2026).</w:t>
      </w:r>
    </w:p>
    <w:p w14:paraId="0EA3B9ED" w14:textId="77777777"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lastRenderedPageBreak/>
        <w:t>Merlo, T.R., Fard, F. and Hawamdeh, S. (2025) 'Cloud computing's</w:t>
      </w:r>
      <w:r w:rsidRPr="00E62AA7">
        <w:rPr>
          <w:rFonts w:ascii="Times New Roman" w:hAnsi="Times New Roman" w:cs="Times New Roman"/>
          <w:sz w:val="24"/>
          <w:szCs w:val="24"/>
        </w:rPr>
        <w:t xml:space="preserve"> impact on the digital transformation of the enterprise: A mixed-methods approach', Sustainability, 17(13), p.5755. doi:10.3390/su17135755.</w:t>
      </w:r>
    </w:p>
    <w:p w14:paraId="3A20853A" w14:textId="77777777"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Naseer, K. and Ahmed, H.N. (2025) 'Effectiveness and reliability of artificial intelligence in fraud detection: A mi</w:t>
      </w:r>
      <w:r w:rsidRPr="00E62AA7">
        <w:rPr>
          <w:rFonts w:ascii="Times New Roman" w:hAnsi="Times New Roman" w:cs="Times New Roman"/>
          <w:sz w:val="24"/>
          <w:szCs w:val="24"/>
        </w:rPr>
        <w:t>xed-method study on financial audit', Journal of Management and Informatics, 4(1), pp.706-722. doi:10.51903/jmi.v4i1.168.</w:t>
      </w:r>
    </w:p>
    <w:p w14:paraId="0CA3CA88" w14:textId="1069E7B2"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Norton Rose Fulbright (2026) 'Colorado enacts revised AI law'. Available at: https://www.nortonrosefulbright.com/en-us/knowledge/publi</w:t>
      </w:r>
      <w:r w:rsidRPr="00E62AA7">
        <w:rPr>
          <w:rFonts w:ascii="Times New Roman" w:hAnsi="Times New Roman" w:cs="Times New Roman"/>
          <w:sz w:val="24"/>
          <w:szCs w:val="24"/>
        </w:rPr>
        <w:t>cations/18733d31/colorado-enacts-revised-ai-law (Accessed 2</w:t>
      </w:r>
      <w:r w:rsidR="007850AF">
        <w:rPr>
          <w:rFonts w:ascii="Times New Roman" w:hAnsi="Times New Roman" w:cs="Times New Roman"/>
          <w:sz w:val="24"/>
          <w:szCs w:val="24"/>
        </w:rPr>
        <w:t>2</w:t>
      </w:r>
      <w:r w:rsidRPr="00E62AA7">
        <w:rPr>
          <w:rFonts w:ascii="Times New Roman" w:hAnsi="Times New Roman" w:cs="Times New Roman"/>
          <w:sz w:val="24"/>
          <w:szCs w:val="24"/>
        </w:rPr>
        <w:t xml:space="preserve"> July 2026).</w:t>
      </w:r>
    </w:p>
    <w:p w14:paraId="029D6953" w14:textId="77777777"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OECD (2024) SME Digitalisation to Manage Shocks and Transitions, OECD SME and Entrepreneurship Papers. doi:10.1787/eb4ec9ac-en.</w:t>
      </w:r>
    </w:p>
    <w:p w14:paraId="6BDE452E" w14:textId="3F793169"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PortersFiveForce Team (2026) 'What is competitive lands</w:t>
      </w:r>
      <w:r w:rsidRPr="00E62AA7">
        <w:rPr>
          <w:rFonts w:ascii="Times New Roman" w:hAnsi="Times New Roman" w:cs="Times New Roman"/>
          <w:sz w:val="24"/>
          <w:szCs w:val="24"/>
        </w:rPr>
        <w:t>cape of Xero company?', Porter's Five Forces. Available at: https://portersfiveforce.com/blogs/competitors/xero (Accessed 2</w:t>
      </w:r>
      <w:r w:rsidR="007850AF">
        <w:rPr>
          <w:rFonts w:ascii="Times New Roman" w:hAnsi="Times New Roman" w:cs="Times New Roman"/>
          <w:sz w:val="24"/>
          <w:szCs w:val="24"/>
        </w:rPr>
        <w:t>1</w:t>
      </w:r>
      <w:r w:rsidRPr="00E62AA7">
        <w:rPr>
          <w:rFonts w:ascii="Times New Roman" w:hAnsi="Times New Roman" w:cs="Times New Roman"/>
          <w:sz w:val="24"/>
          <w:szCs w:val="24"/>
        </w:rPr>
        <w:t xml:space="preserve"> July 2026).</w:t>
      </w:r>
    </w:p>
    <w:p w14:paraId="4910E01C" w14:textId="0FE4DC49"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Quartr (2025) 'The Sage Group H1 2025 earnings call transcript', MarketBeat.com. Available at: https://www.marketbeat.c</w:t>
      </w:r>
      <w:r w:rsidRPr="00E62AA7">
        <w:rPr>
          <w:rFonts w:ascii="Times New Roman" w:hAnsi="Times New Roman" w:cs="Times New Roman"/>
          <w:sz w:val="24"/>
          <w:szCs w:val="24"/>
        </w:rPr>
        <w:t>om/earnings/reports/2025-5-15-the-sage-group-plc-sgel-stock (Accessed 2</w:t>
      </w:r>
      <w:r w:rsidR="007850AF">
        <w:rPr>
          <w:rFonts w:ascii="Times New Roman" w:hAnsi="Times New Roman" w:cs="Times New Roman"/>
          <w:sz w:val="24"/>
          <w:szCs w:val="24"/>
        </w:rPr>
        <w:t>1</w:t>
      </w:r>
      <w:r w:rsidRPr="00E62AA7">
        <w:rPr>
          <w:rFonts w:ascii="Times New Roman" w:hAnsi="Times New Roman" w:cs="Times New Roman"/>
          <w:sz w:val="24"/>
          <w:szCs w:val="24"/>
        </w:rPr>
        <w:t xml:space="preserve"> July 2026).</w:t>
      </w:r>
    </w:p>
    <w:p w14:paraId="27728065" w14:textId="77777777"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Saeed Ahmad, C., Shah Bali Mahomed, A. and Hashim, H. (2026) 'Mapping the evolution of cloud computing, AI, and business process performance in SMEs: A bibliometric analys</w:t>
      </w:r>
      <w:r w:rsidRPr="00E62AA7">
        <w:rPr>
          <w:rFonts w:ascii="Times New Roman" w:hAnsi="Times New Roman" w:cs="Times New Roman"/>
          <w:sz w:val="24"/>
          <w:szCs w:val="24"/>
        </w:rPr>
        <w:t>is', Humanities and Social Sciences Communications. doi:10.1057/s41599-026-07403-9.</w:t>
      </w:r>
    </w:p>
    <w:p w14:paraId="6EB45D95" w14:textId="0929660C"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Sage Group plc (2025a) 'Full year 2025 results', Sage Investor Relations. Available at: https://www.sage.com/investors/investor-downloads/press-releases/2025/11/full-year-2</w:t>
      </w:r>
      <w:r w:rsidRPr="00E62AA7">
        <w:rPr>
          <w:rFonts w:ascii="Times New Roman" w:hAnsi="Times New Roman" w:cs="Times New Roman"/>
          <w:sz w:val="24"/>
          <w:szCs w:val="24"/>
        </w:rPr>
        <w:t>025-results-19-november-2025/ (Accessed 2</w:t>
      </w:r>
      <w:r w:rsidR="007850AF">
        <w:rPr>
          <w:rFonts w:ascii="Times New Roman" w:hAnsi="Times New Roman" w:cs="Times New Roman"/>
          <w:sz w:val="24"/>
          <w:szCs w:val="24"/>
        </w:rPr>
        <w:t>1</w:t>
      </w:r>
      <w:r w:rsidRPr="00E62AA7">
        <w:rPr>
          <w:rFonts w:ascii="Times New Roman" w:hAnsi="Times New Roman" w:cs="Times New Roman"/>
          <w:sz w:val="24"/>
          <w:szCs w:val="24"/>
        </w:rPr>
        <w:t xml:space="preserve"> July 2026).</w:t>
      </w:r>
    </w:p>
    <w:p w14:paraId="1877147E" w14:textId="718D42C0"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Sage Group plc (2025b) 'Trading update for the nine months ended 30 June 2025'. Available at: https://www.sage.com/investors/investor-downloads/press-</w:t>
      </w:r>
      <w:r w:rsidRPr="00E62AA7">
        <w:rPr>
          <w:rFonts w:ascii="Times New Roman" w:hAnsi="Times New Roman" w:cs="Times New Roman"/>
          <w:sz w:val="24"/>
          <w:szCs w:val="24"/>
        </w:rPr>
        <w:lastRenderedPageBreak/>
        <w:t>releases/2025/07/trading-update-for-the-nine-months</w:t>
      </w:r>
      <w:r w:rsidRPr="00E62AA7">
        <w:rPr>
          <w:rFonts w:ascii="Times New Roman" w:hAnsi="Times New Roman" w:cs="Times New Roman"/>
          <w:sz w:val="24"/>
          <w:szCs w:val="24"/>
        </w:rPr>
        <w:t>-ended-30-june-2025/ (Accessed 2</w:t>
      </w:r>
      <w:r w:rsidR="007850AF">
        <w:rPr>
          <w:rFonts w:ascii="Times New Roman" w:hAnsi="Times New Roman" w:cs="Times New Roman"/>
          <w:sz w:val="24"/>
          <w:szCs w:val="24"/>
        </w:rPr>
        <w:t>1</w:t>
      </w:r>
      <w:r w:rsidRPr="00E62AA7">
        <w:rPr>
          <w:rFonts w:ascii="Times New Roman" w:hAnsi="Times New Roman" w:cs="Times New Roman"/>
          <w:sz w:val="24"/>
          <w:szCs w:val="24"/>
        </w:rPr>
        <w:t xml:space="preserve"> July 2026).</w:t>
      </w:r>
    </w:p>
    <w:p w14:paraId="2B59E6E3" w14:textId="57F1D6D8"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Sage Group plc (2025c) 'Trading update for the three months ended 31 December 2025'. Available at: https://www.sage.com/investors/investor-downloads/press-releases/2026/01/trading-update-for-the-three-months-en</w:t>
      </w:r>
      <w:r w:rsidRPr="00E62AA7">
        <w:rPr>
          <w:rFonts w:ascii="Times New Roman" w:hAnsi="Times New Roman" w:cs="Times New Roman"/>
          <w:sz w:val="24"/>
          <w:szCs w:val="24"/>
        </w:rPr>
        <w:t>ded-31-december-2025/ (Accessed 2</w:t>
      </w:r>
      <w:r w:rsidR="007850AF">
        <w:rPr>
          <w:rFonts w:ascii="Times New Roman" w:hAnsi="Times New Roman" w:cs="Times New Roman"/>
          <w:sz w:val="24"/>
          <w:szCs w:val="24"/>
        </w:rPr>
        <w:t>2</w:t>
      </w:r>
      <w:r w:rsidRPr="00E62AA7">
        <w:rPr>
          <w:rFonts w:ascii="Times New Roman" w:hAnsi="Times New Roman" w:cs="Times New Roman"/>
          <w:sz w:val="24"/>
          <w:szCs w:val="24"/>
        </w:rPr>
        <w:t xml:space="preserve"> July 2026).</w:t>
      </w:r>
    </w:p>
    <w:p w14:paraId="32FB6663" w14:textId="77777777"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Shahadat, M.M.H., Nekmahmud, Md., Ebrahimi, P. and Fekete-Farkas, M. (2023) 'Digital technology adoption in SMEs: What technological, environmental and organizational factors influence SMEs' ICT adoption in em</w:t>
      </w:r>
      <w:r w:rsidRPr="00E62AA7">
        <w:rPr>
          <w:rFonts w:ascii="Times New Roman" w:hAnsi="Times New Roman" w:cs="Times New Roman"/>
          <w:sz w:val="24"/>
          <w:szCs w:val="24"/>
        </w:rPr>
        <w:t>erging countries?', Global Business Review. doi:10.1177/09721509221137199.</w:t>
      </w:r>
    </w:p>
    <w:p w14:paraId="7193A839" w14:textId="73759DB4"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Siegal, A. and Garcia, I. (2024) 'A deep dive into Colorado's Artificial Intelligence Act', National Association of Attorneys General. Available at: https://www.naag.org/attorney-ge</w:t>
      </w:r>
      <w:r w:rsidRPr="00E62AA7">
        <w:rPr>
          <w:rFonts w:ascii="Times New Roman" w:hAnsi="Times New Roman" w:cs="Times New Roman"/>
          <w:sz w:val="24"/>
          <w:szCs w:val="24"/>
        </w:rPr>
        <w:t>neral-journal/a-deep-dive-into-colorados-artificial-intelligence-act/ (Accessed 2</w:t>
      </w:r>
      <w:r w:rsidR="007850AF">
        <w:rPr>
          <w:rFonts w:ascii="Times New Roman" w:hAnsi="Times New Roman" w:cs="Times New Roman"/>
          <w:sz w:val="24"/>
          <w:szCs w:val="24"/>
        </w:rPr>
        <w:t>1</w:t>
      </w:r>
      <w:r w:rsidRPr="00E62AA7">
        <w:rPr>
          <w:rFonts w:ascii="Times New Roman" w:hAnsi="Times New Roman" w:cs="Times New Roman"/>
          <w:sz w:val="24"/>
          <w:szCs w:val="24"/>
        </w:rPr>
        <w:t xml:space="preserve"> July 2026).</w:t>
      </w:r>
    </w:p>
    <w:p w14:paraId="48A97EC1" w14:textId="05AFA0AE"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Skadden, Arps, Slate, Meagher &amp; Flom LLP (2026) 'Colorado repeals and replaces its AI Act'. Available at: https://www.skadden.com/insights/publications/2026/06/c</w:t>
      </w:r>
      <w:r w:rsidRPr="00E62AA7">
        <w:rPr>
          <w:rFonts w:ascii="Times New Roman" w:hAnsi="Times New Roman" w:cs="Times New Roman"/>
          <w:sz w:val="24"/>
          <w:szCs w:val="24"/>
        </w:rPr>
        <w:t>olorado-repeals-and-replaces-its-ai-act (Accessed 2</w:t>
      </w:r>
      <w:r w:rsidR="007850AF">
        <w:rPr>
          <w:rFonts w:ascii="Times New Roman" w:hAnsi="Times New Roman" w:cs="Times New Roman"/>
          <w:sz w:val="24"/>
          <w:szCs w:val="24"/>
        </w:rPr>
        <w:t>1</w:t>
      </w:r>
      <w:r w:rsidRPr="00E62AA7">
        <w:rPr>
          <w:rFonts w:ascii="Times New Roman" w:hAnsi="Times New Roman" w:cs="Times New Roman"/>
          <w:sz w:val="24"/>
          <w:szCs w:val="24"/>
        </w:rPr>
        <w:t xml:space="preserve"> July 2026).</w:t>
      </w:r>
    </w:p>
    <w:p w14:paraId="29708942" w14:textId="371953F6"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Watson, J. (2025) 'QuickBooks market share: Global &amp; industry insights [2026]', Ace Cloud Hosting. Available at: https://www.acecloudhosting.com/blog/quickbooks-market-share/ (Accessed 2</w:t>
      </w:r>
      <w:r w:rsidR="007850AF">
        <w:rPr>
          <w:rFonts w:ascii="Times New Roman" w:hAnsi="Times New Roman" w:cs="Times New Roman"/>
          <w:sz w:val="24"/>
          <w:szCs w:val="24"/>
        </w:rPr>
        <w:t>1</w:t>
      </w:r>
      <w:r w:rsidRPr="00E62AA7">
        <w:rPr>
          <w:rFonts w:ascii="Times New Roman" w:hAnsi="Times New Roman" w:cs="Times New Roman"/>
          <w:sz w:val="24"/>
          <w:szCs w:val="24"/>
        </w:rPr>
        <w:t xml:space="preserve"> Jul</w:t>
      </w:r>
      <w:r w:rsidRPr="00E62AA7">
        <w:rPr>
          <w:rFonts w:ascii="Times New Roman" w:hAnsi="Times New Roman" w:cs="Times New Roman"/>
          <w:sz w:val="24"/>
          <w:szCs w:val="24"/>
        </w:rPr>
        <w:t>y 2026).</w:t>
      </w:r>
    </w:p>
    <w:p w14:paraId="5D4E65F7" w14:textId="77777777"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Yuhertiana, I. and Hadi Amin, A. (2024) 'Artificial intelligence driven approaches for financial fraud detection: A systematic literature review', KnE Social Sciences. doi:10.18502/kss.v9i20.16551.</w:t>
      </w:r>
    </w:p>
    <w:p w14:paraId="23AAAF64" w14:textId="77777777" w:rsidR="004450F2" w:rsidRPr="00E62AA7" w:rsidRDefault="00A900DC" w:rsidP="007850AF">
      <w:pPr>
        <w:spacing w:line="360" w:lineRule="auto"/>
        <w:ind w:left="720" w:hanging="720"/>
        <w:jc w:val="both"/>
        <w:rPr>
          <w:rFonts w:ascii="Times New Roman" w:hAnsi="Times New Roman" w:cs="Times New Roman"/>
          <w:sz w:val="24"/>
          <w:szCs w:val="24"/>
        </w:rPr>
      </w:pPr>
      <w:r w:rsidRPr="00E62AA7">
        <w:rPr>
          <w:rFonts w:ascii="Times New Roman" w:hAnsi="Times New Roman" w:cs="Times New Roman"/>
          <w:sz w:val="24"/>
          <w:szCs w:val="24"/>
        </w:rPr>
        <w:t>Yüksel, I. (2012) 'Developing a multi-</w:t>
      </w:r>
      <w:proofErr w:type="gramStart"/>
      <w:r w:rsidRPr="00E62AA7">
        <w:rPr>
          <w:rFonts w:ascii="Times New Roman" w:hAnsi="Times New Roman" w:cs="Times New Roman"/>
          <w:sz w:val="24"/>
          <w:szCs w:val="24"/>
        </w:rPr>
        <w:t>criteria de</w:t>
      </w:r>
      <w:r w:rsidRPr="00E62AA7">
        <w:rPr>
          <w:rFonts w:ascii="Times New Roman" w:hAnsi="Times New Roman" w:cs="Times New Roman"/>
          <w:sz w:val="24"/>
          <w:szCs w:val="24"/>
        </w:rPr>
        <w:t>cision making</w:t>
      </w:r>
      <w:proofErr w:type="gramEnd"/>
      <w:r w:rsidRPr="00E62AA7">
        <w:rPr>
          <w:rFonts w:ascii="Times New Roman" w:hAnsi="Times New Roman" w:cs="Times New Roman"/>
          <w:sz w:val="24"/>
          <w:szCs w:val="24"/>
        </w:rPr>
        <w:t xml:space="preserve"> model for PESTEL analysis', International Journal of Business and Management, 7(24). doi:10.5539/ijbm.v7n24p52.</w:t>
      </w:r>
    </w:p>
    <w:sectPr w:rsidR="004450F2" w:rsidRPr="00E62AA7" w:rsidSect="002C7A33">
      <w:footerReference w:type="default" r:id="rId11"/>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FEB5B" w14:textId="77777777" w:rsidR="00A900DC" w:rsidRDefault="00A900DC" w:rsidP="00B808A9">
      <w:pPr>
        <w:spacing w:before="0" w:after="0" w:line="240" w:lineRule="auto"/>
      </w:pPr>
      <w:r>
        <w:separator/>
      </w:r>
    </w:p>
  </w:endnote>
  <w:endnote w:type="continuationSeparator" w:id="0">
    <w:p w14:paraId="31602C33" w14:textId="77777777" w:rsidR="00A900DC" w:rsidRDefault="00A900DC" w:rsidP="00B808A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5713350"/>
      <w:docPartObj>
        <w:docPartGallery w:val="Page Numbers (Bottom of Page)"/>
        <w:docPartUnique/>
      </w:docPartObj>
    </w:sdtPr>
    <w:sdtEndPr>
      <w:rPr>
        <w:noProof/>
      </w:rPr>
    </w:sdtEndPr>
    <w:sdtContent>
      <w:p w14:paraId="2011DDA5" w14:textId="5CB8F81E" w:rsidR="00B808A9" w:rsidRDefault="00B808A9" w:rsidP="002C7A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584DF" w14:textId="77777777" w:rsidR="00A900DC" w:rsidRDefault="00A900DC" w:rsidP="00B808A9">
      <w:pPr>
        <w:spacing w:before="0" w:after="0" w:line="240" w:lineRule="auto"/>
      </w:pPr>
      <w:r>
        <w:separator/>
      </w:r>
    </w:p>
  </w:footnote>
  <w:footnote w:type="continuationSeparator" w:id="0">
    <w:p w14:paraId="760E25BE" w14:textId="77777777" w:rsidR="00A900DC" w:rsidRDefault="00A900DC" w:rsidP="00B808A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47A625A6"/>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20E0B"/>
    <w:rsid w:val="00264C5F"/>
    <w:rsid w:val="0029639D"/>
    <w:rsid w:val="002C7A33"/>
    <w:rsid w:val="002E2033"/>
    <w:rsid w:val="00311F2F"/>
    <w:rsid w:val="00326F90"/>
    <w:rsid w:val="004450F2"/>
    <w:rsid w:val="00467EC3"/>
    <w:rsid w:val="005C486D"/>
    <w:rsid w:val="00750F21"/>
    <w:rsid w:val="00782772"/>
    <w:rsid w:val="007850AF"/>
    <w:rsid w:val="00A900DC"/>
    <w:rsid w:val="00AA1D8D"/>
    <w:rsid w:val="00AF6C10"/>
    <w:rsid w:val="00B47730"/>
    <w:rsid w:val="00B808A9"/>
    <w:rsid w:val="00C34B92"/>
    <w:rsid w:val="00C44088"/>
    <w:rsid w:val="00C90BDE"/>
    <w:rsid w:val="00CB0664"/>
    <w:rsid w:val="00E442AC"/>
    <w:rsid w:val="00E62AA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05FED84"/>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AA7"/>
  </w:style>
  <w:style w:type="paragraph" w:styleId="Heading1">
    <w:name w:val="heading 1"/>
    <w:basedOn w:val="Normal"/>
    <w:next w:val="Normal"/>
    <w:link w:val="Heading1Char"/>
    <w:uiPriority w:val="9"/>
    <w:qFormat/>
    <w:rsid w:val="00E62AA7"/>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62AA7"/>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E62AA7"/>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semiHidden/>
    <w:unhideWhenUsed/>
    <w:qFormat/>
    <w:rsid w:val="00E62AA7"/>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E62AA7"/>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E62AA7"/>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E62AA7"/>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E62AA7"/>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62AA7"/>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E62AA7"/>
    <w:pPr>
      <w:spacing w:after="0" w:line="240" w:lineRule="auto"/>
    </w:pPr>
  </w:style>
  <w:style w:type="character" w:customStyle="1" w:styleId="Heading1Char">
    <w:name w:val="Heading 1 Char"/>
    <w:basedOn w:val="DefaultParagraphFont"/>
    <w:link w:val="Heading1"/>
    <w:uiPriority w:val="9"/>
    <w:rsid w:val="00E62AA7"/>
    <w:rPr>
      <w:caps/>
      <w:color w:val="FFFFFF" w:themeColor="background1"/>
      <w:spacing w:val="15"/>
      <w:sz w:val="22"/>
      <w:szCs w:val="22"/>
      <w:shd w:val="clear" w:color="auto" w:fill="4F81BD" w:themeFill="accent1"/>
    </w:rPr>
  </w:style>
  <w:style w:type="character" w:customStyle="1" w:styleId="Heading2Char">
    <w:name w:val="Heading 2 Char"/>
    <w:basedOn w:val="DefaultParagraphFont"/>
    <w:link w:val="Heading2"/>
    <w:uiPriority w:val="9"/>
    <w:rsid w:val="00E62AA7"/>
    <w:rPr>
      <w:caps/>
      <w:spacing w:val="15"/>
      <w:shd w:val="clear" w:color="auto" w:fill="DBE5F1" w:themeFill="accent1" w:themeFillTint="33"/>
    </w:rPr>
  </w:style>
  <w:style w:type="character" w:customStyle="1" w:styleId="Heading3Char">
    <w:name w:val="Heading 3 Char"/>
    <w:basedOn w:val="DefaultParagraphFont"/>
    <w:link w:val="Heading3"/>
    <w:uiPriority w:val="9"/>
    <w:rsid w:val="00E62AA7"/>
    <w:rPr>
      <w:caps/>
      <w:color w:val="243F60" w:themeColor="accent1" w:themeShade="7F"/>
      <w:spacing w:val="15"/>
    </w:rPr>
  </w:style>
  <w:style w:type="paragraph" w:styleId="Title">
    <w:name w:val="Title"/>
    <w:basedOn w:val="Normal"/>
    <w:next w:val="Normal"/>
    <w:link w:val="TitleChar"/>
    <w:uiPriority w:val="10"/>
    <w:qFormat/>
    <w:rsid w:val="00E62AA7"/>
    <w:pPr>
      <w:spacing w:before="0" w:after="0"/>
    </w:pPr>
    <w:rPr>
      <w:rFonts w:asciiTheme="majorHAnsi" w:eastAsiaTheme="majorEastAsia" w:hAnsiTheme="majorHAnsi" w:cstheme="majorBidi"/>
      <w:caps/>
      <w:color w:val="4F81BD" w:themeColor="accent1"/>
      <w:spacing w:val="10"/>
      <w:sz w:val="52"/>
      <w:szCs w:val="52"/>
    </w:rPr>
  </w:style>
  <w:style w:type="character" w:customStyle="1" w:styleId="TitleChar">
    <w:name w:val="Title Char"/>
    <w:basedOn w:val="DefaultParagraphFont"/>
    <w:link w:val="Title"/>
    <w:uiPriority w:val="10"/>
    <w:rsid w:val="00E62AA7"/>
    <w:rPr>
      <w:rFonts w:asciiTheme="majorHAnsi" w:eastAsiaTheme="majorEastAsia" w:hAnsiTheme="majorHAnsi" w:cstheme="majorBidi"/>
      <w:caps/>
      <w:color w:val="4F81BD" w:themeColor="accent1"/>
      <w:spacing w:val="10"/>
      <w:sz w:val="52"/>
      <w:szCs w:val="52"/>
    </w:rPr>
  </w:style>
  <w:style w:type="paragraph" w:styleId="Subtitle">
    <w:name w:val="Subtitle"/>
    <w:basedOn w:val="Normal"/>
    <w:next w:val="Normal"/>
    <w:link w:val="SubtitleChar"/>
    <w:uiPriority w:val="11"/>
    <w:qFormat/>
    <w:rsid w:val="00E62AA7"/>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62AA7"/>
    <w:rPr>
      <w:caps/>
      <w:color w:val="595959" w:themeColor="text1" w:themeTint="A6"/>
      <w:spacing w:val="10"/>
      <w:sz w:val="21"/>
      <w:szCs w:val="21"/>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E62AA7"/>
    <w:rPr>
      <w:i/>
      <w:iCs/>
      <w:sz w:val="24"/>
      <w:szCs w:val="24"/>
    </w:rPr>
  </w:style>
  <w:style w:type="character" w:customStyle="1" w:styleId="QuoteChar">
    <w:name w:val="Quote Char"/>
    <w:basedOn w:val="DefaultParagraphFont"/>
    <w:link w:val="Quote"/>
    <w:uiPriority w:val="29"/>
    <w:rsid w:val="00E62AA7"/>
    <w:rPr>
      <w:i/>
      <w:iCs/>
      <w:sz w:val="24"/>
      <w:szCs w:val="24"/>
    </w:rPr>
  </w:style>
  <w:style w:type="character" w:customStyle="1" w:styleId="Heading4Char">
    <w:name w:val="Heading 4 Char"/>
    <w:basedOn w:val="DefaultParagraphFont"/>
    <w:link w:val="Heading4"/>
    <w:uiPriority w:val="9"/>
    <w:semiHidden/>
    <w:rsid w:val="00E62AA7"/>
    <w:rPr>
      <w:caps/>
      <w:color w:val="365F91" w:themeColor="accent1" w:themeShade="BF"/>
      <w:spacing w:val="10"/>
    </w:rPr>
  </w:style>
  <w:style w:type="character" w:customStyle="1" w:styleId="Heading5Char">
    <w:name w:val="Heading 5 Char"/>
    <w:basedOn w:val="DefaultParagraphFont"/>
    <w:link w:val="Heading5"/>
    <w:uiPriority w:val="9"/>
    <w:semiHidden/>
    <w:rsid w:val="00E62AA7"/>
    <w:rPr>
      <w:caps/>
      <w:color w:val="365F91" w:themeColor="accent1" w:themeShade="BF"/>
      <w:spacing w:val="10"/>
    </w:rPr>
  </w:style>
  <w:style w:type="character" w:customStyle="1" w:styleId="Heading6Char">
    <w:name w:val="Heading 6 Char"/>
    <w:basedOn w:val="DefaultParagraphFont"/>
    <w:link w:val="Heading6"/>
    <w:uiPriority w:val="9"/>
    <w:semiHidden/>
    <w:rsid w:val="00E62AA7"/>
    <w:rPr>
      <w:caps/>
      <w:color w:val="365F91" w:themeColor="accent1" w:themeShade="BF"/>
      <w:spacing w:val="10"/>
    </w:rPr>
  </w:style>
  <w:style w:type="character" w:customStyle="1" w:styleId="Heading7Char">
    <w:name w:val="Heading 7 Char"/>
    <w:basedOn w:val="DefaultParagraphFont"/>
    <w:link w:val="Heading7"/>
    <w:uiPriority w:val="9"/>
    <w:semiHidden/>
    <w:rsid w:val="00E62AA7"/>
    <w:rPr>
      <w:caps/>
      <w:color w:val="365F91" w:themeColor="accent1" w:themeShade="BF"/>
      <w:spacing w:val="10"/>
    </w:rPr>
  </w:style>
  <w:style w:type="character" w:customStyle="1" w:styleId="Heading8Char">
    <w:name w:val="Heading 8 Char"/>
    <w:basedOn w:val="DefaultParagraphFont"/>
    <w:link w:val="Heading8"/>
    <w:uiPriority w:val="9"/>
    <w:semiHidden/>
    <w:rsid w:val="00E62AA7"/>
    <w:rPr>
      <w:caps/>
      <w:spacing w:val="10"/>
      <w:sz w:val="18"/>
      <w:szCs w:val="18"/>
    </w:rPr>
  </w:style>
  <w:style w:type="character" w:customStyle="1" w:styleId="Heading9Char">
    <w:name w:val="Heading 9 Char"/>
    <w:basedOn w:val="DefaultParagraphFont"/>
    <w:link w:val="Heading9"/>
    <w:uiPriority w:val="9"/>
    <w:semiHidden/>
    <w:rsid w:val="00E62AA7"/>
    <w:rPr>
      <w:i/>
      <w:iCs/>
      <w:caps/>
      <w:spacing w:val="10"/>
      <w:sz w:val="18"/>
      <w:szCs w:val="18"/>
    </w:rPr>
  </w:style>
  <w:style w:type="paragraph" w:styleId="Caption">
    <w:name w:val="caption"/>
    <w:basedOn w:val="Normal"/>
    <w:next w:val="Normal"/>
    <w:uiPriority w:val="35"/>
    <w:unhideWhenUsed/>
    <w:qFormat/>
    <w:rsid w:val="00E62AA7"/>
    <w:rPr>
      <w:b/>
      <w:bCs/>
      <w:color w:val="365F91" w:themeColor="accent1" w:themeShade="BF"/>
      <w:sz w:val="16"/>
      <w:szCs w:val="16"/>
    </w:rPr>
  </w:style>
  <w:style w:type="character" w:styleId="Strong">
    <w:name w:val="Strong"/>
    <w:uiPriority w:val="22"/>
    <w:qFormat/>
    <w:rsid w:val="00E62AA7"/>
    <w:rPr>
      <w:b/>
      <w:bCs/>
    </w:rPr>
  </w:style>
  <w:style w:type="character" w:styleId="Emphasis">
    <w:name w:val="Emphasis"/>
    <w:uiPriority w:val="20"/>
    <w:qFormat/>
    <w:rsid w:val="00E62AA7"/>
    <w:rPr>
      <w:caps/>
      <w:color w:val="243F60" w:themeColor="accent1" w:themeShade="7F"/>
      <w:spacing w:val="5"/>
    </w:rPr>
  </w:style>
  <w:style w:type="paragraph" w:styleId="IntenseQuote">
    <w:name w:val="Intense Quote"/>
    <w:basedOn w:val="Normal"/>
    <w:next w:val="Normal"/>
    <w:link w:val="IntenseQuoteChar"/>
    <w:uiPriority w:val="30"/>
    <w:qFormat/>
    <w:rsid w:val="00E62AA7"/>
    <w:pPr>
      <w:spacing w:before="240" w:after="240" w:line="240" w:lineRule="auto"/>
      <w:ind w:left="1080" w:right="1080"/>
      <w:jc w:val="center"/>
    </w:pPr>
    <w:rPr>
      <w:color w:val="4F81BD" w:themeColor="accent1"/>
      <w:sz w:val="24"/>
      <w:szCs w:val="24"/>
    </w:rPr>
  </w:style>
  <w:style w:type="character" w:customStyle="1" w:styleId="IntenseQuoteChar">
    <w:name w:val="Intense Quote Char"/>
    <w:basedOn w:val="DefaultParagraphFont"/>
    <w:link w:val="IntenseQuote"/>
    <w:uiPriority w:val="30"/>
    <w:rsid w:val="00E62AA7"/>
    <w:rPr>
      <w:color w:val="4F81BD" w:themeColor="accent1"/>
      <w:sz w:val="24"/>
      <w:szCs w:val="24"/>
    </w:rPr>
  </w:style>
  <w:style w:type="character" w:styleId="SubtleEmphasis">
    <w:name w:val="Subtle Emphasis"/>
    <w:uiPriority w:val="19"/>
    <w:qFormat/>
    <w:rsid w:val="00E62AA7"/>
    <w:rPr>
      <w:i/>
      <w:iCs/>
      <w:color w:val="243F60" w:themeColor="accent1" w:themeShade="7F"/>
    </w:rPr>
  </w:style>
  <w:style w:type="character" w:styleId="IntenseEmphasis">
    <w:name w:val="Intense Emphasis"/>
    <w:uiPriority w:val="21"/>
    <w:qFormat/>
    <w:rsid w:val="00E62AA7"/>
    <w:rPr>
      <w:b/>
      <w:bCs/>
      <w:caps/>
      <w:color w:val="243F60" w:themeColor="accent1" w:themeShade="7F"/>
      <w:spacing w:val="10"/>
    </w:rPr>
  </w:style>
  <w:style w:type="character" w:styleId="SubtleReference">
    <w:name w:val="Subtle Reference"/>
    <w:uiPriority w:val="31"/>
    <w:qFormat/>
    <w:rsid w:val="00E62AA7"/>
    <w:rPr>
      <w:b/>
      <w:bCs/>
      <w:color w:val="4F81BD" w:themeColor="accent1"/>
    </w:rPr>
  </w:style>
  <w:style w:type="character" w:styleId="IntenseReference">
    <w:name w:val="Intense Reference"/>
    <w:uiPriority w:val="32"/>
    <w:qFormat/>
    <w:rsid w:val="00E62AA7"/>
    <w:rPr>
      <w:b/>
      <w:bCs/>
      <w:i/>
      <w:iCs/>
      <w:caps/>
      <w:color w:val="4F81BD" w:themeColor="accent1"/>
    </w:rPr>
  </w:style>
  <w:style w:type="character" w:styleId="BookTitle">
    <w:name w:val="Book Title"/>
    <w:uiPriority w:val="33"/>
    <w:qFormat/>
    <w:rsid w:val="00E62AA7"/>
    <w:rPr>
      <w:b/>
      <w:bCs/>
      <w:i/>
      <w:iCs/>
      <w:spacing w:val="0"/>
    </w:rPr>
  </w:style>
  <w:style w:type="paragraph" w:styleId="TOCHeading">
    <w:name w:val="TOC Heading"/>
    <w:basedOn w:val="Heading1"/>
    <w:next w:val="Normal"/>
    <w:uiPriority w:val="39"/>
    <w:unhideWhenUsed/>
    <w:qFormat/>
    <w:rsid w:val="00E62AA7"/>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TableGridLight">
    <w:name w:val="Grid Table Light"/>
    <w:basedOn w:val="TableNormal"/>
    <w:uiPriority w:val="99"/>
    <w:rsid w:val="007850A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1">
    <w:name w:val="toc 1"/>
    <w:basedOn w:val="Normal"/>
    <w:next w:val="Normal"/>
    <w:autoRedefine/>
    <w:uiPriority w:val="39"/>
    <w:unhideWhenUsed/>
    <w:rsid w:val="00B808A9"/>
    <w:pPr>
      <w:spacing w:after="100"/>
    </w:pPr>
  </w:style>
  <w:style w:type="paragraph" w:styleId="TOC2">
    <w:name w:val="toc 2"/>
    <w:basedOn w:val="Normal"/>
    <w:next w:val="Normal"/>
    <w:autoRedefine/>
    <w:uiPriority w:val="39"/>
    <w:unhideWhenUsed/>
    <w:rsid w:val="00B808A9"/>
    <w:pPr>
      <w:spacing w:after="100"/>
      <w:ind w:left="200"/>
    </w:pPr>
  </w:style>
  <w:style w:type="character" w:styleId="Hyperlink">
    <w:name w:val="Hyperlink"/>
    <w:basedOn w:val="DefaultParagraphFont"/>
    <w:uiPriority w:val="99"/>
    <w:unhideWhenUsed/>
    <w:rsid w:val="00B808A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5845605">
      <w:bodyDiv w:val="1"/>
      <w:marLeft w:val="0"/>
      <w:marRight w:val="0"/>
      <w:marTop w:val="0"/>
      <w:marBottom w:val="0"/>
      <w:divBdr>
        <w:top w:val="none" w:sz="0" w:space="0" w:color="auto"/>
        <w:left w:val="none" w:sz="0" w:space="0" w:color="auto"/>
        <w:bottom w:val="none" w:sz="0" w:space="0" w:color="auto"/>
        <w:right w:val="none" w:sz="0" w:space="0" w:color="auto"/>
      </w:divBdr>
    </w:div>
    <w:div w:id="142799491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645894-F412-4CAD-9496-564ED449C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6790</Words>
  <Characters>38708</Characters>
  <Application>Microsoft Office Word</Application>
  <DocSecurity>0</DocSecurity>
  <Lines>322</Lines>
  <Paragraphs>90</Paragraphs>
  <ScaleCrop>false</ScaleCrop>
  <Manager/>
  <Company/>
  <LinksUpToDate>false</LinksUpToDate>
  <CharactersWithSpaces>45408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2026-07-24T08:50:00Z</dcterms:created>
  <dcterms:modified xsi:type="dcterms:W3CDTF">2026-07-24T08:50:00Z</dcterms:modified>
  <cp:category/>
</cp:coreProperties>
</file>