
<file path=[Content_Types].xml><?xml version="1.0" encoding="utf-8"?>
<Types xmlns="http://schemas.openxmlformats.org/package/2006/content-types">
  <Default Extension="png" ContentType="image/png"/>
  <Default Extension="rels" ContentType="application/vnd.openxmlformats-package.relationships+xml"/>
  <Default Extension="svg" ContentType="image/svg+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Metadata/LabelInfo.xml" ContentType="application/vnd.ms-office.classificationlabel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microsoft.com/office/2020/02/relationships/classificationlabels" Target="docMetadata/LabelInfo.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p w14:paraId="22B94B40" w14:textId="5D732865" w:rsidR="00FB1AB6" w:rsidRPr="00FB1AB6" w:rsidRDefault="00FB1AB6" w:rsidP="00FB1AB6">
      <w:pPr>
        <w:pBdr>
          <w:top w:val="dotted" w:sz="2" w:space="1" w:color="2A5010"/>
          <w:bottom w:val="dotted" w:sz="2" w:space="6" w:color="2A5010"/>
        </w:pBdr>
        <w:spacing w:before="500" w:after="300"/>
        <w:jc w:val="center"/>
        <w:rPr>
          <w:rFonts w:ascii="Trebuchet MS" w:eastAsia="Times New Roman" w:hAnsi="Trebuchet MS" w:cs="Times New Roman"/>
          <w:caps/>
          <w:color w:val="2A5010"/>
          <w:spacing w:val="50"/>
          <w:kern w:val="0"/>
          <w:sz w:val="44"/>
          <w:szCs w:val="44"/>
          <w14:ligatures w14:val="none"/>
        </w:rPr>
      </w:pPr>
      <w:r>
        <w:rPr>
          <w:rFonts w:ascii="Trebuchet MS" w:eastAsia="Times New Roman" w:hAnsi="Trebuchet MS" w:cs="Times New Roman"/>
          <w:caps/>
          <w:color w:val="2A5010"/>
          <w:spacing w:val="50"/>
          <w:kern w:val="0"/>
          <w:sz w:val="44"/>
          <w:szCs w:val="44"/>
          <w14:ligatures w14:val="none"/>
        </w:rPr>
        <w:t xml:space="preserve">Leading and devloping people </w:t>
      </w:r>
      <w:r w:rsidRPr="00FB1AB6">
        <w:rPr>
          <w:rFonts w:ascii="Trebuchet MS" w:eastAsia="Times New Roman" w:hAnsi="Trebuchet MS" w:cs="Times New Roman"/>
          <w:caps/>
          <w:color w:val="2A5010"/>
          <w:spacing w:val="50"/>
          <w:kern w:val="0"/>
          <w:sz w:val="44"/>
          <w:szCs w:val="44"/>
          <w14:ligatures w14:val="none"/>
        </w:rPr>
        <w:t xml:space="preserve"> </w:t>
      </w:r>
    </w:p>
    <w:p w14:paraId="3988A2E7" w14:textId="32738EDC" w:rsidR="00FB1AB6" w:rsidRPr="00FB1AB6" w:rsidRDefault="00FB1AB6" w:rsidP="00FB1AB6">
      <w:pPr>
        <w:keepNext/>
        <w:keepLines/>
        <w:spacing w:before="160" w:after="80" w:line="252" w:lineRule="auto"/>
        <w:jc w:val="center"/>
        <w:outlineLvl w:val="1"/>
        <w:rPr>
          <w:rFonts w:ascii="Trebuchet MS" w:eastAsia="Times New Roman" w:hAnsi="Trebuchet MS" w:cs="Times New Roman"/>
          <w:color w:val="6B911C"/>
          <w:kern w:val="0"/>
          <w:sz w:val="32"/>
          <w:szCs w:val="32"/>
          <w14:ligatures w14:val="none"/>
        </w:rPr>
      </w:pPr>
      <w:r w:rsidRPr="00FB1AB6">
        <w:rPr>
          <w:rFonts w:ascii="Trebuchet MS" w:eastAsia="Times New Roman" w:hAnsi="Trebuchet MS" w:cs="Times New Roman"/>
          <w:color w:val="6B911C"/>
          <w:kern w:val="0"/>
          <w:sz w:val="32"/>
          <w:szCs w:val="32"/>
          <w14:ligatures w14:val="none"/>
        </w:rPr>
        <w:t>ASSIGNMENT 1</w:t>
      </w:r>
      <w:r w:rsidR="00B75D12">
        <w:rPr>
          <w:rFonts w:ascii="Trebuchet MS" w:eastAsia="Times New Roman" w:hAnsi="Trebuchet MS" w:cs="Times New Roman"/>
          <w:color w:val="6B911C"/>
          <w:kern w:val="0"/>
          <w:sz w:val="32"/>
          <w:szCs w:val="32"/>
          <w14:ligatures w14:val="none"/>
        </w:rPr>
        <w:t xml:space="preserve"> – Academic Essay</w:t>
      </w:r>
    </w:p>
    <w:p w14:paraId="49DE4ACA" w14:textId="25C61A80" w:rsidR="00FB1AB6" w:rsidRPr="00FB1AB6" w:rsidRDefault="00FB1AB6" w:rsidP="00FB1AB6">
      <w:pPr>
        <w:pBdr>
          <w:top w:val="dotted" w:sz="2" w:space="1" w:color="2A5010"/>
          <w:bottom w:val="dotted" w:sz="2" w:space="6" w:color="2A5010"/>
        </w:pBdr>
        <w:spacing w:before="500" w:after="300"/>
        <w:jc w:val="center"/>
        <w:rPr>
          <w:rFonts w:ascii="Trebuchet MS" w:eastAsia="Times New Roman" w:hAnsi="Trebuchet MS" w:cs="Times New Roman"/>
          <w:caps/>
          <w:color w:val="2A5010"/>
          <w:spacing w:val="50"/>
          <w:kern w:val="0"/>
          <w:sz w:val="44"/>
          <w:szCs w:val="44"/>
          <w14:ligatures w14:val="none"/>
        </w:rPr>
      </w:pPr>
      <w:r w:rsidRPr="00FB1AB6">
        <w:rPr>
          <w:rFonts w:ascii="Trebuchet MS" w:eastAsia="Times New Roman" w:hAnsi="Trebuchet MS" w:cs="Times New Roman"/>
          <w:caps/>
          <w:color w:val="2A5010"/>
          <w:spacing w:val="50"/>
          <w:kern w:val="0"/>
          <w:sz w:val="44"/>
          <w:szCs w:val="44"/>
          <w14:ligatures w14:val="none"/>
        </w:rPr>
        <w:t>Title: A critical analysis of Employee and Leadership Development</w:t>
      </w:r>
    </w:p>
    <w:p w14:paraId="6FE7FD2C" w14:textId="77777777" w:rsidR="00FB1AB6" w:rsidRPr="00FB1AB6" w:rsidRDefault="00FB1AB6" w:rsidP="00FB1AB6">
      <w:pPr>
        <w:pBdr>
          <w:bottom w:val="thinThickSmallGap" w:sz="12" w:space="1" w:color="3E7718"/>
        </w:pBdr>
        <w:spacing w:before="400" w:after="200" w:line="252" w:lineRule="auto"/>
        <w:jc w:val="center"/>
        <w:outlineLvl w:val="0"/>
        <w:rPr>
          <w:rFonts w:ascii="Trebuchet MS" w:eastAsia="Times New Roman" w:hAnsi="Trebuchet MS" w:cs="Times New Roman"/>
          <w:caps/>
          <w:color w:val="2A5010"/>
          <w:spacing w:val="20"/>
          <w:kern w:val="0"/>
          <w:sz w:val="28"/>
          <w:szCs w:val="28"/>
          <w14:ligatures w14:val="none"/>
        </w:rPr>
      </w:pPr>
    </w:p>
    <w:p w14:paraId="31E8805D" w14:textId="77777777" w:rsidR="00FB1AB6" w:rsidRPr="00FB1AB6" w:rsidRDefault="00FB1AB6" w:rsidP="00FB1AB6">
      <w:pPr>
        <w:spacing w:after="200" w:line="252" w:lineRule="auto"/>
        <w:rPr>
          <w:rFonts w:ascii="Trebuchet MS" w:eastAsia="Times New Roman" w:hAnsi="Trebuchet MS" w:cs="Times New Roman"/>
          <w:kern w:val="0"/>
          <w:sz w:val="22"/>
          <w:szCs w:val="22"/>
          <w14:ligatures w14:val="none"/>
        </w:rPr>
      </w:pPr>
    </w:p>
    <w:p w14:paraId="3F914188" w14:textId="77777777" w:rsidR="00FB1AB6" w:rsidRPr="00FB1AB6" w:rsidRDefault="00FB1AB6" w:rsidP="00FB1AB6">
      <w:pPr>
        <w:spacing w:after="200" w:line="252" w:lineRule="auto"/>
        <w:rPr>
          <w:rFonts w:ascii="Trebuchet MS" w:eastAsia="Times New Roman" w:hAnsi="Trebuchet MS" w:cs="Times New Roman"/>
          <w:kern w:val="0"/>
          <w:sz w:val="22"/>
          <w:szCs w:val="22"/>
          <w14:ligatures w14:val="none"/>
        </w:rPr>
      </w:pPr>
    </w:p>
    <w:p w14:paraId="428BDEC4" w14:textId="77777777" w:rsidR="00FB1AB6" w:rsidRPr="00FB1AB6" w:rsidRDefault="00FB1AB6" w:rsidP="00FB1AB6">
      <w:pPr>
        <w:spacing w:after="200" w:line="252" w:lineRule="auto"/>
        <w:rPr>
          <w:rFonts w:ascii="Trebuchet MS" w:eastAsia="Times New Roman" w:hAnsi="Trebuchet MS" w:cs="Times New Roman"/>
          <w:kern w:val="0"/>
          <w:sz w:val="22"/>
          <w:szCs w:val="22"/>
          <w14:ligatures w14:val="none"/>
        </w:rPr>
      </w:pPr>
    </w:p>
    <w:p w14:paraId="0AEDCF50" w14:textId="77777777" w:rsidR="00FB1AB6" w:rsidRPr="00FB1AB6" w:rsidRDefault="00FB1AB6" w:rsidP="00FB1AB6">
      <w:pPr>
        <w:spacing w:after="200" w:line="252" w:lineRule="auto"/>
        <w:jc w:val="center"/>
        <w:rPr>
          <w:rFonts w:ascii="Trebuchet MS" w:eastAsia="Times New Roman" w:hAnsi="Trebuchet MS" w:cs="Times New Roman"/>
          <w:kern w:val="0"/>
          <w:sz w:val="22"/>
          <w:szCs w:val="22"/>
          <w14:ligatures w14:val="none"/>
        </w:rPr>
      </w:pPr>
      <w:r w:rsidRPr="00FB1AB6">
        <w:rPr>
          <w:rFonts w:ascii="Trebuchet MS" w:eastAsia="Times New Roman" w:hAnsi="Trebuchet MS" w:cs="Times New Roman"/>
          <w:noProof/>
          <w:kern w:val="0"/>
          <w:sz w:val="22"/>
          <w:szCs w:val="22"/>
          <w14:ligatures w14:val="none"/>
        </w:rPr>
        <w:drawing>
          <wp:inline distT="0" distB="0" distL="0" distR="0" wp14:anchorId="275DFC51" wp14:editId="5BA5733C">
            <wp:extent cx="1104900" cy="1104900"/>
            <wp:effectExtent l="0" t="0" r="0" b="0"/>
            <wp:docPr id="991086745" name="Graphic 2" descr="Brain in head with solid fill"/>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991086745" name="Graphic 991086745" descr="Brain in head with solid fill"/>
                    <pic:cNvPicPr/>
                  </pic:nvPicPr>
                  <pic:blipFill>
                    <a:blip r:embed="rId5">
                      <a:extLst>
                        <a:ext uri="{96DAC541-7B7A-43D3-8B79-37D633B846F1}">
                          <asvg:svgBlip xmlns:asvg="http://schemas.microsoft.com/office/drawing/2016/SVG/main" r:embed="rId6"/>
                        </a:ext>
                      </a:extLst>
                    </a:blip>
                    <a:stretch>
                      <a:fillRect/>
                    </a:stretch>
                  </pic:blipFill>
                  <pic:spPr>
                    <a:xfrm>
                      <a:off x="0" y="0"/>
                      <a:ext cx="1104900" cy="1104900"/>
                    </a:xfrm>
                    <a:prstGeom prst="rect">
                      <a:avLst/>
                    </a:prstGeom>
                  </pic:spPr>
                </pic:pic>
              </a:graphicData>
            </a:graphic>
          </wp:inline>
        </w:drawing>
      </w:r>
    </w:p>
    <w:p w14:paraId="6036D5D3" w14:textId="77777777" w:rsidR="00FB1AB6" w:rsidRPr="00FB1AB6" w:rsidRDefault="00FB1AB6" w:rsidP="00FB1AB6">
      <w:pPr>
        <w:spacing w:after="200" w:line="252" w:lineRule="auto"/>
        <w:jc w:val="center"/>
        <w:rPr>
          <w:rFonts w:ascii="Trebuchet MS" w:eastAsia="Times New Roman" w:hAnsi="Trebuchet MS" w:cs="Times New Roman"/>
          <w:kern w:val="0"/>
          <w:sz w:val="22"/>
          <w:szCs w:val="22"/>
          <w14:ligatures w14:val="none"/>
        </w:rPr>
      </w:pPr>
    </w:p>
    <w:p w14:paraId="32B5EE79" w14:textId="77777777" w:rsidR="00FB1AB6" w:rsidRPr="00FB1AB6" w:rsidRDefault="00FB1AB6" w:rsidP="00FB1AB6">
      <w:pPr>
        <w:spacing w:after="200" w:line="252" w:lineRule="auto"/>
        <w:rPr>
          <w:rFonts w:ascii="Trebuchet MS" w:eastAsia="Times New Roman" w:hAnsi="Trebuchet MS" w:cs="Times New Roman"/>
          <w:kern w:val="0"/>
          <w:sz w:val="22"/>
          <w:szCs w:val="22"/>
          <w14:ligatures w14:val="none"/>
        </w:rPr>
      </w:pPr>
    </w:p>
    <w:p w14:paraId="088A643D" w14:textId="77777777" w:rsidR="00FB1AB6" w:rsidRPr="00FB1AB6" w:rsidRDefault="00FB1AB6" w:rsidP="00FB1AB6">
      <w:pPr>
        <w:spacing w:after="200" w:line="252" w:lineRule="auto"/>
        <w:rPr>
          <w:rFonts w:ascii="Trebuchet MS" w:eastAsia="Times New Roman" w:hAnsi="Trebuchet MS" w:cs="Times New Roman"/>
          <w:kern w:val="0"/>
          <w:sz w:val="22"/>
          <w:szCs w:val="22"/>
          <w14:ligatures w14:val="none"/>
        </w:rPr>
      </w:pPr>
    </w:p>
    <w:p w14:paraId="40342831" w14:textId="77777777" w:rsidR="00FB1AB6" w:rsidRPr="00FB1AB6" w:rsidRDefault="00FB1AB6" w:rsidP="00FB1AB6">
      <w:pPr>
        <w:spacing w:after="200" w:line="252" w:lineRule="auto"/>
        <w:rPr>
          <w:rFonts w:ascii="Trebuchet MS" w:eastAsia="Times New Roman" w:hAnsi="Trebuchet MS" w:cs="Times New Roman"/>
          <w:kern w:val="0"/>
          <w:sz w:val="22"/>
          <w:szCs w:val="22"/>
          <w14:ligatures w14:val="none"/>
        </w:rPr>
      </w:pPr>
    </w:p>
    <w:p w14:paraId="2BF6A3D6" w14:textId="77777777" w:rsidR="00FB1AB6" w:rsidRPr="00FB1AB6" w:rsidRDefault="00FB1AB6" w:rsidP="00FB1AB6">
      <w:pPr>
        <w:spacing w:after="200" w:line="252" w:lineRule="auto"/>
        <w:rPr>
          <w:rFonts w:ascii="Trebuchet MS" w:eastAsia="Times New Roman" w:hAnsi="Trebuchet MS" w:cs="Times New Roman"/>
          <w:kern w:val="0"/>
          <w:sz w:val="22"/>
          <w:szCs w:val="22"/>
          <w14:ligatures w14:val="none"/>
        </w:rPr>
      </w:pPr>
    </w:p>
    <w:p w14:paraId="2FF81FE3" w14:textId="77777777" w:rsidR="00FB1AB6" w:rsidRPr="00FB1AB6" w:rsidRDefault="00FB1AB6" w:rsidP="00FB1AB6">
      <w:pPr>
        <w:spacing w:after="200" w:line="252" w:lineRule="auto"/>
        <w:rPr>
          <w:rFonts w:ascii="Trebuchet MS" w:eastAsia="Times New Roman" w:hAnsi="Trebuchet MS" w:cs="Times New Roman"/>
          <w:kern w:val="0"/>
          <w:sz w:val="22"/>
          <w:szCs w:val="22"/>
          <w14:ligatures w14:val="none"/>
        </w:rPr>
      </w:pPr>
    </w:p>
    <w:p w14:paraId="5CEC0474" w14:textId="77777777" w:rsidR="00FB1AB6" w:rsidRPr="00FB1AB6" w:rsidRDefault="00FB1AB6" w:rsidP="00FB1AB6">
      <w:pPr>
        <w:pBdr>
          <w:bottom w:val="thinThickSmallGap" w:sz="12" w:space="1" w:color="3E7718"/>
        </w:pBdr>
        <w:spacing w:before="400" w:after="200" w:line="252" w:lineRule="auto"/>
        <w:jc w:val="center"/>
        <w:outlineLvl w:val="0"/>
        <w:rPr>
          <w:rFonts w:ascii="Trebuchet MS" w:eastAsia="Times New Roman" w:hAnsi="Trebuchet MS" w:cs="Times New Roman"/>
          <w:caps/>
          <w:color w:val="2A5010"/>
          <w:spacing w:val="20"/>
          <w:kern w:val="0"/>
          <w:sz w:val="28"/>
          <w:szCs w:val="28"/>
          <w14:ligatures w14:val="none"/>
        </w:rPr>
      </w:pPr>
      <w:r w:rsidRPr="00FB1AB6">
        <w:rPr>
          <w:rFonts w:ascii="Trebuchet MS" w:eastAsia="Times New Roman" w:hAnsi="Trebuchet MS" w:cs="Times New Roman"/>
          <w:caps/>
          <w:color w:val="2A5010"/>
          <w:spacing w:val="20"/>
          <w:kern w:val="0"/>
          <w:sz w:val="28"/>
          <w:szCs w:val="28"/>
          <w14:ligatures w14:val="none"/>
        </w:rPr>
        <w:t>Rebekah Louise Jones - 2205076</w:t>
      </w:r>
    </w:p>
    <w:p w14:paraId="6573D0CC" w14:textId="77777777" w:rsidR="00FB1AB6" w:rsidRPr="00FB1AB6" w:rsidRDefault="00FB1AB6" w:rsidP="00FB1AB6">
      <w:pPr>
        <w:spacing w:after="200" w:line="252" w:lineRule="auto"/>
        <w:rPr>
          <w:rFonts w:ascii="Trebuchet MS" w:eastAsia="Times New Roman" w:hAnsi="Trebuchet MS" w:cs="Times New Roman"/>
          <w:kern w:val="0"/>
          <w:sz w:val="22"/>
          <w:szCs w:val="22"/>
          <w14:ligatures w14:val="none"/>
        </w:rPr>
      </w:pPr>
    </w:p>
    <w:p w14:paraId="271E0936" w14:textId="7B034F60" w:rsidR="00FB1AB6" w:rsidRPr="00FB1AB6" w:rsidRDefault="00FB1AB6" w:rsidP="00FB1AB6">
      <w:pPr>
        <w:pBdr>
          <w:bottom w:val="thinThickSmallGap" w:sz="12" w:space="1" w:color="3E7718"/>
        </w:pBdr>
        <w:spacing w:before="400" w:after="200" w:line="252" w:lineRule="auto"/>
        <w:jc w:val="center"/>
        <w:outlineLvl w:val="0"/>
        <w:rPr>
          <w:rFonts w:ascii="Trebuchet MS" w:eastAsia="Times New Roman" w:hAnsi="Trebuchet MS" w:cs="Times New Roman"/>
          <w:caps/>
          <w:color w:val="2A5010"/>
          <w:spacing w:val="20"/>
          <w:kern w:val="0"/>
          <w:sz w:val="28"/>
          <w:szCs w:val="28"/>
          <w14:ligatures w14:val="none"/>
        </w:rPr>
      </w:pPr>
      <w:r w:rsidRPr="00FB1AB6">
        <w:rPr>
          <w:rFonts w:ascii="Trebuchet MS" w:eastAsia="Times New Roman" w:hAnsi="Trebuchet MS" w:cs="Times New Roman"/>
          <w:caps/>
          <w:color w:val="2A5010"/>
          <w:spacing w:val="20"/>
          <w:kern w:val="0"/>
          <w:sz w:val="28"/>
          <w:szCs w:val="28"/>
          <w14:ligatures w14:val="none"/>
        </w:rPr>
        <w:t>Module: BMBM60</w:t>
      </w:r>
      <w:r>
        <w:rPr>
          <w:rFonts w:ascii="Trebuchet MS" w:eastAsia="Times New Roman" w:hAnsi="Trebuchet MS" w:cs="Times New Roman"/>
          <w:caps/>
          <w:color w:val="2A5010"/>
          <w:spacing w:val="20"/>
          <w:kern w:val="0"/>
          <w:sz w:val="28"/>
          <w:szCs w:val="28"/>
          <w14:ligatures w14:val="none"/>
        </w:rPr>
        <w:t>2</w:t>
      </w:r>
      <w:r w:rsidRPr="00FB1AB6">
        <w:rPr>
          <w:rFonts w:ascii="Trebuchet MS" w:eastAsia="Times New Roman" w:hAnsi="Trebuchet MS" w:cs="Times New Roman"/>
          <w:caps/>
          <w:color w:val="2A5010"/>
          <w:spacing w:val="20"/>
          <w:kern w:val="0"/>
          <w:sz w:val="28"/>
          <w:szCs w:val="28"/>
          <w14:ligatures w14:val="none"/>
        </w:rPr>
        <w:t>3</w:t>
      </w:r>
    </w:p>
    <w:p w14:paraId="134EF255" w14:textId="77777777" w:rsidR="00201915" w:rsidRDefault="00201915" w:rsidP="000243CD">
      <w:pPr>
        <w:jc w:val="center"/>
        <w:rPr>
          <w:rFonts w:ascii="Trebuchet MS" w:eastAsia="Times New Roman" w:hAnsi="Trebuchet MS" w:cs="Times New Roman"/>
          <w:kern w:val="0"/>
          <w:sz w:val="22"/>
          <w:szCs w:val="22"/>
          <w:lang w:val="en-US"/>
          <w14:ligatures w14:val="none"/>
        </w:rPr>
      </w:pPr>
    </w:p>
    <w:p w14:paraId="047B4472" w14:textId="7F30EF08" w:rsidR="000243CD" w:rsidRPr="005E2403" w:rsidRDefault="000243CD" w:rsidP="000243CD">
      <w:pPr>
        <w:jc w:val="center"/>
        <w:rPr>
          <w:u w:val="single"/>
        </w:rPr>
      </w:pPr>
      <w:r w:rsidRPr="000243CD">
        <w:rPr>
          <w:u w:val="single"/>
        </w:rPr>
        <w:lastRenderedPageBreak/>
        <w:t>Title: The Significance of Strategic Employee Development in Enhancing Organisational Effectiveness and Competitive Advantage</w:t>
      </w:r>
    </w:p>
    <w:p w14:paraId="07FD8729" w14:textId="564C21D6" w:rsidR="000243CD" w:rsidRPr="000243CD" w:rsidRDefault="000243CD" w:rsidP="000243CD">
      <w:pPr>
        <w:rPr>
          <w:b/>
          <w:bCs/>
        </w:rPr>
      </w:pPr>
    </w:p>
    <w:p w14:paraId="5334B51C" w14:textId="174AB217" w:rsidR="00A41F78" w:rsidRPr="00A41F78" w:rsidRDefault="00A41F78" w:rsidP="003C00C7">
      <w:pPr>
        <w:ind w:firstLine="720"/>
      </w:pPr>
      <w:r w:rsidRPr="00A41F78">
        <w:t>Strategic employee development is a fundamental driver of organisational success, directly contributing to workforce effectiveness, leadership capability, and long-term competitive advantage. In today’s rapidly evolving business environment, organisations must prioritise continuous learning and professional development to enhance employee performance, foster innovation, and maintain resilience in the face of industry challenges. Effective development strategies not only equip employees with the necessary skills to meet organisational objectives but also create a motivated and adaptable workforce capable of responding to changing market demands.</w:t>
      </w:r>
      <w:r w:rsidR="003C00C7">
        <w:t xml:space="preserve"> </w:t>
      </w:r>
      <w:r w:rsidRPr="00A41F78">
        <w:t>Leadership development is a critical aspect of this process, as strong leadership is essential for organisational sustainability and strategic decision-making. By investing in structured training programs, mentorship opportunities, and career progression pathways, businesses can cultivate future leaders who drive innovation and operational excellence. However, implementing employee development initiatives is not without challenges. Organisations often encounter barriers such as resource constraints, resistance to change, and difficulties in measuring the effectiveness of development programs</w:t>
      </w:r>
      <w:r w:rsidR="003C00C7">
        <w:t xml:space="preserve">, </w:t>
      </w:r>
      <w:proofErr w:type="spellStart"/>
      <w:r w:rsidR="003C00C7" w:rsidRPr="003C00C7">
        <w:t>McIlongo</w:t>
      </w:r>
      <w:proofErr w:type="spellEnd"/>
      <w:r w:rsidR="003C00C7" w:rsidRPr="003C00C7">
        <w:t>, G., &amp; Strydom, R. (2023)</w:t>
      </w:r>
      <w:r w:rsidRPr="00A41F78">
        <w:t>.</w:t>
      </w:r>
    </w:p>
    <w:p w14:paraId="40F87E8A" w14:textId="3639F5FB" w:rsidR="00A41F78" w:rsidRDefault="00A41F78" w:rsidP="00A41F78">
      <w:pPr>
        <w:ind w:firstLine="720"/>
      </w:pPr>
      <w:r w:rsidRPr="00A41F78">
        <w:t>Furthermore, technological advancements have transformed the landscape of employee training and development, introducing digital learning platforms, artificial intelligence-driven training modules, and data-driven performance analytics</w:t>
      </w:r>
      <w:r w:rsidR="005809E3">
        <w:t xml:space="preserve">, </w:t>
      </w:r>
      <w:r w:rsidR="005809E3" w:rsidRPr="005809E3">
        <w:t xml:space="preserve">Brassey, J., De Smet, A., Maor, D., &amp; </w:t>
      </w:r>
      <w:proofErr w:type="spellStart"/>
      <w:r w:rsidR="005809E3" w:rsidRPr="005809E3">
        <w:t>Rabipour</w:t>
      </w:r>
      <w:proofErr w:type="spellEnd"/>
      <w:r w:rsidR="005809E3" w:rsidRPr="005809E3">
        <w:t>, S. (2024)</w:t>
      </w:r>
      <w:r w:rsidRPr="00A41F78">
        <w:t>. While these innovations enhance accessibility and efficiency, they also pose challenges related to engagement, personalisation, and the potential loss of traditional interpersonal learning experiences.</w:t>
      </w:r>
      <w:r>
        <w:t xml:space="preserve"> </w:t>
      </w:r>
      <w:r w:rsidRPr="00A41F78">
        <w:t>This essay critically examines the significance of strategic employee development by exploring its role in addressing organisational needs, strengthening leadership, and maintaining a competitive advantage. It also evaluates the challenges and benefits of development programs, the impact of technology on employee growth, and the complexities of leadership within modern organisations</w:t>
      </w:r>
      <w:r w:rsidR="0092620E" w:rsidRPr="00B11789">
        <w:rPr>
          <w:rFonts w:eastAsiaTheme="minorEastAsia" w:cstheme="minorHAnsi"/>
          <w:color w:val="000000"/>
          <w:kern w:val="0"/>
          <w:lang w:eastAsia="en-GB"/>
          <w14:ligatures w14:val="none"/>
        </w:rPr>
        <w:t>.</w:t>
      </w:r>
      <w:r w:rsidR="00F35A12">
        <w:rPr>
          <w:rFonts w:eastAsiaTheme="minorEastAsia" w:cstheme="minorHAnsi"/>
          <w:color w:val="000000"/>
          <w:kern w:val="0"/>
          <w:lang w:eastAsia="en-GB"/>
          <w14:ligatures w14:val="none"/>
        </w:rPr>
        <w:t xml:space="preserve"> </w:t>
      </w:r>
      <w:r w:rsidR="006A69E1" w:rsidRPr="006A69E1">
        <w:t>Through an in-depth analysis of these factors, this research contributes to a deeper understanding of</w:t>
      </w:r>
      <w:r w:rsidR="006A69E1">
        <w:t xml:space="preserve"> </w:t>
      </w:r>
      <w:r w:rsidRPr="00A41F78">
        <w:t>how organisations can effectively design and implement strategic employee development initiatives to drive long-term success</w:t>
      </w:r>
      <w:r w:rsidR="00935C43">
        <w:t xml:space="preserve"> and also</w:t>
      </w:r>
      <w:r w:rsidR="00DB41D4">
        <w:t xml:space="preserve"> </w:t>
      </w:r>
      <w:r w:rsidR="00935C43">
        <w:t xml:space="preserve">into competitiveness </w:t>
      </w:r>
      <w:r w:rsidR="00DB41D4">
        <w:t xml:space="preserve">through developments of strategic talent management, </w:t>
      </w:r>
      <w:r w:rsidR="00DB41D4" w:rsidRPr="00DB41D4">
        <w:t>Kumar, S. (2023)</w:t>
      </w:r>
      <w:r w:rsidRPr="00A41F78">
        <w:t>.</w:t>
      </w:r>
    </w:p>
    <w:p w14:paraId="0E62C24C" w14:textId="77777777" w:rsidR="005B403F" w:rsidRPr="00A41F78" w:rsidRDefault="005B403F" w:rsidP="00A41F78">
      <w:pPr>
        <w:ind w:firstLine="720"/>
      </w:pPr>
    </w:p>
    <w:p w14:paraId="741D6930" w14:textId="47A391C7" w:rsidR="004721D0" w:rsidRPr="00B11789" w:rsidRDefault="00C66F01" w:rsidP="005B403F">
      <w:pPr>
        <w:ind w:firstLine="720"/>
        <w:rPr>
          <w:rFonts w:eastAsiaTheme="minorEastAsia" w:cstheme="minorHAnsi"/>
          <w:color w:val="000000"/>
          <w:kern w:val="0"/>
          <w:lang w:eastAsia="en-GB"/>
          <w14:ligatures w14:val="none"/>
        </w:rPr>
      </w:pPr>
      <w:r w:rsidRPr="006F1CA3">
        <w:rPr>
          <w:rFonts w:eastAsia="Times New Roman"/>
          <w:color w:val="000000"/>
        </w:rPr>
        <w:t>Organisational success is strongly influenced by a proactive and strategic approach to employee development</w:t>
      </w:r>
      <w:r w:rsidR="00B11789" w:rsidRPr="00B11789">
        <w:rPr>
          <w:rFonts w:eastAsiaTheme="minorEastAsia" w:cstheme="minorHAnsi"/>
          <w:color w:val="000000"/>
          <w:kern w:val="0"/>
          <w:lang w:eastAsia="en-GB"/>
          <w14:ligatures w14:val="none"/>
        </w:rPr>
        <w:t xml:space="preserve">, aligning workforce growth with business objectives to ensure employees and leaders acquire essential skills, knowledge, and competencies. By fostering continuous learning and skill enhancement, organisations can cultivate a resilient, high-performing workforce capable of adapting to an ever-evolving business landscape. Human Capital Theory </w:t>
      </w:r>
      <w:r w:rsidR="0022071C">
        <w:rPr>
          <w:rFonts w:eastAsiaTheme="minorEastAsia" w:cstheme="minorHAnsi"/>
          <w:color w:val="000000"/>
          <w:kern w:val="0"/>
          <w:lang w:eastAsia="en-GB"/>
          <w14:ligatures w14:val="none"/>
        </w:rPr>
        <w:t>(</w:t>
      </w:r>
      <w:r w:rsidR="00B11789" w:rsidRPr="00B11789">
        <w:rPr>
          <w:rFonts w:eastAsiaTheme="minorEastAsia" w:cstheme="minorHAnsi"/>
          <w:color w:val="000000"/>
          <w:kern w:val="0"/>
          <w:lang w:eastAsia="en-GB"/>
          <w14:ligatures w14:val="none"/>
        </w:rPr>
        <w:t>Becker, 1964) asserts that investing in employee education and training leads to increased productivity, higher economic returns, and overall organisational growth. Organisations that prioritise professional development not only enhance individual capabilities but also drive innovation, efficiency, and employee engagement. A well-trained workforce is better equipped to respond to market fluctuations, technological advancements, and emerging business challenges. Furthermore, businesses that actively invest in employee growth often experience improved job satisfaction and retention rates, reducing turnover costs and ensuring long-term stability.</w:t>
      </w:r>
    </w:p>
    <w:p w14:paraId="5C5226BD" w14:textId="2AB74B77" w:rsidR="00F95973" w:rsidRPr="0058005C" w:rsidRDefault="00495BCA" w:rsidP="0058005C">
      <w:pPr>
        <w:ind w:firstLine="720"/>
        <w:rPr>
          <w:rFonts w:eastAsiaTheme="minorEastAsia" w:cstheme="minorHAnsi"/>
          <w:color w:val="000000"/>
          <w:kern w:val="0"/>
          <w:lang w:eastAsia="en-GB"/>
          <w14:ligatures w14:val="none"/>
        </w:rPr>
      </w:pPr>
      <w:r w:rsidRPr="00495BCA">
        <w:rPr>
          <w:rFonts w:eastAsiaTheme="minorEastAsia" w:cstheme="minorHAnsi"/>
          <w:color w:val="000000"/>
          <w:kern w:val="0"/>
          <w:lang w:eastAsia="en-GB"/>
          <w14:ligatures w14:val="none"/>
        </w:rPr>
        <w:lastRenderedPageBreak/>
        <w:t>Robust leadership development frameworks are instrumental in ensuring that employee growth aligns with evolving strategic priorities</w:t>
      </w:r>
      <w:r w:rsidR="002B2CA7" w:rsidRPr="002B2CA7">
        <w:rPr>
          <w:rFonts w:eastAsiaTheme="minorEastAsia" w:cstheme="minorHAnsi"/>
          <w:color w:val="000000"/>
          <w:kern w:val="0"/>
          <w:lang w:eastAsia="en-GB"/>
          <w14:ligatures w14:val="none"/>
        </w:rPr>
        <w:t>, as strong leaders drive performance, commitment, and innovation. Transformational Leadership Theory (Burns, 1978) emphasi</w:t>
      </w:r>
      <w:r w:rsidR="0058005C">
        <w:rPr>
          <w:rFonts w:eastAsiaTheme="minorEastAsia" w:cstheme="minorHAnsi"/>
          <w:color w:val="000000"/>
          <w:kern w:val="0"/>
          <w:lang w:eastAsia="en-GB"/>
          <w14:ligatures w14:val="none"/>
        </w:rPr>
        <w:t>s</w:t>
      </w:r>
      <w:r w:rsidR="002B2CA7" w:rsidRPr="002B2CA7">
        <w:rPr>
          <w:rFonts w:eastAsiaTheme="minorEastAsia" w:cstheme="minorHAnsi"/>
          <w:color w:val="000000"/>
          <w:kern w:val="0"/>
          <w:lang w:eastAsia="en-GB"/>
          <w14:ligatures w14:val="none"/>
        </w:rPr>
        <w:t xml:space="preserve">es the role of visionary leaders in inspiring teams and fostering change. </w:t>
      </w:r>
      <w:r w:rsidR="00C8050F" w:rsidRPr="00C8050F">
        <w:rPr>
          <w:rFonts w:eastAsiaTheme="minorEastAsia" w:cstheme="minorHAnsi"/>
          <w:color w:val="000000"/>
          <w:kern w:val="0"/>
          <w:lang w:eastAsia="en-GB"/>
          <w14:ligatures w14:val="none"/>
        </w:rPr>
        <w:t>Structured training programs develop critical decision-making and problem-solving skills, building a strong leadership pipeline. Integrating leadership development into broader employee initiatives fosters a culture of mentorship, engagement, and continuous growth. Strategic development addresses skills gaps, enhances adaptability, and supports long-term competitiveness. By promoting continuous learning and career progression, organisations improve retention, succession planning, and job satisfaction</w:t>
      </w:r>
      <w:r w:rsidR="00AA6DD2">
        <w:rPr>
          <w:rFonts w:eastAsiaTheme="minorEastAsia" w:cstheme="minorHAnsi"/>
          <w:color w:val="000000"/>
          <w:kern w:val="0"/>
          <w:lang w:eastAsia="en-GB"/>
          <w14:ligatures w14:val="none"/>
        </w:rPr>
        <w:t xml:space="preserve">, </w:t>
      </w:r>
      <w:r w:rsidR="00C8050F" w:rsidRPr="00C8050F">
        <w:rPr>
          <w:rFonts w:eastAsiaTheme="minorEastAsia" w:cstheme="minorHAnsi"/>
          <w:color w:val="000000"/>
          <w:kern w:val="0"/>
          <w:lang w:eastAsia="en-GB"/>
          <w14:ligatures w14:val="none"/>
        </w:rPr>
        <w:t>ultimately driving innovation, agility, and sustained competitive advantage.</w:t>
      </w:r>
      <w:r w:rsidR="00C8050F">
        <w:rPr>
          <w:rFonts w:eastAsiaTheme="minorEastAsia" w:cstheme="minorHAnsi"/>
          <w:color w:val="000000"/>
          <w:kern w:val="0"/>
          <w:lang w:eastAsia="en-GB"/>
          <w14:ligatures w14:val="none"/>
        </w:rPr>
        <w:t xml:space="preserve"> </w:t>
      </w:r>
      <w:r w:rsidR="009F0A4B" w:rsidRPr="00F05A0B">
        <w:rPr>
          <w:rFonts w:eastAsiaTheme="minorEastAsia" w:cstheme="minorHAnsi"/>
          <w:color w:val="000000"/>
          <w:kern w:val="0"/>
          <w:lang w:eastAsia="en-GB"/>
          <w14:ligatures w14:val="none"/>
        </w:rPr>
        <w:t xml:space="preserve">The Resource-Based View (RBV) (Barney, 1991) posits that human capital is a critical source of competitive advantage, making employee development a strategic priority. </w:t>
      </w:r>
      <w:r w:rsidR="004B4B4B" w:rsidRPr="00F05A0B">
        <w:rPr>
          <w:rFonts w:eastAsiaTheme="minorEastAsia" w:cstheme="minorHAnsi"/>
          <w:color w:val="000000"/>
          <w:kern w:val="0"/>
          <w:lang w:eastAsia="en-GB"/>
          <w14:ligatures w14:val="none"/>
        </w:rPr>
        <w:t>Organisations</w:t>
      </w:r>
      <w:r w:rsidR="009F0A4B" w:rsidRPr="00F05A0B">
        <w:rPr>
          <w:rFonts w:eastAsiaTheme="minorEastAsia" w:cstheme="minorHAnsi"/>
          <w:color w:val="000000"/>
          <w:kern w:val="0"/>
          <w:lang w:eastAsia="en-GB"/>
          <w14:ligatures w14:val="none"/>
        </w:rPr>
        <w:t xml:space="preserve"> that </w:t>
      </w:r>
      <w:r w:rsidR="004B4B4B" w:rsidRPr="00F05A0B">
        <w:rPr>
          <w:rFonts w:eastAsiaTheme="minorEastAsia" w:cstheme="minorHAnsi"/>
          <w:color w:val="000000"/>
          <w:kern w:val="0"/>
          <w:lang w:eastAsia="en-GB"/>
          <w14:ligatures w14:val="none"/>
        </w:rPr>
        <w:t>recognise</w:t>
      </w:r>
      <w:r w:rsidR="009F0A4B" w:rsidRPr="00F05A0B">
        <w:rPr>
          <w:rFonts w:eastAsiaTheme="minorEastAsia" w:cstheme="minorHAnsi"/>
          <w:color w:val="000000"/>
          <w:kern w:val="0"/>
          <w:lang w:eastAsia="en-GB"/>
          <w14:ligatures w14:val="none"/>
        </w:rPr>
        <w:t xml:space="preserve"> the value of investing in their workforce can enhance productivity, drive innovation, and create a sustainable edge over competitors. Companies such as Google and Microsoft exemplify the benefits of strategic employee development, having successfully implemented training programs that promote upskilling, adaptability, and career progression. These initiatives not only contribute to business growth but also improve employee engagement and job satisfaction, reducing turnover rates and strengthening </w:t>
      </w:r>
      <w:r w:rsidR="004B4B4B" w:rsidRPr="00F05A0B">
        <w:rPr>
          <w:rFonts w:eastAsiaTheme="minorEastAsia" w:cstheme="minorHAnsi"/>
          <w:color w:val="000000"/>
          <w:kern w:val="0"/>
          <w:lang w:eastAsia="en-GB"/>
          <w14:ligatures w14:val="none"/>
        </w:rPr>
        <w:t>organisational</w:t>
      </w:r>
      <w:r w:rsidR="009F0A4B" w:rsidRPr="00F05A0B">
        <w:rPr>
          <w:rFonts w:eastAsiaTheme="minorEastAsia" w:cstheme="minorHAnsi"/>
          <w:color w:val="000000"/>
          <w:kern w:val="0"/>
          <w:lang w:eastAsia="en-GB"/>
          <w14:ligatures w14:val="none"/>
        </w:rPr>
        <w:t xml:space="preserve"> commitment.</w:t>
      </w:r>
    </w:p>
    <w:p w14:paraId="7759540B" w14:textId="091904A5" w:rsidR="009F0A4B" w:rsidRPr="00F95973" w:rsidRDefault="009F0A4B" w:rsidP="00705133">
      <w:pPr>
        <w:ind w:firstLine="720"/>
        <w:divId w:val="875237022"/>
        <w:rPr>
          <w:rFonts w:cstheme="minorHAnsi"/>
          <w:b/>
        </w:rPr>
      </w:pPr>
      <w:r w:rsidRPr="00F05A0B">
        <w:rPr>
          <w:rFonts w:eastAsiaTheme="minorEastAsia" w:cstheme="minorHAnsi"/>
          <w:color w:val="000000"/>
          <w:kern w:val="0"/>
          <w:lang w:eastAsia="en-GB"/>
          <w14:ligatures w14:val="none"/>
        </w:rPr>
        <w:t xml:space="preserve">Succession planning is another crucial element of strategic employee development, ensuring that </w:t>
      </w:r>
      <w:r w:rsidR="004B4B4B" w:rsidRPr="00F05A0B">
        <w:rPr>
          <w:rFonts w:eastAsiaTheme="minorEastAsia" w:cstheme="minorHAnsi"/>
          <w:color w:val="000000"/>
          <w:kern w:val="0"/>
          <w:lang w:eastAsia="en-GB"/>
          <w14:ligatures w14:val="none"/>
        </w:rPr>
        <w:t>organisations</w:t>
      </w:r>
      <w:r w:rsidRPr="00F05A0B">
        <w:rPr>
          <w:rFonts w:eastAsiaTheme="minorEastAsia" w:cstheme="minorHAnsi"/>
          <w:color w:val="000000"/>
          <w:kern w:val="0"/>
          <w:lang w:eastAsia="en-GB"/>
          <w14:ligatures w14:val="none"/>
        </w:rPr>
        <w:t xml:space="preserve"> have a steady pipeline of skilled leaders ready to take on key roles. Identifying and nurturing high-potential employees allows businesses to facilitate smooth leadership transitions and mitigate risks associated with talent shortages. The 70-20-10 Model</w:t>
      </w:r>
      <w:r w:rsidR="00D74A05">
        <w:rPr>
          <w:rFonts w:eastAsiaTheme="minorEastAsia" w:cstheme="minorHAnsi"/>
          <w:color w:val="000000"/>
          <w:kern w:val="0"/>
          <w:lang w:eastAsia="en-GB"/>
          <w14:ligatures w14:val="none"/>
        </w:rPr>
        <w:t xml:space="preserve">, </w:t>
      </w:r>
      <w:r w:rsidRPr="00F05A0B">
        <w:rPr>
          <w:rFonts w:eastAsiaTheme="minorEastAsia" w:cstheme="minorHAnsi"/>
          <w:color w:val="000000"/>
          <w:kern w:val="0"/>
          <w:lang w:eastAsia="en-GB"/>
          <w14:ligatures w14:val="none"/>
        </w:rPr>
        <w:t xml:space="preserve">Lombardo &amp; </w:t>
      </w:r>
      <w:proofErr w:type="spellStart"/>
      <w:r w:rsidRPr="00F05A0B">
        <w:rPr>
          <w:rFonts w:eastAsiaTheme="minorEastAsia" w:cstheme="minorHAnsi"/>
          <w:color w:val="000000"/>
          <w:kern w:val="0"/>
          <w:lang w:eastAsia="en-GB"/>
          <w14:ligatures w14:val="none"/>
        </w:rPr>
        <w:t>Eichinger</w:t>
      </w:r>
      <w:proofErr w:type="spellEnd"/>
      <w:r w:rsidRPr="00F05A0B">
        <w:rPr>
          <w:rFonts w:eastAsiaTheme="minorEastAsia" w:cstheme="minorHAnsi"/>
          <w:color w:val="000000"/>
          <w:kern w:val="0"/>
          <w:lang w:eastAsia="en-GB"/>
          <w14:ligatures w14:val="none"/>
        </w:rPr>
        <w:t xml:space="preserve"> </w:t>
      </w:r>
      <w:r w:rsidR="00D74A05">
        <w:rPr>
          <w:rFonts w:eastAsiaTheme="minorEastAsia" w:cstheme="minorHAnsi"/>
          <w:color w:val="000000"/>
          <w:kern w:val="0"/>
          <w:lang w:eastAsia="en-GB"/>
          <w14:ligatures w14:val="none"/>
        </w:rPr>
        <w:t>(</w:t>
      </w:r>
      <w:r w:rsidRPr="00F05A0B">
        <w:rPr>
          <w:rFonts w:eastAsiaTheme="minorEastAsia" w:cstheme="minorHAnsi"/>
          <w:color w:val="000000"/>
          <w:kern w:val="0"/>
          <w:lang w:eastAsia="en-GB"/>
          <w14:ligatures w14:val="none"/>
        </w:rPr>
        <w:t>1996)</w:t>
      </w:r>
      <w:r w:rsidR="00D74A05">
        <w:rPr>
          <w:rFonts w:eastAsiaTheme="minorEastAsia" w:cstheme="minorHAnsi"/>
          <w:color w:val="000000"/>
          <w:kern w:val="0"/>
          <w:lang w:eastAsia="en-GB"/>
          <w14:ligatures w14:val="none"/>
        </w:rPr>
        <w:t>,</w:t>
      </w:r>
      <w:r w:rsidRPr="00F05A0B">
        <w:rPr>
          <w:rFonts w:eastAsiaTheme="minorEastAsia" w:cstheme="minorHAnsi"/>
          <w:color w:val="000000"/>
          <w:kern w:val="0"/>
          <w:lang w:eastAsia="en-GB"/>
          <w14:ligatures w14:val="none"/>
        </w:rPr>
        <w:t xml:space="preserve"> highlights the most effective learning approaches, suggesting that 70% of development occurs through hands-on experiences, 20% through mentoring and coaching, and 10% via formal education or training. </w:t>
      </w:r>
      <w:r w:rsidR="004B4B4B" w:rsidRPr="00F05A0B">
        <w:rPr>
          <w:rFonts w:eastAsiaTheme="minorEastAsia" w:cstheme="minorHAnsi"/>
          <w:color w:val="000000"/>
          <w:kern w:val="0"/>
          <w:lang w:eastAsia="en-GB"/>
          <w14:ligatures w14:val="none"/>
        </w:rPr>
        <w:t>Organisations</w:t>
      </w:r>
      <w:r w:rsidRPr="00F05A0B">
        <w:rPr>
          <w:rFonts w:eastAsiaTheme="minorEastAsia" w:cstheme="minorHAnsi"/>
          <w:color w:val="000000"/>
          <w:kern w:val="0"/>
          <w:lang w:eastAsia="en-GB"/>
          <w14:ligatures w14:val="none"/>
        </w:rPr>
        <w:t xml:space="preserve"> that adopt this model create well-rounded leaders by integrating real-world learning experiences with structured mentoring and professional training.</w:t>
      </w:r>
      <w:r w:rsidR="00705133">
        <w:rPr>
          <w:rFonts w:cstheme="minorHAnsi"/>
          <w:b/>
          <w:bCs/>
        </w:rPr>
        <w:t xml:space="preserve"> </w:t>
      </w:r>
      <w:r w:rsidRPr="00F05A0B">
        <w:rPr>
          <w:rFonts w:eastAsiaTheme="minorEastAsia" w:cstheme="minorHAnsi"/>
          <w:color w:val="000000"/>
          <w:kern w:val="0"/>
          <w:lang w:eastAsia="en-GB"/>
          <w14:ligatures w14:val="none"/>
        </w:rPr>
        <w:t xml:space="preserve">By embedding these strategic development frameworks into their operations, companies cultivate a workforce that is not only highly skilled but also aligned with the </w:t>
      </w:r>
      <w:r w:rsidR="004B4B4B" w:rsidRPr="00F05A0B">
        <w:rPr>
          <w:rFonts w:eastAsiaTheme="minorEastAsia" w:cstheme="minorHAnsi"/>
          <w:color w:val="000000"/>
          <w:kern w:val="0"/>
          <w:lang w:eastAsia="en-GB"/>
          <w14:ligatures w14:val="none"/>
        </w:rPr>
        <w:t>organisations</w:t>
      </w:r>
      <w:r w:rsidRPr="00F05A0B">
        <w:rPr>
          <w:rFonts w:eastAsiaTheme="minorEastAsia" w:cstheme="minorHAnsi"/>
          <w:color w:val="000000"/>
          <w:kern w:val="0"/>
          <w:lang w:eastAsia="en-GB"/>
          <w14:ligatures w14:val="none"/>
        </w:rPr>
        <w:t xml:space="preserve"> long-term objectives. As businesses navigate an increasingly competitive and dynamic landscape, </w:t>
      </w:r>
      <w:r w:rsidR="004B4B4B" w:rsidRPr="00F05A0B">
        <w:rPr>
          <w:rFonts w:eastAsiaTheme="minorEastAsia" w:cstheme="minorHAnsi"/>
          <w:color w:val="000000"/>
          <w:kern w:val="0"/>
          <w:lang w:eastAsia="en-GB"/>
          <w14:ligatures w14:val="none"/>
        </w:rPr>
        <w:t>prioritising</w:t>
      </w:r>
      <w:r w:rsidRPr="00F05A0B">
        <w:rPr>
          <w:rFonts w:eastAsiaTheme="minorEastAsia" w:cstheme="minorHAnsi"/>
          <w:color w:val="000000"/>
          <w:kern w:val="0"/>
          <w:lang w:eastAsia="en-GB"/>
          <w14:ligatures w14:val="none"/>
        </w:rPr>
        <w:t xml:space="preserve"> employee development ensures sustained growth, leadership continuity, and a workforce that remains innovative, engaged, and </w:t>
      </w:r>
      <w:r w:rsidR="004B4B4B" w:rsidRPr="00F05A0B">
        <w:rPr>
          <w:rFonts w:eastAsiaTheme="minorEastAsia" w:cstheme="minorHAnsi"/>
          <w:color w:val="000000"/>
          <w:kern w:val="0"/>
          <w:lang w:eastAsia="en-GB"/>
          <w14:ligatures w14:val="none"/>
        </w:rPr>
        <w:t>future ready</w:t>
      </w:r>
      <w:r w:rsidRPr="00F05A0B">
        <w:rPr>
          <w:rFonts w:eastAsiaTheme="minorEastAsia" w:cstheme="minorHAnsi"/>
          <w:color w:val="000000"/>
          <w:kern w:val="0"/>
          <w:lang w:eastAsia="en-GB"/>
          <w14:ligatures w14:val="none"/>
        </w:rPr>
        <w:t>.</w:t>
      </w:r>
    </w:p>
    <w:p w14:paraId="1CF3EA08" w14:textId="25494BD6" w:rsidR="008C2599" w:rsidRDefault="00EA5074" w:rsidP="001E5764">
      <w:pPr>
        <w:ind w:firstLine="720"/>
        <w:rPr>
          <w:rFonts w:cstheme="minorHAnsi"/>
        </w:rPr>
      </w:pPr>
      <w:r w:rsidRPr="00EA5074">
        <w:rPr>
          <w:rFonts w:cstheme="minorHAnsi"/>
        </w:rPr>
        <w:t>Fundamentally</w:t>
      </w:r>
      <w:r>
        <w:rPr>
          <w:rFonts w:cstheme="minorHAnsi"/>
        </w:rPr>
        <w:t>, s</w:t>
      </w:r>
      <w:r w:rsidR="00EA5ACC" w:rsidRPr="00EA5ACC">
        <w:rPr>
          <w:rFonts w:cstheme="minorHAnsi"/>
        </w:rPr>
        <w:t>trategic employee development is a critical factor in achieving a sustainable competitive advantage. Organisations with a highly skilled workforce demonstrate superior efficiency, innovation, and adaptability in dynamic business environments. The Knowledge-Based View (KBV)</w:t>
      </w:r>
      <w:r w:rsidR="00D74A05">
        <w:rPr>
          <w:rFonts w:cstheme="minorHAnsi"/>
        </w:rPr>
        <w:t xml:space="preserve">, </w:t>
      </w:r>
      <w:r w:rsidR="00EA5ACC" w:rsidRPr="00EA5ACC">
        <w:rPr>
          <w:rFonts w:cstheme="minorHAnsi"/>
        </w:rPr>
        <w:t xml:space="preserve">Grant, </w:t>
      </w:r>
      <w:r w:rsidR="00D74A05">
        <w:rPr>
          <w:rFonts w:cstheme="minorHAnsi"/>
        </w:rPr>
        <w:t>(</w:t>
      </w:r>
      <w:r w:rsidR="00EA5ACC" w:rsidRPr="00EA5ACC">
        <w:rPr>
          <w:rFonts w:cstheme="minorHAnsi"/>
        </w:rPr>
        <w:t>1996) emphasises that intellectual capital serves as a key driver of competitive advantage, underscoring the importance of continuous learning, particularly in knowledge-intensive industries.</w:t>
      </w:r>
      <w:r w:rsidR="009D76E1">
        <w:rPr>
          <w:rFonts w:cstheme="minorHAnsi"/>
        </w:rPr>
        <w:t xml:space="preserve"> </w:t>
      </w:r>
      <w:r w:rsidR="009F2E54" w:rsidRPr="009F2E54">
        <w:rPr>
          <w:rFonts w:cstheme="minorHAnsi"/>
        </w:rPr>
        <w:t>Leading organisations such as Google, Microsoft, Amazon, and Toyota offer valuable insights into the strategic implementation of employee development. Google's emphasis on leadership coaching, supported by its </w:t>
      </w:r>
      <w:r w:rsidR="009F2E54" w:rsidRPr="003923B3">
        <w:rPr>
          <w:rFonts w:cstheme="minorHAnsi"/>
        </w:rPr>
        <w:t>Project Oxygen</w:t>
      </w:r>
      <w:r w:rsidR="002645A1">
        <w:rPr>
          <w:rFonts w:cstheme="minorHAnsi"/>
        </w:rPr>
        <w:t xml:space="preserve"> </w:t>
      </w:r>
      <w:r w:rsidR="009F2E54" w:rsidRPr="003923B3">
        <w:rPr>
          <w:rFonts w:cstheme="minorHAnsi"/>
        </w:rPr>
        <w:t>findings</w:t>
      </w:r>
      <w:r w:rsidR="009F2E54" w:rsidRPr="009F2E54">
        <w:rPr>
          <w:rFonts w:cstheme="minorHAnsi"/>
        </w:rPr>
        <w:t>, illustrates how evidence-based development can drive engagement and managerial effectiveness. Similarly, Microsoft’s investment in lifelong learning aligns its workforce capabilities with evolving technological demands, reinforcing its competitive edge. Amazon’s hybrid approach</w:t>
      </w:r>
      <w:r w:rsidR="003923B3">
        <w:rPr>
          <w:rFonts w:cstheme="minorHAnsi"/>
        </w:rPr>
        <w:t xml:space="preserve"> of </w:t>
      </w:r>
      <w:r w:rsidR="009F2E54" w:rsidRPr="009F2E54">
        <w:rPr>
          <w:rFonts w:cstheme="minorHAnsi"/>
        </w:rPr>
        <w:t>combining technical training with leadership pathways</w:t>
      </w:r>
      <w:r w:rsidR="003923B3">
        <w:rPr>
          <w:rFonts w:cstheme="minorHAnsi"/>
        </w:rPr>
        <w:t xml:space="preserve"> </w:t>
      </w:r>
      <w:r w:rsidR="009F2E54" w:rsidRPr="009F2E54">
        <w:rPr>
          <w:rFonts w:cstheme="minorHAnsi"/>
        </w:rPr>
        <w:t xml:space="preserve">demonstrates how development can be leveraged for both innovation and succession planning. Toyota’s application of Kaizen principles reflects a commitment to </w:t>
      </w:r>
      <w:r w:rsidR="009F2E54" w:rsidRPr="009F2E54">
        <w:rPr>
          <w:rFonts w:cstheme="minorHAnsi"/>
        </w:rPr>
        <w:lastRenderedPageBreak/>
        <w:t>continuous, incremental learning that not only improves operational performance but embeds learning within the organisational culture. Collectively, these examples illustrate that when employee development strategies are aligned with long-term business goals and embedded in culture, they contribute not just to employee satisfaction but to organisational adaptability and sustained competitive advantage.</w:t>
      </w:r>
      <w:r w:rsidR="003923B3">
        <w:rPr>
          <w:rFonts w:cstheme="minorHAnsi"/>
        </w:rPr>
        <w:t xml:space="preserve"> </w:t>
      </w:r>
    </w:p>
    <w:p w14:paraId="73EC2BF1" w14:textId="0460A99D" w:rsidR="001345E6" w:rsidRPr="008C2599" w:rsidRDefault="009A7840" w:rsidP="008C2599">
      <w:pPr>
        <w:ind w:firstLine="720"/>
        <w:divId w:val="1452238670"/>
        <w:rPr>
          <w:rFonts w:eastAsiaTheme="minorEastAsia" w:cstheme="minorHAnsi"/>
          <w:color w:val="000000"/>
          <w:kern w:val="0"/>
          <w:lang w:eastAsia="en-GB"/>
          <w14:ligatures w14:val="none"/>
        </w:rPr>
      </w:pPr>
      <w:r w:rsidRPr="009A7840">
        <w:rPr>
          <w:rFonts w:cstheme="minorHAnsi"/>
        </w:rPr>
        <w:t>Embedding continuous development into organisational values contributes to the creation of a responsive, committed, and forward-thinking workforce</w:t>
      </w:r>
      <w:r w:rsidR="00306E99" w:rsidRPr="00306E99">
        <w:rPr>
          <w:rFonts w:cstheme="minorHAnsi"/>
        </w:rPr>
        <w:t>. Sustained investment in employee growth enhances resilience and supports long-term competitive advantage. However, such initiatives are not without challenges. High</w:t>
      </w:r>
      <w:r w:rsidR="001345E6" w:rsidRPr="00306E99">
        <w:rPr>
          <w:rFonts w:cstheme="minorHAnsi"/>
        </w:rPr>
        <w:t xml:space="preserve"> costs, resistance to change, and difficulties in measuring return on investment (ROI</w:t>
      </w:r>
      <w:r w:rsidR="00306E99" w:rsidRPr="00306E99">
        <w:rPr>
          <w:rFonts w:cstheme="minorHAnsi"/>
        </w:rPr>
        <w:t>) can hinder implementation.</w:t>
      </w:r>
      <w:r w:rsidR="001345E6" w:rsidRPr="00306E99">
        <w:rPr>
          <w:rFonts w:cstheme="minorHAnsi"/>
        </w:rPr>
        <w:t xml:space="preserve"> While </w:t>
      </w:r>
      <w:r w:rsidR="00306E99" w:rsidRPr="00306E99">
        <w:rPr>
          <w:rFonts w:cstheme="minorHAnsi"/>
        </w:rPr>
        <w:t>training improves capability and business performance, immediate outcomes may be unclear, making it harder to justify costs</w:t>
      </w:r>
      <w:r w:rsidR="00306E99">
        <w:rPr>
          <w:rFonts w:cstheme="minorHAnsi"/>
        </w:rPr>
        <w:t xml:space="preserve">, </w:t>
      </w:r>
      <w:r w:rsidR="00306E99" w:rsidRPr="00306E99">
        <w:rPr>
          <w:rFonts w:cstheme="minorHAnsi"/>
        </w:rPr>
        <w:t xml:space="preserve">especially for smaller businesses. Additionally, employees </w:t>
      </w:r>
      <w:r w:rsidR="001345E6" w:rsidRPr="00306E99">
        <w:rPr>
          <w:rFonts w:cstheme="minorHAnsi"/>
        </w:rPr>
        <w:t xml:space="preserve">may </w:t>
      </w:r>
      <w:r w:rsidR="00306E99" w:rsidRPr="00306E99">
        <w:rPr>
          <w:rFonts w:cstheme="minorHAnsi"/>
        </w:rPr>
        <w:t>resist</w:t>
      </w:r>
      <w:r w:rsidR="001345E6" w:rsidRPr="00306E99">
        <w:rPr>
          <w:rFonts w:cstheme="minorHAnsi"/>
        </w:rPr>
        <w:t xml:space="preserve"> new technologies </w:t>
      </w:r>
      <w:r w:rsidR="00306E99" w:rsidRPr="00306E99">
        <w:rPr>
          <w:rFonts w:cstheme="minorHAnsi"/>
        </w:rPr>
        <w:t xml:space="preserve">or methods that </w:t>
      </w:r>
      <w:r w:rsidR="001345E6" w:rsidRPr="00306E99">
        <w:rPr>
          <w:rFonts w:cstheme="minorHAnsi"/>
        </w:rPr>
        <w:t xml:space="preserve">disrupt </w:t>
      </w:r>
      <w:r w:rsidR="00306E99" w:rsidRPr="00306E99">
        <w:rPr>
          <w:rFonts w:cstheme="minorHAnsi"/>
        </w:rPr>
        <w:t>familiar routines, highlighting the need for effective change management</w:t>
      </w:r>
      <w:r w:rsidR="001345E6" w:rsidRPr="00F05A0B">
        <w:rPr>
          <w:rFonts w:eastAsiaTheme="minorEastAsia" w:cstheme="minorHAnsi"/>
          <w:color w:val="000000"/>
          <w:kern w:val="0"/>
          <w:lang w:eastAsia="en-GB"/>
          <w14:ligatures w14:val="none"/>
        </w:rPr>
        <w:t xml:space="preserve">. Many employees may be reluctant to adopt unfamiliar training approaches due to concerns about increased workload, job security, or a perceived lack of relevance to their roles. Effective change management is crucial to overcoming such resistance. </w:t>
      </w:r>
      <w:proofErr w:type="spellStart"/>
      <w:r w:rsidR="001345E6" w:rsidRPr="00F05A0B">
        <w:rPr>
          <w:rFonts w:eastAsiaTheme="minorEastAsia" w:cstheme="minorHAnsi"/>
          <w:color w:val="000000"/>
          <w:kern w:val="0"/>
          <w:lang w:eastAsia="en-GB"/>
          <w14:ligatures w14:val="none"/>
        </w:rPr>
        <w:t>Kotter’s</w:t>
      </w:r>
      <w:proofErr w:type="spellEnd"/>
      <w:r w:rsidR="001345E6" w:rsidRPr="00F05A0B">
        <w:rPr>
          <w:rFonts w:eastAsiaTheme="minorEastAsia" w:cstheme="minorHAnsi"/>
          <w:color w:val="000000"/>
          <w:kern w:val="0"/>
          <w:lang w:eastAsia="en-GB"/>
          <w14:ligatures w14:val="none"/>
        </w:rPr>
        <w:t xml:space="preserve"> 8-Step Process for Leading Change</w:t>
      </w:r>
      <w:r w:rsidR="00D74A05">
        <w:rPr>
          <w:rFonts w:eastAsiaTheme="minorEastAsia" w:cstheme="minorHAnsi"/>
          <w:color w:val="000000"/>
          <w:kern w:val="0"/>
          <w:lang w:eastAsia="en-GB"/>
          <w14:ligatures w14:val="none"/>
        </w:rPr>
        <w:t xml:space="preserve">, </w:t>
      </w:r>
      <w:proofErr w:type="spellStart"/>
      <w:r w:rsidR="001345E6" w:rsidRPr="00F05A0B">
        <w:rPr>
          <w:rFonts w:eastAsiaTheme="minorEastAsia" w:cstheme="minorHAnsi"/>
          <w:color w:val="000000"/>
          <w:kern w:val="0"/>
          <w:lang w:eastAsia="en-GB"/>
          <w14:ligatures w14:val="none"/>
        </w:rPr>
        <w:t>Kotter</w:t>
      </w:r>
      <w:proofErr w:type="spellEnd"/>
      <w:r w:rsidR="001345E6" w:rsidRPr="00F05A0B">
        <w:rPr>
          <w:rFonts w:eastAsiaTheme="minorEastAsia" w:cstheme="minorHAnsi"/>
          <w:color w:val="000000"/>
          <w:kern w:val="0"/>
          <w:lang w:eastAsia="en-GB"/>
          <w14:ligatures w14:val="none"/>
        </w:rPr>
        <w:t xml:space="preserve">, </w:t>
      </w:r>
      <w:r w:rsidR="00D74A05">
        <w:rPr>
          <w:rFonts w:eastAsiaTheme="minorEastAsia" w:cstheme="minorHAnsi"/>
          <w:color w:val="000000"/>
          <w:kern w:val="0"/>
          <w:lang w:eastAsia="en-GB"/>
          <w14:ligatures w14:val="none"/>
        </w:rPr>
        <w:t>(</w:t>
      </w:r>
      <w:r w:rsidR="001345E6" w:rsidRPr="00F05A0B">
        <w:rPr>
          <w:rFonts w:eastAsiaTheme="minorEastAsia" w:cstheme="minorHAnsi"/>
          <w:color w:val="000000"/>
          <w:kern w:val="0"/>
          <w:lang w:eastAsia="en-GB"/>
          <w14:ligatures w14:val="none"/>
        </w:rPr>
        <w:t>1996) emphasi</w:t>
      </w:r>
      <w:r w:rsidR="00BC76BF">
        <w:rPr>
          <w:rFonts w:eastAsiaTheme="minorEastAsia" w:cstheme="minorHAnsi"/>
          <w:color w:val="000000"/>
          <w:kern w:val="0"/>
          <w:lang w:eastAsia="en-GB"/>
          <w14:ligatures w14:val="none"/>
        </w:rPr>
        <w:t>s</w:t>
      </w:r>
      <w:r w:rsidR="001345E6" w:rsidRPr="00F05A0B">
        <w:rPr>
          <w:rFonts w:eastAsiaTheme="minorEastAsia" w:cstheme="minorHAnsi"/>
          <w:color w:val="000000"/>
          <w:kern w:val="0"/>
          <w:lang w:eastAsia="en-GB"/>
          <w14:ligatures w14:val="none"/>
        </w:rPr>
        <w:t xml:space="preserve">es the importance of clear communication, leadership support, and fostering a sense of urgency to encourage employee buy-in. </w:t>
      </w:r>
      <w:r w:rsidR="00EF3D5D" w:rsidRPr="00F05A0B">
        <w:rPr>
          <w:rFonts w:eastAsiaTheme="minorEastAsia" w:cstheme="minorHAnsi"/>
          <w:color w:val="000000"/>
          <w:kern w:val="0"/>
          <w:lang w:eastAsia="en-GB"/>
          <w14:ligatures w14:val="none"/>
        </w:rPr>
        <w:t>Organisations</w:t>
      </w:r>
      <w:r w:rsidR="001345E6" w:rsidRPr="00F05A0B">
        <w:rPr>
          <w:rFonts w:eastAsiaTheme="minorEastAsia" w:cstheme="minorHAnsi"/>
          <w:color w:val="000000"/>
          <w:kern w:val="0"/>
          <w:lang w:eastAsia="en-GB"/>
          <w14:ligatures w14:val="none"/>
        </w:rPr>
        <w:t xml:space="preserve"> that proactively address concerns and engage employees in the development process are more likely to achieve successful implementation.</w:t>
      </w:r>
      <w:r w:rsidR="009D76E1">
        <w:rPr>
          <w:rFonts w:cstheme="minorHAnsi"/>
          <w:b/>
          <w:bCs/>
        </w:rPr>
        <w:t xml:space="preserve"> </w:t>
      </w:r>
      <w:r w:rsidR="001345E6" w:rsidRPr="00F05A0B">
        <w:rPr>
          <w:rFonts w:eastAsiaTheme="minorEastAsia" w:cstheme="minorHAnsi"/>
          <w:color w:val="000000"/>
          <w:kern w:val="0"/>
          <w:lang w:eastAsia="en-GB"/>
          <w14:ligatures w14:val="none"/>
        </w:rPr>
        <w:t xml:space="preserve">Measuring the effectiveness of training programs adds another layer of complexity. Without clear evaluation metrics, </w:t>
      </w:r>
      <w:r w:rsidR="00EF3D5D" w:rsidRPr="00F05A0B">
        <w:rPr>
          <w:rFonts w:eastAsiaTheme="minorEastAsia" w:cstheme="minorHAnsi"/>
          <w:color w:val="000000"/>
          <w:kern w:val="0"/>
          <w:lang w:eastAsia="en-GB"/>
          <w14:ligatures w14:val="none"/>
        </w:rPr>
        <w:t>organisations</w:t>
      </w:r>
      <w:r w:rsidR="001345E6" w:rsidRPr="00F05A0B">
        <w:rPr>
          <w:rFonts w:eastAsiaTheme="minorEastAsia" w:cstheme="minorHAnsi"/>
          <w:color w:val="000000"/>
          <w:kern w:val="0"/>
          <w:lang w:eastAsia="en-GB"/>
          <w14:ligatures w14:val="none"/>
        </w:rPr>
        <w:t xml:space="preserve"> may struggle to determine whether their investment in employee development is yielding the desired outcomes. The Kirkpatrick Model (1959) provides a structured framework for assessing training effectiveness across four levels: reaction, learning, </w:t>
      </w:r>
      <w:r w:rsidR="00EF3D5D" w:rsidRPr="00F05A0B">
        <w:rPr>
          <w:rFonts w:eastAsiaTheme="minorEastAsia" w:cstheme="minorHAnsi"/>
          <w:color w:val="000000"/>
          <w:kern w:val="0"/>
          <w:lang w:eastAsia="en-GB"/>
          <w14:ligatures w14:val="none"/>
        </w:rPr>
        <w:t>behaviour</w:t>
      </w:r>
      <w:r w:rsidR="001345E6" w:rsidRPr="00F05A0B">
        <w:rPr>
          <w:rFonts w:eastAsiaTheme="minorEastAsia" w:cstheme="minorHAnsi"/>
          <w:color w:val="000000"/>
          <w:kern w:val="0"/>
          <w:lang w:eastAsia="en-GB"/>
          <w14:ligatures w14:val="none"/>
        </w:rPr>
        <w:t xml:space="preserve">, and results. By applying this model, </w:t>
      </w:r>
      <w:r w:rsidR="00EF3D5D" w:rsidRPr="00F05A0B">
        <w:rPr>
          <w:rFonts w:eastAsiaTheme="minorEastAsia" w:cstheme="minorHAnsi"/>
          <w:color w:val="000000"/>
          <w:kern w:val="0"/>
          <w:lang w:eastAsia="en-GB"/>
          <w14:ligatures w14:val="none"/>
        </w:rPr>
        <w:t>organisations</w:t>
      </w:r>
      <w:r w:rsidR="001345E6" w:rsidRPr="00F05A0B">
        <w:rPr>
          <w:rFonts w:eastAsiaTheme="minorEastAsia" w:cstheme="minorHAnsi"/>
          <w:color w:val="000000"/>
          <w:kern w:val="0"/>
          <w:lang w:eastAsia="en-GB"/>
          <w14:ligatures w14:val="none"/>
        </w:rPr>
        <w:t xml:space="preserve"> can gauge employee engagement with training, assess knowledge retention, track </w:t>
      </w:r>
      <w:r w:rsidR="00EF3D5D" w:rsidRPr="00F05A0B">
        <w:rPr>
          <w:rFonts w:eastAsiaTheme="minorEastAsia" w:cstheme="minorHAnsi"/>
          <w:color w:val="000000"/>
          <w:kern w:val="0"/>
          <w:lang w:eastAsia="en-GB"/>
          <w14:ligatures w14:val="none"/>
        </w:rPr>
        <w:t>behavioural</w:t>
      </w:r>
      <w:r w:rsidR="001345E6" w:rsidRPr="00F05A0B">
        <w:rPr>
          <w:rFonts w:eastAsiaTheme="minorEastAsia" w:cstheme="minorHAnsi"/>
          <w:color w:val="000000"/>
          <w:kern w:val="0"/>
          <w:lang w:eastAsia="en-GB"/>
          <w14:ligatures w14:val="none"/>
        </w:rPr>
        <w:t xml:space="preserve"> changes in the workplace, and measure the overall business impact. However, accurately quantifying improvements in productivity, innovation, and leadership effectiveness remains a challenge, requiring ongoing assessment and refinement of development strategies.</w:t>
      </w:r>
      <w:r w:rsidR="009D76E1">
        <w:rPr>
          <w:rFonts w:cstheme="minorHAnsi"/>
          <w:b/>
          <w:bCs/>
        </w:rPr>
        <w:t xml:space="preserve"> </w:t>
      </w:r>
      <w:r w:rsidR="001345E6" w:rsidRPr="00F05A0B">
        <w:rPr>
          <w:rFonts w:eastAsiaTheme="minorEastAsia" w:cstheme="minorHAnsi"/>
          <w:color w:val="000000"/>
          <w:kern w:val="0"/>
          <w:lang w:eastAsia="en-GB"/>
          <w14:ligatures w14:val="none"/>
        </w:rPr>
        <w:t xml:space="preserve">To overcome these obstacles, </w:t>
      </w:r>
      <w:r w:rsidR="00EF3D5D" w:rsidRPr="00F05A0B">
        <w:rPr>
          <w:rFonts w:eastAsiaTheme="minorEastAsia" w:cstheme="minorHAnsi"/>
          <w:color w:val="000000"/>
          <w:kern w:val="0"/>
          <w:lang w:eastAsia="en-GB"/>
          <w14:ligatures w14:val="none"/>
        </w:rPr>
        <w:t>organisations</w:t>
      </w:r>
      <w:r w:rsidR="001345E6" w:rsidRPr="00F05A0B">
        <w:rPr>
          <w:rFonts w:eastAsiaTheme="minorEastAsia" w:cstheme="minorHAnsi"/>
          <w:color w:val="000000"/>
          <w:kern w:val="0"/>
          <w:lang w:eastAsia="en-GB"/>
          <w14:ligatures w14:val="none"/>
        </w:rPr>
        <w:t xml:space="preserve"> must adopt a strategic and data-driven approach to employee development. This includes aligning training initiatives with business objectives, securing leadership commitment, and leveraging technology to enhance accessibility and cost-effectiveness. By addressing financial constraints, managing resistance to change, and implementing robust evaluation methods, businesses can </w:t>
      </w:r>
      <w:r w:rsidR="00EF3D5D" w:rsidRPr="00F05A0B">
        <w:rPr>
          <w:rFonts w:eastAsiaTheme="minorEastAsia" w:cstheme="minorHAnsi"/>
          <w:color w:val="000000"/>
          <w:kern w:val="0"/>
          <w:lang w:eastAsia="en-GB"/>
          <w14:ligatures w14:val="none"/>
        </w:rPr>
        <w:t>maximise</w:t>
      </w:r>
      <w:r w:rsidR="001345E6" w:rsidRPr="00F05A0B">
        <w:rPr>
          <w:rFonts w:eastAsiaTheme="minorEastAsia" w:cstheme="minorHAnsi"/>
          <w:color w:val="000000"/>
          <w:kern w:val="0"/>
          <w:lang w:eastAsia="en-GB"/>
          <w14:ligatures w14:val="none"/>
        </w:rPr>
        <w:t xml:space="preserve"> the impact of their development programs and ensure long-term success</w:t>
      </w:r>
      <w:r w:rsidR="009A307D">
        <w:rPr>
          <w:rFonts w:eastAsiaTheme="minorEastAsia" w:cstheme="minorHAnsi"/>
          <w:color w:val="000000"/>
          <w:kern w:val="0"/>
          <w:lang w:eastAsia="en-GB"/>
          <w14:ligatures w14:val="none"/>
        </w:rPr>
        <w:t xml:space="preserve">, </w:t>
      </w:r>
      <w:r w:rsidR="009A307D" w:rsidRPr="009A307D">
        <w:rPr>
          <w:rFonts w:eastAsiaTheme="minorEastAsia" w:cstheme="minorHAnsi"/>
          <w:color w:val="000000"/>
          <w:kern w:val="0"/>
          <w:lang w:eastAsia="en-GB"/>
          <w14:ligatures w14:val="none"/>
        </w:rPr>
        <w:t>U.S. Department of Education. (2023)</w:t>
      </w:r>
      <w:r w:rsidR="001345E6" w:rsidRPr="00F05A0B">
        <w:rPr>
          <w:rFonts w:eastAsiaTheme="minorEastAsia" w:cstheme="minorHAnsi"/>
          <w:color w:val="000000"/>
          <w:kern w:val="0"/>
          <w:lang w:eastAsia="en-GB"/>
          <w14:ligatures w14:val="none"/>
        </w:rPr>
        <w:t>.</w:t>
      </w:r>
    </w:p>
    <w:p w14:paraId="5F8B7AFC" w14:textId="5F25BBD5" w:rsidR="00594FCD" w:rsidRDefault="006E3238" w:rsidP="009D76E1">
      <w:pPr>
        <w:ind w:firstLine="720"/>
        <w:rPr>
          <w:rFonts w:cstheme="minorHAnsi"/>
        </w:rPr>
      </w:pPr>
      <w:r w:rsidRPr="006E3238">
        <w:rPr>
          <w:rFonts w:cstheme="minorHAnsi"/>
        </w:rPr>
        <w:t>T</w:t>
      </w:r>
      <w:r w:rsidR="001A3153">
        <w:rPr>
          <w:rFonts w:cstheme="minorHAnsi"/>
        </w:rPr>
        <w:t>he role of t</w:t>
      </w:r>
      <w:r w:rsidRPr="006E3238">
        <w:rPr>
          <w:rFonts w:cstheme="minorHAnsi"/>
        </w:rPr>
        <w:t xml:space="preserve">echnology </w:t>
      </w:r>
      <w:r w:rsidR="001A3153">
        <w:rPr>
          <w:rFonts w:cstheme="minorHAnsi"/>
        </w:rPr>
        <w:t xml:space="preserve">in employee and leadership development </w:t>
      </w:r>
      <w:r w:rsidRPr="006E3238">
        <w:rPr>
          <w:rFonts w:cstheme="minorHAnsi"/>
        </w:rPr>
        <w:t xml:space="preserve">has transformed employee development by providing cost-effective, scalable, and highly personalised learning solutions. E-learning platforms, </w:t>
      </w:r>
      <w:r w:rsidR="00866AA5">
        <w:rPr>
          <w:rFonts w:cstheme="minorHAnsi"/>
        </w:rPr>
        <w:t>V</w:t>
      </w:r>
      <w:r w:rsidRPr="006E3238">
        <w:rPr>
          <w:rFonts w:cstheme="minorHAnsi"/>
        </w:rPr>
        <w:t xml:space="preserve">irtual </w:t>
      </w:r>
      <w:r w:rsidR="00866AA5">
        <w:rPr>
          <w:rFonts w:cstheme="minorHAnsi"/>
        </w:rPr>
        <w:t>R</w:t>
      </w:r>
      <w:r w:rsidRPr="006E3238">
        <w:rPr>
          <w:rFonts w:cstheme="minorHAnsi"/>
        </w:rPr>
        <w:t>eality (VR) training, and artificial intelligence (AI)-driven analytics enhance engagement and knowledge retention by tailoring educational experiences to individual needs.</w:t>
      </w:r>
      <w:r w:rsidR="004721D0">
        <w:rPr>
          <w:rFonts w:cstheme="minorHAnsi"/>
        </w:rPr>
        <w:t xml:space="preserve"> </w:t>
      </w:r>
      <w:r w:rsidRPr="006E3238">
        <w:rPr>
          <w:rFonts w:cstheme="minorHAnsi"/>
        </w:rPr>
        <w:t xml:space="preserve">For example, platforms such as LinkedIn Learning and Coursera enable employees to develop new skills at their own pace, fostering continuous professional growth. In high-risk industries like healthcare and aviation, VR simulations offer immersive, hands-on training without real-world risks, improving both competence and confidence. Additionally, AI-powered </w:t>
      </w:r>
      <w:r w:rsidR="00866AA5">
        <w:rPr>
          <w:rFonts w:cstheme="minorHAnsi"/>
        </w:rPr>
        <w:t>L</w:t>
      </w:r>
      <w:r w:rsidRPr="006E3238">
        <w:rPr>
          <w:rFonts w:cstheme="minorHAnsi"/>
        </w:rPr>
        <w:t xml:space="preserve">earning </w:t>
      </w:r>
      <w:r w:rsidR="00866AA5">
        <w:rPr>
          <w:rFonts w:cstheme="minorHAnsi"/>
        </w:rPr>
        <w:t>M</w:t>
      </w:r>
      <w:r w:rsidRPr="006E3238">
        <w:rPr>
          <w:rFonts w:cstheme="minorHAnsi"/>
        </w:rPr>
        <w:t xml:space="preserve">anagement </w:t>
      </w:r>
      <w:r w:rsidR="00866AA5">
        <w:rPr>
          <w:rFonts w:cstheme="minorHAnsi"/>
        </w:rPr>
        <w:t>S</w:t>
      </w:r>
      <w:r w:rsidRPr="006E3238">
        <w:rPr>
          <w:rFonts w:cstheme="minorHAnsi"/>
        </w:rPr>
        <w:t>ystems (LMS) track employee progress, using performance data to recommend targeted development plans, ensuring more effective learning outcomes.</w:t>
      </w:r>
      <w:r w:rsidR="00773AAD">
        <w:rPr>
          <w:rFonts w:cstheme="minorHAnsi"/>
        </w:rPr>
        <w:t xml:space="preserve"> </w:t>
      </w:r>
      <w:r w:rsidRPr="006E3238">
        <w:rPr>
          <w:rFonts w:cstheme="minorHAnsi"/>
        </w:rPr>
        <w:t xml:space="preserve">Despite these advantages, digital learning </w:t>
      </w:r>
      <w:r w:rsidRPr="006E3238">
        <w:rPr>
          <w:rFonts w:cstheme="minorHAnsi"/>
        </w:rPr>
        <w:lastRenderedPageBreak/>
        <w:t xml:space="preserve">poses challenges, including reduced interpersonal interaction and potential technological barriers. </w:t>
      </w:r>
      <w:r w:rsidR="00594FCD" w:rsidRPr="00594FCD">
        <w:rPr>
          <w:rFonts w:cstheme="minorHAnsi"/>
        </w:rPr>
        <w:t>A blended learning approach</w:t>
      </w:r>
      <w:r w:rsidR="003160C4">
        <w:rPr>
          <w:rFonts w:cstheme="minorHAnsi"/>
        </w:rPr>
        <w:t xml:space="preserve"> of </w:t>
      </w:r>
      <w:r w:rsidR="00594FCD" w:rsidRPr="00594FCD">
        <w:rPr>
          <w:rFonts w:cstheme="minorHAnsi"/>
        </w:rPr>
        <w:t>combining online modules with face-to-face mentoring</w:t>
      </w:r>
      <w:r w:rsidR="00594FCD">
        <w:rPr>
          <w:rFonts w:cstheme="minorHAnsi"/>
        </w:rPr>
        <w:t xml:space="preserve"> </w:t>
      </w:r>
      <w:r w:rsidR="00594FCD" w:rsidRPr="00594FCD">
        <w:rPr>
          <w:rFonts w:cstheme="minorHAnsi"/>
        </w:rPr>
        <w:t>balances technological efficiency with human engagement, enhancing the learning experience. However, effective leadership remains complex, requiring an understanding of various styles and their impact on development, engagement, and performance. Strong leadership fosters a culture of learning, motivation, and innovation, with leadership theories offering insight into how different approaches shape employee growth.</w:t>
      </w:r>
      <w:r w:rsidR="00594FCD">
        <w:rPr>
          <w:rFonts w:cstheme="minorHAnsi"/>
        </w:rPr>
        <w:t xml:space="preserve"> </w:t>
      </w:r>
    </w:p>
    <w:p w14:paraId="27B5F3CD" w14:textId="2A4254D4" w:rsidR="004E3AFD" w:rsidRPr="004E3AFD" w:rsidRDefault="004E3AFD" w:rsidP="009D76E1">
      <w:pPr>
        <w:ind w:firstLine="720"/>
        <w:rPr>
          <w:rFonts w:cstheme="minorHAnsi"/>
        </w:rPr>
      </w:pPr>
      <w:r w:rsidRPr="004E3AFD">
        <w:rPr>
          <w:rFonts w:cstheme="minorHAnsi"/>
        </w:rPr>
        <w:t>Transformational leadership</w:t>
      </w:r>
      <w:r w:rsidR="00D74A05">
        <w:rPr>
          <w:rFonts w:cstheme="minorHAnsi"/>
        </w:rPr>
        <w:t xml:space="preserve">, </w:t>
      </w:r>
      <w:r w:rsidRPr="004E3AFD">
        <w:rPr>
          <w:rFonts w:cstheme="minorHAnsi"/>
        </w:rPr>
        <w:t xml:space="preserve">Bass, </w:t>
      </w:r>
      <w:r w:rsidR="00D74A05">
        <w:rPr>
          <w:rFonts w:cstheme="minorHAnsi"/>
        </w:rPr>
        <w:t>(</w:t>
      </w:r>
      <w:r w:rsidRPr="004E3AFD">
        <w:rPr>
          <w:rFonts w:cstheme="minorHAnsi"/>
        </w:rPr>
        <w:t>1985) fosters a culture of continuous learning by inspiring employees to exceed expectations, take ownership of their roles, and actively engage in self-improvement. Leaders who adopt this approach focus on vision, motivation, and empowerment, encouraging employees to develop their skills and contribute to organisational goals beyond their formal responsibilities. Transformational leaders enhance workplace engagement by fostering a sense of purpose, trust, and long-term career development.</w:t>
      </w:r>
      <w:r w:rsidR="00773AAD">
        <w:rPr>
          <w:rFonts w:cstheme="minorHAnsi"/>
        </w:rPr>
        <w:t xml:space="preserve"> </w:t>
      </w:r>
      <w:r w:rsidRPr="004E3AFD">
        <w:rPr>
          <w:rFonts w:cstheme="minorHAnsi"/>
        </w:rPr>
        <w:t>Conversely, transactional leadership takes a more structured approach by emphasising performance-based rewards, goal setting, and adherence to predefined processes. This leadership style is often associated with structured training programs that provide employees with clear expectations, incentives, and performance metrics. While transactional leadership can be effective in ensuring short-term efficiency and task completion, it may not always encourage innovation or long-term professional growth. However, a balanced approach that incorporates both transformational and transactional elements can provide a strong foundation for employee development, ensuring that individuals receive both motivation and structured guidance.</w:t>
      </w:r>
      <w:r w:rsidR="009D76E1">
        <w:rPr>
          <w:rFonts w:cstheme="minorHAnsi"/>
        </w:rPr>
        <w:t xml:space="preserve"> </w:t>
      </w:r>
      <w:r w:rsidRPr="004E3AFD">
        <w:rPr>
          <w:rFonts w:cstheme="minorHAnsi"/>
        </w:rPr>
        <w:t>The practical application of leadership involves not only selecting an appropriate leadership style but also implementing strategies such as coaching, mentoring, and fostering a learning-oriented organisational culture. Effective leadership extends beyond setting directives</w:t>
      </w:r>
      <w:r w:rsidR="00366752">
        <w:rPr>
          <w:rFonts w:cstheme="minorHAnsi"/>
        </w:rPr>
        <w:t>, i</w:t>
      </w:r>
      <w:r w:rsidRPr="004E3AFD">
        <w:rPr>
          <w:rFonts w:cstheme="minorHAnsi"/>
        </w:rPr>
        <w:t>t requires the ability to guide, support, and inspire employees. Notably, Google’s Project Oxygen identified key leadership attributes</w:t>
      </w:r>
      <w:r w:rsidR="00694471">
        <w:rPr>
          <w:rFonts w:cstheme="minorHAnsi"/>
        </w:rPr>
        <w:t xml:space="preserve"> </w:t>
      </w:r>
      <w:r w:rsidRPr="004E3AFD">
        <w:rPr>
          <w:rFonts w:cstheme="minorHAnsi"/>
        </w:rPr>
        <w:t>such as strong coaching skills, active listening, and the ability to empower employees</w:t>
      </w:r>
      <w:r w:rsidR="00694471">
        <w:rPr>
          <w:rFonts w:cstheme="minorHAnsi"/>
        </w:rPr>
        <w:t xml:space="preserve">, </w:t>
      </w:r>
      <w:r w:rsidRPr="004E3AFD">
        <w:rPr>
          <w:rFonts w:cstheme="minorHAnsi"/>
        </w:rPr>
        <w:t>as critical for effective management. The study reinforced the idea that leaders who provide constructive feedback, encourage professional development, and promote a psychologically safe work environment contribute significantly to employee engagement and retention.</w:t>
      </w:r>
      <w:r w:rsidR="009D76E1">
        <w:rPr>
          <w:rFonts w:cstheme="minorHAnsi"/>
        </w:rPr>
        <w:t xml:space="preserve"> </w:t>
      </w:r>
      <w:r w:rsidRPr="004E3AFD">
        <w:rPr>
          <w:rFonts w:cstheme="minorHAnsi"/>
        </w:rPr>
        <w:t>By integrating established leadership theories into employee development initiatives, organisations can create a dynamic and resilient workforce that is equipped to adapt to evolving business challenges. Strategic leadership development ensures that organisations cultivate leaders who drive innovation, foster teamwork, and enhance workforce engagement. As industries become increasingly complex and competitive, businesses that invest in leadership training and continuous development will be better positioned to achieve long-term sustainability and success.</w:t>
      </w:r>
    </w:p>
    <w:p w14:paraId="526A55D9" w14:textId="77777777" w:rsidR="004721D0" w:rsidRDefault="004721D0" w:rsidP="004721D0">
      <w:pPr>
        <w:ind w:firstLine="720"/>
        <w:rPr>
          <w:rFonts w:cstheme="minorHAnsi"/>
          <w:b/>
          <w:bCs/>
        </w:rPr>
      </w:pPr>
    </w:p>
    <w:p w14:paraId="03088398" w14:textId="05C02448" w:rsidR="00DB4973" w:rsidRDefault="00CC7919" w:rsidP="004721D0">
      <w:pPr>
        <w:ind w:firstLine="720"/>
        <w:rPr>
          <w:rFonts w:cstheme="minorHAnsi"/>
          <w:b/>
          <w:bCs/>
        </w:rPr>
      </w:pPr>
      <w:r w:rsidRPr="00CC7919">
        <w:rPr>
          <w:rFonts w:eastAsiaTheme="minorEastAsia" w:cstheme="minorHAnsi"/>
          <w:color w:val="000000"/>
          <w:kern w:val="0"/>
          <w:lang w:eastAsia="en-GB"/>
          <w14:ligatures w14:val="none"/>
        </w:rPr>
        <w:t>In essence, strategic employee development is critical to improving workforce effectiveness, addressing organisational demands, and sustaining competitive advantage</w:t>
      </w:r>
      <w:r w:rsidR="0032559A" w:rsidRPr="00F05A0B">
        <w:rPr>
          <w:rFonts w:eastAsiaTheme="minorEastAsia" w:cstheme="minorHAnsi"/>
          <w:color w:val="000000"/>
          <w:kern w:val="0"/>
          <w:lang w:eastAsia="en-GB"/>
          <w14:ligatures w14:val="none"/>
        </w:rPr>
        <w:t xml:space="preserve">. By investing in continuous learning and professional growth, </w:t>
      </w:r>
      <w:r w:rsidR="00B825AB" w:rsidRPr="00F05A0B">
        <w:rPr>
          <w:rFonts w:eastAsiaTheme="minorEastAsia" w:cstheme="minorHAnsi"/>
          <w:color w:val="000000"/>
          <w:kern w:val="0"/>
          <w:lang w:eastAsia="en-GB"/>
          <w14:ligatures w14:val="none"/>
        </w:rPr>
        <w:t>organisations</w:t>
      </w:r>
      <w:r w:rsidR="0032559A" w:rsidRPr="00F05A0B">
        <w:rPr>
          <w:rFonts w:eastAsiaTheme="minorEastAsia" w:cstheme="minorHAnsi"/>
          <w:color w:val="000000"/>
          <w:kern w:val="0"/>
          <w:lang w:eastAsia="en-GB"/>
          <w14:ligatures w14:val="none"/>
        </w:rPr>
        <w:t xml:space="preserve"> can ensure their employees remain adaptable, innovative, and equipped with the skills necessary to navigate an ever-evolving business landscape. A well-developed workforce contributes to improved productivity, higher engagement levels, and stronger overall business performance</w:t>
      </w:r>
      <w:r w:rsidR="001963C9">
        <w:rPr>
          <w:rFonts w:eastAsiaTheme="minorEastAsia" w:cstheme="minorHAnsi"/>
          <w:color w:val="000000"/>
          <w:kern w:val="0"/>
          <w:lang w:eastAsia="en-GB"/>
          <w14:ligatures w14:val="none"/>
        </w:rPr>
        <w:t xml:space="preserve">, </w:t>
      </w:r>
      <w:r w:rsidR="001963C9" w:rsidRPr="001963C9">
        <w:rPr>
          <w:rFonts w:eastAsiaTheme="minorEastAsia" w:cstheme="minorHAnsi"/>
          <w:color w:val="000000"/>
          <w:kern w:val="0"/>
          <w:lang w:eastAsia="en-GB"/>
          <w14:ligatures w14:val="none"/>
        </w:rPr>
        <w:t>Queens University. (2025)</w:t>
      </w:r>
      <w:r w:rsidR="0032559A" w:rsidRPr="00F05A0B">
        <w:rPr>
          <w:rFonts w:eastAsiaTheme="minorEastAsia" w:cstheme="minorHAnsi"/>
          <w:color w:val="000000"/>
          <w:kern w:val="0"/>
          <w:lang w:eastAsia="en-GB"/>
          <w14:ligatures w14:val="none"/>
        </w:rPr>
        <w:t>.</w:t>
      </w:r>
      <w:r w:rsidR="005175CE">
        <w:rPr>
          <w:rFonts w:cstheme="minorHAnsi"/>
          <w:b/>
          <w:bCs/>
        </w:rPr>
        <w:t xml:space="preserve"> </w:t>
      </w:r>
      <w:r w:rsidR="0032559A" w:rsidRPr="00F05A0B">
        <w:rPr>
          <w:rFonts w:eastAsiaTheme="minorEastAsia" w:cstheme="minorHAnsi"/>
          <w:color w:val="000000"/>
          <w:kern w:val="0"/>
          <w:lang w:eastAsia="en-GB"/>
          <w14:ligatures w14:val="none"/>
        </w:rPr>
        <w:t xml:space="preserve">Despite its advantages, implementing strategic development programs presents challenges, including financial constraints and employee resistance to change. </w:t>
      </w:r>
      <w:r w:rsidR="0032559A" w:rsidRPr="00F05A0B">
        <w:rPr>
          <w:rFonts w:eastAsiaTheme="minorEastAsia" w:cstheme="minorHAnsi"/>
          <w:color w:val="000000"/>
          <w:kern w:val="0"/>
          <w:lang w:eastAsia="en-GB"/>
          <w14:ligatures w14:val="none"/>
        </w:rPr>
        <w:lastRenderedPageBreak/>
        <w:t xml:space="preserve">However, </w:t>
      </w:r>
      <w:r w:rsidR="00B825AB" w:rsidRPr="00F05A0B">
        <w:rPr>
          <w:rFonts w:eastAsiaTheme="minorEastAsia" w:cstheme="minorHAnsi"/>
          <w:color w:val="000000"/>
          <w:kern w:val="0"/>
          <w:lang w:eastAsia="en-GB"/>
          <w14:ligatures w14:val="none"/>
        </w:rPr>
        <w:t>organisations</w:t>
      </w:r>
      <w:r w:rsidR="0032559A" w:rsidRPr="00F05A0B">
        <w:rPr>
          <w:rFonts w:eastAsiaTheme="minorEastAsia" w:cstheme="minorHAnsi"/>
          <w:color w:val="000000"/>
          <w:kern w:val="0"/>
          <w:lang w:eastAsia="en-GB"/>
          <w14:ligatures w14:val="none"/>
        </w:rPr>
        <w:t xml:space="preserve"> can mitigate these obstacles through structured training models, effective change management strategies, and the integration of technology-driven learning solutions. Leveraging digital platforms, artificial intelligence, and </w:t>
      </w:r>
      <w:r w:rsidR="00B825AB" w:rsidRPr="00F05A0B">
        <w:rPr>
          <w:rFonts w:eastAsiaTheme="minorEastAsia" w:cstheme="minorHAnsi"/>
          <w:color w:val="000000"/>
          <w:kern w:val="0"/>
          <w:lang w:eastAsia="en-GB"/>
          <w14:ligatures w14:val="none"/>
        </w:rPr>
        <w:t>personalised</w:t>
      </w:r>
      <w:r w:rsidR="0032559A" w:rsidRPr="00F05A0B">
        <w:rPr>
          <w:rFonts w:eastAsiaTheme="minorEastAsia" w:cstheme="minorHAnsi"/>
          <w:color w:val="000000"/>
          <w:kern w:val="0"/>
          <w:lang w:eastAsia="en-GB"/>
          <w14:ligatures w14:val="none"/>
        </w:rPr>
        <w:t xml:space="preserve"> learning tools can enhance accessibility, reduce costs, and improve engagement, making employee development more efficient and scalable</w:t>
      </w:r>
      <w:r w:rsidR="001963C9">
        <w:rPr>
          <w:rFonts w:eastAsiaTheme="minorEastAsia" w:cstheme="minorHAnsi"/>
          <w:color w:val="000000"/>
          <w:kern w:val="0"/>
          <w:lang w:eastAsia="en-GB"/>
          <w14:ligatures w14:val="none"/>
        </w:rPr>
        <w:t xml:space="preserve">, </w:t>
      </w:r>
      <w:r w:rsidR="001963C9" w:rsidRPr="001963C9">
        <w:rPr>
          <w:rFonts w:eastAsiaTheme="minorEastAsia" w:cstheme="minorHAnsi"/>
          <w:color w:val="000000"/>
          <w:kern w:val="0"/>
          <w:lang w:eastAsia="en-GB"/>
          <w14:ligatures w14:val="none"/>
        </w:rPr>
        <w:t>Alvarez &amp; Marsal. (2024).</w:t>
      </w:r>
    </w:p>
    <w:p w14:paraId="0A2CFEC8" w14:textId="165A3CEF" w:rsidR="0032559A" w:rsidRPr="00DB4973" w:rsidRDefault="008F7F9F" w:rsidP="00F13308">
      <w:pPr>
        <w:ind w:firstLine="720"/>
        <w:divId w:val="1194344018"/>
        <w:rPr>
          <w:rFonts w:cstheme="minorHAnsi"/>
          <w:b/>
        </w:rPr>
      </w:pPr>
      <w:r>
        <w:rPr>
          <w:rFonts w:eastAsiaTheme="minorEastAsia" w:cstheme="minorHAnsi"/>
          <w:color w:val="000000"/>
          <w:kern w:val="0"/>
          <w:lang w:eastAsia="en-GB"/>
          <w14:ligatures w14:val="none"/>
        </w:rPr>
        <w:t>I</w:t>
      </w:r>
      <w:r w:rsidR="0032559A" w:rsidRPr="00F05A0B">
        <w:rPr>
          <w:rFonts w:eastAsiaTheme="minorEastAsia" w:cstheme="minorHAnsi"/>
          <w:color w:val="000000"/>
          <w:kern w:val="0"/>
          <w:lang w:eastAsia="en-GB"/>
          <w14:ligatures w14:val="none"/>
        </w:rPr>
        <w:t xml:space="preserve">ncorporating leadership theories into employee development initiatives ensures that </w:t>
      </w:r>
      <w:r w:rsidR="00B825AB" w:rsidRPr="00F05A0B">
        <w:rPr>
          <w:rFonts w:eastAsiaTheme="minorEastAsia" w:cstheme="minorHAnsi"/>
          <w:color w:val="000000"/>
          <w:kern w:val="0"/>
          <w:lang w:eastAsia="en-GB"/>
          <w14:ligatures w14:val="none"/>
        </w:rPr>
        <w:t>organisations</w:t>
      </w:r>
      <w:r w:rsidR="0032559A" w:rsidRPr="00F05A0B">
        <w:rPr>
          <w:rFonts w:eastAsiaTheme="minorEastAsia" w:cstheme="minorHAnsi"/>
          <w:color w:val="000000"/>
          <w:kern w:val="0"/>
          <w:lang w:eastAsia="en-GB"/>
          <w14:ligatures w14:val="none"/>
        </w:rPr>
        <w:t xml:space="preserve"> are not only fostering technical expertise but also nurturing future leaders. Transformational leadership principles </w:t>
      </w:r>
      <w:r w:rsidR="00B825AB" w:rsidRPr="00F05A0B">
        <w:rPr>
          <w:rFonts w:eastAsiaTheme="minorEastAsia" w:cstheme="minorHAnsi"/>
          <w:color w:val="000000"/>
          <w:kern w:val="0"/>
          <w:lang w:eastAsia="en-GB"/>
          <w14:ligatures w14:val="none"/>
        </w:rPr>
        <w:t>emphasise</w:t>
      </w:r>
      <w:r w:rsidR="0032559A" w:rsidRPr="00F05A0B">
        <w:rPr>
          <w:rFonts w:eastAsiaTheme="minorEastAsia" w:cstheme="minorHAnsi"/>
          <w:color w:val="000000"/>
          <w:kern w:val="0"/>
          <w:lang w:eastAsia="en-GB"/>
          <w14:ligatures w14:val="none"/>
        </w:rPr>
        <w:t xml:space="preserve"> the importance of inspiring and empowering employees to take ownership of their professional growth and actively contribute to the </w:t>
      </w:r>
      <w:r w:rsidR="00B825AB" w:rsidRPr="00F05A0B">
        <w:rPr>
          <w:rFonts w:eastAsiaTheme="minorEastAsia" w:cstheme="minorHAnsi"/>
          <w:color w:val="000000"/>
          <w:kern w:val="0"/>
          <w:lang w:eastAsia="en-GB"/>
          <w14:ligatures w14:val="none"/>
        </w:rPr>
        <w:t>organisation’s</w:t>
      </w:r>
      <w:r w:rsidR="0032559A" w:rsidRPr="00F05A0B">
        <w:rPr>
          <w:rFonts w:eastAsiaTheme="minorEastAsia" w:cstheme="minorHAnsi"/>
          <w:color w:val="000000"/>
          <w:kern w:val="0"/>
          <w:lang w:eastAsia="en-GB"/>
          <w14:ligatures w14:val="none"/>
        </w:rPr>
        <w:t xml:space="preserve"> success. </w:t>
      </w:r>
      <w:r w:rsidR="00693584" w:rsidRPr="00693584">
        <w:rPr>
          <w:rFonts w:eastAsiaTheme="minorEastAsia" w:cstheme="minorHAnsi"/>
          <w:color w:val="000000"/>
          <w:kern w:val="0"/>
          <w:lang w:eastAsia="en-GB"/>
          <w14:ligatures w14:val="none"/>
        </w:rPr>
        <w:t>Korn Ferry</w:t>
      </w:r>
      <w:r w:rsidR="00056A59">
        <w:rPr>
          <w:rFonts w:eastAsiaTheme="minorEastAsia" w:cstheme="minorHAnsi"/>
          <w:color w:val="000000"/>
          <w:kern w:val="0"/>
          <w:lang w:eastAsia="en-GB"/>
          <w14:ligatures w14:val="none"/>
        </w:rPr>
        <w:t>,</w:t>
      </w:r>
      <w:r w:rsidR="00693584" w:rsidRPr="00693584">
        <w:rPr>
          <w:rFonts w:eastAsiaTheme="minorEastAsia" w:cstheme="minorHAnsi"/>
          <w:color w:val="000000"/>
          <w:kern w:val="0"/>
          <w:lang w:eastAsia="en-GB"/>
          <w14:ligatures w14:val="none"/>
        </w:rPr>
        <w:t xml:space="preserve"> (2024)</w:t>
      </w:r>
      <w:r w:rsidR="0032559A" w:rsidRPr="00F05A0B">
        <w:rPr>
          <w:rFonts w:eastAsiaTheme="minorEastAsia" w:cstheme="minorHAnsi"/>
          <w:color w:val="000000"/>
          <w:kern w:val="0"/>
          <w:lang w:eastAsia="en-GB"/>
          <w14:ligatures w14:val="none"/>
        </w:rPr>
        <w:t xml:space="preserve"> </w:t>
      </w:r>
      <w:r w:rsidR="009C693D">
        <w:rPr>
          <w:rFonts w:eastAsiaTheme="minorEastAsia" w:cstheme="minorHAnsi"/>
          <w:color w:val="000000"/>
          <w:kern w:val="0"/>
          <w:lang w:eastAsia="en-GB"/>
          <w14:ligatures w14:val="none"/>
        </w:rPr>
        <w:t>mentions that a</w:t>
      </w:r>
      <w:r w:rsidR="009C693D" w:rsidRPr="00F05A0B">
        <w:rPr>
          <w:rFonts w:eastAsiaTheme="minorEastAsia" w:cstheme="minorHAnsi"/>
          <w:color w:val="000000"/>
          <w:kern w:val="0"/>
          <w:lang w:eastAsia="en-GB"/>
          <w14:ligatures w14:val="none"/>
        </w:rPr>
        <w:t xml:space="preserve"> strong leadership pipeline</w:t>
      </w:r>
      <w:r w:rsidR="009C693D">
        <w:rPr>
          <w:rFonts w:eastAsiaTheme="minorEastAsia" w:cstheme="minorHAnsi"/>
          <w:color w:val="000000"/>
          <w:kern w:val="0"/>
          <w:lang w:eastAsia="en-GB"/>
          <w14:ligatures w14:val="none"/>
        </w:rPr>
        <w:t xml:space="preserve"> </w:t>
      </w:r>
      <w:r w:rsidR="0032559A" w:rsidRPr="00F05A0B">
        <w:rPr>
          <w:rFonts w:eastAsiaTheme="minorEastAsia" w:cstheme="minorHAnsi"/>
          <w:color w:val="000000"/>
          <w:kern w:val="0"/>
          <w:lang w:eastAsia="en-GB"/>
          <w14:ligatures w14:val="none"/>
        </w:rPr>
        <w:t>enhances succession planning and ensures long-term stability.</w:t>
      </w:r>
      <w:r w:rsidR="00F13308">
        <w:rPr>
          <w:rFonts w:cstheme="minorHAnsi"/>
          <w:b/>
          <w:bCs/>
        </w:rPr>
        <w:t xml:space="preserve"> </w:t>
      </w:r>
      <w:r w:rsidR="0032559A" w:rsidRPr="00F05A0B">
        <w:rPr>
          <w:rFonts w:eastAsiaTheme="minorEastAsia" w:cstheme="minorHAnsi"/>
          <w:color w:val="000000"/>
          <w:kern w:val="0"/>
          <w:lang w:eastAsia="en-GB"/>
          <w14:ligatures w14:val="none"/>
        </w:rPr>
        <w:t xml:space="preserve">In today’s rapidly changing business environment, </w:t>
      </w:r>
      <w:r w:rsidR="00B825AB" w:rsidRPr="00F05A0B">
        <w:rPr>
          <w:rFonts w:eastAsiaTheme="minorEastAsia" w:cstheme="minorHAnsi"/>
          <w:color w:val="000000"/>
          <w:kern w:val="0"/>
          <w:lang w:eastAsia="en-GB"/>
          <w14:ligatures w14:val="none"/>
        </w:rPr>
        <w:t>prioritising</w:t>
      </w:r>
      <w:r w:rsidR="0032559A" w:rsidRPr="00F05A0B">
        <w:rPr>
          <w:rFonts w:eastAsiaTheme="minorEastAsia" w:cstheme="minorHAnsi"/>
          <w:color w:val="000000"/>
          <w:kern w:val="0"/>
          <w:lang w:eastAsia="en-GB"/>
          <w14:ligatures w14:val="none"/>
        </w:rPr>
        <w:t xml:space="preserve"> continuous learning and development is crucial for maintaining agility and resilience. </w:t>
      </w:r>
      <w:r w:rsidR="00B825AB" w:rsidRPr="00F05A0B">
        <w:rPr>
          <w:rFonts w:eastAsiaTheme="minorEastAsia" w:cstheme="minorHAnsi"/>
          <w:color w:val="000000"/>
          <w:kern w:val="0"/>
          <w:lang w:eastAsia="en-GB"/>
          <w14:ligatures w14:val="none"/>
        </w:rPr>
        <w:t xml:space="preserve">Organisations </w:t>
      </w:r>
      <w:r w:rsidR="0032559A" w:rsidRPr="00F05A0B">
        <w:rPr>
          <w:rFonts w:eastAsiaTheme="minorEastAsia" w:cstheme="minorHAnsi"/>
          <w:color w:val="000000"/>
          <w:kern w:val="0"/>
          <w:lang w:eastAsia="en-GB"/>
          <w14:ligatures w14:val="none"/>
        </w:rPr>
        <w:t>that embrace strategic employee development as a long-term investment rather than a short-term expense position themselves for sustained success, innovation, and competitiveness in the global marketplace</w:t>
      </w:r>
      <w:r w:rsidR="00F26DC1">
        <w:rPr>
          <w:rFonts w:eastAsiaTheme="minorEastAsia" w:cstheme="minorHAnsi"/>
          <w:color w:val="000000"/>
          <w:kern w:val="0"/>
          <w:lang w:eastAsia="en-GB"/>
          <w14:ligatures w14:val="none"/>
        </w:rPr>
        <w:t>.</w:t>
      </w:r>
    </w:p>
    <w:p w14:paraId="261FAF76" w14:textId="6B490DE0" w:rsidR="00201915" w:rsidRPr="00F05A0B" w:rsidRDefault="00201915" w:rsidP="00201915">
      <w:pPr>
        <w:rPr>
          <w:rFonts w:cstheme="minorHAnsi"/>
        </w:rPr>
      </w:pPr>
    </w:p>
    <w:p w14:paraId="7F7520BF" w14:textId="675CDEFF" w:rsidR="00B67C35" w:rsidRDefault="000243CD" w:rsidP="00B67C35">
      <w:pPr>
        <w:rPr>
          <w:rFonts w:cstheme="minorHAnsi"/>
          <w:b/>
        </w:rPr>
      </w:pPr>
      <w:r w:rsidRPr="00F05A0B">
        <w:rPr>
          <w:rFonts w:cstheme="minorHAnsi"/>
          <w:b/>
        </w:rPr>
        <w:t xml:space="preserve">References </w:t>
      </w:r>
    </w:p>
    <w:p w14:paraId="1C2DBD80" w14:textId="21CB9CF6" w:rsidR="00B11789" w:rsidRPr="00F05A0B" w:rsidRDefault="00B11789" w:rsidP="00B67C35">
      <w:pPr>
        <w:rPr>
          <w:rFonts w:cstheme="minorHAnsi"/>
          <w:b/>
          <w:bCs/>
        </w:rPr>
      </w:pPr>
      <w:r w:rsidRPr="00D25D3B">
        <w:rPr>
          <w:rFonts w:ascii="Times New Roman" w:eastAsia="Times New Roman" w:hAnsi="Times New Roman" w:cs="Times New Roman"/>
          <w:noProof/>
          <w:kern w:val="0"/>
          <w:lang w:eastAsia="en-GB"/>
          <w14:ligatures w14:val="none"/>
        </w:rPr>
        <mc:AlternateContent>
          <mc:Choice Requires="wps">
            <w:drawing>
              <wp:inline distT="0" distB="0" distL="0" distR="0" wp14:anchorId="1B514B75" wp14:editId="129158B4">
                <wp:extent cx="5731510" cy="1270"/>
                <wp:effectExtent l="0" t="0" r="8890" b="24130"/>
                <wp:docPr id="1825084574" name="Rectangle 1"/>
                <wp:cNvGraphicFramePr>
                  <a:graphicFrameLocks xmlns:a="http://schemas.openxmlformats.org/drawingml/2006/main"/>
                </wp:cNvGraphicFramePr>
                <a:graphic xmlns:a="http://schemas.openxmlformats.org/drawingml/2006/main">
                  <a:graphicData uri="http://schemas.microsoft.com/office/word/2010/wordprocessingShape">
                    <wps:wsp>
                      <wps:cNvSpPr>
                        <a:spLocks noChangeArrowheads="1"/>
                      </wps:cNvSpPr>
                      <wps:spPr bwMode="auto">
                        <a:xfrm>
                          <a:off x="0" y="0"/>
                          <a:ext cx="41614725" cy="1270"/>
                        </a:xfrm>
                        <a:prstGeom prst="rect">
                          <a:avLst/>
                        </a:prstGeom>
                        <a:noFill/>
                        <a:ln w="9525">
                          <a:gradFill rotWithShape="0">
                            <a:gsLst>
                              <a:gs pos="0">
                                <a:srgbClr val="A0A0A0"/>
                              </a:gs>
                              <a:gs pos="100000">
                                <a:srgbClr val="E3E3E3"/>
                              </a:gs>
                            </a:gsLst>
                            <a:lin ang="5400000"/>
                          </a:gradFill>
                          <a:miter lim="800000"/>
                          <a:headEnd/>
                          <a:tailEnd/>
                        </a:ln>
                      </wps:spPr>
                      <wps:bodyPr rot="0" vert="horz" wrap="square" lIns="91440" tIns="45720" rIns="91440" bIns="45720" anchor="t" anchorCtr="0" upright="1">
                        <a:noAutofit/>
                      </wps:bodyPr>
                    </wps:wsp>
                  </a:graphicData>
                </a:graphic>
              </wp:inline>
            </w:drawing>
          </mc:Choice>
          <mc:Fallback>
            <w:pict>
              <v:rect w14:anchorId="4EF1B693" id="Rectangle 1" o:spid="_x0000_s1026" style="width:451.3pt;height:.1pt;visibility:visible;mso-wrap-style:square;mso-left-percent:-10001;mso-top-percent:-10001;mso-position-horizontal:absolute;mso-position-horizontal-relative:char;mso-position-vertical:absolute;mso-position-vertical-relative:line;mso-left-percent:-10001;mso-top-percent:-10001;v-text-anchor:top" o:gfxdata="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" filled="f">
                <w10:anchorlock/>
              </v:rect>
            </w:pict>
          </mc:Fallback>
        </mc:AlternateContent>
      </w:r>
    </w:p>
    <w:p w14:paraId="148A86D1" w14:textId="0147B995" w:rsidR="006F5C1C" w:rsidRDefault="007F3283" w:rsidP="00562F88">
      <w:pPr>
        <w:pStyle w:val="NormalWeb"/>
        <w:numPr>
          <w:ilvl w:val="0"/>
          <w:numId w:val="5"/>
        </w:numPr>
        <w:rPr>
          <w:rFonts w:asciiTheme="minorHAnsi" w:hAnsiTheme="minorHAnsi" w:cstheme="minorHAnsi"/>
          <w:color w:val="000000"/>
        </w:rPr>
      </w:pPr>
      <w:r w:rsidRPr="007F3283">
        <w:rPr>
          <w:rFonts w:asciiTheme="minorHAnsi" w:hAnsiTheme="minorHAnsi" w:cstheme="minorHAnsi"/>
          <w:color w:val="000000"/>
        </w:rPr>
        <w:t xml:space="preserve">Brassey, J., De Smet, A., Maor, D., &amp; </w:t>
      </w:r>
      <w:proofErr w:type="spellStart"/>
      <w:r w:rsidRPr="007F3283">
        <w:rPr>
          <w:rFonts w:asciiTheme="minorHAnsi" w:hAnsiTheme="minorHAnsi" w:cstheme="minorHAnsi"/>
          <w:color w:val="000000"/>
        </w:rPr>
        <w:t>Rabipour</w:t>
      </w:r>
      <w:proofErr w:type="spellEnd"/>
      <w:r w:rsidRPr="007F3283">
        <w:rPr>
          <w:rFonts w:asciiTheme="minorHAnsi" w:hAnsiTheme="minorHAnsi" w:cstheme="minorHAnsi"/>
          <w:color w:val="000000"/>
        </w:rPr>
        <w:t>, S. (2024). Developing a Resilient, Adaptable Workforce for an Uncertain Future. McKinsey &amp; Company.</w:t>
      </w:r>
    </w:p>
    <w:p w14:paraId="1D5D50B5" w14:textId="302CC5FF" w:rsidR="007F3283" w:rsidRDefault="00D1215D" w:rsidP="00562F88">
      <w:pPr>
        <w:pStyle w:val="NormalWeb"/>
        <w:numPr>
          <w:ilvl w:val="0"/>
          <w:numId w:val="5"/>
        </w:numPr>
        <w:rPr>
          <w:rFonts w:asciiTheme="minorHAnsi" w:hAnsiTheme="minorHAnsi" w:cstheme="minorHAnsi"/>
          <w:color w:val="000000"/>
        </w:rPr>
      </w:pPr>
      <w:r w:rsidRPr="00D1215D">
        <w:rPr>
          <w:rFonts w:asciiTheme="minorHAnsi" w:hAnsiTheme="minorHAnsi" w:cstheme="minorHAnsi"/>
          <w:color w:val="000000"/>
        </w:rPr>
        <w:t>Kumar, S. (2023). Competitiveness Through Development of Strategic Talent Management Ecosystem: A Multidimensional View. Management Research Review, 46(4), 567–586.</w:t>
      </w:r>
    </w:p>
    <w:p w14:paraId="1BDC9F3B" w14:textId="71FA8A97" w:rsidR="00D1215D" w:rsidRDefault="00D1215D" w:rsidP="00562F88">
      <w:pPr>
        <w:pStyle w:val="NormalWeb"/>
        <w:numPr>
          <w:ilvl w:val="0"/>
          <w:numId w:val="5"/>
        </w:numPr>
        <w:rPr>
          <w:rFonts w:asciiTheme="minorHAnsi" w:hAnsiTheme="minorHAnsi" w:cstheme="minorHAnsi"/>
          <w:color w:val="000000"/>
        </w:rPr>
      </w:pPr>
      <w:proofErr w:type="spellStart"/>
      <w:r w:rsidRPr="00D1215D">
        <w:rPr>
          <w:rFonts w:asciiTheme="minorHAnsi" w:hAnsiTheme="minorHAnsi" w:cstheme="minorHAnsi"/>
          <w:color w:val="000000"/>
        </w:rPr>
        <w:t>McIlongo</w:t>
      </w:r>
      <w:proofErr w:type="spellEnd"/>
      <w:r w:rsidRPr="00D1215D">
        <w:rPr>
          <w:rFonts w:asciiTheme="minorHAnsi" w:hAnsiTheme="minorHAnsi" w:cstheme="minorHAnsi"/>
          <w:color w:val="000000"/>
        </w:rPr>
        <w:t>, G., &amp; Strydom, R. (2023). Can Mentoring Programmes Develop Leadership? A Systematic Review. </w:t>
      </w:r>
      <w:r w:rsidRPr="00226220">
        <w:rPr>
          <w:rFonts w:asciiTheme="minorHAnsi" w:hAnsiTheme="minorHAnsi" w:cstheme="minorHAnsi"/>
          <w:color w:val="000000"/>
        </w:rPr>
        <w:t>International Journal of Evidence-Based Coaching and Mentoring</w:t>
      </w:r>
      <w:r w:rsidRPr="00D1215D">
        <w:rPr>
          <w:rFonts w:asciiTheme="minorHAnsi" w:hAnsiTheme="minorHAnsi" w:cstheme="minorHAnsi"/>
          <w:color w:val="000000"/>
        </w:rPr>
        <w:t>, 21(2), 89–102.</w:t>
      </w:r>
    </w:p>
    <w:p w14:paraId="1E538AE0" w14:textId="017C4F11" w:rsidR="00226220" w:rsidRPr="00226220" w:rsidRDefault="00226220" w:rsidP="00562F88">
      <w:pPr>
        <w:pStyle w:val="NormalWeb"/>
        <w:numPr>
          <w:ilvl w:val="0"/>
          <w:numId w:val="5"/>
        </w:numPr>
        <w:rPr>
          <w:rFonts w:asciiTheme="minorHAnsi" w:hAnsiTheme="minorHAnsi" w:cstheme="minorHAnsi"/>
          <w:color w:val="000000"/>
        </w:rPr>
      </w:pPr>
      <w:r w:rsidRPr="00226220">
        <w:rPr>
          <w:rFonts w:asciiTheme="minorHAnsi" w:hAnsiTheme="minorHAnsi" w:cstheme="minorHAnsi"/>
          <w:color w:val="000000"/>
        </w:rPr>
        <w:t>U.S. Department of Education. (2023). Artificial Intelligence and the Future of Teaching and Learning. Office of Educational Technology. </w:t>
      </w:r>
    </w:p>
    <w:p w14:paraId="2937806B" w14:textId="15E530B7" w:rsidR="00562F88" w:rsidRPr="00562F88" w:rsidRDefault="00562F88" w:rsidP="00562F88">
      <w:pPr>
        <w:pStyle w:val="NormalWeb"/>
        <w:numPr>
          <w:ilvl w:val="0"/>
          <w:numId w:val="5"/>
        </w:numPr>
        <w:rPr>
          <w:rFonts w:asciiTheme="minorHAnsi" w:hAnsiTheme="minorHAnsi" w:cstheme="minorHAnsi"/>
          <w:color w:val="000000"/>
        </w:rPr>
      </w:pPr>
      <w:r w:rsidRPr="00562F88">
        <w:rPr>
          <w:rFonts w:asciiTheme="minorHAnsi" w:hAnsiTheme="minorHAnsi" w:cstheme="minorHAnsi"/>
          <w:color w:val="000000"/>
        </w:rPr>
        <w:t>Barney, J</w:t>
      </w:r>
      <w:r w:rsidRPr="009313E5">
        <w:rPr>
          <w:rFonts w:asciiTheme="minorHAnsi" w:hAnsiTheme="minorHAnsi" w:cstheme="minorHAnsi"/>
          <w:i/>
          <w:color w:val="000000"/>
        </w:rPr>
        <w:t xml:space="preserve">. (1991) </w:t>
      </w:r>
      <w:r w:rsidRPr="00562F88">
        <w:rPr>
          <w:rFonts w:asciiTheme="minorHAnsi" w:hAnsiTheme="minorHAnsi" w:cstheme="minorHAnsi"/>
          <w:color w:val="000000"/>
        </w:rPr>
        <w:t>‘Firm resources and sustained competitive advantage’</w:t>
      </w:r>
      <w:r w:rsidRPr="009313E5">
        <w:rPr>
          <w:rFonts w:asciiTheme="minorHAnsi" w:hAnsiTheme="minorHAnsi" w:cstheme="minorHAnsi"/>
          <w:i/>
          <w:color w:val="000000"/>
        </w:rPr>
        <w:t>,</w:t>
      </w:r>
      <w:r w:rsidRPr="009313E5">
        <w:rPr>
          <w:rStyle w:val="apple-converted-space"/>
          <w:rFonts w:asciiTheme="minorHAnsi" w:eastAsiaTheme="majorEastAsia" w:hAnsiTheme="minorHAnsi" w:cstheme="minorHAnsi"/>
          <w:i/>
          <w:color w:val="000000"/>
        </w:rPr>
        <w:t> </w:t>
      </w:r>
      <w:r w:rsidRPr="009313E5">
        <w:rPr>
          <w:rStyle w:val="Emphasis"/>
          <w:rFonts w:asciiTheme="minorHAnsi" w:eastAsiaTheme="majorEastAsia" w:hAnsiTheme="minorHAnsi" w:cstheme="minorHAnsi"/>
          <w:i w:val="0"/>
          <w:color w:val="000000"/>
        </w:rPr>
        <w:t>Journal of Management</w:t>
      </w:r>
      <w:r w:rsidRPr="009313E5">
        <w:rPr>
          <w:rFonts w:asciiTheme="minorHAnsi" w:hAnsiTheme="minorHAnsi" w:cstheme="minorHAnsi"/>
          <w:i/>
          <w:color w:val="000000"/>
        </w:rPr>
        <w:t xml:space="preserve">, </w:t>
      </w:r>
      <w:r w:rsidRPr="00562F88">
        <w:rPr>
          <w:rFonts w:asciiTheme="minorHAnsi" w:hAnsiTheme="minorHAnsi" w:cstheme="minorHAnsi"/>
          <w:color w:val="000000"/>
        </w:rPr>
        <w:t>17(1), pp. 99-120.</w:t>
      </w:r>
    </w:p>
    <w:p w14:paraId="51465F30" w14:textId="5850424D" w:rsidR="00562F88" w:rsidRPr="009313E5" w:rsidRDefault="00562F88" w:rsidP="00562F88">
      <w:pPr>
        <w:pStyle w:val="NormalWeb"/>
        <w:numPr>
          <w:ilvl w:val="0"/>
          <w:numId w:val="5"/>
        </w:numPr>
        <w:rPr>
          <w:rFonts w:asciiTheme="minorHAnsi" w:hAnsiTheme="minorHAnsi" w:cstheme="minorHAnsi"/>
          <w:i/>
          <w:color w:val="000000"/>
        </w:rPr>
      </w:pPr>
      <w:r w:rsidRPr="00562F88">
        <w:rPr>
          <w:rFonts w:asciiTheme="minorHAnsi" w:hAnsiTheme="minorHAnsi" w:cstheme="minorHAnsi"/>
          <w:color w:val="000000"/>
        </w:rPr>
        <w:t>Bass, B. M</w:t>
      </w:r>
      <w:r w:rsidRPr="009313E5">
        <w:rPr>
          <w:rFonts w:asciiTheme="minorHAnsi" w:hAnsiTheme="minorHAnsi" w:cstheme="minorHAnsi"/>
          <w:i/>
          <w:color w:val="000000"/>
        </w:rPr>
        <w:t xml:space="preserve">. </w:t>
      </w:r>
      <w:r w:rsidRPr="00562F88">
        <w:rPr>
          <w:rFonts w:asciiTheme="minorHAnsi" w:hAnsiTheme="minorHAnsi" w:cstheme="minorHAnsi"/>
          <w:color w:val="000000"/>
        </w:rPr>
        <w:t>(1985)</w:t>
      </w:r>
      <w:r w:rsidRPr="009313E5">
        <w:rPr>
          <w:rStyle w:val="apple-converted-space"/>
          <w:rFonts w:asciiTheme="minorHAnsi" w:eastAsiaTheme="majorEastAsia" w:hAnsiTheme="minorHAnsi" w:cstheme="minorHAnsi"/>
          <w:i/>
          <w:color w:val="000000"/>
        </w:rPr>
        <w:t> </w:t>
      </w:r>
      <w:r w:rsidRPr="009313E5">
        <w:rPr>
          <w:rStyle w:val="Emphasis"/>
          <w:rFonts w:asciiTheme="minorHAnsi" w:eastAsiaTheme="majorEastAsia" w:hAnsiTheme="minorHAnsi" w:cstheme="minorHAnsi"/>
          <w:i w:val="0"/>
          <w:color w:val="000000"/>
        </w:rPr>
        <w:t>Leadership and Performance Beyond Expectations.</w:t>
      </w:r>
      <w:r w:rsidRPr="009313E5">
        <w:rPr>
          <w:rStyle w:val="apple-converted-space"/>
          <w:rFonts w:asciiTheme="minorHAnsi" w:eastAsiaTheme="majorEastAsia" w:hAnsiTheme="minorHAnsi" w:cstheme="minorHAnsi"/>
          <w:i/>
          <w:color w:val="000000"/>
        </w:rPr>
        <w:t> </w:t>
      </w:r>
    </w:p>
    <w:p w14:paraId="13BE97DF" w14:textId="164BA7D1" w:rsidR="00562F88" w:rsidRPr="00562F88" w:rsidRDefault="00562F88" w:rsidP="00562F88">
      <w:pPr>
        <w:pStyle w:val="NormalWeb"/>
        <w:numPr>
          <w:ilvl w:val="0"/>
          <w:numId w:val="5"/>
        </w:numPr>
        <w:rPr>
          <w:rFonts w:asciiTheme="minorHAnsi" w:hAnsiTheme="minorHAnsi" w:cstheme="minorHAnsi"/>
          <w:color w:val="000000"/>
        </w:rPr>
      </w:pPr>
      <w:r w:rsidRPr="00562F88">
        <w:rPr>
          <w:rFonts w:asciiTheme="minorHAnsi" w:hAnsiTheme="minorHAnsi" w:cstheme="minorHAnsi"/>
          <w:color w:val="000000"/>
        </w:rPr>
        <w:t>Becker, G. S</w:t>
      </w:r>
      <w:r w:rsidRPr="009313E5">
        <w:rPr>
          <w:rFonts w:asciiTheme="minorHAnsi" w:hAnsiTheme="minorHAnsi" w:cstheme="minorHAnsi"/>
          <w:i/>
          <w:color w:val="000000"/>
        </w:rPr>
        <w:t xml:space="preserve">. </w:t>
      </w:r>
      <w:r w:rsidRPr="00562F88">
        <w:rPr>
          <w:rFonts w:asciiTheme="minorHAnsi" w:hAnsiTheme="minorHAnsi" w:cstheme="minorHAnsi"/>
          <w:color w:val="000000"/>
        </w:rPr>
        <w:t>(1964)</w:t>
      </w:r>
      <w:r w:rsidRPr="009313E5">
        <w:rPr>
          <w:rStyle w:val="apple-converted-space"/>
          <w:rFonts w:asciiTheme="minorHAnsi" w:eastAsiaTheme="majorEastAsia" w:hAnsiTheme="minorHAnsi" w:cstheme="minorHAnsi"/>
          <w:i/>
          <w:color w:val="000000"/>
        </w:rPr>
        <w:t> </w:t>
      </w:r>
      <w:r w:rsidRPr="009313E5">
        <w:rPr>
          <w:rStyle w:val="Emphasis"/>
          <w:rFonts w:asciiTheme="minorHAnsi" w:eastAsiaTheme="majorEastAsia" w:hAnsiTheme="minorHAnsi" w:cstheme="minorHAnsi"/>
          <w:i w:val="0"/>
          <w:color w:val="000000"/>
        </w:rPr>
        <w:t>Human Capital: A Theoretical and Empirical Analysis, with Special Reference to Education.</w:t>
      </w:r>
      <w:r w:rsidR="00F03721" w:rsidRPr="009313E5">
        <w:rPr>
          <w:rStyle w:val="Emphasis"/>
          <w:rFonts w:asciiTheme="minorHAnsi" w:eastAsiaTheme="majorEastAsia" w:hAnsiTheme="minorHAnsi" w:cstheme="minorHAnsi"/>
          <w:i w:val="0"/>
          <w:iCs w:val="0"/>
          <w:color w:val="000000"/>
        </w:rPr>
        <w:t xml:space="preserve"> </w:t>
      </w:r>
      <w:r w:rsidRPr="00562F88">
        <w:rPr>
          <w:rFonts w:asciiTheme="minorHAnsi" w:hAnsiTheme="minorHAnsi" w:cstheme="minorHAnsi"/>
          <w:color w:val="000000"/>
        </w:rPr>
        <w:t>Chicago: University of Chicago Press.</w:t>
      </w:r>
    </w:p>
    <w:p w14:paraId="11D4FAEA" w14:textId="67FEE027" w:rsidR="00562F88" w:rsidRPr="009313E5" w:rsidRDefault="00562F88" w:rsidP="00562F88">
      <w:pPr>
        <w:pStyle w:val="NormalWeb"/>
        <w:numPr>
          <w:ilvl w:val="0"/>
          <w:numId w:val="5"/>
        </w:numPr>
        <w:rPr>
          <w:rFonts w:asciiTheme="minorHAnsi" w:hAnsiTheme="minorHAnsi" w:cstheme="minorHAnsi"/>
          <w:i/>
          <w:color w:val="000000"/>
        </w:rPr>
      </w:pPr>
      <w:r w:rsidRPr="00562F88">
        <w:rPr>
          <w:rFonts w:asciiTheme="minorHAnsi" w:hAnsiTheme="minorHAnsi" w:cstheme="minorHAnsi"/>
          <w:color w:val="000000"/>
        </w:rPr>
        <w:t>Burns, J. M.</w:t>
      </w:r>
      <w:r w:rsidRPr="009313E5">
        <w:rPr>
          <w:rFonts w:asciiTheme="minorHAnsi" w:hAnsiTheme="minorHAnsi" w:cstheme="minorHAnsi"/>
          <w:i/>
          <w:color w:val="000000"/>
        </w:rPr>
        <w:t xml:space="preserve"> </w:t>
      </w:r>
      <w:r w:rsidRPr="00562F88">
        <w:rPr>
          <w:rFonts w:asciiTheme="minorHAnsi" w:hAnsiTheme="minorHAnsi" w:cstheme="minorHAnsi"/>
          <w:color w:val="000000"/>
        </w:rPr>
        <w:t>(1978)</w:t>
      </w:r>
      <w:r w:rsidRPr="009313E5">
        <w:rPr>
          <w:rStyle w:val="apple-converted-space"/>
          <w:rFonts w:asciiTheme="minorHAnsi" w:eastAsiaTheme="majorEastAsia" w:hAnsiTheme="minorHAnsi" w:cstheme="minorHAnsi"/>
          <w:i/>
          <w:color w:val="000000"/>
        </w:rPr>
        <w:t> </w:t>
      </w:r>
      <w:r w:rsidRPr="009313E5">
        <w:rPr>
          <w:rStyle w:val="Emphasis"/>
          <w:rFonts w:asciiTheme="minorHAnsi" w:eastAsiaTheme="majorEastAsia" w:hAnsiTheme="minorHAnsi" w:cstheme="minorHAnsi"/>
          <w:i w:val="0"/>
          <w:color w:val="000000"/>
        </w:rPr>
        <w:t>Leadership.</w:t>
      </w:r>
      <w:r w:rsidRPr="00562F88">
        <w:rPr>
          <w:rStyle w:val="apple-converted-space"/>
          <w:rFonts w:asciiTheme="minorHAnsi" w:eastAsiaTheme="majorEastAsia" w:hAnsiTheme="minorHAnsi" w:cstheme="minorHAnsi"/>
          <w:color w:val="000000"/>
        </w:rPr>
        <w:t> </w:t>
      </w:r>
      <w:r w:rsidRPr="00562F88">
        <w:rPr>
          <w:rFonts w:asciiTheme="minorHAnsi" w:hAnsiTheme="minorHAnsi" w:cstheme="minorHAnsi"/>
          <w:color w:val="000000"/>
        </w:rPr>
        <w:t>New York: Harper &amp; Row.</w:t>
      </w:r>
    </w:p>
    <w:p w14:paraId="32AA9FA0" w14:textId="77777777" w:rsidR="00562F88" w:rsidRPr="009313E5" w:rsidRDefault="00562F88" w:rsidP="00562F88">
      <w:pPr>
        <w:pStyle w:val="NormalWeb"/>
        <w:numPr>
          <w:ilvl w:val="0"/>
          <w:numId w:val="5"/>
        </w:numPr>
        <w:rPr>
          <w:rFonts w:asciiTheme="minorHAnsi" w:hAnsiTheme="minorHAnsi" w:cstheme="minorHAnsi"/>
          <w:i/>
          <w:color w:val="000000"/>
        </w:rPr>
      </w:pPr>
      <w:r w:rsidRPr="00562F88">
        <w:rPr>
          <w:rFonts w:asciiTheme="minorHAnsi" w:hAnsiTheme="minorHAnsi" w:cstheme="minorHAnsi"/>
          <w:color w:val="000000"/>
        </w:rPr>
        <w:t>Grant, R. M</w:t>
      </w:r>
      <w:r w:rsidRPr="009313E5">
        <w:rPr>
          <w:rFonts w:asciiTheme="minorHAnsi" w:hAnsiTheme="minorHAnsi" w:cstheme="minorHAnsi"/>
          <w:i/>
          <w:color w:val="000000"/>
        </w:rPr>
        <w:t>.</w:t>
      </w:r>
      <w:r w:rsidRPr="00562F88">
        <w:rPr>
          <w:rFonts w:asciiTheme="minorHAnsi" w:hAnsiTheme="minorHAnsi" w:cstheme="minorHAnsi"/>
          <w:color w:val="000000"/>
        </w:rPr>
        <w:t xml:space="preserve"> (1996)</w:t>
      </w:r>
      <w:r w:rsidRPr="009313E5">
        <w:rPr>
          <w:rStyle w:val="apple-converted-space"/>
          <w:rFonts w:asciiTheme="minorHAnsi" w:eastAsiaTheme="majorEastAsia" w:hAnsiTheme="minorHAnsi" w:cstheme="minorHAnsi"/>
          <w:i/>
          <w:color w:val="000000"/>
        </w:rPr>
        <w:t> </w:t>
      </w:r>
      <w:r w:rsidRPr="009313E5">
        <w:rPr>
          <w:rStyle w:val="Emphasis"/>
          <w:rFonts w:asciiTheme="minorHAnsi" w:eastAsiaTheme="majorEastAsia" w:hAnsiTheme="minorHAnsi" w:cstheme="minorHAnsi"/>
          <w:i w:val="0"/>
          <w:color w:val="000000"/>
        </w:rPr>
        <w:t>Contemporary Strategy Analysis: Concepts, Techniques, Applications.</w:t>
      </w:r>
      <w:r w:rsidRPr="009313E5">
        <w:rPr>
          <w:rStyle w:val="apple-converted-space"/>
          <w:rFonts w:asciiTheme="minorHAnsi" w:eastAsiaTheme="majorEastAsia" w:hAnsiTheme="minorHAnsi" w:cstheme="minorHAnsi"/>
          <w:i/>
          <w:color w:val="000000"/>
        </w:rPr>
        <w:t> </w:t>
      </w:r>
      <w:r w:rsidRPr="00562F88">
        <w:rPr>
          <w:rFonts w:asciiTheme="minorHAnsi" w:hAnsiTheme="minorHAnsi" w:cstheme="minorHAnsi"/>
          <w:color w:val="000000"/>
        </w:rPr>
        <w:t>Oxford: Blackwell.</w:t>
      </w:r>
    </w:p>
    <w:p w14:paraId="56BA94F1" w14:textId="77777777" w:rsidR="00562F88" w:rsidRPr="00562F88" w:rsidRDefault="00562F88" w:rsidP="00562F88">
      <w:pPr>
        <w:pStyle w:val="NormalWeb"/>
        <w:numPr>
          <w:ilvl w:val="0"/>
          <w:numId w:val="5"/>
        </w:numPr>
        <w:rPr>
          <w:rFonts w:asciiTheme="minorHAnsi" w:hAnsiTheme="minorHAnsi" w:cstheme="minorHAnsi"/>
          <w:color w:val="000000"/>
        </w:rPr>
      </w:pPr>
      <w:r w:rsidRPr="00136DD1">
        <w:rPr>
          <w:rFonts w:asciiTheme="minorHAnsi" w:hAnsiTheme="minorHAnsi" w:cstheme="minorHAnsi"/>
          <w:bCs/>
          <w:iCs/>
          <w:color w:val="000000"/>
        </w:rPr>
        <w:t xml:space="preserve">Kotter, J. P. </w:t>
      </w:r>
      <w:r w:rsidRPr="00562F88">
        <w:rPr>
          <w:rFonts w:asciiTheme="minorHAnsi" w:hAnsiTheme="minorHAnsi" w:cstheme="minorHAnsi"/>
          <w:color w:val="000000"/>
        </w:rPr>
        <w:t>(1996)</w:t>
      </w:r>
      <w:r w:rsidRPr="009313E5">
        <w:rPr>
          <w:rStyle w:val="apple-converted-space"/>
          <w:rFonts w:asciiTheme="minorHAnsi" w:eastAsiaTheme="majorEastAsia" w:hAnsiTheme="minorHAnsi" w:cstheme="minorHAnsi"/>
          <w:i/>
          <w:color w:val="000000"/>
        </w:rPr>
        <w:t> </w:t>
      </w:r>
      <w:r w:rsidRPr="009313E5">
        <w:rPr>
          <w:rStyle w:val="Emphasis"/>
          <w:rFonts w:asciiTheme="minorHAnsi" w:eastAsiaTheme="majorEastAsia" w:hAnsiTheme="minorHAnsi" w:cstheme="minorHAnsi"/>
          <w:i w:val="0"/>
          <w:color w:val="000000"/>
        </w:rPr>
        <w:t>Leading Change.</w:t>
      </w:r>
      <w:r w:rsidRPr="00562F88">
        <w:rPr>
          <w:rStyle w:val="apple-converted-space"/>
          <w:rFonts w:asciiTheme="minorHAnsi" w:eastAsiaTheme="majorEastAsia" w:hAnsiTheme="minorHAnsi" w:cstheme="minorHAnsi"/>
          <w:color w:val="000000"/>
        </w:rPr>
        <w:t> </w:t>
      </w:r>
      <w:r w:rsidRPr="00562F88">
        <w:rPr>
          <w:rFonts w:asciiTheme="minorHAnsi" w:hAnsiTheme="minorHAnsi" w:cstheme="minorHAnsi"/>
          <w:color w:val="000000"/>
        </w:rPr>
        <w:t>Boston: Harvard Business School Press.</w:t>
      </w:r>
    </w:p>
    <w:p w14:paraId="4EF0B6E5" w14:textId="77777777" w:rsidR="00562F88" w:rsidRPr="009313E5" w:rsidRDefault="00562F88" w:rsidP="00562F88">
      <w:pPr>
        <w:pStyle w:val="NormalWeb"/>
        <w:numPr>
          <w:ilvl w:val="0"/>
          <w:numId w:val="5"/>
        </w:numPr>
        <w:rPr>
          <w:rFonts w:asciiTheme="minorHAnsi" w:hAnsiTheme="minorHAnsi" w:cstheme="minorHAnsi"/>
          <w:i/>
          <w:color w:val="000000"/>
        </w:rPr>
      </w:pPr>
      <w:r w:rsidRPr="00562F88">
        <w:rPr>
          <w:rFonts w:asciiTheme="minorHAnsi" w:hAnsiTheme="minorHAnsi" w:cstheme="minorHAnsi"/>
          <w:color w:val="000000"/>
        </w:rPr>
        <w:t>Kirkpatrick, D. L. (1959</w:t>
      </w:r>
      <w:r w:rsidRPr="009313E5">
        <w:rPr>
          <w:rFonts w:asciiTheme="minorHAnsi" w:hAnsiTheme="minorHAnsi" w:cstheme="minorHAnsi"/>
          <w:i/>
          <w:color w:val="000000"/>
        </w:rPr>
        <w:t>) ‘</w:t>
      </w:r>
      <w:r w:rsidRPr="00562F88">
        <w:rPr>
          <w:rFonts w:asciiTheme="minorHAnsi" w:hAnsiTheme="minorHAnsi" w:cstheme="minorHAnsi"/>
          <w:color w:val="000000"/>
        </w:rPr>
        <w:t>Techniques for evaluating training programs’</w:t>
      </w:r>
      <w:r w:rsidRPr="009313E5">
        <w:rPr>
          <w:rFonts w:asciiTheme="minorHAnsi" w:hAnsiTheme="minorHAnsi" w:cstheme="minorHAnsi"/>
          <w:i/>
          <w:color w:val="000000"/>
        </w:rPr>
        <w:t>,</w:t>
      </w:r>
      <w:r w:rsidRPr="009313E5">
        <w:rPr>
          <w:rStyle w:val="apple-converted-space"/>
          <w:rFonts w:asciiTheme="minorHAnsi" w:eastAsiaTheme="majorEastAsia" w:hAnsiTheme="minorHAnsi" w:cstheme="minorHAnsi"/>
          <w:i/>
          <w:color w:val="000000"/>
        </w:rPr>
        <w:t> </w:t>
      </w:r>
      <w:r w:rsidRPr="009313E5">
        <w:rPr>
          <w:rStyle w:val="Emphasis"/>
          <w:rFonts w:asciiTheme="minorHAnsi" w:eastAsiaTheme="majorEastAsia" w:hAnsiTheme="minorHAnsi" w:cstheme="minorHAnsi"/>
          <w:i w:val="0"/>
          <w:color w:val="000000"/>
        </w:rPr>
        <w:t>Journal of the American Society of Training Directors</w:t>
      </w:r>
      <w:r w:rsidRPr="009313E5">
        <w:rPr>
          <w:rFonts w:asciiTheme="minorHAnsi" w:hAnsiTheme="minorHAnsi" w:cstheme="minorHAnsi"/>
          <w:i/>
          <w:color w:val="000000"/>
        </w:rPr>
        <w:t xml:space="preserve">, </w:t>
      </w:r>
      <w:r w:rsidRPr="00562F88">
        <w:rPr>
          <w:rFonts w:asciiTheme="minorHAnsi" w:hAnsiTheme="minorHAnsi" w:cstheme="minorHAnsi"/>
          <w:color w:val="000000"/>
        </w:rPr>
        <w:t>13(11), pp. 3-9.</w:t>
      </w:r>
    </w:p>
    <w:p w14:paraId="5ABEE2CB" w14:textId="44F3E228" w:rsidR="00A71138" w:rsidRPr="00F05A0B" w:rsidRDefault="00562F88" w:rsidP="00713BD1">
      <w:pPr>
        <w:pStyle w:val="NormalWeb"/>
        <w:numPr>
          <w:ilvl w:val="0"/>
          <w:numId w:val="5"/>
        </w:numPr>
        <w:rPr>
          <w:rFonts w:asciiTheme="minorHAnsi" w:hAnsiTheme="minorHAnsi" w:cstheme="minorHAnsi"/>
          <w:color w:val="000000"/>
        </w:rPr>
      </w:pPr>
      <w:r w:rsidRPr="00562F88">
        <w:rPr>
          <w:rFonts w:asciiTheme="minorHAnsi" w:hAnsiTheme="minorHAnsi" w:cstheme="minorHAnsi"/>
          <w:color w:val="000000"/>
        </w:rPr>
        <w:t xml:space="preserve">Lombardo, M. M. and </w:t>
      </w:r>
      <w:proofErr w:type="spellStart"/>
      <w:r w:rsidRPr="00562F88">
        <w:rPr>
          <w:rFonts w:asciiTheme="minorHAnsi" w:hAnsiTheme="minorHAnsi" w:cstheme="minorHAnsi"/>
          <w:color w:val="000000"/>
        </w:rPr>
        <w:t>Eichinger</w:t>
      </w:r>
      <w:proofErr w:type="spellEnd"/>
      <w:r w:rsidRPr="00562F88">
        <w:rPr>
          <w:rFonts w:asciiTheme="minorHAnsi" w:hAnsiTheme="minorHAnsi" w:cstheme="minorHAnsi"/>
          <w:color w:val="000000"/>
        </w:rPr>
        <w:t>, R. W. (1996)</w:t>
      </w:r>
      <w:r w:rsidRPr="00562F88">
        <w:rPr>
          <w:rStyle w:val="apple-converted-space"/>
          <w:rFonts w:asciiTheme="minorHAnsi" w:eastAsiaTheme="majorEastAsia" w:hAnsiTheme="minorHAnsi" w:cstheme="minorHAnsi"/>
          <w:color w:val="000000"/>
        </w:rPr>
        <w:t> </w:t>
      </w:r>
      <w:r w:rsidRPr="009313E5">
        <w:rPr>
          <w:rStyle w:val="Emphasis"/>
          <w:rFonts w:asciiTheme="minorHAnsi" w:eastAsiaTheme="majorEastAsia" w:hAnsiTheme="minorHAnsi" w:cstheme="minorHAnsi"/>
          <w:i w:val="0"/>
          <w:color w:val="000000"/>
        </w:rPr>
        <w:t>The Career Architect Development Planner</w:t>
      </w:r>
      <w:r w:rsidRPr="009313E5">
        <w:rPr>
          <w:rStyle w:val="Emphasis"/>
          <w:rFonts w:asciiTheme="minorHAnsi" w:eastAsiaTheme="majorEastAsia" w:hAnsiTheme="minorHAnsi" w:cstheme="minorHAnsi"/>
          <w:color w:val="000000"/>
        </w:rPr>
        <w:t>.</w:t>
      </w:r>
      <w:r w:rsidRPr="009313E5">
        <w:rPr>
          <w:rStyle w:val="apple-converted-space"/>
          <w:rFonts w:asciiTheme="minorHAnsi" w:eastAsiaTheme="majorEastAsia" w:hAnsiTheme="minorHAnsi" w:cstheme="minorHAnsi"/>
          <w:color w:val="000000"/>
        </w:rPr>
        <w:t> </w:t>
      </w:r>
      <w:r w:rsidRPr="009313E5">
        <w:rPr>
          <w:rFonts w:asciiTheme="minorHAnsi" w:hAnsiTheme="minorHAnsi" w:cstheme="minorHAnsi"/>
          <w:color w:val="000000"/>
        </w:rPr>
        <w:t>Minneapolis</w:t>
      </w:r>
      <w:r w:rsidRPr="00F05A0B">
        <w:rPr>
          <w:rFonts w:asciiTheme="minorHAnsi" w:hAnsiTheme="minorHAnsi" w:cstheme="minorHAnsi"/>
          <w:color w:val="000000"/>
        </w:rPr>
        <w:t xml:space="preserve">, MN: </w:t>
      </w:r>
      <w:proofErr w:type="spellStart"/>
      <w:r w:rsidRPr="00F05A0B">
        <w:rPr>
          <w:rFonts w:asciiTheme="minorHAnsi" w:hAnsiTheme="minorHAnsi" w:cstheme="minorHAnsi"/>
          <w:color w:val="000000"/>
        </w:rPr>
        <w:t>Lominger</w:t>
      </w:r>
      <w:proofErr w:type="spellEnd"/>
      <w:r w:rsidRPr="00F05A0B">
        <w:rPr>
          <w:rFonts w:asciiTheme="minorHAnsi" w:hAnsiTheme="minorHAnsi" w:cstheme="minorHAnsi"/>
          <w:color w:val="000000"/>
        </w:rPr>
        <w:t xml:space="preserve"> Limited.</w:t>
      </w:r>
    </w:p>
    <w:p w14:paraId="14B13BBD" w14:textId="0DBF8D5E" w:rsidR="00B67C35" w:rsidRPr="00F05A0B" w:rsidRDefault="00B67C35" w:rsidP="00562F88">
      <w:pPr>
        <w:pStyle w:val="ListParagraph"/>
        <w:numPr>
          <w:ilvl w:val="0"/>
          <w:numId w:val="5"/>
        </w:numPr>
        <w:rPr>
          <w:rFonts w:cstheme="minorHAnsi"/>
        </w:rPr>
      </w:pPr>
      <w:r w:rsidRPr="00F05A0B">
        <w:rPr>
          <w:rFonts w:cstheme="minorHAnsi"/>
        </w:rPr>
        <w:t xml:space="preserve">Armstrong, M. &amp; Taylor, S. (2020) Armstrong's Handbook of Human Resource Management Practice. 15th </w:t>
      </w:r>
      <w:proofErr w:type="spellStart"/>
      <w:r w:rsidRPr="00F05A0B">
        <w:rPr>
          <w:rFonts w:cstheme="minorHAnsi"/>
        </w:rPr>
        <w:t>edn</w:t>
      </w:r>
      <w:proofErr w:type="spellEnd"/>
      <w:r w:rsidRPr="00F05A0B">
        <w:rPr>
          <w:rFonts w:cstheme="minorHAnsi"/>
        </w:rPr>
        <w:t>. London: Kogan Page.</w:t>
      </w:r>
    </w:p>
    <w:p w14:paraId="308483FF" w14:textId="3453FA1B" w:rsidR="00B67C35" w:rsidRPr="00F05A0B" w:rsidRDefault="00B67C35" w:rsidP="00562F88">
      <w:pPr>
        <w:pStyle w:val="ListParagraph"/>
        <w:numPr>
          <w:ilvl w:val="0"/>
          <w:numId w:val="5"/>
        </w:numPr>
        <w:rPr>
          <w:rFonts w:cstheme="minorHAnsi"/>
        </w:rPr>
      </w:pPr>
      <w:r w:rsidRPr="00F05A0B">
        <w:rPr>
          <w:rFonts w:cstheme="minorHAnsi"/>
        </w:rPr>
        <w:t xml:space="preserve">Bass, B. M. (1990) Bass &amp; </w:t>
      </w:r>
      <w:proofErr w:type="spellStart"/>
      <w:r w:rsidRPr="00F05A0B">
        <w:rPr>
          <w:rFonts w:cstheme="minorHAnsi"/>
        </w:rPr>
        <w:t>Stogdill’s</w:t>
      </w:r>
      <w:proofErr w:type="spellEnd"/>
      <w:r w:rsidRPr="00F05A0B">
        <w:rPr>
          <w:rFonts w:cstheme="minorHAnsi"/>
        </w:rPr>
        <w:t xml:space="preserve"> Handbook of Leadership: Theory, Research, and Managerial Applications. 3rd </w:t>
      </w:r>
      <w:proofErr w:type="spellStart"/>
      <w:r w:rsidRPr="00F05A0B">
        <w:rPr>
          <w:rFonts w:cstheme="minorHAnsi"/>
        </w:rPr>
        <w:t>edn</w:t>
      </w:r>
      <w:proofErr w:type="spellEnd"/>
      <w:r w:rsidRPr="00F05A0B">
        <w:rPr>
          <w:rFonts w:cstheme="minorHAnsi"/>
        </w:rPr>
        <w:t>. New York: Free Press.</w:t>
      </w:r>
    </w:p>
    <w:p w14:paraId="36B1B454" w14:textId="72A32D1D" w:rsidR="00B67C35" w:rsidRPr="00F05A0B" w:rsidRDefault="00B67C35" w:rsidP="00562F88">
      <w:pPr>
        <w:pStyle w:val="ListParagraph"/>
        <w:numPr>
          <w:ilvl w:val="0"/>
          <w:numId w:val="5"/>
        </w:numPr>
        <w:rPr>
          <w:rFonts w:cstheme="minorHAnsi"/>
        </w:rPr>
      </w:pPr>
      <w:r w:rsidRPr="00F05A0B">
        <w:rPr>
          <w:rFonts w:cstheme="minorHAnsi"/>
        </w:rPr>
        <w:lastRenderedPageBreak/>
        <w:t xml:space="preserve">Bratton, J. &amp; Gold, J. (2017) Human Resource Management: Theory and Practice. 6th </w:t>
      </w:r>
      <w:proofErr w:type="spellStart"/>
      <w:r w:rsidRPr="00F05A0B">
        <w:rPr>
          <w:rFonts w:cstheme="minorHAnsi"/>
        </w:rPr>
        <w:t>edn</w:t>
      </w:r>
      <w:proofErr w:type="spellEnd"/>
      <w:r w:rsidRPr="00F05A0B">
        <w:rPr>
          <w:rFonts w:cstheme="minorHAnsi"/>
        </w:rPr>
        <w:t xml:space="preserve">. London: </w:t>
      </w:r>
      <w:proofErr w:type="spellStart"/>
      <w:r w:rsidRPr="00F05A0B">
        <w:rPr>
          <w:rFonts w:cstheme="minorHAnsi"/>
        </w:rPr>
        <w:t>Palgrave</w:t>
      </w:r>
      <w:proofErr w:type="spellEnd"/>
      <w:r w:rsidRPr="00F05A0B">
        <w:rPr>
          <w:rFonts w:cstheme="minorHAnsi"/>
        </w:rPr>
        <w:t xml:space="preserve"> Macmillan.</w:t>
      </w:r>
    </w:p>
    <w:p w14:paraId="256326C6" w14:textId="59D9ED7E" w:rsidR="00B67C35" w:rsidRPr="00F05A0B" w:rsidRDefault="00B67C35" w:rsidP="00562F88">
      <w:pPr>
        <w:pStyle w:val="ListParagraph"/>
        <w:numPr>
          <w:ilvl w:val="0"/>
          <w:numId w:val="5"/>
        </w:numPr>
        <w:rPr>
          <w:rFonts w:cstheme="minorHAnsi"/>
        </w:rPr>
      </w:pPr>
      <w:r w:rsidRPr="00F05A0B">
        <w:rPr>
          <w:rFonts w:cstheme="minorHAnsi"/>
        </w:rPr>
        <w:t xml:space="preserve">Collings, D. G., Wood, G. &amp; </w:t>
      </w:r>
      <w:proofErr w:type="spellStart"/>
      <w:r w:rsidRPr="00F05A0B">
        <w:rPr>
          <w:rFonts w:cstheme="minorHAnsi"/>
        </w:rPr>
        <w:t>Szamosi</w:t>
      </w:r>
      <w:proofErr w:type="spellEnd"/>
      <w:r w:rsidRPr="00F05A0B">
        <w:rPr>
          <w:rFonts w:cstheme="minorHAnsi"/>
        </w:rPr>
        <w:t>, L. T. (2018) Human Resource Management: A Critical Approach. London: Routledge</w:t>
      </w:r>
      <w:r w:rsidR="003B6649">
        <w:rPr>
          <w:rFonts w:cstheme="minorHAnsi"/>
        </w:rPr>
        <w:t>.</w:t>
      </w:r>
    </w:p>
    <w:p w14:paraId="2CD4F132" w14:textId="0DBE555D" w:rsidR="00B67C35" w:rsidRPr="00F05A0B" w:rsidRDefault="00B67C35" w:rsidP="00562F88">
      <w:pPr>
        <w:pStyle w:val="ListParagraph"/>
        <w:numPr>
          <w:ilvl w:val="0"/>
          <w:numId w:val="5"/>
        </w:numPr>
        <w:rPr>
          <w:rFonts w:cstheme="minorHAnsi"/>
        </w:rPr>
      </w:pPr>
      <w:r w:rsidRPr="00F05A0B">
        <w:rPr>
          <w:rFonts w:cstheme="minorHAnsi"/>
        </w:rPr>
        <w:t>Goleman, D. (1998) ‘What Makes a Leader?’, Harvard Business Review, 76(6), pp. 93-102.</w:t>
      </w:r>
    </w:p>
    <w:p w14:paraId="2AAB568F" w14:textId="225B8DB0" w:rsidR="00B67C35" w:rsidRPr="00F05A0B" w:rsidRDefault="00B67C35" w:rsidP="00562F88">
      <w:pPr>
        <w:pStyle w:val="ListParagraph"/>
        <w:numPr>
          <w:ilvl w:val="0"/>
          <w:numId w:val="5"/>
        </w:numPr>
        <w:rPr>
          <w:rFonts w:cstheme="minorHAnsi"/>
        </w:rPr>
      </w:pPr>
      <w:r w:rsidRPr="00F05A0B">
        <w:rPr>
          <w:rFonts w:cstheme="minorHAnsi"/>
        </w:rPr>
        <w:t xml:space="preserve">Noe, R. A. (2017) Employee Training and Development. 7th </w:t>
      </w:r>
      <w:proofErr w:type="spellStart"/>
      <w:r w:rsidRPr="00F05A0B">
        <w:rPr>
          <w:rFonts w:cstheme="minorHAnsi"/>
        </w:rPr>
        <w:t>edn</w:t>
      </w:r>
      <w:proofErr w:type="spellEnd"/>
      <w:r w:rsidRPr="00F05A0B">
        <w:rPr>
          <w:rFonts w:cstheme="minorHAnsi"/>
        </w:rPr>
        <w:t>. New York: McGraw-Hill Education.</w:t>
      </w:r>
    </w:p>
    <w:p w14:paraId="350843A2" w14:textId="096BCC90" w:rsidR="00B67C35" w:rsidRPr="00F05A0B" w:rsidRDefault="00B67C35" w:rsidP="00562F88">
      <w:pPr>
        <w:pStyle w:val="ListParagraph"/>
        <w:numPr>
          <w:ilvl w:val="0"/>
          <w:numId w:val="5"/>
        </w:numPr>
        <w:rPr>
          <w:rFonts w:cstheme="minorHAnsi"/>
        </w:rPr>
      </w:pPr>
      <w:r w:rsidRPr="00F05A0B">
        <w:rPr>
          <w:rFonts w:cstheme="minorHAnsi"/>
        </w:rPr>
        <w:t xml:space="preserve">Northouse, P. G. (2021) Leadership: Theory and Practice. 9th </w:t>
      </w:r>
      <w:proofErr w:type="spellStart"/>
      <w:r w:rsidRPr="00F05A0B">
        <w:rPr>
          <w:rFonts w:cstheme="minorHAnsi"/>
        </w:rPr>
        <w:t>edn</w:t>
      </w:r>
      <w:proofErr w:type="spellEnd"/>
      <w:r w:rsidRPr="00F05A0B">
        <w:rPr>
          <w:rFonts w:cstheme="minorHAnsi"/>
        </w:rPr>
        <w:t>. Thousand Oaks, CA: Sage.</w:t>
      </w:r>
    </w:p>
    <w:p w14:paraId="334F1EDF" w14:textId="3C4B4F59" w:rsidR="00B67C35" w:rsidRPr="00F05A0B" w:rsidRDefault="00B67C35" w:rsidP="00562F88">
      <w:pPr>
        <w:pStyle w:val="ListParagraph"/>
        <w:numPr>
          <w:ilvl w:val="0"/>
          <w:numId w:val="5"/>
        </w:numPr>
        <w:rPr>
          <w:rFonts w:cstheme="minorHAnsi"/>
        </w:rPr>
      </w:pPr>
      <w:r w:rsidRPr="00F05A0B">
        <w:rPr>
          <w:rFonts w:cstheme="minorHAnsi"/>
        </w:rPr>
        <w:t>Schein, E. H. (2017) Organi</w:t>
      </w:r>
      <w:r w:rsidR="00F03721">
        <w:rPr>
          <w:rFonts w:cstheme="minorHAnsi"/>
        </w:rPr>
        <w:t>s</w:t>
      </w:r>
      <w:r w:rsidRPr="00F05A0B">
        <w:rPr>
          <w:rFonts w:cstheme="minorHAnsi"/>
        </w:rPr>
        <w:t xml:space="preserve">ational Culture and Leadership. 5th </w:t>
      </w:r>
      <w:proofErr w:type="spellStart"/>
      <w:r w:rsidRPr="00F05A0B">
        <w:rPr>
          <w:rFonts w:cstheme="minorHAnsi"/>
        </w:rPr>
        <w:t>edn</w:t>
      </w:r>
      <w:proofErr w:type="spellEnd"/>
      <w:r w:rsidRPr="00F05A0B">
        <w:rPr>
          <w:rFonts w:cstheme="minorHAnsi"/>
        </w:rPr>
        <w:t>. Hoboken, NJ: Wiley.</w:t>
      </w:r>
    </w:p>
    <w:p w14:paraId="6C9B0766" w14:textId="3886DC85" w:rsidR="00B67C35" w:rsidRPr="00F05A0B" w:rsidRDefault="00B67C35" w:rsidP="00562F88">
      <w:pPr>
        <w:pStyle w:val="ListParagraph"/>
        <w:numPr>
          <w:ilvl w:val="0"/>
          <w:numId w:val="5"/>
        </w:numPr>
        <w:rPr>
          <w:rFonts w:cstheme="minorHAnsi"/>
        </w:rPr>
      </w:pPr>
      <w:r w:rsidRPr="00F05A0B">
        <w:rPr>
          <w:rFonts w:cstheme="minorHAnsi"/>
        </w:rPr>
        <w:t>Storey, J. (2016) Leadership in Organi</w:t>
      </w:r>
      <w:r w:rsidR="00F03721">
        <w:rPr>
          <w:rFonts w:cstheme="minorHAnsi"/>
        </w:rPr>
        <w:t>s</w:t>
      </w:r>
      <w:r w:rsidRPr="00F05A0B">
        <w:rPr>
          <w:rFonts w:cstheme="minorHAnsi"/>
        </w:rPr>
        <w:t xml:space="preserve">ations: Current Issues and Key Trends. 3rd </w:t>
      </w:r>
      <w:proofErr w:type="spellStart"/>
      <w:r w:rsidRPr="00F05A0B">
        <w:rPr>
          <w:rFonts w:cstheme="minorHAnsi"/>
        </w:rPr>
        <w:t>edn</w:t>
      </w:r>
      <w:proofErr w:type="spellEnd"/>
      <w:r w:rsidRPr="00F05A0B">
        <w:rPr>
          <w:rFonts w:cstheme="minorHAnsi"/>
        </w:rPr>
        <w:t>. London: Routledge.</w:t>
      </w:r>
    </w:p>
    <w:p w14:paraId="1277D742" w14:textId="0F2397DD" w:rsidR="00B67C35" w:rsidRDefault="00B67C35" w:rsidP="00562F88">
      <w:pPr>
        <w:pStyle w:val="ListParagraph"/>
        <w:numPr>
          <w:ilvl w:val="0"/>
          <w:numId w:val="5"/>
        </w:numPr>
        <w:rPr>
          <w:rFonts w:cstheme="minorHAnsi"/>
        </w:rPr>
      </w:pPr>
      <w:r w:rsidRPr="00F05A0B">
        <w:rPr>
          <w:rFonts w:cstheme="minorHAnsi"/>
        </w:rPr>
        <w:t xml:space="preserve">Yukl, G. (2013) Leadership in </w:t>
      </w:r>
      <w:r w:rsidR="00F03721" w:rsidRPr="00F05A0B">
        <w:rPr>
          <w:rFonts w:cstheme="minorHAnsi"/>
        </w:rPr>
        <w:t>Organi</w:t>
      </w:r>
      <w:r w:rsidR="00F03721">
        <w:rPr>
          <w:rFonts w:cstheme="minorHAnsi"/>
        </w:rPr>
        <w:t>s</w:t>
      </w:r>
      <w:r w:rsidR="00F03721" w:rsidRPr="00F05A0B">
        <w:rPr>
          <w:rFonts w:cstheme="minorHAnsi"/>
        </w:rPr>
        <w:t xml:space="preserve">ations. </w:t>
      </w:r>
      <w:r w:rsidRPr="00F05A0B">
        <w:rPr>
          <w:rFonts w:cstheme="minorHAnsi"/>
        </w:rPr>
        <w:t xml:space="preserve"> 8th </w:t>
      </w:r>
      <w:proofErr w:type="spellStart"/>
      <w:r w:rsidRPr="00F05A0B">
        <w:rPr>
          <w:rFonts w:cstheme="minorHAnsi"/>
        </w:rPr>
        <w:t>edn</w:t>
      </w:r>
      <w:proofErr w:type="spellEnd"/>
      <w:r w:rsidRPr="00F05A0B">
        <w:rPr>
          <w:rFonts w:cstheme="minorHAnsi"/>
        </w:rPr>
        <w:t>. Boston: Pearson.</w:t>
      </w:r>
    </w:p>
    <w:p w14:paraId="11B1EC66" w14:textId="14CAF059" w:rsidR="001963C9" w:rsidRDefault="00F03721" w:rsidP="00562F88">
      <w:pPr>
        <w:pStyle w:val="ListParagraph"/>
        <w:numPr>
          <w:ilvl w:val="0"/>
          <w:numId w:val="5"/>
        </w:numPr>
        <w:rPr>
          <w:rFonts w:cstheme="minorHAnsi"/>
        </w:rPr>
      </w:pPr>
      <w:r w:rsidRPr="00F03721">
        <w:rPr>
          <w:rFonts w:cstheme="minorHAnsi"/>
        </w:rPr>
        <w:t xml:space="preserve">Alvarez &amp; </w:t>
      </w:r>
      <w:proofErr w:type="spellStart"/>
      <w:r w:rsidRPr="00F03721">
        <w:rPr>
          <w:rFonts w:cstheme="minorHAnsi"/>
        </w:rPr>
        <w:t>Marsal</w:t>
      </w:r>
      <w:proofErr w:type="spellEnd"/>
      <w:r w:rsidRPr="00F03721">
        <w:rPr>
          <w:rFonts w:cstheme="minorHAnsi"/>
        </w:rPr>
        <w:t>. (2024). Strategic Workforce Planning as Competitive Advantage.</w:t>
      </w:r>
    </w:p>
    <w:p w14:paraId="073BC3D4" w14:textId="0A6E90D3" w:rsidR="00F03721" w:rsidRDefault="00F03721" w:rsidP="00562F88">
      <w:pPr>
        <w:pStyle w:val="ListParagraph"/>
        <w:numPr>
          <w:ilvl w:val="0"/>
          <w:numId w:val="5"/>
        </w:numPr>
        <w:rPr>
          <w:rFonts w:cstheme="minorHAnsi"/>
        </w:rPr>
      </w:pPr>
      <w:r w:rsidRPr="00F03721">
        <w:rPr>
          <w:rFonts w:cstheme="minorHAnsi"/>
        </w:rPr>
        <w:t>Korn Ferry. (2024). Leadership Pipelining 101.</w:t>
      </w:r>
    </w:p>
    <w:p w14:paraId="13A7AD96" w14:textId="54E13187" w:rsidR="00F03721" w:rsidRDefault="00F03721" w:rsidP="00562F88">
      <w:pPr>
        <w:pStyle w:val="ListParagraph"/>
        <w:numPr>
          <w:ilvl w:val="0"/>
          <w:numId w:val="5"/>
        </w:numPr>
        <w:rPr>
          <w:rFonts w:cstheme="minorHAnsi"/>
        </w:rPr>
      </w:pPr>
      <w:r w:rsidRPr="00F03721">
        <w:rPr>
          <w:rFonts w:cstheme="minorHAnsi"/>
        </w:rPr>
        <w:t>Queens University. (2025).</w:t>
      </w:r>
    </w:p>
    <w:p w14:paraId="0D8944D9" w14:textId="21D8FB3E" w:rsidR="00CB417B" w:rsidRPr="008D64AD" w:rsidRDefault="00CB417B" w:rsidP="00CB417B">
      <w:pPr>
        <w:pStyle w:val="ListParagraph"/>
        <w:numPr>
          <w:ilvl w:val="0"/>
          <w:numId w:val="5"/>
        </w:numPr>
        <w:spacing w:before="100" w:beforeAutospacing="1" w:after="100" w:afterAutospacing="1"/>
        <w:divId w:val="600574988"/>
        <w:rPr>
          <w:rFonts w:eastAsiaTheme="minorEastAsia" w:cs="Times New Roman"/>
          <w:color w:val="000000"/>
          <w:kern w:val="0"/>
          <w:lang w:eastAsia="en-GB"/>
          <w14:ligatures w14:val="none"/>
        </w:rPr>
      </w:pPr>
      <w:r w:rsidRPr="008D64AD">
        <w:rPr>
          <w:rFonts w:eastAsiaTheme="minorEastAsia" w:cs="Times New Roman"/>
          <w:color w:val="000000"/>
          <w:kern w:val="0"/>
          <w:lang w:eastAsia="en-GB"/>
          <w14:ligatures w14:val="none"/>
        </w:rPr>
        <w:t xml:space="preserve">Alphabet Inc., </w:t>
      </w:r>
      <w:r w:rsidR="002D2C46">
        <w:rPr>
          <w:rFonts w:eastAsiaTheme="minorEastAsia" w:cs="Times New Roman"/>
          <w:color w:val="000000"/>
          <w:kern w:val="0"/>
          <w:lang w:eastAsia="en-GB"/>
          <w14:ligatures w14:val="none"/>
        </w:rPr>
        <w:t>(</w:t>
      </w:r>
      <w:r w:rsidRPr="008D64AD">
        <w:rPr>
          <w:rFonts w:eastAsiaTheme="minorEastAsia" w:cs="Times New Roman"/>
          <w:color w:val="000000"/>
          <w:kern w:val="0"/>
          <w:lang w:eastAsia="en-GB"/>
          <w14:ligatures w14:val="none"/>
        </w:rPr>
        <w:t>2024</w:t>
      </w:r>
      <w:r w:rsidR="002D2C46">
        <w:rPr>
          <w:rFonts w:eastAsiaTheme="minorEastAsia" w:cs="Times New Roman"/>
          <w:color w:val="000000"/>
          <w:kern w:val="0"/>
          <w:lang w:eastAsia="en-GB"/>
          <w14:ligatures w14:val="none"/>
        </w:rPr>
        <w:t>)</w:t>
      </w:r>
      <w:r w:rsidRPr="008D64AD">
        <w:rPr>
          <w:rFonts w:eastAsiaTheme="minorEastAsia" w:cs="Times New Roman"/>
          <w:color w:val="000000"/>
          <w:kern w:val="0"/>
          <w:lang w:eastAsia="en-GB"/>
          <w14:ligatures w14:val="none"/>
        </w:rPr>
        <w:t xml:space="preserve">. Our approach to people development. </w:t>
      </w:r>
    </w:p>
    <w:p w14:paraId="6622EEDA" w14:textId="428666D9" w:rsidR="00CB417B" w:rsidRPr="008D64AD" w:rsidRDefault="00CB417B" w:rsidP="00CB417B">
      <w:pPr>
        <w:pStyle w:val="ListParagraph"/>
        <w:numPr>
          <w:ilvl w:val="0"/>
          <w:numId w:val="5"/>
        </w:numPr>
        <w:spacing w:before="100" w:beforeAutospacing="1" w:after="100" w:afterAutospacing="1"/>
        <w:divId w:val="600574988"/>
        <w:rPr>
          <w:rFonts w:eastAsiaTheme="minorEastAsia" w:cs="Times New Roman"/>
          <w:color w:val="000000"/>
          <w:kern w:val="0"/>
          <w:lang w:eastAsia="en-GB"/>
          <w14:ligatures w14:val="none"/>
        </w:rPr>
      </w:pPr>
      <w:r w:rsidRPr="008D64AD">
        <w:rPr>
          <w:rFonts w:eastAsiaTheme="minorEastAsia" w:cs="Times New Roman"/>
          <w:color w:val="000000"/>
          <w:kern w:val="0"/>
          <w:lang w:eastAsia="en-GB"/>
          <w14:ligatures w14:val="none"/>
        </w:rPr>
        <w:t xml:space="preserve">Amazon.com, Inc., </w:t>
      </w:r>
      <w:r w:rsidR="002D2C46">
        <w:rPr>
          <w:rFonts w:eastAsiaTheme="minorEastAsia" w:cs="Times New Roman"/>
          <w:color w:val="000000"/>
          <w:kern w:val="0"/>
          <w:lang w:eastAsia="en-GB"/>
          <w14:ligatures w14:val="none"/>
        </w:rPr>
        <w:t>(</w:t>
      </w:r>
      <w:r w:rsidRPr="008D64AD">
        <w:rPr>
          <w:rFonts w:eastAsiaTheme="minorEastAsia" w:cs="Times New Roman"/>
          <w:color w:val="000000"/>
          <w:kern w:val="0"/>
          <w:lang w:eastAsia="en-GB"/>
          <w14:ligatures w14:val="none"/>
        </w:rPr>
        <w:t>2024</w:t>
      </w:r>
      <w:r w:rsidR="002D2C46">
        <w:rPr>
          <w:rFonts w:eastAsiaTheme="minorEastAsia" w:cs="Times New Roman"/>
          <w:color w:val="000000"/>
          <w:kern w:val="0"/>
          <w:lang w:eastAsia="en-GB"/>
          <w14:ligatures w14:val="none"/>
        </w:rPr>
        <w:t>)</w:t>
      </w:r>
      <w:r w:rsidRPr="008D64AD">
        <w:rPr>
          <w:rFonts w:eastAsiaTheme="minorEastAsia" w:cs="Times New Roman"/>
          <w:color w:val="000000"/>
          <w:kern w:val="0"/>
          <w:lang w:eastAsia="en-GB"/>
          <w14:ligatures w14:val="none"/>
        </w:rPr>
        <w:t>. Leadership development and training.</w:t>
      </w:r>
    </w:p>
    <w:p w14:paraId="65321FF9" w14:textId="46BFE4C4" w:rsidR="00CB417B" w:rsidRPr="008D64AD" w:rsidRDefault="00CB417B" w:rsidP="00CB417B">
      <w:pPr>
        <w:pStyle w:val="ListParagraph"/>
        <w:numPr>
          <w:ilvl w:val="0"/>
          <w:numId w:val="5"/>
        </w:numPr>
        <w:spacing w:before="100" w:beforeAutospacing="1" w:after="100" w:afterAutospacing="1"/>
        <w:divId w:val="600574988"/>
        <w:rPr>
          <w:rFonts w:eastAsiaTheme="minorEastAsia" w:cs="Times New Roman"/>
          <w:color w:val="000000"/>
          <w:kern w:val="0"/>
          <w:lang w:eastAsia="en-GB"/>
          <w14:ligatures w14:val="none"/>
        </w:rPr>
      </w:pPr>
      <w:r w:rsidRPr="008D64AD">
        <w:rPr>
          <w:rFonts w:eastAsiaTheme="minorEastAsia" w:cs="Times New Roman"/>
          <w:color w:val="000000"/>
          <w:kern w:val="0"/>
          <w:lang w:eastAsia="en-GB"/>
          <w14:ligatures w14:val="none"/>
        </w:rPr>
        <w:t xml:space="preserve">Microsoft Corporation, </w:t>
      </w:r>
      <w:r w:rsidR="002D2C46">
        <w:rPr>
          <w:rFonts w:eastAsiaTheme="minorEastAsia" w:cs="Times New Roman"/>
          <w:color w:val="000000"/>
          <w:kern w:val="0"/>
          <w:lang w:eastAsia="en-GB"/>
          <w14:ligatures w14:val="none"/>
        </w:rPr>
        <w:t>(</w:t>
      </w:r>
      <w:r w:rsidRPr="008D64AD">
        <w:rPr>
          <w:rFonts w:eastAsiaTheme="minorEastAsia" w:cs="Times New Roman"/>
          <w:color w:val="000000"/>
          <w:kern w:val="0"/>
          <w:lang w:eastAsia="en-GB"/>
          <w14:ligatures w14:val="none"/>
        </w:rPr>
        <w:t>2024</w:t>
      </w:r>
      <w:r w:rsidR="002D2C46">
        <w:rPr>
          <w:rFonts w:eastAsiaTheme="minorEastAsia" w:cs="Times New Roman"/>
          <w:color w:val="000000"/>
          <w:kern w:val="0"/>
          <w:lang w:eastAsia="en-GB"/>
          <w14:ligatures w14:val="none"/>
        </w:rPr>
        <w:t>)</w:t>
      </w:r>
      <w:r w:rsidRPr="008D64AD">
        <w:rPr>
          <w:rFonts w:eastAsiaTheme="minorEastAsia" w:cs="Times New Roman"/>
          <w:color w:val="000000"/>
          <w:kern w:val="0"/>
          <w:lang w:eastAsia="en-GB"/>
          <w14:ligatures w14:val="none"/>
        </w:rPr>
        <w:t>. Learning and development.</w:t>
      </w:r>
    </w:p>
    <w:p w14:paraId="1B489F13" w14:textId="13070317" w:rsidR="00B67C35" w:rsidRPr="008D64AD" w:rsidRDefault="00CB417B" w:rsidP="008D64AD">
      <w:pPr>
        <w:pStyle w:val="ListParagraph"/>
        <w:numPr>
          <w:ilvl w:val="0"/>
          <w:numId w:val="5"/>
        </w:numPr>
        <w:spacing w:before="100" w:beforeAutospacing="1" w:after="100" w:afterAutospacing="1"/>
        <w:rPr>
          <w:rFonts w:cstheme="minorHAnsi"/>
        </w:rPr>
      </w:pPr>
      <w:r w:rsidRPr="008D64AD">
        <w:rPr>
          <w:rFonts w:eastAsiaTheme="minorEastAsia" w:cs="Times New Roman"/>
          <w:color w:val="000000"/>
          <w:kern w:val="0"/>
          <w:lang w:eastAsia="en-GB"/>
          <w14:ligatures w14:val="none"/>
        </w:rPr>
        <w:t xml:space="preserve">Toyota Motor Corporation, </w:t>
      </w:r>
      <w:r w:rsidR="002D2C46">
        <w:rPr>
          <w:rFonts w:eastAsiaTheme="minorEastAsia" w:cs="Times New Roman"/>
          <w:color w:val="000000"/>
          <w:kern w:val="0"/>
          <w:lang w:eastAsia="en-GB"/>
          <w14:ligatures w14:val="none"/>
        </w:rPr>
        <w:t>(</w:t>
      </w:r>
      <w:r w:rsidRPr="008D64AD">
        <w:rPr>
          <w:rFonts w:eastAsiaTheme="minorEastAsia" w:cs="Times New Roman"/>
          <w:color w:val="000000"/>
          <w:kern w:val="0"/>
          <w:lang w:eastAsia="en-GB"/>
          <w14:ligatures w14:val="none"/>
        </w:rPr>
        <w:t>2024</w:t>
      </w:r>
      <w:r w:rsidR="002D2C46">
        <w:rPr>
          <w:rFonts w:eastAsiaTheme="minorEastAsia" w:cs="Times New Roman"/>
          <w:color w:val="000000"/>
          <w:kern w:val="0"/>
          <w:lang w:eastAsia="en-GB"/>
          <w14:ligatures w14:val="none"/>
        </w:rPr>
        <w:t>)</w:t>
      </w:r>
      <w:r w:rsidRPr="008D64AD">
        <w:rPr>
          <w:rFonts w:eastAsiaTheme="minorEastAsia" w:cs="Times New Roman"/>
          <w:color w:val="000000"/>
          <w:kern w:val="0"/>
          <w:lang w:eastAsia="en-GB"/>
          <w14:ligatures w14:val="none"/>
        </w:rPr>
        <w:t xml:space="preserve">. Human resources development. </w:t>
      </w:r>
    </w:p>
    <w:sectPr w:rsidR="00B67C35" w:rsidRPr="008D64AD">
      <w:pgSz w:w="11906" w:h="16838"/>
      <w:pgMar w:top="1440" w:right="1440" w:bottom="1440" w:left="1440"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Symbol">
    <w:panose1 w:val="05050102010706020507"/>
    <w:charset w:val="02"/>
    <w:family w:val="decorative"/>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decorative"/>
    <w:pitch w:val="variable"/>
    <w:sig w:usb0="00000000" w:usb1="10000000" w:usb2="00000000" w:usb3="00000000" w:csb0="80000000" w:csb1="00000000"/>
  </w:font>
  <w:font w:name="Calibri">
    <w:panose1 w:val="020F0502020204030204"/>
    <w:charset w:val="00"/>
    <w:family w:val="swiss"/>
    <w:pitch w:val="variable"/>
    <w:sig w:usb0="E00002FF" w:usb1="4000ACFF" w:usb2="00000001" w:usb3="00000000" w:csb0="0000019F" w:csb1="00000000"/>
  </w:font>
  <w:font w:name="Calibri Light">
    <w:panose1 w:val="020F0302020204030204"/>
    <w:charset w:val="00"/>
    <w:family w:val="swiss"/>
    <w:pitch w:val="variable"/>
    <w:sig w:usb0="A00002EF" w:usb1="4000207B" w:usb2="00000000" w:usb3="00000000" w:csb0="0000019F" w:csb1="00000000"/>
  </w:font>
  <w:font w:name="Trebuchet MS">
    <w:panose1 w:val="020B0603020202020204"/>
    <w:charset w:val="00"/>
    <w:family w:val="swiss"/>
    <w:pitch w:val="variable"/>
    <w:sig w:usb0="00000287" w:usb1="00000000" w:usb2="00000000" w:usb3="00000000" w:csb0="0000009F" w:csb1="00000000"/>
  </w:font>
</w:font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abstractNum w:abstractNumId="0" w15:restartNumberingAfterBreak="0">
    <w:nsid w:val="3875216C"/>
    <w:multiLevelType w:val="multilevel"/>
    <w:tmpl w:val="E12E2124"/>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 w15:restartNumberingAfterBreak="0">
    <w:nsid w:val="44F8253F"/>
    <w:multiLevelType w:val="hybridMultilevel"/>
    <w:tmpl w:val="238626E2"/>
    <w:lvl w:ilvl="0" w:tplc="08090011">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 w15:restartNumberingAfterBreak="0">
    <w:nsid w:val="53965935"/>
    <w:multiLevelType w:val="hybridMultilevel"/>
    <w:tmpl w:val="0F08189E"/>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3" w15:restartNumberingAfterBreak="0">
    <w:nsid w:val="58225D05"/>
    <w:multiLevelType w:val="hybridMultilevel"/>
    <w:tmpl w:val="92344626"/>
    <w:lvl w:ilvl="0" w:tplc="08090011">
      <w:start w:val="1"/>
      <w:numFmt w:val="decimal"/>
      <w:lvlText w:val="%1)"/>
      <w:lvlJc w:val="left"/>
      <w:pPr>
        <w:ind w:left="720" w:hanging="360"/>
      </w:pPr>
      <w:rPr>
        <w:rFonts w:hint="default"/>
      </w:rPr>
    </w:lvl>
    <w:lvl w:ilvl="1" w:tplc="FFFFFFFF" w:tentative="1">
      <w:start w:val="1"/>
      <w:numFmt w:val="bullet"/>
      <w:lvlText w:val="o"/>
      <w:lvlJc w:val="left"/>
      <w:pPr>
        <w:ind w:left="1440" w:hanging="360"/>
      </w:pPr>
      <w:rPr>
        <w:rFonts w:ascii="Courier New" w:hAnsi="Courier New" w:cs="Courier New" w:hint="default"/>
      </w:rPr>
    </w:lvl>
    <w:lvl w:ilvl="2" w:tplc="FFFFFFFF" w:tentative="1">
      <w:start w:val="1"/>
      <w:numFmt w:val="bullet"/>
      <w:lvlText w:val=""/>
      <w:lvlJc w:val="left"/>
      <w:pPr>
        <w:ind w:left="2160" w:hanging="360"/>
      </w:pPr>
      <w:rPr>
        <w:rFonts w:ascii="Wingdings" w:hAnsi="Wingdings" w:hint="default"/>
      </w:rPr>
    </w:lvl>
    <w:lvl w:ilvl="3" w:tplc="FFFFFFFF" w:tentative="1">
      <w:start w:val="1"/>
      <w:numFmt w:val="bullet"/>
      <w:lvlText w:val=""/>
      <w:lvlJc w:val="left"/>
      <w:pPr>
        <w:ind w:left="2880" w:hanging="360"/>
      </w:pPr>
      <w:rPr>
        <w:rFonts w:ascii="Symbol" w:hAnsi="Symbol" w:hint="default"/>
      </w:rPr>
    </w:lvl>
    <w:lvl w:ilvl="4" w:tplc="FFFFFFFF" w:tentative="1">
      <w:start w:val="1"/>
      <w:numFmt w:val="bullet"/>
      <w:lvlText w:val="o"/>
      <w:lvlJc w:val="left"/>
      <w:pPr>
        <w:ind w:left="3600" w:hanging="360"/>
      </w:pPr>
      <w:rPr>
        <w:rFonts w:ascii="Courier New" w:hAnsi="Courier New" w:cs="Courier New" w:hint="default"/>
      </w:rPr>
    </w:lvl>
    <w:lvl w:ilvl="5" w:tplc="FFFFFFFF" w:tentative="1">
      <w:start w:val="1"/>
      <w:numFmt w:val="bullet"/>
      <w:lvlText w:val=""/>
      <w:lvlJc w:val="left"/>
      <w:pPr>
        <w:ind w:left="4320" w:hanging="360"/>
      </w:pPr>
      <w:rPr>
        <w:rFonts w:ascii="Wingdings" w:hAnsi="Wingdings" w:hint="default"/>
      </w:rPr>
    </w:lvl>
    <w:lvl w:ilvl="6" w:tplc="FFFFFFFF" w:tentative="1">
      <w:start w:val="1"/>
      <w:numFmt w:val="bullet"/>
      <w:lvlText w:val=""/>
      <w:lvlJc w:val="left"/>
      <w:pPr>
        <w:ind w:left="5040" w:hanging="360"/>
      </w:pPr>
      <w:rPr>
        <w:rFonts w:ascii="Symbol" w:hAnsi="Symbol" w:hint="default"/>
      </w:rPr>
    </w:lvl>
    <w:lvl w:ilvl="7" w:tplc="FFFFFFFF" w:tentative="1">
      <w:start w:val="1"/>
      <w:numFmt w:val="bullet"/>
      <w:lvlText w:val="o"/>
      <w:lvlJc w:val="left"/>
      <w:pPr>
        <w:ind w:left="5760" w:hanging="360"/>
      </w:pPr>
      <w:rPr>
        <w:rFonts w:ascii="Courier New" w:hAnsi="Courier New" w:cs="Courier New" w:hint="default"/>
      </w:rPr>
    </w:lvl>
    <w:lvl w:ilvl="8" w:tplc="FFFFFFFF" w:tentative="1">
      <w:start w:val="1"/>
      <w:numFmt w:val="bullet"/>
      <w:lvlText w:val=""/>
      <w:lvlJc w:val="left"/>
      <w:pPr>
        <w:ind w:left="6480" w:hanging="360"/>
      </w:pPr>
      <w:rPr>
        <w:rFonts w:ascii="Wingdings" w:hAnsi="Wingdings" w:hint="default"/>
      </w:rPr>
    </w:lvl>
  </w:abstractNum>
  <w:abstractNum w:abstractNumId="4" w15:restartNumberingAfterBreak="0">
    <w:nsid w:val="7D1C6081"/>
    <w:multiLevelType w:val="hybridMultilevel"/>
    <w:tmpl w:val="78DAC006"/>
    <w:lvl w:ilvl="0" w:tplc="FFFFFFFF">
      <w:start w:val="1"/>
      <w:numFmt w:val="decimal"/>
      <w:lvlText w:val="%1)"/>
      <w:lvlJc w:val="left"/>
      <w:pPr>
        <w:ind w:left="720" w:hanging="360"/>
      </w:pPr>
      <w:rPr>
        <w:rFonts w:hint="default"/>
      </w:rPr>
    </w:lvl>
    <w:lvl w:ilvl="1" w:tplc="FFFFFFFF" w:tentative="1">
      <w:start w:val="1"/>
      <w:numFmt w:val="bullet"/>
      <w:lvlText w:val="o"/>
      <w:lvlJc w:val="left"/>
      <w:pPr>
        <w:ind w:left="1440" w:hanging="360"/>
      </w:pPr>
      <w:rPr>
        <w:rFonts w:ascii="Courier New" w:hAnsi="Courier New" w:cs="Courier New" w:hint="default"/>
      </w:rPr>
    </w:lvl>
    <w:lvl w:ilvl="2" w:tplc="FFFFFFFF" w:tentative="1">
      <w:start w:val="1"/>
      <w:numFmt w:val="bullet"/>
      <w:lvlText w:val=""/>
      <w:lvlJc w:val="left"/>
      <w:pPr>
        <w:ind w:left="2160" w:hanging="360"/>
      </w:pPr>
      <w:rPr>
        <w:rFonts w:ascii="Wingdings" w:hAnsi="Wingdings" w:hint="default"/>
      </w:rPr>
    </w:lvl>
    <w:lvl w:ilvl="3" w:tplc="FFFFFFFF" w:tentative="1">
      <w:start w:val="1"/>
      <w:numFmt w:val="bullet"/>
      <w:lvlText w:val=""/>
      <w:lvlJc w:val="left"/>
      <w:pPr>
        <w:ind w:left="2880" w:hanging="360"/>
      </w:pPr>
      <w:rPr>
        <w:rFonts w:ascii="Symbol" w:hAnsi="Symbol" w:hint="default"/>
      </w:rPr>
    </w:lvl>
    <w:lvl w:ilvl="4" w:tplc="FFFFFFFF" w:tentative="1">
      <w:start w:val="1"/>
      <w:numFmt w:val="bullet"/>
      <w:lvlText w:val="o"/>
      <w:lvlJc w:val="left"/>
      <w:pPr>
        <w:ind w:left="3600" w:hanging="360"/>
      </w:pPr>
      <w:rPr>
        <w:rFonts w:ascii="Courier New" w:hAnsi="Courier New" w:cs="Courier New" w:hint="default"/>
      </w:rPr>
    </w:lvl>
    <w:lvl w:ilvl="5" w:tplc="FFFFFFFF" w:tentative="1">
      <w:start w:val="1"/>
      <w:numFmt w:val="bullet"/>
      <w:lvlText w:val=""/>
      <w:lvlJc w:val="left"/>
      <w:pPr>
        <w:ind w:left="4320" w:hanging="360"/>
      </w:pPr>
      <w:rPr>
        <w:rFonts w:ascii="Wingdings" w:hAnsi="Wingdings" w:hint="default"/>
      </w:rPr>
    </w:lvl>
    <w:lvl w:ilvl="6" w:tplc="FFFFFFFF" w:tentative="1">
      <w:start w:val="1"/>
      <w:numFmt w:val="bullet"/>
      <w:lvlText w:val=""/>
      <w:lvlJc w:val="left"/>
      <w:pPr>
        <w:ind w:left="5040" w:hanging="360"/>
      </w:pPr>
      <w:rPr>
        <w:rFonts w:ascii="Symbol" w:hAnsi="Symbol" w:hint="default"/>
      </w:rPr>
    </w:lvl>
    <w:lvl w:ilvl="7" w:tplc="FFFFFFFF" w:tentative="1">
      <w:start w:val="1"/>
      <w:numFmt w:val="bullet"/>
      <w:lvlText w:val="o"/>
      <w:lvlJc w:val="left"/>
      <w:pPr>
        <w:ind w:left="5760" w:hanging="360"/>
      </w:pPr>
      <w:rPr>
        <w:rFonts w:ascii="Courier New" w:hAnsi="Courier New" w:cs="Courier New" w:hint="default"/>
      </w:rPr>
    </w:lvl>
    <w:lvl w:ilvl="8" w:tplc="FFFFFFFF" w:tentative="1">
      <w:start w:val="1"/>
      <w:numFmt w:val="bullet"/>
      <w:lvlText w:val=""/>
      <w:lvlJc w:val="left"/>
      <w:pPr>
        <w:ind w:left="6480" w:hanging="360"/>
      </w:pPr>
      <w:rPr>
        <w:rFonts w:ascii="Wingdings" w:hAnsi="Wingdings" w:hint="default"/>
      </w:rPr>
    </w:lvl>
  </w:abstractNum>
  <w:num w:numId="1" w16cid:durableId="1893888086">
    <w:abstractNumId w:val="2"/>
  </w:num>
  <w:num w:numId="2" w16cid:durableId="1864591850">
    <w:abstractNumId w:val="0"/>
  </w:num>
  <w:num w:numId="3" w16cid:durableId="2117283854">
    <w:abstractNumId w:val="4"/>
  </w:num>
  <w:num w:numId="4" w16cid:durableId="1112434673">
    <w:abstractNumId w:val="3"/>
  </w:num>
  <w:num w:numId="5" w16cid:durableId="953680046">
    <w:abstractNumId w:val="1"/>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zoom w:percent="114"/>
  <w:proofState w:spelling="clean"/>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FB1AB6"/>
    <w:rsid w:val="00024001"/>
    <w:rsid w:val="000243CD"/>
    <w:rsid w:val="00056A59"/>
    <w:rsid w:val="00057FC8"/>
    <w:rsid w:val="00066971"/>
    <w:rsid w:val="001345E6"/>
    <w:rsid w:val="00136DD1"/>
    <w:rsid w:val="001963C9"/>
    <w:rsid w:val="001A3153"/>
    <w:rsid w:val="001C2D71"/>
    <w:rsid w:val="001E5764"/>
    <w:rsid w:val="00201915"/>
    <w:rsid w:val="002063E8"/>
    <w:rsid w:val="0022071C"/>
    <w:rsid w:val="00223623"/>
    <w:rsid w:val="00226220"/>
    <w:rsid w:val="002426D8"/>
    <w:rsid w:val="002645A1"/>
    <w:rsid w:val="002B2CA7"/>
    <w:rsid w:val="002D2C46"/>
    <w:rsid w:val="00306E99"/>
    <w:rsid w:val="003160C4"/>
    <w:rsid w:val="0032559A"/>
    <w:rsid w:val="00366752"/>
    <w:rsid w:val="00383914"/>
    <w:rsid w:val="003923B3"/>
    <w:rsid w:val="003A464D"/>
    <w:rsid w:val="003B0607"/>
    <w:rsid w:val="003B6649"/>
    <w:rsid w:val="003C00C7"/>
    <w:rsid w:val="003E40C3"/>
    <w:rsid w:val="0040199C"/>
    <w:rsid w:val="004721D0"/>
    <w:rsid w:val="004756C4"/>
    <w:rsid w:val="00483230"/>
    <w:rsid w:val="00495BCA"/>
    <w:rsid w:val="004B4B4B"/>
    <w:rsid w:val="004C0FE3"/>
    <w:rsid w:val="004E3AFD"/>
    <w:rsid w:val="005175CE"/>
    <w:rsid w:val="005524CF"/>
    <w:rsid w:val="00562F88"/>
    <w:rsid w:val="0058005C"/>
    <w:rsid w:val="005809E3"/>
    <w:rsid w:val="00594FCD"/>
    <w:rsid w:val="005B403F"/>
    <w:rsid w:val="005D2519"/>
    <w:rsid w:val="005E2403"/>
    <w:rsid w:val="006150FE"/>
    <w:rsid w:val="00650390"/>
    <w:rsid w:val="00650E75"/>
    <w:rsid w:val="00693584"/>
    <w:rsid w:val="00694471"/>
    <w:rsid w:val="006A69E1"/>
    <w:rsid w:val="006D1363"/>
    <w:rsid w:val="006D7AC1"/>
    <w:rsid w:val="006E3238"/>
    <w:rsid w:val="006F1CA3"/>
    <w:rsid w:val="006F4859"/>
    <w:rsid w:val="006F5C1C"/>
    <w:rsid w:val="00705133"/>
    <w:rsid w:val="00713BD1"/>
    <w:rsid w:val="00723845"/>
    <w:rsid w:val="00773AAD"/>
    <w:rsid w:val="00793D16"/>
    <w:rsid w:val="007F0F26"/>
    <w:rsid w:val="007F3283"/>
    <w:rsid w:val="00862096"/>
    <w:rsid w:val="00866AA5"/>
    <w:rsid w:val="008962FC"/>
    <w:rsid w:val="008C2599"/>
    <w:rsid w:val="008D64AD"/>
    <w:rsid w:val="008F7F9F"/>
    <w:rsid w:val="0090150D"/>
    <w:rsid w:val="0092620E"/>
    <w:rsid w:val="009313E5"/>
    <w:rsid w:val="00935C43"/>
    <w:rsid w:val="00946BA7"/>
    <w:rsid w:val="009904B5"/>
    <w:rsid w:val="009A307D"/>
    <w:rsid w:val="009A7840"/>
    <w:rsid w:val="009B344B"/>
    <w:rsid w:val="009C693D"/>
    <w:rsid w:val="009D76E1"/>
    <w:rsid w:val="009E519A"/>
    <w:rsid w:val="009F0A4B"/>
    <w:rsid w:val="009F2E54"/>
    <w:rsid w:val="00A10D03"/>
    <w:rsid w:val="00A41F78"/>
    <w:rsid w:val="00A515FE"/>
    <w:rsid w:val="00A71138"/>
    <w:rsid w:val="00AA6DD2"/>
    <w:rsid w:val="00AD5316"/>
    <w:rsid w:val="00B071C0"/>
    <w:rsid w:val="00B11789"/>
    <w:rsid w:val="00B6464C"/>
    <w:rsid w:val="00B67C35"/>
    <w:rsid w:val="00B75D12"/>
    <w:rsid w:val="00B825AB"/>
    <w:rsid w:val="00BC39ED"/>
    <w:rsid w:val="00BC76BF"/>
    <w:rsid w:val="00C24204"/>
    <w:rsid w:val="00C66F01"/>
    <w:rsid w:val="00C8050F"/>
    <w:rsid w:val="00C85633"/>
    <w:rsid w:val="00CB417B"/>
    <w:rsid w:val="00CC7919"/>
    <w:rsid w:val="00CD32AC"/>
    <w:rsid w:val="00D1215D"/>
    <w:rsid w:val="00D25D3B"/>
    <w:rsid w:val="00D30CE2"/>
    <w:rsid w:val="00D74A05"/>
    <w:rsid w:val="00DB41D4"/>
    <w:rsid w:val="00DB4973"/>
    <w:rsid w:val="00DB61FB"/>
    <w:rsid w:val="00DB7C9D"/>
    <w:rsid w:val="00E236F6"/>
    <w:rsid w:val="00E61F9A"/>
    <w:rsid w:val="00E865BD"/>
    <w:rsid w:val="00E9530E"/>
    <w:rsid w:val="00EA5074"/>
    <w:rsid w:val="00EA5ACC"/>
    <w:rsid w:val="00EF3D5D"/>
    <w:rsid w:val="00F03721"/>
    <w:rsid w:val="00F05A0B"/>
    <w:rsid w:val="00F06154"/>
    <w:rsid w:val="00F13308"/>
    <w:rsid w:val="00F26DC1"/>
    <w:rsid w:val="00F35A12"/>
    <w:rsid w:val="00F95973"/>
    <w:rsid w:val="00FB1AB6"/>
    <w:rsid w:val="00FF58BE"/>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decimalSymbol w:val="."/>
  <w:listSeparator w:val=","/>
  <w14:docId w14:val="54913737"/>
  <w15:chartTrackingRefBased/>
  <w15:docId w15:val="{67374165-4DAE-3348-B117-58F411515137}"/>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heme="minorHAnsi" w:eastAsiaTheme="minorHAnsi" w:hAnsiTheme="minorHAnsi" w:cstheme="minorBidi"/>
        <w:kern w:val="2"/>
        <w:sz w:val="24"/>
        <w:szCs w:val="24"/>
        <w:lang w:val="en-GB" w:eastAsia="en-US" w:bidi="ar-SA"/>
        <w14:ligatures w14:val="standardContextual"/>
      </w:rPr>
    </w:rPrDefault>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link w:val="Heading1Char"/>
    <w:uiPriority w:val="9"/>
    <w:qFormat/>
    <w:rsid w:val="00FB1AB6"/>
    <w:pPr>
      <w:keepNext/>
      <w:keepLines/>
      <w:spacing w:before="360" w:after="80"/>
      <w:outlineLvl w:val="0"/>
    </w:pPr>
    <w:rPr>
      <w:rFonts w:asciiTheme="majorHAnsi" w:eastAsiaTheme="majorEastAsia" w:hAnsiTheme="majorHAnsi" w:cstheme="majorBidi"/>
      <w:color w:val="2F5496" w:themeColor="accent1" w:themeShade="BF"/>
      <w:sz w:val="40"/>
      <w:szCs w:val="40"/>
    </w:rPr>
  </w:style>
  <w:style w:type="paragraph" w:styleId="Heading2">
    <w:name w:val="heading 2"/>
    <w:basedOn w:val="Normal"/>
    <w:next w:val="Normal"/>
    <w:link w:val="Heading2Char"/>
    <w:uiPriority w:val="9"/>
    <w:semiHidden/>
    <w:unhideWhenUsed/>
    <w:qFormat/>
    <w:rsid w:val="00FB1AB6"/>
    <w:pPr>
      <w:keepNext/>
      <w:keepLines/>
      <w:spacing w:before="160" w:after="80"/>
      <w:outlineLvl w:val="1"/>
    </w:pPr>
    <w:rPr>
      <w:rFonts w:asciiTheme="majorHAnsi" w:eastAsiaTheme="majorEastAsia" w:hAnsiTheme="majorHAnsi" w:cstheme="majorBidi"/>
      <w:color w:val="2F5496" w:themeColor="accent1" w:themeShade="BF"/>
      <w:sz w:val="32"/>
      <w:szCs w:val="32"/>
    </w:rPr>
  </w:style>
  <w:style w:type="paragraph" w:styleId="Heading3">
    <w:name w:val="heading 3"/>
    <w:basedOn w:val="Normal"/>
    <w:next w:val="Normal"/>
    <w:link w:val="Heading3Char"/>
    <w:uiPriority w:val="9"/>
    <w:semiHidden/>
    <w:unhideWhenUsed/>
    <w:qFormat/>
    <w:rsid w:val="00FB1AB6"/>
    <w:pPr>
      <w:keepNext/>
      <w:keepLines/>
      <w:spacing w:before="160" w:after="80"/>
      <w:outlineLvl w:val="2"/>
    </w:pPr>
    <w:rPr>
      <w:rFonts w:eastAsiaTheme="majorEastAsia" w:cstheme="majorBidi"/>
      <w:color w:val="2F5496" w:themeColor="accent1" w:themeShade="BF"/>
      <w:sz w:val="28"/>
      <w:szCs w:val="28"/>
    </w:rPr>
  </w:style>
  <w:style w:type="paragraph" w:styleId="Heading4">
    <w:name w:val="heading 4"/>
    <w:basedOn w:val="Normal"/>
    <w:next w:val="Normal"/>
    <w:link w:val="Heading4Char"/>
    <w:uiPriority w:val="9"/>
    <w:semiHidden/>
    <w:unhideWhenUsed/>
    <w:qFormat/>
    <w:rsid w:val="00FB1AB6"/>
    <w:pPr>
      <w:keepNext/>
      <w:keepLines/>
      <w:spacing w:before="80" w:after="40"/>
      <w:outlineLvl w:val="3"/>
    </w:pPr>
    <w:rPr>
      <w:rFonts w:eastAsiaTheme="majorEastAsia" w:cstheme="majorBidi"/>
      <w:i/>
      <w:iCs/>
      <w:color w:val="2F5496" w:themeColor="accent1" w:themeShade="BF"/>
    </w:rPr>
  </w:style>
  <w:style w:type="paragraph" w:styleId="Heading5">
    <w:name w:val="heading 5"/>
    <w:basedOn w:val="Normal"/>
    <w:next w:val="Normal"/>
    <w:link w:val="Heading5Char"/>
    <w:uiPriority w:val="9"/>
    <w:semiHidden/>
    <w:unhideWhenUsed/>
    <w:qFormat/>
    <w:rsid w:val="00FB1AB6"/>
    <w:pPr>
      <w:keepNext/>
      <w:keepLines/>
      <w:spacing w:before="80" w:after="40"/>
      <w:outlineLvl w:val="4"/>
    </w:pPr>
    <w:rPr>
      <w:rFonts w:eastAsiaTheme="majorEastAsia" w:cstheme="majorBidi"/>
      <w:color w:val="2F5496" w:themeColor="accent1" w:themeShade="BF"/>
    </w:rPr>
  </w:style>
  <w:style w:type="paragraph" w:styleId="Heading6">
    <w:name w:val="heading 6"/>
    <w:basedOn w:val="Normal"/>
    <w:next w:val="Normal"/>
    <w:link w:val="Heading6Char"/>
    <w:uiPriority w:val="9"/>
    <w:semiHidden/>
    <w:unhideWhenUsed/>
    <w:qFormat/>
    <w:rsid w:val="00FB1AB6"/>
    <w:pPr>
      <w:keepNext/>
      <w:keepLines/>
      <w:spacing w:before="40"/>
      <w:outlineLvl w:val="5"/>
    </w:pPr>
    <w:rPr>
      <w:rFonts w:eastAsiaTheme="majorEastAsia" w:cstheme="majorBidi"/>
      <w:i/>
      <w:iCs/>
      <w:color w:val="595959" w:themeColor="text1" w:themeTint="A6"/>
    </w:rPr>
  </w:style>
  <w:style w:type="paragraph" w:styleId="Heading7">
    <w:name w:val="heading 7"/>
    <w:basedOn w:val="Normal"/>
    <w:next w:val="Normal"/>
    <w:link w:val="Heading7Char"/>
    <w:uiPriority w:val="9"/>
    <w:semiHidden/>
    <w:unhideWhenUsed/>
    <w:qFormat/>
    <w:rsid w:val="00FB1AB6"/>
    <w:pPr>
      <w:keepNext/>
      <w:keepLines/>
      <w:spacing w:before="40"/>
      <w:outlineLvl w:val="6"/>
    </w:pPr>
    <w:rPr>
      <w:rFonts w:eastAsiaTheme="majorEastAsia" w:cstheme="majorBidi"/>
      <w:color w:val="595959" w:themeColor="text1" w:themeTint="A6"/>
    </w:rPr>
  </w:style>
  <w:style w:type="paragraph" w:styleId="Heading8">
    <w:name w:val="heading 8"/>
    <w:basedOn w:val="Normal"/>
    <w:next w:val="Normal"/>
    <w:link w:val="Heading8Char"/>
    <w:uiPriority w:val="9"/>
    <w:semiHidden/>
    <w:unhideWhenUsed/>
    <w:qFormat/>
    <w:rsid w:val="00FB1AB6"/>
    <w:pPr>
      <w:keepNext/>
      <w:keepLines/>
      <w:outlineLvl w:val="7"/>
    </w:pPr>
    <w:rPr>
      <w:rFonts w:eastAsiaTheme="majorEastAsia" w:cstheme="majorBidi"/>
      <w:i/>
      <w:iCs/>
      <w:color w:val="272727" w:themeColor="text1" w:themeTint="D8"/>
    </w:rPr>
  </w:style>
  <w:style w:type="paragraph" w:styleId="Heading9">
    <w:name w:val="heading 9"/>
    <w:basedOn w:val="Normal"/>
    <w:next w:val="Normal"/>
    <w:link w:val="Heading9Char"/>
    <w:uiPriority w:val="9"/>
    <w:semiHidden/>
    <w:unhideWhenUsed/>
    <w:qFormat/>
    <w:rsid w:val="00FB1AB6"/>
    <w:pPr>
      <w:keepNext/>
      <w:keepLines/>
      <w:outlineLvl w:val="8"/>
    </w:pPr>
    <w:rPr>
      <w:rFonts w:eastAsiaTheme="majorEastAsia" w:cstheme="majorBidi"/>
      <w:color w:val="272727" w:themeColor="text1" w:themeTint="D8"/>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FB1AB6"/>
    <w:rPr>
      <w:rFonts w:asciiTheme="majorHAnsi" w:eastAsiaTheme="majorEastAsia" w:hAnsiTheme="majorHAnsi" w:cstheme="majorBidi"/>
      <w:color w:val="2F5496" w:themeColor="accent1" w:themeShade="BF"/>
      <w:sz w:val="40"/>
      <w:szCs w:val="40"/>
    </w:rPr>
  </w:style>
  <w:style w:type="character" w:customStyle="1" w:styleId="Heading2Char">
    <w:name w:val="Heading 2 Char"/>
    <w:basedOn w:val="DefaultParagraphFont"/>
    <w:link w:val="Heading2"/>
    <w:uiPriority w:val="9"/>
    <w:semiHidden/>
    <w:rsid w:val="00FB1AB6"/>
    <w:rPr>
      <w:rFonts w:asciiTheme="majorHAnsi" w:eastAsiaTheme="majorEastAsia" w:hAnsiTheme="majorHAnsi" w:cstheme="majorBidi"/>
      <w:color w:val="2F5496" w:themeColor="accent1" w:themeShade="BF"/>
      <w:sz w:val="32"/>
      <w:szCs w:val="32"/>
    </w:rPr>
  </w:style>
  <w:style w:type="character" w:customStyle="1" w:styleId="Heading3Char">
    <w:name w:val="Heading 3 Char"/>
    <w:basedOn w:val="DefaultParagraphFont"/>
    <w:link w:val="Heading3"/>
    <w:uiPriority w:val="9"/>
    <w:semiHidden/>
    <w:rsid w:val="00FB1AB6"/>
    <w:rPr>
      <w:rFonts w:eastAsiaTheme="majorEastAsia" w:cstheme="majorBidi"/>
      <w:color w:val="2F5496" w:themeColor="accent1" w:themeShade="BF"/>
      <w:sz w:val="28"/>
      <w:szCs w:val="28"/>
    </w:rPr>
  </w:style>
  <w:style w:type="character" w:customStyle="1" w:styleId="Heading4Char">
    <w:name w:val="Heading 4 Char"/>
    <w:basedOn w:val="DefaultParagraphFont"/>
    <w:link w:val="Heading4"/>
    <w:uiPriority w:val="9"/>
    <w:semiHidden/>
    <w:rsid w:val="00FB1AB6"/>
    <w:rPr>
      <w:rFonts w:eastAsiaTheme="majorEastAsia" w:cstheme="majorBidi"/>
      <w:i/>
      <w:iCs/>
      <w:color w:val="2F5496" w:themeColor="accent1" w:themeShade="BF"/>
    </w:rPr>
  </w:style>
  <w:style w:type="character" w:customStyle="1" w:styleId="Heading5Char">
    <w:name w:val="Heading 5 Char"/>
    <w:basedOn w:val="DefaultParagraphFont"/>
    <w:link w:val="Heading5"/>
    <w:uiPriority w:val="9"/>
    <w:semiHidden/>
    <w:rsid w:val="00FB1AB6"/>
    <w:rPr>
      <w:rFonts w:eastAsiaTheme="majorEastAsia" w:cstheme="majorBidi"/>
      <w:color w:val="2F5496" w:themeColor="accent1" w:themeShade="BF"/>
    </w:rPr>
  </w:style>
  <w:style w:type="character" w:customStyle="1" w:styleId="Heading6Char">
    <w:name w:val="Heading 6 Char"/>
    <w:basedOn w:val="DefaultParagraphFont"/>
    <w:link w:val="Heading6"/>
    <w:uiPriority w:val="9"/>
    <w:semiHidden/>
    <w:rsid w:val="00FB1AB6"/>
    <w:rPr>
      <w:rFonts w:eastAsiaTheme="majorEastAsia" w:cstheme="majorBidi"/>
      <w:i/>
      <w:iCs/>
      <w:color w:val="595959" w:themeColor="text1" w:themeTint="A6"/>
    </w:rPr>
  </w:style>
  <w:style w:type="character" w:customStyle="1" w:styleId="Heading7Char">
    <w:name w:val="Heading 7 Char"/>
    <w:basedOn w:val="DefaultParagraphFont"/>
    <w:link w:val="Heading7"/>
    <w:uiPriority w:val="9"/>
    <w:semiHidden/>
    <w:rsid w:val="00FB1AB6"/>
    <w:rPr>
      <w:rFonts w:eastAsiaTheme="majorEastAsia" w:cstheme="majorBidi"/>
      <w:color w:val="595959" w:themeColor="text1" w:themeTint="A6"/>
    </w:rPr>
  </w:style>
  <w:style w:type="character" w:customStyle="1" w:styleId="Heading8Char">
    <w:name w:val="Heading 8 Char"/>
    <w:basedOn w:val="DefaultParagraphFont"/>
    <w:link w:val="Heading8"/>
    <w:uiPriority w:val="9"/>
    <w:semiHidden/>
    <w:rsid w:val="00FB1AB6"/>
    <w:rPr>
      <w:rFonts w:eastAsiaTheme="majorEastAsia" w:cstheme="majorBidi"/>
      <w:i/>
      <w:iCs/>
      <w:color w:val="272727" w:themeColor="text1" w:themeTint="D8"/>
    </w:rPr>
  </w:style>
  <w:style w:type="character" w:customStyle="1" w:styleId="Heading9Char">
    <w:name w:val="Heading 9 Char"/>
    <w:basedOn w:val="DefaultParagraphFont"/>
    <w:link w:val="Heading9"/>
    <w:uiPriority w:val="9"/>
    <w:semiHidden/>
    <w:rsid w:val="00FB1AB6"/>
    <w:rPr>
      <w:rFonts w:eastAsiaTheme="majorEastAsia" w:cstheme="majorBidi"/>
      <w:color w:val="272727" w:themeColor="text1" w:themeTint="D8"/>
    </w:rPr>
  </w:style>
  <w:style w:type="paragraph" w:styleId="Title">
    <w:name w:val="Title"/>
    <w:basedOn w:val="Normal"/>
    <w:next w:val="Normal"/>
    <w:link w:val="TitleChar"/>
    <w:uiPriority w:val="10"/>
    <w:qFormat/>
    <w:rsid w:val="00FB1AB6"/>
    <w:pPr>
      <w:spacing w:after="80"/>
      <w:contextualSpacing/>
    </w:pPr>
    <w:rPr>
      <w:rFonts w:asciiTheme="majorHAnsi" w:eastAsiaTheme="majorEastAsia" w:hAnsiTheme="majorHAnsi" w:cstheme="majorBidi"/>
      <w:spacing w:val="-10"/>
      <w:kern w:val="28"/>
      <w:sz w:val="56"/>
      <w:szCs w:val="56"/>
    </w:rPr>
  </w:style>
  <w:style w:type="character" w:customStyle="1" w:styleId="TitleChar">
    <w:name w:val="Title Char"/>
    <w:basedOn w:val="DefaultParagraphFont"/>
    <w:link w:val="Title"/>
    <w:uiPriority w:val="10"/>
    <w:rsid w:val="00FB1AB6"/>
    <w:rPr>
      <w:rFonts w:asciiTheme="majorHAnsi" w:eastAsiaTheme="majorEastAsia" w:hAnsiTheme="majorHAnsi" w:cstheme="majorBidi"/>
      <w:spacing w:val="-10"/>
      <w:kern w:val="28"/>
      <w:sz w:val="56"/>
      <w:szCs w:val="56"/>
    </w:rPr>
  </w:style>
  <w:style w:type="paragraph" w:styleId="Subtitle">
    <w:name w:val="Subtitle"/>
    <w:basedOn w:val="Normal"/>
    <w:next w:val="Normal"/>
    <w:link w:val="SubtitleChar"/>
    <w:uiPriority w:val="11"/>
    <w:qFormat/>
    <w:rsid w:val="00FB1AB6"/>
    <w:pPr>
      <w:numPr>
        <w:ilvl w:val="1"/>
      </w:numPr>
      <w:spacing w:after="160"/>
    </w:pPr>
    <w:rPr>
      <w:rFonts w:eastAsiaTheme="majorEastAsia" w:cstheme="majorBidi"/>
      <w:color w:val="595959" w:themeColor="text1" w:themeTint="A6"/>
      <w:spacing w:val="15"/>
      <w:sz w:val="28"/>
      <w:szCs w:val="28"/>
    </w:rPr>
  </w:style>
  <w:style w:type="character" w:customStyle="1" w:styleId="SubtitleChar">
    <w:name w:val="Subtitle Char"/>
    <w:basedOn w:val="DefaultParagraphFont"/>
    <w:link w:val="Subtitle"/>
    <w:uiPriority w:val="11"/>
    <w:rsid w:val="00FB1AB6"/>
    <w:rPr>
      <w:rFonts w:eastAsiaTheme="majorEastAsia" w:cstheme="majorBidi"/>
      <w:color w:val="595959" w:themeColor="text1" w:themeTint="A6"/>
      <w:spacing w:val="15"/>
      <w:sz w:val="28"/>
      <w:szCs w:val="28"/>
    </w:rPr>
  </w:style>
  <w:style w:type="paragraph" w:styleId="Quote">
    <w:name w:val="Quote"/>
    <w:basedOn w:val="Normal"/>
    <w:next w:val="Normal"/>
    <w:link w:val="QuoteChar"/>
    <w:uiPriority w:val="29"/>
    <w:qFormat/>
    <w:rsid w:val="00FB1AB6"/>
    <w:pPr>
      <w:spacing w:before="160" w:after="160"/>
      <w:jc w:val="center"/>
    </w:pPr>
    <w:rPr>
      <w:i/>
      <w:iCs/>
      <w:color w:val="404040" w:themeColor="text1" w:themeTint="BF"/>
    </w:rPr>
  </w:style>
  <w:style w:type="character" w:customStyle="1" w:styleId="QuoteChar">
    <w:name w:val="Quote Char"/>
    <w:basedOn w:val="DefaultParagraphFont"/>
    <w:link w:val="Quote"/>
    <w:uiPriority w:val="29"/>
    <w:rsid w:val="00FB1AB6"/>
    <w:rPr>
      <w:i/>
      <w:iCs/>
      <w:color w:val="404040" w:themeColor="text1" w:themeTint="BF"/>
    </w:rPr>
  </w:style>
  <w:style w:type="paragraph" w:styleId="ListParagraph">
    <w:name w:val="List Paragraph"/>
    <w:basedOn w:val="Normal"/>
    <w:uiPriority w:val="34"/>
    <w:qFormat/>
    <w:rsid w:val="00FB1AB6"/>
    <w:pPr>
      <w:ind w:left="720"/>
      <w:contextualSpacing/>
    </w:pPr>
  </w:style>
  <w:style w:type="character" w:styleId="IntenseEmphasis">
    <w:name w:val="Intense Emphasis"/>
    <w:basedOn w:val="DefaultParagraphFont"/>
    <w:uiPriority w:val="21"/>
    <w:qFormat/>
    <w:rsid w:val="00FB1AB6"/>
    <w:rPr>
      <w:i/>
      <w:iCs/>
      <w:color w:val="2F5496" w:themeColor="accent1" w:themeShade="BF"/>
    </w:rPr>
  </w:style>
  <w:style w:type="paragraph" w:styleId="IntenseQuote">
    <w:name w:val="Intense Quote"/>
    <w:basedOn w:val="Normal"/>
    <w:next w:val="Normal"/>
    <w:link w:val="IntenseQuoteChar"/>
    <w:uiPriority w:val="30"/>
    <w:qFormat/>
    <w:rsid w:val="00FB1AB6"/>
    <w:pPr>
      <w:pBdr>
        <w:top w:val="single" w:sz="4" w:space="10" w:color="2F5496" w:themeColor="accent1" w:themeShade="BF"/>
        <w:bottom w:val="single" w:sz="4" w:space="10" w:color="2F5496" w:themeColor="accent1" w:themeShade="BF"/>
      </w:pBdr>
      <w:spacing w:before="360" w:after="360"/>
      <w:ind w:left="864" w:right="864"/>
      <w:jc w:val="center"/>
    </w:pPr>
    <w:rPr>
      <w:i/>
      <w:iCs/>
      <w:color w:val="2F5496" w:themeColor="accent1" w:themeShade="BF"/>
    </w:rPr>
  </w:style>
  <w:style w:type="character" w:customStyle="1" w:styleId="IntenseQuoteChar">
    <w:name w:val="Intense Quote Char"/>
    <w:basedOn w:val="DefaultParagraphFont"/>
    <w:link w:val="IntenseQuote"/>
    <w:uiPriority w:val="30"/>
    <w:rsid w:val="00FB1AB6"/>
    <w:rPr>
      <w:i/>
      <w:iCs/>
      <w:color w:val="2F5496" w:themeColor="accent1" w:themeShade="BF"/>
    </w:rPr>
  </w:style>
  <w:style w:type="character" w:styleId="IntenseReference">
    <w:name w:val="Intense Reference"/>
    <w:basedOn w:val="DefaultParagraphFont"/>
    <w:uiPriority w:val="32"/>
    <w:qFormat/>
    <w:rsid w:val="00FB1AB6"/>
    <w:rPr>
      <w:b/>
      <w:bCs/>
      <w:smallCaps/>
      <w:color w:val="2F5496" w:themeColor="accent1" w:themeShade="BF"/>
      <w:spacing w:val="5"/>
    </w:rPr>
  </w:style>
  <w:style w:type="paragraph" w:styleId="NormalWeb">
    <w:name w:val="Normal (Web)"/>
    <w:basedOn w:val="Normal"/>
    <w:uiPriority w:val="99"/>
    <w:unhideWhenUsed/>
    <w:rsid w:val="00562F88"/>
    <w:pPr>
      <w:spacing w:before="100" w:beforeAutospacing="1" w:after="100" w:afterAutospacing="1"/>
    </w:pPr>
    <w:rPr>
      <w:rFonts w:ascii="Times New Roman" w:eastAsia="Times New Roman" w:hAnsi="Times New Roman" w:cs="Times New Roman"/>
      <w:kern w:val="0"/>
      <w:lang w:eastAsia="en-GB"/>
      <w14:ligatures w14:val="none"/>
    </w:rPr>
  </w:style>
  <w:style w:type="character" w:customStyle="1" w:styleId="apple-converted-space">
    <w:name w:val="apple-converted-space"/>
    <w:basedOn w:val="DefaultParagraphFont"/>
    <w:rsid w:val="00562F88"/>
  </w:style>
  <w:style w:type="character" w:styleId="Emphasis">
    <w:name w:val="Emphasis"/>
    <w:basedOn w:val="DefaultParagraphFont"/>
    <w:uiPriority w:val="20"/>
    <w:qFormat/>
    <w:rsid w:val="00562F88"/>
    <w:rPr>
      <w:i/>
      <w:iCs/>
    </w:rPr>
  </w:style>
  <w:style w:type="character" w:styleId="Hyperlink">
    <w:name w:val="Hyperlink"/>
    <w:basedOn w:val="DefaultParagraphFont"/>
    <w:uiPriority w:val="99"/>
    <w:semiHidden/>
    <w:unhideWhenUsed/>
    <w:rsid w:val="00CB417B"/>
    <w:rPr>
      <w:color w:val="0000FF"/>
      <w:u w:val="single"/>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ivs>
    <w:div w:id="71004779">
      <w:bodyDiv w:val="1"/>
      <w:marLeft w:val="0"/>
      <w:marRight w:val="0"/>
      <w:marTop w:val="0"/>
      <w:marBottom w:val="0"/>
      <w:divBdr>
        <w:top w:val="none" w:sz="0" w:space="0" w:color="auto"/>
        <w:left w:val="none" w:sz="0" w:space="0" w:color="auto"/>
        <w:bottom w:val="none" w:sz="0" w:space="0" w:color="auto"/>
        <w:right w:val="none" w:sz="0" w:space="0" w:color="auto"/>
      </w:divBdr>
    </w:div>
    <w:div w:id="166017259">
      <w:bodyDiv w:val="1"/>
      <w:marLeft w:val="0"/>
      <w:marRight w:val="0"/>
      <w:marTop w:val="0"/>
      <w:marBottom w:val="0"/>
      <w:divBdr>
        <w:top w:val="none" w:sz="0" w:space="0" w:color="auto"/>
        <w:left w:val="none" w:sz="0" w:space="0" w:color="auto"/>
        <w:bottom w:val="none" w:sz="0" w:space="0" w:color="auto"/>
        <w:right w:val="none" w:sz="0" w:space="0" w:color="auto"/>
      </w:divBdr>
    </w:div>
    <w:div w:id="600574988">
      <w:bodyDiv w:val="1"/>
      <w:marLeft w:val="0"/>
      <w:marRight w:val="0"/>
      <w:marTop w:val="0"/>
      <w:marBottom w:val="0"/>
      <w:divBdr>
        <w:top w:val="none" w:sz="0" w:space="0" w:color="auto"/>
        <w:left w:val="none" w:sz="0" w:space="0" w:color="auto"/>
        <w:bottom w:val="none" w:sz="0" w:space="0" w:color="auto"/>
        <w:right w:val="none" w:sz="0" w:space="0" w:color="auto"/>
      </w:divBdr>
    </w:div>
    <w:div w:id="617952572">
      <w:bodyDiv w:val="1"/>
      <w:marLeft w:val="0"/>
      <w:marRight w:val="0"/>
      <w:marTop w:val="0"/>
      <w:marBottom w:val="0"/>
      <w:divBdr>
        <w:top w:val="none" w:sz="0" w:space="0" w:color="auto"/>
        <w:left w:val="none" w:sz="0" w:space="0" w:color="auto"/>
        <w:bottom w:val="none" w:sz="0" w:space="0" w:color="auto"/>
        <w:right w:val="none" w:sz="0" w:space="0" w:color="auto"/>
      </w:divBdr>
    </w:div>
    <w:div w:id="711542633">
      <w:bodyDiv w:val="1"/>
      <w:marLeft w:val="0"/>
      <w:marRight w:val="0"/>
      <w:marTop w:val="0"/>
      <w:marBottom w:val="0"/>
      <w:divBdr>
        <w:top w:val="none" w:sz="0" w:space="0" w:color="auto"/>
        <w:left w:val="none" w:sz="0" w:space="0" w:color="auto"/>
        <w:bottom w:val="none" w:sz="0" w:space="0" w:color="auto"/>
        <w:right w:val="none" w:sz="0" w:space="0" w:color="auto"/>
      </w:divBdr>
    </w:div>
    <w:div w:id="747581103">
      <w:bodyDiv w:val="1"/>
      <w:marLeft w:val="0"/>
      <w:marRight w:val="0"/>
      <w:marTop w:val="0"/>
      <w:marBottom w:val="0"/>
      <w:divBdr>
        <w:top w:val="none" w:sz="0" w:space="0" w:color="auto"/>
        <w:left w:val="none" w:sz="0" w:space="0" w:color="auto"/>
        <w:bottom w:val="none" w:sz="0" w:space="0" w:color="auto"/>
        <w:right w:val="none" w:sz="0" w:space="0" w:color="auto"/>
      </w:divBdr>
    </w:div>
    <w:div w:id="875237022">
      <w:bodyDiv w:val="1"/>
      <w:marLeft w:val="0"/>
      <w:marRight w:val="0"/>
      <w:marTop w:val="0"/>
      <w:marBottom w:val="0"/>
      <w:divBdr>
        <w:top w:val="none" w:sz="0" w:space="0" w:color="auto"/>
        <w:left w:val="none" w:sz="0" w:space="0" w:color="auto"/>
        <w:bottom w:val="none" w:sz="0" w:space="0" w:color="auto"/>
        <w:right w:val="none" w:sz="0" w:space="0" w:color="auto"/>
      </w:divBdr>
    </w:div>
    <w:div w:id="875657908">
      <w:bodyDiv w:val="1"/>
      <w:marLeft w:val="0"/>
      <w:marRight w:val="0"/>
      <w:marTop w:val="0"/>
      <w:marBottom w:val="0"/>
      <w:divBdr>
        <w:top w:val="none" w:sz="0" w:space="0" w:color="auto"/>
        <w:left w:val="none" w:sz="0" w:space="0" w:color="auto"/>
        <w:bottom w:val="none" w:sz="0" w:space="0" w:color="auto"/>
        <w:right w:val="none" w:sz="0" w:space="0" w:color="auto"/>
      </w:divBdr>
    </w:div>
    <w:div w:id="999774434">
      <w:bodyDiv w:val="1"/>
      <w:marLeft w:val="0"/>
      <w:marRight w:val="0"/>
      <w:marTop w:val="0"/>
      <w:marBottom w:val="0"/>
      <w:divBdr>
        <w:top w:val="none" w:sz="0" w:space="0" w:color="auto"/>
        <w:left w:val="none" w:sz="0" w:space="0" w:color="auto"/>
        <w:bottom w:val="none" w:sz="0" w:space="0" w:color="auto"/>
        <w:right w:val="none" w:sz="0" w:space="0" w:color="auto"/>
      </w:divBdr>
    </w:div>
    <w:div w:id="1013726763">
      <w:bodyDiv w:val="1"/>
      <w:marLeft w:val="0"/>
      <w:marRight w:val="0"/>
      <w:marTop w:val="0"/>
      <w:marBottom w:val="0"/>
      <w:divBdr>
        <w:top w:val="none" w:sz="0" w:space="0" w:color="auto"/>
        <w:left w:val="none" w:sz="0" w:space="0" w:color="auto"/>
        <w:bottom w:val="none" w:sz="0" w:space="0" w:color="auto"/>
        <w:right w:val="none" w:sz="0" w:space="0" w:color="auto"/>
      </w:divBdr>
    </w:div>
    <w:div w:id="1137256316">
      <w:bodyDiv w:val="1"/>
      <w:marLeft w:val="0"/>
      <w:marRight w:val="0"/>
      <w:marTop w:val="0"/>
      <w:marBottom w:val="0"/>
      <w:divBdr>
        <w:top w:val="none" w:sz="0" w:space="0" w:color="auto"/>
        <w:left w:val="none" w:sz="0" w:space="0" w:color="auto"/>
        <w:bottom w:val="none" w:sz="0" w:space="0" w:color="auto"/>
        <w:right w:val="none" w:sz="0" w:space="0" w:color="auto"/>
      </w:divBdr>
    </w:div>
    <w:div w:id="1175344213">
      <w:bodyDiv w:val="1"/>
      <w:marLeft w:val="0"/>
      <w:marRight w:val="0"/>
      <w:marTop w:val="0"/>
      <w:marBottom w:val="0"/>
      <w:divBdr>
        <w:top w:val="none" w:sz="0" w:space="0" w:color="auto"/>
        <w:left w:val="none" w:sz="0" w:space="0" w:color="auto"/>
        <w:bottom w:val="none" w:sz="0" w:space="0" w:color="auto"/>
        <w:right w:val="none" w:sz="0" w:space="0" w:color="auto"/>
      </w:divBdr>
    </w:div>
    <w:div w:id="1194344018">
      <w:bodyDiv w:val="1"/>
      <w:marLeft w:val="0"/>
      <w:marRight w:val="0"/>
      <w:marTop w:val="0"/>
      <w:marBottom w:val="0"/>
      <w:divBdr>
        <w:top w:val="none" w:sz="0" w:space="0" w:color="auto"/>
        <w:left w:val="none" w:sz="0" w:space="0" w:color="auto"/>
        <w:bottom w:val="none" w:sz="0" w:space="0" w:color="auto"/>
        <w:right w:val="none" w:sz="0" w:space="0" w:color="auto"/>
      </w:divBdr>
    </w:div>
    <w:div w:id="1215657411">
      <w:bodyDiv w:val="1"/>
      <w:marLeft w:val="0"/>
      <w:marRight w:val="0"/>
      <w:marTop w:val="0"/>
      <w:marBottom w:val="0"/>
      <w:divBdr>
        <w:top w:val="none" w:sz="0" w:space="0" w:color="auto"/>
        <w:left w:val="none" w:sz="0" w:space="0" w:color="auto"/>
        <w:bottom w:val="none" w:sz="0" w:space="0" w:color="auto"/>
        <w:right w:val="none" w:sz="0" w:space="0" w:color="auto"/>
      </w:divBdr>
    </w:div>
    <w:div w:id="1238638192">
      <w:bodyDiv w:val="1"/>
      <w:marLeft w:val="0"/>
      <w:marRight w:val="0"/>
      <w:marTop w:val="0"/>
      <w:marBottom w:val="0"/>
      <w:divBdr>
        <w:top w:val="none" w:sz="0" w:space="0" w:color="auto"/>
        <w:left w:val="none" w:sz="0" w:space="0" w:color="auto"/>
        <w:bottom w:val="none" w:sz="0" w:space="0" w:color="auto"/>
        <w:right w:val="none" w:sz="0" w:space="0" w:color="auto"/>
      </w:divBdr>
    </w:div>
    <w:div w:id="1452238670">
      <w:bodyDiv w:val="1"/>
      <w:marLeft w:val="0"/>
      <w:marRight w:val="0"/>
      <w:marTop w:val="0"/>
      <w:marBottom w:val="0"/>
      <w:divBdr>
        <w:top w:val="none" w:sz="0" w:space="0" w:color="auto"/>
        <w:left w:val="none" w:sz="0" w:space="0" w:color="auto"/>
        <w:bottom w:val="none" w:sz="0" w:space="0" w:color="auto"/>
        <w:right w:val="none" w:sz="0" w:space="0" w:color="auto"/>
      </w:divBdr>
    </w:div>
    <w:div w:id="1522625850">
      <w:bodyDiv w:val="1"/>
      <w:marLeft w:val="0"/>
      <w:marRight w:val="0"/>
      <w:marTop w:val="0"/>
      <w:marBottom w:val="0"/>
      <w:divBdr>
        <w:top w:val="none" w:sz="0" w:space="0" w:color="auto"/>
        <w:left w:val="none" w:sz="0" w:space="0" w:color="auto"/>
        <w:bottom w:val="none" w:sz="0" w:space="0" w:color="auto"/>
        <w:right w:val="none" w:sz="0" w:space="0" w:color="auto"/>
      </w:divBdr>
    </w:div>
    <w:div w:id="1670207454">
      <w:bodyDiv w:val="1"/>
      <w:marLeft w:val="0"/>
      <w:marRight w:val="0"/>
      <w:marTop w:val="0"/>
      <w:marBottom w:val="0"/>
      <w:divBdr>
        <w:top w:val="none" w:sz="0" w:space="0" w:color="auto"/>
        <w:left w:val="none" w:sz="0" w:space="0" w:color="auto"/>
        <w:bottom w:val="none" w:sz="0" w:space="0" w:color="auto"/>
        <w:right w:val="none" w:sz="0" w:space="0" w:color="auto"/>
      </w:divBdr>
    </w:div>
    <w:div w:id="1847673563">
      <w:bodyDiv w:val="1"/>
      <w:marLeft w:val="0"/>
      <w:marRight w:val="0"/>
      <w:marTop w:val="0"/>
      <w:marBottom w:val="0"/>
      <w:divBdr>
        <w:top w:val="none" w:sz="0" w:space="0" w:color="auto"/>
        <w:left w:val="none" w:sz="0" w:space="0" w:color="auto"/>
        <w:bottom w:val="none" w:sz="0" w:space="0" w:color="auto"/>
        <w:right w:val="none" w:sz="0" w:space="0" w:color="auto"/>
      </w:divBdr>
    </w:div>
    <w:div w:id="1939017254">
      <w:bodyDiv w:val="1"/>
      <w:marLeft w:val="0"/>
      <w:marRight w:val="0"/>
      <w:marTop w:val="0"/>
      <w:marBottom w:val="0"/>
      <w:divBdr>
        <w:top w:val="none" w:sz="0" w:space="0" w:color="auto"/>
        <w:left w:val="none" w:sz="0" w:space="0" w:color="auto"/>
        <w:bottom w:val="none" w:sz="0" w:space="0" w:color="auto"/>
        <w:right w:val="none" w:sz="0" w:space="0" w:color="auto"/>
      </w:divBdr>
    </w:div>
    <w:div w:id="1959139084">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theme" Target="theme/theme1.xml"/><Relationship Id="rId3" Type="http://schemas.openxmlformats.org/officeDocument/2006/relationships/settings" Target="settings.xml"/><Relationship Id="rId7" Type="http://schemas.openxmlformats.org/officeDocument/2006/relationships/fontTable" Target="fontTable.xml"/><Relationship Id="rId2" Type="http://schemas.openxmlformats.org/officeDocument/2006/relationships/styles" Target="styles.xml"/><Relationship Id="rId1" Type="http://schemas.openxmlformats.org/officeDocument/2006/relationships/numbering" Target="numbering.xml"/><Relationship Id="rId6" Type="http://schemas.openxmlformats.org/officeDocument/2006/relationships/image" Target="media/image2.svg"/><Relationship Id="rId5" Type="http://schemas.openxmlformats.org/officeDocument/2006/relationships/image" Target="media/image1.png"/><Relationship Id="rId4" Type="http://schemas.openxmlformats.org/officeDocument/2006/relationships/webSettings" Target="webSettings.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Metadata/LabelInfo.xml><?xml version="1.0" encoding="utf-8"?>
<clbl:labelList xmlns:clbl="http://schemas.microsoft.com/office/2020/mipLabelMetadata">
  <clbl:label id="{4e0f11f9-046e-4505-9cb8-db2152311e21}" enabled="0" method="" siteId="{4e0f11f9-046e-4505-9cb8-db2152311e21}" removed="1"/>
</clbl:labelList>
</file>

<file path=docProps/app.xml><?xml version="1.0" encoding="utf-8"?>
<Properties xmlns="http://schemas.openxmlformats.org/officeDocument/2006/extended-properties" xmlns:vt="http://schemas.openxmlformats.org/officeDocument/2006/docPropsVTypes">
  <Template>Normal</Template>
  <TotalTime>4</TotalTime>
  <Pages>7</Pages>
  <Words>3000</Words>
  <Characters>17105</Characters>
  <Application>Microsoft Office Word</Application>
  <DocSecurity>0</DocSecurity>
  <Lines>142</Lines>
  <Paragraphs>40</Paragraphs>
  <ScaleCrop>false</ScaleCrop>
  <Company/>
  <LinksUpToDate>false</LinksUpToDate>
  <CharactersWithSpaces>20065</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Rebekah Jones (2205076)</dc:creator>
  <cp:keywords/>
  <dc:description/>
  <cp:lastModifiedBy>Rebekah Jones (2205076)</cp:lastModifiedBy>
  <cp:revision>2</cp:revision>
  <dcterms:created xsi:type="dcterms:W3CDTF">2025-04-25T01:08:00Z</dcterms:created>
  <dcterms:modified xsi:type="dcterms:W3CDTF">2025-04-25T01:08:00Z</dcterms:modified>
</cp:coreProperties>
</file>