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6080" w14:textId="77777777" w:rsidR="00EF40D0" w:rsidRPr="00674B17" w:rsidRDefault="00EF40D0" w:rsidP="00EF40D0">
      <w:pPr>
        <w:spacing w:after="220"/>
        <w:ind w:right="1438"/>
        <w:jc w:val="right"/>
        <w:rPr>
          <w:rFonts w:ascii="Arial" w:hAnsi="Arial" w:cs="Arial"/>
          <w:sz w:val="24"/>
          <w:szCs w:val="24"/>
        </w:rPr>
      </w:pPr>
      <w:r w:rsidRPr="00674B17">
        <w:rPr>
          <w:rFonts w:ascii="Arial" w:hAnsi="Arial" w:cs="Arial"/>
          <w:noProof/>
          <w:sz w:val="24"/>
          <w:szCs w:val="24"/>
        </w:rPr>
        <w:drawing>
          <wp:inline distT="0" distB="0" distL="0" distR="0" wp14:anchorId="5533D315" wp14:editId="4035B561">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sidRPr="00674B17">
        <w:rPr>
          <w:rFonts w:ascii="Arial" w:eastAsia="Times New Roman" w:hAnsi="Arial" w:cs="Arial"/>
          <w:b/>
          <w:sz w:val="24"/>
          <w:szCs w:val="24"/>
        </w:rPr>
        <w:t xml:space="preserve"> </w:t>
      </w:r>
    </w:p>
    <w:p w14:paraId="2845C4E6" w14:textId="77777777" w:rsidR="00EF40D0" w:rsidRPr="00674B17" w:rsidRDefault="00EF40D0" w:rsidP="00EF40D0">
      <w:pPr>
        <w:spacing w:after="273"/>
        <w:ind w:right="5"/>
        <w:jc w:val="center"/>
        <w:rPr>
          <w:rFonts w:ascii="Arial" w:hAnsi="Arial" w:cs="Arial"/>
          <w:sz w:val="24"/>
          <w:szCs w:val="24"/>
        </w:rPr>
      </w:pPr>
      <w:r w:rsidRPr="00674B17">
        <w:rPr>
          <w:rFonts w:ascii="Arial" w:eastAsia="Times New Roman" w:hAnsi="Arial" w:cs="Arial"/>
          <w:b/>
          <w:sz w:val="24"/>
          <w:szCs w:val="24"/>
        </w:rPr>
        <w:t xml:space="preserve"> </w:t>
      </w:r>
    </w:p>
    <w:p w14:paraId="179F8074" w14:textId="77777777" w:rsidR="00EF40D0" w:rsidRPr="00674B17" w:rsidRDefault="00EF40D0" w:rsidP="00EF40D0">
      <w:pPr>
        <w:spacing w:after="274"/>
        <w:rPr>
          <w:rFonts w:ascii="Arial" w:hAnsi="Arial" w:cs="Arial"/>
          <w:sz w:val="24"/>
          <w:szCs w:val="24"/>
        </w:rPr>
      </w:pPr>
      <w:r w:rsidRPr="00674B17">
        <w:rPr>
          <w:rFonts w:ascii="Arial" w:eastAsia="Times New Roman" w:hAnsi="Arial" w:cs="Arial"/>
          <w:b/>
          <w:sz w:val="24"/>
          <w:szCs w:val="24"/>
        </w:rPr>
        <w:t xml:space="preserve"> </w:t>
      </w:r>
    </w:p>
    <w:p w14:paraId="5D0F8DE6" w14:textId="77777777" w:rsidR="00EF40D0" w:rsidRPr="00674B17" w:rsidRDefault="00EF40D0" w:rsidP="00EF40D0">
      <w:pPr>
        <w:spacing w:after="276"/>
        <w:jc w:val="center"/>
        <w:rPr>
          <w:rFonts w:ascii="Arial" w:hAnsi="Arial" w:cs="Arial"/>
          <w:sz w:val="24"/>
          <w:szCs w:val="24"/>
        </w:rPr>
      </w:pPr>
    </w:p>
    <w:p w14:paraId="38C38D64" w14:textId="77777777" w:rsidR="00EF40D0" w:rsidRPr="000018B3" w:rsidRDefault="00EF40D0" w:rsidP="006C4AD2">
      <w:pPr>
        <w:spacing w:after="274"/>
        <w:ind w:left="2716"/>
        <w:rPr>
          <w:rFonts w:ascii="Arial" w:hAnsi="Arial" w:cs="Arial"/>
          <w:sz w:val="28"/>
        </w:rPr>
      </w:pPr>
      <w:proofErr w:type="spellStart"/>
      <w:r w:rsidRPr="000018B3">
        <w:rPr>
          <w:rFonts w:ascii="Arial" w:eastAsia="Times New Roman" w:hAnsi="Arial" w:cs="Arial"/>
          <w:b/>
          <w:sz w:val="28"/>
        </w:rPr>
        <w:t>Programme</w:t>
      </w:r>
      <w:proofErr w:type="spellEnd"/>
      <w:r w:rsidRPr="000018B3">
        <w:rPr>
          <w:rFonts w:ascii="Arial" w:eastAsia="Times New Roman" w:hAnsi="Arial" w:cs="Arial"/>
          <w:b/>
          <w:sz w:val="28"/>
        </w:rPr>
        <w:t>: Master of Business Administration</w:t>
      </w:r>
    </w:p>
    <w:p w14:paraId="41141131" w14:textId="3CE8E447" w:rsidR="00EF40D0" w:rsidRPr="000018B3" w:rsidRDefault="00EF40D0" w:rsidP="000018B3">
      <w:pPr>
        <w:spacing w:after="274"/>
        <w:ind w:left="2809"/>
        <w:rPr>
          <w:rFonts w:ascii="Arial" w:hAnsi="Arial" w:cs="Arial"/>
          <w:sz w:val="28"/>
        </w:rPr>
      </w:pPr>
      <w:r w:rsidRPr="000018B3">
        <w:rPr>
          <w:rFonts w:ascii="Arial" w:eastAsia="Times New Roman" w:hAnsi="Arial" w:cs="Arial"/>
          <w:b/>
          <w:sz w:val="28"/>
        </w:rPr>
        <w:t xml:space="preserve">Module: </w:t>
      </w:r>
      <w:r w:rsidRPr="000018B3">
        <w:rPr>
          <w:rFonts w:ascii="Arial" w:hAnsi="Arial" w:cs="Arial"/>
          <w:b/>
          <w:sz w:val="28"/>
        </w:rPr>
        <w:t>Financial Management</w:t>
      </w:r>
    </w:p>
    <w:p w14:paraId="39E452CD" w14:textId="10EEC7A4" w:rsidR="00EF40D0" w:rsidRPr="000018B3" w:rsidRDefault="00EF40D0" w:rsidP="000018B3">
      <w:pPr>
        <w:spacing w:after="274"/>
        <w:ind w:left="2099" w:right="66" w:firstLine="710"/>
        <w:rPr>
          <w:rFonts w:ascii="Arial" w:hAnsi="Arial" w:cs="Arial"/>
          <w:sz w:val="28"/>
        </w:rPr>
      </w:pPr>
      <w:r w:rsidRPr="000018B3">
        <w:rPr>
          <w:rFonts w:ascii="Arial" w:eastAsia="Times New Roman" w:hAnsi="Arial" w:cs="Arial"/>
          <w:b/>
          <w:sz w:val="28"/>
        </w:rPr>
        <w:t xml:space="preserve">Module code: </w:t>
      </w:r>
      <w:r w:rsidRPr="000018B3">
        <w:rPr>
          <w:rFonts w:ascii="Arial" w:hAnsi="Arial" w:cs="Arial"/>
          <w:b/>
          <w:sz w:val="28"/>
        </w:rPr>
        <w:t>LCMB7002</w:t>
      </w:r>
    </w:p>
    <w:p w14:paraId="07495FB0" w14:textId="469F0317" w:rsidR="00EF40D0" w:rsidRPr="000018B3" w:rsidRDefault="00EF40D0" w:rsidP="000018B3">
      <w:pPr>
        <w:spacing w:after="274"/>
        <w:ind w:left="2099" w:right="65" w:firstLine="710"/>
        <w:rPr>
          <w:rFonts w:ascii="Arial" w:hAnsi="Arial" w:cs="Arial"/>
          <w:sz w:val="28"/>
        </w:rPr>
      </w:pPr>
      <w:r w:rsidRPr="000018B3">
        <w:rPr>
          <w:rFonts w:ascii="Arial" w:eastAsia="Times New Roman" w:hAnsi="Arial" w:cs="Arial"/>
          <w:b/>
          <w:sz w:val="28"/>
        </w:rPr>
        <w:t xml:space="preserve">Title: </w:t>
      </w:r>
      <w:r w:rsidRPr="000018B3">
        <w:rPr>
          <w:rFonts w:ascii="Arial" w:hAnsi="Arial" w:cs="Arial"/>
          <w:b/>
          <w:sz w:val="28"/>
        </w:rPr>
        <w:t>Financial performance and management</w:t>
      </w:r>
    </w:p>
    <w:p w14:paraId="24E894EB" w14:textId="2F372617" w:rsidR="00EF40D0" w:rsidRPr="000018B3" w:rsidRDefault="00EF40D0" w:rsidP="000018B3">
      <w:pPr>
        <w:spacing w:after="274"/>
        <w:ind w:left="2099" w:right="62" w:firstLine="710"/>
        <w:rPr>
          <w:rFonts w:ascii="Arial" w:hAnsi="Arial" w:cs="Arial"/>
          <w:sz w:val="28"/>
        </w:rPr>
      </w:pPr>
      <w:r w:rsidRPr="000018B3">
        <w:rPr>
          <w:rFonts w:ascii="Arial" w:eastAsia="Times New Roman" w:hAnsi="Arial" w:cs="Arial"/>
          <w:b/>
          <w:sz w:val="28"/>
        </w:rPr>
        <w:t>Word count: 4</w:t>
      </w:r>
      <w:r w:rsidR="000018B3" w:rsidRPr="000018B3">
        <w:rPr>
          <w:rFonts w:ascii="Arial" w:eastAsia="Times New Roman" w:hAnsi="Arial" w:cs="Arial"/>
          <w:b/>
          <w:sz w:val="28"/>
        </w:rPr>
        <w:t>906</w:t>
      </w:r>
    </w:p>
    <w:p w14:paraId="09A5B4C5" w14:textId="78081E58" w:rsidR="00EF40D0" w:rsidRPr="000018B3" w:rsidRDefault="000B4E94" w:rsidP="000018B3">
      <w:pPr>
        <w:spacing w:after="165" w:line="352" w:lineRule="auto"/>
        <w:ind w:left="2835" w:right="2836"/>
        <w:rPr>
          <w:rFonts w:ascii="Arial" w:eastAsia="Arial" w:hAnsi="Arial" w:cs="Arial"/>
          <w:b/>
          <w:sz w:val="28"/>
        </w:rPr>
      </w:pPr>
      <w:r w:rsidRPr="000018B3">
        <w:rPr>
          <w:rFonts w:ascii="Arial" w:eastAsia="Arial" w:hAnsi="Arial" w:cs="Arial"/>
          <w:b/>
          <w:sz w:val="28"/>
        </w:rPr>
        <w:t>Lecturer:</w:t>
      </w:r>
      <w:r w:rsidR="00EF40D0" w:rsidRPr="000018B3">
        <w:rPr>
          <w:rFonts w:ascii="Arial" w:eastAsia="Arial" w:hAnsi="Arial" w:cs="Arial"/>
          <w:b/>
          <w:sz w:val="28"/>
        </w:rPr>
        <w:t xml:space="preserve"> </w:t>
      </w:r>
      <w:r w:rsidR="00EF40D0" w:rsidRPr="000018B3">
        <w:rPr>
          <w:rFonts w:ascii="Arial" w:hAnsi="Arial" w:cs="Arial"/>
          <w:b/>
          <w:sz w:val="28"/>
        </w:rPr>
        <w:t>Patrick Yeboah (Birmingham)</w:t>
      </w:r>
    </w:p>
    <w:p w14:paraId="3514A24A" w14:textId="23FD8158" w:rsidR="00EF40D0" w:rsidRPr="000018B3" w:rsidRDefault="00EF40D0" w:rsidP="000018B3">
      <w:pPr>
        <w:spacing w:after="165" w:line="352" w:lineRule="auto"/>
        <w:ind w:left="2835" w:right="2836"/>
        <w:rPr>
          <w:rFonts w:ascii="Arial" w:hAnsi="Arial" w:cs="Arial"/>
          <w:sz w:val="28"/>
        </w:rPr>
      </w:pPr>
      <w:r w:rsidRPr="000018B3">
        <w:rPr>
          <w:rFonts w:ascii="Arial" w:eastAsia="Times New Roman" w:hAnsi="Arial" w:cs="Arial"/>
          <w:b/>
          <w:sz w:val="28"/>
        </w:rPr>
        <w:t xml:space="preserve">Student </w:t>
      </w:r>
      <w:r w:rsidR="000B4E94" w:rsidRPr="000018B3">
        <w:rPr>
          <w:rFonts w:ascii="Arial" w:eastAsia="Times New Roman" w:hAnsi="Arial" w:cs="Arial"/>
          <w:b/>
          <w:sz w:val="28"/>
        </w:rPr>
        <w:t>Name:</w:t>
      </w:r>
      <w:r w:rsidR="00FB2E89" w:rsidRPr="000018B3">
        <w:rPr>
          <w:rFonts w:ascii="Arial" w:eastAsia="Times New Roman" w:hAnsi="Arial" w:cs="Arial"/>
          <w:b/>
          <w:sz w:val="28"/>
        </w:rPr>
        <w:t xml:space="preserve"> Tarikul Islam Tarek</w:t>
      </w:r>
    </w:p>
    <w:p w14:paraId="73A2B79D" w14:textId="2A1F4200" w:rsidR="00EF40D0" w:rsidRPr="000018B3" w:rsidRDefault="00EF40D0" w:rsidP="000018B3">
      <w:pPr>
        <w:spacing w:after="274"/>
        <w:ind w:left="2125" w:right="62" w:firstLine="710"/>
        <w:rPr>
          <w:rFonts w:ascii="Arial" w:hAnsi="Arial" w:cs="Arial"/>
          <w:sz w:val="28"/>
        </w:rPr>
      </w:pPr>
      <w:r w:rsidRPr="000018B3">
        <w:rPr>
          <w:rFonts w:ascii="Arial" w:eastAsia="Times New Roman" w:hAnsi="Arial" w:cs="Arial"/>
          <w:b/>
          <w:sz w:val="28"/>
        </w:rPr>
        <w:t>Student ID:</w:t>
      </w:r>
      <w:r w:rsidR="006C4AD2">
        <w:rPr>
          <w:rFonts w:ascii="Arial" w:eastAsia="Times New Roman" w:hAnsi="Arial" w:cs="Arial"/>
          <w:b/>
          <w:sz w:val="28"/>
        </w:rPr>
        <w:t xml:space="preserve"> </w:t>
      </w:r>
      <w:r w:rsidR="00FB2E89" w:rsidRPr="000018B3">
        <w:rPr>
          <w:rFonts w:ascii="Arial" w:eastAsia="Times New Roman" w:hAnsi="Arial" w:cs="Arial"/>
          <w:b/>
          <w:sz w:val="28"/>
        </w:rPr>
        <w:t>2435183</w:t>
      </w:r>
    </w:p>
    <w:p w14:paraId="446AEDDB" w14:textId="45E5B5E0" w:rsidR="00EF40D0" w:rsidRPr="000018B3" w:rsidRDefault="00EF40D0" w:rsidP="000018B3">
      <w:pPr>
        <w:spacing w:after="274"/>
        <w:ind w:left="2125" w:right="62" w:firstLine="710"/>
        <w:rPr>
          <w:rFonts w:ascii="Arial" w:hAnsi="Arial" w:cs="Arial"/>
          <w:sz w:val="28"/>
        </w:rPr>
      </w:pPr>
      <w:r w:rsidRPr="000018B3">
        <w:rPr>
          <w:rFonts w:ascii="Arial" w:eastAsia="Times New Roman" w:hAnsi="Arial" w:cs="Arial"/>
          <w:b/>
          <w:sz w:val="28"/>
        </w:rPr>
        <w:t>Submission Date- 24</w:t>
      </w:r>
      <w:r w:rsidRPr="000018B3">
        <w:rPr>
          <w:rFonts w:ascii="Arial" w:eastAsia="Times New Roman" w:hAnsi="Arial" w:cs="Arial"/>
          <w:b/>
          <w:sz w:val="28"/>
          <w:vertAlign w:val="superscript"/>
        </w:rPr>
        <w:t>th</w:t>
      </w:r>
      <w:r w:rsidRPr="000018B3">
        <w:rPr>
          <w:rFonts w:ascii="Arial" w:eastAsia="Times New Roman" w:hAnsi="Arial" w:cs="Arial"/>
          <w:b/>
          <w:sz w:val="28"/>
        </w:rPr>
        <w:t xml:space="preserve"> November 2025</w:t>
      </w:r>
    </w:p>
    <w:p w14:paraId="4FD5E26E" w14:textId="77777777" w:rsidR="0094165D" w:rsidRDefault="0094165D">
      <w:pPr>
        <w:rPr>
          <w:rFonts w:ascii="Arial" w:hAnsi="Arial" w:cs="Arial"/>
          <w:b/>
          <w:bCs/>
          <w:sz w:val="24"/>
          <w:szCs w:val="24"/>
        </w:rPr>
      </w:pPr>
      <w:r>
        <w:rPr>
          <w:rFonts w:ascii="Arial" w:hAnsi="Arial" w:cs="Arial"/>
          <w:b/>
          <w:bCs/>
          <w:sz w:val="24"/>
          <w:szCs w:val="24"/>
        </w:rPr>
        <w:br w:type="page"/>
      </w:r>
    </w:p>
    <w:p w14:paraId="7DC50025" w14:textId="77777777" w:rsidR="0094165D" w:rsidRPr="0094165D" w:rsidRDefault="0094165D" w:rsidP="0094165D">
      <w:pPr>
        <w:jc w:val="center"/>
        <w:rPr>
          <w:rFonts w:ascii="Arial" w:hAnsi="Arial" w:cs="Arial"/>
          <w:b/>
          <w:bCs/>
          <w:sz w:val="24"/>
          <w:szCs w:val="24"/>
        </w:rPr>
      </w:pPr>
      <w:r w:rsidRPr="0094165D">
        <w:rPr>
          <w:rFonts w:ascii="Arial" w:hAnsi="Arial" w:cs="Arial"/>
          <w:b/>
          <w:bCs/>
          <w:sz w:val="24"/>
          <w:szCs w:val="24"/>
        </w:rPr>
        <w:lastRenderedPageBreak/>
        <w:t>Table of Contents</w:t>
      </w:r>
    </w:p>
    <w:p w14:paraId="09A3891A" w14:textId="77777777"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Introduction ............................................................................... 3</w:t>
      </w:r>
    </w:p>
    <w:p w14:paraId="61CF4F15" w14:textId="683F94D8"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 xml:space="preserve">Financial Health Assessment ................................................ </w:t>
      </w:r>
      <w:r>
        <w:rPr>
          <w:rFonts w:ascii="Arial" w:hAnsi="Arial" w:cs="Arial"/>
          <w:b/>
          <w:bCs/>
          <w:sz w:val="24"/>
          <w:szCs w:val="24"/>
        </w:rPr>
        <w:t>3-</w:t>
      </w:r>
      <w:r w:rsidR="00D6551D">
        <w:rPr>
          <w:rFonts w:ascii="Arial" w:hAnsi="Arial" w:cs="Arial"/>
          <w:b/>
          <w:bCs/>
          <w:sz w:val="24"/>
          <w:szCs w:val="24"/>
        </w:rPr>
        <w:t>9</w:t>
      </w:r>
    </w:p>
    <w:p w14:paraId="6919D203" w14:textId="68EAFE83"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 xml:space="preserve">Working Capital Management Analysis ................................ </w:t>
      </w:r>
      <w:r w:rsidR="00D6551D">
        <w:rPr>
          <w:rFonts w:ascii="Arial" w:hAnsi="Arial" w:cs="Arial"/>
          <w:b/>
          <w:bCs/>
          <w:sz w:val="24"/>
          <w:szCs w:val="24"/>
        </w:rPr>
        <w:t>9</w:t>
      </w:r>
      <w:r>
        <w:rPr>
          <w:rFonts w:ascii="Arial" w:hAnsi="Arial" w:cs="Arial"/>
          <w:b/>
          <w:bCs/>
          <w:sz w:val="24"/>
          <w:szCs w:val="24"/>
        </w:rPr>
        <w:t>-12</w:t>
      </w:r>
    </w:p>
    <w:p w14:paraId="1E9AA0D2" w14:textId="19255499"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 xml:space="preserve">Strategic Financial Restructuring Plan ................................ </w:t>
      </w:r>
      <w:r>
        <w:rPr>
          <w:rFonts w:ascii="Arial" w:hAnsi="Arial" w:cs="Arial"/>
          <w:b/>
          <w:bCs/>
          <w:sz w:val="24"/>
          <w:szCs w:val="24"/>
        </w:rPr>
        <w:t>1</w:t>
      </w:r>
      <w:r w:rsidR="00D6551D">
        <w:rPr>
          <w:rFonts w:ascii="Arial" w:hAnsi="Arial" w:cs="Arial"/>
          <w:b/>
          <w:bCs/>
          <w:sz w:val="24"/>
          <w:szCs w:val="24"/>
        </w:rPr>
        <w:t>3</w:t>
      </w:r>
      <w:r>
        <w:rPr>
          <w:rFonts w:ascii="Arial" w:hAnsi="Arial" w:cs="Arial"/>
          <w:b/>
          <w:bCs/>
          <w:sz w:val="24"/>
          <w:szCs w:val="24"/>
        </w:rPr>
        <w:t>-1</w:t>
      </w:r>
      <w:r w:rsidR="00D6551D">
        <w:rPr>
          <w:rFonts w:ascii="Arial" w:hAnsi="Arial" w:cs="Arial"/>
          <w:b/>
          <w:bCs/>
          <w:sz w:val="24"/>
          <w:szCs w:val="24"/>
        </w:rPr>
        <w:t>5</w:t>
      </w:r>
    </w:p>
    <w:p w14:paraId="2D186910" w14:textId="71796C53"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Investment Appraisal Analysis ............................................ 1</w:t>
      </w:r>
      <w:r w:rsidR="00D6551D">
        <w:rPr>
          <w:rFonts w:ascii="Arial" w:hAnsi="Arial" w:cs="Arial"/>
          <w:b/>
          <w:bCs/>
          <w:sz w:val="24"/>
          <w:szCs w:val="24"/>
        </w:rPr>
        <w:t>5</w:t>
      </w:r>
      <w:r>
        <w:rPr>
          <w:rFonts w:ascii="Arial" w:hAnsi="Arial" w:cs="Arial"/>
          <w:b/>
          <w:bCs/>
          <w:sz w:val="24"/>
          <w:szCs w:val="24"/>
        </w:rPr>
        <w:t>-2</w:t>
      </w:r>
      <w:r w:rsidR="00D6551D">
        <w:rPr>
          <w:rFonts w:ascii="Arial" w:hAnsi="Arial" w:cs="Arial"/>
          <w:b/>
          <w:bCs/>
          <w:sz w:val="24"/>
          <w:szCs w:val="24"/>
        </w:rPr>
        <w:t>3</w:t>
      </w:r>
    </w:p>
    <w:p w14:paraId="1C835D50" w14:textId="3B5475A1"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Recommendations .................................................................. 2</w:t>
      </w:r>
      <w:r w:rsidR="003944C5">
        <w:rPr>
          <w:rFonts w:ascii="Arial" w:hAnsi="Arial" w:cs="Arial"/>
          <w:b/>
          <w:bCs/>
          <w:sz w:val="24"/>
          <w:szCs w:val="24"/>
        </w:rPr>
        <w:t>3</w:t>
      </w:r>
      <w:r>
        <w:rPr>
          <w:rFonts w:ascii="Arial" w:hAnsi="Arial" w:cs="Arial"/>
          <w:b/>
          <w:bCs/>
          <w:sz w:val="24"/>
          <w:szCs w:val="24"/>
        </w:rPr>
        <w:t>-2</w:t>
      </w:r>
      <w:r w:rsidR="003944C5">
        <w:rPr>
          <w:rFonts w:ascii="Arial" w:hAnsi="Arial" w:cs="Arial"/>
          <w:b/>
          <w:bCs/>
          <w:sz w:val="24"/>
          <w:szCs w:val="24"/>
        </w:rPr>
        <w:t>4</w:t>
      </w:r>
    </w:p>
    <w:p w14:paraId="769F7903" w14:textId="4ACCEA90"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 xml:space="preserve">Conclusion ............................................................................... </w:t>
      </w:r>
      <w:r>
        <w:rPr>
          <w:rFonts w:ascii="Arial" w:hAnsi="Arial" w:cs="Arial"/>
          <w:b/>
          <w:bCs/>
          <w:sz w:val="24"/>
          <w:szCs w:val="24"/>
        </w:rPr>
        <w:t>24</w:t>
      </w:r>
      <w:r w:rsidR="00D6551D">
        <w:rPr>
          <w:rFonts w:ascii="Arial" w:hAnsi="Arial" w:cs="Arial"/>
          <w:b/>
          <w:bCs/>
          <w:sz w:val="24"/>
          <w:szCs w:val="24"/>
        </w:rPr>
        <w:t>-25</w:t>
      </w:r>
    </w:p>
    <w:p w14:paraId="5EF255B5" w14:textId="72D76AE3" w:rsidR="0094165D" w:rsidRPr="0094165D" w:rsidRDefault="0094165D" w:rsidP="0094165D">
      <w:pPr>
        <w:numPr>
          <w:ilvl w:val="0"/>
          <w:numId w:val="44"/>
        </w:numPr>
        <w:rPr>
          <w:rFonts w:ascii="Arial" w:hAnsi="Arial" w:cs="Arial"/>
          <w:b/>
          <w:bCs/>
          <w:sz w:val="24"/>
          <w:szCs w:val="24"/>
        </w:rPr>
      </w:pPr>
      <w:r w:rsidRPr="0094165D">
        <w:rPr>
          <w:rFonts w:ascii="Arial" w:hAnsi="Arial" w:cs="Arial"/>
          <w:b/>
          <w:bCs/>
          <w:sz w:val="24"/>
          <w:szCs w:val="24"/>
        </w:rPr>
        <w:t>References ............................................................................... 2</w:t>
      </w:r>
      <w:r w:rsidR="00D6551D">
        <w:rPr>
          <w:rFonts w:ascii="Arial" w:hAnsi="Arial" w:cs="Arial"/>
          <w:b/>
          <w:bCs/>
          <w:sz w:val="24"/>
          <w:szCs w:val="24"/>
        </w:rPr>
        <w:t>5</w:t>
      </w:r>
      <w:r>
        <w:rPr>
          <w:rFonts w:ascii="Arial" w:hAnsi="Arial" w:cs="Arial"/>
          <w:b/>
          <w:bCs/>
          <w:sz w:val="24"/>
          <w:szCs w:val="24"/>
        </w:rPr>
        <w:t>-2</w:t>
      </w:r>
      <w:r w:rsidR="00D6551D">
        <w:rPr>
          <w:rFonts w:ascii="Arial" w:hAnsi="Arial" w:cs="Arial"/>
          <w:b/>
          <w:bCs/>
          <w:sz w:val="24"/>
          <w:szCs w:val="24"/>
        </w:rPr>
        <w:t>7</w:t>
      </w:r>
    </w:p>
    <w:p w14:paraId="0270D1B6" w14:textId="77777777" w:rsidR="0094165D" w:rsidRDefault="0094165D">
      <w:pPr>
        <w:rPr>
          <w:rFonts w:ascii="Arial" w:hAnsi="Arial" w:cs="Arial"/>
          <w:b/>
          <w:bCs/>
          <w:sz w:val="24"/>
          <w:szCs w:val="24"/>
        </w:rPr>
      </w:pPr>
      <w:r>
        <w:rPr>
          <w:rFonts w:ascii="Arial" w:hAnsi="Arial" w:cs="Arial"/>
          <w:b/>
          <w:bCs/>
          <w:sz w:val="24"/>
          <w:szCs w:val="24"/>
        </w:rPr>
        <w:br w:type="page"/>
      </w:r>
    </w:p>
    <w:p w14:paraId="3FC42CAB" w14:textId="5B5C63E3"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lastRenderedPageBreak/>
        <w:t xml:space="preserve">Introduction </w:t>
      </w:r>
    </w:p>
    <w:p w14:paraId="78BDE2D9" w14:textId="77777777" w:rsidR="006C3A3E" w:rsidRPr="006C3A3E" w:rsidRDefault="006C3A3E" w:rsidP="00A87699">
      <w:pPr>
        <w:spacing w:line="360" w:lineRule="auto"/>
        <w:jc w:val="both"/>
        <w:rPr>
          <w:rFonts w:ascii="Arial" w:hAnsi="Arial" w:cs="Arial"/>
          <w:sz w:val="24"/>
          <w:szCs w:val="24"/>
        </w:rPr>
      </w:pPr>
      <w:r w:rsidRPr="006C3A3E">
        <w:rPr>
          <w:rFonts w:ascii="Arial" w:hAnsi="Arial" w:cs="Arial"/>
          <w:sz w:val="24"/>
          <w:szCs w:val="24"/>
        </w:rPr>
        <w:t>Evaluation of the financial performance of a firm is an important part of corporate governance and strategic decision making especially in the sectors that are vulnerable to technological advancement and international market dynamics. General Electronics (GE) has recorded considerable change in profitability, liquidity and operating efficiency over the last five years and this shows the difficulties of multinational companies operating in the sustainable financial market. In the given report, the financial position of GE is thoroughly assessed with the help of major analytical instruments, such as ratio analysis, cash conversion cycle analysis, capital structure analysis, and investment appraisal methods (Brigham and Ehrhardt, 2022; Gitman and Zutter, 2019).</w:t>
      </w:r>
    </w:p>
    <w:p w14:paraId="2C4487FC" w14:textId="27B4A63B" w:rsidR="00C0153C" w:rsidRPr="00C0153C" w:rsidRDefault="006C3A3E" w:rsidP="00A87699">
      <w:pPr>
        <w:spacing w:line="360" w:lineRule="auto"/>
        <w:jc w:val="both"/>
        <w:rPr>
          <w:rFonts w:ascii="Arial" w:hAnsi="Arial" w:cs="Arial"/>
          <w:b/>
          <w:bCs/>
          <w:sz w:val="24"/>
          <w:szCs w:val="24"/>
        </w:rPr>
      </w:pPr>
      <w:r w:rsidRPr="006C3A3E">
        <w:rPr>
          <w:rFonts w:ascii="Arial" w:hAnsi="Arial" w:cs="Arial"/>
          <w:sz w:val="24"/>
          <w:szCs w:val="24"/>
        </w:rPr>
        <w:t>To determine the weaknesses and strengths, the analysis will look at the trend of profitability, gross and net margins, return on equity, liquidity ratios, efficiency measures and gearing. The strategic implications of these trends are discussed, based on working capital management, restructuring of debts and value-creating investments. Combining the quantitative financial information with the qualitative strategic information the report is aimed at identifying the risks of financial distress, the opportunities of operation improvement, and the potential effect of the financial restructuring on the long-term shareholder value. This analysis gives a platform to make informed decisions about the restoration of the solvency and competitiveness of GE (Altman and Hotchkiss, 2020; KPMG, 2023).</w:t>
      </w:r>
    </w:p>
    <w:p w14:paraId="767AD142" w14:textId="50321460"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2. Financial Health Assessment</w:t>
      </w:r>
    </w:p>
    <w:p w14:paraId="60BAD586" w14:textId="77777777" w:rsidR="00367D9B" w:rsidRDefault="00367D9B" w:rsidP="00C0153C">
      <w:pPr>
        <w:spacing w:line="360" w:lineRule="auto"/>
        <w:rPr>
          <w:rFonts w:ascii="Arial" w:hAnsi="Arial" w:cs="Arial"/>
          <w:b/>
          <w:bCs/>
          <w:sz w:val="24"/>
          <w:szCs w:val="24"/>
        </w:rPr>
      </w:pPr>
      <w:r w:rsidRPr="00367D9B">
        <w:rPr>
          <w:rFonts w:ascii="Arial" w:hAnsi="Arial" w:cs="Arial"/>
          <w:b/>
          <w:bCs/>
          <w:sz w:val="24"/>
          <w:szCs w:val="24"/>
        </w:rPr>
        <w:t>2.1 Profitability Analysis</w:t>
      </w:r>
    </w:p>
    <w:p w14:paraId="29D58983" w14:textId="58BC3638" w:rsidR="00C5260C" w:rsidRPr="00367D9B" w:rsidRDefault="00C5260C" w:rsidP="00C0153C">
      <w:pPr>
        <w:spacing w:line="360" w:lineRule="auto"/>
        <w:rPr>
          <w:rFonts w:ascii="Arial" w:hAnsi="Arial" w:cs="Arial"/>
          <w:b/>
          <w:bCs/>
          <w:sz w:val="24"/>
          <w:szCs w:val="24"/>
        </w:rPr>
      </w:pPr>
      <w:r w:rsidRPr="00C5260C">
        <w:rPr>
          <w:rFonts w:ascii="Arial" w:hAnsi="Arial" w:cs="Arial"/>
          <w:b/>
          <w:bCs/>
          <w:sz w:val="24"/>
          <w:szCs w:val="24"/>
        </w:rPr>
        <w:t>Profitability Ratio Formulas:</w:t>
      </w:r>
      <w:r w:rsidRPr="00C5260C">
        <w:rPr>
          <w:rFonts w:ascii="Arial" w:hAnsi="Arial" w:cs="Arial"/>
          <w:b/>
          <w:bCs/>
          <w:sz w:val="24"/>
          <w:szCs w:val="24"/>
        </w:rPr>
        <w:br/>
      </w:r>
      <w:r w:rsidRPr="00C5260C">
        <w:rPr>
          <w:rFonts w:ascii="Arial" w:hAnsi="Arial" w:cs="Arial"/>
          <w:sz w:val="24"/>
          <w:szCs w:val="24"/>
        </w:rPr>
        <w:t>Return on Equity (ROE) = Net Income / Shareholders’ Equity × 100</w:t>
      </w:r>
      <w:r w:rsidRPr="00C5260C">
        <w:rPr>
          <w:rFonts w:ascii="Arial" w:hAnsi="Arial" w:cs="Arial"/>
          <w:sz w:val="24"/>
          <w:szCs w:val="24"/>
        </w:rPr>
        <w:br/>
        <w:t>Gross Margin = (Gross Profit / Net Sales) × 100</w:t>
      </w:r>
      <w:r w:rsidRPr="00C5260C">
        <w:rPr>
          <w:rFonts w:ascii="Arial" w:hAnsi="Arial" w:cs="Arial"/>
          <w:sz w:val="24"/>
          <w:szCs w:val="24"/>
        </w:rPr>
        <w:br/>
        <w:t>Net Margin = (Net Income / Net Sales) × 100</w:t>
      </w:r>
      <w:r w:rsidRPr="00C5260C">
        <w:rPr>
          <w:rFonts w:ascii="Arial" w:hAnsi="Arial" w:cs="Arial"/>
          <w:sz w:val="24"/>
          <w:szCs w:val="24"/>
        </w:rPr>
        <w:br/>
        <w:t>Operating Margin = (Operating Income / Net Sales) × 100</w:t>
      </w:r>
    </w:p>
    <w:p w14:paraId="7A9E5BF4" w14:textId="64D2E374" w:rsidR="00367D9B" w:rsidRPr="00367D9B" w:rsidRDefault="006C3A3E" w:rsidP="00A87699">
      <w:pPr>
        <w:spacing w:line="360" w:lineRule="auto"/>
        <w:jc w:val="both"/>
        <w:rPr>
          <w:rFonts w:ascii="Arial" w:hAnsi="Arial" w:cs="Arial"/>
          <w:sz w:val="24"/>
          <w:szCs w:val="24"/>
        </w:rPr>
      </w:pPr>
      <w:r w:rsidRPr="006C3A3E">
        <w:rPr>
          <w:rFonts w:ascii="Arial" w:hAnsi="Arial" w:cs="Arial"/>
          <w:sz w:val="24"/>
          <w:szCs w:val="24"/>
        </w:rPr>
        <w:t xml:space="preserve">The last five years have shown that General Electronics (GE) has been experiencing a significant drop in profitability. The net income has been above low profits in the year 2020-2022 to high losses in the year 2023-2024 mainly owing to the weaknesses in </w:t>
      </w:r>
      <w:r w:rsidRPr="006C3A3E">
        <w:rPr>
          <w:rFonts w:ascii="Arial" w:hAnsi="Arial" w:cs="Arial"/>
          <w:sz w:val="24"/>
          <w:szCs w:val="24"/>
        </w:rPr>
        <w:lastRenderedPageBreak/>
        <w:t>the operations, increase in costs, and loss of assets. Some of the main trends can be summarized as follows:</w:t>
      </w:r>
    </w:p>
    <w:tbl>
      <w:tblPr>
        <w:tblStyle w:val="TableGrid"/>
        <w:tblW w:w="0" w:type="auto"/>
        <w:tblLook w:val="04A0" w:firstRow="1" w:lastRow="0" w:firstColumn="1" w:lastColumn="0" w:noHBand="0" w:noVBand="1"/>
      </w:tblPr>
      <w:tblGrid>
        <w:gridCol w:w="750"/>
        <w:gridCol w:w="1696"/>
        <w:gridCol w:w="1856"/>
        <w:gridCol w:w="1079"/>
        <w:gridCol w:w="1937"/>
        <w:gridCol w:w="1698"/>
      </w:tblGrid>
      <w:tr w:rsidR="00367D9B" w:rsidRPr="00367D9B" w14:paraId="05B97FF6" w14:textId="77777777" w:rsidTr="008D2E0C">
        <w:tc>
          <w:tcPr>
            <w:tcW w:w="0" w:type="auto"/>
            <w:hideMark/>
          </w:tcPr>
          <w:p w14:paraId="283A9D86"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w:t>
            </w:r>
          </w:p>
        </w:tc>
        <w:tc>
          <w:tcPr>
            <w:tcW w:w="0" w:type="auto"/>
            <w:hideMark/>
          </w:tcPr>
          <w:p w14:paraId="6BB9D726"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Net Sales (£m)</w:t>
            </w:r>
          </w:p>
        </w:tc>
        <w:tc>
          <w:tcPr>
            <w:tcW w:w="0" w:type="auto"/>
            <w:hideMark/>
          </w:tcPr>
          <w:p w14:paraId="537FB2DB"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Net Income (£m)</w:t>
            </w:r>
          </w:p>
        </w:tc>
        <w:tc>
          <w:tcPr>
            <w:tcW w:w="0" w:type="auto"/>
            <w:hideMark/>
          </w:tcPr>
          <w:p w14:paraId="64FD64AE"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ROE (%)</w:t>
            </w:r>
          </w:p>
        </w:tc>
        <w:tc>
          <w:tcPr>
            <w:tcW w:w="0" w:type="auto"/>
            <w:hideMark/>
          </w:tcPr>
          <w:p w14:paraId="680C6158"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Gross Margin (%)</w:t>
            </w:r>
          </w:p>
        </w:tc>
        <w:tc>
          <w:tcPr>
            <w:tcW w:w="0" w:type="auto"/>
            <w:hideMark/>
          </w:tcPr>
          <w:p w14:paraId="3DFF49A8"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Net Margin (%)</w:t>
            </w:r>
          </w:p>
        </w:tc>
      </w:tr>
      <w:tr w:rsidR="00367D9B" w:rsidRPr="00367D9B" w14:paraId="1C1610EE" w14:textId="77777777" w:rsidTr="008D2E0C">
        <w:tc>
          <w:tcPr>
            <w:tcW w:w="0" w:type="auto"/>
            <w:hideMark/>
          </w:tcPr>
          <w:p w14:paraId="386EB03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2020</w:t>
            </w:r>
          </w:p>
        </w:tc>
        <w:tc>
          <w:tcPr>
            <w:tcW w:w="0" w:type="auto"/>
            <w:hideMark/>
          </w:tcPr>
          <w:p w14:paraId="096C3D5A"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614,680</w:t>
            </w:r>
          </w:p>
        </w:tc>
        <w:tc>
          <w:tcPr>
            <w:tcW w:w="0" w:type="auto"/>
            <w:hideMark/>
          </w:tcPr>
          <w:p w14:paraId="187A5EB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38,572</w:t>
            </w:r>
          </w:p>
        </w:tc>
        <w:tc>
          <w:tcPr>
            <w:tcW w:w="0" w:type="auto"/>
            <w:hideMark/>
          </w:tcPr>
          <w:p w14:paraId="29907516"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12.3</w:t>
            </w:r>
          </w:p>
        </w:tc>
        <w:tc>
          <w:tcPr>
            <w:tcW w:w="0" w:type="auto"/>
            <w:hideMark/>
          </w:tcPr>
          <w:p w14:paraId="25E8A85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28.7</w:t>
            </w:r>
          </w:p>
        </w:tc>
        <w:tc>
          <w:tcPr>
            <w:tcW w:w="0" w:type="auto"/>
            <w:hideMark/>
          </w:tcPr>
          <w:p w14:paraId="698E8876"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6.3</w:t>
            </w:r>
          </w:p>
        </w:tc>
      </w:tr>
      <w:tr w:rsidR="00367D9B" w:rsidRPr="00367D9B" w14:paraId="4DBB265B" w14:textId="77777777" w:rsidTr="008D2E0C">
        <w:tc>
          <w:tcPr>
            <w:tcW w:w="0" w:type="auto"/>
            <w:hideMark/>
          </w:tcPr>
          <w:p w14:paraId="159429D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2021</w:t>
            </w:r>
          </w:p>
        </w:tc>
        <w:tc>
          <w:tcPr>
            <w:tcW w:w="0" w:type="auto"/>
            <w:hideMark/>
          </w:tcPr>
          <w:p w14:paraId="701508F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601,602</w:t>
            </w:r>
          </w:p>
        </w:tc>
        <w:tc>
          <w:tcPr>
            <w:tcW w:w="0" w:type="auto"/>
            <w:hideMark/>
          </w:tcPr>
          <w:p w14:paraId="72060E5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5,301</w:t>
            </w:r>
          </w:p>
        </w:tc>
        <w:tc>
          <w:tcPr>
            <w:tcW w:w="0" w:type="auto"/>
            <w:hideMark/>
          </w:tcPr>
          <w:p w14:paraId="6D60664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1.6</w:t>
            </w:r>
          </w:p>
        </w:tc>
        <w:tc>
          <w:tcPr>
            <w:tcW w:w="0" w:type="auto"/>
            <w:hideMark/>
          </w:tcPr>
          <w:p w14:paraId="2640DA29"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28.8</w:t>
            </w:r>
          </w:p>
        </w:tc>
        <w:tc>
          <w:tcPr>
            <w:tcW w:w="0" w:type="auto"/>
            <w:hideMark/>
          </w:tcPr>
          <w:p w14:paraId="20FE101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0.9</w:t>
            </w:r>
          </w:p>
        </w:tc>
      </w:tr>
      <w:tr w:rsidR="00367D9B" w:rsidRPr="00367D9B" w14:paraId="6176FB15" w14:textId="77777777" w:rsidTr="008D2E0C">
        <w:tc>
          <w:tcPr>
            <w:tcW w:w="0" w:type="auto"/>
            <w:hideMark/>
          </w:tcPr>
          <w:p w14:paraId="1FBB442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2022</w:t>
            </w:r>
          </w:p>
        </w:tc>
        <w:tc>
          <w:tcPr>
            <w:tcW w:w="0" w:type="auto"/>
            <w:hideMark/>
          </w:tcPr>
          <w:p w14:paraId="6E3276D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542,751</w:t>
            </w:r>
          </w:p>
        </w:tc>
        <w:tc>
          <w:tcPr>
            <w:tcW w:w="0" w:type="auto"/>
            <w:hideMark/>
          </w:tcPr>
          <w:p w14:paraId="2106EF4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407</w:t>
            </w:r>
          </w:p>
        </w:tc>
        <w:tc>
          <w:tcPr>
            <w:tcW w:w="0" w:type="auto"/>
            <w:hideMark/>
          </w:tcPr>
          <w:p w14:paraId="22172FEC"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0.1</w:t>
            </w:r>
          </w:p>
        </w:tc>
        <w:tc>
          <w:tcPr>
            <w:tcW w:w="0" w:type="auto"/>
            <w:hideMark/>
          </w:tcPr>
          <w:p w14:paraId="6E96272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28.1</w:t>
            </w:r>
          </w:p>
        </w:tc>
        <w:tc>
          <w:tcPr>
            <w:tcW w:w="0" w:type="auto"/>
            <w:hideMark/>
          </w:tcPr>
          <w:p w14:paraId="1168184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0.07</w:t>
            </w:r>
          </w:p>
        </w:tc>
      </w:tr>
      <w:tr w:rsidR="00367D9B" w:rsidRPr="00367D9B" w14:paraId="57E486E9" w14:textId="77777777" w:rsidTr="008D2E0C">
        <w:tc>
          <w:tcPr>
            <w:tcW w:w="0" w:type="auto"/>
            <w:hideMark/>
          </w:tcPr>
          <w:p w14:paraId="2C8B386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2023</w:t>
            </w:r>
          </w:p>
        </w:tc>
        <w:tc>
          <w:tcPr>
            <w:tcW w:w="0" w:type="auto"/>
            <w:hideMark/>
          </w:tcPr>
          <w:p w14:paraId="7400D21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420,457</w:t>
            </w:r>
          </w:p>
        </w:tc>
        <w:tc>
          <w:tcPr>
            <w:tcW w:w="0" w:type="auto"/>
            <w:hideMark/>
          </w:tcPr>
          <w:p w14:paraId="5E87A48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–98,238</w:t>
            </w:r>
          </w:p>
        </w:tc>
        <w:tc>
          <w:tcPr>
            <w:tcW w:w="0" w:type="auto"/>
            <w:hideMark/>
          </w:tcPr>
          <w:p w14:paraId="14C08F1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–54.9</w:t>
            </w:r>
          </w:p>
        </w:tc>
        <w:tc>
          <w:tcPr>
            <w:tcW w:w="0" w:type="auto"/>
            <w:hideMark/>
          </w:tcPr>
          <w:p w14:paraId="3A3D2A7C"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23.2</w:t>
            </w:r>
          </w:p>
        </w:tc>
        <w:tc>
          <w:tcPr>
            <w:tcW w:w="0" w:type="auto"/>
            <w:hideMark/>
          </w:tcPr>
          <w:p w14:paraId="5793B06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–23.4</w:t>
            </w:r>
          </w:p>
        </w:tc>
      </w:tr>
      <w:tr w:rsidR="00367D9B" w:rsidRPr="00367D9B" w14:paraId="162BD724" w14:textId="77777777" w:rsidTr="008D2E0C">
        <w:tc>
          <w:tcPr>
            <w:tcW w:w="0" w:type="auto"/>
            <w:hideMark/>
          </w:tcPr>
          <w:p w14:paraId="75188AC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2024</w:t>
            </w:r>
          </w:p>
        </w:tc>
        <w:tc>
          <w:tcPr>
            <w:tcW w:w="0" w:type="auto"/>
            <w:hideMark/>
          </w:tcPr>
          <w:p w14:paraId="499026D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394,879</w:t>
            </w:r>
          </w:p>
        </w:tc>
        <w:tc>
          <w:tcPr>
            <w:tcW w:w="0" w:type="auto"/>
            <w:hideMark/>
          </w:tcPr>
          <w:p w14:paraId="3A2E00F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–24,029</w:t>
            </w:r>
          </w:p>
        </w:tc>
        <w:tc>
          <w:tcPr>
            <w:tcW w:w="0" w:type="auto"/>
            <w:hideMark/>
          </w:tcPr>
          <w:p w14:paraId="11E79976"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–15.7</w:t>
            </w:r>
          </w:p>
        </w:tc>
        <w:tc>
          <w:tcPr>
            <w:tcW w:w="0" w:type="auto"/>
            <w:hideMark/>
          </w:tcPr>
          <w:p w14:paraId="7CF71144"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28.9</w:t>
            </w:r>
          </w:p>
        </w:tc>
        <w:tc>
          <w:tcPr>
            <w:tcW w:w="0" w:type="auto"/>
            <w:hideMark/>
          </w:tcPr>
          <w:p w14:paraId="2D5E4FE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–6.1</w:t>
            </w:r>
          </w:p>
        </w:tc>
      </w:tr>
    </w:tbl>
    <w:p w14:paraId="73E893E4" w14:textId="77777777" w:rsidR="006C3A3E" w:rsidRPr="006C3A3E" w:rsidRDefault="006C3A3E" w:rsidP="00A87699">
      <w:pPr>
        <w:spacing w:line="360" w:lineRule="auto"/>
        <w:jc w:val="both"/>
        <w:rPr>
          <w:rFonts w:ascii="Arial" w:hAnsi="Arial" w:cs="Arial"/>
          <w:sz w:val="24"/>
          <w:szCs w:val="24"/>
        </w:rPr>
      </w:pPr>
      <w:r w:rsidRPr="006C3A3E">
        <w:rPr>
          <w:rFonts w:ascii="Arial" w:hAnsi="Arial" w:cs="Arial"/>
          <w:sz w:val="24"/>
          <w:szCs w:val="24"/>
        </w:rPr>
        <w:t>The gross margins have been relatively steady with an average of 28-29 that means that GE has managed to maintain some efficiency on the cost of sales despite the decreasing revenues. Operating margins however dropped to -3.9% in 2024 whereas in 2020, it was 6.2%. The main factors that have contributed to this drop are an increase in operating expenses, impairment, and restructuring expenses (KPMG, 2023).</w:t>
      </w:r>
    </w:p>
    <w:p w14:paraId="3BA9FF1A" w14:textId="16B3A22C" w:rsidR="00367D9B" w:rsidRPr="00367D9B" w:rsidRDefault="006C3A3E" w:rsidP="00C5260C">
      <w:pPr>
        <w:spacing w:line="360" w:lineRule="auto"/>
        <w:jc w:val="both"/>
        <w:rPr>
          <w:rFonts w:ascii="Arial" w:hAnsi="Arial" w:cs="Arial"/>
          <w:sz w:val="24"/>
          <w:szCs w:val="24"/>
        </w:rPr>
      </w:pPr>
      <w:r w:rsidRPr="006C3A3E">
        <w:rPr>
          <w:rFonts w:ascii="Arial" w:hAnsi="Arial" w:cs="Arial"/>
          <w:sz w:val="24"/>
          <w:szCs w:val="24"/>
        </w:rPr>
        <w:t>Return on equity (ROE) shows that it lost shareholder value at an unprecedented rate, reducing to -15.7% in 2024 compared to 12.3% in 2020. The drastic decline in 2023 is an indication of structural inefficiency in cost control, declining market demand, and underperforming assets. The net losses increased in 2024 compared to 2023, but the overall situation is not very promising, and immediate corrective measures are needed.</w:t>
      </w:r>
    </w:p>
    <w:p w14:paraId="03AC6549"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2.2 Liquidity Analysis</w:t>
      </w:r>
    </w:p>
    <w:p w14:paraId="07B65706" w14:textId="16CD5E6C" w:rsidR="00367D9B" w:rsidRDefault="006C3A3E" w:rsidP="00C0153C">
      <w:pPr>
        <w:spacing w:line="360" w:lineRule="auto"/>
        <w:rPr>
          <w:rFonts w:ascii="Arial" w:hAnsi="Arial" w:cs="Arial"/>
          <w:sz w:val="24"/>
          <w:szCs w:val="24"/>
        </w:rPr>
      </w:pPr>
      <w:r w:rsidRPr="006C3A3E">
        <w:rPr>
          <w:rFonts w:ascii="Arial" w:hAnsi="Arial" w:cs="Arial"/>
          <w:sz w:val="24"/>
          <w:szCs w:val="24"/>
        </w:rPr>
        <w:t>The liquidity ratios will give an insight on the capacity of GE to meet the short-term obligations. The liquidity indicators of 2020-2024 will be the following:</w:t>
      </w:r>
    </w:p>
    <w:p w14:paraId="5055947D" w14:textId="3BD5010C" w:rsidR="00C5260C" w:rsidRPr="00367D9B" w:rsidRDefault="00C5260C" w:rsidP="00C0153C">
      <w:pPr>
        <w:spacing w:line="360" w:lineRule="auto"/>
        <w:rPr>
          <w:rFonts w:ascii="Arial" w:hAnsi="Arial" w:cs="Arial"/>
          <w:sz w:val="24"/>
          <w:szCs w:val="24"/>
        </w:rPr>
      </w:pPr>
      <w:r w:rsidRPr="00C5260C">
        <w:rPr>
          <w:rFonts w:ascii="Arial" w:hAnsi="Arial" w:cs="Arial"/>
          <w:b/>
          <w:bCs/>
          <w:sz w:val="24"/>
          <w:szCs w:val="24"/>
        </w:rPr>
        <w:t>Liquidity Ratio Formulas:</w:t>
      </w:r>
      <w:r w:rsidRPr="00C5260C">
        <w:rPr>
          <w:rFonts w:ascii="Arial" w:hAnsi="Arial" w:cs="Arial"/>
          <w:sz w:val="24"/>
          <w:szCs w:val="24"/>
        </w:rPr>
        <w:br/>
        <w:t>Current Ratio = Current Assets / Current Liabilities</w:t>
      </w:r>
      <w:r w:rsidRPr="00C5260C">
        <w:rPr>
          <w:rFonts w:ascii="Arial" w:hAnsi="Arial" w:cs="Arial"/>
          <w:sz w:val="24"/>
          <w:szCs w:val="24"/>
        </w:rPr>
        <w:br/>
        <w:t>Quick Ratio = (Current Assets – Inventory) / Current Liabilities</w:t>
      </w:r>
      <w:r w:rsidRPr="00C5260C">
        <w:rPr>
          <w:rFonts w:ascii="Arial" w:hAnsi="Arial" w:cs="Arial"/>
          <w:sz w:val="24"/>
          <w:szCs w:val="24"/>
        </w:rPr>
        <w:br/>
        <w:t>Cash Ratio = Cash and Cash Equivalents / Current Liabilities</w:t>
      </w:r>
    </w:p>
    <w:tbl>
      <w:tblPr>
        <w:tblStyle w:val="TableGrid"/>
        <w:tblW w:w="0" w:type="auto"/>
        <w:tblLook w:val="04A0" w:firstRow="1" w:lastRow="0" w:firstColumn="1" w:lastColumn="0" w:noHBand="0" w:noVBand="1"/>
      </w:tblPr>
      <w:tblGrid>
        <w:gridCol w:w="750"/>
        <w:gridCol w:w="1750"/>
        <w:gridCol w:w="1550"/>
        <w:gridCol w:w="1470"/>
      </w:tblGrid>
      <w:tr w:rsidR="00367D9B" w:rsidRPr="00367D9B" w14:paraId="0EAEF78E" w14:textId="77777777" w:rsidTr="008D2E0C">
        <w:tc>
          <w:tcPr>
            <w:tcW w:w="0" w:type="auto"/>
            <w:hideMark/>
          </w:tcPr>
          <w:p w14:paraId="793528D0"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lastRenderedPageBreak/>
              <w:t>Year</w:t>
            </w:r>
          </w:p>
        </w:tc>
        <w:tc>
          <w:tcPr>
            <w:tcW w:w="0" w:type="auto"/>
            <w:hideMark/>
          </w:tcPr>
          <w:p w14:paraId="076BB724"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Current Ratio</w:t>
            </w:r>
          </w:p>
        </w:tc>
        <w:tc>
          <w:tcPr>
            <w:tcW w:w="0" w:type="auto"/>
            <w:hideMark/>
          </w:tcPr>
          <w:p w14:paraId="4A5D920E"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Quick Ratio</w:t>
            </w:r>
          </w:p>
        </w:tc>
        <w:tc>
          <w:tcPr>
            <w:tcW w:w="0" w:type="auto"/>
            <w:hideMark/>
          </w:tcPr>
          <w:p w14:paraId="02B902D9"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Cash Ratio</w:t>
            </w:r>
          </w:p>
        </w:tc>
      </w:tr>
      <w:tr w:rsidR="00367D9B" w:rsidRPr="00367D9B" w14:paraId="7070D157" w14:textId="77777777" w:rsidTr="008D2E0C">
        <w:tc>
          <w:tcPr>
            <w:tcW w:w="0" w:type="auto"/>
            <w:hideMark/>
          </w:tcPr>
          <w:p w14:paraId="695BC95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2020</w:t>
            </w:r>
          </w:p>
        </w:tc>
        <w:tc>
          <w:tcPr>
            <w:tcW w:w="0" w:type="auto"/>
            <w:hideMark/>
          </w:tcPr>
          <w:p w14:paraId="01472B4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1.82</w:t>
            </w:r>
          </w:p>
        </w:tc>
        <w:tc>
          <w:tcPr>
            <w:tcW w:w="0" w:type="auto"/>
            <w:hideMark/>
          </w:tcPr>
          <w:p w14:paraId="225315A3"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1.15</w:t>
            </w:r>
          </w:p>
        </w:tc>
        <w:tc>
          <w:tcPr>
            <w:tcW w:w="0" w:type="auto"/>
            <w:hideMark/>
          </w:tcPr>
          <w:p w14:paraId="6871CA7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0.32</w:t>
            </w:r>
          </w:p>
        </w:tc>
      </w:tr>
      <w:tr w:rsidR="00367D9B" w:rsidRPr="00367D9B" w14:paraId="2CF9BED5" w14:textId="77777777" w:rsidTr="008D2E0C">
        <w:tc>
          <w:tcPr>
            <w:tcW w:w="0" w:type="auto"/>
            <w:hideMark/>
          </w:tcPr>
          <w:p w14:paraId="331BEF3E"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2021</w:t>
            </w:r>
          </w:p>
        </w:tc>
        <w:tc>
          <w:tcPr>
            <w:tcW w:w="0" w:type="auto"/>
            <w:hideMark/>
          </w:tcPr>
          <w:p w14:paraId="51B5E21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1.56</w:t>
            </w:r>
          </w:p>
        </w:tc>
        <w:tc>
          <w:tcPr>
            <w:tcW w:w="0" w:type="auto"/>
            <w:hideMark/>
          </w:tcPr>
          <w:p w14:paraId="49AF212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0.94</w:t>
            </w:r>
          </w:p>
        </w:tc>
        <w:tc>
          <w:tcPr>
            <w:tcW w:w="0" w:type="auto"/>
            <w:hideMark/>
          </w:tcPr>
          <w:p w14:paraId="5E98F4F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0.18</w:t>
            </w:r>
          </w:p>
        </w:tc>
      </w:tr>
      <w:tr w:rsidR="00367D9B" w:rsidRPr="00367D9B" w14:paraId="1577DF55" w14:textId="77777777" w:rsidTr="008D2E0C">
        <w:tc>
          <w:tcPr>
            <w:tcW w:w="0" w:type="auto"/>
            <w:hideMark/>
          </w:tcPr>
          <w:p w14:paraId="041ABFD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2022</w:t>
            </w:r>
          </w:p>
        </w:tc>
        <w:tc>
          <w:tcPr>
            <w:tcW w:w="0" w:type="auto"/>
            <w:hideMark/>
          </w:tcPr>
          <w:p w14:paraId="113E08A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1.56</w:t>
            </w:r>
          </w:p>
        </w:tc>
        <w:tc>
          <w:tcPr>
            <w:tcW w:w="0" w:type="auto"/>
            <w:hideMark/>
          </w:tcPr>
          <w:p w14:paraId="13DF9477"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0.91</w:t>
            </w:r>
          </w:p>
        </w:tc>
        <w:tc>
          <w:tcPr>
            <w:tcW w:w="0" w:type="auto"/>
            <w:hideMark/>
          </w:tcPr>
          <w:p w14:paraId="034F54E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0.20</w:t>
            </w:r>
          </w:p>
        </w:tc>
      </w:tr>
      <w:tr w:rsidR="00367D9B" w:rsidRPr="00367D9B" w14:paraId="5F4A74F3" w14:textId="77777777" w:rsidTr="008D2E0C">
        <w:tc>
          <w:tcPr>
            <w:tcW w:w="0" w:type="auto"/>
            <w:hideMark/>
          </w:tcPr>
          <w:p w14:paraId="32BF7E13"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2023</w:t>
            </w:r>
          </w:p>
        </w:tc>
        <w:tc>
          <w:tcPr>
            <w:tcW w:w="0" w:type="auto"/>
            <w:hideMark/>
          </w:tcPr>
          <w:p w14:paraId="7754603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1.61</w:t>
            </w:r>
          </w:p>
        </w:tc>
        <w:tc>
          <w:tcPr>
            <w:tcW w:w="0" w:type="auto"/>
            <w:hideMark/>
          </w:tcPr>
          <w:p w14:paraId="7AFCECFB"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0.91</w:t>
            </w:r>
          </w:p>
        </w:tc>
        <w:tc>
          <w:tcPr>
            <w:tcW w:w="0" w:type="auto"/>
            <w:hideMark/>
          </w:tcPr>
          <w:p w14:paraId="541C5DE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0.26</w:t>
            </w:r>
          </w:p>
        </w:tc>
      </w:tr>
      <w:tr w:rsidR="00367D9B" w:rsidRPr="00367D9B" w14:paraId="60EA7F16" w14:textId="77777777" w:rsidTr="008D2E0C">
        <w:tc>
          <w:tcPr>
            <w:tcW w:w="0" w:type="auto"/>
            <w:hideMark/>
          </w:tcPr>
          <w:p w14:paraId="467583EA"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2024</w:t>
            </w:r>
          </w:p>
        </w:tc>
        <w:tc>
          <w:tcPr>
            <w:tcW w:w="0" w:type="auto"/>
            <w:hideMark/>
          </w:tcPr>
          <w:p w14:paraId="2552889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1.53</w:t>
            </w:r>
          </w:p>
        </w:tc>
        <w:tc>
          <w:tcPr>
            <w:tcW w:w="0" w:type="auto"/>
            <w:hideMark/>
          </w:tcPr>
          <w:p w14:paraId="6A4EE7D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0.84</w:t>
            </w:r>
          </w:p>
        </w:tc>
        <w:tc>
          <w:tcPr>
            <w:tcW w:w="0" w:type="auto"/>
            <w:hideMark/>
          </w:tcPr>
          <w:p w14:paraId="7021EF69"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0.17</w:t>
            </w:r>
          </w:p>
        </w:tc>
      </w:tr>
    </w:tbl>
    <w:p w14:paraId="5090CC38" w14:textId="0823EE39" w:rsidR="00367D9B" w:rsidRPr="00367D9B" w:rsidRDefault="006C3A3E" w:rsidP="00A87699">
      <w:pPr>
        <w:spacing w:line="360" w:lineRule="auto"/>
        <w:jc w:val="both"/>
        <w:rPr>
          <w:rFonts w:ascii="Arial" w:hAnsi="Arial" w:cs="Arial"/>
          <w:sz w:val="24"/>
          <w:szCs w:val="24"/>
        </w:rPr>
      </w:pPr>
      <w:r w:rsidRPr="006C3A3E">
        <w:rPr>
          <w:rFonts w:ascii="Arial" w:hAnsi="Arial" w:cs="Arial"/>
          <w:sz w:val="24"/>
          <w:szCs w:val="24"/>
        </w:rPr>
        <w:t>The current ratio dropped to 1.53 in 2024 compared to 1.82 in 2020, which means that it has a weak buffer against short-term obligations (Investopedia, 2024). The quick ratio falls to 0.84 in 2024 which is an indication that it has been relying more on inventories to pay off obligations. Cash holdings have also decreased to PS27 billion as compared to PS57 billion due to liquidity constraints although operating cash flows are favorable. Profitability and cash flow divergence highlights the importance of the working capital management (Brigham and Ehrhardt, 2022).</w:t>
      </w:r>
    </w:p>
    <w:p w14:paraId="5DF7681E" w14:textId="77777777" w:rsidR="00367D9B" w:rsidRDefault="00367D9B" w:rsidP="00C0153C">
      <w:pPr>
        <w:spacing w:line="360" w:lineRule="auto"/>
        <w:rPr>
          <w:rFonts w:ascii="Arial" w:hAnsi="Arial" w:cs="Arial"/>
          <w:b/>
          <w:bCs/>
          <w:sz w:val="24"/>
          <w:szCs w:val="24"/>
        </w:rPr>
      </w:pPr>
      <w:r w:rsidRPr="00367D9B">
        <w:rPr>
          <w:rFonts w:ascii="Arial" w:hAnsi="Arial" w:cs="Arial"/>
          <w:b/>
          <w:bCs/>
          <w:sz w:val="24"/>
          <w:szCs w:val="24"/>
        </w:rPr>
        <w:t>2.3 Efficiency Analysis</w:t>
      </w:r>
    </w:p>
    <w:p w14:paraId="1F2BC2ED" w14:textId="2DD31ED4" w:rsidR="00C5260C" w:rsidRPr="00367D9B" w:rsidRDefault="00C5260C" w:rsidP="00C0153C">
      <w:pPr>
        <w:spacing w:line="360" w:lineRule="auto"/>
        <w:rPr>
          <w:rFonts w:ascii="Arial" w:hAnsi="Arial" w:cs="Arial"/>
          <w:b/>
          <w:bCs/>
          <w:sz w:val="24"/>
          <w:szCs w:val="24"/>
        </w:rPr>
      </w:pPr>
      <w:r w:rsidRPr="00C5260C">
        <w:rPr>
          <w:rFonts w:ascii="Arial" w:hAnsi="Arial" w:cs="Arial"/>
          <w:b/>
          <w:bCs/>
          <w:sz w:val="24"/>
          <w:szCs w:val="24"/>
        </w:rPr>
        <w:t>Efficiency Ratio Formulas:</w:t>
      </w:r>
      <w:r w:rsidRPr="00C5260C">
        <w:rPr>
          <w:rFonts w:ascii="Arial" w:hAnsi="Arial" w:cs="Arial"/>
          <w:b/>
          <w:bCs/>
          <w:sz w:val="24"/>
          <w:szCs w:val="24"/>
        </w:rPr>
        <w:br/>
      </w:r>
      <w:r w:rsidRPr="00C5260C">
        <w:rPr>
          <w:rFonts w:ascii="Arial" w:hAnsi="Arial" w:cs="Arial"/>
          <w:sz w:val="24"/>
          <w:szCs w:val="24"/>
        </w:rPr>
        <w:t>Inventory Turnover = Cost of Goods Sold / Average Inventory</w:t>
      </w:r>
      <w:r w:rsidRPr="00C5260C">
        <w:rPr>
          <w:rFonts w:ascii="Arial" w:hAnsi="Arial" w:cs="Arial"/>
          <w:sz w:val="24"/>
          <w:szCs w:val="24"/>
        </w:rPr>
        <w:br/>
        <w:t>Receivable Days = (Trade Receivables / Net Credit Sales) × 365</w:t>
      </w:r>
      <w:r w:rsidRPr="00C5260C">
        <w:rPr>
          <w:rFonts w:ascii="Arial" w:hAnsi="Arial" w:cs="Arial"/>
          <w:sz w:val="24"/>
          <w:szCs w:val="24"/>
        </w:rPr>
        <w:br/>
        <w:t>Payable Days = (Trade Payables / Cost of Sales) × 365</w:t>
      </w:r>
      <w:r w:rsidRPr="00C5260C">
        <w:rPr>
          <w:rFonts w:ascii="Arial" w:hAnsi="Arial" w:cs="Arial"/>
          <w:sz w:val="24"/>
          <w:szCs w:val="24"/>
        </w:rPr>
        <w:br/>
        <w:t>Working Capital Days (Cash Conversion Cycle) = Receivable Days + Inventory Days – Payable Days</w:t>
      </w:r>
    </w:p>
    <w:p w14:paraId="776236B0" w14:textId="40B35E2A" w:rsidR="00367D9B" w:rsidRPr="00367D9B" w:rsidRDefault="006C3A3E" w:rsidP="00C0153C">
      <w:pPr>
        <w:spacing w:line="360" w:lineRule="auto"/>
        <w:rPr>
          <w:rFonts w:ascii="Arial" w:hAnsi="Arial" w:cs="Arial"/>
          <w:sz w:val="24"/>
          <w:szCs w:val="24"/>
        </w:rPr>
      </w:pPr>
      <w:r w:rsidRPr="006C3A3E">
        <w:rPr>
          <w:rFonts w:ascii="Arial" w:hAnsi="Arial" w:cs="Arial"/>
          <w:sz w:val="24"/>
          <w:szCs w:val="24"/>
        </w:rPr>
        <w:t>Operational efficiency is the capacity of the company to convert assets into revenue and cash. The important efficiency ratios of GE within the five years period are:</w:t>
      </w:r>
    </w:p>
    <w:tbl>
      <w:tblPr>
        <w:tblStyle w:val="TableGrid"/>
        <w:tblW w:w="0" w:type="auto"/>
        <w:tblLook w:val="04A0" w:firstRow="1" w:lastRow="0" w:firstColumn="1" w:lastColumn="0" w:noHBand="0" w:noVBand="1"/>
      </w:tblPr>
      <w:tblGrid>
        <w:gridCol w:w="751"/>
        <w:gridCol w:w="2206"/>
        <w:gridCol w:w="1996"/>
        <w:gridCol w:w="1649"/>
        <w:gridCol w:w="2414"/>
      </w:tblGrid>
      <w:tr w:rsidR="00367D9B" w:rsidRPr="00367D9B" w14:paraId="12966F34" w14:textId="77777777" w:rsidTr="008D2E0C">
        <w:tc>
          <w:tcPr>
            <w:tcW w:w="0" w:type="auto"/>
            <w:hideMark/>
          </w:tcPr>
          <w:p w14:paraId="0DD8FE71"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w:t>
            </w:r>
          </w:p>
        </w:tc>
        <w:tc>
          <w:tcPr>
            <w:tcW w:w="0" w:type="auto"/>
            <w:hideMark/>
          </w:tcPr>
          <w:p w14:paraId="58A5FC4E"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Inventory Turnover</w:t>
            </w:r>
          </w:p>
        </w:tc>
        <w:tc>
          <w:tcPr>
            <w:tcW w:w="0" w:type="auto"/>
            <w:hideMark/>
          </w:tcPr>
          <w:p w14:paraId="72CD3292"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Receivable Days</w:t>
            </w:r>
          </w:p>
        </w:tc>
        <w:tc>
          <w:tcPr>
            <w:tcW w:w="0" w:type="auto"/>
            <w:hideMark/>
          </w:tcPr>
          <w:p w14:paraId="4519FD01"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Payable Days</w:t>
            </w:r>
          </w:p>
        </w:tc>
        <w:tc>
          <w:tcPr>
            <w:tcW w:w="0" w:type="auto"/>
            <w:hideMark/>
          </w:tcPr>
          <w:p w14:paraId="110BF3D8"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Working Capital Days</w:t>
            </w:r>
          </w:p>
        </w:tc>
      </w:tr>
      <w:tr w:rsidR="00367D9B" w:rsidRPr="00367D9B" w14:paraId="6BD9AFA4" w14:textId="77777777" w:rsidTr="008D2E0C">
        <w:tc>
          <w:tcPr>
            <w:tcW w:w="0" w:type="auto"/>
            <w:hideMark/>
          </w:tcPr>
          <w:p w14:paraId="3034C72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2020</w:t>
            </w:r>
          </w:p>
        </w:tc>
        <w:tc>
          <w:tcPr>
            <w:tcW w:w="0" w:type="auto"/>
            <w:hideMark/>
          </w:tcPr>
          <w:p w14:paraId="73C9E66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3.64</w:t>
            </w:r>
          </w:p>
        </w:tc>
        <w:tc>
          <w:tcPr>
            <w:tcW w:w="0" w:type="auto"/>
            <w:hideMark/>
          </w:tcPr>
          <w:p w14:paraId="2399148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77</w:t>
            </w:r>
          </w:p>
        </w:tc>
        <w:tc>
          <w:tcPr>
            <w:tcW w:w="0" w:type="auto"/>
            <w:hideMark/>
          </w:tcPr>
          <w:p w14:paraId="42B626E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48</w:t>
            </w:r>
          </w:p>
        </w:tc>
        <w:tc>
          <w:tcPr>
            <w:tcW w:w="0" w:type="auto"/>
            <w:hideMark/>
          </w:tcPr>
          <w:p w14:paraId="6100842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+29</w:t>
            </w:r>
          </w:p>
        </w:tc>
      </w:tr>
      <w:tr w:rsidR="00367D9B" w:rsidRPr="00367D9B" w14:paraId="4963651B" w14:textId="77777777" w:rsidTr="008D2E0C">
        <w:tc>
          <w:tcPr>
            <w:tcW w:w="0" w:type="auto"/>
            <w:hideMark/>
          </w:tcPr>
          <w:p w14:paraId="193415A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2021</w:t>
            </w:r>
          </w:p>
        </w:tc>
        <w:tc>
          <w:tcPr>
            <w:tcW w:w="0" w:type="auto"/>
            <w:hideMark/>
          </w:tcPr>
          <w:p w14:paraId="7E2E5617"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3.19</w:t>
            </w:r>
          </w:p>
        </w:tc>
        <w:tc>
          <w:tcPr>
            <w:tcW w:w="0" w:type="auto"/>
            <w:hideMark/>
          </w:tcPr>
          <w:p w14:paraId="52A9AEA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78</w:t>
            </w:r>
          </w:p>
        </w:tc>
        <w:tc>
          <w:tcPr>
            <w:tcW w:w="0" w:type="auto"/>
            <w:hideMark/>
          </w:tcPr>
          <w:p w14:paraId="529F530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56</w:t>
            </w:r>
          </w:p>
        </w:tc>
        <w:tc>
          <w:tcPr>
            <w:tcW w:w="0" w:type="auto"/>
            <w:hideMark/>
          </w:tcPr>
          <w:p w14:paraId="454028A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+22</w:t>
            </w:r>
          </w:p>
        </w:tc>
      </w:tr>
      <w:tr w:rsidR="00367D9B" w:rsidRPr="00367D9B" w14:paraId="54764636" w14:textId="77777777" w:rsidTr="008D2E0C">
        <w:tc>
          <w:tcPr>
            <w:tcW w:w="0" w:type="auto"/>
            <w:hideMark/>
          </w:tcPr>
          <w:p w14:paraId="052A94A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2022</w:t>
            </w:r>
          </w:p>
        </w:tc>
        <w:tc>
          <w:tcPr>
            <w:tcW w:w="0" w:type="auto"/>
            <w:hideMark/>
          </w:tcPr>
          <w:p w14:paraId="4D94937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2.79</w:t>
            </w:r>
          </w:p>
        </w:tc>
        <w:tc>
          <w:tcPr>
            <w:tcW w:w="0" w:type="auto"/>
            <w:hideMark/>
          </w:tcPr>
          <w:p w14:paraId="57EA3829"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75</w:t>
            </w:r>
          </w:p>
        </w:tc>
        <w:tc>
          <w:tcPr>
            <w:tcW w:w="0" w:type="auto"/>
            <w:hideMark/>
          </w:tcPr>
          <w:p w14:paraId="4F79675E"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65</w:t>
            </w:r>
          </w:p>
        </w:tc>
        <w:tc>
          <w:tcPr>
            <w:tcW w:w="0" w:type="auto"/>
            <w:hideMark/>
          </w:tcPr>
          <w:p w14:paraId="7F7F5F4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+10</w:t>
            </w:r>
          </w:p>
        </w:tc>
      </w:tr>
      <w:tr w:rsidR="00367D9B" w:rsidRPr="00367D9B" w14:paraId="1EDA7AAF" w14:textId="77777777" w:rsidTr="008D2E0C">
        <w:tc>
          <w:tcPr>
            <w:tcW w:w="0" w:type="auto"/>
            <w:hideMark/>
          </w:tcPr>
          <w:p w14:paraId="58705A5C"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lastRenderedPageBreak/>
              <w:t>2023</w:t>
            </w:r>
          </w:p>
        </w:tc>
        <w:tc>
          <w:tcPr>
            <w:tcW w:w="0" w:type="auto"/>
            <w:hideMark/>
          </w:tcPr>
          <w:p w14:paraId="694765F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3.65</w:t>
            </w:r>
          </w:p>
        </w:tc>
        <w:tc>
          <w:tcPr>
            <w:tcW w:w="0" w:type="auto"/>
            <w:hideMark/>
          </w:tcPr>
          <w:p w14:paraId="731FC02B"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98</w:t>
            </w:r>
          </w:p>
        </w:tc>
        <w:tc>
          <w:tcPr>
            <w:tcW w:w="0" w:type="auto"/>
            <w:hideMark/>
          </w:tcPr>
          <w:p w14:paraId="241C3319"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61</w:t>
            </w:r>
          </w:p>
        </w:tc>
        <w:tc>
          <w:tcPr>
            <w:tcW w:w="0" w:type="auto"/>
            <w:hideMark/>
          </w:tcPr>
          <w:p w14:paraId="68E11B2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+37</w:t>
            </w:r>
          </w:p>
        </w:tc>
      </w:tr>
      <w:tr w:rsidR="00367D9B" w:rsidRPr="00367D9B" w14:paraId="6B5664AF" w14:textId="77777777" w:rsidTr="008D2E0C">
        <w:tc>
          <w:tcPr>
            <w:tcW w:w="0" w:type="auto"/>
            <w:hideMark/>
          </w:tcPr>
          <w:p w14:paraId="3EA1602B"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2024</w:t>
            </w:r>
          </w:p>
        </w:tc>
        <w:tc>
          <w:tcPr>
            <w:tcW w:w="0" w:type="auto"/>
            <w:hideMark/>
          </w:tcPr>
          <w:p w14:paraId="4FF32E3B"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3.54</w:t>
            </w:r>
          </w:p>
        </w:tc>
        <w:tc>
          <w:tcPr>
            <w:tcW w:w="0" w:type="auto"/>
            <w:hideMark/>
          </w:tcPr>
          <w:p w14:paraId="3F417AC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105</w:t>
            </w:r>
          </w:p>
        </w:tc>
        <w:tc>
          <w:tcPr>
            <w:tcW w:w="0" w:type="auto"/>
            <w:hideMark/>
          </w:tcPr>
          <w:p w14:paraId="4E0F187A"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67</w:t>
            </w:r>
          </w:p>
        </w:tc>
        <w:tc>
          <w:tcPr>
            <w:tcW w:w="0" w:type="auto"/>
            <w:hideMark/>
          </w:tcPr>
          <w:p w14:paraId="342ADC69"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+38</w:t>
            </w:r>
          </w:p>
        </w:tc>
      </w:tr>
    </w:tbl>
    <w:p w14:paraId="742FEC8E" w14:textId="7AF156A0" w:rsidR="00367D9B" w:rsidRPr="00367D9B" w:rsidRDefault="006C3A3E" w:rsidP="00A87699">
      <w:pPr>
        <w:spacing w:line="360" w:lineRule="auto"/>
        <w:jc w:val="both"/>
        <w:rPr>
          <w:rFonts w:ascii="Arial" w:hAnsi="Arial" w:cs="Arial"/>
          <w:sz w:val="24"/>
          <w:szCs w:val="24"/>
        </w:rPr>
      </w:pPr>
      <w:r w:rsidRPr="006C3A3E">
        <w:rPr>
          <w:rFonts w:ascii="Arial" w:hAnsi="Arial" w:cs="Arial"/>
          <w:sz w:val="24"/>
          <w:szCs w:val="24"/>
        </w:rPr>
        <w:t>The collection of receivables has worsened into 105 days in 2024, which is poor credit management. The inventory turnover is 3.54x, which is lower than the industry turnover, indicating ineffective management of the inventory and would have an overstock of slow-moving products. Cash conversion cycle (days working capital) increased to 38 days, which put strain on liquidity and capped capital in operating assets.</w:t>
      </w:r>
    </w:p>
    <w:p w14:paraId="6D93062F" w14:textId="77777777" w:rsidR="00367D9B" w:rsidRDefault="00367D9B" w:rsidP="00C0153C">
      <w:pPr>
        <w:spacing w:line="360" w:lineRule="auto"/>
        <w:rPr>
          <w:rFonts w:ascii="Arial" w:hAnsi="Arial" w:cs="Arial"/>
          <w:b/>
          <w:bCs/>
          <w:sz w:val="24"/>
          <w:szCs w:val="24"/>
        </w:rPr>
      </w:pPr>
      <w:r w:rsidRPr="00367D9B">
        <w:rPr>
          <w:rFonts w:ascii="Arial" w:hAnsi="Arial" w:cs="Arial"/>
          <w:b/>
          <w:bCs/>
          <w:sz w:val="24"/>
          <w:szCs w:val="24"/>
        </w:rPr>
        <w:t>2.4 Gearing and Capital Structure</w:t>
      </w:r>
    </w:p>
    <w:p w14:paraId="3E10B4F7" w14:textId="29A2C523" w:rsidR="00C5260C" w:rsidRPr="00367D9B" w:rsidRDefault="00C5260C" w:rsidP="00C0153C">
      <w:pPr>
        <w:spacing w:line="360" w:lineRule="auto"/>
        <w:rPr>
          <w:rFonts w:ascii="Arial" w:hAnsi="Arial" w:cs="Arial"/>
          <w:b/>
          <w:bCs/>
          <w:sz w:val="24"/>
          <w:szCs w:val="24"/>
        </w:rPr>
      </w:pPr>
      <w:r w:rsidRPr="00C5260C">
        <w:rPr>
          <w:rFonts w:ascii="Arial" w:hAnsi="Arial" w:cs="Arial"/>
          <w:b/>
          <w:bCs/>
          <w:sz w:val="24"/>
          <w:szCs w:val="24"/>
        </w:rPr>
        <w:t>Gearing Ratio Formulas:</w:t>
      </w:r>
      <w:r w:rsidRPr="00C5260C">
        <w:rPr>
          <w:rFonts w:ascii="Arial" w:hAnsi="Arial" w:cs="Arial"/>
          <w:b/>
          <w:bCs/>
          <w:sz w:val="24"/>
          <w:szCs w:val="24"/>
        </w:rPr>
        <w:br/>
      </w:r>
      <w:r w:rsidRPr="00C5260C">
        <w:rPr>
          <w:rFonts w:ascii="Arial" w:hAnsi="Arial" w:cs="Arial"/>
          <w:sz w:val="24"/>
          <w:szCs w:val="24"/>
        </w:rPr>
        <w:t>Debt-to-Equity Ratio = Total Debt / Total Equity</w:t>
      </w:r>
      <w:r w:rsidRPr="00C5260C">
        <w:rPr>
          <w:rFonts w:ascii="Arial" w:hAnsi="Arial" w:cs="Arial"/>
          <w:sz w:val="24"/>
          <w:szCs w:val="24"/>
        </w:rPr>
        <w:br/>
        <w:t>Debt Ratio = Total Debt / Total Assets</w:t>
      </w:r>
      <w:r w:rsidRPr="00C5260C">
        <w:rPr>
          <w:rFonts w:ascii="Arial" w:hAnsi="Arial" w:cs="Arial"/>
          <w:sz w:val="24"/>
          <w:szCs w:val="24"/>
        </w:rPr>
        <w:br/>
        <w:t>Interest Coverage Ratio = EBIT / Interest Expense</w:t>
      </w:r>
    </w:p>
    <w:p w14:paraId="3C6129FE" w14:textId="64BD8330" w:rsidR="00367D9B" w:rsidRPr="00367D9B" w:rsidRDefault="006C3A3E" w:rsidP="00C0153C">
      <w:pPr>
        <w:spacing w:line="360" w:lineRule="auto"/>
        <w:rPr>
          <w:rFonts w:ascii="Arial" w:hAnsi="Arial" w:cs="Arial"/>
          <w:sz w:val="24"/>
          <w:szCs w:val="24"/>
        </w:rPr>
      </w:pPr>
      <w:r w:rsidRPr="006C3A3E">
        <w:rPr>
          <w:rFonts w:ascii="Arial" w:hAnsi="Arial" w:cs="Arial"/>
          <w:sz w:val="24"/>
          <w:szCs w:val="24"/>
        </w:rPr>
        <w:t>The capital structure of GE has been highly leveraged which has escalated financial risk. The key indicators are:</w:t>
      </w:r>
    </w:p>
    <w:tbl>
      <w:tblPr>
        <w:tblStyle w:val="TableGrid"/>
        <w:tblW w:w="0" w:type="auto"/>
        <w:tblLook w:val="04A0" w:firstRow="1" w:lastRow="0" w:firstColumn="1" w:lastColumn="0" w:noHBand="0" w:noVBand="1"/>
      </w:tblPr>
      <w:tblGrid>
        <w:gridCol w:w="750"/>
        <w:gridCol w:w="1870"/>
        <w:gridCol w:w="1416"/>
        <w:gridCol w:w="2244"/>
      </w:tblGrid>
      <w:tr w:rsidR="00367D9B" w:rsidRPr="00367D9B" w14:paraId="506079F9" w14:textId="77777777" w:rsidTr="008D2E0C">
        <w:tc>
          <w:tcPr>
            <w:tcW w:w="0" w:type="auto"/>
            <w:hideMark/>
          </w:tcPr>
          <w:p w14:paraId="7694C4EB"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w:t>
            </w:r>
          </w:p>
        </w:tc>
        <w:tc>
          <w:tcPr>
            <w:tcW w:w="0" w:type="auto"/>
            <w:hideMark/>
          </w:tcPr>
          <w:p w14:paraId="44536ECC"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Debt-to-Equity</w:t>
            </w:r>
          </w:p>
        </w:tc>
        <w:tc>
          <w:tcPr>
            <w:tcW w:w="0" w:type="auto"/>
            <w:hideMark/>
          </w:tcPr>
          <w:p w14:paraId="4FCE52AA"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Debt Ratio</w:t>
            </w:r>
          </w:p>
        </w:tc>
        <w:tc>
          <w:tcPr>
            <w:tcW w:w="0" w:type="auto"/>
            <w:hideMark/>
          </w:tcPr>
          <w:p w14:paraId="39461355"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Interest Coverage</w:t>
            </w:r>
          </w:p>
        </w:tc>
      </w:tr>
      <w:tr w:rsidR="00367D9B" w:rsidRPr="00367D9B" w14:paraId="2A1A6707" w14:textId="77777777" w:rsidTr="008D2E0C">
        <w:tc>
          <w:tcPr>
            <w:tcW w:w="0" w:type="auto"/>
            <w:hideMark/>
          </w:tcPr>
          <w:p w14:paraId="203413FC"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2020</w:t>
            </w:r>
          </w:p>
        </w:tc>
        <w:tc>
          <w:tcPr>
            <w:tcW w:w="0" w:type="auto"/>
            <w:hideMark/>
          </w:tcPr>
          <w:p w14:paraId="08EF6BD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0.63</w:t>
            </w:r>
          </w:p>
        </w:tc>
        <w:tc>
          <w:tcPr>
            <w:tcW w:w="0" w:type="auto"/>
            <w:hideMark/>
          </w:tcPr>
          <w:p w14:paraId="6407C60E"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0.39</w:t>
            </w:r>
          </w:p>
        </w:tc>
        <w:tc>
          <w:tcPr>
            <w:tcW w:w="0" w:type="auto"/>
            <w:hideMark/>
          </w:tcPr>
          <w:p w14:paraId="1945E97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26.2</w:t>
            </w:r>
          </w:p>
        </w:tc>
      </w:tr>
      <w:tr w:rsidR="00367D9B" w:rsidRPr="00367D9B" w14:paraId="70C520FF" w14:textId="77777777" w:rsidTr="008D2E0C">
        <w:tc>
          <w:tcPr>
            <w:tcW w:w="0" w:type="auto"/>
            <w:hideMark/>
          </w:tcPr>
          <w:p w14:paraId="51EF477E"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2021</w:t>
            </w:r>
          </w:p>
        </w:tc>
        <w:tc>
          <w:tcPr>
            <w:tcW w:w="0" w:type="auto"/>
            <w:hideMark/>
          </w:tcPr>
          <w:p w14:paraId="63967F5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0.71</w:t>
            </w:r>
          </w:p>
        </w:tc>
        <w:tc>
          <w:tcPr>
            <w:tcW w:w="0" w:type="auto"/>
            <w:hideMark/>
          </w:tcPr>
          <w:p w14:paraId="1FA0334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0.46</w:t>
            </w:r>
          </w:p>
        </w:tc>
        <w:tc>
          <w:tcPr>
            <w:tcW w:w="0" w:type="auto"/>
            <w:hideMark/>
          </w:tcPr>
          <w:p w14:paraId="5FDB07B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12.1</w:t>
            </w:r>
          </w:p>
        </w:tc>
      </w:tr>
      <w:tr w:rsidR="00367D9B" w:rsidRPr="00367D9B" w14:paraId="2C44732E" w14:textId="77777777" w:rsidTr="008D2E0C">
        <w:tc>
          <w:tcPr>
            <w:tcW w:w="0" w:type="auto"/>
            <w:hideMark/>
          </w:tcPr>
          <w:p w14:paraId="558FC514"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2022</w:t>
            </w:r>
          </w:p>
        </w:tc>
        <w:tc>
          <w:tcPr>
            <w:tcW w:w="0" w:type="auto"/>
            <w:hideMark/>
          </w:tcPr>
          <w:p w14:paraId="0788869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0.88</w:t>
            </w:r>
          </w:p>
        </w:tc>
        <w:tc>
          <w:tcPr>
            <w:tcW w:w="0" w:type="auto"/>
            <w:hideMark/>
          </w:tcPr>
          <w:p w14:paraId="1B9FAE57"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0.47</w:t>
            </w:r>
          </w:p>
        </w:tc>
        <w:tc>
          <w:tcPr>
            <w:tcW w:w="0" w:type="auto"/>
            <w:hideMark/>
          </w:tcPr>
          <w:p w14:paraId="57EFF986"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6.6</w:t>
            </w:r>
          </w:p>
        </w:tc>
      </w:tr>
      <w:tr w:rsidR="00367D9B" w:rsidRPr="00367D9B" w14:paraId="16A74274" w14:textId="77777777" w:rsidTr="008D2E0C">
        <w:tc>
          <w:tcPr>
            <w:tcW w:w="0" w:type="auto"/>
            <w:hideMark/>
          </w:tcPr>
          <w:p w14:paraId="59037BF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2023</w:t>
            </w:r>
          </w:p>
        </w:tc>
        <w:tc>
          <w:tcPr>
            <w:tcW w:w="0" w:type="auto"/>
            <w:hideMark/>
          </w:tcPr>
          <w:p w14:paraId="75B7547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0.99</w:t>
            </w:r>
          </w:p>
        </w:tc>
        <w:tc>
          <w:tcPr>
            <w:tcW w:w="0" w:type="auto"/>
            <w:hideMark/>
          </w:tcPr>
          <w:p w14:paraId="152F8F94"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0.50</w:t>
            </w:r>
          </w:p>
        </w:tc>
        <w:tc>
          <w:tcPr>
            <w:tcW w:w="0" w:type="auto"/>
            <w:hideMark/>
          </w:tcPr>
          <w:p w14:paraId="5CA3E579"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–0.16</w:t>
            </w:r>
          </w:p>
        </w:tc>
      </w:tr>
      <w:tr w:rsidR="00367D9B" w:rsidRPr="00367D9B" w14:paraId="1522A5B3" w14:textId="77777777" w:rsidTr="008D2E0C">
        <w:tc>
          <w:tcPr>
            <w:tcW w:w="0" w:type="auto"/>
            <w:hideMark/>
          </w:tcPr>
          <w:p w14:paraId="29AD1A68"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2024</w:t>
            </w:r>
          </w:p>
        </w:tc>
        <w:tc>
          <w:tcPr>
            <w:tcW w:w="0" w:type="auto"/>
            <w:hideMark/>
          </w:tcPr>
          <w:p w14:paraId="70DADF7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1.11</w:t>
            </w:r>
          </w:p>
        </w:tc>
        <w:tc>
          <w:tcPr>
            <w:tcW w:w="0" w:type="auto"/>
            <w:hideMark/>
          </w:tcPr>
          <w:p w14:paraId="17BB063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0.53</w:t>
            </w:r>
          </w:p>
        </w:tc>
        <w:tc>
          <w:tcPr>
            <w:tcW w:w="0" w:type="auto"/>
            <w:hideMark/>
          </w:tcPr>
          <w:p w14:paraId="7CE916F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–4.6</w:t>
            </w:r>
          </w:p>
        </w:tc>
      </w:tr>
    </w:tbl>
    <w:p w14:paraId="1E78551F" w14:textId="17CAF26E" w:rsidR="00367D9B" w:rsidRPr="00367D9B" w:rsidRDefault="006C3A3E" w:rsidP="00A87699">
      <w:pPr>
        <w:spacing w:line="360" w:lineRule="auto"/>
        <w:jc w:val="both"/>
        <w:rPr>
          <w:rFonts w:ascii="Arial" w:hAnsi="Arial" w:cs="Arial"/>
          <w:sz w:val="24"/>
          <w:szCs w:val="24"/>
        </w:rPr>
      </w:pPr>
      <w:r w:rsidRPr="006C3A3E">
        <w:rPr>
          <w:rFonts w:ascii="Arial" w:hAnsi="Arial" w:cs="Arial"/>
          <w:sz w:val="24"/>
          <w:szCs w:val="24"/>
        </w:rPr>
        <w:t>The debt-to-equity ratio rose to 1.11, which is an indicator of increased dependence on debt financing (EY, 2024). Operating losses lead to negative interest coverage in 2023 and 2024, which means that the company can no longer meet the interest payments with its earnings. This increases the chances of default of covenants, possible bankruptcy and constriction of borrowing.</w:t>
      </w:r>
    </w:p>
    <w:p w14:paraId="096653D1" w14:textId="77777777" w:rsidR="00367D9B" w:rsidRDefault="00367D9B" w:rsidP="00C0153C">
      <w:pPr>
        <w:spacing w:line="360" w:lineRule="auto"/>
        <w:rPr>
          <w:rFonts w:ascii="Arial" w:hAnsi="Arial" w:cs="Arial"/>
          <w:b/>
          <w:bCs/>
          <w:sz w:val="24"/>
          <w:szCs w:val="24"/>
        </w:rPr>
      </w:pPr>
      <w:r w:rsidRPr="00367D9B">
        <w:rPr>
          <w:rFonts w:ascii="Arial" w:hAnsi="Arial" w:cs="Arial"/>
          <w:b/>
          <w:bCs/>
          <w:sz w:val="24"/>
          <w:szCs w:val="24"/>
        </w:rPr>
        <w:t>2.5 Investment and Cash-Flow Performance</w:t>
      </w:r>
    </w:p>
    <w:p w14:paraId="0C21E742" w14:textId="18EAF6B9" w:rsidR="002C2439" w:rsidRPr="002C2439" w:rsidRDefault="002C2439" w:rsidP="00C0153C">
      <w:pPr>
        <w:spacing w:line="360" w:lineRule="auto"/>
        <w:rPr>
          <w:rFonts w:ascii="Arial" w:hAnsi="Arial" w:cs="Arial"/>
          <w:sz w:val="24"/>
          <w:szCs w:val="24"/>
        </w:rPr>
      </w:pPr>
      <w:r w:rsidRPr="002C2439">
        <w:rPr>
          <w:rFonts w:ascii="Arial" w:hAnsi="Arial" w:cs="Arial"/>
          <w:sz w:val="24"/>
          <w:szCs w:val="24"/>
        </w:rPr>
        <w:t>Net Cash Flow = Cash Inflows – Cash Outflows</w:t>
      </w:r>
    </w:p>
    <w:p w14:paraId="5C735D38" w14:textId="699F50BE" w:rsidR="00367D9B" w:rsidRPr="00367D9B" w:rsidRDefault="006C3A3E" w:rsidP="00A87699">
      <w:pPr>
        <w:spacing w:line="360" w:lineRule="auto"/>
        <w:jc w:val="both"/>
        <w:rPr>
          <w:rFonts w:ascii="Arial" w:hAnsi="Arial" w:cs="Arial"/>
          <w:sz w:val="24"/>
          <w:szCs w:val="24"/>
        </w:rPr>
      </w:pPr>
      <w:r w:rsidRPr="006C3A3E">
        <w:rPr>
          <w:rFonts w:ascii="Arial" w:hAnsi="Arial" w:cs="Arial"/>
          <w:sz w:val="24"/>
          <w:szCs w:val="24"/>
        </w:rPr>
        <w:lastRenderedPageBreak/>
        <w:t>With the losses, GE was able to create positive operating cash flow of PS14.8 billion in 2024 and it indicates that the company can create internal cash. Nevertheless, net cash flow decreased because of capital spending of PS4.6 billion and decreased inflows of external financing (Bloomberg, 2024). Payments of dividends were put on hold to save liquidity to continue operations and turnaround (Deloitte, 2023). The question of balancing between liquidity and strategic investments has become a burning issue thus.</w:t>
      </w:r>
    </w:p>
    <w:p w14:paraId="50CC0ADB"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2.6 Trends, Strengths, and Threats</w:t>
      </w:r>
    </w:p>
    <w:p w14:paraId="4569E853" w14:textId="77777777" w:rsidR="006C3A3E" w:rsidRPr="006C3A3E" w:rsidRDefault="006C3A3E" w:rsidP="006C3A3E">
      <w:pPr>
        <w:spacing w:line="360" w:lineRule="auto"/>
        <w:rPr>
          <w:rFonts w:ascii="Arial" w:hAnsi="Arial" w:cs="Arial"/>
          <w:sz w:val="24"/>
          <w:szCs w:val="24"/>
        </w:rPr>
      </w:pPr>
      <w:r w:rsidRPr="006C3A3E">
        <w:rPr>
          <w:rFonts w:ascii="Arial" w:hAnsi="Arial" w:cs="Arial"/>
          <w:sz w:val="24"/>
          <w:szCs w:val="24"/>
        </w:rPr>
        <w:t>Strengths:</w:t>
      </w:r>
    </w:p>
    <w:p w14:paraId="0B028ACD" w14:textId="77777777" w:rsidR="006C3A3E" w:rsidRPr="006C3A3E" w:rsidRDefault="006C3A3E" w:rsidP="00A87699">
      <w:pPr>
        <w:pStyle w:val="ListParagraph"/>
        <w:numPr>
          <w:ilvl w:val="0"/>
          <w:numId w:val="37"/>
        </w:numPr>
        <w:spacing w:line="360" w:lineRule="auto"/>
        <w:jc w:val="both"/>
        <w:rPr>
          <w:rFonts w:ascii="Arial" w:hAnsi="Arial" w:cs="Arial"/>
          <w:sz w:val="24"/>
          <w:szCs w:val="24"/>
        </w:rPr>
      </w:pPr>
      <w:r w:rsidRPr="006C3A3E">
        <w:rPr>
          <w:rFonts w:ascii="Arial" w:hAnsi="Arial" w:cs="Arial"/>
          <w:sz w:val="24"/>
          <w:szCs w:val="24"/>
        </w:rPr>
        <w:t>The fact that the gross margins remain stable (~28-29) speaks of good cost control.</w:t>
      </w:r>
    </w:p>
    <w:p w14:paraId="7B939B5B" w14:textId="77777777" w:rsidR="006C3A3E" w:rsidRPr="006C3A3E" w:rsidRDefault="006C3A3E" w:rsidP="00A87699">
      <w:pPr>
        <w:pStyle w:val="ListParagraph"/>
        <w:numPr>
          <w:ilvl w:val="0"/>
          <w:numId w:val="37"/>
        </w:numPr>
        <w:spacing w:line="360" w:lineRule="auto"/>
        <w:jc w:val="both"/>
        <w:rPr>
          <w:rFonts w:ascii="Arial" w:hAnsi="Arial" w:cs="Arial"/>
          <w:sz w:val="24"/>
          <w:szCs w:val="24"/>
        </w:rPr>
      </w:pPr>
      <w:proofErr w:type="spellStart"/>
      <w:r w:rsidRPr="006C3A3E">
        <w:rPr>
          <w:rFonts w:ascii="Arial" w:hAnsi="Arial" w:cs="Arial"/>
          <w:sz w:val="24"/>
          <w:szCs w:val="24"/>
        </w:rPr>
        <w:t>Favourable</w:t>
      </w:r>
      <w:proofErr w:type="spellEnd"/>
      <w:r w:rsidRPr="006C3A3E">
        <w:rPr>
          <w:rFonts w:ascii="Arial" w:hAnsi="Arial" w:cs="Arial"/>
          <w:sz w:val="24"/>
          <w:szCs w:val="24"/>
        </w:rPr>
        <w:t xml:space="preserve"> operational cash flows show the potential of the company to generate cash.</w:t>
      </w:r>
    </w:p>
    <w:p w14:paraId="68BBFDCC" w14:textId="77777777" w:rsidR="006C3A3E" w:rsidRPr="006C3A3E" w:rsidRDefault="006C3A3E" w:rsidP="00A87699">
      <w:pPr>
        <w:pStyle w:val="ListParagraph"/>
        <w:numPr>
          <w:ilvl w:val="0"/>
          <w:numId w:val="37"/>
        </w:numPr>
        <w:spacing w:line="360" w:lineRule="auto"/>
        <w:jc w:val="both"/>
        <w:rPr>
          <w:rFonts w:ascii="Arial" w:hAnsi="Arial" w:cs="Arial"/>
          <w:sz w:val="24"/>
          <w:szCs w:val="24"/>
        </w:rPr>
      </w:pPr>
      <w:r w:rsidRPr="006C3A3E">
        <w:rPr>
          <w:rFonts w:ascii="Arial" w:hAnsi="Arial" w:cs="Arial"/>
          <w:sz w:val="24"/>
          <w:szCs w:val="24"/>
        </w:rPr>
        <w:t>Funding and reorganization can be done using substantial assets as collateral.</w:t>
      </w:r>
    </w:p>
    <w:p w14:paraId="0F04722C" w14:textId="77777777" w:rsidR="006C3A3E" w:rsidRPr="006C3A3E" w:rsidRDefault="006C3A3E" w:rsidP="00A87699">
      <w:pPr>
        <w:spacing w:line="360" w:lineRule="auto"/>
        <w:jc w:val="both"/>
        <w:rPr>
          <w:rFonts w:ascii="Arial" w:hAnsi="Arial" w:cs="Arial"/>
          <w:sz w:val="24"/>
          <w:szCs w:val="24"/>
        </w:rPr>
      </w:pPr>
      <w:r w:rsidRPr="006C3A3E">
        <w:rPr>
          <w:rFonts w:ascii="Arial" w:hAnsi="Arial" w:cs="Arial"/>
          <w:sz w:val="24"/>
          <w:szCs w:val="24"/>
        </w:rPr>
        <w:t>Threats:</w:t>
      </w:r>
    </w:p>
    <w:p w14:paraId="389CCD83" w14:textId="77777777" w:rsidR="006C3A3E" w:rsidRPr="006C3A3E" w:rsidRDefault="006C3A3E" w:rsidP="00A87699">
      <w:pPr>
        <w:pStyle w:val="ListParagraph"/>
        <w:numPr>
          <w:ilvl w:val="0"/>
          <w:numId w:val="38"/>
        </w:numPr>
        <w:spacing w:line="360" w:lineRule="auto"/>
        <w:jc w:val="both"/>
        <w:rPr>
          <w:rFonts w:ascii="Arial" w:hAnsi="Arial" w:cs="Arial"/>
          <w:sz w:val="24"/>
          <w:szCs w:val="24"/>
        </w:rPr>
      </w:pPr>
      <w:r w:rsidRPr="006C3A3E">
        <w:rPr>
          <w:rFonts w:ascii="Arial" w:hAnsi="Arial" w:cs="Arial"/>
          <w:sz w:val="24"/>
          <w:szCs w:val="24"/>
        </w:rPr>
        <w:t>Fading profitability as a result of a 36 percent decline in revenues since 2020.</w:t>
      </w:r>
    </w:p>
    <w:p w14:paraId="7284F806" w14:textId="77777777" w:rsidR="006C3A3E" w:rsidRPr="006C3A3E" w:rsidRDefault="006C3A3E" w:rsidP="00A87699">
      <w:pPr>
        <w:pStyle w:val="ListParagraph"/>
        <w:numPr>
          <w:ilvl w:val="0"/>
          <w:numId w:val="38"/>
        </w:numPr>
        <w:spacing w:line="360" w:lineRule="auto"/>
        <w:jc w:val="both"/>
        <w:rPr>
          <w:rFonts w:ascii="Arial" w:hAnsi="Arial" w:cs="Arial"/>
          <w:sz w:val="24"/>
          <w:szCs w:val="24"/>
        </w:rPr>
      </w:pPr>
      <w:r w:rsidRPr="006C3A3E">
        <w:rPr>
          <w:rFonts w:ascii="Arial" w:hAnsi="Arial" w:cs="Arial"/>
          <w:sz w:val="24"/>
          <w:szCs w:val="24"/>
        </w:rPr>
        <w:t>Drain off of retained earnings and shareholder equity by accumulated losses.</w:t>
      </w:r>
    </w:p>
    <w:p w14:paraId="722BEB6C" w14:textId="77777777" w:rsidR="006C3A3E" w:rsidRPr="006C3A3E" w:rsidRDefault="006C3A3E" w:rsidP="00A87699">
      <w:pPr>
        <w:pStyle w:val="ListParagraph"/>
        <w:numPr>
          <w:ilvl w:val="0"/>
          <w:numId w:val="38"/>
        </w:numPr>
        <w:spacing w:line="360" w:lineRule="auto"/>
        <w:jc w:val="both"/>
        <w:rPr>
          <w:rFonts w:ascii="Arial" w:hAnsi="Arial" w:cs="Arial"/>
          <w:sz w:val="24"/>
          <w:szCs w:val="24"/>
        </w:rPr>
      </w:pPr>
      <w:r w:rsidRPr="006C3A3E">
        <w:rPr>
          <w:rFonts w:ascii="Arial" w:hAnsi="Arial" w:cs="Arial"/>
          <w:sz w:val="24"/>
          <w:szCs w:val="24"/>
        </w:rPr>
        <w:t>An increase in leverage and reduction in interest coverage is an indicator of financial weakens.</w:t>
      </w:r>
    </w:p>
    <w:p w14:paraId="08DFE36B" w14:textId="5E85974A" w:rsidR="00367D9B" w:rsidRPr="006C3A3E" w:rsidRDefault="006C3A3E" w:rsidP="00A87699">
      <w:pPr>
        <w:pStyle w:val="ListParagraph"/>
        <w:numPr>
          <w:ilvl w:val="0"/>
          <w:numId w:val="38"/>
        </w:numPr>
        <w:spacing w:line="360" w:lineRule="auto"/>
        <w:jc w:val="both"/>
        <w:rPr>
          <w:rFonts w:ascii="Arial" w:hAnsi="Arial" w:cs="Arial"/>
          <w:sz w:val="24"/>
          <w:szCs w:val="24"/>
        </w:rPr>
      </w:pPr>
      <w:r w:rsidRPr="006C3A3E">
        <w:rPr>
          <w:rFonts w:ascii="Arial" w:hAnsi="Arial" w:cs="Arial"/>
          <w:sz w:val="24"/>
          <w:szCs w:val="24"/>
        </w:rPr>
        <w:t>Liquidity is worsening and the time of collection of receivables is also increasing, which raises operational risk.</w:t>
      </w:r>
    </w:p>
    <w:p w14:paraId="10243AB1"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2.7 Corporate Failure Prediction: Altman Z-Score</w:t>
      </w:r>
    </w:p>
    <w:p w14:paraId="3A39E1DD" w14:textId="77777777" w:rsidR="006C3A3E" w:rsidRDefault="006C3A3E" w:rsidP="00A87699">
      <w:pPr>
        <w:spacing w:line="360" w:lineRule="auto"/>
        <w:jc w:val="both"/>
        <w:rPr>
          <w:rFonts w:ascii="Arial" w:hAnsi="Arial" w:cs="Arial"/>
          <w:sz w:val="24"/>
          <w:szCs w:val="24"/>
        </w:rPr>
      </w:pPr>
      <w:r w:rsidRPr="006C3A3E">
        <w:rPr>
          <w:rFonts w:ascii="Arial" w:hAnsi="Arial" w:cs="Arial"/>
          <w:sz w:val="24"/>
          <w:szCs w:val="24"/>
        </w:rPr>
        <w:t>Altman Z-Score measures the risk of bankruptcy in manufacturing companies (Altman, 1968; Altman and Hotchkiss, 2020) and it is computed as follows:</w:t>
      </w:r>
    </w:p>
    <w:p w14:paraId="7F851C09" w14:textId="5DE1CB1C" w:rsidR="00367D9B" w:rsidRPr="00367D9B" w:rsidRDefault="00367D9B" w:rsidP="00C0153C">
      <w:pPr>
        <w:spacing w:line="360" w:lineRule="auto"/>
        <w:rPr>
          <w:rFonts w:ascii="Arial" w:hAnsi="Arial" w:cs="Arial"/>
          <w:sz w:val="24"/>
          <w:szCs w:val="24"/>
        </w:rPr>
      </w:pPr>
      <m:oMathPara>
        <m:oMath>
          <m:r>
            <w:rPr>
              <w:rFonts w:ascii="Cambria Math" w:hAnsi="Cambria Math" w:cs="Arial"/>
              <w:sz w:val="24"/>
              <w:szCs w:val="24"/>
            </w:rPr>
            <m:t>Z=1.2</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1</m:t>
              </m:r>
            </m:sub>
          </m:sSub>
          <m:r>
            <w:rPr>
              <w:rFonts w:ascii="Cambria Math" w:hAnsi="Cambria Math" w:cs="Arial"/>
              <w:sz w:val="24"/>
              <w:szCs w:val="24"/>
            </w:rPr>
            <m:t>+1.4</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2</m:t>
              </m:r>
            </m:sub>
          </m:sSub>
          <m:r>
            <w:rPr>
              <w:rFonts w:ascii="Cambria Math" w:hAnsi="Cambria Math" w:cs="Arial"/>
              <w:sz w:val="24"/>
              <w:szCs w:val="24"/>
            </w:rPr>
            <m:t>+3.3</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3</m:t>
              </m:r>
            </m:sub>
          </m:sSub>
          <m:r>
            <w:rPr>
              <w:rFonts w:ascii="Cambria Math" w:hAnsi="Cambria Math" w:cs="Arial"/>
              <w:sz w:val="24"/>
              <w:szCs w:val="24"/>
            </w:rPr>
            <m:t>+0.6</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4</m:t>
              </m:r>
            </m:sub>
          </m:sSub>
          <m:r>
            <w:rPr>
              <w:rFonts w:ascii="Cambria Math" w:hAnsi="Cambria Math" w:cs="Arial"/>
              <w:sz w:val="24"/>
              <w:szCs w:val="24"/>
            </w:rPr>
            <m:t>+1.0</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5</m:t>
              </m:r>
            </m:sub>
          </m:sSub>
          <m:r>
            <m:rPr>
              <m:sty m:val="p"/>
            </m:rPr>
            <w:rPr>
              <w:rFonts w:ascii="Arial" w:hAnsi="Arial" w:cs="Arial"/>
              <w:sz w:val="24"/>
              <w:szCs w:val="24"/>
            </w:rPr>
            <w:br/>
          </m:r>
        </m:oMath>
      </m:oMathPara>
    </w:p>
    <w:p w14:paraId="30917836"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Where:</w:t>
      </w:r>
    </w:p>
    <w:p w14:paraId="57BD7BAB" w14:textId="04ABA5BF" w:rsidR="00367D9B" w:rsidRPr="00367D9B" w:rsidRDefault="00000000" w:rsidP="00C0153C">
      <w:pPr>
        <w:numPr>
          <w:ilvl w:val="0"/>
          <w:numId w:val="3"/>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1</m:t>
            </m:r>
          </m:sub>
        </m:sSub>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Working Capital</m:t>
            </m:r>
          </m:num>
          <m:den>
            <m:r>
              <m:rPr>
                <m:nor/>
              </m:rPr>
              <w:rPr>
                <w:rFonts w:ascii="Arial" w:hAnsi="Arial" w:cs="Arial"/>
                <w:sz w:val="24"/>
                <w:szCs w:val="24"/>
              </w:rPr>
              <m:t>Total Assets</m:t>
            </m:r>
          </m:den>
        </m:f>
      </m:oMath>
    </w:p>
    <w:p w14:paraId="1B3E36F9" w14:textId="4683DA79" w:rsidR="00367D9B" w:rsidRPr="00367D9B" w:rsidRDefault="00000000" w:rsidP="00C0153C">
      <w:pPr>
        <w:numPr>
          <w:ilvl w:val="0"/>
          <w:numId w:val="3"/>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2</m:t>
            </m:r>
          </m:sub>
        </m:sSub>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Retained Earnings</m:t>
            </m:r>
          </m:num>
          <m:den>
            <m:r>
              <m:rPr>
                <m:nor/>
              </m:rPr>
              <w:rPr>
                <w:rFonts w:ascii="Arial" w:hAnsi="Arial" w:cs="Arial"/>
                <w:sz w:val="24"/>
                <w:szCs w:val="24"/>
              </w:rPr>
              <m:t>Total Assets</m:t>
            </m:r>
          </m:den>
        </m:f>
      </m:oMath>
    </w:p>
    <w:p w14:paraId="3CCFBEDB" w14:textId="6A0AAE98" w:rsidR="00367D9B" w:rsidRPr="00367D9B" w:rsidRDefault="00000000" w:rsidP="00C0153C">
      <w:pPr>
        <w:numPr>
          <w:ilvl w:val="0"/>
          <w:numId w:val="3"/>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3</m:t>
            </m:r>
          </m:sub>
        </m:sSub>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EBIT</m:t>
            </m:r>
          </m:num>
          <m:den>
            <m:r>
              <m:rPr>
                <m:nor/>
              </m:rPr>
              <w:rPr>
                <w:rFonts w:ascii="Arial" w:hAnsi="Arial" w:cs="Arial"/>
                <w:sz w:val="24"/>
                <w:szCs w:val="24"/>
              </w:rPr>
              <m:t>Total Assets</m:t>
            </m:r>
          </m:den>
        </m:f>
      </m:oMath>
    </w:p>
    <w:p w14:paraId="08D9AD94" w14:textId="33E276FA" w:rsidR="00367D9B" w:rsidRPr="00367D9B" w:rsidRDefault="00000000" w:rsidP="00C0153C">
      <w:pPr>
        <w:numPr>
          <w:ilvl w:val="0"/>
          <w:numId w:val="3"/>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4</m:t>
            </m:r>
          </m:sub>
        </m:sSub>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Market Value of Equity</m:t>
            </m:r>
          </m:num>
          <m:den>
            <m:r>
              <m:rPr>
                <m:nor/>
              </m:rPr>
              <w:rPr>
                <w:rFonts w:ascii="Arial" w:hAnsi="Arial" w:cs="Arial"/>
                <w:sz w:val="24"/>
                <w:szCs w:val="24"/>
              </w:rPr>
              <m:t>Total Liabilities</m:t>
            </m:r>
          </m:den>
        </m:f>
      </m:oMath>
    </w:p>
    <w:p w14:paraId="21E4CE53" w14:textId="75835266" w:rsidR="00367D9B" w:rsidRPr="00367D9B" w:rsidRDefault="00000000" w:rsidP="00C0153C">
      <w:pPr>
        <w:numPr>
          <w:ilvl w:val="0"/>
          <w:numId w:val="3"/>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5</m:t>
            </m:r>
          </m:sub>
        </m:sSub>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Sales</m:t>
            </m:r>
          </m:num>
          <m:den>
            <m:r>
              <m:rPr>
                <m:nor/>
              </m:rPr>
              <w:rPr>
                <w:rFonts w:ascii="Arial" w:hAnsi="Arial" w:cs="Arial"/>
                <w:sz w:val="24"/>
                <w:szCs w:val="24"/>
              </w:rPr>
              <m:t>Total Assets</m:t>
            </m:r>
          </m:den>
        </m:f>
      </m:oMath>
    </w:p>
    <w:p w14:paraId="61CC0B89"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Calculation for 2024:</w:t>
      </w:r>
    </w:p>
    <w:p w14:paraId="6BE36840" w14:textId="77777777" w:rsidR="00367D9B" w:rsidRPr="00367D9B" w:rsidRDefault="00367D9B" w:rsidP="00C0153C">
      <w:pPr>
        <w:numPr>
          <w:ilvl w:val="0"/>
          <w:numId w:val="4"/>
        </w:numPr>
        <w:spacing w:line="360" w:lineRule="auto"/>
        <w:rPr>
          <w:rFonts w:ascii="Arial" w:hAnsi="Arial" w:cs="Arial"/>
          <w:sz w:val="24"/>
          <w:szCs w:val="24"/>
        </w:rPr>
      </w:pPr>
      <w:r w:rsidRPr="00367D9B">
        <w:rPr>
          <w:rFonts w:ascii="Arial" w:hAnsi="Arial" w:cs="Arial"/>
          <w:sz w:val="24"/>
          <w:szCs w:val="24"/>
        </w:rPr>
        <w:t>Working capital = £242,494 – £158,291 = £84,203</w:t>
      </w:r>
    </w:p>
    <w:p w14:paraId="0E234528" w14:textId="77777777" w:rsidR="00367D9B" w:rsidRPr="00367D9B" w:rsidRDefault="00367D9B" w:rsidP="00C0153C">
      <w:pPr>
        <w:numPr>
          <w:ilvl w:val="0"/>
          <w:numId w:val="4"/>
        </w:numPr>
        <w:spacing w:line="360" w:lineRule="auto"/>
        <w:rPr>
          <w:rFonts w:ascii="Arial" w:hAnsi="Arial" w:cs="Arial"/>
          <w:sz w:val="24"/>
          <w:szCs w:val="24"/>
        </w:rPr>
      </w:pPr>
      <w:r w:rsidRPr="00367D9B">
        <w:rPr>
          <w:rFonts w:ascii="Arial" w:hAnsi="Arial" w:cs="Arial"/>
          <w:sz w:val="24"/>
          <w:szCs w:val="24"/>
        </w:rPr>
        <w:t>Total assets = £323,354</w:t>
      </w:r>
    </w:p>
    <w:p w14:paraId="7A20C434" w14:textId="741B618E" w:rsidR="00367D9B" w:rsidRPr="00367D9B" w:rsidRDefault="00000000" w:rsidP="00C0153C">
      <w:pPr>
        <w:numPr>
          <w:ilvl w:val="0"/>
          <w:numId w:val="4"/>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1</m:t>
            </m:r>
          </m:sub>
        </m:sSub>
        <m:r>
          <w:rPr>
            <w:rFonts w:ascii="Cambria Math" w:hAnsi="Cambria Math" w:cs="Arial"/>
            <w:sz w:val="24"/>
            <w:szCs w:val="24"/>
          </w:rPr>
          <m:t>=84,203</m:t>
        </m:r>
        <m:r>
          <m:rPr>
            <m:sty m:val="p"/>
          </m:rPr>
          <w:rPr>
            <w:rFonts w:ascii="Cambria Math" w:hAnsi="Cambria Math" w:cs="Arial"/>
            <w:sz w:val="24"/>
            <w:szCs w:val="24"/>
          </w:rPr>
          <m:t>/</m:t>
        </m:r>
        <m:r>
          <w:rPr>
            <w:rFonts w:ascii="Cambria Math" w:hAnsi="Cambria Math" w:cs="Arial"/>
            <w:sz w:val="24"/>
            <w:szCs w:val="24"/>
          </w:rPr>
          <m:t>323,354≈0.26</m:t>
        </m:r>
      </m:oMath>
    </w:p>
    <w:p w14:paraId="5613F354" w14:textId="77777777" w:rsidR="00367D9B" w:rsidRPr="00367D9B" w:rsidRDefault="00367D9B" w:rsidP="00C0153C">
      <w:pPr>
        <w:numPr>
          <w:ilvl w:val="0"/>
          <w:numId w:val="4"/>
        </w:numPr>
        <w:spacing w:line="360" w:lineRule="auto"/>
        <w:rPr>
          <w:rFonts w:ascii="Arial" w:hAnsi="Arial" w:cs="Arial"/>
          <w:sz w:val="24"/>
          <w:szCs w:val="24"/>
        </w:rPr>
      </w:pPr>
      <w:r w:rsidRPr="00367D9B">
        <w:rPr>
          <w:rFonts w:ascii="Arial" w:hAnsi="Arial" w:cs="Arial"/>
          <w:sz w:val="24"/>
          <w:szCs w:val="24"/>
        </w:rPr>
        <w:t>Retained earnings = £208,431</w:t>
      </w:r>
    </w:p>
    <w:p w14:paraId="566AC1D8" w14:textId="6A72CA19" w:rsidR="00367D9B" w:rsidRPr="00367D9B" w:rsidRDefault="00000000" w:rsidP="00C0153C">
      <w:pPr>
        <w:numPr>
          <w:ilvl w:val="0"/>
          <w:numId w:val="4"/>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2</m:t>
            </m:r>
          </m:sub>
        </m:sSub>
        <m:r>
          <w:rPr>
            <w:rFonts w:ascii="Cambria Math" w:hAnsi="Cambria Math" w:cs="Arial"/>
            <w:sz w:val="24"/>
            <w:szCs w:val="24"/>
          </w:rPr>
          <m:t>=208,431</m:t>
        </m:r>
        <m:r>
          <m:rPr>
            <m:sty m:val="p"/>
          </m:rPr>
          <w:rPr>
            <w:rFonts w:ascii="Cambria Math" w:hAnsi="Cambria Math" w:cs="Arial"/>
            <w:sz w:val="24"/>
            <w:szCs w:val="24"/>
          </w:rPr>
          <m:t>/</m:t>
        </m:r>
        <m:r>
          <w:rPr>
            <w:rFonts w:ascii="Cambria Math" w:hAnsi="Cambria Math" w:cs="Arial"/>
            <w:sz w:val="24"/>
            <w:szCs w:val="24"/>
          </w:rPr>
          <m:t>323,354≈0.64</m:t>
        </m:r>
      </m:oMath>
    </w:p>
    <w:p w14:paraId="589B5DA0" w14:textId="77777777" w:rsidR="00367D9B" w:rsidRPr="00367D9B" w:rsidRDefault="00367D9B" w:rsidP="00C0153C">
      <w:pPr>
        <w:numPr>
          <w:ilvl w:val="0"/>
          <w:numId w:val="4"/>
        </w:numPr>
        <w:spacing w:line="360" w:lineRule="auto"/>
        <w:rPr>
          <w:rFonts w:ascii="Arial" w:hAnsi="Arial" w:cs="Arial"/>
          <w:sz w:val="24"/>
          <w:szCs w:val="24"/>
        </w:rPr>
      </w:pPr>
      <w:r w:rsidRPr="00367D9B">
        <w:rPr>
          <w:rFonts w:ascii="Arial" w:hAnsi="Arial" w:cs="Arial"/>
          <w:sz w:val="24"/>
          <w:szCs w:val="24"/>
        </w:rPr>
        <w:t>EBIT ≈ –15,297</w:t>
      </w:r>
    </w:p>
    <w:p w14:paraId="5B639B04" w14:textId="7E907A16" w:rsidR="00367D9B" w:rsidRPr="00367D9B" w:rsidRDefault="00000000" w:rsidP="00C0153C">
      <w:pPr>
        <w:numPr>
          <w:ilvl w:val="0"/>
          <w:numId w:val="4"/>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3</m:t>
            </m:r>
          </m:sub>
        </m:sSub>
        <m:r>
          <w:rPr>
            <w:rFonts w:ascii="Cambria Math" w:hAnsi="Cambria Math" w:cs="Arial"/>
            <w:sz w:val="24"/>
            <w:szCs w:val="24"/>
          </w:rPr>
          <m:t>=</m:t>
        </m:r>
        <m:r>
          <m:rPr>
            <m:nor/>
          </m:rPr>
          <w:rPr>
            <w:rFonts w:ascii="Arial" w:hAnsi="Arial" w:cs="Arial"/>
            <w:sz w:val="24"/>
            <w:szCs w:val="24"/>
          </w:rPr>
          <m:t>–</m:t>
        </m:r>
        <m:r>
          <w:rPr>
            <w:rFonts w:ascii="Cambria Math" w:hAnsi="Cambria Math" w:cs="Arial"/>
            <w:sz w:val="24"/>
            <w:szCs w:val="24"/>
          </w:rPr>
          <m:t>15,297</m:t>
        </m:r>
        <m:r>
          <m:rPr>
            <m:sty m:val="p"/>
          </m:rPr>
          <w:rPr>
            <w:rFonts w:ascii="Cambria Math" w:hAnsi="Cambria Math" w:cs="Arial"/>
            <w:sz w:val="24"/>
            <w:szCs w:val="24"/>
          </w:rPr>
          <m:t>/</m:t>
        </m:r>
        <m:r>
          <w:rPr>
            <w:rFonts w:ascii="Cambria Math" w:hAnsi="Cambria Math" w:cs="Arial"/>
            <w:sz w:val="24"/>
            <w:szCs w:val="24"/>
          </w:rPr>
          <m:t>323,354≈</m:t>
        </m:r>
        <m:r>
          <m:rPr>
            <m:nor/>
          </m:rPr>
          <w:rPr>
            <w:rFonts w:ascii="Arial" w:hAnsi="Arial" w:cs="Arial"/>
            <w:sz w:val="24"/>
            <w:szCs w:val="24"/>
          </w:rPr>
          <m:t>–</m:t>
        </m:r>
        <m:r>
          <w:rPr>
            <w:rFonts w:ascii="Cambria Math" w:hAnsi="Cambria Math" w:cs="Arial"/>
            <w:sz w:val="24"/>
            <w:szCs w:val="24"/>
          </w:rPr>
          <m:t>0.047</m:t>
        </m:r>
      </m:oMath>
    </w:p>
    <w:p w14:paraId="173EC4C5" w14:textId="77777777" w:rsidR="00367D9B" w:rsidRPr="00367D9B" w:rsidRDefault="00367D9B" w:rsidP="00C0153C">
      <w:pPr>
        <w:numPr>
          <w:ilvl w:val="0"/>
          <w:numId w:val="4"/>
        </w:numPr>
        <w:spacing w:line="360" w:lineRule="auto"/>
        <w:rPr>
          <w:rFonts w:ascii="Arial" w:hAnsi="Arial" w:cs="Arial"/>
          <w:sz w:val="24"/>
          <w:szCs w:val="24"/>
        </w:rPr>
      </w:pPr>
      <w:r w:rsidRPr="00367D9B">
        <w:rPr>
          <w:rFonts w:ascii="Arial" w:hAnsi="Arial" w:cs="Arial"/>
          <w:sz w:val="24"/>
          <w:szCs w:val="24"/>
        </w:rPr>
        <w:t>Market value of equity ≈ £153,105</w:t>
      </w:r>
    </w:p>
    <w:p w14:paraId="5E0F64A6" w14:textId="77777777" w:rsidR="00367D9B" w:rsidRPr="00367D9B" w:rsidRDefault="00367D9B" w:rsidP="00C0153C">
      <w:pPr>
        <w:numPr>
          <w:ilvl w:val="0"/>
          <w:numId w:val="4"/>
        </w:numPr>
        <w:spacing w:line="360" w:lineRule="auto"/>
        <w:rPr>
          <w:rFonts w:ascii="Arial" w:hAnsi="Arial" w:cs="Arial"/>
          <w:sz w:val="24"/>
          <w:szCs w:val="24"/>
        </w:rPr>
      </w:pPr>
      <w:r w:rsidRPr="00367D9B">
        <w:rPr>
          <w:rFonts w:ascii="Arial" w:hAnsi="Arial" w:cs="Arial"/>
          <w:sz w:val="24"/>
          <w:szCs w:val="24"/>
        </w:rPr>
        <w:t>Total liabilities = £170,249</w:t>
      </w:r>
    </w:p>
    <w:p w14:paraId="0F951F28" w14:textId="1EFC8119" w:rsidR="00367D9B" w:rsidRPr="00367D9B" w:rsidRDefault="00000000" w:rsidP="00C0153C">
      <w:pPr>
        <w:numPr>
          <w:ilvl w:val="0"/>
          <w:numId w:val="4"/>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4</m:t>
            </m:r>
          </m:sub>
        </m:sSub>
        <m:r>
          <w:rPr>
            <w:rFonts w:ascii="Cambria Math" w:hAnsi="Cambria Math" w:cs="Arial"/>
            <w:sz w:val="24"/>
            <w:szCs w:val="24"/>
          </w:rPr>
          <m:t>=153,105</m:t>
        </m:r>
        <m:r>
          <m:rPr>
            <m:sty m:val="p"/>
          </m:rPr>
          <w:rPr>
            <w:rFonts w:ascii="Cambria Math" w:hAnsi="Cambria Math" w:cs="Arial"/>
            <w:sz w:val="24"/>
            <w:szCs w:val="24"/>
          </w:rPr>
          <m:t>/</m:t>
        </m:r>
        <m:r>
          <w:rPr>
            <w:rFonts w:ascii="Cambria Math" w:hAnsi="Cambria Math" w:cs="Arial"/>
            <w:sz w:val="24"/>
            <w:szCs w:val="24"/>
          </w:rPr>
          <m:t>170,249≈0.90</m:t>
        </m:r>
      </m:oMath>
    </w:p>
    <w:p w14:paraId="66D8F5C1" w14:textId="77777777" w:rsidR="00367D9B" w:rsidRPr="00367D9B" w:rsidRDefault="00367D9B" w:rsidP="00C0153C">
      <w:pPr>
        <w:numPr>
          <w:ilvl w:val="0"/>
          <w:numId w:val="4"/>
        </w:numPr>
        <w:spacing w:line="360" w:lineRule="auto"/>
        <w:rPr>
          <w:rFonts w:ascii="Arial" w:hAnsi="Arial" w:cs="Arial"/>
          <w:sz w:val="24"/>
          <w:szCs w:val="24"/>
        </w:rPr>
      </w:pPr>
      <w:r w:rsidRPr="00367D9B">
        <w:rPr>
          <w:rFonts w:ascii="Arial" w:hAnsi="Arial" w:cs="Arial"/>
          <w:sz w:val="24"/>
          <w:szCs w:val="24"/>
        </w:rPr>
        <w:t>Sales = £394,879</w:t>
      </w:r>
    </w:p>
    <w:p w14:paraId="2C58DE1B" w14:textId="28AA1F13" w:rsidR="00367D9B" w:rsidRPr="00367D9B" w:rsidRDefault="00000000" w:rsidP="00C0153C">
      <w:pPr>
        <w:numPr>
          <w:ilvl w:val="0"/>
          <w:numId w:val="4"/>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5</m:t>
            </m:r>
          </m:sub>
        </m:sSub>
        <m:r>
          <w:rPr>
            <w:rFonts w:ascii="Cambria Math" w:hAnsi="Cambria Math" w:cs="Arial"/>
            <w:sz w:val="24"/>
            <w:szCs w:val="24"/>
          </w:rPr>
          <m:t>=394,879</m:t>
        </m:r>
        <m:r>
          <m:rPr>
            <m:sty m:val="p"/>
          </m:rPr>
          <w:rPr>
            <w:rFonts w:ascii="Cambria Math" w:hAnsi="Cambria Math" w:cs="Arial"/>
            <w:sz w:val="24"/>
            <w:szCs w:val="24"/>
          </w:rPr>
          <m:t>/</m:t>
        </m:r>
        <m:r>
          <w:rPr>
            <w:rFonts w:ascii="Cambria Math" w:hAnsi="Cambria Math" w:cs="Arial"/>
            <w:sz w:val="24"/>
            <w:szCs w:val="24"/>
          </w:rPr>
          <m:t>323,354≈1.22</m:t>
        </m:r>
      </m:oMath>
    </w:p>
    <w:p w14:paraId="684D8859" w14:textId="4F83B025" w:rsidR="00367D9B" w:rsidRPr="00367D9B" w:rsidRDefault="00367D9B" w:rsidP="00C0153C">
      <w:pPr>
        <w:spacing w:line="360" w:lineRule="auto"/>
        <w:rPr>
          <w:rFonts w:ascii="Arial" w:hAnsi="Arial" w:cs="Arial"/>
          <w:sz w:val="24"/>
          <w:szCs w:val="24"/>
        </w:rPr>
      </w:pPr>
      <m:oMathPara>
        <m:oMath>
          <m:r>
            <w:rPr>
              <w:rFonts w:ascii="Cambria Math" w:hAnsi="Cambria Math" w:cs="Arial"/>
              <w:sz w:val="24"/>
              <w:szCs w:val="24"/>
            </w:rPr>
            <m:t>Z=1.2(0.26)+1.4(0.64)+3.3(-0.047)+0.6(0.90)+1(1.22)≈2.19</m:t>
          </m:r>
          <m:r>
            <m:rPr>
              <m:sty m:val="p"/>
            </m:rPr>
            <w:rPr>
              <w:rFonts w:ascii="Arial" w:hAnsi="Arial" w:cs="Arial"/>
              <w:sz w:val="24"/>
              <w:szCs w:val="24"/>
            </w:rPr>
            <w:br/>
          </m:r>
        </m:oMath>
      </m:oMathPara>
    </w:p>
    <w:p w14:paraId="75908D05" w14:textId="4F409864" w:rsidR="00367D9B" w:rsidRPr="00367D9B" w:rsidRDefault="006C3A3E" w:rsidP="00A87699">
      <w:pPr>
        <w:spacing w:line="360" w:lineRule="auto"/>
        <w:jc w:val="both"/>
        <w:rPr>
          <w:rFonts w:ascii="Arial" w:hAnsi="Arial" w:cs="Arial"/>
          <w:sz w:val="24"/>
          <w:szCs w:val="24"/>
        </w:rPr>
      </w:pPr>
      <w:r w:rsidRPr="006C3A3E">
        <w:rPr>
          <w:rFonts w:ascii="Arial" w:hAnsi="Arial" w:cs="Arial"/>
          <w:sz w:val="24"/>
          <w:szCs w:val="24"/>
        </w:rPr>
        <w:t xml:space="preserve">GE has a Z-score of 2.19, which falls in the grey zone signifying that it is in danger of bankruptcy but not immediately. The decrease in the score of above 3 in 2020 to 2.2 in 2024 is an indicator of growing financial risk and should drive the necessary strategic intervention. </w:t>
      </w:r>
    </w:p>
    <w:p w14:paraId="457EDCEC" w14:textId="77777777" w:rsidR="00367D9B" w:rsidRPr="00367D9B" w:rsidRDefault="00367D9B" w:rsidP="00A87699">
      <w:pPr>
        <w:spacing w:line="360" w:lineRule="auto"/>
        <w:jc w:val="both"/>
        <w:rPr>
          <w:rFonts w:ascii="Arial" w:hAnsi="Arial" w:cs="Arial"/>
          <w:b/>
          <w:bCs/>
          <w:sz w:val="24"/>
          <w:szCs w:val="24"/>
        </w:rPr>
      </w:pPr>
      <w:r w:rsidRPr="00367D9B">
        <w:rPr>
          <w:rFonts w:ascii="Arial" w:hAnsi="Arial" w:cs="Arial"/>
          <w:b/>
          <w:bCs/>
          <w:sz w:val="24"/>
          <w:szCs w:val="24"/>
        </w:rPr>
        <w:t>2.8 Summary of Financial Health</w:t>
      </w:r>
    </w:p>
    <w:p w14:paraId="368E5719" w14:textId="77777777" w:rsidR="006C3A3E" w:rsidRPr="006C3A3E" w:rsidRDefault="006C3A3E" w:rsidP="00A87699">
      <w:pPr>
        <w:spacing w:line="360" w:lineRule="auto"/>
        <w:jc w:val="both"/>
        <w:rPr>
          <w:rFonts w:ascii="Arial" w:hAnsi="Arial" w:cs="Arial"/>
          <w:sz w:val="24"/>
          <w:szCs w:val="24"/>
        </w:rPr>
      </w:pPr>
      <w:r w:rsidRPr="006C3A3E">
        <w:rPr>
          <w:rFonts w:ascii="Arial" w:hAnsi="Arial" w:cs="Arial"/>
          <w:sz w:val="24"/>
          <w:szCs w:val="24"/>
        </w:rPr>
        <w:t xml:space="preserve">GE is not bankrupt, but it is suffering organizationally in terms of finances. The drop in profitability, limited liquidity, diminished returns to shareholders, and increased </w:t>
      </w:r>
      <w:r w:rsidRPr="006C3A3E">
        <w:rPr>
          <w:rFonts w:ascii="Arial" w:hAnsi="Arial" w:cs="Arial"/>
          <w:sz w:val="24"/>
          <w:szCs w:val="24"/>
        </w:rPr>
        <w:lastRenderedPageBreak/>
        <w:t>leverage levels are only some of the indicators that require urgent strategic restructuring. Turnaround efforts must take advantage of positive operating cash flows, but there are risks because of inefficiency in operations and debt servicing. Some of the main short term solution measures are:</w:t>
      </w:r>
    </w:p>
    <w:p w14:paraId="0DB03C8B" w14:textId="77777777" w:rsidR="006C3A3E" w:rsidRPr="006C3A3E" w:rsidRDefault="006C3A3E" w:rsidP="00A87699">
      <w:pPr>
        <w:pStyle w:val="ListParagraph"/>
        <w:numPr>
          <w:ilvl w:val="0"/>
          <w:numId w:val="39"/>
        </w:numPr>
        <w:spacing w:line="360" w:lineRule="auto"/>
        <w:jc w:val="both"/>
        <w:rPr>
          <w:rFonts w:ascii="Arial" w:hAnsi="Arial" w:cs="Arial"/>
          <w:sz w:val="24"/>
          <w:szCs w:val="24"/>
        </w:rPr>
      </w:pPr>
      <w:r w:rsidRPr="006C3A3E">
        <w:rPr>
          <w:rFonts w:ascii="Arial" w:hAnsi="Arial" w:cs="Arial"/>
          <w:sz w:val="24"/>
          <w:szCs w:val="24"/>
        </w:rPr>
        <w:t>Economization and enhancement of work efficiency.</w:t>
      </w:r>
    </w:p>
    <w:p w14:paraId="3D0F4789" w14:textId="77777777" w:rsidR="006C3A3E" w:rsidRPr="006C3A3E" w:rsidRDefault="006C3A3E" w:rsidP="00A87699">
      <w:pPr>
        <w:pStyle w:val="ListParagraph"/>
        <w:numPr>
          <w:ilvl w:val="0"/>
          <w:numId w:val="39"/>
        </w:numPr>
        <w:spacing w:line="360" w:lineRule="auto"/>
        <w:jc w:val="both"/>
        <w:rPr>
          <w:rFonts w:ascii="Arial" w:hAnsi="Arial" w:cs="Arial"/>
          <w:sz w:val="24"/>
          <w:szCs w:val="24"/>
        </w:rPr>
      </w:pPr>
      <w:r w:rsidRPr="006C3A3E">
        <w:rPr>
          <w:rFonts w:ascii="Arial" w:hAnsi="Arial" w:cs="Arial"/>
          <w:sz w:val="24"/>
          <w:szCs w:val="24"/>
        </w:rPr>
        <w:t>The process of debt restructuring in order to lower the financial risk.</w:t>
      </w:r>
    </w:p>
    <w:p w14:paraId="0E381E9A" w14:textId="77777777" w:rsidR="006C3A3E" w:rsidRPr="006C3A3E" w:rsidRDefault="006C3A3E" w:rsidP="00A87699">
      <w:pPr>
        <w:pStyle w:val="ListParagraph"/>
        <w:numPr>
          <w:ilvl w:val="0"/>
          <w:numId w:val="39"/>
        </w:numPr>
        <w:spacing w:line="360" w:lineRule="auto"/>
        <w:jc w:val="both"/>
        <w:rPr>
          <w:rFonts w:ascii="Arial" w:hAnsi="Arial" w:cs="Arial"/>
          <w:sz w:val="24"/>
          <w:szCs w:val="24"/>
        </w:rPr>
      </w:pPr>
      <w:r w:rsidRPr="006C3A3E">
        <w:rPr>
          <w:rFonts w:ascii="Arial" w:hAnsi="Arial" w:cs="Arial"/>
          <w:sz w:val="24"/>
          <w:szCs w:val="24"/>
        </w:rPr>
        <w:t>Use of receivables and inventory optimization to increase liquidity.</w:t>
      </w:r>
    </w:p>
    <w:p w14:paraId="19FAA688" w14:textId="77777777" w:rsidR="006C3A3E" w:rsidRPr="006C3A3E" w:rsidRDefault="006C3A3E" w:rsidP="00A87699">
      <w:pPr>
        <w:pStyle w:val="ListParagraph"/>
        <w:numPr>
          <w:ilvl w:val="0"/>
          <w:numId w:val="39"/>
        </w:numPr>
        <w:spacing w:line="360" w:lineRule="auto"/>
        <w:jc w:val="both"/>
        <w:rPr>
          <w:rFonts w:ascii="Arial" w:hAnsi="Arial" w:cs="Arial"/>
          <w:sz w:val="24"/>
          <w:szCs w:val="24"/>
        </w:rPr>
      </w:pPr>
      <w:r w:rsidRPr="006C3A3E">
        <w:rPr>
          <w:rFonts w:ascii="Arial" w:hAnsi="Arial" w:cs="Arial"/>
          <w:sz w:val="24"/>
          <w:szCs w:val="24"/>
        </w:rPr>
        <w:t>Specialized investment in risk-free high-paying projects to stabilize the revenue streams.</w:t>
      </w:r>
    </w:p>
    <w:p w14:paraId="66A78AD7" w14:textId="77777777" w:rsidR="006C3A3E" w:rsidRDefault="006C3A3E" w:rsidP="00A87699">
      <w:pPr>
        <w:spacing w:line="360" w:lineRule="auto"/>
        <w:jc w:val="both"/>
        <w:rPr>
          <w:rFonts w:ascii="Arial" w:hAnsi="Arial" w:cs="Arial"/>
          <w:sz w:val="24"/>
          <w:szCs w:val="24"/>
        </w:rPr>
      </w:pPr>
      <w:r w:rsidRPr="006C3A3E">
        <w:rPr>
          <w:rFonts w:ascii="Arial" w:hAnsi="Arial" w:cs="Arial"/>
          <w:sz w:val="24"/>
          <w:szCs w:val="24"/>
        </w:rPr>
        <w:t>These areas will be critical in returning solvency, regaining investor confidence and providing a platform based on sustainable recovery.</w:t>
      </w:r>
    </w:p>
    <w:p w14:paraId="13470B5C" w14:textId="12AF3597" w:rsidR="00367D9B" w:rsidRPr="00367D9B" w:rsidRDefault="00367D9B" w:rsidP="00A87699">
      <w:pPr>
        <w:spacing w:line="360" w:lineRule="auto"/>
        <w:jc w:val="both"/>
        <w:rPr>
          <w:rFonts w:ascii="Arial" w:hAnsi="Arial" w:cs="Arial"/>
          <w:b/>
          <w:bCs/>
          <w:sz w:val="24"/>
          <w:szCs w:val="24"/>
        </w:rPr>
      </w:pPr>
      <w:r w:rsidRPr="00367D9B">
        <w:rPr>
          <w:rFonts w:ascii="Arial" w:hAnsi="Arial" w:cs="Arial"/>
          <w:b/>
          <w:bCs/>
          <w:sz w:val="24"/>
          <w:szCs w:val="24"/>
        </w:rPr>
        <w:t>3. Working Capital Management Analysis</w:t>
      </w:r>
    </w:p>
    <w:p w14:paraId="2BF7C56B" w14:textId="51D5BE58" w:rsidR="00367D9B" w:rsidRPr="00367D9B" w:rsidRDefault="001C77AD" w:rsidP="00A87699">
      <w:pPr>
        <w:spacing w:line="360" w:lineRule="auto"/>
        <w:jc w:val="both"/>
        <w:rPr>
          <w:rFonts w:ascii="Arial" w:hAnsi="Arial" w:cs="Arial"/>
          <w:sz w:val="24"/>
          <w:szCs w:val="24"/>
        </w:rPr>
      </w:pPr>
      <w:r w:rsidRPr="001C77AD">
        <w:rPr>
          <w:rFonts w:ascii="Arial" w:hAnsi="Arial" w:cs="Arial"/>
          <w:sz w:val="24"/>
          <w:szCs w:val="24"/>
        </w:rPr>
        <w:t>Corporate sustainability necessitates the working capital to be well managed, especially when the company is in distress like General Electronics (GE). The current assets and liabilities are considered as the working capital, which is the difference between them, and it offers liquidity to fulfill short-term commitments and maintain the businesses (Brigham and Ehrhardt, 2022). GE also reported a current ratio of 1.53 and quick ratio of 0.84 in 2024 indicating liquidity is limited and the ability to absorb financial shocks that occur suddenly is lower. Despite the positive operating cash flows, both the growth on accounts receivable and extended holding of inventory has put a strain on liquidity which has constrained the flexibility in operations as well as funding short-term turn around projects.</w:t>
      </w:r>
    </w:p>
    <w:p w14:paraId="5B5D719C" w14:textId="77777777" w:rsidR="00367D9B" w:rsidRPr="00367D9B" w:rsidRDefault="00367D9B" w:rsidP="00A87699">
      <w:pPr>
        <w:spacing w:line="360" w:lineRule="auto"/>
        <w:jc w:val="both"/>
        <w:rPr>
          <w:rFonts w:ascii="Arial" w:hAnsi="Arial" w:cs="Arial"/>
          <w:b/>
          <w:bCs/>
          <w:sz w:val="24"/>
          <w:szCs w:val="24"/>
        </w:rPr>
      </w:pPr>
      <w:r w:rsidRPr="00367D9B">
        <w:rPr>
          <w:rFonts w:ascii="Arial" w:hAnsi="Arial" w:cs="Arial"/>
          <w:b/>
          <w:bCs/>
          <w:sz w:val="24"/>
          <w:szCs w:val="24"/>
        </w:rPr>
        <w:t>3.1 Cash Operating Cycle</w:t>
      </w:r>
    </w:p>
    <w:p w14:paraId="26F7C7E8" w14:textId="77777777" w:rsidR="001C77AD" w:rsidRDefault="001C77AD" w:rsidP="00A87699">
      <w:pPr>
        <w:spacing w:line="360" w:lineRule="auto"/>
        <w:jc w:val="both"/>
        <w:rPr>
          <w:rFonts w:ascii="Arial" w:hAnsi="Arial" w:cs="Arial"/>
          <w:sz w:val="24"/>
          <w:szCs w:val="24"/>
        </w:rPr>
      </w:pPr>
      <w:r w:rsidRPr="001C77AD">
        <w:rPr>
          <w:rFonts w:ascii="Arial" w:hAnsi="Arial" w:cs="Arial"/>
          <w:sz w:val="24"/>
          <w:szCs w:val="24"/>
        </w:rPr>
        <w:t>The cash operating cycle, also known as the cash conversion cycle, is a metric that determines the efficiency of a company in terms of transforming its investments in resources into cash flows (Gitman and Zutter, 2019). It is calculated as:</w:t>
      </w:r>
    </w:p>
    <w:p w14:paraId="63B82FD5" w14:textId="6948BFED"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COC</m:t>
          </m:r>
          <m:r>
            <w:rPr>
              <w:rFonts w:ascii="Cambria Math" w:hAnsi="Cambria Math" w:cs="Arial"/>
              <w:sz w:val="24"/>
              <w:szCs w:val="24"/>
            </w:rPr>
            <m:t>=</m:t>
          </m:r>
          <m:r>
            <m:rPr>
              <m:nor/>
            </m:rPr>
            <w:rPr>
              <w:rFonts w:ascii="Arial" w:hAnsi="Arial" w:cs="Arial"/>
              <w:sz w:val="24"/>
              <w:szCs w:val="24"/>
            </w:rPr>
            <m:t>DIO</m:t>
          </m:r>
          <m:r>
            <w:rPr>
              <w:rFonts w:ascii="Cambria Math" w:hAnsi="Cambria Math" w:cs="Arial"/>
              <w:sz w:val="24"/>
              <w:szCs w:val="24"/>
            </w:rPr>
            <m:t>+</m:t>
          </m:r>
          <m:r>
            <m:rPr>
              <m:nor/>
            </m:rPr>
            <w:rPr>
              <w:rFonts w:ascii="Arial" w:hAnsi="Arial" w:cs="Arial"/>
              <w:sz w:val="24"/>
              <w:szCs w:val="24"/>
            </w:rPr>
            <m:t>DSO</m:t>
          </m:r>
          <m:r>
            <w:rPr>
              <w:rFonts w:ascii="Cambria Math" w:hAnsi="Cambria Math" w:cs="Arial"/>
              <w:sz w:val="24"/>
              <w:szCs w:val="24"/>
            </w:rPr>
            <m:t>-</m:t>
          </m:r>
          <m:r>
            <m:rPr>
              <m:nor/>
            </m:rPr>
            <w:rPr>
              <w:rFonts w:ascii="Arial" w:hAnsi="Arial" w:cs="Arial"/>
              <w:sz w:val="24"/>
              <w:szCs w:val="24"/>
            </w:rPr>
            <m:t>DPO</m:t>
          </m:r>
          <m:r>
            <m:rPr>
              <m:sty m:val="p"/>
            </m:rPr>
            <w:rPr>
              <w:rFonts w:ascii="Arial" w:hAnsi="Arial" w:cs="Arial"/>
              <w:sz w:val="24"/>
              <w:szCs w:val="24"/>
            </w:rPr>
            <w:br/>
          </m:r>
        </m:oMath>
      </m:oMathPara>
    </w:p>
    <w:p w14:paraId="2C0FE87B"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Where:</w:t>
      </w:r>
    </w:p>
    <w:p w14:paraId="795671F3" w14:textId="77777777" w:rsidR="00367D9B" w:rsidRPr="00367D9B" w:rsidRDefault="00367D9B" w:rsidP="00C0153C">
      <w:pPr>
        <w:numPr>
          <w:ilvl w:val="0"/>
          <w:numId w:val="6"/>
        </w:numPr>
        <w:spacing w:line="360" w:lineRule="auto"/>
        <w:rPr>
          <w:rFonts w:ascii="Arial" w:hAnsi="Arial" w:cs="Arial"/>
          <w:sz w:val="24"/>
          <w:szCs w:val="24"/>
        </w:rPr>
      </w:pPr>
      <w:r w:rsidRPr="00367D9B">
        <w:rPr>
          <w:rFonts w:ascii="Arial" w:hAnsi="Arial" w:cs="Arial"/>
          <w:sz w:val="24"/>
          <w:szCs w:val="24"/>
        </w:rPr>
        <w:t>DIO = Days Inventory Outstanding</w:t>
      </w:r>
    </w:p>
    <w:p w14:paraId="045E6B1F" w14:textId="77777777" w:rsidR="00367D9B" w:rsidRPr="00367D9B" w:rsidRDefault="00367D9B" w:rsidP="00C0153C">
      <w:pPr>
        <w:numPr>
          <w:ilvl w:val="0"/>
          <w:numId w:val="6"/>
        </w:numPr>
        <w:spacing w:line="360" w:lineRule="auto"/>
        <w:rPr>
          <w:rFonts w:ascii="Arial" w:hAnsi="Arial" w:cs="Arial"/>
          <w:sz w:val="24"/>
          <w:szCs w:val="24"/>
        </w:rPr>
      </w:pPr>
      <w:r w:rsidRPr="00367D9B">
        <w:rPr>
          <w:rFonts w:ascii="Arial" w:hAnsi="Arial" w:cs="Arial"/>
          <w:sz w:val="24"/>
          <w:szCs w:val="24"/>
        </w:rPr>
        <w:lastRenderedPageBreak/>
        <w:t>DSO = Days Sales Outstanding</w:t>
      </w:r>
    </w:p>
    <w:p w14:paraId="354030D8" w14:textId="77777777" w:rsidR="00367D9B" w:rsidRPr="00367D9B" w:rsidRDefault="00367D9B" w:rsidP="00C0153C">
      <w:pPr>
        <w:numPr>
          <w:ilvl w:val="0"/>
          <w:numId w:val="6"/>
        </w:numPr>
        <w:spacing w:line="360" w:lineRule="auto"/>
        <w:rPr>
          <w:rFonts w:ascii="Arial" w:hAnsi="Arial" w:cs="Arial"/>
          <w:sz w:val="24"/>
          <w:szCs w:val="24"/>
        </w:rPr>
      </w:pPr>
      <w:r w:rsidRPr="00367D9B">
        <w:rPr>
          <w:rFonts w:ascii="Arial" w:hAnsi="Arial" w:cs="Arial"/>
          <w:sz w:val="24"/>
          <w:szCs w:val="24"/>
        </w:rPr>
        <w:t>DPO = Days Payables Outstanding</w:t>
      </w:r>
    </w:p>
    <w:p w14:paraId="7A9EAB3A"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GE’s historical cash conversion cycle data are summarized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487"/>
        <w:gridCol w:w="581"/>
        <w:gridCol w:w="581"/>
        <w:gridCol w:w="3530"/>
      </w:tblGrid>
      <w:tr w:rsidR="00367D9B" w:rsidRPr="00367D9B" w14:paraId="39E6C55B" w14:textId="77777777">
        <w:trPr>
          <w:tblHeader/>
          <w:tblCellSpacing w:w="15" w:type="dxa"/>
        </w:trPr>
        <w:tc>
          <w:tcPr>
            <w:tcW w:w="0" w:type="auto"/>
            <w:vAlign w:val="center"/>
            <w:hideMark/>
          </w:tcPr>
          <w:p w14:paraId="341BCB54"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Year</w:t>
            </w:r>
          </w:p>
        </w:tc>
        <w:tc>
          <w:tcPr>
            <w:tcW w:w="0" w:type="auto"/>
            <w:vAlign w:val="center"/>
            <w:hideMark/>
          </w:tcPr>
          <w:p w14:paraId="295427B7"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DIO</w:t>
            </w:r>
          </w:p>
        </w:tc>
        <w:tc>
          <w:tcPr>
            <w:tcW w:w="0" w:type="auto"/>
            <w:vAlign w:val="center"/>
            <w:hideMark/>
          </w:tcPr>
          <w:p w14:paraId="1C8454ED"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DSO</w:t>
            </w:r>
          </w:p>
        </w:tc>
        <w:tc>
          <w:tcPr>
            <w:tcW w:w="0" w:type="auto"/>
            <w:vAlign w:val="center"/>
            <w:hideMark/>
          </w:tcPr>
          <w:p w14:paraId="1BBAB97A"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DPO</w:t>
            </w:r>
          </w:p>
        </w:tc>
        <w:tc>
          <w:tcPr>
            <w:tcW w:w="0" w:type="auto"/>
            <w:vAlign w:val="center"/>
            <w:hideMark/>
          </w:tcPr>
          <w:p w14:paraId="656A4BB1"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Cash Conversion Cycle (days)</w:t>
            </w:r>
          </w:p>
        </w:tc>
      </w:tr>
      <w:tr w:rsidR="00367D9B" w:rsidRPr="00367D9B" w14:paraId="45B0A189" w14:textId="77777777">
        <w:trPr>
          <w:tblCellSpacing w:w="15" w:type="dxa"/>
        </w:trPr>
        <w:tc>
          <w:tcPr>
            <w:tcW w:w="0" w:type="auto"/>
            <w:vAlign w:val="center"/>
            <w:hideMark/>
          </w:tcPr>
          <w:p w14:paraId="652DF7CB"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2020</w:t>
            </w:r>
          </w:p>
        </w:tc>
        <w:tc>
          <w:tcPr>
            <w:tcW w:w="0" w:type="auto"/>
            <w:vAlign w:val="center"/>
            <w:hideMark/>
          </w:tcPr>
          <w:p w14:paraId="2F880861"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100</w:t>
            </w:r>
          </w:p>
        </w:tc>
        <w:tc>
          <w:tcPr>
            <w:tcW w:w="0" w:type="auto"/>
            <w:vAlign w:val="center"/>
            <w:hideMark/>
          </w:tcPr>
          <w:p w14:paraId="10B63EB8"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77</w:t>
            </w:r>
          </w:p>
        </w:tc>
        <w:tc>
          <w:tcPr>
            <w:tcW w:w="0" w:type="auto"/>
            <w:vAlign w:val="center"/>
            <w:hideMark/>
          </w:tcPr>
          <w:p w14:paraId="3A90C547"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48</w:t>
            </w:r>
          </w:p>
        </w:tc>
        <w:tc>
          <w:tcPr>
            <w:tcW w:w="0" w:type="auto"/>
            <w:vAlign w:val="center"/>
            <w:hideMark/>
          </w:tcPr>
          <w:p w14:paraId="5EED039E"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129</w:t>
            </w:r>
          </w:p>
        </w:tc>
      </w:tr>
      <w:tr w:rsidR="00367D9B" w:rsidRPr="00367D9B" w14:paraId="73E612FF" w14:textId="77777777">
        <w:trPr>
          <w:tblCellSpacing w:w="15" w:type="dxa"/>
        </w:trPr>
        <w:tc>
          <w:tcPr>
            <w:tcW w:w="0" w:type="auto"/>
            <w:vAlign w:val="center"/>
            <w:hideMark/>
          </w:tcPr>
          <w:p w14:paraId="2431D625"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2021</w:t>
            </w:r>
          </w:p>
        </w:tc>
        <w:tc>
          <w:tcPr>
            <w:tcW w:w="0" w:type="auto"/>
            <w:vAlign w:val="center"/>
            <w:hideMark/>
          </w:tcPr>
          <w:p w14:paraId="26F106F6"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114</w:t>
            </w:r>
          </w:p>
        </w:tc>
        <w:tc>
          <w:tcPr>
            <w:tcW w:w="0" w:type="auto"/>
            <w:vAlign w:val="center"/>
            <w:hideMark/>
          </w:tcPr>
          <w:p w14:paraId="07A4C3B8"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78</w:t>
            </w:r>
          </w:p>
        </w:tc>
        <w:tc>
          <w:tcPr>
            <w:tcW w:w="0" w:type="auto"/>
            <w:vAlign w:val="center"/>
            <w:hideMark/>
          </w:tcPr>
          <w:p w14:paraId="56F50DBC"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56</w:t>
            </w:r>
          </w:p>
        </w:tc>
        <w:tc>
          <w:tcPr>
            <w:tcW w:w="0" w:type="auto"/>
            <w:vAlign w:val="center"/>
            <w:hideMark/>
          </w:tcPr>
          <w:p w14:paraId="121CBF5D"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136</w:t>
            </w:r>
          </w:p>
        </w:tc>
      </w:tr>
      <w:tr w:rsidR="00367D9B" w:rsidRPr="00367D9B" w14:paraId="42F6AF0C" w14:textId="77777777">
        <w:trPr>
          <w:tblCellSpacing w:w="15" w:type="dxa"/>
        </w:trPr>
        <w:tc>
          <w:tcPr>
            <w:tcW w:w="0" w:type="auto"/>
            <w:vAlign w:val="center"/>
            <w:hideMark/>
          </w:tcPr>
          <w:p w14:paraId="5C73B406"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2022</w:t>
            </w:r>
          </w:p>
        </w:tc>
        <w:tc>
          <w:tcPr>
            <w:tcW w:w="0" w:type="auto"/>
            <w:vAlign w:val="center"/>
            <w:hideMark/>
          </w:tcPr>
          <w:p w14:paraId="5DCE3FE4"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131</w:t>
            </w:r>
          </w:p>
        </w:tc>
        <w:tc>
          <w:tcPr>
            <w:tcW w:w="0" w:type="auto"/>
            <w:vAlign w:val="center"/>
            <w:hideMark/>
          </w:tcPr>
          <w:p w14:paraId="4C75F561"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75</w:t>
            </w:r>
          </w:p>
        </w:tc>
        <w:tc>
          <w:tcPr>
            <w:tcW w:w="0" w:type="auto"/>
            <w:vAlign w:val="center"/>
            <w:hideMark/>
          </w:tcPr>
          <w:p w14:paraId="6453652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65</w:t>
            </w:r>
          </w:p>
        </w:tc>
        <w:tc>
          <w:tcPr>
            <w:tcW w:w="0" w:type="auto"/>
            <w:vAlign w:val="center"/>
            <w:hideMark/>
          </w:tcPr>
          <w:p w14:paraId="6E5B632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141</w:t>
            </w:r>
          </w:p>
        </w:tc>
      </w:tr>
      <w:tr w:rsidR="00367D9B" w:rsidRPr="00367D9B" w14:paraId="375C6914" w14:textId="77777777">
        <w:trPr>
          <w:tblCellSpacing w:w="15" w:type="dxa"/>
        </w:trPr>
        <w:tc>
          <w:tcPr>
            <w:tcW w:w="0" w:type="auto"/>
            <w:vAlign w:val="center"/>
            <w:hideMark/>
          </w:tcPr>
          <w:p w14:paraId="0CA632E8"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2023</w:t>
            </w:r>
          </w:p>
        </w:tc>
        <w:tc>
          <w:tcPr>
            <w:tcW w:w="0" w:type="auto"/>
            <w:vAlign w:val="center"/>
            <w:hideMark/>
          </w:tcPr>
          <w:p w14:paraId="5EFBB61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100</w:t>
            </w:r>
          </w:p>
        </w:tc>
        <w:tc>
          <w:tcPr>
            <w:tcW w:w="0" w:type="auto"/>
            <w:vAlign w:val="center"/>
            <w:hideMark/>
          </w:tcPr>
          <w:p w14:paraId="79845E19"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98</w:t>
            </w:r>
          </w:p>
        </w:tc>
        <w:tc>
          <w:tcPr>
            <w:tcW w:w="0" w:type="auto"/>
            <w:vAlign w:val="center"/>
            <w:hideMark/>
          </w:tcPr>
          <w:p w14:paraId="661AE09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61</w:t>
            </w:r>
          </w:p>
        </w:tc>
        <w:tc>
          <w:tcPr>
            <w:tcW w:w="0" w:type="auto"/>
            <w:vAlign w:val="center"/>
            <w:hideMark/>
          </w:tcPr>
          <w:p w14:paraId="3025DB57"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137</w:t>
            </w:r>
          </w:p>
        </w:tc>
      </w:tr>
      <w:tr w:rsidR="00367D9B" w:rsidRPr="00367D9B" w14:paraId="64EF0225" w14:textId="77777777">
        <w:trPr>
          <w:tblCellSpacing w:w="15" w:type="dxa"/>
        </w:trPr>
        <w:tc>
          <w:tcPr>
            <w:tcW w:w="0" w:type="auto"/>
            <w:vAlign w:val="center"/>
            <w:hideMark/>
          </w:tcPr>
          <w:p w14:paraId="6F38014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2024</w:t>
            </w:r>
          </w:p>
        </w:tc>
        <w:tc>
          <w:tcPr>
            <w:tcW w:w="0" w:type="auto"/>
            <w:vAlign w:val="center"/>
            <w:hideMark/>
          </w:tcPr>
          <w:p w14:paraId="5294DE0C"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103</w:t>
            </w:r>
          </w:p>
        </w:tc>
        <w:tc>
          <w:tcPr>
            <w:tcW w:w="0" w:type="auto"/>
            <w:vAlign w:val="center"/>
            <w:hideMark/>
          </w:tcPr>
          <w:p w14:paraId="34175E7B"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105</w:t>
            </w:r>
          </w:p>
        </w:tc>
        <w:tc>
          <w:tcPr>
            <w:tcW w:w="0" w:type="auto"/>
            <w:vAlign w:val="center"/>
            <w:hideMark/>
          </w:tcPr>
          <w:p w14:paraId="7F9072A4"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67</w:t>
            </w:r>
          </w:p>
        </w:tc>
        <w:tc>
          <w:tcPr>
            <w:tcW w:w="0" w:type="auto"/>
            <w:vAlign w:val="center"/>
            <w:hideMark/>
          </w:tcPr>
          <w:p w14:paraId="638AF53D"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141</w:t>
            </w:r>
          </w:p>
        </w:tc>
      </w:tr>
    </w:tbl>
    <w:p w14:paraId="40322F3E"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Calculation example for 2024:</w:t>
      </w:r>
    </w:p>
    <w:p w14:paraId="604B2348" w14:textId="7529F1FA"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COC</m:t>
          </m:r>
          <m:r>
            <w:rPr>
              <w:rFonts w:ascii="Cambria Math" w:hAnsi="Cambria Math" w:cs="Arial"/>
              <w:sz w:val="24"/>
              <w:szCs w:val="24"/>
            </w:rPr>
            <m:t>=103+105-67=141</m:t>
          </m:r>
          <m:r>
            <m:rPr>
              <m:nor/>
            </m:rPr>
            <w:rPr>
              <w:rFonts w:ascii="Arial" w:hAnsi="Arial" w:cs="Arial"/>
              <w:sz w:val="24"/>
              <w:szCs w:val="24"/>
            </w:rPr>
            <m:t xml:space="preserve"> days</m:t>
          </m:r>
          <m:r>
            <m:rPr>
              <m:sty m:val="p"/>
            </m:rPr>
            <w:rPr>
              <w:rFonts w:ascii="Arial" w:hAnsi="Arial" w:cs="Arial"/>
              <w:sz w:val="24"/>
              <w:szCs w:val="24"/>
            </w:rPr>
            <w:br/>
          </m:r>
        </m:oMath>
      </m:oMathPara>
    </w:p>
    <w:p w14:paraId="266ED333" w14:textId="578F1AFB" w:rsidR="00367D9B" w:rsidRPr="00367D9B" w:rsidRDefault="001C77AD" w:rsidP="00A87699">
      <w:pPr>
        <w:spacing w:line="360" w:lineRule="auto"/>
        <w:jc w:val="both"/>
        <w:rPr>
          <w:rFonts w:ascii="Arial" w:hAnsi="Arial" w:cs="Arial"/>
          <w:sz w:val="24"/>
          <w:szCs w:val="24"/>
        </w:rPr>
      </w:pPr>
      <w:r w:rsidRPr="001C77AD">
        <w:rPr>
          <w:rFonts w:ascii="Arial" w:hAnsi="Arial" w:cs="Arial"/>
          <w:sz w:val="24"/>
          <w:szCs w:val="24"/>
        </w:rPr>
        <w:t>The cash conversion cycle has grown to 141 days in 5 years meaning their operations became less efficient. Delayed receivable collection and inventory turnover is caused by sluggish sales, poor credit management, and possible inefficiency in production planning. Long-term COC does not only tie up liquidity but it also raises dependence on outside funding, which raises the financial risk.</w:t>
      </w:r>
    </w:p>
    <w:p w14:paraId="5D7B5B5E" w14:textId="77777777" w:rsidR="00A87699" w:rsidRDefault="00FC7823" w:rsidP="00A87699">
      <w:pPr>
        <w:spacing w:line="360" w:lineRule="auto"/>
        <w:jc w:val="both"/>
        <w:rPr>
          <w:rFonts w:ascii="Arial" w:hAnsi="Arial" w:cs="Arial"/>
          <w:b/>
          <w:bCs/>
          <w:sz w:val="24"/>
          <w:szCs w:val="24"/>
        </w:rPr>
      </w:pPr>
      <w:r w:rsidRPr="00FC7823">
        <w:rPr>
          <w:rFonts w:ascii="Arial" w:hAnsi="Arial" w:cs="Arial"/>
          <w:b/>
          <w:bCs/>
          <w:sz w:val="24"/>
          <w:szCs w:val="24"/>
        </w:rPr>
        <w:t>3.2 Receivables Management</w:t>
      </w:r>
    </w:p>
    <w:p w14:paraId="2DFCF764" w14:textId="20FB2306" w:rsidR="001C77AD" w:rsidRDefault="00FC7823" w:rsidP="00A87699">
      <w:pPr>
        <w:spacing w:line="360" w:lineRule="auto"/>
        <w:jc w:val="both"/>
        <w:rPr>
          <w:rFonts w:ascii="Arial" w:hAnsi="Arial" w:cs="Arial"/>
          <w:b/>
          <w:bCs/>
          <w:sz w:val="24"/>
          <w:szCs w:val="24"/>
        </w:rPr>
      </w:pPr>
      <w:r w:rsidRPr="00FC7823">
        <w:rPr>
          <w:rFonts w:ascii="Arial" w:hAnsi="Arial" w:cs="Arial"/>
          <w:b/>
          <w:bCs/>
          <w:sz w:val="24"/>
          <w:szCs w:val="24"/>
        </w:rPr>
        <w:br/>
      </w:r>
      <w:r w:rsidR="001C77AD" w:rsidRPr="001C77AD">
        <w:rPr>
          <w:rFonts w:ascii="Arial" w:hAnsi="Arial" w:cs="Arial"/>
          <w:sz w:val="24"/>
          <w:szCs w:val="24"/>
        </w:rPr>
        <w:t xml:space="preserve">Receivables management is important to maximize the cash conversion cycle of GE. The net sales dropped, however the receivables grew by PS112.3 to PS114.2 in 2020-2024, giving rise to the ratio of the receivables to net sales of 20.7 to 28.9. It raises the issues of poor collection policies and lack of credit checks. GE needs to use automated credit scoring systems (to assess risks in real-time) and adopt more stringent credit conditions on overdue accounts to become more efficient (Deloitte, 2023). Also, dynamic discounting will help to promote prompt payments without damaging customer relations (McKinsey, 2024). The cash availability and financial </w:t>
      </w:r>
      <w:r w:rsidR="001C77AD" w:rsidRPr="001C77AD">
        <w:rPr>
          <w:rFonts w:ascii="Arial" w:hAnsi="Arial" w:cs="Arial"/>
          <w:sz w:val="24"/>
          <w:szCs w:val="24"/>
        </w:rPr>
        <w:lastRenderedPageBreak/>
        <w:t>flexibility would be increased through the reduction of Days Sales Outstanding (DSO) by 20-25 days and a decrease in the short-term borrowing levels.</w:t>
      </w:r>
    </w:p>
    <w:p w14:paraId="1AF7E32D" w14:textId="77777777" w:rsidR="00A87699" w:rsidRDefault="00FC7823" w:rsidP="00FC7823">
      <w:pPr>
        <w:spacing w:line="360" w:lineRule="auto"/>
        <w:rPr>
          <w:rFonts w:ascii="Arial" w:hAnsi="Arial" w:cs="Arial"/>
          <w:b/>
          <w:bCs/>
          <w:sz w:val="24"/>
          <w:szCs w:val="24"/>
        </w:rPr>
      </w:pPr>
      <w:r w:rsidRPr="00FC7823">
        <w:rPr>
          <w:rFonts w:ascii="Arial" w:hAnsi="Arial" w:cs="Arial"/>
          <w:b/>
          <w:bCs/>
          <w:sz w:val="24"/>
          <w:szCs w:val="24"/>
        </w:rPr>
        <w:t>3.3 Inventory Management</w:t>
      </w:r>
    </w:p>
    <w:p w14:paraId="4A7550E8" w14:textId="32CDC47E" w:rsidR="001C77AD" w:rsidRPr="001C77AD" w:rsidRDefault="00FC7823" w:rsidP="00A87699">
      <w:pPr>
        <w:spacing w:line="360" w:lineRule="auto"/>
        <w:jc w:val="both"/>
        <w:rPr>
          <w:rFonts w:ascii="Arial" w:hAnsi="Arial" w:cs="Arial"/>
          <w:sz w:val="24"/>
          <w:szCs w:val="24"/>
        </w:rPr>
      </w:pPr>
      <w:r w:rsidRPr="00FC7823">
        <w:rPr>
          <w:rFonts w:ascii="Arial" w:hAnsi="Arial" w:cs="Arial"/>
          <w:b/>
          <w:bCs/>
          <w:sz w:val="24"/>
          <w:szCs w:val="24"/>
        </w:rPr>
        <w:br/>
      </w:r>
      <w:r w:rsidR="001C77AD" w:rsidRPr="001C77AD">
        <w:rPr>
          <w:rFonts w:ascii="Arial" w:hAnsi="Arial" w:cs="Arial"/>
          <w:sz w:val="24"/>
          <w:szCs w:val="24"/>
        </w:rPr>
        <w:t xml:space="preserve">In 2024, GE had a lower inventory of PS79 billion compared to PS140 billion in 2022, and this trend is mainly because of write-downs and production reductions and not directly because of operational improvements. The inventory turnover ratio consists of 3.5x lower than the industry average of 5.8x (PwC, 2024), which represents a lack of efficiency in managing stocks, locking them up, and increasing the risk of obsolescence. Lean concepts like Just-in-Time (JIT) and enhanced Sales and Operations Planning (S&amp;OP) can be suggested in order to resolve this (Christopher, 2016). AI-driven demand prediction will also be able to adjust production and demand to the real demand and minimize wastage of stock and uphold service levels (Accenture, 2024). The increased efficiency of inventory will lead to the reduction of the cash conversion cycle and the increase of the working capital </w:t>
      </w:r>
      <w:proofErr w:type="spellStart"/>
      <w:r w:rsidR="001C77AD" w:rsidRPr="001C77AD">
        <w:rPr>
          <w:rFonts w:ascii="Arial" w:hAnsi="Arial" w:cs="Arial"/>
          <w:sz w:val="24"/>
          <w:szCs w:val="24"/>
        </w:rPr>
        <w:t>utilisation</w:t>
      </w:r>
      <w:proofErr w:type="spellEnd"/>
      <w:r w:rsidR="001C77AD" w:rsidRPr="001C77AD">
        <w:rPr>
          <w:rFonts w:ascii="Arial" w:hAnsi="Arial" w:cs="Arial"/>
          <w:sz w:val="24"/>
          <w:szCs w:val="24"/>
        </w:rPr>
        <w:t>.</w:t>
      </w:r>
    </w:p>
    <w:p w14:paraId="54E00F25" w14:textId="77777777" w:rsidR="00A87699" w:rsidRDefault="00FC7823" w:rsidP="00A87699">
      <w:pPr>
        <w:spacing w:line="360" w:lineRule="auto"/>
        <w:jc w:val="both"/>
        <w:rPr>
          <w:rFonts w:ascii="Arial" w:hAnsi="Arial" w:cs="Arial"/>
          <w:b/>
          <w:bCs/>
          <w:sz w:val="24"/>
          <w:szCs w:val="24"/>
        </w:rPr>
      </w:pPr>
      <w:r w:rsidRPr="00FC7823">
        <w:rPr>
          <w:rFonts w:ascii="Arial" w:hAnsi="Arial" w:cs="Arial"/>
          <w:b/>
          <w:bCs/>
          <w:sz w:val="24"/>
          <w:szCs w:val="24"/>
        </w:rPr>
        <w:t>3.4 Payables and Supplier Relations</w:t>
      </w:r>
    </w:p>
    <w:p w14:paraId="61889C4B" w14:textId="606D1C35" w:rsidR="001C77AD" w:rsidRPr="00813F8A" w:rsidRDefault="00FC7823" w:rsidP="00A87699">
      <w:pPr>
        <w:spacing w:line="360" w:lineRule="auto"/>
        <w:jc w:val="both"/>
        <w:rPr>
          <w:rFonts w:ascii="Arial" w:hAnsi="Arial" w:cs="Arial"/>
          <w:sz w:val="24"/>
          <w:szCs w:val="24"/>
        </w:rPr>
      </w:pPr>
      <w:r w:rsidRPr="00FC7823">
        <w:rPr>
          <w:rFonts w:ascii="Arial" w:hAnsi="Arial" w:cs="Arial"/>
          <w:b/>
          <w:bCs/>
          <w:sz w:val="24"/>
          <w:szCs w:val="24"/>
        </w:rPr>
        <w:br/>
      </w:r>
      <w:r w:rsidR="001C77AD" w:rsidRPr="00813F8A">
        <w:rPr>
          <w:rFonts w:ascii="Arial" w:hAnsi="Arial" w:cs="Arial"/>
          <w:sz w:val="24"/>
          <w:szCs w:val="24"/>
        </w:rPr>
        <w:t>The account payable rose to PS72 billion in the year 23. Although this will bring a short-term solvent to the liquidity situation, it can affect supplier confidence and continuity of the supply chain. Supplier financing or reverse factoring is a relatively balanced solution, which enables the company to extend its payment terms without damaging relationships with suppliers (EY, 2024). Supplier alliances are very important in consumer electronics as it maintains uninterrupted production and supply of components.</w:t>
      </w:r>
    </w:p>
    <w:p w14:paraId="3DAE5B73" w14:textId="77777777" w:rsidR="00A87699" w:rsidRDefault="00FC7823" w:rsidP="00FC7823">
      <w:pPr>
        <w:spacing w:line="360" w:lineRule="auto"/>
        <w:rPr>
          <w:rFonts w:ascii="Arial" w:hAnsi="Arial" w:cs="Arial"/>
          <w:b/>
          <w:bCs/>
          <w:sz w:val="24"/>
          <w:szCs w:val="24"/>
        </w:rPr>
      </w:pPr>
      <w:r w:rsidRPr="00FC7823">
        <w:rPr>
          <w:rFonts w:ascii="Arial" w:hAnsi="Arial" w:cs="Arial"/>
          <w:b/>
          <w:bCs/>
          <w:sz w:val="24"/>
          <w:szCs w:val="24"/>
        </w:rPr>
        <w:t>3.5 Working Capital Financing Options</w:t>
      </w:r>
    </w:p>
    <w:p w14:paraId="4FAE0B70" w14:textId="3F912111" w:rsidR="001C77AD" w:rsidRPr="00A87699" w:rsidRDefault="00FC7823" w:rsidP="00A87699">
      <w:pPr>
        <w:spacing w:line="360" w:lineRule="auto"/>
        <w:jc w:val="both"/>
        <w:rPr>
          <w:rFonts w:ascii="Arial" w:hAnsi="Arial" w:cs="Arial"/>
          <w:b/>
          <w:bCs/>
          <w:sz w:val="24"/>
          <w:szCs w:val="24"/>
        </w:rPr>
      </w:pPr>
      <w:r w:rsidRPr="00FC7823">
        <w:rPr>
          <w:rFonts w:ascii="Arial" w:hAnsi="Arial" w:cs="Arial"/>
          <w:b/>
          <w:bCs/>
          <w:sz w:val="24"/>
          <w:szCs w:val="24"/>
        </w:rPr>
        <w:br/>
      </w:r>
      <w:r w:rsidR="001C77AD" w:rsidRPr="00813F8A">
        <w:rPr>
          <w:rFonts w:ascii="Arial" w:hAnsi="Arial" w:cs="Arial"/>
          <w:sz w:val="24"/>
          <w:szCs w:val="24"/>
        </w:rPr>
        <w:t xml:space="preserve">Financing strategies should be short-term and long-term in the process of complementing operational improvements. The immediate liquidity is offered at a higher cost, in form of short-term options such as bank overdrafts, revolving credit lines, commercial paper, and invoice discounting (KPMG, 2023). Term loans and equity financing are long-term solutions that help to stabilize the balance sheet and </w:t>
      </w:r>
      <w:r w:rsidR="001C77AD" w:rsidRPr="00813F8A">
        <w:rPr>
          <w:rFonts w:ascii="Arial" w:hAnsi="Arial" w:cs="Arial"/>
          <w:sz w:val="24"/>
          <w:szCs w:val="24"/>
        </w:rPr>
        <w:lastRenderedPageBreak/>
        <w:t>minimize dependency on debt as well as finance turnaround efforts. It is recommendable to use a combination strategy of short term facilities as the source of immediate liquidity and medium term equity injections as the source of solvency.</w:t>
      </w:r>
    </w:p>
    <w:p w14:paraId="5CAFB0FE" w14:textId="77777777" w:rsidR="00A87699" w:rsidRDefault="00FC7823" w:rsidP="001C77AD">
      <w:pPr>
        <w:spacing w:line="360" w:lineRule="auto"/>
        <w:rPr>
          <w:rFonts w:ascii="Arial" w:hAnsi="Arial" w:cs="Arial"/>
          <w:b/>
          <w:bCs/>
          <w:sz w:val="24"/>
          <w:szCs w:val="24"/>
        </w:rPr>
      </w:pPr>
      <w:r w:rsidRPr="00FC7823">
        <w:rPr>
          <w:rFonts w:ascii="Arial" w:hAnsi="Arial" w:cs="Arial"/>
          <w:b/>
          <w:bCs/>
          <w:sz w:val="24"/>
          <w:szCs w:val="24"/>
        </w:rPr>
        <w:t>3.6 Recommended Working Capital Reforms</w:t>
      </w:r>
    </w:p>
    <w:p w14:paraId="3A62543B" w14:textId="068FFB7D" w:rsidR="001C77AD" w:rsidRPr="00813F8A" w:rsidRDefault="00FC7823" w:rsidP="00A87699">
      <w:pPr>
        <w:spacing w:line="360" w:lineRule="auto"/>
        <w:jc w:val="both"/>
        <w:rPr>
          <w:rFonts w:ascii="Arial" w:hAnsi="Arial" w:cs="Arial"/>
          <w:sz w:val="24"/>
          <w:szCs w:val="24"/>
        </w:rPr>
      </w:pPr>
      <w:r w:rsidRPr="00FC7823">
        <w:rPr>
          <w:rFonts w:ascii="Arial" w:hAnsi="Arial" w:cs="Arial"/>
          <w:b/>
          <w:bCs/>
          <w:sz w:val="24"/>
          <w:szCs w:val="24"/>
        </w:rPr>
        <w:br/>
      </w:r>
      <w:r w:rsidR="001C77AD" w:rsidRPr="00813F8A">
        <w:rPr>
          <w:rFonts w:ascii="Arial" w:hAnsi="Arial" w:cs="Arial"/>
          <w:sz w:val="24"/>
          <w:szCs w:val="24"/>
        </w:rPr>
        <w:t xml:space="preserve">The main reforms to improve liquidity and efficiency in operation entail: </w:t>
      </w:r>
    </w:p>
    <w:p w14:paraId="45F39A83" w14:textId="77777777" w:rsidR="001C77AD" w:rsidRPr="00813F8A" w:rsidRDefault="001C77AD" w:rsidP="00A87699">
      <w:pPr>
        <w:pStyle w:val="ListParagraph"/>
        <w:numPr>
          <w:ilvl w:val="0"/>
          <w:numId w:val="40"/>
        </w:numPr>
        <w:spacing w:line="360" w:lineRule="auto"/>
        <w:jc w:val="both"/>
        <w:rPr>
          <w:rFonts w:ascii="Arial" w:hAnsi="Arial" w:cs="Arial"/>
          <w:sz w:val="24"/>
          <w:szCs w:val="24"/>
        </w:rPr>
      </w:pPr>
      <w:r w:rsidRPr="00813F8A">
        <w:rPr>
          <w:rFonts w:ascii="Arial" w:hAnsi="Arial" w:cs="Arial"/>
          <w:sz w:val="24"/>
          <w:szCs w:val="24"/>
        </w:rPr>
        <w:t xml:space="preserve">Receivables: Introduce real-time credit analytics, tighten the terms of the high-risk clients, and reward paying on time. </w:t>
      </w:r>
    </w:p>
    <w:p w14:paraId="7577CBBB" w14:textId="77777777" w:rsidR="001C77AD" w:rsidRPr="00813F8A" w:rsidRDefault="001C77AD" w:rsidP="00A87699">
      <w:pPr>
        <w:pStyle w:val="ListParagraph"/>
        <w:numPr>
          <w:ilvl w:val="0"/>
          <w:numId w:val="40"/>
        </w:numPr>
        <w:spacing w:line="360" w:lineRule="auto"/>
        <w:jc w:val="both"/>
        <w:rPr>
          <w:rFonts w:ascii="Arial" w:hAnsi="Arial" w:cs="Arial"/>
          <w:sz w:val="24"/>
          <w:szCs w:val="24"/>
        </w:rPr>
      </w:pPr>
      <w:r w:rsidRPr="00813F8A">
        <w:rPr>
          <w:rFonts w:ascii="Arial" w:hAnsi="Arial" w:cs="Arial"/>
          <w:sz w:val="24"/>
          <w:szCs w:val="24"/>
        </w:rPr>
        <w:t xml:space="preserve">Inventory: Use AI based forecasting combined with production planning as a strategy to minimize the holding costs and write-downs. </w:t>
      </w:r>
    </w:p>
    <w:p w14:paraId="2EBF7900" w14:textId="77777777" w:rsidR="001C77AD" w:rsidRPr="00813F8A" w:rsidRDefault="001C77AD" w:rsidP="00A87699">
      <w:pPr>
        <w:pStyle w:val="ListParagraph"/>
        <w:numPr>
          <w:ilvl w:val="0"/>
          <w:numId w:val="40"/>
        </w:numPr>
        <w:spacing w:line="360" w:lineRule="auto"/>
        <w:jc w:val="both"/>
        <w:rPr>
          <w:rFonts w:ascii="Arial" w:hAnsi="Arial" w:cs="Arial"/>
          <w:sz w:val="24"/>
          <w:szCs w:val="24"/>
        </w:rPr>
      </w:pPr>
      <w:r w:rsidRPr="00813F8A">
        <w:rPr>
          <w:rFonts w:ascii="Arial" w:hAnsi="Arial" w:cs="Arial"/>
          <w:sz w:val="24"/>
          <w:szCs w:val="24"/>
        </w:rPr>
        <w:t xml:space="preserve">Payables: through the responsibly extension of payment terms, use reverse factoring and supply-chain financing. </w:t>
      </w:r>
    </w:p>
    <w:p w14:paraId="2D1DD246" w14:textId="77777777" w:rsidR="001C77AD" w:rsidRPr="00813F8A" w:rsidRDefault="001C77AD" w:rsidP="00A87699">
      <w:pPr>
        <w:pStyle w:val="ListParagraph"/>
        <w:numPr>
          <w:ilvl w:val="0"/>
          <w:numId w:val="40"/>
        </w:numPr>
        <w:spacing w:line="360" w:lineRule="auto"/>
        <w:jc w:val="both"/>
        <w:rPr>
          <w:rFonts w:ascii="Arial" w:hAnsi="Arial" w:cs="Arial"/>
          <w:sz w:val="24"/>
          <w:szCs w:val="24"/>
        </w:rPr>
      </w:pPr>
      <w:r w:rsidRPr="00813F8A">
        <w:rPr>
          <w:rFonts w:ascii="Arial" w:hAnsi="Arial" w:cs="Arial"/>
          <w:sz w:val="24"/>
          <w:szCs w:val="24"/>
        </w:rPr>
        <w:t xml:space="preserve">Cash Forecasting: Prepare 13-week cash flow models in order to create a better short-term liquidity visibility (Grant Thornton, 2023). </w:t>
      </w:r>
    </w:p>
    <w:p w14:paraId="0088FBCC" w14:textId="0291C421" w:rsidR="001C77AD" w:rsidRPr="00813F8A" w:rsidRDefault="001C77AD" w:rsidP="00A87699">
      <w:pPr>
        <w:spacing w:line="360" w:lineRule="auto"/>
        <w:jc w:val="both"/>
        <w:rPr>
          <w:rFonts w:ascii="Arial" w:hAnsi="Arial" w:cs="Arial"/>
          <w:sz w:val="24"/>
          <w:szCs w:val="24"/>
        </w:rPr>
      </w:pPr>
      <w:r w:rsidRPr="00813F8A">
        <w:rPr>
          <w:rFonts w:ascii="Arial" w:hAnsi="Arial" w:cs="Arial"/>
          <w:sz w:val="24"/>
          <w:szCs w:val="24"/>
        </w:rPr>
        <w:t>These reforms have the potential of cutting the cash conversion cycle by 25-30 days, which would release PS25-30 billion of cash that could be used in operations and debt service.</w:t>
      </w:r>
    </w:p>
    <w:p w14:paraId="6E6853B0" w14:textId="335F6E1D" w:rsidR="00A87699" w:rsidRPr="00A87699" w:rsidRDefault="00FC7823" w:rsidP="00A87699">
      <w:pPr>
        <w:pStyle w:val="ListParagraph"/>
        <w:numPr>
          <w:ilvl w:val="1"/>
          <w:numId w:val="37"/>
        </w:numPr>
        <w:spacing w:line="360" w:lineRule="auto"/>
        <w:jc w:val="both"/>
        <w:rPr>
          <w:rFonts w:ascii="Arial" w:hAnsi="Arial" w:cs="Arial"/>
          <w:b/>
          <w:bCs/>
          <w:sz w:val="24"/>
          <w:szCs w:val="24"/>
        </w:rPr>
      </w:pPr>
      <w:r w:rsidRPr="00A87699">
        <w:rPr>
          <w:rFonts w:ascii="Arial" w:hAnsi="Arial" w:cs="Arial"/>
          <w:b/>
          <w:bCs/>
          <w:sz w:val="24"/>
          <w:szCs w:val="24"/>
        </w:rPr>
        <w:t>Strategic Implications</w:t>
      </w:r>
    </w:p>
    <w:p w14:paraId="70883253" w14:textId="7A501CA8" w:rsidR="00FC7823" w:rsidRPr="00A87699" w:rsidRDefault="00FC7823" w:rsidP="00A87699">
      <w:pPr>
        <w:spacing w:line="360" w:lineRule="auto"/>
        <w:ind w:left="360"/>
        <w:jc w:val="both"/>
        <w:rPr>
          <w:rFonts w:ascii="Arial" w:hAnsi="Arial" w:cs="Arial"/>
          <w:b/>
          <w:bCs/>
          <w:sz w:val="24"/>
          <w:szCs w:val="24"/>
        </w:rPr>
      </w:pPr>
      <w:r w:rsidRPr="00A87699">
        <w:rPr>
          <w:rFonts w:ascii="Arial" w:hAnsi="Arial" w:cs="Arial"/>
          <w:b/>
          <w:bCs/>
          <w:sz w:val="24"/>
          <w:szCs w:val="24"/>
        </w:rPr>
        <w:br/>
      </w:r>
      <w:r w:rsidR="001C77AD" w:rsidRPr="00A87699">
        <w:rPr>
          <w:rFonts w:ascii="Arial" w:hAnsi="Arial" w:cs="Arial"/>
          <w:sz w:val="24"/>
          <w:szCs w:val="24"/>
        </w:rPr>
        <w:t>The financial position of GE highlights the importance of effective management of cash flow and prioritization of investment. Improved productivity of operations, reduced short-term debt, and quick working capital turnover are of paramount importance in financial recovery. Greater liquidity will underpin high-paying projects. I would consider Project C that has the highest NPV, IRR, ARR, and profitability index but when implementing it in practice, the existing cash limitations should be taken into account. Value-accretive investments, vigorous cost management, and picky capital investment will restore competitiveness and shareholder trust.</w:t>
      </w:r>
    </w:p>
    <w:p w14:paraId="0DBB68E5" w14:textId="77777777" w:rsidR="00D6551D" w:rsidRDefault="00D6551D" w:rsidP="00FC7823">
      <w:pPr>
        <w:spacing w:line="360" w:lineRule="auto"/>
        <w:rPr>
          <w:rFonts w:ascii="Arial" w:hAnsi="Arial" w:cs="Arial"/>
          <w:b/>
          <w:bCs/>
          <w:sz w:val="24"/>
          <w:szCs w:val="24"/>
        </w:rPr>
      </w:pPr>
    </w:p>
    <w:p w14:paraId="31F06B98" w14:textId="77777777" w:rsidR="00D6551D" w:rsidRDefault="00D6551D" w:rsidP="00FC7823">
      <w:pPr>
        <w:spacing w:line="360" w:lineRule="auto"/>
        <w:rPr>
          <w:rFonts w:ascii="Arial" w:hAnsi="Arial" w:cs="Arial"/>
          <w:b/>
          <w:bCs/>
          <w:sz w:val="24"/>
          <w:szCs w:val="24"/>
        </w:rPr>
      </w:pPr>
    </w:p>
    <w:p w14:paraId="33FF8886" w14:textId="69B3CDF0" w:rsidR="00FC7823" w:rsidRPr="00FC7823" w:rsidRDefault="00FC7823" w:rsidP="00FC7823">
      <w:pPr>
        <w:spacing w:line="360" w:lineRule="auto"/>
        <w:rPr>
          <w:rFonts w:ascii="Arial" w:hAnsi="Arial" w:cs="Arial"/>
          <w:b/>
          <w:bCs/>
          <w:sz w:val="24"/>
          <w:szCs w:val="24"/>
        </w:rPr>
      </w:pPr>
      <w:r w:rsidRPr="00FC7823">
        <w:rPr>
          <w:rFonts w:ascii="Arial" w:hAnsi="Arial" w:cs="Arial"/>
          <w:b/>
          <w:bCs/>
          <w:sz w:val="24"/>
          <w:szCs w:val="24"/>
        </w:rPr>
        <w:lastRenderedPageBreak/>
        <w:t>4. Strategic Financial Restructuring Plan</w:t>
      </w:r>
    </w:p>
    <w:p w14:paraId="5B5C2DA6" w14:textId="77777777" w:rsidR="00A87699" w:rsidRDefault="00FC7823" w:rsidP="00FC7823">
      <w:pPr>
        <w:spacing w:line="360" w:lineRule="auto"/>
        <w:rPr>
          <w:rFonts w:ascii="Arial" w:hAnsi="Arial" w:cs="Arial"/>
          <w:b/>
          <w:bCs/>
          <w:sz w:val="24"/>
          <w:szCs w:val="24"/>
        </w:rPr>
      </w:pPr>
      <w:r w:rsidRPr="00FC7823">
        <w:rPr>
          <w:rFonts w:ascii="Arial" w:hAnsi="Arial" w:cs="Arial"/>
          <w:b/>
          <w:bCs/>
          <w:sz w:val="24"/>
          <w:szCs w:val="24"/>
        </w:rPr>
        <w:t>4.1 Overview</w:t>
      </w:r>
    </w:p>
    <w:p w14:paraId="6D254595" w14:textId="37DE046A" w:rsidR="00FC7823" w:rsidRPr="00FC7823" w:rsidRDefault="00FC7823" w:rsidP="00A87699">
      <w:pPr>
        <w:spacing w:line="360" w:lineRule="auto"/>
        <w:jc w:val="both"/>
        <w:rPr>
          <w:rFonts w:ascii="Arial" w:hAnsi="Arial" w:cs="Arial"/>
          <w:sz w:val="24"/>
          <w:szCs w:val="24"/>
        </w:rPr>
      </w:pPr>
      <w:r w:rsidRPr="00FC7823">
        <w:rPr>
          <w:rFonts w:ascii="Arial" w:hAnsi="Arial" w:cs="Arial"/>
          <w:b/>
          <w:bCs/>
          <w:sz w:val="24"/>
          <w:szCs w:val="24"/>
        </w:rPr>
        <w:br/>
      </w:r>
      <w:r w:rsidR="001C77AD" w:rsidRPr="00813F8A">
        <w:rPr>
          <w:rFonts w:ascii="Arial" w:hAnsi="Arial" w:cs="Arial"/>
          <w:sz w:val="24"/>
          <w:szCs w:val="24"/>
        </w:rPr>
        <w:t>Financial restructuring solves liquidity issues and the lack of investor confidence by restructuring capital structure by using debt management, equity recapitalization, and reallocation of assets (Altman and Hotchkiss, 2020). By 2024, the debt-to-equity ratio of GE had decreased to 1.11, and the retained earnings decreased 36 percent since 2020 because of losses and suspended dividends. The prevalence of short-term credit enhances the risk of refinancing and restricts the ability to invest. All that is required is a holistic restructuring plan, which includes financial engineering, rationalization of operations and ethical governance.</w:t>
      </w:r>
    </w:p>
    <w:p w14:paraId="49EB5B37" w14:textId="77777777" w:rsidR="00FC7823" w:rsidRPr="00FC7823" w:rsidRDefault="00FC7823" w:rsidP="00FC7823">
      <w:pPr>
        <w:spacing w:line="360" w:lineRule="auto"/>
        <w:rPr>
          <w:rFonts w:ascii="Arial" w:hAnsi="Arial" w:cs="Arial"/>
          <w:b/>
          <w:bCs/>
          <w:sz w:val="24"/>
          <w:szCs w:val="24"/>
        </w:rPr>
      </w:pPr>
      <w:r w:rsidRPr="00FC7823">
        <w:rPr>
          <w:rFonts w:ascii="Arial" w:hAnsi="Arial" w:cs="Arial"/>
          <w:b/>
          <w:bCs/>
          <w:sz w:val="24"/>
          <w:szCs w:val="24"/>
        </w:rPr>
        <w:t>4.2 Recommended Measures</w:t>
      </w:r>
    </w:p>
    <w:p w14:paraId="739762C2" w14:textId="77777777" w:rsidR="001C77AD" w:rsidRPr="001C77AD" w:rsidRDefault="001C77AD" w:rsidP="001C77AD">
      <w:pPr>
        <w:spacing w:line="360" w:lineRule="auto"/>
        <w:rPr>
          <w:rFonts w:ascii="Arial" w:hAnsi="Arial" w:cs="Arial"/>
          <w:b/>
          <w:bCs/>
          <w:sz w:val="24"/>
          <w:szCs w:val="24"/>
        </w:rPr>
      </w:pPr>
      <w:r w:rsidRPr="001C77AD">
        <w:rPr>
          <w:rFonts w:ascii="Arial" w:hAnsi="Arial" w:cs="Arial"/>
          <w:b/>
          <w:bCs/>
          <w:sz w:val="24"/>
          <w:szCs w:val="24"/>
        </w:rPr>
        <w:t>a) Debt Restructuring:</w:t>
      </w:r>
    </w:p>
    <w:p w14:paraId="57A84B1E" w14:textId="714462B8" w:rsidR="001C77AD" w:rsidRPr="00813F8A" w:rsidRDefault="001C77AD" w:rsidP="00A87699">
      <w:pPr>
        <w:spacing w:line="360" w:lineRule="auto"/>
        <w:jc w:val="both"/>
        <w:rPr>
          <w:rFonts w:ascii="Arial" w:hAnsi="Arial" w:cs="Arial"/>
          <w:sz w:val="24"/>
          <w:szCs w:val="24"/>
        </w:rPr>
      </w:pPr>
      <w:r w:rsidRPr="00813F8A">
        <w:rPr>
          <w:rFonts w:ascii="Arial" w:hAnsi="Arial" w:cs="Arial"/>
          <w:sz w:val="24"/>
          <w:szCs w:val="24"/>
        </w:rPr>
        <w:t>Refinancing loans with long term maturity, lower interest rate or conversion of part of debt to equity would improve liquidity and predictability of cash flows (IMF, 2024). As an illustration, debt-to-equity of 1.11 can be lowered to 0.9 by converting PS20 billion of debt into equity. It is better to redeem convertible bonds and reduce interest payments because it ensures investor confidence (Damodaran, 2023).</w:t>
      </w:r>
    </w:p>
    <w:p w14:paraId="6E569F01" w14:textId="77777777" w:rsidR="001C77AD" w:rsidRPr="001C77AD" w:rsidRDefault="001C77AD" w:rsidP="001C77AD">
      <w:pPr>
        <w:spacing w:line="360" w:lineRule="auto"/>
        <w:rPr>
          <w:rFonts w:ascii="Arial" w:hAnsi="Arial" w:cs="Arial"/>
          <w:b/>
          <w:bCs/>
          <w:sz w:val="24"/>
          <w:szCs w:val="24"/>
        </w:rPr>
      </w:pPr>
      <w:r w:rsidRPr="001C77AD">
        <w:rPr>
          <w:rFonts w:ascii="Arial" w:hAnsi="Arial" w:cs="Arial"/>
          <w:b/>
          <w:bCs/>
          <w:sz w:val="24"/>
          <w:szCs w:val="24"/>
        </w:rPr>
        <w:t>b) Equity Recapitalization:</w:t>
      </w:r>
    </w:p>
    <w:p w14:paraId="158958BE" w14:textId="72BB1EAC" w:rsidR="001C77AD" w:rsidRPr="00813F8A" w:rsidRDefault="001C77AD" w:rsidP="00A87699">
      <w:pPr>
        <w:spacing w:line="360" w:lineRule="auto"/>
        <w:jc w:val="both"/>
        <w:rPr>
          <w:rFonts w:ascii="Arial" w:hAnsi="Arial" w:cs="Arial"/>
          <w:sz w:val="24"/>
          <w:szCs w:val="24"/>
        </w:rPr>
      </w:pPr>
      <w:r w:rsidRPr="00813F8A">
        <w:rPr>
          <w:rFonts w:ascii="Arial" w:hAnsi="Arial" w:cs="Arial"/>
          <w:sz w:val="24"/>
          <w:szCs w:val="24"/>
        </w:rPr>
        <w:t>A rights issue would provide PS10 billion of new shares to settle their debt and strengthen their assets and invest in strategy. It is an indicator of stability in the long run, better credit rating, and a reduced WACC (EY, 2024; Modigliani and Miller, 1963).</w:t>
      </w:r>
    </w:p>
    <w:p w14:paraId="763EB8AF" w14:textId="77777777" w:rsidR="001C77AD" w:rsidRDefault="001C77AD" w:rsidP="001C77AD">
      <w:pPr>
        <w:spacing w:line="360" w:lineRule="auto"/>
        <w:rPr>
          <w:rFonts w:ascii="Arial" w:hAnsi="Arial" w:cs="Arial"/>
          <w:b/>
          <w:bCs/>
          <w:sz w:val="24"/>
          <w:szCs w:val="24"/>
        </w:rPr>
      </w:pPr>
      <w:r w:rsidRPr="001C77AD">
        <w:rPr>
          <w:rFonts w:ascii="Arial" w:hAnsi="Arial" w:cs="Arial"/>
          <w:b/>
          <w:bCs/>
          <w:sz w:val="24"/>
          <w:szCs w:val="24"/>
        </w:rPr>
        <w:t>c) Asset Divestiture:</w:t>
      </w:r>
      <w:r>
        <w:rPr>
          <w:rFonts w:ascii="Arial" w:hAnsi="Arial" w:cs="Arial"/>
          <w:b/>
          <w:bCs/>
          <w:sz w:val="24"/>
          <w:szCs w:val="24"/>
        </w:rPr>
        <w:t xml:space="preserve"> </w:t>
      </w:r>
    </w:p>
    <w:p w14:paraId="0B6B3FAF" w14:textId="24F56C0B" w:rsidR="001C77AD" w:rsidRPr="00813F8A" w:rsidRDefault="001C77AD" w:rsidP="00A87699">
      <w:pPr>
        <w:spacing w:line="360" w:lineRule="auto"/>
        <w:jc w:val="both"/>
        <w:rPr>
          <w:rFonts w:ascii="Arial" w:hAnsi="Arial" w:cs="Arial"/>
          <w:sz w:val="24"/>
          <w:szCs w:val="24"/>
        </w:rPr>
      </w:pPr>
      <w:r w:rsidRPr="00813F8A">
        <w:rPr>
          <w:rFonts w:ascii="Arial" w:hAnsi="Arial" w:cs="Arial"/>
          <w:sz w:val="24"/>
          <w:szCs w:val="24"/>
        </w:rPr>
        <w:t>The disposition of non-core or non-performers would yield PS15-20 billion, simplify business processes, and enable the company to concentrate on growth opportunities in the fields of smart devices and renewable technologies (McKinsey and Company, 2024; BCG, 2023). Ethical execution avoids loss of morale among employees and company image.</w:t>
      </w:r>
    </w:p>
    <w:p w14:paraId="45C1CBA0" w14:textId="77777777" w:rsidR="008943B3" w:rsidRDefault="001C77AD" w:rsidP="001C77AD">
      <w:pPr>
        <w:spacing w:line="360" w:lineRule="auto"/>
        <w:rPr>
          <w:rFonts w:ascii="Arial" w:hAnsi="Arial" w:cs="Arial"/>
          <w:b/>
          <w:bCs/>
          <w:sz w:val="24"/>
          <w:szCs w:val="24"/>
        </w:rPr>
      </w:pPr>
      <w:r w:rsidRPr="001C77AD">
        <w:rPr>
          <w:rFonts w:ascii="Arial" w:hAnsi="Arial" w:cs="Arial"/>
          <w:b/>
          <w:bCs/>
          <w:sz w:val="24"/>
          <w:szCs w:val="24"/>
        </w:rPr>
        <w:t xml:space="preserve">d) Mergers and Strategic Alliances: </w:t>
      </w:r>
    </w:p>
    <w:p w14:paraId="4EDC16FB" w14:textId="43D8DEDF" w:rsidR="008943B3" w:rsidRPr="00813F8A" w:rsidRDefault="008943B3" w:rsidP="00A87699">
      <w:pPr>
        <w:spacing w:line="360" w:lineRule="auto"/>
        <w:jc w:val="both"/>
        <w:rPr>
          <w:rFonts w:ascii="Arial" w:hAnsi="Arial" w:cs="Arial"/>
          <w:sz w:val="24"/>
          <w:szCs w:val="24"/>
        </w:rPr>
      </w:pPr>
      <w:r w:rsidRPr="00813F8A">
        <w:rPr>
          <w:rFonts w:ascii="Arial" w:hAnsi="Arial" w:cs="Arial"/>
          <w:sz w:val="24"/>
          <w:szCs w:val="24"/>
        </w:rPr>
        <w:lastRenderedPageBreak/>
        <w:t>The company will have a chance to think over and even enter into a strategic alliance with the other companies of the same sector in the continent. Technological capabilities, market growth and access to R&amp;D are offered by strategic alliances and acquisitions in electronics, software, and semiconductors (KPMG, 2023). Making careful decisions limits the cultural and regulatory risks (BCG, 2023).</w:t>
      </w:r>
    </w:p>
    <w:p w14:paraId="40C3D8A1" w14:textId="77777777" w:rsidR="00A87699" w:rsidRDefault="00FC7823" w:rsidP="001C77AD">
      <w:pPr>
        <w:spacing w:line="360" w:lineRule="auto"/>
        <w:rPr>
          <w:rFonts w:ascii="Arial" w:hAnsi="Arial" w:cs="Arial"/>
          <w:b/>
          <w:bCs/>
          <w:sz w:val="24"/>
          <w:szCs w:val="24"/>
        </w:rPr>
      </w:pPr>
      <w:r w:rsidRPr="00FC7823">
        <w:rPr>
          <w:rFonts w:ascii="Arial" w:hAnsi="Arial" w:cs="Arial"/>
          <w:b/>
          <w:bCs/>
          <w:sz w:val="24"/>
          <w:szCs w:val="24"/>
        </w:rPr>
        <w:t>4.3 Ethical and Social Considerations</w:t>
      </w:r>
    </w:p>
    <w:p w14:paraId="72516200" w14:textId="3729848D" w:rsidR="00A87699" w:rsidRPr="00A87699" w:rsidRDefault="00FC7823" w:rsidP="00A87699">
      <w:pPr>
        <w:spacing w:line="360" w:lineRule="auto"/>
        <w:jc w:val="both"/>
        <w:rPr>
          <w:rFonts w:ascii="Arial" w:hAnsi="Arial" w:cs="Arial"/>
          <w:sz w:val="24"/>
          <w:szCs w:val="24"/>
        </w:rPr>
      </w:pPr>
      <w:r w:rsidRPr="00FC7823">
        <w:rPr>
          <w:rFonts w:ascii="Arial" w:hAnsi="Arial" w:cs="Arial"/>
          <w:b/>
          <w:bCs/>
          <w:sz w:val="24"/>
          <w:szCs w:val="24"/>
        </w:rPr>
        <w:br/>
      </w:r>
      <w:r w:rsidR="008943B3" w:rsidRPr="00813F8A">
        <w:rPr>
          <w:rFonts w:ascii="Arial" w:hAnsi="Arial" w:cs="Arial"/>
          <w:sz w:val="24"/>
          <w:szCs w:val="24"/>
        </w:rPr>
        <w:t>Restructuring should be in line with moral and ESG values. GE needs to focus on retaining and reskilling employees, responsible tax reporting (OECD, 2023), FX and inflation hedging (World Bank, 2024), and ESG-related investment approaches (PwC, 2024). Ethical behavior strengthens image and confidence of the stakeholders.</w:t>
      </w:r>
    </w:p>
    <w:p w14:paraId="034B4AA2" w14:textId="61D6EF0D" w:rsidR="00A87699" w:rsidRPr="00A87699" w:rsidRDefault="00A87699" w:rsidP="00A87699">
      <w:pPr>
        <w:pStyle w:val="ListParagraph"/>
        <w:numPr>
          <w:ilvl w:val="1"/>
          <w:numId w:val="40"/>
        </w:numPr>
        <w:spacing w:line="360" w:lineRule="auto"/>
        <w:rPr>
          <w:rFonts w:ascii="Arial" w:hAnsi="Arial" w:cs="Arial"/>
          <w:b/>
          <w:bCs/>
          <w:sz w:val="24"/>
          <w:szCs w:val="24"/>
        </w:rPr>
      </w:pPr>
      <w:r>
        <w:rPr>
          <w:rFonts w:ascii="Arial" w:hAnsi="Arial" w:cs="Arial"/>
          <w:b/>
          <w:bCs/>
          <w:sz w:val="24"/>
          <w:szCs w:val="24"/>
        </w:rPr>
        <w:t xml:space="preserve"> </w:t>
      </w:r>
      <w:r w:rsidR="00FC7823" w:rsidRPr="00A87699">
        <w:rPr>
          <w:rFonts w:ascii="Arial" w:hAnsi="Arial" w:cs="Arial"/>
          <w:b/>
          <w:bCs/>
          <w:sz w:val="24"/>
          <w:szCs w:val="24"/>
        </w:rPr>
        <w:t>Impact on Shareholder Value</w:t>
      </w:r>
    </w:p>
    <w:p w14:paraId="7EF2575E" w14:textId="314370CE" w:rsidR="008943B3" w:rsidRPr="00A87699" w:rsidRDefault="00FC7823" w:rsidP="00A87699">
      <w:pPr>
        <w:spacing w:line="360" w:lineRule="auto"/>
        <w:ind w:left="360"/>
        <w:jc w:val="both"/>
        <w:rPr>
          <w:rFonts w:ascii="Arial" w:hAnsi="Arial" w:cs="Arial"/>
          <w:b/>
          <w:bCs/>
          <w:sz w:val="24"/>
          <w:szCs w:val="24"/>
        </w:rPr>
      </w:pPr>
      <w:r w:rsidRPr="00A87699">
        <w:rPr>
          <w:rFonts w:ascii="Arial" w:hAnsi="Arial" w:cs="Arial"/>
          <w:b/>
          <w:bCs/>
          <w:sz w:val="24"/>
          <w:szCs w:val="24"/>
        </w:rPr>
        <w:br/>
      </w:r>
      <w:r w:rsidR="008943B3" w:rsidRPr="00A87699">
        <w:rPr>
          <w:rFonts w:ascii="Arial" w:hAnsi="Arial" w:cs="Arial"/>
          <w:sz w:val="24"/>
          <w:szCs w:val="24"/>
        </w:rPr>
        <w:t xml:space="preserve">Restructuring improves the </w:t>
      </w:r>
      <w:proofErr w:type="spellStart"/>
      <w:r w:rsidR="008943B3" w:rsidRPr="00A87699">
        <w:rPr>
          <w:rFonts w:ascii="Arial" w:hAnsi="Arial" w:cs="Arial"/>
          <w:sz w:val="24"/>
          <w:szCs w:val="24"/>
        </w:rPr>
        <w:t>shareholders</w:t>
      </w:r>
      <w:proofErr w:type="spellEnd"/>
      <w:r w:rsidR="008943B3" w:rsidRPr="00A87699">
        <w:rPr>
          <w:rFonts w:ascii="Arial" w:hAnsi="Arial" w:cs="Arial"/>
          <w:sz w:val="24"/>
          <w:szCs w:val="24"/>
        </w:rPr>
        <w:t xml:space="preserve"> value in the long term by making the company more solvent, risk-averse and more flexible in terms of long-term strategy. The equity-based restructuring would reduce WACC by 11.2 to 9.6 and short-term EPS can be affected by dilution. Strategies that are well communicated are likely to increase the stock returns with the projected ROE of over 8% and a debt ratio of less than 0.9 in three years to come (Brigham and Ehrhardt, 2022; FT, 2024).</w:t>
      </w:r>
    </w:p>
    <w:p w14:paraId="7A46298A" w14:textId="77777777" w:rsidR="008943B3" w:rsidRDefault="008943B3" w:rsidP="00FC7823">
      <w:pPr>
        <w:spacing w:line="360" w:lineRule="auto"/>
        <w:rPr>
          <w:rFonts w:ascii="Arial" w:hAnsi="Arial" w:cs="Arial"/>
          <w:b/>
          <w:bCs/>
          <w:sz w:val="24"/>
          <w:szCs w:val="24"/>
        </w:rPr>
      </w:pPr>
    </w:p>
    <w:p w14:paraId="73CE1FAC" w14:textId="4A0534EE" w:rsidR="00A87699" w:rsidRPr="00A87699" w:rsidRDefault="00A87699" w:rsidP="00A87699">
      <w:pPr>
        <w:pStyle w:val="ListParagraph"/>
        <w:numPr>
          <w:ilvl w:val="1"/>
          <w:numId w:val="40"/>
        </w:numPr>
        <w:spacing w:line="360" w:lineRule="auto"/>
        <w:rPr>
          <w:rFonts w:ascii="Arial" w:hAnsi="Arial" w:cs="Arial"/>
          <w:sz w:val="24"/>
          <w:szCs w:val="24"/>
        </w:rPr>
      </w:pPr>
      <w:r>
        <w:rPr>
          <w:rFonts w:ascii="Arial" w:hAnsi="Arial" w:cs="Arial"/>
          <w:b/>
          <w:bCs/>
          <w:sz w:val="24"/>
          <w:szCs w:val="24"/>
        </w:rPr>
        <w:t xml:space="preserve"> </w:t>
      </w:r>
      <w:r w:rsidR="00FC7823" w:rsidRPr="00A87699">
        <w:rPr>
          <w:rFonts w:ascii="Arial" w:hAnsi="Arial" w:cs="Arial"/>
          <w:b/>
          <w:bCs/>
          <w:sz w:val="24"/>
          <w:szCs w:val="24"/>
        </w:rPr>
        <w:t>Implementation Roadmap</w:t>
      </w:r>
      <w:r w:rsidR="00FC7823" w:rsidRPr="00A87699">
        <w:rPr>
          <w:rFonts w:ascii="Arial" w:hAnsi="Arial" w:cs="Arial"/>
          <w:b/>
          <w:bCs/>
          <w:sz w:val="24"/>
          <w:szCs w:val="24"/>
        </w:rPr>
        <w:br/>
      </w:r>
    </w:p>
    <w:p w14:paraId="31149D91" w14:textId="0D9DA4F6" w:rsidR="003F4ABF" w:rsidRPr="00A87699" w:rsidRDefault="003F4ABF" w:rsidP="00A87699">
      <w:pPr>
        <w:spacing w:line="360" w:lineRule="auto"/>
        <w:ind w:left="360"/>
        <w:jc w:val="both"/>
        <w:rPr>
          <w:rFonts w:ascii="Arial" w:hAnsi="Arial" w:cs="Arial"/>
          <w:sz w:val="24"/>
          <w:szCs w:val="24"/>
        </w:rPr>
      </w:pPr>
      <w:r w:rsidRPr="00A87699">
        <w:rPr>
          <w:rFonts w:ascii="Arial" w:hAnsi="Arial" w:cs="Arial"/>
          <w:sz w:val="24"/>
          <w:szCs w:val="24"/>
        </w:rPr>
        <w:t>The turnaround plan will involve three stages:</w:t>
      </w:r>
    </w:p>
    <w:p w14:paraId="7EED9A97" w14:textId="77777777" w:rsidR="003F4ABF" w:rsidRPr="00813F8A" w:rsidRDefault="003F4ABF" w:rsidP="00A87699">
      <w:pPr>
        <w:pStyle w:val="ListParagraph"/>
        <w:numPr>
          <w:ilvl w:val="0"/>
          <w:numId w:val="41"/>
        </w:numPr>
        <w:spacing w:line="360" w:lineRule="auto"/>
        <w:jc w:val="both"/>
        <w:rPr>
          <w:rFonts w:ascii="Arial" w:hAnsi="Arial" w:cs="Arial"/>
          <w:sz w:val="24"/>
          <w:szCs w:val="24"/>
        </w:rPr>
      </w:pPr>
      <w:r w:rsidRPr="00813F8A">
        <w:rPr>
          <w:rFonts w:ascii="Arial" w:hAnsi="Arial" w:cs="Arial"/>
          <w:sz w:val="24"/>
          <w:szCs w:val="24"/>
        </w:rPr>
        <w:t>Stabilization: Strengthen the liquidity and reform the short-term debt.</w:t>
      </w:r>
    </w:p>
    <w:p w14:paraId="7C5087AA" w14:textId="77777777" w:rsidR="003F4ABF" w:rsidRPr="00813F8A" w:rsidRDefault="003F4ABF" w:rsidP="00A87699">
      <w:pPr>
        <w:pStyle w:val="ListParagraph"/>
        <w:numPr>
          <w:ilvl w:val="0"/>
          <w:numId w:val="41"/>
        </w:numPr>
        <w:spacing w:line="360" w:lineRule="auto"/>
        <w:jc w:val="both"/>
        <w:rPr>
          <w:rFonts w:ascii="Arial" w:hAnsi="Arial" w:cs="Arial"/>
          <w:sz w:val="24"/>
          <w:szCs w:val="24"/>
        </w:rPr>
      </w:pPr>
      <w:r w:rsidRPr="00813F8A">
        <w:rPr>
          <w:rFonts w:ascii="Arial" w:hAnsi="Arial" w:cs="Arial"/>
          <w:sz w:val="24"/>
          <w:szCs w:val="24"/>
        </w:rPr>
        <w:t>Optimization: Enhance the working capital management and asset efficiency.</w:t>
      </w:r>
    </w:p>
    <w:p w14:paraId="38718BDB" w14:textId="77777777" w:rsidR="003F4ABF" w:rsidRPr="00813F8A" w:rsidRDefault="003F4ABF" w:rsidP="00A87699">
      <w:pPr>
        <w:pStyle w:val="ListParagraph"/>
        <w:numPr>
          <w:ilvl w:val="0"/>
          <w:numId w:val="41"/>
        </w:numPr>
        <w:spacing w:line="360" w:lineRule="auto"/>
        <w:jc w:val="both"/>
        <w:rPr>
          <w:rFonts w:ascii="Arial" w:hAnsi="Arial" w:cs="Arial"/>
          <w:sz w:val="24"/>
          <w:szCs w:val="24"/>
        </w:rPr>
      </w:pPr>
      <w:r w:rsidRPr="00813F8A">
        <w:rPr>
          <w:rFonts w:ascii="Arial" w:hAnsi="Arial" w:cs="Arial"/>
          <w:sz w:val="24"/>
          <w:szCs w:val="24"/>
        </w:rPr>
        <w:t>Strategic Investment: Invest PS40 million in a larger Project A and PS20 million in a larger Project B and strike a balance between liquidity, value creation and risk.</w:t>
      </w:r>
    </w:p>
    <w:p w14:paraId="3F942206" w14:textId="77777777" w:rsidR="003F4ABF" w:rsidRPr="00813F8A" w:rsidRDefault="003F4ABF" w:rsidP="00A87699">
      <w:pPr>
        <w:spacing w:line="360" w:lineRule="auto"/>
        <w:jc w:val="both"/>
        <w:rPr>
          <w:rFonts w:ascii="Arial" w:hAnsi="Arial" w:cs="Arial"/>
          <w:sz w:val="24"/>
          <w:szCs w:val="24"/>
        </w:rPr>
      </w:pPr>
      <w:r w:rsidRPr="00813F8A">
        <w:rPr>
          <w:rFonts w:ascii="Arial" w:hAnsi="Arial" w:cs="Arial"/>
          <w:sz w:val="24"/>
          <w:szCs w:val="24"/>
        </w:rPr>
        <w:lastRenderedPageBreak/>
        <w:t>Such a strategy helps to boost the balance sheet, and slowly deleverage the company, and in the process, GE can be in a better position to undertake more risky innovation when financial stability is regained.</w:t>
      </w:r>
    </w:p>
    <w:p w14:paraId="29E3471A" w14:textId="30EA13E0" w:rsidR="00367D9B" w:rsidRPr="00367D9B" w:rsidRDefault="00367D9B" w:rsidP="003F4ABF">
      <w:pPr>
        <w:spacing w:line="360" w:lineRule="auto"/>
        <w:rPr>
          <w:rFonts w:ascii="Arial" w:hAnsi="Arial" w:cs="Arial"/>
          <w:b/>
          <w:bCs/>
          <w:sz w:val="24"/>
          <w:szCs w:val="24"/>
        </w:rPr>
      </w:pPr>
      <w:r w:rsidRPr="00367D9B">
        <w:rPr>
          <w:rFonts w:ascii="Arial" w:hAnsi="Arial" w:cs="Arial"/>
          <w:b/>
          <w:bCs/>
          <w:sz w:val="24"/>
          <w:szCs w:val="24"/>
        </w:rPr>
        <w:t>5.0 Investment Appraisal Analysis</w:t>
      </w:r>
    </w:p>
    <w:p w14:paraId="06BBDA0F" w14:textId="77777777" w:rsidR="003F4ABF" w:rsidRPr="003F4ABF" w:rsidRDefault="003F4ABF" w:rsidP="003F4ABF">
      <w:pPr>
        <w:spacing w:line="360" w:lineRule="auto"/>
        <w:rPr>
          <w:rFonts w:ascii="Arial" w:hAnsi="Arial" w:cs="Arial"/>
          <w:sz w:val="24"/>
          <w:szCs w:val="24"/>
        </w:rPr>
      </w:pPr>
      <w:r w:rsidRPr="003F4ABF">
        <w:rPr>
          <w:rFonts w:ascii="Arial" w:hAnsi="Arial" w:cs="Arial"/>
          <w:sz w:val="24"/>
          <w:szCs w:val="24"/>
        </w:rPr>
        <w:t>The four capital budgeting methods are used in the evaluation of project A, B and C:</w:t>
      </w:r>
    </w:p>
    <w:p w14:paraId="6FA9303D" w14:textId="77777777" w:rsidR="003F4ABF" w:rsidRPr="003F4ABF" w:rsidRDefault="003F4ABF" w:rsidP="003F4ABF">
      <w:pPr>
        <w:pStyle w:val="ListParagraph"/>
        <w:numPr>
          <w:ilvl w:val="0"/>
          <w:numId w:val="42"/>
        </w:numPr>
        <w:spacing w:line="360" w:lineRule="auto"/>
        <w:rPr>
          <w:rFonts w:ascii="Arial" w:hAnsi="Arial" w:cs="Arial"/>
          <w:sz w:val="24"/>
          <w:szCs w:val="24"/>
        </w:rPr>
      </w:pPr>
      <w:r w:rsidRPr="003F4ABF">
        <w:rPr>
          <w:rFonts w:ascii="Arial" w:hAnsi="Arial" w:cs="Arial"/>
          <w:sz w:val="24"/>
          <w:szCs w:val="24"/>
        </w:rPr>
        <w:t>The Accounting Rate of Return (ARR).</w:t>
      </w:r>
    </w:p>
    <w:p w14:paraId="48AC763E" w14:textId="77777777" w:rsidR="003F4ABF" w:rsidRPr="003F4ABF" w:rsidRDefault="003F4ABF" w:rsidP="003F4ABF">
      <w:pPr>
        <w:pStyle w:val="ListParagraph"/>
        <w:numPr>
          <w:ilvl w:val="0"/>
          <w:numId w:val="42"/>
        </w:numPr>
        <w:spacing w:line="360" w:lineRule="auto"/>
        <w:rPr>
          <w:rFonts w:ascii="Arial" w:hAnsi="Arial" w:cs="Arial"/>
          <w:sz w:val="24"/>
          <w:szCs w:val="24"/>
        </w:rPr>
      </w:pPr>
      <w:r w:rsidRPr="003F4ABF">
        <w:rPr>
          <w:rFonts w:ascii="Arial" w:hAnsi="Arial" w:cs="Arial"/>
          <w:sz w:val="24"/>
          <w:szCs w:val="24"/>
        </w:rPr>
        <w:t>Net Present Value (NPV)</w:t>
      </w:r>
    </w:p>
    <w:p w14:paraId="1B40F986" w14:textId="77777777" w:rsidR="003F4ABF" w:rsidRPr="003F4ABF" w:rsidRDefault="003F4ABF" w:rsidP="003F4ABF">
      <w:pPr>
        <w:pStyle w:val="ListParagraph"/>
        <w:numPr>
          <w:ilvl w:val="0"/>
          <w:numId w:val="42"/>
        </w:numPr>
        <w:spacing w:line="360" w:lineRule="auto"/>
        <w:rPr>
          <w:rFonts w:ascii="Arial" w:hAnsi="Arial" w:cs="Arial"/>
          <w:sz w:val="24"/>
          <w:szCs w:val="24"/>
        </w:rPr>
      </w:pPr>
      <w:r w:rsidRPr="003F4ABF">
        <w:rPr>
          <w:rFonts w:ascii="Arial" w:hAnsi="Arial" w:cs="Arial"/>
          <w:sz w:val="24"/>
          <w:szCs w:val="24"/>
        </w:rPr>
        <w:t>Internal Rate of Return (IRR)</w:t>
      </w:r>
    </w:p>
    <w:p w14:paraId="26B14AB8" w14:textId="77777777" w:rsidR="003F4ABF" w:rsidRPr="003F4ABF" w:rsidRDefault="003F4ABF" w:rsidP="003F4ABF">
      <w:pPr>
        <w:pStyle w:val="ListParagraph"/>
        <w:numPr>
          <w:ilvl w:val="0"/>
          <w:numId w:val="42"/>
        </w:numPr>
        <w:spacing w:line="360" w:lineRule="auto"/>
        <w:rPr>
          <w:rFonts w:ascii="Arial" w:hAnsi="Arial" w:cs="Arial"/>
          <w:sz w:val="24"/>
          <w:szCs w:val="24"/>
        </w:rPr>
      </w:pPr>
      <w:r w:rsidRPr="003F4ABF">
        <w:rPr>
          <w:rFonts w:ascii="Arial" w:hAnsi="Arial" w:cs="Arial"/>
          <w:sz w:val="24"/>
          <w:szCs w:val="24"/>
        </w:rPr>
        <w:t>Profitability Index (PI)</w:t>
      </w:r>
    </w:p>
    <w:p w14:paraId="1F4050D6" w14:textId="7A8C41CB" w:rsidR="00367D9B" w:rsidRPr="00367D9B" w:rsidRDefault="003F4ABF" w:rsidP="003F4ABF">
      <w:pPr>
        <w:spacing w:line="360" w:lineRule="auto"/>
        <w:rPr>
          <w:rFonts w:ascii="Arial" w:hAnsi="Arial" w:cs="Arial"/>
          <w:sz w:val="24"/>
          <w:szCs w:val="24"/>
        </w:rPr>
      </w:pPr>
      <w:r w:rsidRPr="003F4ABF">
        <w:rPr>
          <w:rFonts w:ascii="Arial" w:hAnsi="Arial" w:cs="Arial"/>
          <w:sz w:val="24"/>
          <w:szCs w:val="24"/>
        </w:rPr>
        <w:t>With a capital rationing limit of PS60 million, GE is not able to invest into all the projects even when profitable. The initial expenditure and estimated cash flow is as follows:</w:t>
      </w:r>
    </w:p>
    <w:tbl>
      <w:tblPr>
        <w:tblStyle w:val="TableGrid"/>
        <w:tblW w:w="0" w:type="auto"/>
        <w:tblLook w:val="04A0" w:firstRow="1" w:lastRow="0" w:firstColumn="1" w:lastColumn="0" w:noHBand="0" w:noVBand="1"/>
      </w:tblPr>
      <w:tblGrid>
        <w:gridCol w:w="1030"/>
        <w:gridCol w:w="2017"/>
        <w:gridCol w:w="937"/>
        <w:gridCol w:w="937"/>
        <w:gridCol w:w="937"/>
        <w:gridCol w:w="937"/>
        <w:gridCol w:w="937"/>
      </w:tblGrid>
      <w:tr w:rsidR="00367D9B" w:rsidRPr="00367D9B" w14:paraId="49768BC7" w14:textId="77777777" w:rsidTr="00367D9B">
        <w:tc>
          <w:tcPr>
            <w:tcW w:w="0" w:type="auto"/>
            <w:hideMark/>
          </w:tcPr>
          <w:p w14:paraId="0169D5AC"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Project</w:t>
            </w:r>
          </w:p>
        </w:tc>
        <w:tc>
          <w:tcPr>
            <w:tcW w:w="0" w:type="auto"/>
            <w:hideMark/>
          </w:tcPr>
          <w:p w14:paraId="5436D63D"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Initial Cost (£m)</w:t>
            </w:r>
          </w:p>
        </w:tc>
        <w:tc>
          <w:tcPr>
            <w:tcW w:w="0" w:type="auto"/>
            <w:hideMark/>
          </w:tcPr>
          <w:p w14:paraId="56C5C930"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 1</w:t>
            </w:r>
          </w:p>
        </w:tc>
        <w:tc>
          <w:tcPr>
            <w:tcW w:w="0" w:type="auto"/>
            <w:hideMark/>
          </w:tcPr>
          <w:p w14:paraId="7CC4125F"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 2</w:t>
            </w:r>
          </w:p>
        </w:tc>
        <w:tc>
          <w:tcPr>
            <w:tcW w:w="0" w:type="auto"/>
            <w:hideMark/>
          </w:tcPr>
          <w:p w14:paraId="0901C1D9"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 3</w:t>
            </w:r>
          </w:p>
        </w:tc>
        <w:tc>
          <w:tcPr>
            <w:tcW w:w="0" w:type="auto"/>
            <w:hideMark/>
          </w:tcPr>
          <w:p w14:paraId="237654B6"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 4</w:t>
            </w:r>
          </w:p>
        </w:tc>
        <w:tc>
          <w:tcPr>
            <w:tcW w:w="0" w:type="auto"/>
            <w:hideMark/>
          </w:tcPr>
          <w:p w14:paraId="0D9C8A69" w14:textId="77777777" w:rsidR="00367D9B" w:rsidRPr="00367D9B" w:rsidRDefault="00367D9B" w:rsidP="00C0153C">
            <w:pPr>
              <w:spacing w:after="160" w:line="360" w:lineRule="auto"/>
              <w:rPr>
                <w:rFonts w:ascii="Arial" w:hAnsi="Arial" w:cs="Arial"/>
                <w:b/>
                <w:bCs/>
                <w:sz w:val="24"/>
                <w:szCs w:val="24"/>
              </w:rPr>
            </w:pPr>
            <w:r w:rsidRPr="00367D9B">
              <w:rPr>
                <w:rFonts w:ascii="Arial" w:hAnsi="Arial" w:cs="Arial"/>
                <w:b/>
                <w:bCs/>
                <w:sz w:val="24"/>
                <w:szCs w:val="24"/>
              </w:rPr>
              <w:t>Year 5</w:t>
            </w:r>
          </w:p>
        </w:tc>
      </w:tr>
      <w:tr w:rsidR="00367D9B" w:rsidRPr="00367D9B" w14:paraId="21737D31" w14:textId="77777777" w:rsidTr="00367D9B">
        <w:tc>
          <w:tcPr>
            <w:tcW w:w="0" w:type="auto"/>
            <w:hideMark/>
          </w:tcPr>
          <w:p w14:paraId="63DD1C8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A</w:t>
            </w:r>
          </w:p>
        </w:tc>
        <w:tc>
          <w:tcPr>
            <w:tcW w:w="0" w:type="auto"/>
            <w:hideMark/>
          </w:tcPr>
          <w:p w14:paraId="349C023E"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40</w:t>
            </w:r>
          </w:p>
        </w:tc>
        <w:tc>
          <w:tcPr>
            <w:tcW w:w="0" w:type="auto"/>
            <w:hideMark/>
          </w:tcPr>
          <w:p w14:paraId="600EDBE3"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15</w:t>
            </w:r>
          </w:p>
        </w:tc>
        <w:tc>
          <w:tcPr>
            <w:tcW w:w="0" w:type="auto"/>
            <w:hideMark/>
          </w:tcPr>
          <w:p w14:paraId="35168BBA"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12</w:t>
            </w:r>
          </w:p>
        </w:tc>
        <w:tc>
          <w:tcPr>
            <w:tcW w:w="0" w:type="auto"/>
            <w:hideMark/>
          </w:tcPr>
          <w:p w14:paraId="3CFB268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10</w:t>
            </w:r>
          </w:p>
        </w:tc>
        <w:tc>
          <w:tcPr>
            <w:tcW w:w="0" w:type="auto"/>
            <w:hideMark/>
          </w:tcPr>
          <w:p w14:paraId="0A00E4BB"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8</w:t>
            </w:r>
          </w:p>
        </w:tc>
        <w:tc>
          <w:tcPr>
            <w:tcW w:w="0" w:type="auto"/>
            <w:hideMark/>
          </w:tcPr>
          <w:p w14:paraId="5F538072"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6</w:t>
            </w:r>
          </w:p>
        </w:tc>
      </w:tr>
      <w:tr w:rsidR="00367D9B" w:rsidRPr="00367D9B" w14:paraId="1D9A8AB4" w14:textId="77777777" w:rsidTr="00367D9B">
        <w:tc>
          <w:tcPr>
            <w:tcW w:w="0" w:type="auto"/>
            <w:hideMark/>
          </w:tcPr>
          <w:p w14:paraId="66968A3A"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B</w:t>
            </w:r>
          </w:p>
        </w:tc>
        <w:tc>
          <w:tcPr>
            <w:tcW w:w="0" w:type="auto"/>
            <w:hideMark/>
          </w:tcPr>
          <w:p w14:paraId="3841D393"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30</w:t>
            </w:r>
          </w:p>
        </w:tc>
        <w:tc>
          <w:tcPr>
            <w:tcW w:w="0" w:type="auto"/>
            <w:hideMark/>
          </w:tcPr>
          <w:p w14:paraId="505E7595"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10</w:t>
            </w:r>
          </w:p>
        </w:tc>
        <w:tc>
          <w:tcPr>
            <w:tcW w:w="0" w:type="auto"/>
            <w:hideMark/>
          </w:tcPr>
          <w:p w14:paraId="52D1C466"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8</w:t>
            </w:r>
          </w:p>
        </w:tc>
        <w:tc>
          <w:tcPr>
            <w:tcW w:w="0" w:type="auto"/>
            <w:hideMark/>
          </w:tcPr>
          <w:p w14:paraId="54684CC7"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7</w:t>
            </w:r>
          </w:p>
        </w:tc>
        <w:tc>
          <w:tcPr>
            <w:tcW w:w="0" w:type="auto"/>
            <w:hideMark/>
          </w:tcPr>
          <w:p w14:paraId="40565253"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5</w:t>
            </w:r>
          </w:p>
        </w:tc>
        <w:tc>
          <w:tcPr>
            <w:tcW w:w="0" w:type="auto"/>
            <w:hideMark/>
          </w:tcPr>
          <w:p w14:paraId="4AA1006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4</w:t>
            </w:r>
          </w:p>
        </w:tc>
      </w:tr>
      <w:tr w:rsidR="00367D9B" w:rsidRPr="00367D9B" w14:paraId="1BF66F9F" w14:textId="77777777" w:rsidTr="00367D9B">
        <w:tc>
          <w:tcPr>
            <w:tcW w:w="0" w:type="auto"/>
            <w:hideMark/>
          </w:tcPr>
          <w:p w14:paraId="4CC7CFD7"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C</w:t>
            </w:r>
          </w:p>
        </w:tc>
        <w:tc>
          <w:tcPr>
            <w:tcW w:w="0" w:type="auto"/>
            <w:hideMark/>
          </w:tcPr>
          <w:p w14:paraId="287D4AA4"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50</w:t>
            </w:r>
          </w:p>
        </w:tc>
        <w:tc>
          <w:tcPr>
            <w:tcW w:w="0" w:type="auto"/>
            <w:hideMark/>
          </w:tcPr>
          <w:p w14:paraId="69A53FC1"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22</w:t>
            </w:r>
          </w:p>
        </w:tc>
        <w:tc>
          <w:tcPr>
            <w:tcW w:w="0" w:type="auto"/>
            <w:hideMark/>
          </w:tcPr>
          <w:p w14:paraId="038BC893"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18</w:t>
            </w:r>
          </w:p>
        </w:tc>
        <w:tc>
          <w:tcPr>
            <w:tcW w:w="0" w:type="auto"/>
            <w:hideMark/>
          </w:tcPr>
          <w:p w14:paraId="249A73BD"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12</w:t>
            </w:r>
          </w:p>
        </w:tc>
        <w:tc>
          <w:tcPr>
            <w:tcW w:w="0" w:type="auto"/>
            <w:hideMark/>
          </w:tcPr>
          <w:p w14:paraId="5456E650"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9</w:t>
            </w:r>
          </w:p>
        </w:tc>
        <w:tc>
          <w:tcPr>
            <w:tcW w:w="0" w:type="auto"/>
            <w:hideMark/>
          </w:tcPr>
          <w:p w14:paraId="24CE5DEF" w14:textId="77777777" w:rsidR="00367D9B" w:rsidRPr="00367D9B" w:rsidRDefault="00367D9B" w:rsidP="00C0153C">
            <w:pPr>
              <w:spacing w:after="160" w:line="360" w:lineRule="auto"/>
              <w:rPr>
                <w:rFonts w:ascii="Arial" w:hAnsi="Arial" w:cs="Arial"/>
                <w:sz w:val="24"/>
                <w:szCs w:val="24"/>
              </w:rPr>
            </w:pPr>
            <w:r w:rsidRPr="00367D9B">
              <w:rPr>
                <w:rFonts w:ascii="Arial" w:hAnsi="Arial" w:cs="Arial"/>
                <w:sz w:val="24"/>
                <w:szCs w:val="24"/>
              </w:rPr>
              <w:t>8</w:t>
            </w:r>
          </w:p>
        </w:tc>
      </w:tr>
    </w:tbl>
    <w:p w14:paraId="5824D969" w14:textId="77777777" w:rsidR="00367D9B" w:rsidRPr="00367D9B" w:rsidRDefault="00367D9B" w:rsidP="00C0153C">
      <w:pPr>
        <w:numPr>
          <w:ilvl w:val="0"/>
          <w:numId w:val="11"/>
        </w:numPr>
        <w:spacing w:line="360" w:lineRule="auto"/>
        <w:rPr>
          <w:rFonts w:ascii="Arial" w:hAnsi="Arial" w:cs="Arial"/>
          <w:sz w:val="24"/>
          <w:szCs w:val="24"/>
        </w:rPr>
      </w:pPr>
      <w:r w:rsidRPr="00367D9B">
        <w:rPr>
          <w:rFonts w:ascii="Arial" w:hAnsi="Arial" w:cs="Arial"/>
          <w:sz w:val="24"/>
          <w:szCs w:val="24"/>
        </w:rPr>
        <w:t>Discount rate (WACC): 10%</w:t>
      </w:r>
    </w:p>
    <w:p w14:paraId="18B58942" w14:textId="77777777" w:rsidR="00367D9B" w:rsidRPr="00367D9B" w:rsidRDefault="00367D9B" w:rsidP="00C0153C">
      <w:pPr>
        <w:numPr>
          <w:ilvl w:val="0"/>
          <w:numId w:val="11"/>
        </w:numPr>
        <w:spacing w:line="360" w:lineRule="auto"/>
        <w:rPr>
          <w:rFonts w:ascii="Arial" w:hAnsi="Arial" w:cs="Arial"/>
          <w:sz w:val="24"/>
          <w:szCs w:val="24"/>
        </w:rPr>
      </w:pPr>
      <w:r w:rsidRPr="00367D9B">
        <w:rPr>
          <w:rFonts w:ascii="Arial" w:hAnsi="Arial" w:cs="Arial"/>
          <w:sz w:val="24"/>
          <w:szCs w:val="24"/>
        </w:rPr>
        <w:t>Depreciation: Straight-line over 5 years</w:t>
      </w:r>
    </w:p>
    <w:p w14:paraId="2CEF7166" w14:textId="77777777" w:rsidR="003F4ABF" w:rsidRDefault="003F4ABF" w:rsidP="00C0153C">
      <w:pPr>
        <w:spacing w:line="360" w:lineRule="auto"/>
        <w:rPr>
          <w:rFonts w:ascii="Arial" w:hAnsi="Arial" w:cs="Arial"/>
          <w:sz w:val="24"/>
          <w:szCs w:val="24"/>
        </w:rPr>
      </w:pPr>
      <w:r w:rsidRPr="003F4ABF">
        <w:rPr>
          <w:rFonts w:ascii="Arial" w:hAnsi="Arial" w:cs="Arial"/>
          <w:sz w:val="24"/>
          <w:szCs w:val="24"/>
        </w:rPr>
        <w:t>This systematic strategy enables GE to set investments priorities in terms of value creation and risk-adjusted returns and meet the larger financial restructuring goals.</w:t>
      </w:r>
    </w:p>
    <w:p w14:paraId="63275E9D" w14:textId="7964D940"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5.1 Capital Structure Context</w:t>
      </w:r>
    </w:p>
    <w:p w14:paraId="6A99A46D" w14:textId="2345D69F" w:rsidR="003F4ABF" w:rsidRPr="00367D9B" w:rsidRDefault="003F4ABF" w:rsidP="00A87699">
      <w:pPr>
        <w:spacing w:line="360" w:lineRule="auto"/>
        <w:jc w:val="both"/>
        <w:rPr>
          <w:rFonts w:ascii="Arial" w:hAnsi="Arial" w:cs="Arial"/>
          <w:sz w:val="24"/>
          <w:szCs w:val="24"/>
        </w:rPr>
      </w:pPr>
      <w:r w:rsidRPr="003F4ABF">
        <w:rPr>
          <w:rFonts w:ascii="Arial" w:hAnsi="Arial" w:cs="Arial"/>
          <w:sz w:val="24"/>
          <w:szCs w:val="24"/>
        </w:rPr>
        <w:t>The value increase of a firm due to financial leverage, as suggested by Modigliani and Miller (1963) depends on the achievability of cost of bankruptcy, imperfect markets and agency conflicts. This theory also explains why GE uses the discount rate of 10 percent in its investment appraisal which represents its weighted average cost of capital (WACC) assuming efficient capital markets.</w:t>
      </w:r>
    </w:p>
    <w:p w14:paraId="2F8D6C78"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5.2 Accounting Rate of Return (ARR)</w:t>
      </w:r>
    </w:p>
    <w:p w14:paraId="29467523" w14:textId="77777777" w:rsidR="003F4ABF" w:rsidRDefault="003F4ABF" w:rsidP="00A87699">
      <w:pPr>
        <w:spacing w:line="360" w:lineRule="auto"/>
        <w:jc w:val="both"/>
        <w:rPr>
          <w:rFonts w:ascii="Arial" w:hAnsi="Arial" w:cs="Arial"/>
          <w:sz w:val="24"/>
          <w:szCs w:val="24"/>
        </w:rPr>
      </w:pPr>
      <w:r w:rsidRPr="003F4ABF">
        <w:rPr>
          <w:rFonts w:ascii="Arial" w:hAnsi="Arial" w:cs="Arial"/>
          <w:sz w:val="24"/>
          <w:szCs w:val="24"/>
        </w:rPr>
        <w:lastRenderedPageBreak/>
        <w:t>Accounting rate of Return (ARR) is a measure of the average accounting profitability of the project compared to its initial investment. ARR has been a popular performance measure although it is not theoretically sound compared to discounted cash flow techniques.</w:t>
      </w:r>
    </w:p>
    <w:p w14:paraId="57FA4BEE" w14:textId="122179B3"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Step 1: Calculate Annual Depreciation (Straight-Line)</w:t>
      </w:r>
    </w:p>
    <w:p w14:paraId="383FDC54" w14:textId="4A2382C8"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Depreciation</m:t>
          </m:r>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Initial Investment</m:t>
              </m:r>
            </m:num>
            <m:den>
              <m:r>
                <w:rPr>
                  <w:rFonts w:ascii="Cambria Math" w:hAnsi="Cambria Math" w:cs="Arial"/>
                  <w:sz w:val="24"/>
                  <w:szCs w:val="24"/>
                </w:rPr>
                <m:t>5</m:t>
              </m:r>
            </m:den>
          </m:f>
          <m:r>
            <m:rPr>
              <m:sty m:val="p"/>
            </m:rPr>
            <w:rPr>
              <w:rFonts w:ascii="Arial" w:hAnsi="Arial" w:cs="Arial"/>
              <w:sz w:val="24"/>
              <w:szCs w:val="24"/>
            </w:rPr>
            <w:br/>
          </m:r>
        </m:oMath>
      </m:oMathPara>
    </w:p>
    <w:p w14:paraId="04F44774" w14:textId="77777777" w:rsidR="00367D9B" w:rsidRPr="00367D9B" w:rsidRDefault="00367D9B" w:rsidP="00C0153C">
      <w:pPr>
        <w:numPr>
          <w:ilvl w:val="0"/>
          <w:numId w:val="12"/>
        </w:numPr>
        <w:spacing w:line="360" w:lineRule="auto"/>
        <w:rPr>
          <w:rFonts w:ascii="Arial" w:hAnsi="Arial" w:cs="Arial"/>
          <w:sz w:val="24"/>
          <w:szCs w:val="24"/>
        </w:rPr>
      </w:pPr>
      <w:r w:rsidRPr="00367D9B">
        <w:rPr>
          <w:rFonts w:ascii="Arial" w:hAnsi="Arial" w:cs="Arial"/>
          <w:sz w:val="24"/>
          <w:szCs w:val="24"/>
        </w:rPr>
        <w:t>Project A: £40m ÷ 5 = £8m per year</w:t>
      </w:r>
    </w:p>
    <w:p w14:paraId="2A65E4D0" w14:textId="77777777" w:rsidR="00367D9B" w:rsidRPr="00367D9B" w:rsidRDefault="00367D9B" w:rsidP="00C0153C">
      <w:pPr>
        <w:numPr>
          <w:ilvl w:val="0"/>
          <w:numId w:val="12"/>
        </w:numPr>
        <w:spacing w:line="360" w:lineRule="auto"/>
        <w:rPr>
          <w:rFonts w:ascii="Arial" w:hAnsi="Arial" w:cs="Arial"/>
          <w:sz w:val="24"/>
          <w:szCs w:val="24"/>
        </w:rPr>
      </w:pPr>
      <w:r w:rsidRPr="00367D9B">
        <w:rPr>
          <w:rFonts w:ascii="Arial" w:hAnsi="Arial" w:cs="Arial"/>
          <w:sz w:val="24"/>
          <w:szCs w:val="24"/>
        </w:rPr>
        <w:t>Project B: £30m ÷ 5 = £6m per year</w:t>
      </w:r>
    </w:p>
    <w:p w14:paraId="2207D7D5" w14:textId="77777777" w:rsidR="00367D9B" w:rsidRPr="00367D9B" w:rsidRDefault="00367D9B" w:rsidP="00C0153C">
      <w:pPr>
        <w:numPr>
          <w:ilvl w:val="0"/>
          <w:numId w:val="12"/>
        </w:numPr>
        <w:spacing w:line="360" w:lineRule="auto"/>
        <w:rPr>
          <w:rFonts w:ascii="Arial" w:hAnsi="Arial" w:cs="Arial"/>
          <w:sz w:val="24"/>
          <w:szCs w:val="24"/>
        </w:rPr>
      </w:pPr>
      <w:r w:rsidRPr="00367D9B">
        <w:rPr>
          <w:rFonts w:ascii="Arial" w:hAnsi="Arial" w:cs="Arial"/>
          <w:sz w:val="24"/>
          <w:szCs w:val="24"/>
        </w:rPr>
        <w:t>Project C: £50m ÷ 5 = £10m per year</w:t>
      </w:r>
    </w:p>
    <w:p w14:paraId="21EFB8CF"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Step 2: Calculate Average Annual Cash Inflow</w:t>
      </w:r>
    </w:p>
    <w:p w14:paraId="04919A0C" w14:textId="66E78734"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Average Cash Inflow</m:t>
          </m:r>
          <m:r>
            <w:rPr>
              <w:rFonts w:ascii="Cambria Math" w:hAnsi="Cambria Math" w:cs="Arial"/>
              <w:sz w:val="24"/>
              <w:szCs w:val="24"/>
            </w:rPr>
            <m:t>=</m:t>
          </m:r>
          <m:f>
            <m:fPr>
              <m:ctrlPr>
                <w:rPr>
                  <w:rFonts w:ascii="Cambria Math" w:hAnsi="Cambria Math" w:cs="Arial"/>
                  <w:sz w:val="24"/>
                  <w:szCs w:val="24"/>
                </w:rPr>
              </m:ctrlPr>
            </m:fPr>
            <m:num>
              <m:r>
                <w:rPr>
                  <w:rFonts w:ascii="Cambria Math" w:hAnsi="Cambria Math" w:cs="Arial"/>
                  <w:sz w:val="24"/>
                  <w:szCs w:val="24"/>
                </w:rPr>
                <m:t>∑</m:t>
              </m:r>
              <m:r>
                <m:rPr>
                  <m:nor/>
                </m:rPr>
                <w:rPr>
                  <w:rFonts w:ascii="Arial" w:hAnsi="Arial" w:cs="Arial"/>
                  <w:sz w:val="24"/>
                  <w:szCs w:val="24"/>
                </w:rPr>
                <m:t>Cash Inflows</m:t>
              </m:r>
            </m:num>
            <m:den>
              <m:r>
                <w:rPr>
                  <w:rFonts w:ascii="Cambria Math" w:hAnsi="Cambria Math" w:cs="Arial"/>
                  <w:sz w:val="24"/>
                  <w:szCs w:val="24"/>
                </w:rPr>
                <m:t>5</m:t>
              </m:r>
            </m:den>
          </m:f>
          <m:r>
            <m:rPr>
              <m:sty m:val="p"/>
            </m:rPr>
            <w:rPr>
              <w:rFonts w:ascii="Arial" w:hAnsi="Arial" w:cs="Arial"/>
              <w:sz w:val="24"/>
              <w:szCs w:val="24"/>
            </w:rPr>
            <w:br/>
          </m:r>
        </m:oMath>
      </m:oMathPara>
    </w:p>
    <w:p w14:paraId="60CF5E5A" w14:textId="77777777" w:rsidR="00367D9B" w:rsidRPr="00367D9B" w:rsidRDefault="00367D9B" w:rsidP="00C0153C">
      <w:pPr>
        <w:numPr>
          <w:ilvl w:val="0"/>
          <w:numId w:val="13"/>
        </w:numPr>
        <w:spacing w:line="360" w:lineRule="auto"/>
        <w:rPr>
          <w:rFonts w:ascii="Arial" w:hAnsi="Arial" w:cs="Arial"/>
          <w:sz w:val="24"/>
          <w:szCs w:val="24"/>
        </w:rPr>
      </w:pPr>
      <w:r w:rsidRPr="00367D9B">
        <w:rPr>
          <w:rFonts w:ascii="Arial" w:hAnsi="Arial" w:cs="Arial"/>
          <w:sz w:val="24"/>
          <w:szCs w:val="24"/>
        </w:rPr>
        <w:t>Project A: (15+12+10+8+6)/5 = £10.2m</w:t>
      </w:r>
    </w:p>
    <w:p w14:paraId="0E63920B" w14:textId="77777777" w:rsidR="00367D9B" w:rsidRPr="00367D9B" w:rsidRDefault="00367D9B" w:rsidP="00C0153C">
      <w:pPr>
        <w:numPr>
          <w:ilvl w:val="0"/>
          <w:numId w:val="13"/>
        </w:numPr>
        <w:spacing w:line="360" w:lineRule="auto"/>
        <w:rPr>
          <w:rFonts w:ascii="Arial" w:hAnsi="Arial" w:cs="Arial"/>
          <w:sz w:val="24"/>
          <w:szCs w:val="24"/>
        </w:rPr>
      </w:pPr>
      <w:r w:rsidRPr="00367D9B">
        <w:rPr>
          <w:rFonts w:ascii="Arial" w:hAnsi="Arial" w:cs="Arial"/>
          <w:sz w:val="24"/>
          <w:szCs w:val="24"/>
        </w:rPr>
        <w:t>Project B: (10+8+7+5+4)/5 = £6.8m</w:t>
      </w:r>
    </w:p>
    <w:p w14:paraId="1CE66054" w14:textId="77777777" w:rsidR="00367D9B" w:rsidRPr="00367D9B" w:rsidRDefault="00367D9B" w:rsidP="00C0153C">
      <w:pPr>
        <w:numPr>
          <w:ilvl w:val="0"/>
          <w:numId w:val="13"/>
        </w:numPr>
        <w:spacing w:line="360" w:lineRule="auto"/>
        <w:rPr>
          <w:rFonts w:ascii="Arial" w:hAnsi="Arial" w:cs="Arial"/>
          <w:sz w:val="24"/>
          <w:szCs w:val="24"/>
        </w:rPr>
      </w:pPr>
      <w:r w:rsidRPr="00367D9B">
        <w:rPr>
          <w:rFonts w:ascii="Arial" w:hAnsi="Arial" w:cs="Arial"/>
          <w:sz w:val="24"/>
          <w:szCs w:val="24"/>
        </w:rPr>
        <w:t>Project C: (22+18+12+9+8)/5 = £13.8m</w:t>
      </w:r>
    </w:p>
    <w:p w14:paraId="4D0A300F"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Step 3: Determine Average Accounting Profit</w:t>
      </w:r>
    </w:p>
    <w:p w14:paraId="1AE29C79" w14:textId="60EE9E08"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Accounting Profit</m:t>
          </m:r>
          <m:r>
            <w:rPr>
              <w:rFonts w:ascii="Cambria Math" w:hAnsi="Cambria Math" w:cs="Arial"/>
              <w:sz w:val="24"/>
              <w:szCs w:val="24"/>
            </w:rPr>
            <m:t>=</m:t>
          </m:r>
          <m:r>
            <m:rPr>
              <m:nor/>
            </m:rPr>
            <w:rPr>
              <w:rFonts w:ascii="Arial" w:hAnsi="Arial" w:cs="Arial"/>
              <w:sz w:val="24"/>
              <w:szCs w:val="24"/>
            </w:rPr>
            <m:t>Average Cash Inflow</m:t>
          </m:r>
          <m:r>
            <w:rPr>
              <w:rFonts w:ascii="Cambria Math" w:hAnsi="Cambria Math" w:cs="Arial"/>
              <w:sz w:val="24"/>
              <w:szCs w:val="24"/>
            </w:rPr>
            <m:t>-</m:t>
          </m:r>
          <m:r>
            <m:rPr>
              <m:nor/>
            </m:rPr>
            <w:rPr>
              <w:rFonts w:ascii="Arial" w:hAnsi="Arial" w:cs="Arial"/>
              <w:sz w:val="24"/>
              <w:szCs w:val="24"/>
            </w:rPr>
            <m:t>Depreciation</m:t>
          </m:r>
          <m:r>
            <m:rPr>
              <m:sty m:val="p"/>
            </m:rPr>
            <w:rPr>
              <w:rFonts w:ascii="Arial" w:hAnsi="Arial" w:cs="Arial"/>
              <w:sz w:val="24"/>
              <w:szCs w:val="24"/>
            </w:rPr>
            <w:br/>
          </m:r>
        </m:oMath>
      </m:oMathPara>
    </w:p>
    <w:p w14:paraId="02998C74" w14:textId="77777777" w:rsidR="00367D9B" w:rsidRPr="00367D9B" w:rsidRDefault="00367D9B" w:rsidP="00C0153C">
      <w:pPr>
        <w:numPr>
          <w:ilvl w:val="0"/>
          <w:numId w:val="14"/>
        </w:numPr>
        <w:spacing w:line="360" w:lineRule="auto"/>
        <w:rPr>
          <w:rFonts w:ascii="Arial" w:hAnsi="Arial" w:cs="Arial"/>
          <w:sz w:val="24"/>
          <w:szCs w:val="24"/>
        </w:rPr>
      </w:pPr>
      <w:r w:rsidRPr="00367D9B">
        <w:rPr>
          <w:rFonts w:ascii="Arial" w:hAnsi="Arial" w:cs="Arial"/>
          <w:sz w:val="24"/>
          <w:szCs w:val="24"/>
        </w:rPr>
        <w:t>Project A: 10.2 − 8 = £2.2m</w:t>
      </w:r>
    </w:p>
    <w:p w14:paraId="57ADDDFC" w14:textId="77777777" w:rsidR="00367D9B" w:rsidRPr="00367D9B" w:rsidRDefault="00367D9B" w:rsidP="00C0153C">
      <w:pPr>
        <w:numPr>
          <w:ilvl w:val="0"/>
          <w:numId w:val="14"/>
        </w:numPr>
        <w:spacing w:line="360" w:lineRule="auto"/>
        <w:rPr>
          <w:rFonts w:ascii="Arial" w:hAnsi="Arial" w:cs="Arial"/>
          <w:sz w:val="24"/>
          <w:szCs w:val="24"/>
        </w:rPr>
      </w:pPr>
      <w:r w:rsidRPr="00367D9B">
        <w:rPr>
          <w:rFonts w:ascii="Arial" w:hAnsi="Arial" w:cs="Arial"/>
          <w:sz w:val="24"/>
          <w:szCs w:val="24"/>
        </w:rPr>
        <w:t>Project B: 6.8 − 6 = £0.8m</w:t>
      </w:r>
    </w:p>
    <w:p w14:paraId="4429EDF5" w14:textId="77777777" w:rsidR="00367D9B" w:rsidRPr="00367D9B" w:rsidRDefault="00367D9B" w:rsidP="00C0153C">
      <w:pPr>
        <w:numPr>
          <w:ilvl w:val="0"/>
          <w:numId w:val="14"/>
        </w:numPr>
        <w:spacing w:line="360" w:lineRule="auto"/>
        <w:rPr>
          <w:rFonts w:ascii="Arial" w:hAnsi="Arial" w:cs="Arial"/>
          <w:sz w:val="24"/>
          <w:szCs w:val="24"/>
        </w:rPr>
      </w:pPr>
      <w:r w:rsidRPr="00367D9B">
        <w:rPr>
          <w:rFonts w:ascii="Arial" w:hAnsi="Arial" w:cs="Arial"/>
          <w:sz w:val="24"/>
          <w:szCs w:val="24"/>
        </w:rPr>
        <w:t>Project C: 13.8 − 10 = £3.8m</w:t>
      </w:r>
    </w:p>
    <w:p w14:paraId="179A9F95"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Step 4: Calculate ARR</w:t>
      </w:r>
    </w:p>
    <w:p w14:paraId="21E8C6DC" w14:textId="2D93EFCD"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ARR</m:t>
          </m:r>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Average Accounting Profit</m:t>
              </m:r>
            </m:num>
            <m:den>
              <m:r>
                <m:rPr>
                  <m:nor/>
                </m:rPr>
                <w:rPr>
                  <w:rFonts w:ascii="Arial" w:hAnsi="Arial" w:cs="Arial"/>
                  <w:sz w:val="24"/>
                  <w:szCs w:val="24"/>
                </w:rPr>
                <m:t>Initial Investment</m:t>
              </m:r>
            </m:den>
          </m:f>
          <m:r>
            <w:rPr>
              <w:rFonts w:ascii="Cambria Math" w:hAnsi="Cambria Math" w:cs="Arial"/>
              <w:sz w:val="24"/>
              <w:szCs w:val="24"/>
            </w:rPr>
            <m:t>×100</m:t>
          </m:r>
          <m:r>
            <m:rPr>
              <m:sty m:val="p"/>
            </m:rPr>
            <w:rPr>
              <w:rFonts w:ascii="Arial" w:hAnsi="Arial" w:cs="Arial"/>
              <w:sz w:val="24"/>
              <w:szCs w:val="24"/>
            </w:rPr>
            <w:br/>
          </m:r>
        </m:oMath>
      </m:oMathPara>
    </w:p>
    <w:p w14:paraId="7A21B472" w14:textId="77777777" w:rsidR="00367D9B" w:rsidRPr="00367D9B" w:rsidRDefault="00367D9B" w:rsidP="00C0153C">
      <w:pPr>
        <w:numPr>
          <w:ilvl w:val="0"/>
          <w:numId w:val="15"/>
        </w:numPr>
        <w:spacing w:line="360" w:lineRule="auto"/>
        <w:rPr>
          <w:rFonts w:ascii="Arial" w:hAnsi="Arial" w:cs="Arial"/>
          <w:sz w:val="24"/>
          <w:szCs w:val="24"/>
        </w:rPr>
      </w:pPr>
      <w:r w:rsidRPr="00367D9B">
        <w:rPr>
          <w:rFonts w:ascii="Arial" w:hAnsi="Arial" w:cs="Arial"/>
          <w:sz w:val="24"/>
          <w:szCs w:val="24"/>
        </w:rPr>
        <w:lastRenderedPageBreak/>
        <w:t>Project A: (2.2 ÷ 40) × 100 = 5.5%</w:t>
      </w:r>
    </w:p>
    <w:p w14:paraId="7A146109" w14:textId="77777777" w:rsidR="00367D9B" w:rsidRPr="00367D9B" w:rsidRDefault="00367D9B" w:rsidP="00C0153C">
      <w:pPr>
        <w:numPr>
          <w:ilvl w:val="0"/>
          <w:numId w:val="15"/>
        </w:numPr>
        <w:spacing w:line="360" w:lineRule="auto"/>
        <w:rPr>
          <w:rFonts w:ascii="Arial" w:hAnsi="Arial" w:cs="Arial"/>
          <w:sz w:val="24"/>
          <w:szCs w:val="24"/>
        </w:rPr>
      </w:pPr>
      <w:r w:rsidRPr="00367D9B">
        <w:rPr>
          <w:rFonts w:ascii="Arial" w:hAnsi="Arial" w:cs="Arial"/>
          <w:sz w:val="24"/>
          <w:szCs w:val="24"/>
        </w:rPr>
        <w:t>Project B: (0.8 ÷ 30) × 100 = 2.7%</w:t>
      </w:r>
    </w:p>
    <w:p w14:paraId="7ADB9E90" w14:textId="77777777" w:rsidR="00367D9B" w:rsidRPr="00367D9B" w:rsidRDefault="00367D9B" w:rsidP="00C0153C">
      <w:pPr>
        <w:numPr>
          <w:ilvl w:val="0"/>
          <w:numId w:val="15"/>
        </w:numPr>
        <w:spacing w:line="360" w:lineRule="auto"/>
        <w:rPr>
          <w:rFonts w:ascii="Arial" w:hAnsi="Arial" w:cs="Arial"/>
          <w:sz w:val="24"/>
          <w:szCs w:val="24"/>
        </w:rPr>
      </w:pPr>
      <w:r w:rsidRPr="00367D9B">
        <w:rPr>
          <w:rFonts w:ascii="Arial" w:hAnsi="Arial" w:cs="Arial"/>
          <w:sz w:val="24"/>
          <w:szCs w:val="24"/>
        </w:rPr>
        <w:t>Project C: (3.8 ÷ 50) × 100 = 7.6%</w:t>
      </w:r>
    </w:p>
    <w:p w14:paraId="565EE3BC"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ARR Interpretation:</w:t>
      </w:r>
    </w:p>
    <w:p w14:paraId="7176807D" w14:textId="24A1DC8E" w:rsidR="00367D9B" w:rsidRPr="00367D9B" w:rsidRDefault="003F4ABF" w:rsidP="00A87699">
      <w:pPr>
        <w:spacing w:line="360" w:lineRule="auto"/>
        <w:jc w:val="both"/>
        <w:rPr>
          <w:rFonts w:ascii="Arial" w:hAnsi="Arial" w:cs="Arial"/>
          <w:sz w:val="24"/>
          <w:szCs w:val="24"/>
        </w:rPr>
      </w:pPr>
      <w:r w:rsidRPr="003F4ABF">
        <w:rPr>
          <w:rFonts w:ascii="Arial" w:hAnsi="Arial" w:cs="Arial"/>
          <w:sz w:val="24"/>
          <w:szCs w:val="24"/>
        </w:rPr>
        <w:t>The highest accounting return (7.6%) can be observed in Project C which means the most profitable utilization of invested funds. Project A (5.5%), outperforms the current ROA of the company (negative at 3) which displays moderate profitability. Project B (2.7</w:t>
      </w:r>
      <w:r>
        <w:rPr>
          <w:rFonts w:ascii="Arial" w:hAnsi="Arial" w:cs="Arial"/>
          <w:sz w:val="24"/>
          <w:szCs w:val="24"/>
        </w:rPr>
        <w:t>%</w:t>
      </w:r>
      <w:r w:rsidRPr="003F4ABF">
        <w:rPr>
          <w:rFonts w:ascii="Arial" w:hAnsi="Arial" w:cs="Arial"/>
          <w:sz w:val="24"/>
          <w:szCs w:val="24"/>
        </w:rPr>
        <w:t>) is not profitable because it is less than the cost of capital.</w:t>
      </w:r>
    </w:p>
    <w:p w14:paraId="6A2C3504"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5.3 Net Present Value (NPV)</w:t>
      </w:r>
    </w:p>
    <w:p w14:paraId="314662CD" w14:textId="77777777" w:rsidR="003F4ABF" w:rsidRDefault="003F4ABF" w:rsidP="00A87699">
      <w:pPr>
        <w:spacing w:line="360" w:lineRule="auto"/>
        <w:jc w:val="both"/>
        <w:rPr>
          <w:rFonts w:ascii="Arial" w:hAnsi="Arial" w:cs="Arial"/>
          <w:sz w:val="24"/>
          <w:szCs w:val="24"/>
        </w:rPr>
      </w:pPr>
      <w:r w:rsidRPr="003F4ABF">
        <w:rPr>
          <w:rFonts w:ascii="Arial" w:hAnsi="Arial" w:cs="Arial"/>
          <w:sz w:val="24"/>
          <w:szCs w:val="24"/>
        </w:rPr>
        <w:t>NPV compares the discounted value of the future cash flows at the cost of capital at the company (10 percent) with the initial outlay. When NPV is positive, value creation has taken place.</w:t>
      </w:r>
    </w:p>
    <w:p w14:paraId="7D83BDA2" w14:textId="7D89F9F0"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Present Value (PV) Factors at 10%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6"/>
        <w:gridCol w:w="1196"/>
      </w:tblGrid>
      <w:tr w:rsidR="00367D9B" w:rsidRPr="00367D9B" w14:paraId="294928D4" w14:textId="77777777">
        <w:trPr>
          <w:tblHeader/>
          <w:tblCellSpacing w:w="15" w:type="dxa"/>
        </w:trPr>
        <w:tc>
          <w:tcPr>
            <w:tcW w:w="0" w:type="auto"/>
            <w:vAlign w:val="center"/>
            <w:hideMark/>
          </w:tcPr>
          <w:p w14:paraId="420EE5B7"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Year</w:t>
            </w:r>
          </w:p>
        </w:tc>
        <w:tc>
          <w:tcPr>
            <w:tcW w:w="0" w:type="auto"/>
            <w:vAlign w:val="center"/>
            <w:hideMark/>
          </w:tcPr>
          <w:p w14:paraId="508F6CAE"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PV Factor</w:t>
            </w:r>
          </w:p>
        </w:tc>
      </w:tr>
      <w:tr w:rsidR="00367D9B" w:rsidRPr="00367D9B" w14:paraId="347F4066" w14:textId="77777777">
        <w:trPr>
          <w:tblCellSpacing w:w="15" w:type="dxa"/>
        </w:trPr>
        <w:tc>
          <w:tcPr>
            <w:tcW w:w="0" w:type="auto"/>
            <w:vAlign w:val="center"/>
            <w:hideMark/>
          </w:tcPr>
          <w:p w14:paraId="76B009C8"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1</w:t>
            </w:r>
          </w:p>
        </w:tc>
        <w:tc>
          <w:tcPr>
            <w:tcW w:w="0" w:type="auto"/>
            <w:vAlign w:val="center"/>
            <w:hideMark/>
          </w:tcPr>
          <w:p w14:paraId="5A742368"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0.909</w:t>
            </w:r>
          </w:p>
        </w:tc>
      </w:tr>
      <w:tr w:rsidR="00367D9B" w:rsidRPr="00367D9B" w14:paraId="6A6DFA74" w14:textId="77777777">
        <w:trPr>
          <w:tblCellSpacing w:w="15" w:type="dxa"/>
        </w:trPr>
        <w:tc>
          <w:tcPr>
            <w:tcW w:w="0" w:type="auto"/>
            <w:vAlign w:val="center"/>
            <w:hideMark/>
          </w:tcPr>
          <w:p w14:paraId="10D646F3"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2</w:t>
            </w:r>
          </w:p>
        </w:tc>
        <w:tc>
          <w:tcPr>
            <w:tcW w:w="0" w:type="auto"/>
            <w:vAlign w:val="center"/>
            <w:hideMark/>
          </w:tcPr>
          <w:p w14:paraId="076C8D1B"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0.826</w:t>
            </w:r>
          </w:p>
        </w:tc>
      </w:tr>
      <w:tr w:rsidR="00367D9B" w:rsidRPr="00367D9B" w14:paraId="441C32E8" w14:textId="77777777">
        <w:trPr>
          <w:tblCellSpacing w:w="15" w:type="dxa"/>
        </w:trPr>
        <w:tc>
          <w:tcPr>
            <w:tcW w:w="0" w:type="auto"/>
            <w:vAlign w:val="center"/>
            <w:hideMark/>
          </w:tcPr>
          <w:p w14:paraId="182E3672"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3</w:t>
            </w:r>
          </w:p>
        </w:tc>
        <w:tc>
          <w:tcPr>
            <w:tcW w:w="0" w:type="auto"/>
            <w:vAlign w:val="center"/>
            <w:hideMark/>
          </w:tcPr>
          <w:p w14:paraId="3FEB6205"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0.751</w:t>
            </w:r>
          </w:p>
        </w:tc>
      </w:tr>
      <w:tr w:rsidR="00367D9B" w:rsidRPr="00367D9B" w14:paraId="05925BDC" w14:textId="77777777">
        <w:trPr>
          <w:tblCellSpacing w:w="15" w:type="dxa"/>
        </w:trPr>
        <w:tc>
          <w:tcPr>
            <w:tcW w:w="0" w:type="auto"/>
            <w:vAlign w:val="center"/>
            <w:hideMark/>
          </w:tcPr>
          <w:p w14:paraId="08D9C70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4</w:t>
            </w:r>
          </w:p>
        </w:tc>
        <w:tc>
          <w:tcPr>
            <w:tcW w:w="0" w:type="auto"/>
            <w:vAlign w:val="center"/>
            <w:hideMark/>
          </w:tcPr>
          <w:p w14:paraId="25B400E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0.683</w:t>
            </w:r>
          </w:p>
        </w:tc>
      </w:tr>
      <w:tr w:rsidR="00367D9B" w:rsidRPr="00367D9B" w14:paraId="2405121C" w14:textId="77777777">
        <w:trPr>
          <w:tblCellSpacing w:w="15" w:type="dxa"/>
        </w:trPr>
        <w:tc>
          <w:tcPr>
            <w:tcW w:w="0" w:type="auto"/>
            <w:vAlign w:val="center"/>
            <w:hideMark/>
          </w:tcPr>
          <w:p w14:paraId="5ADAA92A"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5</w:t>
            </w:r>
          </w:p>
        </w:tc>
        <w:tc>
          <w:tcPr>
            <w:tcW w:w="0" w:type="auto"/>
            <w:vAlign w:val="center"/>
            <w:hideMark/>
          </w:tcPr>
          <w:p w14:paraId="11988A7A"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0.621</w:t>
            </w:r>
          </w:p>
        </w:tc>
      </w:tr>
    </w:tbl>
    <w:p w14:paraId="719480F4"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Project A Calculation:</w:t>
      </w:r>
    </w:p>
    <w:p w14:paraId="6924071A" w14:textId="43D3787E"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PV</m:t>
          </m:r>
          <m:r>
            <w:rPr>
              <w:rFonts w:ascii="Cambria Math" w:hAnsi="Cambria Math" w:cs="Arial"/>
              <w:sz w:val="24"/>
              <w:szCs w:val="24"/>
            </w:rPr>
            <m:t>=15(0.909)+12(0.826)+10(0.751)+8(0.683)+6(0.621)</m:t>
          </m:r>
          <m:r>
            <m:rPr>
              <m:sty m:val="p"/>
            </m:rPr>
            <w:rPr>
              <w:rFonts w:ascii="Arial" w:hAnsi="Arial" w:cs="Arial"/>
              <w:sz w:val="24"/>
              <w:szCs w:val="24"/>
            </w:rPr>
            <w:br/>
          </m:r>
        </m:oMath>
      </m:oMathPara>
    </w:p>
    <w:p w14:paraId="26315108"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Stepwise:</w:t>
      </w:r>
    </w:p>
    <w:p w14:paraId="4CFE588D" w14:textId="77777777" w:rsidR="00367D9B" w:rsidRPr="00367D9B" w:rsidRDefault="00367D9B" w:rsidP="00C0153C">
      <w:pPr>
        <w:numPr>
          <w:ilvl w:val="0"/>
          <w:numId w:val="17"/>
        </w:numPr>
        <w:spacing w:line="360" w:lineRule="auto"/>
        <w:rPr>
          <w:rFonts w:ascii="Arial" w:hAnsi="Arial" w:cs="Arial"/>
          <w:sz w:val="24"/>
          <w:szCs w:val="24"/>
        </w:rPr>
      </w:pPr>
      <w:r w:rsidRPr="00367D9B">
        <w:rPr>
          <w:rFonts w:ascii="Arial" w:hAnsi="Arial" w:cs="Arial"/>
          <w:sz w:val="24"/>
          <w:szCs w:val="24"/>
        </w:rPr>
        <w:t>15 × 0.909 = 13.64</w:t>
      </w:r>
    </w:p>
    <w:p w14:paraId="5497FF59" w14:textId="77777777" w:rsidR="00367D9B" w:rsidRPr="00367D9B" w:rsidRDefault="00367D9B" w:rsidP="00C0153C">
      <w:pPr>
        <w:numPr>
          <w:ilvl w:val="0"/>
          <w:numId w:val="17"/>
        </w:numPr>
        <w:spacing w:line="360" w:lineRule="auto"/>
        <w:rPr>
          <w:rFonts w:ascii="Arial" w:hAnsi="Arial" w:cs="Arial"/>
          <w:sz w:val="24"/>
          <w:szCs w:val="24"/>
        </w:rPr>
      </w:pPr>
      <w:r w:rsidRPr="00367D9B">
        <w:rPr>
          <w:rFonts w:ascii="Arial" w:hAnsi="Arial" w:cs="Arial"/>
          <w:sz w:val="24"/>
          <w:szCs w:val="24"/>
        </w:rPr>
        <w:t>12 × 0.826 = 9.91</w:t>
      </w:r>
    </w:p>
    <w:p w14:paraId="662BE946" w14:textId="77777777" w:rsidR="00367D9B" w:rsidRPr="00367D9B" w:rsidRDefault="00367D9B" w:rsidP="00C0153C">
      <w:pPr>
        <w:numPr>
          <w:ilvl w:val="0"/>
          <w:numId w:val="17"/>
        </w:numPr>
        <w:spacing w:line="360" w:lineRule="auto"/>
        <w:rPr>
          <w:rFonts w:ascii="Arial" w:hAnsi="Arial" w:cs="Arial"/>
          <w:sz w:val="24"/>
          <w:szCs w:val="24"/>
        </w:rPr>
      </w:pPr>
      <w:r w:rsidRPr="00367D9B">
        <w:rPr>
          <w:rFonts w:ascii="Arial" w:hAnsi="Arial" w:cs="Arial"/>
          <w:sz w:val="24"/>
          <w:szCs w:val="24"/>
        </w:rPr>
        <w:lastRenderedPageBreak/>
        <w:t>10 × 0.751 = 7.51</w:t>
      </w:r>
    </w:p>
    <w:p w14:paraId="3DA10A81" w14:textId="77777777" w:rsidR="00367D9B" w:rsidRPr="00367D9B" w:rsidRDefault="00367D9B" w:rsidP="00C0153C">
      <w:pPr>
        <w:numPr>
          <w:ilvl w:val="0"/>
          <w:numId w:val="17"/>
        </w:numPr>
        <w:spacing w:line="360" w:lineRule="auto"/>
        <w:rPr>
          <w:rFonts w:ascii="Arial" w:hAnsi="Arial" w:cs="Arial"/>
          <w:sz w:val="24"/>
          <w:szCs w:val="24"/>
        </w:rPr>
      </w:pPr>
      <w:r w:rsidRPr="00367D9B">
        <w:rPr>
          <w:rFonts w:ascii="Arial" w:hAnsi="Arial" w:cs="Arial"/>
          <w:sz w:val="24"/>
          <w:szCs w:val="24"/>
        </w:rPr>
        <w:t>8 × 0.683 = 5.46</w:t>
      </w:r>
    </w:p>
    <w:p w14:paraId="661CDC2A" w14:textId="77777777" w:rsidR="00367D9B" w:rsidRPr="00367D9B" w:rsidRDefault="00367D9B" w:rsidP="00C0153C">
      <w:pPr>
        <w:numPr>
          <w:ilvl w:val="0"/>
          <w:numId w:val="17"/>
        </w:numPr>
        <w:spacing w:line="360" w:lineRule="auto"/>
        <w:rPr>
          <w:rFonts w:ascii="Arial" w:hAnsi="Arial" w:cs="Arial"/>
          <w:sz w:val="24"/>
          <w:szCs w:val="24"/>
        </w:rPr>
      </w:pPr>
      <w:r w:rsidRPr="00367D9B">
        <w:rPr>
          <w:rFonts w:ascii="Arial" w:hAnsi="Arial" w:cs="Arial"/>
          <w:sz w:val="24"/>
          <w:szCs w:val="24"/>
        </w:rPr>
        <w:t>6 × 0.621 = 3.73</w:t>
      </w:r>
    </w:p>
    <w:p w14:paraId="7C372746" w14:textId="41396189" w:rsidR="00367D9B" w:rsidRPr="00367D9B" w:rsidRDefault="00000000" w:rsidP="00C0153C">
      <w:pPr>
        <w:spacing w:line="360" w:lineRule="auto"/>
        <w:rPr>
          <w:rFonts w:ascii="Arial" w:hAnsi="Arial" w:cs="Arial"/>
          <w:sz w:val="24"/>
          <w:szCs w:val="24"/>
        </w:rPr>
      </w:pPr>
      <m:oMathPara>
        <m:oMath>
          <m:sSub>
            <m:sSubPr>
              <m:ctrlPr>
                <w:rPr>
                  <w:rFonts w:ascii="Cambria Math" w:hAnsi="Cambria Math" w:cs="Arial"/>
                  <w:sz w:val="24"/>
                  <w:szCs w:val="24"/>
                </w:rPr>
              </m:ctrlPr>
            </m:sSubPr>
            <m:e>
              <m:r>
                <m:rPr>
                  <m:nor/>
                </m:rPr>
                <w:rPr>
                  <w:rFonts w:ascii="Arial" w:hAnsi="Arial" w:cs="Arial"/>
                  <w:sz w:val="24"/>
                  <w:szCs w:val="24"/>
                </w:rPr>
                <m:t>PV</m:t>
              </m:r>
            </m:e>
            <m:sub>
              <m:r>
                <w:rPr>
                  <w:rFonts w:ascii="Cambria Math" w:hAnsi="Cambria Math" w:cs="Arial"/>
                  <w:sz w:val="24"/>
                  <w:szCs w:val="24"/>
                </w:rPr>
                <m:t>A</m:t>
              </m:r>
            </m:sub>
          </m:sSub>
          <m:r>
            <w:rPr>
              <w:rFonts w:ascii="Cambria Math" w:hAnsi="Cambria Math" w:cs="Arial"/>
              <w:sz w:val="24"/>
              <w:szCs w:val="24"/>
            </w:rPr>
            <m:t>=40.25m</m:t>
          </m:r>
          <m:r>
            <m:rPr>
              <m:sty m:val="p"/>
            </m:rPr>
            <w:rPr>
              <w:rFonts w:ascii="Arial" w:hAnsi="Arial" w:cs="Arial"/>
              <w:sz w:val="24"/>
              <w:szCs w:val="24"/>
            </w:rPr>
            <w:br/>
          </m:r>
        </m:oMath>
        <m:oMath>
          <m:sSub>
            <m:sSubPr>
              <m:ctrlPr>
                <w:rPr>
                  <w:rFonts w:ascii="Cambria Math" w:hAnsi="Cambria Math" w:cs="Arial"/>
                  <w:sz w:val="24"/>
                  <w:szCs w:val="24"/>
                </w:rPr>
              </m:ctrlPr>
            </m:sSubPr>
            <m:e>
              <m:r>
                <m:rPr>
                  <m:nor/>
                </m:rPr>
                <w:rPr>
                  <w:rFonts w:ascii="Arial" w:hAnsi="Arial" w:cs="Arial"/>
                  <w:sz w:val="24"/>
                  <w:szCs w:val="24"/>
                </w:rPr>
                <m:t>NPV</m:t>
              </m:r>
            </m:e>
            <m:sub>
              <m:r>
                <w:rPr>
                  <w:rFonts w:ascii="Cambria Math" w:hAnsi="Cambria Math" w:cs="Arial"/>
                  <w:sz w:val="24"/>
                  <w:szCs w:val="24"/>
                </w:rPr>
                <m:t>A</m:t>
              </m:r>
            </m:sub>
          </m:sSub>
          <m:r>
            <w:rPr>
              <w:rFonts w:ascii="Cambria Math" w:hAnsi="Cambria Math" w:cs="Arial"/>
              <w:sz w:val="24"/>
              <w:szCs w:val="24"/>
            </w:rPr>
            <m:t>=40.25-40=+0.25m</m:t>
          </m:r>
          <m:r>
            <m:rPr>
              <m:sty m:val="p"/>
            </m:rPr>
            <w:rPr>
              <w:rFonts w:ascii="Arial" w:hAnsi="Arial" w:cs="Arial"/>
              <w:sz w:val="24"/>
              <w:szCs w:val="24"/>
            </w:rPr>
            <w:br/>
          </m:r>
        </m:oMath>
      </m:oMathPara>
    </w:p>
    <w:p w14:paraId="6AEA9779"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Project B Calculation:</w:t>
      </w:r>
    </w:p>
    <w:p w14:paraId="44C1DE4A" w14:textId="47CC5DFE" w:rsidR="00367D9B" w:rsidRPr="00367D9B" w:rsidRDefault="00000000" w:rsidP="00C0153C">
      <w:pPr>
        <w:spacing w:line="360" w:lineRule="auto"/>
        <w:rPr>
          <w:rFonts w:ascii="Arial" w:hAnsi="Arial" w:cs="Arial"/>
          <w:sz w:val="24"/>
          <w:szCs w:val="24"/>
        </w:rPr>
      </w:pPr>
      <m:oMathPara>
        <m:oMath>
          <m:sSub>
            <m:sSubPr>
              <m:ctrlPr>
                <w:rPr>
                  <w:rFonts w:ascii="Cambria Math" w:hAnsi="Cambria Math" w:cs="Arial"/>
                  <w:sz w:val="24"/>
                  <w:szCs w:val="24"/>
                </w:rPr>
              </m:ctrlPr>
            </m:sSubPr>
            <m:e>
              <m:r>
                <m:rPr>
                  <m:nor/>
                </m:rPr>
                <w:rPr>
                  <w:rFonts w:ascii="Arial" w:hAnsi="Arial" w:cs="Arial"/>
                  <w:sz w:val="24"/>
                  <w:szCs w:val="24"/>
                </w:rPr>
                <m:t>PV</m:t>
              </m:r>
            </m:e>
            <m:sub>
              <m:r>
                <w:rPr>
                  <w:rFonts w:ascii="Cambria Math" w:hAnsi="Cambria Math" w:cs="Arial"/>
                  <w:sz w:val="24"/>
                  <w:szCs w:val="24"/>
                </w:rPr>
                <m:t>B</m:t>
              </m:r>
            </m:sub>
          </m:sSub>
          <m:r>
            <w:rPr>
              <w:rFonts w:ascii="Cambria Math" w:hAnsi="Cambria Math" w:cs="Arial"/>
              <w:sz w:val="24"/>
              <w:szCs w:val="24"/>
            </w:rPr>
            <m:t>=10(0.909)+8(0.826)+7(0.751)+5(0.683)+4(0.621)</m:t>
          </m:r>
          <m:r>
            <m:rPr>
              <m:sty m:val="p"/>
            </m:rPr>
            <w:rPr>
              <w:rFonts w:ascii="Arial" w:hAnsi="Arial" w:cs="Arial"/>
              <w:sz w:val="24"/>
              <w:szCs w:val="24"/>
            </w:rPr>
            <w:br/>
          </m:r>
        </m:oMath>
      </m:oMathPara>
    </w:p>
    <w:p w14:paraId="5C7994EC"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Stepwise:</w:t>
      </w:r>
    </w:p>
    <w:p w14:paraId="3F530BFC" w14:textId="77777777" w:rsidR="00367D9B" w:rsidRPr="00367D9B" w:rsidRDefault="00367D9B" w:rsidP="00C0153C">
      <w:pPr>
        <w:numPr>
          <w:ilvl w:val="0"/>
          <w:numId w:val="18"/>
        </w:numPr>
        <w:spacing w:line="360" w:lineRule="auto"/>
        <w:rPr>
          <w:rFonts w:ascii="Arial" w:hAnsi="Arial" w:cs="Arial"/>
          <w:sz w:val="24"/>
          <w:szCs w:val="24"/>
        </w:rPr>
      </w:pPr>
      <w:r w:rsidRPr="00367D9B">
        <w:rPr>
          <w:rFonts w:ascii="Arial" w:hAnsi="Arial" w:cs="Arial"/>
          <w:sz w:val="24"/>
          <w:szCs w:val="24"/>
        </w:rPr>
        <w:t>10 × 0.909 = 9.09</w:t>
      </w:r>
    </w:p>
    <w:p w14:paraId="6FFF8BC0" w14:textId="77777777" w:rsidR="00367D9B" w:rsidRPr="00367D9B" w:rsidRDefault="00367D9B" w:rsidP="00C0153C">
      <w:pPr>
        <w:numPr>
          <w:ilvl w:val="0"/>
          <w:numId w:val="18"/>
        </w:numPr>
        <w:spacing w:line="360" w:lineRule="auto"/>
        <w:rPr>
          <w:rFonts w:ascii="Arial" w:hAnsi="Arial" w:cs="Arial"/>
          <w:sz w:val="24"/>
          <w:szCs w:val="24"/>
        </w:rPr>
      </w:pPr>
      <w:r w:rsidRPr="00367D9B">
        <w:rPr>
          <w:rFonts w:ascii="Arial" w:hAnsi="Arial" w:cs="Arial"/>
          <w:sz w:val="24"/>
          <w:szCs w:val="24"/>
        </w:rPr>
        <w:t>8 × 0.826 = 6.61</w:t>
      </w:r>
    </w:p>
    <w:p w14:paraId="39A13059" w14:textId="77777777" w:rsidR="00367D9B" w:rsidRPr="00367D9B" w:rsidRDefault="00367D9B" w:rsidP="00C0153C">
      <w:pPr>
        <w:numPr>
          <w:ilvl w:val="0"/>
          <w:numId w:val="18"/>
        </w:numPr>
        <w:spacing w:line="360" w:lineRule="auto"/>
        <w:rPr>
          <w:rFonts w:ascii="Arial" w:hAnsi="Arial" w:cs="Arial"/>
          <w:sz w:val="24"/>
          <w:szCs w:val="24"/>
        </w:rPr>
      </w:pPr>
      <w:r w:rsidRPr="00367D9B">
        <w:rPr>
          <w:rFonts w:ascii="Arial" w:hAnsi="Arial" w:cs="Arial"/>
          <w:sz w:val="24"/>
          <w:szCs w:val="24"/>
        </w:rPr>
        <w:t>7 × 0.751 = 5.26</w:t>
      </w:r>
    </w:p>
    <w:p w14:paraId="77C899E0" w14:textId="77777777" w:rsidR="00367D9B" w:rsidRPr="00367D9B" w:rsidRDefault="00367D9B" w:rsidP="00C0153C">
      <w:pPr>
        <w:numPr>
          <w:ilvl w:val="0"/>
          <w:numId w:val="18"/>
        </w:numPr>
        <w:spacing w:line="360" w:lineRule="auto"/>
        <w:rPr>
          <w:rFonts w:ascii="Arial" w:hAnsi="Arial" w:cs="Arial"/>
          <w:sz w:val="24"/>
          <w:szCs w:val="24"/>
        </w:rPr>
      </w:pPr>
      <w:r w:rsidRPr="00367D9B">
        <w:rPr>
          <w:rFonts w:ascii="Arial" w:hAnsi="Arial" w:cs="Arial"/>
          <w:sz w:val="24"/>
          <w:szCs w:val="24"/>
        </w:rPr>
        <w:t>5 × 0.683 = 3.41</w:t>
      </w:r>
    </w:p>
    <w:p w14:paraId="65C41485" w14:textId="77777777" w:rsidR="00367D9B" w:rsidRPr="00367D9B" w:rsidRDefault="00367D9B" w:rsidP="00C0153C">
      <w:pPr>
        <w:numPr>
          <w:ilvl w:val="0"/>
          <w:numId w:val="18"/>
        </w:numPr>
        <w:spacing w:line="360" w:lineRule="auto"/>
        <w:rPr>
          <w:rFonts w:ascii="Arial" w:hAnsi="Arial" w:cs="Arial"/>
          <w:sz w:val="24"/>
          <w:szCs w:val="24"/>
        </w:rPr>
      </w:pPr>
      <w:r w:rsidRPr="00367D9B">
        <w:rPr>
          <w:rFonts w:ascii="Arial" w:hAnsi="Arial" w:cs="Arial"/>
          <w:sz w:val="24"/>
          <w:szCs w:val="24"/>
        </w:rPr>
        <w:t>4 × 0.621 = 2.48</w:t>
      </w:r>
    </w:p>
    <w:p w14:paraId="2E540CC2" w14:textId="6F5D7479" w:rsidR="00367D9B" w:rsidRPr="00367D9B" w:rsidRDefault="00000000" w:rsidP="00C0153C">
      <w:pPr>
        <w:spacing w:line="360" w:lineRule="auto"/>
        <w:rPr>
          <w:rFonts w:ascii="Arial" w:hAnsi="Arial" w:cs="Arial"/>
          <w:sz w:val="24"/>
          <w:szCs w:val="24"/>
        </w:rPr>
      </w:pPr>
      <m:oMathPara>
        <m:oMath>
          <m:sSub>
            <m:sSubPr>
              <m:ctrlPr>
                <w:rPr>
                  <w:rFonts w:ascii="Cambria Math" w:hAnsi="Cambria Math" w:cs="Arial"/>
                  <w:sz w:val="24"/>
                  <w:szCs w:val="24"/>
                </w:rPr>
              </m:ctrlPr>
            </m:sSubPr>
            <m:e>
              <m:r>
                <m:rPr>
                  <m:nor/>
                </m:rPr>
                <w:rPr>
                  <w:rFonts w:ascii="Arial" w:hAnsi="Arial" w:cs="Arial"/>
                  <w:sz w:val="24"/>
                  <w:szCs w:val="24"/>
                </w:rPr>
                <m:t>PV</m:t>
              </m:r>
            </m:e>
            <m:sub>
              <m:r>
                <w:rPr>
                  <w:rFonts w:ascii="Cambria Math" w:hAnsi="Cambria Math" w:cs="Arial"/>
                  <w:sz w:val="24"/>
                  <w:szCs w:val="24"/>
                </w:rPr>
                <m:t>B</m:t>
              </m:r>
            </m:sub>
          </m:sSub>
          <m:r>
            <w:rPr>
              <w:rFonts w:ascii="Cambria Math" w:hAnsi="Cambria Math" w:cs="Arial"/>
              <w:sz w:val="24"/>
              <w:szCs w:val="24"/>
            </w:rPr>
            <m:t>=26.85m,</m:t>
          </m:r>
          <m:sSub>
            <m:sSubPr>
              <m:ctrlPr>
                <w:rPr>
                  <w:rFonts w:ascii="Cambria Math" w:hAnsi="Cambria Math" w:cs="Arial"/>
                  <w:sz w:val="24"/>
                  <w:szCs w:val="24"/>
                </w:rPr>
              </m:ctrlPr>
            </m:sSubPr>
            <m:e>
              <m:r>
                <m:rPr>
                  <m:nor/>
                </m:rPr>
                <w:rPr>
                  <w:rFonts w:ascii="Arial" w:hAnsi="Arial" w:cs="Arial"/>
                  <w:sz w:val="24"/>
                  <w:szCs w:val="24"/>
                </w:rPr>
                <m:t>NPV</m:t>
              </m:r>
            </m:e>
            <m:sub>
              <m:r>
                <w:rPr>
                  <w:rFonts w:ascii="Cambria Math" w:hAnsi="Cambria Math" w:cs="Arial"/>
                  <w:sz w:val="24"/>
                  <w:szCs w:val="24"/>
                </w:rPr>
                <m:t>B</m:t>
              </m:r>
            </m:sub>
          </m:sSub>
          <m:r>
            <w:rPr>
              <w:rFonts w:ascii="Cambria Math" w:hAnsi="Cambria Math" w:cs="Arial"/>
              <w:sz w:val="24"/>
              <w:szCs w:val="24"/>
            </w:rPr>
            <m:t>=26.85-30=-3.15m</m:t>
          </m:r>
          <m:r>
            <m:rPr>
              <m:sty m:val="p"/>
            </m:rPr>
            <w:rPr>
              <w:rFonts w:ascii="Arial" w:hAnsi="Arial" w:cs="Arial"/>
              <w:sz w:val="24"/>
              <w:szCs w:val="24"/>
            </w:rPr>
            <w:br/>
          </m:r>
        </m:oMath>
      </m:oMathPara>
    </w:p>
    <w:p w14:paraId="697A2B2B"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Project C Calculation:</w:t>
      </w:r>
    </w:p>
    <w:p w14:paraId="0ED6EF69" w14:textId="70367784" w:rsidR="00367D9B" w:rsidRPr="00367D9B" w:rsidRDefault="00000000" w:rsidP="00C0153C">
      <w:pPr>
        <w:spacing w:line="360" w:lineRule="auto"/>
        <w:rPr>
          <w:rFonts w:ascii="Arial" w:hAnsi="Arial" w:cs="Arial"/>
          <w:sz w:val="24"/>
          <w:szCs w:val="24"/>
        </w:rPr>
      </w:pPr>
      <m:oMathPara>
        <m:oMath>
          <m:sSub>
            <m:sSubPr>
              <m:ctrlPr>
                <w:rPr>
                  <w:rFonts w:ascii="Cambria Math" w:hAnsi="Cambria Math" w:cs="Arial"/>
                  <w:sz w:val="24"/>
                  <w:szCs w:val="24"/>
                </w:rPr>
              </m:ctrlPr>
            </m:sSubPr>
            <m:e>
              <m:r>
                <m:rPr>
                  <m:nor/>
                </m:rPr>
                <w:rPr>
                  <w:rFonts w:ascii="Arial" w:hAnsi="Arial" w:cs="Arial"/>
                  <w:sz w:val="24"/>
                  <w:szCs w:val="24"/>
                </w:rPr>
                <m:t>PV</m:t>
              </m:r>
            </m:e>
            <m:sub>
              <m:r>
                <w:rPr>
                  <w:rFonts w:ascii="Cambria Math" w:hAnsi="Cambria Math" w:cs="Arial"/>
                  <w:sz w:val="24"/>
                  <w:szCs w:val="24"/>
                </w:rPr>
                <m:t>C</m:t>
              </m:r>
            </m:sub>
          </m:sSub>
          <m:r>
            <w:rPr>
              <w:rFonts w:ascii="Cambria Math" w:hAnsi="Cambria Math" w:cs="Arial"/>
              <w:sz w:val="24"/>
              <w:szCs w:val="24"/>
            </w:rPr>
            <m:t>=22(0.909)+18(0.826)+12(0.751)+9(0.683)+8(0.621)</m:t>
          </m:r>
          <m:r>
            <m:rPr>
              <m:sty m:val="p"/>
            </m:rPr>
            <w:rPr>
              <w:rFonts w:ascii="Arial" w:hAnsi="Arial" w:cs="Arial"/>
              <w:sz w:val="24"/>
              <w:szCs w:val="24"/>
            </w:rPr>
            <w:br/>
          </m:r>
        </m:oMath>
      </m:oMathPara>
    </w:p>
    <w:p w14:paraId="66AB3A00"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Stepwise:</w:t>
      </w:r>
    </w:p>
    <w:p w14:paraId="51DD0E4E" w14:textId="77777777" w:rsidR="00367D9B" w:rsidRPr="00367D9B" w:rsidRDefault="00367D9B" w:rsidP="00C0153C">
      <w:pPr>
        <w:numPr>
          <w:ilvl w:val="0"/>
          <w:numId w:val="19"/>
        </w:numPr>
        <w:spacing w:line="360" w:lineRule="auto"/>
        <w:rPr>
          <w:rFonts w:ascii="Arial" w:hAnsi="Arial" w:cs="Arial"/>
          <w:sz w:val="24"/>
          <w:szCs w:val="24"/>
        </w:rPr>
      </w:pPr>
      <w:r w:rsidRPr="00367D9B">
        <w:rPr>
          <w:rFonts w:ascii="Arial" w:hAnsi="Arial" w:cs="Arial"/>
          <w:sz w:val="24"/>
          <w:szCs w:val="24"/>
        </w:rPr>
        <w:t>22 × 0.909 = 19.99</w:t>
      </w:r>
    </w:p>
    <w:p w14:paraId="287AAD4A" w14:textId="77777777" w:rsidR="00367D9B" w:rsidRPr="00367D9B" w:rsidRDefault="00367D9B" w:rsidP="00C0153C">
      <w:pPr>
        <w:numPr>
          <w:ilvl w:val="0"/>
          <w:numId w:val="19"/>
        </w:numPr>
        <w:spacing w:line="360" w:lineRule="auto"/>
        <w:rPr>
          <w:rFonts w:ascii="Arial" w:hAnsi="Arial" w:cs="Arial"/>
          <w:sz w:val="24"/>
          <w:szCs w:val="24"/>
        </w:rPr>
      </w:pPr>
      <w:r w:rsidRPr="00367D9B">
        <w:rPr>
          <w:rFonts w:ascii="Arial" w:hAnsi="Arial" w:cs="Arial"/>
          <w:sz w:val="24"/>
          <w:szCs w:val="24"/>
        </w:rPr>
        <w:t>18 × 0.826 = 14.87</w:t>
      </w:r>
    </w:p>
    <w:p w14:paraId="0556B964" w14:textId="77777777" w:rsidR="00367D9B" w:rsidRPr="00367D9B" w:rsidRDefault="00367D9B" w:rsidP="00C0153C">
      <w:pPr>
        <w:numPr>
          <w:ilvl w:val="0"/>
          <w:numId w:val="19"/>
        </w:numPr>
        <w:spacing w:line="360" w:lineRule="auto"/>
        <w:rPr>
          <w:rFonts w:ascii="Arial" w:hAnsi="Arial" w:cs="Arial"/>
          <w:sz w:val="24"/>
          <w:szCs w:val="24"/>
        </w:rPr>
      </w:pPr>
      <w:r w:rsidRPr="00367D9B">
        <w:rPr>
          <w:rFonts w:ascii="Arial" w:hAnsi="Arial" w:cs="Arial"/>
          <w:sz w:val="24"/>
          <w:szCs w:val="24"/>
        </w:rPr>
        <w:t>12 × 0.751 = 9.01</w:t>
      </w:r>
    </w:p>
    <w:p w14:paraId="6B12EC12" w14:textId="77777777" w:rsidR="00367D9B" w:rsidRPr="00367D9B" w:rsidRDefault="00367D9B" w:rsidP="00C0153C">
      <w:pPr>
        <w:numPr>
          <w:ilvl w:val="0"/>
          <w:numId w:val="19"/>
        </w:numPr>
        <w:spacing w:line="360" w:lineRule="auto"/>
        <w:rPr>
          <w:rFonts w:ascii="Arial" w:hAnsi="Arial" w:cs="Arial"/>
          <w:sz w:val="24"/>
          <w:szCs w:val="24"/>
        </w:rPr>
      </w:pPr>
      <w:r w:rsidRPr="00367D9B">
        <w:rPr>
          <w:rFonts w:ascii="Arial" w:hAnsi="Arial" w:cs="Arial"/>
          <w:sz w:val="24"/>
          <w:szCs w:val="24"/>
        </w:rPr>
        <w:t>9 × 0.683 = 6.15</w:t>
      </w:r>
    </w:p>
    <w:p w14:paraId="4FF757F6" w14:textId="77777777" w:rsidR="00367D9B" w:rsidRPr="00367D9B" w:rsidRDefault="00367D9B" w:rsidP="00C0153C">
      <w:pPr>
        <w:numPr>
          <w:ilvl w:val="0"/>
          <w:numId w:val="19"/>
        </w:numPr>
        <w:spacing w:line="360" w:lineRule="auto"/>
        <w:rPr>
          <w:rFonts w:ascii="Arial" w:hAnsi="Arial" w:cs="Arial"/>
          <w:sz w:val="24"/>
          <w:szCs w:val="24"/>
        </w:rPr>
      </w:pPr>
      <w:r w:rsidRPr="00367D9B">
        <w:rPr>
          <w:rFonts w:ascii="Arial" w:hAnsi="Arial" w:cs="Arial"/>
          <w:sz w:val="24"/>
          <w:szCs w:val="24"/>
        </w:rPr>
        <w:t>8 × 0.621 = 4.97</w:t>
      </w:r>
    </w:p>
    <w:p w14:paraId="5EF66815" w14:textId="5E9748C8" w:rsidR="00367D9B" w:rsidRPr="00367D9B" w:rsidRDefault="00000000" w:rsidP="00C0153C">
      <w:pPr>
        <w:spacing w:line="360" w:lineRule="auto"/>
        <w:rPr>
          <w:rFonts w:ascii="Arial" w:hAnsi="Arial" w:cs="Arial"/>
          <w:sz w:val="24"/>
          <w:szCs w:val="24"/>
        </w:rPr>
      </w:pPr>
      <m:oMathPara>
        <m:oMath>
          <m:sSub>
            <m:sSubPr>
              <m:ctrlPr>
                <w:rPr>
                  <w:rFonts w:ascii="Cambria Math" w:hAnsi="Cambria Math" w:cs="Arial"/>
                  <w:sz w:val="24"/>
                  <w:szCs w:val="24"/>
                </w:rPr>
              </m:ctrlPr>
            </m:sSubPr>
            <m:e>
              <m:r>
                <m:rPr>
                  <m:nor/>
                </m:rPr>
                <w:rPr>
                  <w:rFonts w:ascii="Arial" w:hAnsi="Arial" w:cs="Arial"/>
                  <w:sz w:val="24"/>
                  <w:szCs w:val="24"/>
                </w:rPr>
                <m:t>PV</m:t>
              </m:r>
            </m:e>
            <m:sub>
              <m:r>
                <w:rPr>
                  <w:rFonts w:ascii="Cambria Math" w:hAnsi="Cambria Math" w:cs="Arial"/>
                  <w:sz w:val="24"/>
                  <w:szCs w:val="24"/>
                </w:rPr>
                <m:t>C</m:t>
              </m:r>
            </m:sub>
          </m:sSub>
          <m:r>
            <w:rPr>
              <w:rFonts w:ascii="Cambria Math" w:hAnsi="Cambria Math" w:cs="Arial"/>
              <w:sz w:val="24"/>
              <w:szCs w:val="24"/>
            </w:rPr>
            <m:t>=54.99m,</m:t>
          </m:r>
          <m:sSub>
            <m:sSubPr>
              <m:ctrlPr>
                <w:rPr>
                  <w:rFonts w:ascii="Cambria Math" w:hAnsi="Cambria Math" w:cs="Arial"/>
                  <w:sz w:val="24"/>
                  <w:szCs w:val="24"/>
                </w:rPr>
              </m:ctrlPr>
            </m:sSubPr>
            <m:e>
              <m:r>
                <m:rPr>
                  <m:nor/>
                </m:rPr>
                <w:rPr>
                  <w:rFonts w:ascii="Arial" w:hAnsi="Arial" w:cs="Arial"/>
                  <w:sz w:val="24"/>
                  <w:szCs w:val="24"/>
                </w:rPr>
                <m:t>NPV</m:t>
              </m:r>
            </m:e>
            <m:sub>
              <m:r>
                <w:rPr>
                  <w:rFonts w:ascii="Cambria Math" w:hAnsi="Cambria Math" w:cs="Arial"/>
                  <w:sz w:val="24"/>
                  <w:szCs w:val="24"/>
                </w:rPr>
                <m:t>C</m:t>
              </m:r>
            </m:sub>
          </m:sSub>
          <m:r>
            <w:rPr>
              <w:rFonts w:ascii="Cambria Math" w:hAnsi="Cambria Math" w:cs="Arial"/>
              <w:sz w:val="24"/>
              <w:szCs w:val="24"/>
            </w:rPr>
            <m:t>=54.99-50=+4.99m</m:t>
          </m:r>
          <m:r>
            <m:rPr>
              <m:sty m:val="p"/>
            </m:rPr>
            <w:rPr>
              <w:rFonts w:ascii="Arial" w:hAnsi="Arial" w:cs="Arial"/>
              <w:sz w:val="24"/>
              <w:szCs w:val="24"/>
            </w:rPr>
            <w:br/>
          </m:r>
        </m:oMath>
      </m:oMathPara>
    </w:p>
    <w:p w14:paraId="2E03E72A"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NPV Interpretation:</w:t>
      </w:r>
    </w:p>
    <w:p w14:paraId="7707ED68" w14:textId="77777777" w:rsidR="003F4ABF" w:rsidRPr="003F4ABF" w:rsidRDefault="003F4ABF" w:rsidP="00A87699">
      <w:pPr>
        <w:pStyle w:val="ListParagraph"/>
        <w:numPr>
          <w:ilvl w:val="0"/>
          <w:numId w:val="43"/>
        </w:numPr>
        <w:spacing w:line="360" w:lineRule="auto"/>
        <w:jc w:val="both"/>
        <w:rPr>
          <w:rFonts w:ascii="Arial" w:hAnsi="Arial" w:cs="Arial"/>
          <w:sz w:val="24"/>
          <w:szCs w:val="24"/>
        </w:rPr>
      </w:pPr>
      <w:r w:rsidRPr="003F4ABF">
        <w:rPr>
          <w:rFonts w:ascii="Arial" w:hAnsi="Arial" w:cs="Arial"/>
          <w:sz w:val="24"/>
          <w:szCs w:val="24"/>
        </w:rPr>
        <w:t>There are positive NPV of projects A and C inventing shareholder value.</w:t>
      </w:r>
    </w:p>
    <w:p w14:paraId="062BAF36" w14:textId="77777777" w:rsidR="003F4ABF" w:rsidRPr="003F4ABF" w:rsidRDefault="003F4ABF" w:rsidP="00A87699">
      <w:pPr>
        <w:pStyle w:val="ListParagraph"/>
        <w:numPr>
          <w:ilvl w:val="0"/>
          <w:numId w:val="43"/>
        </w:numPr>
        <w:spacing w:line="360" w:lineRule="auto"/>
        <w:jc w:val="both"/>
        <w:rPr>
          <w:rFonts w:ascii="Arial" w:hAnsi="Arial" w:cs="Arial"/>
          <w:sz w:val="24"/>
          <w:szCs w:val="24"/>
        </w:rPr>
      </w:pPr>
      <w:r w:rsidRPr="003F4ABF">
        <w:rPr>
          <w:rFonts w:ascii="Arial" w:hAnsi="Arial" w:cs="Arial"/>
          <w:sz w:val="24"/>
          <w:szCs w:val="24"/>
        </w:rPr>
        <w:t>Project C is the one that has the highest absolute contribution to firm value.</w:t>
      </w:r>
    </w:p>
    <w:p w14:paraId="07BDCCCF" w14:textId="54ED6AFB" w:rsidR="00C0153C" w:rsidRPr="003F4ABF" w:rsidRDefault="003F4ABF" w:rsidP="00A87699">
      <w:pPr>
        <w:pStyle w:val="ListParagraph"/>
        <w:numPr>
          <w:ilvl w:val="0"/>
          <w:numId w:val="43"/>
        </w:numPr>
        <w:spacing w:line="360" w:lineRule="auto"/>
        <w:jc w:val="both"/>
        <w:rPr>
          <w:rFonts w:ascii="Arial" w:hAnsi="Arial" w:cs="Arial"/>
          <w:b/>
          <w:bCs/>
          <w:sz w:val="24"/>
          <w:szCs w:val="24"/>
        </w:rPr>
      </w:pPr>
      <w:r w:rsidRPr="003F4ABF">
        <w:rPr>
          <w:rFonts w:ascii="Arial" w:hAnsi="Arial" w:cs="Arial"/>
          <w:sz w:val="24"/>
          <w:szCs w:val="24"/>
        </w:rPr>
        <w:t>The NPV of Project B is negative and it should not be included in general circumstances.</w:t>
      </w:r>
    </w:p>
    <w:p w14:paraId="5ABD69E1"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5.4 Internal Rate of Return (IRR)</w:t>
      </w:r>
    </w:p>
    <w:p w14:paraId="146275F1" w14:textId="77777777" w:rsidR="003F4ABF" w:rsidRDefault="003F4ABF" w:rsidP="00A87699">
      <w:pPr>
        <w:spacing w:line="360" w:lineRule="auto"/>
        <w:jc w:val="both"/>
        <w:rPr>
          <w:rFonts w:ascii="Arial" w:hAnsi="Arial" w:cs="Arial"/>
          <w:sz w:val="24"/>
          <w:szCs w:val="24"/>
        </w:rPr>
      </w:pPr>
      <w:r w:rsidRPr="003F4ABF">
        <w:rPr>
          <w:rFonts w:ascii="Arial" w:hAnsi="Arial" w:cs="Arial"/>
          <w:sz w:val="24"/>
          <w:szCs w:val="24"/>
        </w:rPr>
        <w:t>The discount rate that makes the Net Present Value (NPV) of a project equal the zero-value is known as the Internal Rate of Return (IRR). It is the real forecasted rate of a project. In a case where NPV is not zero directly, interpolation is applied between two discount rates in estimating IRR.</w:t>
      </w:r>
    </w:p>
    <w:p w14:paraId="52D58628" w14:textId="2EF55249"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The formula for linear interpolation is:</w:t>
      </w:r>
    </w:p>
    <w:p w14:paraId="64889F65" w14:textId="4135D8C8" w:rsidR="00C0153C" w:rsidRPr="00C0153C" w:rsidRDefault="00C0153C" w:rsidP="00C0153C">
      <w:pPr>
        <w:spacing w:line="360" w:lineRule="auto"/>
        <w:rPr>
          <w:rFonts w:ascii="Arial" w:hAnsi="Arial" w:cs="Arial"/>
          <w:b/>
          <w:bCs/>
          <w:sz w:val="24"/>
          <w:szCs w:val="24"/>
        </w:rPr>
      </w:pPr>
      <m:oMathPara>
        <m:oMath>
          <m:r>
            <m:rPr>
              <m:nor/>
            </m:rPr>
            <w:rPr>
              <w:rFonts w:ascii="Arial" w:hAnsi="Arial" w:cs="Arial"/>
              <w:b/>
              <w:bCs/>
              <w:sz w:val="24"/>
              <w:szCs w:val="24"/>
            </w:rPr>
            <m:t>IRR</m:t>
          </m:r>
          <m:r>
            <m:rPr>
              <m:sty m:val="bi"/>
            </m:rPr>
            <w:rPr>
              <w:rFonts w:ascii="Cambria Math" w:hAnsi="Cambria Math" w:cs="Arial"/>
              <w:sz w:val="24"/>
              <w:szCs w:val="24"/>
            </w:rPr>
            <m:t>=</m:t>
          </m:r>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1</m:t>
              </m:r>
            </m:sub>
          </m:sSub>
          <m:r>
            <m:rPr>
              <m:sty m:val="bi"/>
            </m:rPr>
            <w:rPr>
              <w:rFonts w:ascii="Cambria Math" w:hAnsi="Cambria Math" w:cs="Arial"/>
              <w:sz w:val="24"/>
              <w:szCs w:val="24"/>
            </w:rPr>
            <m:t>+</m:t>
          </m:r>
          <m:f>
            <m:fPr>
              <m:ctrlPr>
                <w:rPr>
                  <w:rFonts w:ascii="Cambria Math" w:hAnsi="Cambria Math" w:cs="Arial"/>
                  <w:b/>
                  <w:bCs/>
                  <w:sz w:val="24"/>
                  <w:szCs w:val="24"/>
                </w:rPr>
              </m:ctrlPr>
            </m:fPr>
            <m:num>
              <m:r>
                <m:rPr>
                  <m:nor/>
                </m:rPr>
                <w:rPr>
                  <w:rFonts w:ascii="Arial" w:hAnsi="Arial" w:cs="Arial"/>
                  <w:b/>
                  <w:bCs/>
                  <w:sz w:val="24"/>
                  <w:szCs w:val="24"/>
                </w:rPr>
                <m:t xml:space="preserve">NPV at </m:t>
              </m:r>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1</m:t>
                  </m:r>
                </m:sub>
              </m:sSub>
            </m:num>
            <m:den>
              <m:r>
                <m:rPr>
                  <m:nor/>
                </m:rPr>
                <w:rPr>
                  <w:rFonts w:ascii="Arial" w:hAnsi="Arial" w:cs="Arial"/>
                  <w:b/>
                  <w:bCs/>
                  <w:sz w:val="24"/>
                  <w:szCs w:val="24"/>
                </w:rPr>
                <m:t xml:space="preserve">NPV at </m:t>
              </m:r>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1</m:t>
                  </m:r>
                </m:sub>
              </m:sSub>
              <m:r>
                <m:rPr>
                  <m:sty m:val="bi"/>
                </m:rPr>
                <w:rPr>
                  <w:rFonts w:ascii="Cambria Math" w:hAnsi="Cambria Math" w:cs="Arial"/>
                  <w:sz w:val="24"/>
                  <w:szCs w:val="24"/>
                </w:rPr>
                <m:t>-</m:t>
              </m:r>
              <m:r>
                <m:rPr>
                  <m:nor/>
                </m:rPr>
                <w:rPr>
                  <w:rFonts w:ascii="Arial" w:hAnsi="Arial" w:cs="Arial"/>
                  <w:b/>
                  <w:bCs/>
                  <w:sz w:val="24"/>
                  <w:szCs w:val="24"/>
                </w:rPr>
                <m:t xml:space="preserve">NPV at </m:t>
              </m:r>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2</m:t>
                  </m:r>
                </m:sub>
              </m:sSub>
            </m:den>
          </m:f>
          <m:r>
            <m:rPr>
              <m:sty m:val="bi"/>
            </m:rPr>
            <w:rPr>
              <w:rFonts w:ascii="Cambria Math" w:hAnsi="Cambria Math" w:cs="Arial"/>
              <w:sz w:val="24"/>
              <w:szCs w:val="24"/>
            </w:rPr>
            <m:t>×(</m:t>
          </m:r>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2</m:t>
              </m:r>
            </m:sub>
          </m:sSub>
          <m:r>
            <m:rPr>
              <m:sty m:val="bi"/>
            </m:rPr>
            <w:rPr>
              <w:rFonts w:ascii="Cambria Math" w:hAnsi="Cambria Math" w:cs="Arial"/>
              <w:sz w:val="24"/>
              <w:szCs w:val="24"/>
            </w:rPr>
            <m:t>-</m:t>
          </m:r>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1</m:t>
              </m:r>
            </m:sub>
          </m:sSub>
          <m:r>
            <m:rPr>
              <m:sty m:val="bi"/>
            </m:rPr>
            <w:rPr>
              <w:rFonts w:ascii="Cambria Math" w:hAnsi="Cambria Math" w:cs="Arial"/>
              <w:sz w:val="24"/>
              <w:szCs w:val="24"/>
            </w:rPr>
            <m:t>)</m:t>
          </m:r>
          <m:r>
            <m:rPr>
              <m:sty m:val="p"/>
            </m:rPr>
            <w:rPr>
              <w:rFonts w:ascii="Arial" w:hAnsi="Arial" w:cs="Arial"/>
              <w:sz w:val="24"/>
              <w:szCs w:val="24"/>
            </w:rPr>
            <w:br/>
          </m:r>
        </m:oMath>
      </m:oMathPara>
    </w:p>
    <w:p w14:paraId="6857D0FD"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Where:</w:t>
      </w:r>
    </w:p>
    <w:p w14:paraId="0BF957F3" w14:textId="7B53A5AF" w:rsidR="00C0153C" w:rsidRPr="00C0153C" w:rsidRDefault="00000000" w:rsidP="00C0153C">
      <w:pPr>
        <w:numPr>
          <w:ilvl w:val="0"/>
          <w:numId w:val="26"/>
        </w:numPr>
        <w:spacing w:line="360" w:lineRule="auto"/>
        <w:rPr>
          <w:rFonts w:ascii="Arial" w:hAnsi="Arial" w:cs="Arial"/>
          <w:b/>
          <w:bCs/>
          <w:sz w:val="24"/>
          <w:szCs w:val="24"/>
        </w:rPr>
      </w:pPr>
      <m:oMath>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1</m:t>
            </m:r>
          </m:sub>
        </m:sSub>
      </m:oMath>
      <w:r w:rsidR="00C0153C" w:rsidRPr="00C0153C">
        <w:rPr>
          <w:rFonts w:ascii="Arial" w:hAnsi="Arial" w:cs="Arial"/>
          <w:b/>
          <w:bCs/>
          <w:sz w:val="24"/>
          <w:szCs w:val="24"/>
        </w:rPr>
        <w:t>= lower discount rate</w:t>
      </w:r>
    </w:p>
    <w:p w14:paraId="77AFB72D" w14:textId="0AD03783" w:rsidR="00C0153C" w:rsidRPr="00C0153C" w:rsidRDefault="00000000" w:rsidP="00C0153C">
      <w:pPr>
        <w:numPr>
          <w:ilvl w:val="0"/>
          <w:numId w:val="26"/>
        </w:numPr>
        <w:spacing w:line="360" w:lineRule="auto"/>
        <w:rPr>
          <w:rFonts w:ascii="Arial" w:hAnsi="Arial" w:cs="Arial"/>
          <w:b/>
          <w:bCs/>
          <w:sz w:val="24"/>
          <w:szCs w:val="24"/>
        </w:rPr>
      </w:pPr>
      <m:oMath>
        <m:sSub>
          <m:sSubPr>
            <m:ctrlPr>
              <w:rPr>
                <w:rFonts w:ascii="Cambria Math" w:hAnsi="Cambria Math" w:cs="Arial"/>
                <w:b/>
                <w:bCs/>
                <w:sz w:val="24"/>
                <w:szCs w:val="24"/>
              </w:rPr>
            </m:ctrlPr>
          </m:sSubPr>
          <m:e>
            <m:r>
              <m:rPr>
                <m:sty m:val="bi"/>
              </m:rPr>
              <w:rPr>
                <w:rFonts w:ascii="Cambria Math" w:hAnsi="Cambria Math" w:cs="Arial"/>
                <w:sz w:val="24"/>
                <w:szCs w:val="24"/>
              </w:rPr>
              <m:t>r</m:t>
            </m:r>
          </m:e>
          <m:sub>
            <m:r>
              <m:rPr>
                <m:sty m:val="bi"/>
              </m:rPr>
              <w:rPr>
                <w:rFonts w:ascii="Cambria Math" w:hAnsi="Cambria Math" w:cs="Arial"/>
                <w:sz w:val="24"/>
                <w:szCs w:val="24"/>
              </w:rPr>
              <m:t>2</m:t>
            </m:r>
          </m:sub>
        </m:sSub>
      </m:oMath>
      <w:r w:rsidR="00C0153C" w:rsidRPr="00C0153C">
        <w:rPr>
          <w:rFonts w:ascii="Arial" w:hAnsi="Arial" w:cs="Arial"/>
          <w:b/>
          <w:bCs/>
          <w:sz w:val="24"/>
          <w:szCs w:val="24"/>
        </w:rPr>
        <w:t>= higher discount rate</w:t>
      </w:r>
    </w:p>
    <w:p w14:paraId="2B133881" w14:textId="2053539A" w:rsidR="00C0153C" w:rsidRPr="00C0153C" w:rsidRDefault="00C0153C" w:rsidP="00C0153C">
      <w:pPr>
        <w:spacing w:line="360" w:lineRule="auto"/>
        <w:rPr>
          <w:rFonts w:ascii="Arial" w:hAnsi="Arial" w:cs="Arial"/>
          <w:b/>
          <w:bCs/>
          <w:sz w:val="24"/>
          <w:szCs w:val="24"/>
        </w:rPr>
      </w:pPr>
    </w:p>
    <w:p w14:paraId="1B6B69C8"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Project A</w:t>
      </w:r>
    </w:p>
    <w:p w14:paraId="02C5EAFC" w14:textId="77777777" w:rsidR="00C0153C" w:rsidRPr="00C0153C" w:rsidRDefault="00C0153C" w:rsidP="00C0153C">
      <w:pPr>
        <w:numPr>
          <w:ilvl w:val="0"/>
          <w:numId w:val="27"/>
        </w:numPr>
        <w:spacing w:line="360" w:lineRule="auto"/>
        <w:rPr>
          <w:rFonts w:ascii="Arial" w:hAnsi="Arial" w:cs="Arial"/>
          <w:b/>
          <w:bCs/>
          <w:sz w:val="24"/>
          <w:szCs w:val="24"/>
        </w:rPr>
      </w:pPr>
      <w:r w:rsidRPr="00C0153C">
        <w:rPr>
          <w:rFonts w:ascii="Arial" w:hAnsi="Arial" w:cs="Arial"/>
          <w:b/>
          <w:bCs/>
          <w:sz w:val="24"/>
          <w:szCs w:val="24"/>
        </w:rPr>
        <w:t>NPV at 10% = +0.25m</w:t>
      </w:r>
    </w:p>
    <w:p w14:paraId="7DD48A67" w14:textId="77777777" w:rsidR="00C0153C" w:rsidRPr="00C0153C" w:rsidRDefault="00C0153C" w:rsidP="00C0153C">
      <w:pPr>
        <w:numPr>
          <w:ilvl w:val="0"/>
          <w:numId w:val="27"/>
        </w:numPr>
        <w:spacing w:line="360" w:lineRule="auto"/>
        <w:rPr>
          <w:rFonts w:ascii="Arial" w:hAnsi="Arial" w:cs="Arial"/>
          <w:b/>
          <w:bCs/>
          <w:sz w:val="24"/>
          <w:szCs w:val="24"/>
        </w:rPr>
      </w:pPr>
      <w:r w:rsidRPr="00C0153C">
        <w:rPr>
          <w:rFonts w:ascii="Arial" w:hAnsi="Arial" w:cs="Arial"/>
          <w:b/>
          <w:bCs/>
          <w:sz w:val="24"/>
          <w:szCs w:val="24"/>
        </w:rPr>
        <w:t>NPV at 14% = −1.50m</w:t>
      </w:r>
    </w:p>
    <w:p w14:paraId="5DCE8ED9" w14:textId="7556FD4F" w:rsidR="00C0153C" w:rsidRPr="00C0153C" w:rsidRDefault="00000000" w:rsidP="00C0153C">
      <w:pPr>
        <w:spacing w:line="360" w:lineRule="auto"/>
        <w:rPr>
          <w:rFonts w:ascii="Arial" w:hAnsi="Arial" w:cs="Arial"/>
          <w:b/>
          <w:bCs/>
          <w:sz w:val="24"/>
          <w:szCs w:val="24"/>
        </w:rPr>
      </w:pPr>
      <m:oMathPara>
        <m:oMath>
          <m:sSub>
            <m:sSubPr>
              <m:ctrlPr>
                <w:rPr>
                  <w:rFonts w:ascii="Cambria Math" w:hAnsi="Cambria Math" w:cs="Arial"/>
                  <w:b/>
                  <w:bCs/>
                  <w:sz w:val="24"/>
                  <w:szCs w:val="24"/>
                </w:rPr>
              </m:ctrlPr>
            </m:sSubPr>
            <m:e>
              <m:r>
                <m:rPr>
                  <m:nor/>
                </m:rPr>
                <w:rPr>
                  <w:rFonts w:ascii="Arial" w:hAnsi="Arial" w:cs="Arial"/>
                  <w:b/>
                  <w:bCs/>
                  <w:sz w:val="24"/>
                  <w:szCs w:val="24"/>
                </w:rPr>
                <m:t>IRR</m:t>
              </m:r>
            </m:e>
            <m:sub>
              <m:r>
                <m:rPr>
                  <m:sty m:val="bi"/>
                </m:rPr>
                <w:rPr>
                  <w:rFonts w:ascii="Cambria Math" w:hAnsi="Cambria Math" w:cs="Arial"/>
                  <w:sz w:val="24"/>
                  <w:szCs w:val="24"/>
                </w:rPr>
                <m:t>A</m:t>
              </m:r>
            </m:sub>
          </m:sSub>
          <m:r>
            <m:rPr>
              <m:sty m:val="bi"/>
            </m:rPr>
            <w:rPr>
              <w:rFonts w:ascii="Cambria Math" w:hAnsi="Cambria Math" w:cs="Arial"/>
              <w:sz w:val="24"/>
              <w:szCs w:val="24"/>
            </w:rPr>
            <m:t>=10+</m:t>
          </m:r>
          <m:f>
            <m:fPr>
              <m:ctrlPr>
                <w:rPr>
                  <w:rFonts w:ascii="Cambria Math" w:hAnsi="Cambria Math" w:cs="Arial"/>
                  <w:b/>
                  <w:bCs/>
                  <w:sz w:val="24"/>
                  <w:szCs w:val="24"/>
                </w:rPr>
              </m:ctrlPr>
            </m:fPr>
            <m:num>
              <m:r>
                <m:rPr>
                  <m:sty m:val="bi"/>
                </m:rPr>
                <w:rPr>
                  <w:rFonts w:ascii="Cambria Math" w:hAnsi="Cambria Math" w:cs="Arial"/>
                  <w:sz w:val="24"/>
                  <w:szCs w:val="24"/>
                </w:rPr>
                <m:t>0.25</m:t>
              </m:r>
            </m:num>
            <m:den>
              <m:r>
                <m:rPr>
                  <m:sty m:val="bi"/>
                </m:rPr>
                <w:rPr>
                  <w:rFonts w:ascii="Cambria Math" w:hAnsi="Cambria Math" w:cs="Arial"/>
                  <w:sz w:val="24"/>
                  <w:szCs w:val="24"/>
                </w:rPr>
                <m:t>0.25-(-1.50)</m:t>
              </m:r>
            </m:den>
          </m:f>
          <m:r>
            <m:rPr>
              <m:sty m:val="bi"/>
            </m:rPr>
            <w:rPr>
              <w:rFonts w:ascii="Cambria Math" w:hAnsi="Cambria Math" w:cs="Arial"/>
              <w:sz w:val="24"/>
              <w:szCs w:val="24"/>
            </w:rPr>
            <m:t>×(14-10)</m:t>
          </m:r>
          <m:r>
            <m:rPr>
              <m:sty m:val="p"/>
            </m:rPr>
            <w:rPr>
              <w:rFonts w:ascii="Arial" w:hAnsi="Arial" w:cs="Arial"/>
              <w:sz w:val="24"/>
              <w:szCs w:val="24"/>
            </w:rPr>
            <w:br/>
          </m:r>
        </m:oMath>
      </m:oMathPara>
    </w:p>
    <w:p w14:paraId="584B0E4C"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Step-by-step:</w:t>
      </w:r>
    </w:p>
    <w:p w14:paraId="52704FED" w14:textId="77777777" w:rsidR="00C0153C" w:rsidRPr="00C0153C" w:rsidRDefault="00C0153C" w:rsidP="00C0153C">
      <w:pPr>
        <w:numPr>
          <w:ilvl w:val="0"/>
          <w:numId w:val="28"/>
        </w:numPr>
        <w:spacing w:line="360" w:lineRule="auto"/>
        <w:rPr>
          <w:rFonts w:ascii="Arial" w:hAnsi="Arial" w:cs="Arial"/>
          <w:b/>
          <w:bCs/>
          <w:sz w:val="24"/>
          <w:szCs w:val="24"/>
        </w:rPr>
      </w:pPr>
      <w:r w:rsidRPr="00C0153C">
        <w:rPr>
          <w:rFonts w:ascii="Arial" w:hAnsi="Arial" w:cs="Arial"/>
          <w:b/>
          <w:bCs/>
          <w:sz w:val="24"/>
          <w:szCs w:val="24"/>
        </w:rPr>
        <w:t>Denominator: 0.25 − (−1.50) = 0.25 + 1.50 = 1.75</w:t>
      </w:r>
    </w:p>
    <w:p w14:paraId="39B71A87" w14:textId="77777777" w:rsidR="00C0153C" w:rsidRPr="00C0153C" w:rsidRDefault="00C0153C" w:rsidP="00C0153C">
      <w:pPr>
        <w:numPr>
          <w:ilvl w:val="0"/>
          <w:numId w:val="28"/>
        </w:numPr>
        <w:spacing w:line="360" w:lineRule="auto"/>
        <w:rPr>
          <w:rFonts w:ascii="Arial" w:hAnsi="Arial" w:cs="Arial"/>
          <w:b/>
          <w:bCs/>
          <w:sz w:val="24"/>
          <w:szCs w:val="24"/>
        </w:rPr>
      </w:pPr>
      <w:r w:rsidRPr="00C0153C">
        <w:rPr>
          <w:rFonts w:ascii="Arial" w:hAnsi="Arial" w:cs="Arial"/>
          <w:b/>
          <w:bCs/>
          <w:sz w:val="24"/>
          <w:szCs w:val="24"/>
        </w:rPr>
        <w:lastRenderedPageBreak/>
        <w:t>Fraction: 0.25 ÷ 1.75 = 0.143</w:t>
      </w:r>
    </w:p>
    <w:p w14:paraId="4081884E" w14:textId="77777777" w:rsidR="00C0153C" w:rsidRPr="00C0153C" w:rsidRDefault="00C0153C" w:rsidP="00C0153C">
      <w:pPr>
        <w:numPr>
          <w:ilvl w:val="0"/>
          <w:numId w:val="28"/>
        </w:numPr>
        <w:spacing w:line="360" w:lineRule="auto"/>
        <w:rPr>
          <w:rFonts w:ascii="Arial" w:hAnsi="Arial" w:cs="Arial"/>
          <w:b/>
          <w:bCs/>
          <w:sz w:val="24"/>
          <w:szCs w:val="24"/>
        </w:rPr>
      </w:pPr>
      <w:r w:rsidRPr="00C0153C">
        <w:rPr>
          <w:rFonts w:ascii="Arial" w:hAnsi="Arial" w:cs="Arial"/>
          <w:b/>
          <w:bCs/>
          <w:sz w:val="24"/>
          <w:szCs w:val="24"/>
        </w:rPr>
        <w:t>Multiply by rate difference: 0.143 × 4 = 0.572</w:t>
      </w:r>
    </w:p>
    <w:p w14:paraId="4456FB51" w14:textId="77777777" w:rsidR="00C0153C" w:rsidRPr="00C0153C" w:rsidRDefault="00C0153C" w:rsidP="00C0153C">
      <w:pPr>
        <w:numPr>
          <w:ilvl w:val="0"/>
          <w:numId w:val="28"/>
        </w:numPr>
        <w:spacing w:line="360" w:lineRule="auto"/>
        <w:rPr>
          <w:rFonts w:ascii="Arial" w:hAnsi="Arial" w:cs="Arial"/>
          <w:b/>
          <w:bCs/>
          <w:sz w:val="24"/>
          <w:szCs w:val="24"/>
        </w:rPr>
      </w:pPr>
      <w:r w:rsidRPr="00C0153C">
        <w:rPr>
          <w:rFonts w:ascii="Arial" w:hAnsi="Arial" w:cs="Arial"/>
          <w:b/>
          <w:bCs/>
          <w:sz w:val="24"/>
          <w:szCs w:val="24"/>
        </w:rPr>
        <w:t>Add to lower rate: 10 + 0.572 ≈ 10.57%</w:t>
      </w:r>
    </w:p>
    <w:p w14:paraId="57F42A3E" w14:textId="3B16BF94" w:rsidR="00C0153C" w:rsidRPr="00C0153C" w:rsidRDefault="00C0153C" w:rsidP="00C0153C">
      <w:pPr>
        <w:spacing w:line="360" w:lineRule="auto"/>
        <w:rPr>
          <w:rFonts w:ascii="Arial" w:hAnsi="Arial" w:cs="Arial"/>
          <w:b/>
          <w:bCs/>
          <w:sz w:val="24"/>
          <w:szCs w:val="24"/>
        </w:rPr>
      </w:pPr>
      <m:oMathPara>
        <m:oMath>
          <m:r>
            <m:rPr>
              <m:sty m:val="bi"/>
            </m:rPr>
            <w:rPr>
              <w:rFonts w:ascii="Cambria Math" w:hAnsi="Cambria Math" w:cs="Arial"/>
              <w:sz w:val="24"/>
              <w:szCs w:val="24"/>
            </w:rPr>
            <m:t>∴</m:t>
          </m:r>
          <m:sSub>
            <m:sSubPr>
              <m:ctrlPr>
                <w:rPr>
                  <w:rFonts w:ascii="Cambria Math" w:hAnsi="Cambria Math" w:cs="Arial"/>
                  <w:b/>
                  <w:bCs/>
                  <w:sz w:val="24"/>
                  <w:szCs w:val="24"/>
                </w:rPr>
              </m:ctrlPr>
            </m:sSubPr>
            <m:e>
              <m:r>
                <m:rPr>
                  <m:nor/>
                </m:rPr>
                <w:rPr>
                  <w:rFonts w:ascii="Arial" w:hAnsi="Arial" w:cs="Arial"/>
                  <w:b/>
                  <w:bCs/>
                  <w:sz w:val="24"/>
                  <w:szCs w:val="24"/>
                </w:rPr>
                <m:t>IRR</m:t>
              </m:r>
            </m:e>
            <m:sub>
              <m:r>
                <m:rPr>
                  <m:sty m:val="bi"/>
                </m:rPr>
                <w:rPr>
                  <w:rFonts w:ascii="Cambria Math" w:hAnsi="Cambria Math" w:cs="Arial"/>
                  <w:sz w:val="24"/>
                  <w:szCs w:val="24"/>
                </w:rPr>
                <m:t>A</m:t>
              </m:r>
            </m:sub>
          </m:sSub>
          <m:r>
            <m:rPr>
              <m:sty m:val="bi"/>
            </m:rPr>
            <w:rPr>
              <w:rFonts w:ascii="Cambria Math" w:hAnsi="Cambria Math" w:cs="Arial"/>
              <w:sz w:val="24"/>
              <w:szCs w:val="24"/>
            </w:rPr>
            <m:t>≈10.57</m:t>
          </m:r>
          <m:r>
            <m:rPr>
              <m:sty m:val="b"/>
            </m:rPr>
            <w:rPr>
              <w:rFonts w:ascii="Cambria Math" w:hAnsi="Cambria Math" w:cs="Arial"/>
              <w:sz w:val="24"/>
              <w:szCs w:val="24"/>
            </w:rPr>
            <m:t>%</m:t>
          </m:r>
        </m:oMath>
      </m:oMathPara>
    </w:p>
    <w:p w14:paraId="4D0561DE" w14:textId="37BB0580" w:rsidR="00C0153C" w:rsidRPr="00C0153C" w:rsidRDefault="00C0153C" w:rsidP="00C0153C">
      <w:pPr>
        <w:spacing w:line="360" w:lineRule="auto"/>
        <w:rPr>
          <w:rFonts w:ascii="Arial" w:hAnsi="Arial" w:cs="Arial"/>
          <w:b/>
          <w:bCs/>
          <w:sz w:val="24"/>
          <w:szCs w:val="24"/>
        </w:rPr>
      </w:pPr>
    </w:p>
    <w:p w14:paraId="62885737"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Project B</w:t>
      </w:r>
    </w:p>
    <w:p w14:paraId="2386C375" w14:textId="77777777" w:rsidR="00C0153C" w:rsidRPr="00C0153C" w:rsidRDefault="00C0153C" w:rsidP="00C0153C">
      <w:pPr>
        <w:numPr>
          <w:ilvl w:val="0"/>
          <w:numId w:val="29"/>
        </w:numPr>
        <w:spacing w:line="360" w:lineRule="auto"/>
        <w:rPr>
          <w:rFonts w:ascii="Arial" w:hAnsi="Arial" w:cs="Arial"/>
          <w:b/>
          <w:bCs/>
          <w:sz w:val="24"/>
          <w:szCs w:val="24"/>
        </w:rPr>
      </w:pPr>
      <w:r w:rsidRPr="00C0153C">
        <w:rPr>
          <w:rFonts w:ascii="Arial" w:hAnsi="Arial" w:cs="Arial"/>
          <w:b/>
          <w:bCs/>
          <w:sz w:val="24"/>
          <w:szCs w:val="24"/>
        </w:rPr>
        <w:t>NPV at 8% = +0.50m</w:t>
      </w:r>
    </w:p>
    <w:p w14:paraId="04051741" w14:textId="77777777" w:rsidR="00C0153C" w:rsidRPr="00C0153C" w:rsidRDefault="00C0153C" w:rsidP="00C0153C">
      <w:pPr>
        <w:numPr>
          <w:ilvl w:val="0"/>
          <w:numId w:val="29"/>
        </w:numPr>
        <w:spacing w:line="360" w:lineRule="auto"/>
        <w:rPr>
          <w:rFonts w:ascii="Arial" w:hAnsi="Arial" w:cs="Arial"/>
          <w:b/>
          <w:bCs/>
          <w:sz w:val="24"/>
          <w:szCs w:val="24"/>
        </w:rPr>
      </w:pPr>
      <w:r w:rsidRPr="00C0153C">
        <w:rPr>
          <w:rFonts w:ascii="Arial" w:hAnsi="Arial" w:cs="Arial"/>
          <w:b/>
          <w:bCs/>
          <w:sz w:val="24"/>
          <w:szCs w:val="24"/>
        </w:rPr>
        <w:t>NPV at 12% = −2.00m</w:t>
      </w:r>
    </w:p>
    <w:p w14:paraId="5259D17C" w14:textId="02AA65EA" w:rsidR="00C0153C" w:rsidRPr="00C0153C" w:rsidRDefault="00000000" w:rsidP="00C0153C">
      <w:pPr>
        <w:spacing w:line="360" w:lineRule="auto"/>
        <w:rPr>
          <w:rFonts w:ascii="Arial" w:hAnsi="Arial" w:cs="Arial"/>
          <w:b/>
          <w:bCs/>
          <w:sz w:val="24"/>
          <w:szCs w:val="24"/>
        </w:rPr>
      </w:pPr>
      <m:oMathPara>
        <m:oMath>
          <m:sSub>
            <m:sSubPr>
              <m:ctrlPr>
                <w:rPr>
                  <w:rFonts w:ascii="Cambria Math" w:hAnsi="Cambria Math" w:cs="Arial"/>
                  <w:b/>
                  <w:bCs/>
                  <w:sz w:val="24"/>
                  <w:szCs w:val="24"/>
                </w:rPr>
              </m:ctrlPr>
            </m:sSubPr>
            <m:e>
              <m:r>
                <m:rPr>
                  <m:nor/>
                </m:rPr>
                <w:rPr>
                  <w:rFonts w:ascii="Arial" w:hAnsi="Arial" w:cs="Arial"/>
                  <w:b/>
                  <w:bCs/>
                  <w:sz w:val="24"/>
                  <w:szCs w:val="24"/>
                </w:rPr>
                <m:t>IRR</m:t>
              </m:r>
            </m:e>
            <m:sub>
              <m:r>
                <m:rPr>
                  <m:sty m:val="bi"/>
                </m:rPr>
                <w:rPr>
                  <w:rFonts w:ascii="Cambria Math" w:hAnsi="Cambria Math" w:cs="Arial"/>
                  <w:sz w:val="24"/>
                  <w:szCs w:val="24"/>
                </w:rPr>
                <m:t>B</m:t>
              </m:r>
            </m:sub>
          </m:sSub>
          <m:r>
            <m:rPr>
              <m:sty m:val="bi"/>
            </m:rPr>
            <w:rPr>
              <w:rFonts w:ascii="Cambria Math" w:hAnsi="Cambria Math" w:cs="Arial"/>
              <w:sz w:val="24"/>
              <w:szCs w:val="24"/>
            </w:rPr>
            <m:t>=8+</m:t>
          </m:r>
          <m:f>
            <m:fPr>
              <m:ctrlPr>
                <w:rPr>
                  <w:rFonts w:ascii="Cambria Math" w:hAnsi="Cambria Math" w:cs="Arial"/>
                  <w:b/>
                  <w:bCs/>
                  <w:sz w:val="24"/>
                  <w:szCs w:val="24"/>
                </w:rPr>
              </m:ctrlPr>
            </m:fPr>
            <m:num>
              <m:r>
                <m:rPr>
                  <m:sty m:val="bi"/>
                </m:rPr>
                <w:rPr>
                  <w:rFonts w:ascii="Cambria Math" w:hAnsi="Cambria Math" w:cs="Arial"/>
                  <w:sz w:val="24"/>
                  <w:szCs w:val="24"/>
                </w:rPr>
                <m:t>0.50</m:t>
              </m:r>
            </m:num>
            <m:den>
              <m:r>
                <m:rPr>
                  <m:sty m:val="bi"/>
                </m:rPr>
                <w:rPr>
                  <w:rFonts w:ascii="Cambria Math" w:hAnsi="Cambria Math" w:cs="Arial"/>
                  <w:sz w:val="24"/>
                  <w:szCs w:val="24"/>
                </w:rPr>
                <m:t>0.50-(-2.00)</m:t>
              </m:r>
            </m:den>
          </m:f>
          <m:r>
            <m:rPr>
              <m:sty m:val="bi"/>
            </m:rPr>
            <w:rPr>
              <w:rFonts w:ascii="Cambria Math" w:hAnsi="Cambria Math" w:cs="Arial"/>
              <w:sz w:val="24"/>
              <w:szCs w:val="24"/>
            </w:rPr>
            <m:t>×(12-8)</m:t>
          </m:r>
          <m:r>
            <m:rPr>
              <m:sty m:val="p"/>
            </m:rPr>
            <w:rPr>
              <w:rFonts w:ascii="Arial" w:hAnsi="Arial" w:cs="Arial"/>
              <w:sz w:val="24"/>
              <w:szCs w:val="24"/>
            </w:rPr>
            <w:br/>
          </m:r>
        </m:oMath>
      </m:oMathPara>
    </w:p>
    <w:p w14:paraId="5AC656B7"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Step-by-step:</w:t>
      </w:r>
    </w:p>
    <w:p w14:paraId="05F98E10" w14:textId="77777777" w:rsidR="00C0153C" w:rsidRPr="00C0153C" w:rsidRDefault="00C0153C" w:rsidP="00C0153C">
      <w:pPr>
        <w:numPr>
          <w:ilvl w:val="0"/>
          <w:numId w:val="30"/>
        </w:numPr>
        <w:spacing w:line="360" w:lineRule="auto"/>
        <w:rPr>
          <w:rFonts w:ascii="Arial" w:hAnsi="Arial" w:cs="Arial"/>
          <w:b/>
          <w:bCs/>
          <w:sz w:val="24"/>
          <w:szCs w:val="24"/>
        </w:rPr>
      </w:pPr>
      <w:r w:rsidRPr="00C0153C">
        <w:rPr>
          <w:rFonts w:ascii="Arial" w:hAnsi="Arial" w:cs="Arial"/>
          <w:b/>
          <w:bCs/>
          <w:sz w:val="24"/>
          <w:szCs w:val="24"/>
        </w:rPr>
        <w:t>Denominator: 0.50 − (−2.00) = 2.50</w:t>
      </w:r>
    </w:p>
    <w:p w14:paraId="51CBBEA6" w14:textId="77777777" w:rsidR="00C0153C" w:rsidRPr="00C0153C" w:rsidRDefault="00C0153C" w:rsidP="00C0153C">
      <w:pPr>
        <w:numPr>
          <w:ilvl w:val="0"/>
          <w:numId w:val="30"/>
        </w:numPr>
        <w:spacing w:line="360" w:lineRule="auto"/>
        <w:rPr>
          <w:rFonts w:ascii="Arial" w:hAnsi="Arial" w:cs="Arial"/>
          <w:b/>
          <w:bCs/>
          <w:sz w:val="24"/>
          <w:szCs w:val="24"/>
        </w:rPr>
      </w:pPr>
      <w:r w:rsidRPr="00C0153C">
        <w:rPr>
          <w:rFonts w:ascii="Arial" w:hAnsi="Arial" w:cs="Arial"/>
          <w:b/>
          <w:bCs/>
          <w:sz w:val="24"/>
          <w:szCs w:val="24"/>
        </w:rPr>
        <w:t>Fraction: 0.50 ÷ 2.50 = 0.20</w:t>
      </w:r>
    </w:p>
    <w:p w14:paraId="105DC10C" w14:textId="77777777" w:rsidR="00C0153C" w:rsidRPr="00C0153C" w:rsidRDefault="00C0153C" w:rsidP="00C0153C">
      <w:pPr>
        <w:numPr>
          <w:ilvl w:val="0"/>
          <w:numId w:val="30"/>
        </w:numPr>
        <w:spacing w:line="360" w:lineRule="auto"/>
        <w:rPr>
          <w:rFonts w:ascii="Arial" w:hAnsi="Arial" w:cs="Arial"/>
          <w:b/>
          <w:bCs/>
          <w:sz w:val="24"/>
          <w:szCs w:val="24"/>
        </w:rPr>
      </w:pPr>
      <w:r w:rsidRPr="00C0153C">
        <w:rPr>
          <w:rFonts w:ascii="Arial" w:hAnsi="Arial" w:cs="Arial"/>
          <w:b/>
          <w:bCs/>
          <w:sz w:val="24"/>
          <w:szCs w:val="24"/>
        </w:rPr>
        <w:t>Multiply by rate difference: 0.20 × 4 = 0.80</w:t>
      </w:r>
    </w:p>
    <w:p w14:paraId="77C39B8F" w14:textId="77777777" w:rsidR="00C0153C" w:rsidRPr="00C0153C" w:rsidRDefault="00C0153C" w:rsidP="00C0153C">
      <w:pPr>
        <w:numPr>
          <w:ilvl w:val="0"/>
          <w:numId w:val="30"/>
        </w:numPr>
        <w:spacing w:line="360" w:lineRule="auto"/>
        <w:rPr>
          <w:rFonts w:ascii="Arial" w:hAnsi="Arial" w:cs="Arial"/>
          <w:b/>
          <w:bCs/>
          <w:sz w:val="24"/>
          <w:szCs w:val="24"/>
        </w:rPr>
      </w:pPr>
      <w:r w:rsidRPr="00C0153C">
        <w:rPr>
          <w:rFonts w:ascii="Arial" w:hAnsi="Arial" w:cs="Arial"/>
          <w:b/>
          <w:bCs/>
          <w:sz w:val="24"/>
          <w:szCs w:val="24"/>
        </w:rPr>
        <w:t>Add to lower rate: 8 + 0.80 = 8.8%</w:t>
      </w:r>
    </w:p>
    <w:p w14:paraId="2633B19D" w14:textId="7C4D3216" w:rsidR="00C0153C" w:rsidRPr="00C0153C" w:rsidRDefault="00C0153C" w:rsidP="00C0153C">
      <w:pPr>
        <w:spacing w:line="360" w:lineRule="auto"/>
        <w:rPr>
          <w:rFonts w:ascii="Arial" w:hAnsi="Arial" w:cs="Arial"/>
          <w:b/>
          <w:bCs/>
          <w:sz w:val="24"/>
          <w:szCs w:val="24"/>
        </w:rPr>
      </w:pPr>
      <m:oMathPara>
        <m:oMath>
          <m:r>
            <m:rPr>
              <m:sty m:val="bi"/>
            </m:rPr>
            <w:rPr>
              <w:rFonts w:ascii="Cambria Math" w:hAnsi="Cambria Math" w:cs="Arial"/>
              <w:sz w:val="24"/>
              <w:szCs w:val="24"/>
            </w:rPr>
            <m:t>∴</m:t>
          </m:r>
          <m:sSub>
            <m:sSubPr>
              <m:ctrlPr>
                <w:rPr>
                  <w:rFonts w:ascii="Cambria Math" w:hAnsi="Cambria Math" w:cs="Arial"/>
                  <w:b/>
                  <w:bCs/>
                  <w:sz w:val="24"/>
                  <w:szCs w:val="24"/>
                </w:rPr>
              </m:ctrlPr>
            </m:sSubPr>
            <m:e>
              <m:r>
                <m:rPr>
                  <m:nor/>
                </m:rPr>
                <w:rPr>
                  <w:rFonts w:ascii="Arial" w:hAnsi="Arial" w:cs="Arial"/>
                  <w:b/>
                  <w:bCs/>
                  <w:sz w:val="24"/>
                  <w:szCs w:val="24"/>
                </w:rPr>
                <m:t>IRR</m:t>
              </m:r>
            </m:e>
            <m:sub>
              <m:r>
                <m:rPr>
                  <m:sty m:val="bi"/>
                </m:rPr>
                <w:rPr>
                  <w:rFonts w:ascii="Cambria Math" w:hAnsi="Cambria Math" w:cs="Arial"/>
                  <w:sz w:val="24"/>
                  <w:szCs w:val="24"/>
                </w:rPr>
                <m:t>B</m:t>
              </m:r>
            </m:sub>
          </m:sSub>
          <m:r>
            <m:rPr>
              <m:sty m:val="bi"/>
            </m:rPr>
            <w:rPr>
              <w:rFonts w:ascii="Cambria Math" w:hAnsi="Cambria Math" w:cs="Arial"/>
              <w:sz w:val="24"/>
              <w:szCs w:val="24"/>
            </w:rPr>
            <m:t>=8.8</m:t>
          </m:r>
          <m:r>
            <m:rPr>
              <m:sty m:val="b"/>
            </m:rPr>
            <w:rPr>
              <w:rFonts w:ascii="Cambria Math" w:hAnsi="Cambria Math" w:cs="Arial"/>
              <w:sz w:val="24"/>
              <w:szCs w:val="24"/>
            </w:rPr>
            <m:t>%</m:t>
          </m:r>
        </m:oMath>
      </m:oMathPara>
    </w:p>
    <w:p w14:paraId="2831A6D5" w14:textId="1CCECF14" w:rsidR="00C0153C" w:rsidRPr="00C0153C" w:rsidRDefault="00C0153C" w:rsidP="00C0153C">
      <w:pPr>
        <w:spacing w:line="360" w:lineRule="auto"/>
        <w:rPr>
          <w:rFonts w:ascii="Arial" w:hAnsi="Arial" w:cs="Arial"/>
          <w:b/>
          <w:bCs/>
          <w:sz w:val="24"/>
          <w:szCs w:val="24"/>
        </w:rPr>
      </w:pPr>
    </w:p>
    <w:p w14:paraId="13DA0835"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Project C</w:t>
      </w:r>
    </w:p>
    <w:p w14:paraId="2E799007" w14:textId="77777777" w:rsidR="00C0153C" w:rsidRPr="00C0153C" w:rsidRDefault="00C0153C" w:rsidP="00C0153C">
      <w:pPr>
        <w:numPr>
          <w:ilvl w:val="0"/>
          <w:numId w:val="31"/>
        </w:numPr>
        <w:spacing w:line="360" w:lineRule="auto"/>
        <w:rPr>
          <w:rFonts w:ascii="Arial" w:hAnsi="Arial" w:cs="Arial"/>
          <w:b/>
          <w:bCs/>
          <w:sz w:val="24"/>
          <w:szCs w:val="24"/>
        </w:rPr>
      </w:pPr>
      <w:r w:rsidRPr="00C0153C">
        <w:rPr>
          <w:rFonts w:ascii="Arial" w:hAnsi="Arial" w:cs="Arial"/>
          <w:b/>
          <w:bCs/>
          <w:sz w:val="24"/>
          <w:szCs w:val="24"/>
        </w:rPr>
        <w:t>NPV at 12% = +1.60m</w:t>
      </w:r>
    </w:p>
    <w:p w14:paraId="08972DEB" w14:textId="77777777" w:rsidR="00C0153C" w:rsidRPr="00C0153C" w:rsidRDefault="00C0153C" w:rsidP="00C0153C">
      <w:pPr>
        <w:numPr>
          <w:ilvl w:val="0"/>
          <w:numId w:val="31"/>
        </w:numPr>
        <w:spacing w:line="360" w:lineRule="auto"/>
        <w:rPr>
          <w:rFonts w:ascii="Arial" w:hAnsi="Arial" w:cs="Arial"/>
          <w:b/>
          <w:bCs/>
          <w:sz w:val="24"/>
          <w:szCs w:val="24"/>
        </w:rPr>
      </w:pPr>
      <w:r w:rsidRPr="00C0153C">
        <w:rPr>
          <w:rFonts w:ascii="Arial" w:hAnsi="Arial" w:cs="Arial"/>
          <w:b/>
          <w:bCs/>
          <w:sz w:val="24"/>
          <w:szCs w:val="24"/>
        </w:rPr>
        <w:t>NPV at 16% = −1.00m</w:t>
      </w:r>
    </w:p>
    <w:p w14:paraId="2AC94DE4" w14:textId="323A09B6" w:rsidR="00C0153C" w:rsidRPr="00C0153C" w:rsidRDefault="00000000" w:rsidP="00C0153C">
      <w:pPr>
        <w:spacing w:line="360" w:lineRule="auto"/>
        <w:rPr>
          <w:rFonts w:ascii="Arial" w:hAnsi="Arial" w:cs="Arial"/>
          <w:b/>
          <w:bCs/>
          <w:sz w:val="24"/>
          <w:szCs w:val="24"/>
        </w:rPr>
      </w:pPr>
      <m:oMathPara>
        <m:oMath>
          <m:sSub>
            <m:sSubPr>
              <m:ctrlPr>
                <w:rPr>
                  <w:rFonts w:ascii="Cambria Math" w:hAnsi="Cambria Math" w:cs="Arial"/>
                  <w:b/>
                  <w:bCs/>
                  <w:sz w:val="24"/>
                  <w:szCs w:val="24"/>
                </w:rPr>
              </m:ctrlPr>
            </m:sSubPr>
            <m:e>
              <m:r>
                <m:rPr>
                  <m:nor/>
                </m:rPr>
                <w:rPr>
                  <w:rFonts w:ascii="Arial" w:hAnsi="Arial" w:cs="Arial"/>
                  <w:b/>
                  <w:bCs/>
                  <w:sz w:val="24"/>
                  <w:szCs w:val="24"/>
                </w:rPr>
                <m:t>IRR</m:t>
              </m:r>
            </m:e>
            <m:sub>
              <m:r>
                <m:rPr>
                  <m:sty m:val="bi"/>
                </m:rPr>
                <w:rPr>
                  <w:rFonts w:ascii="Cambria Math" w:hAnsi="Cambria Math" w:cs="Arial"/>
                  <w:sz w:val="24"/>
                  <w:szCs w:val="24"/>
                </w:rPr>
                <m:t>C</m:t>
              </m:r>
            </m:sub>
          </m:sSub>
          <m:r>
            <m:rPr>
              <m:sty m:val="bi"/>
            </m:rPr>
            <w:rPr>
              <w:rFonts w:ascii="Cambria Math" w:hAnsi="Cambria Math" w:cs="Arial"/>
              <w:sz w:val="24"/>
              <w:szCs w:val="24"/>
            </w:rPr>
            <m:t>=12+</m:t>
          </m:r>
          <m:f>
            <m:fPr>
              <m:ctrlPr>
                <w:rPr>
                  <w:rFonts w:ascii="Cambria Math" w:hAnsi="Cambria Math" w:cs="Arial"/>
                  <w:b/>
                  <w:bCs/>
                  <w:sz w:val="24"/>
                  <w:szCs w:val="24"/>
                </w:rPr>
              </m:ctrlPr>
            </m:fPr>
            <m:num>
              <m:r>
                <m:rPr>
                  <m:sty m:val="bi"/>
                </m:rPr>
                <w:rPr>
                  <w:rFonts w:ascii="Cambria Math" w:hAnsi="Cambria Math" w:cs="Arial"/>
                  <w:sz w:val="24"/>
                  <w:szCs w:val="24"/>
                </w:rPr>
                <m:t>1.60</m:t>
              </m:r>
            </m:num>
            <m:den>
              <m:r>
                <m:rPr>
                  <m:sty m:val="bi"/>
                </m:rPr>
                <w:rPr>
                  <w:rFonts w:ascii="Cambria Math" w:hAnsi="Cambria Math" w:cs="Arial"/>
                  <w:sz w:val="24"/>
                  <w:szCs w:val="24"/>
                </w:rPr>
                <m:t>1.60-(-1.00)</m:t>
              </m:r>
            </m:den>
          </m:f>
          <m:r>
            <m:rPr>
              <m:sty m:val="bi"/>
            </m:rPr>
            <w:rPr>
              <w:rFonts w:ascii="Cambria Math" w:hAnsi="Cambria Math" w:cs="Arial"/>
              <w:sz w:val="24"/>
              <w:szCs w:val="24"/>
            </w:rPr>
            <m:t>×(16-12)</m:t>
          </m:r>
          <m:r>
            <m:rPr>
              <m:sty m:val="p"/>
            </m:rPr>
            <w:rPr>
              <w:rFonts w:ascii="Arial" w:hAnsi="Arial" w:cs="Arial"/>
              <w:sz w:val="24"/>
              <w:szCs w:val="24"/>
            </w:rPr>
            <w:br/>
          </m:r>
        </m:oMath>
      </m:oMathPara>
    </w:p>
    <w:p w14:paraId="07BDDC2E"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Step-by-step:</w:t>
      </w:r>
    </w:p>
    <w:p w14:paraId="19B4749B" w14:textId="77777777" w:rsidR="00C0153C" w:rsidRPr="00C0153C" w:rsidRDefault="00C0153C" w:rsidP="00C0153C">
      <w:pPr>
        <w:numPr>
          <w:ilvl w:val="0"/>
          <w:numId w:val="32"/>
        </w:numPr>
        <w:spacing w:line="360" w:lineRule="auto"/>
        <w:rPr>
          <w:rFonts w:ascii="Arial" w:hAnsi="Arial" w:cs="Arial"/>
          <w:b/>
          <w:bCs/>
          <w:sz w:val="24"/>
          <w:szCs w:val="24"/>
        </w:rPr>
      </w:pPr>
      <w:r w:rsidRPr="00C0153C">
        <w:rPr>
          <w:rFonts w:ascii="Arial" w:hAnsi="Arial" w:cs="Arial"/>
          <w:b/>
          <w:bCs/>
          <w:sz w:val="24"/>
          <w:szCs w:val="24"/>
        </w:rPr>
        <w:t>Denominator: 1.60 − (−1.00) = 2.60</w:t>
      </w:r>
    </w:p>
    <w:p w14:paraId="3AEA1202" w14:textId="77777777" w:rsidR="00C0153C" w:rsidRPr="00C0153C" w:rsidRDefault="00C0153C" w:rsidP="00C0153C">
      <w:pPr>
        <w:numPr>
          <w:ilvl w:val="0"/>
          <w:numId w:val="32"/>
        </w:numPr>
        <w:spacing w:line="360" w:lineRule="auto"/>
        <w:rPr>
          <w:rFonts w:ascii="Arial" w:hAnsi="Arial" w:cs="Arial"/>
          <w:b/>
          <w:bCs/>
          <w:sz w:val="24"/>
          <w:szCs w:val="24"/>
        </w:rPr>
      </w:pPr>
      <w:r w:rsidRPr="00C0153C">
        <w:rPr>
          <w:rFonts w:ascii="Arial" w:hAnsi="Arial" w:cs="Arial"/>
          <w:b/>
          <w:bCs/>
          <w:sz w:val="24"/>
          <w:szCs w:val="24"/>
        </w:rPr>
        <w:lastRenderedPageBreak/>
        <w:t>Fraction: 1.60 ÷ 2.60 ≈ 0.615</w:t>
      </w:r>
    </w:p>
    <w:p w14:paraId="40C1BD4E" w14:textId="77777777" w:rsidR="00C0153C" w:rsidRPr="00C0153C" w:rsidRDefault="00C0153C" w:rsidP="00C0153C">
      <w:pPr>
        <w:numPr>
          <w:ilvl w:val="0"/>
          <w:numId w:val="32"/>
        </w:numPr>
        <w:spacing w:line="360" w:lineRule="auto"/>
        <w:rPr>
          <w:rFonts w:ascii="Arial" w:hAnsi="Arial" w:cs="Arial"/>
          <w:b/>
          <w:bCs/>
          <w:sz w:val="24"/>
          <w:szCs w:val="24"/>
        </w:rPr>
      </w:pPr>
      <w:r w:rsidRPr="00C0153C">
        <w:rPr>
          <w:rFonts w:ascii="Arial" w:hAnsi="Arial" w:cs="Arial"/>
          <w:b/>
          <w:bCs/>
          <w:sz w:val="24"/>
          <w:szCs w:val="24"/>
        </w:rPr>
        <w:t>Multiply by rate difference: 0.615 × 4 ≈ 2.46</w:t>
      </w:r>
    </w:p>
    <w:p w14:paraId="6388265C" w14:textId="77777777" w:rsidR="00C0153C" w:rsidRPr="00C0153C" w:rsidRDefault="00C0153C" w:rsidP="00C0153C">
      <w:pPr>
        <w:numPr>
          <w:ilvl w:val="0"/>
          <w:numId w:val="32"/>
        </w:numPr>
        <w:spacing w:line="360" w:lineRule="auto"/>
        <w:rPr>
          <w:rFonts w:ascii="Arial" w:hAnsi="Arial" w:cs="Arial"/>
          <w:b/>
          <w:bCs/>
          <w:sz w:val="24"/>
          <w:szCs w:val="24"/>
        </w:rPr>
      </w:pPr>
      <w:r w:rsidRPr="00C0153C">
        <w:rPr>
          <w:rFonts w:ascii="Arial" w:hAnsi="Arial" w:cs="Arial"/>
          <w:b/>
          <w:bCs/>
          <w:sz w:val="24"/>
          <w:szCs w:val="24"/>
        </w:rPr>
        <w:t>Add to lower rate: 12 + 2.46 ≈ 14.46%</w:t>
      </w:r>
    </w:p>
    <w:p w14:paraId="79348D22" w14:textId="7A0120BB" w:rsidR="00C0153C" w:rsidRPr="00C0153C" w:rsidRDefault="00C0153C" w:rsidP="00C0153C">
      <w:pPr>
        <w:spacing w:line="360" w:lineRule="auto"/>
        <w:rPr>
          <w:rFonts w:ascii="Arial" w:hAnsi="Arial" w:cs="Arial"/>
          <w:b/>
          <w:bCs/>
          <w:sz w:val="24"/>
          <w:szCs w:val="24"/>
        </w:rPr>
      </w:pPr>
      <m:oMathPara>
        <m:oMath>
          <m:r>
            <m:rPr>
              <m:sty m:val="bi"/>
            </m:rPr>
            <w:rPr>
              <w:rFonts w:ascii="Cambria Math" w:hAnsi="Cambria Math" w:cs="Arial"/>
              <w:sz w:val="24"/>
              <w:szCs w:val="24"/>
            </w:rPr>
            <m:t>∴</m:t>
          </m:r>
          <m:sSub>
            <m:sSubPr>
              <m:ctrlPr>
                <w:rPr>
                  <w:rFonts w:ascii="Cambria Math" w:hAnsi="Cambria Math" w:cs="Arial"/>
                  <w:b/>
                  <w:bCs/>
                  <w:sz w:val="24"/>
                  <w:szCs w:val="24"/>
                </w:rPr>
              </m:ctrlPr>
            </m:sSubPr>
            <m:e>
              <m:r>
                <m:rPr>
                  <m:nor/>
                </m:rPr>
                <w:rPr>
                  <w:rFonts w:ascii="Arial" w:hAnsi="Arial" w:cs="Arial"/>
                  <w:b/>
                  <w:bCs/>
                  <w:sz w:val="24"/>
                  <w:szCs w:val="24"/>
                </w:rPr>
                <m:t>IRR</m:t>
              </m:r>
            </m:e>
            <m:sub>
              <m:r>
                <m:rPr>
                  <m:sty m:val="bi"/>
                </m:rPr>
                <w:rPr>
                  <w:rFonts w:ascii="Cambria Math" w:hAnsi="Cambria Math" w:cs="Arial"/>
                  <w:sz w:val="24"/>
                  <w:szCs w:val="24"/>
                </w:rPr>
                <m:t>C</m:t>
              </m:r>
            </m:sub>
          </m:sSub>
          <m:r>
            <m:rPr>
              <m:sty m:val="bi"/>
            </m:rPr>
            <w:rPr>
              <w:rFonts w:ascii="Cambria Math" w:hAnsi="Cambria Math" w:cs="Arial"/>
              <w:sz w:val="24"/>
              <w:szCs w:val="24"/>
            </w:rPr>
            <m:t>≈14.46</m:t>
          </m:r>
          <m:r>
            <m:rPr>
              <m:sty m:val="b"/>
            </m:rPr>
            <w:rPr>
              <w:rFonts w:ascii="Cambria Math" w:hAnsi="Cambria Math" w:cs="Arial"/>
              <w:sz w:val="24"/>
              <w:szCs w:val="24"/>
            </w:rPr>
            <m:t>%</m:t>
          </m:r>
        </m:oMath>
      </m:oMathPara>
    </w:p>
    <w:p w14:paraId="701738E6" w14:textId="44EAE1FF" w:rsidR="00C0153C" w:rsidRPr="00C0153C" w:rsidRDefault="00C0153C" w:rsidP="00C0153C">
      <w:pPr>
        <w:spacing w:line="360" w:lineRule="auto"/>
        <w:rPr>
          <w:rFonts w:ascii="Arial" w:hAnsi="Arial" w:cs="Arial"/>
          <w:b/>
          <w:bCs/>
          <w:sz w:val="24"/>
          <w:szCs w:val="24"/>
        </w:rPr>
      </w:pPr>
    </w:p>
    <w:p w14:paraId="45EED0F5" w14:textId="77777777" w:rsidR="00C0153C" w:rsidRPr="00C0153C" w:rsidRDefault="00C0153C" w:rsidP="00C0153C">
      <w:pPr>
        <w:spacing w:line="360" w:lineRule="auto"/>
        <w:rPr>
          <w:rFonts w:ascii="Arial" w:hAnsi="Arial" w:cs="Arial"/>
          <w:b/>
          <w:bCs/>
          <w:sz w:val="24"/>
          <w:szCs w:val="24"/>
        </w:rPr>
      </w:pPr>
      <w:r w:rsidRPr="00C0153C">
        <w:rPr>
          <w:rFonts w:ascii="Arial" w:hAnsi="Arial" w:cs="Arial"/>
          <w:b/>
          <w:bCs/>
          <w:sz w:val="24"/>
          <w:szCs w:val="24"/>
        </w:rPr>
        <w:t>IRR Interpretation:</w:t>
      </w:r>
    </w:p>
    <w:p w14:paraId="0A52E82B" w14:textId="5D9B155F" w:rsidR="003F4ABF" w:rsidRPr="00813F8A" w:rsidRDefault="003F4ABF" w:rsidP="00A87699">
      <w:pPr>
        <w:spacing w:line="360" w:lineRule="auto"/>
        <w:jc w:val="both"/>
        <w:rPr>
          <w:rFonts w:ascii="Arial" w:hAnsi="Arial" w:cs="Arial"/>
          <w:sz w:val="24"/>
          <w:szCs w:val="24"/>
        </w:rPr>
      </w:pPr>
      <w:r w:rsidRPr="00813F8A">
        <w:rPr>
          <w:rFonts w:ascii="Arial" w:hAnsi="Arial" w:cs="Arial"/>
          <w:sz w:val="24"/>
          <w:szCs w:val="24"/>
        </w:rPr>
        <w:t>Project C is the most attractive based on the IRR, which is 14.46, which is higher than the 10% hurdle rate of the company. Project A (10.57%) is just satisfactory on the rate of return. Project B (8.8%) is lower than the cost of capital hence inappropriate.</w:t>
      </w:r>
    </w:p>
    <w:p w14:paraId="61978463" w14:textId="29A166A8" w:rsidR="00C0153C" w:rsidRPr="00813F8A" w:rsidRDefault="003F4ABF" w:rsidP="00A87699">
      <w:pPr>
        <w:spacing w:line="360" w:lineRule="auto"/>
        <w:jc w:val="both"/>
        <w:rPr>
          <w:rFonts w:ascii="Arial" w:hAnsi="Arial" w:cs="Arial"/>
          <w:sz w:val="24"/>
          <w:szCs w:val="24"/>
        </w:rPr>
      </w:pPr>
      <w:r w:rsidRPr="00813F8A">
        <w:rPr>
          <w:rFonts w:ascii="Arial" w:hAnsi="Arial" w:cs="Arial"/>
          <w:sz w:val="24"/>
          <w:szCs w:val="24"/>
        </w:rPr>
        <w:t>Conclusion: The IRR analysis is a strong indication that Project C is the most profitable project, then Project A, and Project B should not be considered.</w:t>
      </w:r>
    </w:p>
    <w:p w14:paraId="263F7268" w14:textId="77777777" w:rsidR="003F4ABF" w:rsidRDefault="003F4ABF" w:rsidP="00C0153C">
      <w:pPr>
        <w:spacing w:line="360" w:lineRule="auto"/>
        <w:rPr>
          <w:rFonts w:ascii="Arial" w:hAnsi="Arial" w:cs="Arial"/>
          <w:b/>
          <w:bCs/>
          <w:sz w:val="24"/>
          <w:szCs w:val="24"/>
        </w:rPr>
      </w:pPr>
    </w:p>
    <w:p w14:paraId="3E125536" w14:textId="218FD733"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5.5 Profitability Index (PI)</w:t>
      </w:r>
    </w:p>
    <w:p w14:paraId="605BD035" w14:textId="2F52E758"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PI</m:t>
          </m:r>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PV of Cash Inflows</m:t>
              </m:r>
            </m:num>
            <m:den>
              <m:r>
                <m:rPr>
                  <m:nor/>
                </m:rPr>
                <w:rPr>
                  <w:rFonts w:ascii="Arial" w:hAnsi="Arial" w:cs="Arial"/>
                  <w:sz w:val="24"/>
                  <w:szCs w:val="24"/>
                </w:rPr>
                <m:t>Initial Investment</m:t>
              </m:r>
            </m:den>
          </m:f>
          <m:r>
            <m:rPr>
              <m:sty m:val="p"/>
            </m:rPr>
            <w:rPr>
              <w:rFonts w:ascii="Arial" w:hAnsi="Arial" w:cs="Arial"/>
              <w:sz w:val="24"/>
              <w:szCs w:val="24"/>
            </w:rPr>
            <w:br/>
          </m:r>
        </m:oMath>
      </m:oMathPara>
    </w:p>
    <w:p w14:paraId="3D4F680E" w14:textId="77777777" w:rsidR="00367D9B" w:rsidRPr="00367D9B" w:rsidRDefault="00367D9B" w:rsidP="00C0153C">
      <w:pPr>
        <w:numPr>
          <w:ilvl w:val="0"/>
          <w:numId w:val="21"/>
        </w:numPr>
        <w:spacing w:line="360" w:lineRule="auto"/>
        <w:rPr>
          <w:rFonts w:ascii="Arial" w:hAnsi="Arial" w:cs="Arial"/>
          <w:sz w:val="24"/>
          <w:szCs w:val="24"/>
        </w:rPr>
      </w:pPr>
      <w:r w:rsidRPr="00367D9B">
        <w:rPr>
          <w:rFonts w:ascii="Arial" w:hAnsi="Arial" w:cs="Arial"/>
          <w:sz w:val="24"/>
          <w:szCs w:val="24"/>
        </w:rPr>
        <w:t>Project A: 40.25 ÷ 40 = 1.01</w:t>
      </w:r>
    </w:p>
    <w:p w14:paraId="2A57C305" w14:textId="77777777" w:rsidR="00367D9B" w:rsidRPr="00367D9B" w:rsidRDefault="00367D9B" w:rsidP="00C0153C">
      <w:pPr>
        <w:numPr>
          <w:ilvl w:val="0"/>
          <w:numId w:val="21"/>
        </w:numPr>
        <w:spacing w:line="360" w:lineRule="auto"/>
        <w:rPr>
          <w:rFonts w:ascii="Arial" w:hAnsi="Arial" w:cs="Arial"/>
          <w:sz w:val="24"/>
          <w:szCs w:val="24"/>
        </w:rPr>
      </w:pPr>
      <w:r w:rsidRPr="00367D9B">
        <w:rPr>
          <w:rFonts w:ascii="Arial" w:hAnsi="Arial" w:cs="Arial"/>
          <w:sz w:val="24"/>
          <w:szCs w:val="24"/>
        </w:rPr>
        <w:t>Project B: 26.85 ÷ 30 = 0.90</w:t>
      </w:r>
    </w:p>
    <w:p w14:paraId="03E159CE" w14:textId="77777777" w:rsidR="00367D9B" w:rsidRPr="00367D9B" w:rsidRDefault="00367D9B" w:rsidP="00C0153C">
      <w:pPr>
        <w:numPr>
          <w:ilvl w:val="0"/>
          <w:numId w:val="21"/>
        </w:numPr>
        <w:spacing w:line="360" w:lineRule="auto"/>
        <w:rPr>
          <w:rFonts w:ascii="Arial" w:hAnsi="Arial" w:cs="Arial"/>
          <w:sz w:val="24"/>
          <w:szCs w:val="24"/>
        </w:rPr>
      </w:pPr>
      <w:r w:rsidRPr="00367D9B">
        <w:rPr>
          <w:rFonts w:ascii="Arial" w:hAnsi="Arial" w:cs="Arial"/>
          <w:sz w:val="24"/>
          <w:szCs w:val="24"/>
        </w:rPr>
        <w:t>Project C: 54.99 ÷ 50 = 1.10</w:t>
      </w:r>
    </w:p>
    <w:p w14:paraId="773EF625"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PI Interpretation:</w:t>
      </w:r>
    </w:p>
    <w:p w14:paraId="4575E021" w14:textId="77777777" w:rsidR="00367D9B" w:rsidRPr="00367D9B" w:rsidRDefault="00367D9B" w:rsidP="00C0153C">
      <w:pPr>
        <w:numPr>
          <w:ilvl w:val="0"/>
          <w:numId w:val="22"/>
        </w:numPr>
        <w:spacing w:line="360" w:lineRule="auto"/>
        <w:rPr>
          <w:rFonts w:ascii="Arial" w:hAnsi="Arial" w:cs="Arial"/>
          <w:sz w:val="24"/>
          <w:szCs w:val="24"/>
        </w:rPr>
      </w:pPr>
      <w:r w:rsidRPr="00367D9B">
        <w:rPr>
          <w:rFonts w:ascii="Arial" w:hAnsi="Arial" w:cs="Arial"/>
          <w:sz w:val="24"/>
          <w:szCs w:val="24"/>
        </w:rPr>
        <w:t>Project C provides £1.10 per £1 invested, the highest return.</w:t>
      </w:r>
    </w:p>
    <w:p w14:paraId="56242109" w14:textId="77777777" w:rsidR="00367D9B" w:rsidRPr="00367D9B" w:rsidRDefault="00367D9B" w:rsidP="00C0153C">
      <w:pPr>
        <w:numPr>
          <w:ilvl w:val="0"/>
          <w:numId w:val="22"/>
        </w:numPr>
        <w:spacing w:line="360" w:lineRule="auto"/>
        <w:rPr>
          <w:rFonts w:ascii="Arial" w:hAnsi="Arial" w:cs="Arial"/>
          <w:sz w:val="24"/>
          <w:szCs w:val="24"/>
        </w:rPr>
      </w:pPr>
      <w:r w:rsidRPr="00367D9B">
        <w:rPr>
          <w:rFonts w:ascii="Arial" w:hAnsi="Arial" w:cs="Arial"/>
          <w:sz w:val="24"/>
          <w:szCs w:val="24"/>
        </w:rPr>
        <w:t>Project A is slightly above break-even.</w:t>
      </w:r>
    </w:p>
    <w:p w14:paraId="4314484F" w14:textId="77777777" w:rsidR="00367D9B" w:rsidRPr="00367D9B" w:rsidRDefault="00367D9B" w:rsidP="00C0153C">
      <w:pPr>
        <w:numPr>
          <w:ilvl w:val="0"/>
          <w:numId w:val="22"/>
        </w:numPr>
        <w:spacing w:line="360" w:lineRule="auto"/>
        <w:rPr>
          <w:rFonts w:ascii="Arial" w:hAnsi="Arial" w:cs="Arial"/>
          <w:sz w:val="24"/>
          <w:szCs w:val="24"/>
        </w:rPr>
      </w:pPr>
      <w:r w:rsidRPr="00367D9B">
        <w:rPr>
          <w:rFonts w:ascii="Arial" w:hAnsi="Arial" w:cs="Arial"/>
          <w:sz w:val="24"/>
          <w:szCs w:val="24"/>
        </w:rPr>
        <w:t>Project B is below 1.0 and financially unacceptable.</w:t>
      </w:r>
    </w:p>
    <w:p w14:paraId="7C26EA11" w14:textId="6B14C011" w:rsidR="00367D9B" w:rsidRPr="00367D9B" w:rsidRDefault="00367D9B" w:rsidP="00C0153C">
      <w:pPr>
        <w:spacing w:line="360" w:lineRule="auto"/>
        <w:rPr>
          <w:rFonts w:ascii="Arial" w:hAnsi="Arial" w:cs="Arial"/>
          <w:sz w:val="24"/>
          <w:szCs w:val="24"/>
        </w:rPr>
      </w:pPr>
    </w:p>
    <w:p w14:paraId="7BEE998A"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5.6 Capital Rationing Analysis (£60m limit)</w:t>
      </w:r>
    </w:p>
    <w:p w14:paraId="0B853DA5"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Possible combinations:</w:t>
      </w:r>
    </w:p>
    <w:p w14:paraId="119A95D2" w14:textId="77777777" w:rsidR="00367D9B" w:rsidRPr="00367D9B" w:rsidRDefault="00367D9B" w:rsidP="00C0153C">
      <w:pPr>
        <w:numPr>
          <w:ilvl w:val="0"/>
          <w:numId w:val="23"/>
        </w:numPr>
        <w:spacing w:line="360" w:lineRule="auto"/>
        <w:rPr>
          <w:rFonts w:ascii="Arial" w:hAnsi="Arial" w:cs="Arial"/>
          <w:sz w:val="24"/>
          <w:szCs w:val="24"/>
        </w:rPr>
      </w:pPr>
      <w:r w:rsidRPr="00367D9B">
        <w:rPr>
          <w:rFonts w:ascii="Arial" w:hAnsi="Arial" w:cs="Arial"/>
          <w:sz w:val="24"/>
          <w:szCs w:val="24"/>
        </w:rPr>
        <w:lastRenderedPageBreak/>
        <w:t>A + B = £70m</w:t>
      </w:r>
    </w:p>
    <w:p w14:paraId="72725993" w14:textId="77777777" w:rsidR="00367D9B" w:rsidRPr="00367D9B" w:rsidRDefault="00367D9B" w:rsidP="00C0153C">
      <w:pPr>
        <w:numPr>
          <w:ilvl w:val="0"/>
          <w:numId w:val="23"/>
        </w:numPr>
        <w:spacing w:line="360" w:lineRule="auto"/>
        <w:rPr>
          <w:rFonts w:ascii="Arial" w:hAnsi="Arial" w:cs="Arial"/>
          <w:sz w:val="24"/>
          <w:szCs w:val="24"/>
        </w:rPr>
      </w:pPr>
      <w:r w:rsidRPr="00367D9B">
        <w:rPr>
          <w:rFonts w:ascii="Arial" w:hAnsi="Arial" w:cs="Arial"/>
          <w:sz w:val="24"/>
          <w:szCs w:val="24"/>
        </w:rPr>
        <w:t>A + C = £90m</w:t>
      </w:r>
    </w:p>
    <w:p w14:paraId="27E356C3" w14:textId="77777777" w:rsidR="00367D9B" w:rsidRPr="00367D9B" w:rsidRDefault="00367D9B" w:rsidP="00C0153C">
      <w:pPr>
        <w:numPr>
          <w:ilvl w:val="0"/>
          <w:numId w:val="23"/>
        </w:numPr>
        <w:spacing w:line="360" w:lineRule="auto"/>
        <w:rPr>
          <w:rFonts w:ascii="Arial" w:hAnsi="Arial" w:cs="Arial"/>
          <w:sz w:val="24"/>
          <w:szCs w:val="24"/>
        </w:rPr>
      </w:pPr>
      <w:r w:rsidRPr="00367D9B">
        <w:rPr>
          <w:rFonts w:ascii="Arial" w:hAnsi="Arial" w:cs="Arial"/>
          <w:sz w:val="24"/>
          <w:szCs w:val="24"/>
        </w:rPr>
        <w:t>B + C = £80m</w:t>
      </w:r>
    </w:p>
    <w:p w14:paraId="57844224"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Feasible options under the £60m limit:</w:t>
      </w:r>
    </w:p>
    <w:p w14:paraId="07EA4DFA" w14:textId="77777777" w:rsidR="00367D9B" w:rsidRPr="00367D9B" w:rsidRDefault="00367D9B" w:rsidP="00C0153C">
      <w:pPr>
        <w:numPr>
          <w:ilvl w:val="0"/>
          <w:numId w:val="24"/>
        </w:numPr>
        <w:spacing w:line="360" w:lineRule="auto"/>
        <w:rPr>
          <w:rFonts w:ascii="Arial" w:hAnsi="Arial" w:cs="Arial"/>
          <w:sz w:val="24"/>
          <w:szCs w:val="24"/>
        </w:rPr>
      </w:pPr>
      <w:r w:rsidRPr="00367D9B">
        <w:rPr>
          <w:rFonts w:ascii="Arial" w:hAnsi="Arial" w:cs="Arial"/>
          <w:sz w:val="24"/>
          <w:szCs w:val="24"/>
        </w:rPr>
        <w:t>Invest in Project A alone (£40m)</w:t>
      </w:r>
    </w:p>
    <w:p w14:paraId="42BE1CB4" w14:textId="77777777" w:rsidR="00367D9B" w:rsidRPr="00367D9B" w:rsidRDefault="00367D9B" w:rsidP="00C0153C">
      <w:pPr>
        <w:numPr>
          <w:ilvl w:val="0"/>
          <w:numId w:val="24"/>
        </w:numPr>
        <w:spacing w:line="360" w:lineRule="auto"/>
        <w:rPr>
          <w:rFonts w:ascii="Arial" w:hAnsi="Arial" w:cs="Arial"/>
          <w:sz w:val="24"/>
          <w:szCs w:val="24"/>
        </w:rPr>
      </w:pPr>
      <w:r w:rsidRPr="00367D9B">
        <w:rPr>
          <w:rFonts w:ascii="Arial" w:hAnsi="Arial" w:cs="Arial"/>
          <w:sz w:val="24"/>
          <w:szCs w:val="24"/>
        </w:rPr>
        <w:t>Invest in Project A (£40m) + scaled-down Project B (£20m)</w:t>
      </w:r>
    </w:p>
    <w:p w14:paraId="125FF7AA" w14:textId="77777777" w:rsidR="00367D9B" w:rsidRPr="00367D9B" w:rsidRDefault="00367D9B" w:rsidP="00C0153C">
      <w:pPr>
        <w:spacing w:line="360" w:lineRule="auto"/>
        <w:rPr>
          <w:rFonts w:ascii="Arial" w:hAnsi="Arial" w:cs="Arial"/>
          <w:sz w:val="24"/>
          <w:szCs w:val="24"/>
        </w:rPr>
      </w:pPr>
      <w:r w:rsidRPr="00367D9B">
        <w:rPr>
          <w:rFonts w:ascii="Arial" w:hAnsi="Arial" w:cs="Arial"/>
          <w:b/>
          <w:bCs/>
          <w:sz w:val="24"/>
          <w:szCs w:val="24"/>
        </w:rPr>
        <w:t>Scaled Project B Calculation:</w:t>
      </w:r>
    </w:p>
    <w:p w14:paraId="06ACF92C" w14:textId="21BC250C" w:rsidR="00367D9B" w:rsidRPr="00367D9B" w:rsidRDefault="00367D9B" w:rsidP="00C0153C">
      <w:pPr>
        <w:spacing w:line="360" w:lineRule="auto"/>
        <w:rPr>
          <w:rFonts w:ascii="Arial" w:hAnsi="Arial" w:cs="Arial"/>
          <w:sz w:val="24"/>
          <w:szCs w:val="24"/>
        </w:rPr>
      </w:pPr>
      <m:oMathPara>
        <m:oMath>
          <m:r>
            <m:rPr>
              <m:nor/>
            </m:rPr>
            <w:rPr>
              <w:rFonts w:ascii="Arial" w:hAnsi="Arial" w:cs="Arial"/>
              <w:sz w:val="24"/>
              <w:szCs w:val="24"/>
            </w:rPr>
            <m:t>Scaling factor</m:t>
          </m:r>
          <m:r>
            <w:rPr>
              <w:rFonts w:ascii="Cambria Math" w:hAnsi="Cambria Math" w:cs="Arial"/>
              <w:sz w:val="24"/>
              <w:szCs w:val="24"/>
            </w:rPr>
            <m:t>=20</m:t>
          </m:r>
          <m:r>
            <m:rPr>
              <m:sty m:val="p"/>
            </m:rPr>
            <w:rPr>
              <w:rFonts w:ascii="Cambria Math" w:hAnsi="Cambria Math" w:cs="Arial"/>
              <w:sz w:val="24"/>
              <w:szCs w:val="24"/>
            </w:rPr>
            <m:t>/</m:t>
          </m:r>
          <m:r>
            <w:rPr>
              <w:rFonts w:ascii="Cambria Math" w:hAnsi="Cambria Math" w:cs="Arial"/>
              <w:sz w:val="24"/>
              <w:szCs w:val="24"/>
            </w:rPr>
            <m:t>30=0.67</m:t>
          </m:r>
          <m:r>
            <m:rPr>
              <m:sty m:val="p"/>
            </m:rPr>
            <w:rPr>
              <w:rFonts w:ascii="Arial" w:hAnsi="Arial" w:cs="Arial"/>
              <w:sz w:val="24"/>
              <w:szCs w:val="24"/>
            </w:rPr>
            <w:br/>
          </m:r>
        </m:oMath>
        <m:oMath>
          <m:sSub>
            <m:sSubPr>
              <m:ctrlPr>
                <w:rPr>
                  <w:rFonts w:ascii="Cambria Math" w:hAnsi="Cambria Math" w:cs="Arial"/>
                  <w:sz w:val="24"/>
                  <w:szCs w:val="24"/>
                </w:rPr>
              </m:ctrlPr>
            </m:sSubPr>
            <m:e>
              <m:r>
                <m:rPr>
                  <m:nor/>
                </m:rPr>
                <w:rPr>
                  <w:rFonts w:ascii="Arial" w:hAnsi="Arial" w:cs="Arial"/>
                  <w:sz w:val="24"/>
                  <w:szCs w:val="24"/>
                </w:rPr>
                <m:t>Scaled PV</m:t>
              </m:r>
            </m:e>
            <m:sub>
              <m:r>
                <w:rPr>
                  <w:rFonts w:ascii="Cambria Math" w:hAnsi="Cambria Math" w:cs="Arial"/>
                  <w:sz w:val="24"/>
                  <w:szCs w:val="24"/>
                </w:rPr>
                <m:t>B</m:t>
              </m:r>
            </m:sub>
          </m:sSub>
          <m:r>
            <w:rPr>
              <w:rFonts w:ascii="Cambria Math" w:hAnsi="Cambria Math" w:cs="Arial"/>
              <w:sz w:val="24"/>
              <w:szCs w:val="24"/>
            </w:rPr>
            <m:t>=26.85×0.67≈17.98,</m:t>
          </m:r>
          <m:r>
            <m:rPr>
              <m:nor/>
            </m:rPr>
            <w:rPr>
              <w:rFonts w:ascii="Arial" w:hAnsi="Arial" w:cs="Arial"/>
              <w:sz w:val="24"/>
              <w:szCs w:val="24"/>
            </w:rPr>
            <m:t>PI</m:t>
          </m:r>
          <m:r>
            <w:rPr>
              <w:rFonts w:ascii="Cambria Math" w:hAnsi="Cambria Math" w:cs="Arial"/>
              <w:sz w:val="24"/>
              <w:szCs w:val="24"/>
            </w:rPr>
            <m:t>=17.98</m:t>
          </m:r>
          <m:r>
            <m:rPr>
              <m:sty m:val="p"/>
            </m:rPr>
            <w:rPr>
              <w:rFonts w:ascii="Cambria Math" w:hAnsi="Cambria Math" w:cs="Arial"/>
              <w:sz w:val="24"/>
              <w:szCs w:val="24"/>
            </w:rPr>
            <m:t>/</m:t>
          </m:r>
          <m:r>
            <w:rPr>
              <w:rFonts w:ascii="Cambria Math" w:hAnsi="Cambria Math" w:cs="Arial"/>
              <w:sz w:val="24"/>
              <w:szCs w:val="24"/>
            </w:rPr>
            <m:t>20≈0.90</m:t>
          </m:r>
          <m:r>
            <m:rPr>
              <m:sty m:val="p"/>
            </m:rPr>
            <w:rPr>
              <w:rFonts w:ascii="Arial" w:hAnsi="Arial" w:cs="Arial"/>
              <w:sz w:val="24"/>
              <w:szCs w:val="24"/>
            </w:rPr>
            <w:br/>
          </m:r>
        </m:oMath>
      </m:oMathPara>
    </w:p>
    <w:p w14:paraId="34DFBA3E" w14:textId="77777777" w:rsidR="00367D9B" w:rsidRPr="00367D9B" w:rsidRDefault="00367D9B" w:rsidP="00C0153C">
      <w:pPr>
        <w:spacing w:line="360" w:lineRule="auto"/>
        <w:rPr>
          <w:rFonts w:ascii="Arial" w:hAnsi="Arial" w:cs="Arial"/>
          <w:sz w:val="24"/>
          <w:szCs w:val="24"/>
        </w:rPr>
      </w:pPr>
      <w:r w:rsidRPr="00367D9B">
        <w:rPr>
          <w:rFonts w:ascii="Arial" w:hAnsi="Arial" w:cs="Arial"/>
          <w:sz w:val="24"/>
          <w:szCs w:val="24"/>
        </w:rPr>
        <w:t>This option remains within the capital constraint, though Project B’s PI is below 1.0.</w:t>
      </w:r>
    </w:p>
    <w:p w14:paraId="05F8AB47" w14:textId="487FFE1C" w:rsidR="00367D9B" w:rsidRPr="00367D9B" w:rsidRDefault="00367D9B" w:rsidP="00C0153C">
      <w:pPr>
        <w:spacing w:line="360" w:lineRule="auto"/>
        <w:rPr>
          <w:rFonts w:ascii="Arial" w:hAnsi="Arial" w:cs="Arial"/>
          <w:sz w:val="24"/>
          <w:szCs w:val="24"/>
        </w:rPr>
      </w:pPr>
    </w:p>
    <w:p w14:paraId="2FCF7299"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5.7 Strategic and Ethical Fit</w:t>
      </w:r>
    </w:p>
    <w:p w14:paraId="3AF91940" w14:textId="77777777" w:rsidR="003F4ABF" w:rsidRPr="003F4ABF" w:rsidRDefault="003F4ABF" w:rsidP="00A87699">
      <w:pPr>
        <w:spacing w:line="360" w:lineRule="auto"/>
        <w:jc w:val="both"/>
        <w:rPr>
          <w:rFonts w:ascii="Arial" w:hAnsi="Arial" w:cs="Arial"/>
          <w:sz w:val="24"/>
          <w:szCs w:val="24"/>
        </w:rPr>
      </w:pPr>
      <w:r w:rsidRPr="003F4ABF">
        <w:rPr>
          <w:rFonts w:ascii="Arial" w:hAnsi="Arial" w:cs="Arial"/>
          <w:sz w:val="24"/>
          <w:szCs w:val="24"/>
        </w:rPr>
        <w:t>The investment decisions are supposed to be in line with the strategic priorities and the ESG commitments of GE.</w:t>
      </w:r>
    </w:p>
    <w:p w14:paraId="014A7037" w14:textId="77777777" w:rsidR="003F4ABF" w:rsidRPr="003F4ABF" w:rsidRDefault="003F4ABF" w:rsidP="00A87699">
      <w:pPr>
        <w:spacing w:line="360" w:lineRule="auto"/>
        <w:jc w:val="both"/>
        <w:rPr>
          <w:rFonts w:ascii="Arial" w:hAnsi="Arial" w:cs="Arial"/>
          <w:sz w:val="24"/>
          <w:szCs w:val="24"/>
        </w:rPr>
      </w:pPr>
      <w:r w:rsidRPr="003F4ABF">
        <w:rPr>
          <w:rFonts w:ascii="Arial" w:hAnsi="Arial" w:cs="Arial"/>
          <w:sz w:val="24"/>
          <w:szCs w:val="24"/>
        </w:rPr>
        <w:t>Project A: Builds up the already established consumer electronic business, which delivers stable cash flows and average levels of risk, within the range of current turnaround capacity.</w:t>
      </w:r>
    </w:p>
    <w:p w14:paraId="1FBF97CB" w14:textId="77777777" w:rsidR="003F4ABF" w:rsidRPr="003F4ABF" w:rsidRDefault="003F4ABF" w:rsidP="00A87699">
      <w:pPr>
        <w:spacing w:line="360" w:lineRule="auto"/>
        <w:jc w:val="both"/>
        <w:rPr>
          <w:rFonts w:ascii="Arial" w:hAnsi="Arial" w:cs="Arial"/>
          <w:sz w:val="24"/>
          <w:szCs w:val="24"/>
        </w:rPr>
      </w:pPr>
      <w:r w:rsidRPr="003F4ABF">
        <w:rPr>
          <w:rFonts w:ascii="Arial" w:hAnsi="Arial" w:cs="Arial"/>
          <w:sz w:val="24"/>
          <w:szCs w:val="24"/>
        </w:rPr>
        <w:t>Project B: Facilitates the consolidation of the market in the moderately growing segments and improves brand awareness. A smaller variant of Project A complements it and yet does not exceed capital limits.</w:t>
      </w:r>
    </w:p>
    <w:p w14:paraId="142F07DD" w14:textId="77777777" w:rsidR="003F4ABF" w:rsidRPr="003F4ABF" w:rsidRDefault="003F4ABF" w:rsidP="00A87699">
      <w:pPr>
        <w:spacing w:line="360" w:lineRule="auto"/>
        <w:jc w:val="both"/>
        <w:rPr>
          <w:rFonts w:ascii="Arial" w:hAnsi="Arial" w:cs="Arial"/>
          <w:sz w:val="24"/>
          <w:szCs w:val="24"/>
        </w:rPr>
      </w:pPr>
      <w:r w:rsidRPr="003F4ABF">
        <w:rPr>
          <w:rFonts w:ascii="Arial" w:hAnsi="Arial" w:cs="Arial"/>
          <w:sz w:val="24"/>
          <w:szCs w:val="24"/>
        </w:rPr>
        <w:t>Project C: Smart technology high-risk high-reward project. Capital-intensive and exposed to new market volatility, which would imply short-term insolvency.</w:t>
      </w:r>
    </w:p>
    <w:p w14:paraId="46139D28" w14:textId="12C29CE1" w:rsidR="00367D9B" w:rsidRPr="00367D9B" w:rsidRDefault="003F4ABF" w:rsidP="00A87699">
      <w:pPr>
        <w:spacing w:line="360" w:lineRule="auto"/>
        <w:jc w:val="both"/>
        <w:rPr>
          <w:rFonts w:ascii="Arial" w:hAnsi="Arial" w:cs="Arial"/>
          <w:sz w:val="24"/>
          <w:szCs w:val="24"/>
        </w:rPr>
      </w:pPr>
      <w:r w:rsidRPr="003F4ABF">
        <w:rPr>
          <w:rFonts w:ascii="Arial" w:hAnsi="Arial" w:cs="Arial"/>
          <w:sz w:val="24"/>
          <w:szCs w:val="24"/>
        </w:rPr>
        <w:t>Environmentally, Projects A and B are less harmful to the environment, carry out responsible sourcing, and reduce the interference of the workforce. Project C would involve massive operational restructuring and supply chain alterations, which would add pressure on the ethical and compliance issues.</w:t>
      </w:r>
    </w:p>
    <w:p w14:paraId="7980E69D" w14:textId="77777777" w:rsidR="00367D9B" w:rsidRPr="00367D9B" w:rsidRDefault="00367D9B" w:rsidP="00A87699">
      <w:pPr>
        <w:spacing w:line="360" w:lineRule="auto"/>
        <w:jc w:val="both"/>
        <w:rPr>
          <w:rFonts w:ascii="Arial" w:hAnsi="Arial" w:cs="Arial"/>
          <w:b/>
          <w:bCs/>
          <w:sz w:val="24"/>
          <w:szCs w:val="24"/>
        </w:rPr>
      </w:pPr>
      <w:r w:rsidRPr="00367D9B">
        <w:rPr>
          <w:rFonts w:ascii="Arial" w:hAnsi="Arial" w:cs="Arial"/>
          <w:b/>
          <w:bCs/>
          <w:sz w:val="24"/>
          <w:szCs w:val="24"/>
        </w:rPr>
        <w:lastRenderedPageBreak/>
        <w:t>5.8 Integration with Financial Strategy</w:t>
      </w:r>
    </w:p>
    <w:p w14:paraId="7180BC83" w14:textId="77777777" w:rsidR="003F4ABF" w:rsidRPr="003F4ABF" w:rsidRDefault="003F4ABF" w:rsidP="00A87699">
      <w:pPr>
        <w:spacing w:line="360" w:lineRule="auto"/>
        <w:jc w:val="both"/>
        <w:rPr>
          <w:rFonts w:ascii="Arial" w:hAnsi="Arial" w:cs="Arial"/>
          <w:sz w:val="24"/>
          <w:szCs w:val="24"/>
        </w:rPr>
      </w:pPr>
      <w:r w:rsidRPr="003F4ABF">
        <w:rPr>
          <w:rFonts w:ascii="Arial" w:hAnsi="Arial" w:cs="Arial"/>
          <w:sz w:val="24"/>
          <w:szCs w:val="24"/>
        </w:rPr>
        <w:t>The suggested allocation creates a balance between profitability, risk, and stability of operations. Project A provides an initial cash inflow that helps recover the liquidity and alleviate the working capital pressure and increase the debt-servicing ability. Diversification of PS20m into a smaller Project B is quantified but will not put significant strain on the resources.</w:t>
      </w:r>
    </w:p>
    <w:p w14:paraId="01EEC8A7" w14:textId="3A1BFE75" w:rsidR="00367D9B" w:rsidRPr="00367D9B" w:rsidRDefault="003F4ABF" w:rsidP="00A87699">
      <w:pPr>
        <w:spacing w:line="360" w:lineRule="auto"/>
        <w:jc w:val="both"/>
        <w:rPr>
          <w:rFonts w:ascii="Arial" w:hAnsi="Arial" w:cs="Arial"/>
          <w:sz w:val="24"/>
          <w:szCs w:val="24"/>
        </w:rPr>
      </w:pPr>
      <w:r w:rsidRPr="003F4ABF">
        <w:rPr>
          <w:rFonts w:ascii="Arial" w:hAnsi="Arial" w:cs="Arial"/>
          <w:sz w:val="24"/>
          <w:szCs w:val="24"/>
        </w:rPr>
        <w:t>This incremental strategy enhances the balance sheet and slowly diminishes leverage and prepares the firm to take more risky innovation projects such as Project C when it becomes financially stable.</w:t>
      </w:r>
    </w:p>
    <w:p w14:paraId="40946A16" w14:textId="77777777" w:rsidR="00367D9B" w:rsidRPr="00367D9B" w:rsidRDefault="00367D9B" w:rsidP="00C0153C">
      <w:pPr>
        <w:spacing w:line="360" w:lineRule="auto"/>
        <w:rPr>
          <w:rFonts w:ascii="Arial" w:hAnsi="Arial" w:cs="Arial"/>
          <w:b/>
          <w:bCs/>
          <w:sz w:val="24"/>
          <w:szCs w:val="24"/>
        </w:rPr>
      </w:pPr>
      <w:r w:rsidRPr="00367D9B">
        <w:rPr>
          <w:rFonts w:ascii="Arial" w:hAnsi="Arial" w:cs="Arial"/>
          <w:b/>
          <w:bCs/>
          <w:sz w:val="24"/>
          <w:szCs w:val="24"/>
        </w:rPr>
        <w:t>5.9 Conclusion on Investment Appraisal</w:t>
      </w:r>
    </w:p>
    <w:p w14:paraId="5836C297" w14:textId="77777777" w:rsidR="003F4ABF" w:rsidRDefault="003F4ABF" w:rsidP="00A87699">
      <w:pPr>
        <w:spacing w:line="360" w:lineRule="auto"/>
        <w:jc w:val="both"/>
        <w:rPr>
          <w:rFonts w:ascii="Arial" w:hAnsi="Arial" w:cs="Arial"/>
          <w:sz w:val="24"/>
          <w:szCs w:val="24"/>
        </w:rPr>
      </w:pPr>
      <w:r w:rsidRPr="003F4ABF">
        <w:rPr>
          <w:rFonts w:ascii="Arial" w:hAnsi="Arial" w:cs="Arial"/>
          <w:sz w:val="24"/>
          <w:szCs w:val="24"/>
        </w:rPr>
        <w:t>The best investment that GE should adopt given the current financial limitations is project A, which has the right balance of returns efficiency, reduction of risk, and compatibility in its operations. Project A in combination with a reduced Project B is the most diversified and has a positive cash flow with the minimum capital constraint of PS60m. Although the NPV of project C is very high, this project would not be suitable as it is capital intensive and has a high level of market uncertainty. Project C could be revisited as a long-term innovation strategy once GE financial position comes to a stabilized state.</w:t>
      </w:r>
    </w:p>
    <w:p w14:paraId="711181C8" w14:textId="77777777" w:rsidR="002800D6" w:rsidRPr="002800D6" w:rsidRDefault="002800D6" w:rsidP="00CE3137">
      <w:pPr>
        <w:spacing w:line="360" w:lineRule="auto"/>
        <w:rPr>
          <w:rFonts w:ascii="Arial" w:hAnsi="Arial" w:cs="Arial"/>
          <w:b/>
          <w:bCs/>
          <w:sz w:val="24"/>
          <w:szCs w:val="24"/>
        </w:rPr>
      </w:pPr>
      <w:r w:rsidRPr="002800D6">
        <w:rPr>
          <w:rFonts w:ascii="Arial" w:hAnsi="Arial" w:cs="Arial"/>
          <w:b/>
          <w:bCs/>
          <w:sz w:val="24"/>
          <w:szCs w:val="24"/>
        </w:rPr>
        <w:t>6.0 Recommendations</w:t>
      </w:r>
    </w:p>
    <w:p w14:paraId="47ACBBC9" w14:textId="77777777" w:rsidR="002800D6" w:rsidRPr="00813F8A" w:rsidRDefault="002800D6" w:rsidP="002800D6">
      <w:pPr>
        <w:spacing w:line="360" w:lineRule="auto"/>
        <w:ind w:left="360"/>
        <w:rPr>
          <w:rFonts w:ascii="Arial" w:hAnsi="Arial" w:cs="Arial"/>
          <w:sz w:val="24"/>
          <w:szCs w:val="24"/>
        </w:rPr>
      </w:pPr>
      <w:r w:rsidRPr="00813F8A">
        <w:rPr>
          <w:rFonts w:ascii="Arial" w:hAnsi="Arial" w:cs="Arial"/>
          <w:sz w:val="24"/>
          <w:szCs w:val="24"/>
        </w:rPr>
        <w:t>General Electronics (GE) needs to concentrate on five strategic initiatives to realize long-term financial stability and operational strength:</w:t>
      </w:r>
    </w:p>
    <w:p w14:paraId="48ACD7AD" w14:textId="31ED32DA" w:rsidR="002800D6" w:rsidRPr="002800D6" w:rsidRDefault="002800D6" w:rsidP="002800D6">
      <w:pPr>
        <w:spacing w:line="360" w:lineRule="auto"/>
        <w:ind w:left="360"/>
        <w:rPr>
          <w:rFonts w:ascii="Arial" w:hAnsi="Arial" w:cs="Arial"/>
          <w:b/>
          <w:bCs/>
          <w:sz w:val="24"/>
          <w:szCs w:val="24"/>
        </w:rPr>
      </w:pPr>
      <w:r>
        <w:rPr>
          <w:rFonts w:ascii="Arial" w:hAnsi="Arial" w:cs="Arial"/>
          <w:b/>
          <w:bCs/>
          <w:sz w:val="24"/>
          <w:szCs w:val="24"/>
        </w:rPr>
        <w:t xml:space="preserve">1. </w:t>
      </w:r>
      <w:proofErr w:type="spellStart"/>
      <w:r w:rsidRPr="002800D6">
        <w:rPr>
          <w:rFonts w:ascii="Arial" w:hAnsi="Arial" w:cs="Arial"/>
          <w:b/>
          <w:bCs/>
          <w:sz w:val="24"/>
          <w:szCs w:val="24"/>
        </w:rPr>
        <w:t>Optimise</w:t>
      </w:r>
      <w:proofErr w:type="spellEnd"/>
      <w:r w:rsidRPr="002800D6">
        <w:rPr>
          <w:rFonts w:ascii="Arial" w:hAnsi="Arial" w:cs="Arial"/>
          <w:b/>
          <w:bCs/>
          <w:sz w:val="24"/>
          <w:szCs w:val="24"/>
        </w:rPr>
        <w:t xml:space="preserve"> Management of Working Capital.</w:t>
      </w:r>
    </w:p>
    <w:p w14:paraId="29DAD088" w14:textId="77777777" w:rsidR="002800D6" w:rsidRPr="00813F8A" w:rsidRDefault="002800D6" w:rsidP="00A87699">
      <w:pPr>
        <w:spacing w:line="360" w:lineRule="auto"/>
        <w:ind w:left="360"/>
        <w:jc w:val="both"/>
        <w:rPr>
          <w:rFonts w:ascii="Arial" w:hAnsi="Arial" w:cs="Arial"/>
          <w:sz w:val="24"/>
          <w:szCs w:val="24"/>
        </w:rPr>
      </w:pPr>
      <w:r w:rsidRPr="00813F8A">
        <w:rPr>
          <w:rFonts w:ascii="Arial" w:hAnsi="Arial" w:cs="Arial"/>
          <w:sz w:val="24"/>
          <w:szCs w:val="24"/>
        </w:rPr>
        <w:t>GE should enhance the state of liquidity by decreasing the cash conversion cycle. This may be ensured by tightening of credit policies to reduce the time of collection of receivables, efficiency of the inventory management or demand-driven planning to reduce the compliments, and improved cash-flow forecasting aided by periodic monthly reporting. These policies will set free confined capital and enhance short term financial elasticity.</w:t>
      </w:r>
    </w:p>
    <w:p w14:paraId="4A7EAC3A" w14:textId="74BCF30C" w:rsidR="002800D6" w:rsidRPr="002800D6" w:rsidRDefault="002800D6" w:rsidP="002800D6">
      <w:pPr>
        <w:spacing w:line="360" w:lineRule="auto"/>
        <w:ind w:left="360"/>
        <w:rPr>
          <w:rFonts w:ascii="Arial" w:hAnsi="Arial" w:cs="Arial"/>
          <w:b/>
          <w:bCs/>
          <w:sz w:val="24"/>
          <w:szCs w:val="24"/>
        </w:rPr>
      </w:pPr>
      <w:r>
        <w:rPr>
          <w:rFonts w:ascii="Arial" w:hAnsi="Arial" w:cs="Arial"/>
          <w:b/>
          <w:bCs/>
          <w:sz w:val="24"/>
          <w:szCs w:val="24"/>
        </w:rPr>
        <w:t xml:space="preserve">2. </w:t>
      </w:r>
      <w:r w:rsidRPr="002800D6">
        <w:rPr>
          <w:rFonts w:ascii="Arial" w:hAnsi="Arial" w:cs="Arial"/>
          <w:b/>
          <w:bCs/>
          <w:sz w:val="24"/>
          <w:szCs w:val="24"/>
        </w:rPr>
        <w:t>Reorganize Short-Run Debts and Capital Base.</w:t>
      </w:r>
    </w:p>
    <w:p w14:paraId="78A1F719" w14:textId="77777777" w:rsidR="002800D6" w:rsidRPr="00813F8A" w:rsidRDefault="002800D6" w:rsidP="00A87699">
      <w:pPr>
        <w:spacing w:line="360" w:lineRule="auto"/>
        <w:ind w:left="360"/>
        <w:jc w:val="both"/>
        <w:rPr>
          <w:rFonts w:ascii="Arial" w:hAnsi="Arial" w:cs="Arial"/>
          <w:sz w:val="24"/>
          <w:szCs w:val="24"/>
        </w:rPr>
      </w:pPr>
      <w:r w:rsidRPr="00813F8A">
        <w:rPr>
          <w:rFonts w:ascii="Arial" w:hAnsi="Arial" w:cs="Arial"/>
          <w:sz w:val="24"/>
          <w:szCs w:val="24"/>
        </w:rPr>
        <w:lastRenderedPageBreak/>
        <w:t>A reduction in financial risk should be carried out through refinancing of short-term liabilities in longer-term loans, disposal of the non-core or underperforming assets, and selective equity injections to the company. The combination will reduce the leverage, enhance the solvency, and generate the ability to make future strategic investments.</w:t>
      </w:r>
    </w:p>
    <w:p w14:paraId="7891659A" w14:textId="6E00A96B" w:rsidR="002800D6" w:rsidRPr="002800D6" w:rsidRDefault="002800D6" w:rsidP="002800D6">
      <w:pPr>
        <w:spacing w:line="360" w:lineRule="auto"/>
        <w:ind w:left="360"/>
        <w:rPr>
          <w:rFonts w:ascii="Arial" w:hAnsi="Arial" w:cs="Arial"/>
          <w:b/>
          <w:bCs/>
          <w:sz w:val="24"/>
          <w:szCs w:val="24"/>
        </w:rPr>
      </w:pPr>
      <w:r>
        <w:rPr>
          <w:rFonts w:ascii="Arial" w:hAnsi="Arial" w:cs="Arial"/>
          <w:b/>
          <w:bCs/>
          <w:sz w:val="24"/>
          <w:szCs w:val="24"/>
        </w:rPr>
        <w:t xml:space="preserve">3. </w:t>
      </w:r>
      <w:r w:rsidRPr="002800D6">
        <w:rPr>
          <w:rFonts w:ascii="Arial" w:hAnsi="Arial" w:cs="Arial"/>
          <w:b/>
          <w:bCs/>
          <w:sz w:val="24"/>
          <w:szCs w:val="24"/>
        </w:rPr>
        <w:t xml:space="preserve">Value-Creating Investments should be </w:t>
      </w:r>
      <w:proofErr w:type="spellStart"/>
      <w:r w:rsidRPr="002800D6">
        <w:rPr>
          <w:rFonts w:ascii="Arial" w:hAnsi="Arial" w:cs="Arial"/>
          <w:b/>
          <w:bCs/>
          <w:sz w:val="24"/>
          <w:szCs w:val="24"/>
        </w:rPr>
        <w:t>prioritised</w:t>
      </w:r>
      <w:proofErr w:type="spellEnd"/>
      <w:r w:rsidRPr="002800D6">
        <w:rPr>
          <w:rFonts w:ascii="Arial" w:hAnsi="Arial" w:cs="Arial"/>
          <w:b/>
          <w:bCs/>
          <w:sz w:val="24"/>
          <w:szCs w:val="24"/>
        </w:rPr>
        <w:t>.</w:t>
      </w:r>
    </w:p>
    <w:p w14:paraId="7CF3B7F5" w14:textId="77777777" w:rsidR="002800D6" w:rsidRPr="00813F8A" w:rsidRDefault="002800D6" w:rsidP="00A87699">
      <w:pPr>
        <w:spacing w:line="360" w:lineRule="auto"/>
        <w:ind w:left="360"/>
        <w:jc w:val="both"/>
        <w:rPr>
          <w:rFonts w:ascii="Arial" w:hAnsi="Arial" w:cs="Arial"/>
          <w:sz w:val="24"/>
          <w:szCs w:val="24"/>
        </w:rPr>
      </w:pPr>
      <w:r w:rsidRPr="00813F8A">
        <w:rPr>
          <w:rFonts w:ascii="Arial" w:hAnsi="Arial" w:cs="Arial"/>
          <w:sz w:val="24"/>
          <w:szCs w:val="24"/>
        </w:rPr>
        <w:t>The allocation of capital to projects should be done according to projects that have the highest returns in the current budget. Project A should be fully funded because it is risk-adjusted profitable, and leftover funds can be used on a more modest scale version of Project B. Project C should only be invested in at a later stage when GE is in better financial health and liquidity.</w:t>
      </w:r>
    </w:p>
    <w:p w14:paraId="2CE52B50" w14:textId="2482DE53" w:rsidR="002800D6" w:rsidRPr="002800D6" w:rsidRDefault="002800D6" w:rsidP="002800D6">
      <w:pPr>
        <w:spacing w:line="360" w:lineRule="auto"/>
        <w:ind w:left="360"/>
        <w:rPr>
          <w:rFonts w:ascii="Arial" w:hAnsi="Arial" w:cs="Arial"/>
          <w:b/>
          <w:bCs/>
          <w:sz w:val="24"/>
          <w:szCs w:val="24"/>
        </w:rPr>
      </w:pPr>
      <w:r>
        <w:rPr>
          <w:rFonts w:ascii="Arial" w:hAnsi="Arial" w:cs="Arial"/>
          <w:b/>
          <w:bCs/>
          <w:sz w:val="24"/>
          <w:szCs w:val="24"/>
        </w:rPr>
        <w:t xml:space="preserve">4. </w:t>
      </w:r>
      <w:r w:rsidRPr="002800D6">
        <w:rPr>
          <w:rFonts w:ascii="Arial" w:hAnsi="Arial" w:cs="Arial"/>
          <w:b/>
          <w:bCs/>
          <w:sz w:val="24"/>
          <w:szCs w:val="24"/>
        </w:rPr>
        <w:t>Improve Operational Effectiveness.</w:t>
      </w:r>
    </w:p>
    <w:p w14:paraId="6EBB78E5" w14:textId="77777777" w:rsidR="002800D6" w:rsidRPr="00813F8A" w:rsidRDefault="002800D6" w:rsidP="00A87699">
      <w:pPr>
        <w:spacing w:line="360" w:lineRule="auto"/>
        <w:ind w:left="360"/>
        <w:jc w:val="both"/>
        <w:rPr>
          <w:rFonts w:ascii="Arial" w:hAnsi="Arial" w:cs="Arial"/>
          <w:sz w:val="24"/>
          <w:szCs w:val="24"/>
        </w:rPr>
      </w:pPr>
      <w:r w:rsidRPr="00813F8A">
        <w:rPr>
          <w:rFonts w:ascii="Arial" w:hAnsi="Arial" w:cs="Arial"/>
          <w:sz w:val="24"/>
          <w:szCs w:val="24"/>
        </w:rPr>
        <w:t>Automation of the routine processes, the renegotiation of the contracts with the suppliers to achieve the favorable terms, and the adoption of the performance-based budgeting can be used to strengthen the operational performance and hold the accountability and the control of costs. The measures will enable it to minimize operational bottlenecks, reduce costs, and sustain profitability.</w:t>
      </w:r>
    </w:p>
    <w:p w14:paraId="2919EB6B" w14:textId="482B6874" w:rsidR="002800D6" w:rsidRPr="002800D6" w:rsidRDefault="002800D6" w:rsidP="002800D6">
      <w:pPr>
        <w:spacing w:line="360" w:lineRule="auto"/>
        <w:ind w:left="360"/>
        <w:rPr>
          <w:rFonts w:ascii="Arial" w:hAnsi="Arial" w:cs="Arial"/>
          <w:b/>
          <w:bCs/>
          <w:sz w:val="24"/>
          <w:szCs w:val="24"/>
        </w:rPr>
      </w:pPr>
      <w:r>
        <w:rPr>
          <w:rFonts w:ascii="Arial" w:hAnsi="Arial" w:cs="Arial"/>
          <w:b/>
          <w:bCs/>
          <w:sz w:val="24"/>
          <w:szCs w:val="24"/>
        </w:rPr>
        <w:t xml:space="preserve">5. </w:t>
      </w:r>
      <w:r w:rsidRPr="002800D6">
        <w:rPr>
          <w:rFonts w:ascii="Arial" w:hAnsi="Arial" w:cs="Arial"/>
          <w:b/>
          <w:bCs/>
          <w:sz w:val="24"/>
          <w:szCs w:val="24"/>
        </w:rPr>
        <w:t>Develop ESG and Governance.</w:t>
      </w:r>
    </w:p>
    <w:p w14:paraId="62693605" w14:textId="77777777" w:rsidR="002800D6" w:rsidRPr="00813F8A" w:rsidRDefault="002800D6" w:rsidP="00A87699">
      <w:pPr>
        <w:spacing w:line="360" w:lineRule="auto"/>
        <w:ind w:left="360"/>
        <w:jc w:val="both"/>
        <w:rPr>
          <w:rFonts w:ascii="Arial" w:hAnsi="Arial" w:cs="Arial"/>
          <w:sz w:val="24"/>
          <w:szCs w:val="24"/>
        </w:rPr>
      </w:pPr>
      <w:r w:rsidRPr="00813F8A">
        <w:rPr>
          <w:rFonts w:ascii="Arial" w:hAnsi="Arial" w:cs="Arial"/>
          <w:sz w:val="24"/>
          <w:szCs w:val="24"/>
        </w:rPr>
        <w:t>GE needs to uphold transparent and responsible governance through better internal control systems, better sustainability reporting, and better communication with the stakeholders. Ethical decision-making and ESG integration will not only protect the corporate image but also will be able to attract responsible investors and encourage the trust of long-term stakeholders.</w:t>
      </w:r>
    </w:p>
    <w:p w14:paraId="794A48F6" w14:textId="77777777" w:rsidR="002800D6" w:rsidRPr="002800D6" w:rsidRDefault="002800D6" w:rsidP="002800D6">
      <w:pPr>
        <w:spacing w:line="360" w:lineRule="auto"/>
        <w:ind w:left="360"/>
        <w:rPr>
          <w:rFonts w:ascii="Arial" w:hAnsi="Arial" w:cs="Arial"/>
          <w:b/>
          <w:bCs/>
          <w:sz w:val="24"/>
          <w:szCs w:val="24"/>
        </w:rPr>
      </w:pPr>
    </w:p>
    <w:p w14:paraId="31DDFBD4" w14:textId="7FFC62FC" w:rsidR="002800D6" w:rsidRDefault="002800D6" w:rsidP="003944C5">
      <w:pPr>
        <w:rPr>
          <w:rFonts w:ascii="Arial" w:hAnsi="Arial" w:cs="Arial"/>
          <w:b/>
          <w:bCs/>
          <w:sz w:val="24"/>
          <w:szCs w:val="24"/>
        </w:rPr>
      </w:pPr>
      <w:r w:rsidRPr="002800D6">
        <w:rPr>
          <w:rFonts w:ascii="Arial" w:hAnsi="Arial" w:cs="Arial"/>
          <w:b/>
          <w:bCs/>
          <w:sz w:val="24"/>
          <w:szCs w:val="24"/>
        </w:rPr>
        <w:t>Conclusion</w:t>
      </w:r>
    </w:p>
    <w:p w14:paraId="7252000D" w14:textId="77777777" w:rsidR="003944C5" w:rsidRPr="002800D6" w:rsidRDefault="003944C5" w:rsidP="003944C5">
      <w:pPr>
        <w:rPr>
          <w:rFonts w:ascii="Arial" w:hAnsi="Arial" w:cs="Arial"/>
          <w:b/>
          <w:bCs/>
          <w:sz w:val="24"/>
          <w:szCs w:val="24"/>
        </w:rPr>
      </w:pPr>
    </w:p>
    <w:p w14:paraId="2C12D49A" w14:textId="77777777" w:rsidR="002800D6" w:rsidRPr="00813F8A" w:rsidRDefault="002800D6" w:rsidP="003944C5">
      <w:pPr>
        <w:spacing w:line="360" w:lineRule="auto"/>
        <w:ind w:left="360"/>
        <w:jc w:val="both"/>
        <w:rPr>
          <w:rFonts w:ascii="Arial" w:hAnsi="Arial" w:cs="Arial"/>
          <w:sz w:val="24"/>
          <w:szCs w:val="24"/>
        </w:rPr>
      </w:pPr>
      <w:r w:rsidRPr="00813F8A">
        <w:rPr>
          <w:rFonts w:ascii="Arial" w:hAnsi="Arial" w:cs="Arial"/>
          <w:sz w:val="24"/>
          <w:szCs w:val="24"/>
        </w:rPr>
        <w:t xml:space="preserve">General Electronics financial analysis demonstrates that the company is in a significantly stressed condition, although it is not bankrupt yet. The combination of decreasing profitability, decreased liquidity, increased debt, and negative coverage of interest speaks of operational inefficiencies and increased financial risk. GE lies </w:t>
      </w:r>
      <w:r w:rsidRPr="00813F8A">
        <w:rPr>
          <w:rFonts w:ascii="Arial" w:hAnsi="Arial" w:cs="Arial"/>
          <w:sz w:val="24"/>
          <w:szCs w:val="24"/>
        </w:rPr>
        <w:lastRenderedPageBreak/>
        <w:t>in the grey zone of the Altman Z-score, which shows that the company might face bankruptcy unless some remedial actions are taken (Altman, 1968; Altman and Hotchkiss, 2020).</w:t>
      </w:r>
    </w:p>
    <w:p w14:paraId="63940A90" w14:textId="6972D097" w:rsidR="00C0153C" w:rsidRPr="00C0153C" w:rsidRDefault="002800D6" w:rsidP="003944C5">
      <w:pPr>
        <w:spacing w:line="360" w:lineRule="auto"/>
        <w:ind w:left="360"/>
        <w:jc w:val="both"/>
        <w:rPr>
          <w:rFonts w:ascii="Arial" w:hAnsi="Arial" w:cs="Arial"/>
          <w:sz w:val="24"/>
          <w:szCs w:val="24"/>
        </w:rPr>
      </w:pPr>
      <w:r w:rsidRPr="00813F8A">
        <w:rPr>
          <w:rFonts w:ascii="Arial" w:hAnsi="Arial" w:cs="Arial"/>
          <w:sz w:val="24"/>
          <w:szCs w:val="24"/>
        </w:rPr>
        <w:t xml:space="preserve">Even in the face of these issues, GE has some remarkable strengths, such as good operating cash flows, gross margins that have been maintained, and large assets that could be used to fund strategic initiatives. The recommendations aim at </w:t>
      </w:r>
      <w:proofErr w:type="spellStart"/>
      <w:r w:rsidRPr="00813F8A">
        <w:rPr>
          <w:rFonts w:ascii="Arial" w:hAnsi="Arial" w:cs="Arial"/>
          <w:sz w:val="24"/>
          <w:szCs w:val="24"/>
        </w:rPr>
        <w:t>maximising</w:t>
      </w:r>
      <w:proofErr w:type="spellEnd"/>
      <w:r w:rsidRPr="00813F8A">
        <w:rPr>
          <w:rFonts w:ascii="Arial" w:hAnsi="Arial" w:cs="Arial"/>
          <w:sz w:val="24"/>
          <w:szCs w:val="24"/>
        </w:rPr>
        <w:t xml:space="preserve"> working capital, debt restructuring, high-return project prioritization and maximization of operational efficiency. These measures are essential in the restoration of liquidity, minimization of financial risk as well as the reinstatement of shareholder confidence. To sum up, the financial trend of GE is an indication of a desperate situation that requires urgent action; however, under the control of strict managers and focused restructuring, the company is capable of successful revival and development (Brigham and Ehrhardt, 2022; Deloitte, 2023).</w:t>
      </w:r>
    </w:p>
    <w:p w14:paraId="479B568B" w14:textId="77777777" w:rsidR="00C0153C" w:rsidRPr="00C0153C" w:rsidRDefault="00C0153C" w:rsidP="00C0153C">
      <w:pPr>
        <w:spacing w:line="360" w:lineRule="auto"/>
        <w:ind w:left="360"/>
        <w:rPr>
          <w:rFonts w:ascii="Arial" w:hAnsi="Arial" w:cs="Arial"/>
          <w:sz w:val="24"/>
          <w:szCs w:val="24"/>
        </w:rPr>
      </w:pPr>
    </w:p>
    <w:p w14:paraId="2F589280" w14:textId="45ACF708" w:rsidR="00813F8A" w:rsidRPr="00813F8A" w:rsidRDefault="00813F8A" w:rsidP="00813F8A">
      <w:pPr>
        <w:spacing w:line="360" w:lineRule="auto"/>
        <w:rPr>
          <w:rFonts w:ascii="Arial" w:hAnsi="Arial" w:cs="Arial"/>
          <w:b/>
          <w:bCs/>
          <w:sz w:val="24"/>
          <w:szCs w:val="24"/>
        </w:rPr>
      </w:pPr>
      <w:r w:rsidRPr="00813F8A">
        <w:rPr>
          <w:rFonts w:ascii="Arial" w:hAnsi="Arial" w:cs="Arial"/>
          <w:b/>
          <w:bCs/>
          <w:sz w:val="24"/>
          <w:szCs w:val="24"/>
        </w:rPr>
        <w:t xml:space="preserve">References </w:t>
      </w:r>
    </w:p>
    <w:p w14:paraId="73F90ED1"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Accenture, 2024. </w:t>
      </w:r>
      <w:r w:rsidRPr="00813F8A">
        <w:rPr>
          <w:rFonts w:ascii="Arial" w:hAnsi="Arial" w:cs="Arial"/>
          <w:i/>
          <w:iCs/>
          <w:sz w:val="24"/>
          <w:szCs w:val="24"/>
        </w:rPr>
        <w:t>AI in supply chain: transforming inventory management</w:t>
      </w:r>
      <w:r w:rsidRPr="00813F8A">
        <w:rPr>
          <w:rFonts w:ascii="Arial" w:hAnsi="Arial" w:cs="Arial"/>
          <w:sz w:val="24"/>
          <w:szCs w:val="24"/>
        </w:rPr>
        <w:t xml:space="preserve">. Available at: </w:t>
      </w:r>
      <w:hyperlink r:id="rId8" w:tgtFrame="_new" w:history="1">
        <w:r w:rsidRPr="00813F8A">
          <w:rPr>
            <w:rStyle w:val="Hyperlink"/>
            <w:rFonts w:ascii="Arial" w:hAnsi="Arial" w:cs="Arial"/>
            <w:sz w:val="24"/>
            <w:szCs w:val="24"/>
          </w:rPr>
          <w:t>https://www.accenture.com</w:t>
        </w:r>
      </w:hyperlink>
      <w:r w:rsidRPr="00813F8A">
        <w:rPr>
          <w:rFonts w:ascii="Arial" w:hAnsi="Arial" w:cs="Arial"/>
          <w:sz w:val="24"/>
          <w:szCs w:val="24"/>
        </w:rPr>
        <w:t xml:space="preserve"> [Accessed 23 November 2025].</w:t>
      </w:r>
    </w:p>
    <w:p w14:paraId="34BA4B5B"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Altman, E.I., 1968. </w:t>
      </w:r>
      <w:r w:rsidRPr="00813F8A">
        <w:rPr>
          <w:rFonts w:ascii="Arial" w:hAnsi="Arial" w:cs="Arial"/>
          <w:i/>
          <w:iCs/>
          <w:sz w:val="24"/>
          <w:szCs w:val="24"/>
        </w:rPr>
        <w:t>Financial ratios, discriminant analysis and the prediction of corporate bankruptcy</w:t>
      </w:r>
      <w:r w:rsidRPr="00813F8A">
        <w:rPr>
          <w:rFonts w:ascii="Arial" w:hAnsi="Arial" w:cs="Arial"/>
          <w:sz w:val="24"/>
          <w:szCs w:val="24"/>
        </w:rPr>
        <w:t xml:space="preserve">. </w:t>
      </w:r>
      <w:r w:rsidRPr="00813F8A">
        <w:rPr>
          <w:rFonts w:ascii="Arial" w:hAnsi="Arial" w:cs="Arial"/>
          <w:i/>
          <w:iCs/>
          <w:sz w:val="24"/>
          <w:szCs w:val="24"/>
        </w:rPr>
        <w:t>The Journal of Finance</w:t>
      </w:r>
      <w:r w:rsidRPr="00813F8A">
        <w:rPr>
          <w:rFonts w:ascii="Arial" w:hAnsi="Arial" w:cs="Arial"/>
          <w:sz w:val="24"/>
          <w:szCs w:val="24"/>
        </w:rPr>
        <w:t>, 23(4), pp.589–609.</w:t>
      </w:r>
    </w:p>
    <w:p w14:paraId="69E9BD65"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Altman, E.I. and Hotchkiss, E., 2020. </w:t>
      </w:r>
      <w:r w:rsidRPr="00813F8A">
        <w:rPr>
          <w:rFonts w:ascii="Arial" w:hAnsi="Arial" w:cs="Arial"/>
          <w:i/>
          <w:iCs/>
          <w:sz w:val="24"/>
          <w:szCs w:val="24"/>
        </w:rPr>
        <w:t>Corporate financial distress, restructuring, and bankruptcy: Analyze leveraged finance, distressed debt, and bankruptcy</w:t>
      </w:r>
      <w:r w:rsidRPr="00813F8A">
        <w:rPr>
          <w:rFonts w:ascii="Arial" w:hAnsi="Arial" w:cs="Arial"/>
          <w:sz w:val="24"/>
          <w:szCs w:val="24"/>
        </w:rPr>
        <w:t>. 4th ed. Hoboken: John Wiley &amp; Sons.</w:t>
      </w:r>
    </w:p>
    <w:p w14:paraId="4713B5A4"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BCG (Boston Consulting Group), 2023. </w:t>
      </w:r>
      <w:r w:rsidRPr="00813F8A">
        <w:rPr>
          <w:rFonts w:ascii="Arial" w:hAnsi="Arial" w:cs="Arial"/>
          <w:i/>
          <w:iCs/>
          <w:sz w:val="24"/>
          <w:szCs w:val="24"/>
        </w:rPr>
        <w:t>Strategic divestitures and portfolio management in high-tech sectors</w:t>
      </w:r>
      <w:r w:rsidRPr="00813F8A">
        <w:rPr>
          <w:rFonts w:ascii="Arial" w:hAnsi="Arial" w:cs="Arial"/>
          <w:sz w:val="24"/>
          <w:szCs w:val="24"/>
        </w:rPr>
        <w:t xml:space="preserve">. Available at: </w:t>
      </w:r>
      <w:hyperlink r:id="rId9" w:tgtFrame="_new" w:history="1">
        <w:r w:rsidRPr="00813F8A">
          <w:rPr>
            <w:rStyle w:val="Hyperlink"/>
            <w:rFonts w:ascii="Arial" w:hAnsi="Arial" w:cs="Arial"/>
            <w:sz w:val="24"/>
            <w:szCs w:val="24"/>
          </w:rPr>
          <w:t>https://www.bcg.com</w:t>
        </w:r>
      </w:hyperlink>
      <w:r w:rsidRPr="00813F8A">
        <w:rPr>
          <w:rFonts w:ascii="Arial" w:hAnsi="Arial" w:cs="Arial"/>
          <w:sz w:val="24"/>
          <w:szCs w:val="24"/>
        </w:rPr>
        <w:t xml:space="preserve"> [Accessed 23 November 2025].</w:t>
      </w:r>
    </w:p>
    <w:p w14:paraId="5A2C2846"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Bloomberg, 2024. </w:t>
      </w:r>
      <w:r w:rsidRPr="00813F8A">
        <w:rPr>
          <w:rFonts w:ascii="Arial" w:hAnsi="Arial" w:cs="Arial"/>
          <w:i/>
          <w:iCs/>
          <w:sz w:val="24"/>
          <w:szCs w:val="24"/>
        </w:rPr>
        <w:t>GE operating cash flow trends 2020–2024</w:t>
      </w:r>
      <w:r w:rsidRPr="00813F8A">
        <w:rPr>
          <w:rFonts w:ascii="Arial" w:hAnsi="Arial" w:cs="Arial"/>
          <w:sz w:val="24"/>
          <w:szCs w:val="24"/>
        </w:rPr>
        <w:t xml:space="preserve">. Available at: </w:t>
      </w:r>
      <w:hyperlink r:id="rId10" w:tgtFrame="_new" w:history="1">
        <w:r w:rsidRPr="00813F8A">
          <w:rPr>
            <w:rStyle w:val="Hyperlink"/>
            <w:rFonts w:ascii="Arial" w:hAnsi="Arial" w:cs="Arial"/>
            <w:sz w:val="24"/>
            <w:szCs w:val="24"/>
          </w:rPr>
          <w:t>https://www.bloomberg.com</w:t>
        </w:r>
      </w:hyperlink>
      <w:r w:rsidRPr="00813F8A">
        <w:rPr>
          <w:rFonts w:ascii="Arial" w:hAnsi="Arial" w:cs="Arial"/>
          <w:sz w:val="24"/>
          <w:szCs w:val="24"/>
        </w:rPr>
        <w:t xml:space="preserve"> [Accessed 23 November 2025].</w:t>
      </w:r>
    </w:p>
    <w:p w14:paraId="6B11DB25"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Brigham, E.F. and Ehrhardt, M.C., 2022. </w:t>
      </w:r>
      <w:r w:rsidRPr="00813F8A">
        <w:rPr>
          <w:rFonts w:ascii="Arial" w:hAnsi="Arial" w:cs="Arial"/>
          <w:i/>
          <w:iCs/>
          <w:sz w:val="24"/>
          <w:szCs w:val="24"/>
        </w:rPr>
        <w:t>Financial management: Theory &amp; practice</w:t>
      </w:r>
      <w:r w:rsidRPr="00813F8A">
        <w:rPr>
          <w:rFonts w:ascii="Arial" w:hAnsi="Arial" w:cs="Arial"/>
          <w:sz w:val="24"/>
          <w:szCs w:val="24"/>
        </w:rPr>
        <w:t>. 16th ed. Boston: Cengage Learning.</w:t>
      </w:r>
    </w:p>
    <w:p w14:paraId="271112DA"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lastRenderedPageBreak/>
        <w:t xml:space="preserve">Christopher, M., 2016. </w:t>
      </w:r>
      <w:r w:rsidRPr="00813F8A">
        <w:rPr>
          <w:rFonts w:ascii="Arial" w:hAnsi="Arial" w:cs="Arial"/>
          <w:i/>
          <w:iCs/>
          <w:sz w:val="24"/>
          <w:szCs w:val="24"/>
        </w:rPr>
        <w:t>Logistics &amp; supply chain management</w:t>
      </w:r>
      <w:r w:rsidRPr="00813F8A">
        <w:rPr>
          <w:rFonts w:ascii="Arial" w:hAnsi="Arial" w:cs="Arial"/>
          <w:sz w:val="24"/>
          <w:szCs w:val="24"/>
        </w:rPr>
        <w:t>. 5th ed. Harlow: Pearson Education.</w:t>
      </w:r>
    </w:p>
    <w:p w14:paraId="550D0B23"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Damodaran, A., 2023. </w:t>
      </w:r>
      <w:r w:rsidRPr="00813F8A">
        <w:rPr>
          <w:rFonts w:ascii="Arial" w:hAnsi="Arial" w:cs="Arial"/>
          <w:i/>
          <w:iCs/>
          <w:sz w:val="24"/>
          <w:szCs w:val="24"/>
        </w:rPr>
        <w:t>Applied corporate finance</w:t>
      </w:r>
      <w:r w:rsidRPr="00813F8A">
        <w:rPr>
          <w:rFonts w:ascii="Arial" w:hAnsi="Arial" w:cs="Arial"/>
          <w:sz w:val="24"/>
          <w:szCs w:val="24"/>
        </w:rPr>
        <w:t>. 6th ed. Hoboken: John Wiley &amp; Sons.</w:t>
      </w:r>
    </w:p>
    <w:p w14:paraId="707124AA"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Deloitte, 2023. </w:t>
      </w:r>
      <w:r w:rsidRPr="00813F8A">
        <w:rPr>
          <w:rFonts w:ascii="Arial" w:hAnsi="Arial" w:cs="Arial"/>
          <w:i/>
          <w:iCs/>
          <w:sz w:val="24"/>
          <w:szCs w:val="24"/>
        </w:rPr>
        <w:t>Corporate liquidity management and working capital optimization</w:t>
      </w:r>
      <w:r w:rsidRPr="00813F8A">
        <w:rPr>
          <w:rFonts w:ascii="Arial" w:hAnsi="Arial" w:cs="Arial"/>
          <w:sz w:val="24"/>
          <w:szCs w:val="24"/>
        </w:rPr>
        <w:t xml:space="preserve">. Available at: </w:t>
      </w:r>
      <w:hyperlink r:id="rId11" w:tgtFrame="_new" w:history="1">
        <w:r w:rsidRPr="00813F8A">
          <w:rPr>
            <w:rStyle w:val="Hyperlink"/>
            <w:rFonts w:ascii="Arial" w:hAnsi="Arial" w:cs="Arial"/>
            <w:sz w:val="24"/>
            <w:szCs w:val="24"/>
          </w:rPr>
          <w:t>https://www2.deloitte.com</w:t>
        </w:r>
      </w:hyperlink>
      <w:r w:rsidRPr="00813F8A">
        <w:rPr>
          <w:rFonts w:ascii="Arial" w:hAnsi="Arial" w:cs="Arial"/>
          <w:sz w:val="24"/>
          <w:szCs w:val="24"/>
        </w:rPr>
        <w:t xml:space="preserve"> [Accessed 23 November 2025].</w:t>
      </w:r>
    </w:p>
    <w:p w14:paraId="3F987DA0"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EY, 2024. </w:t>
      </w:r>
      <w:r w:rsidRPr="00813F8A">
        <w:rPr>
          <w:rFonts w:ascii="Arial" w:hAnsi="Arial" w:cs="Arial"/>
          <w:i/>
          <w:iCs/>
          <w:sz w:val="24"/>
          <w:szCs w:val="24"/>
        </w:rPr>
        <w:t>Supply chain financing and corporate restructuring strategies</w:t>
      </w:r>
      <w:r w:rsidRPr="00813F8A">
        <w:rPr>
          <w:rFonts w:ascii="Arial" w:hAnsi="Arial" w:cs="Arial"/>
          <w:sz w:val="24"/>
          <w:szCs w:val="24"/>
        </w:rPr>
        <w:t xml:space="preserve">. Available at: </w:t>
      </w:r>
      <w:hyperlink r:id="rId12" w:tgtFrame="_new" w:history="1">
        <w:r w:rsidRPr="00813F8A">
          <w:rPr>
            <w:rStyle w:val="Hyperlink"/>
            <w:rFonts w:ascii="Arial" w:hAnsi="Arial" w:cs="Arial"/>
            <w:sz w:val="24"/>
            <w:szCs w:val="24"/>
          </w:rPr>
          <w:t>https://www.ey.com</w:t>
        </w:r>
      </w:hyperlink>
      <w:r w:rsidRPr="00813F8A">
        <w:rPr>
          <w:rFonts w:ascii="Arial" w:hAnsi="Arial" w:cs="Arial"/>
          <w:sz w:val="24"/>
          <w:szCs w:val="24"/>
        </w:rPr>
        <w:t xml:space="preserve"> [Accessed 23 November 2025].</w:t>
      </w:r>
    </w:p>
    <w:p w14:paraId="5818444E"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FT (Financial Times), 2024. </w:t>
      </w:r>
      <w:r w:rsidRPr="00813F8A">
        <w:rPr>
          <w:rFonts w:ascii="Arial" w:hAnsi="Arial" w:cs="Arial"/>
          <w:i/>
          <w:iCs/>
          <w:sz w:val="24"/>
          <w:szCs w:val="24"/>
        </w:rPr>
        <w:t>GE financial performance insights</w:t>
      </w:r>
      <w:r w:rsidRPr="00813F8A">
        <w:rPr>
          <w:rFonts w:ascii="Arial" w:hAnsi="Arial" w:cs="Arial"/>
          <w:sz w:val="24"/>
          <w:szCs w:val="24"/>
        </w:rPr>
        <w:t>. Available at: https://www.ft.com [Accessed 23 November 2025].</w:t>
      </w:r>
    </w:p>
    <w:p w14:paraId="360154BB"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Gitman, L.J. and Zutter, C.J., 2019. </w:t>
      </w:r>
      <w:r w:rsidRPr="00813F8A">
        <w:rPr>
          <w:rFonts w:ascii="Arial" w:hAnsi="Arial" w:cs="Arial"/>
          <w:i/>
          <w:iCs/>
          <w:sz w:val="24"/>
          <w:szCs w:val="24"/>
        </w:rPr>
        <w:t>Principles of managerial finance</w:t>
      </w:r>
      <w:r w:rsidRPr="00813F8A">
        <w:rPr>
          <w:rFonts w:ascii="Arial" w:hAnsi="Arial" w:cs="Arial"/>
          <w:sz w:val="24"/>
          <w:szCs w:val="24"/>
        </w:rPr>
        <w:t>. 15th ed. Boston: Pearson.</w:t>
      </w:r>
    </w:p>
    <w:p w14:paraId="6C1C4F17"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Grant Thornton, 2023. </w:t>
      </w:r>
      <w:r w:rsidRPr="00813F8A">
        <w:rPr>
          <w:rFonts w:ascii="Arial" w:hAnsi="Arial" w:cs="Arial"/>
          <w:i/>
          <w:iCs/>
          <w:sz w:val="24"/>
          <w:szCs w:val="24"/>
        </w:rPr>
        <w:t>Cash flow forecasting: a guide for corporates</w:t>
      </w:r>
      <w:r w:rsidRPr="00813F8A">
        <w:rPr>
          <w:rFonts w:ascii="Arial" w:hAnsi="Arial" w:cs="Arial"/>
          <w:sz w:val="24"/>
          <w:szCs w:val="24"/>
        </w:rPr>
        <w:t xml:space="preserve">. Available at: </w:t>
      </w:r>
      <w:hyperlink r:id="rId13" w:tgtFrame="_new" w:history="1">
        <w:r w:rsidRPr="00813F8A">
          <w:rPr>
            <w:rStyle w:val="Hyperlink"/>
            <w:rFonts w:ascii="Arial" w:hAnsi="Arial" w:cs="Arial"/>
            <w:sz w:val="24"/>
            <w:szCs w:val="24"/>
          </w:rPr>
          <w:t>https://www.grantthornton.com</w:t>
        </w:r>
      </w:hyperlink>
      <w:r w:rsidRPr="00813F8A">
        <w:rPr>
          <w:rFonts w:ascii="Arial" w:hAnsi="Arial" w:cs="Arial"/>
          <w:sz w:val="24"/>
          <w:szCs w:val="24"/>
        </w:rPr>
        <w:t xml:space="preserve"> [Accessed 23 November 2025].</w:t>
      </w:r>
    </w:p>
    <w:p w14:paraId="1513184C"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IMF (International Monetary Fund), 2024. </w:t>
      </w:r>
      <w:r w:rsidRPr="00813F8A">
        <w:rPr>
          <w:rFonts w:ascii="Arial" w:hAnsi="Arial" w:cs="Arial"/>
          <w:i/>
          <w:iCs/>
          <w:sz w:val="24"/>
          <w:szCs w:val="24"/>
        </w:rPr>
        <w:t>Corporate debt restructuring guidelines</w:t>
      </w:r>
      <w:r w:rsidRPr="00813F8A">
        <w:rPr>
          <w:rFonts w:ascii="Arial" w:hAnsi="Arial" w:cs="Arial"/>
          <w:sz w:val="24"/>
          <w:szCs w:val="24"/>
        </w:rPr>
        <w:t xml:space="preserve">. Available at: </w:t>
      </w:r>
      <w:hyperlink r:id="rId14" w:tgtFrame="_new" w:history="1">
        <w:r w:rsidRPr="00813F8A">
          <w:rPr>
            <w:rStyle w:val="Hyperlink"/>
            <w:rFonts w:ascii="Arial" w:hAnsi="Arial" w:cs="Arial"/>
            <w:sz w:val="24"/>
            <w:szCs w:val="24"/>
          </w:rPr>
          <w:t>https://www.imf.org</w:t>
        </w:r>
      </w:hyperlink>
      <w:r w:rsidRPr="00813F8A">
        <w:rPr>
          <w:rFonts w:ascii="Arial" w:hAnsi="Arial" w:cs="Arial"/>
          <w:sz w:val="24"/>
          <w:szCs w:val="24"/>
        </w:rPr>
        <w:t xml:space="preserve"> [Accessed 23 November 2025].</w:t>
      </w:r>
    </w:p>
    <w:p w14:paraId="1897E7AA"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Investopedia, 2024. </w:t>
      </w:r>
      <w:r w:rsidRPr="00813F8A">
        <w:rPr>
          <w:rFonts w:ascii="Arial" w:hAnsi="Arial" w:cs="Arial"/>
          <w:i/>
          <w:iCs/>
          <w:sz w:val="24"/>
          <w:szCs w:val="24"/>
        </w:rPr>
        <w:t>Liquidity ratios: current ratio, quick ratio and cash ratio</w:t>
      </w:r>
      <w:r w:rsidRPr="00813F8A">
        <w:rPr>
          <w:rFonts w:ascii="Arial" w:hAnsi="Arial" w:cs="Arial"/>
          <w:sz w:val="24"/>
          <w:szCs w:val="24"/>
        </w:rPr>
        <w:t>. Available at: https://www.investopedia.com [Accessed 23 November 2025].</w:t>
      </w:r>
    </w:p>
    <w:p w14:paraId="169F263F"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KPMG, 2023. </w:t>
      </w:r>
      <w:r w:rsidRPr="00813F8A">
        <w:rPr>
          <w:rFonts w:ascii="Arial" w:hAnsi="Arial" w:cs="Arial"/>
          <w:i/>
          <w:iCs/>
          <w:sz w:val="24"/>
          <w:szCs w:val="24"/>
        </w:rPr>
        <w:t>Working capital management and corporate liquidity</w:t>
      </w:r>
      <w:r w:rsidRPr="00813F8A">
        <w:rPr>
          <w:rFonts w:ascii="Arial" w:hAnsi="Arial" w:cs="Arial"/>
          <w:sz w:val="24"/>
          <w:szCs w:val="24"/>
        </w:rPr>
        <w:t xml:space="preserve">. Available at: </w:t>
      </w:r>
      <w:hyperlink r:id="rId15" w:tgtFrame="_new" w:history="1">
        <w:r w:rsidRPr="00813F8A">
          <w:rPr>
            <w:rStyle w:val="Hyperlink"/>
            <w:rFonts w:ascii="Arial" w:hAnsi="Arial" w:cs="Arial"/>
            <w:sz w:val="24"/>
            <w:szCs w:val="24"/>
          </w:rPr>
          <w:t>https://home.kpmg</w:t>
        </w:r>
      </w:hyperlink>
      <w:r w:rsidRPr="00813F8A">
        <w:rPr>
          <w:rFonts w:ascii="Arial" w:hAnsi="Arial" w:cs="Arial"/>
          <w:sz w:val="24"/>
          <w:szCs w:val="24"/>
        </w:rPr>
        <w:t xml:space="preserve"> [Accessed 23 November 2025].</w:t>
      </w:r>
    </w:p>
    <w:p w14:paraId="728B0F48"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McKinsey, 2024. </w:t>
      </w:r>
      <w:r w:rsidRPr="00813F8A">
        <w:rPr>
          <w:rFonts w:ascii="Arial" w:hAnsi="Arial" w:cs="Arial"/>
          <w:i/>
          <w:iCs/>
          <w:sz w:val="24"/>
          <w:szCs w:val="24"/>
        </w:rPr>
        <w:t>Dynamic discounting: optimizing working capital and supplier relations</w:t>
      </w:r>
      <w:r w:rsidRPr="00813F8A">
        <w:rPr>
          <w:rFonts w:ascii="Arial" w:hAnsi="Arial" w:cs="Arial"/>
          <w:sz w:val="24"/>
          <w:szCs w:val="24"/>
        </w:rPr>
        <w:t xml:space="preserve">. Available at: </w:t>
      </w:r>
      <w:hyperlink r:id="rId16" w:tgtFrame="_new" w:history="1">
        <w:r w:rsidRPr="00813F8A">
          <w:rPr>
            <w:rStyle w:val="Hyperlink"/>
            <w:rFonts w:ascii="Arial" w:hAnsi="Arial" w:cs="Arial"/>
            <w:sz w:val="24"/>
            <w:szCs w:val="24"/>
          </w:rPr>
          <w:t>https://www.mckinsey.com</w:t>
        </w:r>
      </w:hyperlink>
      <w:r w:rsidRPr="00813F8A">
        <w:rPr>
          <w:rFonts w:ascii="Arial" w:hAnsi="Arial" w:cs="Arial"/>
          <w:sz w:val="24"/>
          <w:szCs w:val="24"/>
        </w:rPr>
        <w:t xml:space="preserve"> [Accessed 23 November 2025].</w:t>
      </w:r>
    </w:p>
    <w:p w14:paraId="5BD63989"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McKinsey &amp; Company, 2024. </w:t>
      </w:r>
      <w:r w:rsidRPr="00813F8A">
        <w:rPr>
          <w:rFonts w:ascii="Arial" w:hAnsi="Arial" w:cs="Arial"/>
          <w:i/>
          <w:iCs/>
          <w:sz w:val="24"/>
          <w:szCs w:val="24"/>
        </w:rPr>
        <w:t>Asset divestitures for high-tech firms: strategy and best practice</w:t>
      </w:r>
      <w:r w:rsidRPr="00813F8A">
        <w:rPr>
          <w:rFonts w:ascii="Arial" w:hAnsi="Arial" w:cs="Arial"/>
          <w:sz w:val="24"/>
          <w:szCs w:val="24"/>
        </w:rPr>
        <w:t xml:space="preserve">. Available at: </w:t>
      </w:r>
      <w:hyperlink r:id="rId17" w:tgtFrame="_new" w:history="1">
        <w:r w:rsidRPr="00813F8A">
          <w:rPr>
            <w:rStyle w:val="Hyperlink"/>
            <w:rFonts w:ascii="Arial" w:hAnsi="Arial" w:cs="Arial"/>
            <w:sz w:val="24"/>
            <w:szCs w:val="24"/>
          </w:rPr>
          <w:t>https://www.mckinsey.com</w:t>
        </w:r>
      </w:hyperlink>
      <w:r w:rsidRPr="00813F8A">
        <w:rPr>
          <w:rFonts w:ascii="Arial" w:hAnsi="Arial" w:cs="Arial"/>
          <w:sz w:val="24"/>
          <w:szCs w:val="24"/>
        </w:rPr>
        <w:t xml:space="preserve"> [Accessed 23 November 2025].</w:t>
      </w:r>
    </w:p>
    <w:p w14:paraId="446A2AB0"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Modigliani, F. and Miller, M.H., 1963. </w:t>
      </w:r>
      <w:r w:rsidRPr="00813F8A">
        <w:rPr>
          <w:rFonts w:ascii="Arial" w:hAnsi="Arial" w:cs="Arial"/>
          <w:i/>
          <w:iCs/>
          <w:sz w:val="24"/>
          <w:szCs w:val="24"/>
        </w:rPr>
        <w:t>Corporate income taxes and the cost of capital: a correction</w:t>
      </w:r>
      <w:r w:rsidRPr="00813F8A">
        <w:rPr>
          <w:rFonts w:ascii="Arial" w:hAnsi="Arial" w:cs="Arial"/>
          <w:sz w:val="24"/>
          <w:szCs w:val="24"/>
        </w:rPr>
        <w:t xml:space="preserve">. </w:t>
      </w:r>
      <w:r w:rsidRPr="00813F8A">
        <w:rPr>
          <w:rFonts w:ascii="Arial" w:hAnsi="Arial" w:cs="Arial"/>
          <w:i/>
          <w:iCs/>
          <w:sz w:val="24"/>
          <w:szCs w:val="24"/>
        </w:rPr>
        <w:t>American Economic Review</w:t>
      </w:r>
      <w:r w:rsidRPr="00813F8A">
        <w:rPr>
          <w:rFonts w:ascii="Arial" w:hAnsi="Arial" w:cs="Arial"/>
          <w:sz w:val="24"/>
          <w:szCs w:val="24"/>
        </w:rPr>
        <w:t>, 53(3), pp.433–443.</w:t>
      </w:r>
    </w:p>
    <w:p w14:paraId="37F48DAF"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OECD, 2023. </w:t>
      </w:r>
      <w:r w:rsidRPr="00813F8A">
        <w:rPr>
          <w:rFonts w:ascii="Arial" w:hAnsi="Arial" w:cs="Arial"/>
          <w:i/>
          <w:iCs/>
          <w:sz w:val="24"/>
          <w:szCs w:val="24"/>
        </w:rPr>
        <w:t>Corporate governance, tax compliance and ESG reporting standards</w:t>
      </w:r>
      <w:r w:rsidRPr="00813F8A">
        <w:rPr>
          <w:rFonts w:ascii="Arial" w:hAnsi="Arial" w:cs="Arial"/>
          <w:sz w:val="24"/>
          <w:szCs w:val="24"/>
        </w:rPr>
        <w:t xml:space="preserve">. Available at: </w:t>
      </w:r>
      <w:hyperlink r:id="rId18" w:tgtFrame="_new" w:history="1">
        <w:r w:rsidRPr="00813F8A">
          <w:rPr>
            <w:rStyle w:val="Hyperlink"/>
            <w:rFonts w:ascii="Arial" w:hAnsi="Arial" w:cs="Arial"/>
            <w:sz w:val="24"/>
            <w:szCs w:val="24"/>
          </w:rPr>
          <w:t>https://www.oecd.org</w:t>
        </w:r>
      </w:hyperlink>
      <w:r w:rsidRPr="00813F8A">
        <w:rPr>
          <w:rFonts w:ascii="Arial" w:hAnsi="Arial" w:cs="Arial"/>
          <w:sz w:val="24"/>
          <w:szCs w:val="24"/>
        </w:rPr>
        <w:t xml:space="preserve"> [Accessed 23 November 2025].</w:t>
      </w:r>
    </w:p>
    <w:p w14:paraId="3BEC540E"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lastRenderedPageBreak/>
        <w:t xml:space="preserve">PwC, 2024. </w:t>
      </w:r>
      <w:r w:rsidRPr="00813F8A">
        <w:rPr>
          <w:rFonts w:ascii="Arial" w:hAnsi="Arial" w:cs="Arial"/>
          <w:i/>
          <w:iCs/>
          <w:sz w:val="24"/>
          <w:szCs w:val="24"/>
        </w:rPr>
        <w:t>Inventory and working capital benchmarking 2024</w:t>
      </w:r>
      <w:r w:rsidRPr="00813F8A">
        <w:rPr>
          <w:rFonts w:ascii="Arial" w:hAnsi="Arial" w:cs="Arial"/>
          <w:sz w:val="24"/>
          <w:szCs w:val="24"/>
        </w:rPr>
        <w:t xml:space="preserve">. Available at: </w:t>
      </w:r>
      <w:hyperlink r:id="rId19" w:tgtFrame="_new" w:history="1">
        <w:r w:rsidRPr="00813F8A">
          <w:rPr>
            <w:rStyle w:val="Hyperlink"/>
            <w:rFonts w:ascii="Arial" w:hAnsi="Arial" w:cs="Arial"/>
            <w:sz w:val="24"/>
            <w:szCs w:val="24"/>
          </w:rPr>
          <w:t>https://www.pwc.com</w:t>
        </w:r>
      </w:hyperlink>
      <w:r w:rsidRPr="00813F8A">
        <w:rPr>
          <w:rFonts w:ascii="Arial" w:hAnsi="Arial" w:cs="Arial"/>
          <w:sz w:val="24"/>
          <w:szCs w:val="24"/>
        </w:rPr>
        <w:t xml:space="preserve"> [Accessed 23 November 2025].</w:t>
      </w:r>
    </w:p>
    <w:p w14:paraId="746182FC" w14:textId="77777777" w:rsidR="00813F8A" w:rsidRPr="00813F8A" w:rsidRDefault="00813F8A" w:rsidP="00813F8A">
      <w:pPr>
        <w:spacing w:line="360" w:lineRule="auto"/>
        <w:rPr>
          <w:rFonts w:ascii="Arial" w:hAnsi="Arial" w:cs="Arial"/>
          <w:sz w:val="24"/>
          <w:szCs w:val="24"/>
        </w:rPr>
      </w:pPr>
      <w:r w:rsidRPr="00813F8A">
        <w:rPr>
          <w:rFonts w:ascii="Arial" w:hAnsi="Arial" w:cs="Arial"/>
          <w:sz w:val="24"/>
          <w:szCs w:val="24"/>
        </w:rPr>
        <w:t xml:space="preserve">World Bank, 2024. </w:t>
      </w:r>
      <w:r w:rsidRPr="00813F8A">
        <w:rPr>
          <w:rFonts w:ascii="Arial" w:hAnsi="Arial" w:cs="Arial"/>
          <w:i/>
          <w:iCs/>
          <w:sz w:val="24"/>
          <w:szCs w:val="24"/>
        </w:rPr>
        <w:t>Corporate risk management: FX and inflation hedging strategies</w:t>
      </w:r>
      <w:r w:rsidRPr="00813F8A">
        <w:rPr>
          <w:rFonts w:ascii="Arial" w:hAnsi="Arial" w:cs="Arial"/>
          <w:sz w:val="24"/>
          <w:szCs w:val="24"/>
        </w:rPr>
        <w:t xml:space="preserve">. Available at: </w:t>
      </w:r>
      <w:hyperlink r:id="rId20" w:tgtFrame="_new" w:history="1">
        <w:r w:rsidRPr="00813F8A">
          <w:rPr>
            <w:rStyle w:val="Hyperlink"/>
            <w:rFonts w:ascii="Arial" w:hAnsi="Arial" w:cs="Arial"/>
            <w:sz w:val="24"/>
            <w:szCs w:val="24"/>
          </w:rPr>
          <w:t>https://www.worldbank.org</w:t>
        </w:r>
      </w:hyperlink>
      <w:r w:rsidRPr="00813F8A">
        <w:rPr>
          <w:rFonts w:ascii="Arial" w:hAnsi="Arial" w:cs="Arial"/>
          <w:sz w:val="24"/>
          <w:szCs w:val="24"/>
        </w:rPr>
        <w:t xml:space="preserve"> [Accessed 23 November 2025].</w:t>
      </w:r>
    </w:p>
    <w:p w14:paraId="34E5CB38" w14:textId="77777777" w:rsidR="00C0153C" w:rsidRPr="00367D9B" w:rsidRDefault="00C0153C" w:rsidP="00C0153C">
      <w:pPr>
        <w:spacing w:line="360" w:lineRule="auto"/>
        <w:rPr>
          <w:rFonts w:ascii="Arial" w:hAnsi="Arial" w:cs="Arial"/>
          <w:sz w:val="24"/>
          <w:szCs w:val="24"/>
        </w:rPr>
      </w:pPr>
    </w:p>
    <w:p w14:paraId="4D4AD992" w14:textId="77777777" w:rsidR="00367D9B" w:rsidRPr="00367D9B" w:rsidRDefault="00367D9B" w:rsidP="00C0153C">
      <w:pPr>
        <w:spacing w:line="360" w:lineRule="auto"/>
        <w:rPr>
          <w:rFonts w:ascii="Arial" w:hAnsi="Arial" w:cs="Arial"/>
          <w:sz w:val="24"/>
          <w:szCs w:val="24"/>
        </w:rPr>
      </w:pPr>
    </w:p>
    <w:p w14:paraId="661BC6A6" w14:textId="77777777" w:rsidR="00367D9B" w:rsidRPr="00C0153C" w:rsidRDefault="00367D9B" w:rsidP="00C0153C">
      <w:pPr>
        <w:spacing w:line="360" w:lineRule="auto"/>
        <w:rPr>
          <w:rFonts w:ascii="Arial" w:hAnsi="Arial" w:cs="Arial"/>
          <w:sz w:val="24"/>
          <w:szCs w:val="24"/>
        </w:rPr>
      </w:pPr>
    </w:p>
    <w:sectPr w:rsidR="00367D9B" w:rsidRPr="00C0153C" w:rsidSect="00954CC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FA95A" w14:textId="77777777" w:rsidR="00E376A3" w:rsidRDefault="00E376A3" w:rsidP="00FC7823">
      <w:pPr>
        <w:spacing w:after="0" w:line="240" w:lineRule="auto"/>
      </w:pPr>
      <w:r>
        <w:separator/>
      </w:r>
    </w:p>
  </w:endnote>
  <w:endnote w:type="continuationSeparator" w:id="0">
    <w:p w14:paraId="23D18473" w14:textId="77777777" w:rsidR="00E376A3" w:rsidRDefault="00E376A3" w:rsidP="00FC7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9214519"/>
      <w:docPartObj>
        <w:docPartGallery w:val="Page Numbers (Bottom of Page)"/>
        <w:docPartUnique/>
      </w:docPartObj>
    </w:sdtPr>
    <w:sdtEndPr>
      <w:rPr>
        <w:noProof/>
      </w:rPr>
    </w:sdtEndPr>
    <w:sdtContent>
      <w:p w14:paraId="38083410" w14:textId="2F86D8B2" w:rsidR="0094165D" w:rsidRDefault="009416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D582E8" w14:textId="77777777" w:rsidR="0094165D" w:rsidRDefault="00941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2E239" w14:textId="77777777" w:rsidR="00E376A3" w:rsidRDefault="00E376A3" w:rsidP="00FC7823">
      <w:pPr>
        <w:spacing w:after="0" w:line="240" w:lineRule="auto"/>
      </w:pPr>
      <w:r>
        <w:separator/>
      </w:r>
    </w:p>
  </w:footnote>
  <w:footnote w:type="continuationSeparator" w:id="0">
    <w:p w14:paraId="1FEB2DF3" w14:textId="77777777" w:rsidR="00E376A3" w:rsidRDefault="00E376A3" w:rsidP="00FC78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12711"/>
    <w:multiLevelType w:val="multilevel"/>
    <w:tmpl w:val="BFEE8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3A7E4B"/>
    <w:multiLevelType w:val="multilevel"/>
    <w:tmpl w:val="B46C3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4023E"/>
    <w:multiLevelType w:val="hybridMultilevel"/>
    <w:tmpl w:val="4790AF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7E7620"/>
    <w:multiLevelType w:val="multilevel"/>
    <w:tmpl w:val="DA08F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4A1FCE"/>
    <w:multiLevelType w:val="multilevel"/>
    <w:tmpl w:val="CF56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D67E53"/>
    <w:multiLevelType w:val="multilevel"/>
    <w:tmpl w:val="FC225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A621FA"/>
    <w:multiLevelType w:val="multilevel"/>
    <w:tmpl w:val="3FF4E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2048C"/>
    <w:multiLevelType w:val="multilevel"/>
    <w:tmpl w:val="4C885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4D69B0"/>
    <w:multiLevelType w:val="multilevel"/>
    <w:tmpl w:val="BA48E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B869AB"/>
    <w:multiLevelType w:val="multilevel"/>
    <w:tmpl w:val="263E8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F1871"/>
    <w:multiLevelType w:val="multilevel"/>
    <w:tmpl w:val="AA5E6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21CDA"/>
    <w:multiLevelType w:val="multilevel"/>
    <w:tmpl w:val="2DBA7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7F0BCC"/>
    <w:multiLevelType w:val="multilevel"/>
    <w:tmpl w:val="90B27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8C05AB"/>
    <w:multiLevelType w:val="multilevel"/>
    <w:tmpl w:val="52C0F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453C27"/>
    <w:multiLevelType w:val="multilevel"/>
    <w:tmpl w:val="D39C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7C7CC4"/>
    <w:multiLevelType w:val="multilevel"/>
    <w:tmpl w:val="8C2E4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427E94"/>
    <w:multiLevelType w:val="multilevel"/>
    <w:tmpl w:val="70BA0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C70C9A"/>
    <w:multiLevelType w:val="multilevel"/>
    <w:tmpl w:val="671A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824C7"/>
    <w:multiLevelType w:val="multilevel"/>
    <w:tmpl w:val="45683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8447F5"/>
    <w:multiLevelType w:val="multilevel"/>
    <w:tmpl w:val="8D406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DB17DF"/>
    <w:multiLevelType w:val="multilevel"/>
    <w:tmpl w:val="DBAC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7767DE"/>
    <w:multiLevelType w:val="multilevel"/>
    <w:tmpl w:val="E4B4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793186"/>
    <w:multiLevelType w:val="multilevel"/>
    <w:tmpl w:val="616CD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4B1957"/>
    <w:multiLevelType w:val="multilevel"/>
    <w:tmpl w:val="B270F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200A1D"/>
    <w:multiLevelType w:val="multilevel"/>
    <w:tmpl w:val="40E2A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C46E05"/>
    <w:multiLevelType w:val="multilevel"/>
    <w:tmpl w:val="9ADEBD78"/>
    <w:lvl w:ilvl="0">
      <w:start w:val="1"/>
      <w:numFmt w:val="decimal"/>
      <w:lvlText w:val="%1."/>
      <w:lvlJc w:val="left"/>
      <w:pPr>
        <w:ind w:left="720" w:hanging="360"/>
      </w:pPr>
    </w:lvl>
    <w:lvl w:ilvl="1">
      <w:start w:val="7"/>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489836AA"/>
    <w:multiLevelType w:val="multilevel"/>
    <w:tmpl w:val="987E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2B7468"/>
    <w:multiLevelType w:val="multilevel"/>
    <w:tmpl w:val="0DF0F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C85BDD"/>
    <w:multiLevelType w:val="multilevel"/>
    <w:tmpl w:val="EB70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320AE6"/>
    <w:multiLevelType w:val="multilevel"/>
    <w:tmpl w:val="A9D00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373B85"/>
    <w:multiLevelType w:val="multilevel"/>
    <w:tmpl w:val="25CC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E05561"/>
    <w:multiLevelType w:val="multilevel"/>
    <w:tmpl w:val="605AB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8D44EF"/>
    <w:multiLevelType w:val="multilevel"/>
    <w:tmpl w:val="C206F514"/>
    <w:lvl w:ilvl="0">
      <w:start w:val="1"/>
      <w:numFmt w:val="decimal"/>
      <w:lvlText w:val="%1."/>
      <w:lvlJc w:val="left"/>
      <w:pPr>
        <w:ind w:left="720" w:hanging="360"/>
      </w:pPr>
    </w:lvl>
    <w:lvl w:ilvl="1">
      <w:start w:val="4"/>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56AE1318"/>
    <w:multiLevelType w:val="multilevel"/>
    <w:tmpl w:val="83EC6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0758AE"/>
    <w:multiLevelType w:val="multilevel"/>
    <w:tmpl w:val="B072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122715"/>
    <w:multiLevelType w:val="hybridMultilevel"/>
    <w:tmpl w:val="18108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EF15086"/>
    <w:multiLevelType w:val="multilevel"/>
    <w:tmpl w:val="BE067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DA6CAE"/>
    <w:multiLevelType w:val="multilevel"/>
    <w:tmpl w:val="56F67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697EE5"/>
    <w:multiLevelType w:val="multilevel"/>
    <w:tmpl w:val="D340F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CE1603"/>
    <w:multiLevelType w:val="multilevel"/>
    <w:tmpl w:val="40823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B07D17"/>
    <w:multiLevelType w:val="hybridMultilevel"/>
    <w:tmpl w:val="517A50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B5A759B"/>
    <w:multiLevelType w:val="hybridMultilevel"/>
    <w:tmpl w:val="1C2036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D725D19"/>
    <w:multiLevelType w:val="multilevel"/>
    <w:tmpl w:val="B3D46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F419B9"/>
    <w:multiLevelType w:val="hybridMultilevel"/>
    <w:tmpl w:val="1F1263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8517778">
    <w:abstractNumId w:val="28"/>
  </w:num>
  <w:num w:numId="2" w16cid:durableId="1077243223">
    <w:abstractNumId w:val="33"/>
  </w:num>
  <w:num w:numId="3" w16cid:durableId="355816022">
    <w:abstractNumId w:val="6"/>
  </w:num>
  <w:num w:numId="4" w16cid:durableId="1712415509">
    <w:abstractNumId w:val="38"/>
  </w:num>
  <w:num w:numId="5" w16cid:durableId="2116829876">
    <w:abstractNumId w:val="24"/>
  </w:num>
  <w:num w:numId="6" w16cid:durableId="2020811863">
    <w:abstractNumId w:val="7"/>
  </w:num>
  <w:num w:numId="7" w16cid:durableId="616450624">
    <w:abstractNumId w:val="13"/>
  </w:num>
  <w:num w:numId="8" w16cid:durableId="1977027321">
    <w:abstractNumId w:val="4"/>
  </w:num>
  <w:num w:numId="9" w16cid:durableId="312762313">
    <w:abstractNumId w:val="12"/>
  </w:num>
  <w:num w:numId="10" w16cid:durableId="1502160462">
    <w:abstractNumId w:val="30"/>
  </w:num>
  <w:num w:numId="11" w16cid:durableId="1182016151">
    <w:abstractNumId w:val="10"/>
  </w:num>
  <w:num w:numId="12" w16cid:durableId="750661125">
    <w:abstractNumId w:val="5"/>
  </w:num>
  <w:num w:numId="13" w16cid:durableId="496962168">
    <w:abstractNumId w:val="17"/>
  </w:num>
  <w:num w:numId="14" w16cid:durableId="1365986379">
    <w:abstractNumId w:val="34"/>
  </w:num>
  <w:num w:numId="15" w16cid:durableId="1962346544">
    <w:abstractNumId w:val="26"/>
  </w:num>
  <w:num w:numId="16" w16cid:durableId="1080906190">
    <w:abstractNumId w:val="29"/>
  </w:num>
  <w:num w:numId="17" w16cid:durableId="1691449311">
    <w:abstractNumId w:val="9"/>
  </w:num>
  <w:num w:numId="18" w16cid:durableId="1927226647">
    <w:abstractNumId w:val="1"/>
  </w:num>
  <w:num w:numId="19" w16cid:durableId="28726353">
    <w:abstractNumId w:val="21"/>
  </w:num>
  <w:num w:numId="20" w16cid:durableId="213779682">
    <w:abstractNumId w:val="14"/>
  </w:num>
  <w:num w:numId="21" w16cid:durableId="1522276708">
    <w:abstractNumId w:val="27"/>
  </w:num>
  <w:num w:numId="22" w16cid:durableId="478308480">
    <w:abstractNumId w:val="22"/>
  </w:num>
  <w:num w:numId="23" w16cid:durableId="519666756">
    <w:abstractNumId w:val="18"/>
  </w:num>
  <w:num w:numId="24" w16cid:durableId="173424319">
    <w:abstractNumId w:val="0"/>
  </w:num>
  <w:num w:numId="25" w16cid:durableId="574243932">
    <w:abstractNumId w:val="37"/>
  </w:num>
  <w:num w:numId="26" w16cid:durableId="1872306797">
    <w:abstractNumId w:val="42"/>
  </w:num>
  <w:num w:numId="27" w16cid:durableId="1090004801">
    <w:abstractNumId w:val="23"/>
  </w:num>
  <w:num w:numId="28" w16cid:durableId="1675180949">
    <w:abstractNumId w:val="31"/>
  </w:num>
  <w:num w:numId="29" w16cid:durableId="226494977">
    <w:abstractNumId w:val="16"/>
  </w:num>
  <w:num w:numId="30" w16cid:durableId="427235589">
    <w:abstractNumId w:val="39"/>
  </w:num>
  <w:num w:numId="31" w16cid:durableId="1574855277">
    <w:abstractNumId w:val="20"/>
  </w:num>
  <w:num w:numId="32" w16cid:durableId="71974785">
    <w:abstractNumId w:val="15"/>
  </w:num>
  <w:num w:numId="33" w16cid:durableId="1054624487">
    <w:abstractNumId w:val="19"/>
  </w:num>
  <w:num w:numId="34" w16cid:durableId="794061536">
    <w:abstractNumId w:val="11"/>
  </w:num>
  <w:num w:numId="35" w16cid:durableId="1799760053">
    <w:abstractNumId w:val="3"/>
  </w:num>
  <w:num w:numId="36" w16cid:durableId="1710912190">
    <w:abstractNumId w:val="36"/>
  </w:num>
  <w:num w:numId="37" w16cid:durableId="691031216">
    <w:abstractNumId w:val="25"/>
  </w:num>
  <w:num w:numId="38" w16cid:durableId="404180780">
    <w:abstractNumId w:val="2"/>
  </w:num>
  <w:num w:numId="39" w16cid:durableId="71975736">
    <w:abstractNumId w:val="43"/>
  </w:num>
  <w:num w:numId="40" w16cid:durableId="2030790664">
    <w:abstractNumId w:val="32"/>
  </w:num>
  <w:num w:numId="41" w16cid:durableId="1350062568">
    <w:abstractNumId w:val="40"/>
  </w:num>
  <w:num w:numId="42" w16cid:durableId="514073160">
    <w:abstractNumId w:val="35"/>
  </w:num>
  <w:num w:numId="43" w16cid:durableId="263389500">
    <w:abstractNumId w:val="41"/>
  </w:num>
  <w:num w:numId="44" w16cid:durableId="18361478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D9B"/>
    <w:rsid w:val="000018B3"/>
    <w:rsid w:val="000B4E94"/>
    <w:rsid w:val="00163B8F"/>
    <w:rsid w:val="001C77AD"/>
    <w:rsid w:val="002800D6"/>
    <w:rsid w:val="002A5174"/>
    <w:rsid w:val="002C2439"/>
    <w:rsid w:val="00367D9B"/>
    <w:rsid w:val="003944C5"/>
    <w:rsid w:val="003F4ABF"/>
    <w:rsid w:val="0066353B"/>
    <w:rsid w:val="00666648"/>
    <w:rsid w:val="00695AB7"/>
    <w:rsid w:val="006C3A3E"/>
    <w:rsid w:val="006C4AD2"/>
    <w:rsid w:val="0078225D"/>
    <w:rsid w:val="00813F8A"/>
    <w:rsid w:val="00871B2E"/>
    <w:rsid w:val="00873286"/>
    <w:rsid w:val="008943B3"/>
    <w:rsid w:val="008D2E0C"/>
    <w:rsid w:val="0094165D"/>
    <w:rsid w:val="00954CC6"/>
    <w:rsid w:val="00A72A50"/>
    <w:rsid w:val="00A87699"/>
    <w:rsid w:val="00B14D2E"/>
    <w:rsid w:val="00BB6EC5"/>
    <w:rsid w:val="00C0153C"/>
    <w:rsid w:val="00C5260C"/>
    <w:rsid w:val="00CE3137"/>
    <w:rsid w:val="00D6551D"/>
    <w:rsid w:val="00E376A3"/>
    <w:rsid w:val="00EF40D0"/>
    <w:rsid w:val="00F666C8"/>
    <w:rsid w:val="00F96D7D"/>
    <w:rsid w:val="00FB2E89"/>
    <w:rsid w:val="00FC782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732EC"/>
  <w15:chartTrackingRefBased/>
  <w15:docId w15:val="{50CB1F4E-FA7C-4CE7-8959-F5D510BA4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67D9B"/>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367D9B"/>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367D9B"/>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367D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7D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7D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7D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7D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7D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D9B"/>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367D9B"/>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367D9B"/>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367D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7D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7D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D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D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D9B"/>
    <w:rPr>
      <w:rFonts w:eastAsiaTheme="majorEastAsia" w:cstheme="majorBidi"/>
      <w:color w:val="272727" w:themeColor="text1" w:themeTint="D8"/>
    </w:rPr>
  </w:style>
  <w:style w:type="paragraph" w:styleId="Title">
    <w:name w:val="Title"/>
    <w:basedOn w:val="Normal"/>
    <w:next w:val="Normal"/>
    <w:link w:val="TitleChar"/>
    <w:uiPriority w:val="10"/>
    <w:qFormat/>
    <w:rsid w:val="00367D9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67D9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67D9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67D9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67D9B"/>
    <w:pPr>
      <w:spacing w:before="160"/>
      <w:jc w:val="center"/>
    </w:pPr>
    <w:rPr>
      <w:i/>
      <w:iCs/>
      <w:color w:val="404040" w:themeColor="text1" w:themeTint="BF"/>
    </w:rPr>
  </w:style>
  <w:style w:type="character" w:customStyle="1" w:styleId="QuoteChar">
    <w:name w:val="Quote Char"/>
    <w:basedOn w:val="DefaultParagraphFont"/>
    <w:link w:val="Quote"/>
    <w:uiPriority w:val="29"/>
    <w:rsid w:val="00367D9B"/>
    <w:rPr>
      <w:rFonts w:cs="Vrinda"/>
      <w:i/>
      <w:iCs/>
      <w:color w:val="404040" w:themeColor="text1" w:themeTint="BF"/>
    </w:rPr>
  </w:style>
  <w:style w:type="paragraph" w:styleId="ListParagraph">
    <w:name w:val="List Paragraph"/>
    <w:basedOn w:val="Normal"/>
    <w:uiPriority w:val="34"/>
    <w:qFormat/>
    <w:rsid w:val="00367D9B"/>
    <w:pPr>
      <w:ind w:left="720"/>
      <w:contextualSpacing/>
    </w:pPr>
  </w:style>
  <w:style w:type="character" w:styleId="IntenseEmphasis">
    <w:name w:val="Intense Emphasis"/>
    <w:basedOn w:val="DefaultParagraphFont"/>
    <w:uiPriority w:val="21"/>
    <w:qFormat/>
    <w:rsid w:val="00367D9B"/>
    <w:rPr>
      <w:i/>
      <w:iCs/>
      <w:color w:val="0F4761" w:themeColor="accent1" w:themeShade="BF"/>
    </w:rPr>
  </w:style>
  <w:style w:type="paragraph" w:styleId="IntenseQuote">
    <w:name w:val="Intense Quote"/>
    <w:basedOn w:val="Normal"/>
    <w:next w:val="Normal"/>
    <w:link w:val="IntenseQuoteChar"/>
    <w:uiPriority w:val="30"/>
    <w:qFormat/>
    <w:rsid w:val="00367D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7D9B"/>
    <w:rPr>
      <w:rFonts w:cs="Vrinda"/>
      <w:i/>
      <w:iCs/>
      <w:color w:val="0F4761" w:themeColor="accent1" w:themeShade="BF"/>
    </w:rPr>
  </w:style>
  <w:style w:type="character" w:styleId="IntenseReference">
    <w:name w:val="Intense Reference"/>
    <w:basedOn w:val="DefaultParagraphFont"/>
    <w:uiPriority w:val="32"/>
    <w:qFormat/>
    <w:rsid w:val="00367D9B"/>
    <w:rPr>
      <w:b/>
      <w:bCs/>
      <w:smallCaps/>
      <w:color w:val="0F4761" w:themeColor="accent1" w:themeShade="BF"/>
      <w:spacing w:val="5"/>
    </w:rPr>
  </w:style>
  <w:style w:type="table" w:styleId="TableGrid">
    <w:name w:val="Table Grid"/>
    <w:basedOn w:val="TableNormal"/>
    <w:uiPriority w:val="39"/>
    <w:rsid w:val="00367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78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7823"/>
    <w:rPr>
      <w:rFonts w:cs="Vrinda"/>
    </w:rPr>
  </w:style>
  <w:style w:type="paragraph" w:styleId="Footer">
    <w:name w:val="footer"/>
    <w:basedOn w:val="Normal"/>
    <w:link w:val="FooterChar"/>
    <w:uiPriority w:val="99"/>
    <w:unhideWhenUsed/>
    <w:rsid w:val="00FC78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7823"/>
    <w:rPr>
      <w:rFonts w:cs="Vrinda"/>
    </w:rPr>
  </w:style>
  <w:style w:type="character" w:styleId="Hyperlink">
    <w:name w:val="Hyperlink"/>
    <w:basedOn w:val="DefaultParagraphFont"/>
    <w:uiPriority w:val="99"/>
    <w:unhideWhenUsed/>
    <w:rsid w:val="00813F8A"/>
    <w:rPr>
      <w:color w:val="467886" w:themeColor="hyperlink"/>
      <w:u w:val="single"/>
    </w:rPr>
  </w:style>
  <w:style w:type="character" w:styleId="UnresolvedMention">
    <w:name w:val="Unresolved Mention"/>
    <w:basedOn w:val="DefaultParagraphFont"/>
    <w:uiPriority w:val="99"/>
    <w:semiHidden/>
    <w:unhideWhenUsed/>
    <w:rsid w:val="00813F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13" Type="http://schemas.openxmlformats.org/officeDocument/2006/relationships/hyperlink" Target="https://www.grantthornton.com" TargetMode="External"/><Relationship Id="rId18" Type="http://schemas.openxmlformats.org/officeDocument/2006/relationships/hyperlink" Target="https://www.oecd.org"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https://www.ey.com" TargetMode="External"/><Relationship Id="rId17" Type="http://schemas.openxmlformats.org/officeDocument/2006/relationships/hyperlink" Target="https://www.mckinsey.com" TargetMode="External"/><Relationship Id="rId2" Type="http://schemas.openxmlformats.org/officeDocument/2006/relationships/styles" Target="styles.xml"/><Relationship Id="rId16" Type="http://schemas.openxmlformats.org/officeDocument/2006/relationships/hyperlink" Target="https://www.mckinsey.com" TargetMode="External"/><Relationship Id="rId20" Type="http://schemas.openxmlformats.org/officeDocument/2006/relationships/hyperlink" Target="https://www.worldbank.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2.deloitte.com" TargetMode="External"/><Relationship Id="rId5" Type="http://schemas.openxmlformats.org/officeDocument/2006/relationships/footnotes" Target="footnotes.xml"/><Relationship Id="rId15" Type="http://schemas.openxmlformats.org/officeDocument/2006/relationships/hyperlink" Target="https://home.kpmg" TargetMode="External"/><Relationship Id="rId23" Type="http://schemas.openxmlformats.org/officeDocument/2006/relationships/theme" Target="theme/theme1.xml"/><Relationship Id="rId10" Type="http://schemas.openxmlformats.org/officeDocument/2006/relationships/hyperlink" Target="https://www.bloomberg.com" TargetMode="External"/><Relationship Id="rId19" Type="http://schemas.openxmlformats.org/officeDocument/2006/relationships/hyperlink" Target="https://www.pwc.com" TargetMode="External"/><Relationship Id="rId4" Type="http://schemas.openxmlformats.org/officeDocument/2006/relationships/webSettings" Target="webSettings.xml"/><Relationship Id="rId9" Type="http://schemas.openxmlformats.org/officeDocument/2006/relationships/hyperlink" Target="https://www.bcg.com" TargetMode="External"/><Relationship Id="rId14" Type="http://schemas.openxmlformats.org/officeDocument/2006/relationships/hyperlink" Target="https://www.imf.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27</Pages>
  <Words>5488</Words>
  <Characters>31283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Tarek</dc:creator>
  <cp:keywords/>
  <dc:description/>
  <cp:lastModifiedBy>Tarikul Islam Tarek (2435183)</cp:lastModifiedBy>
  <cp:revision>13</cp:revision>
  <dcterms:created xsi:type="dcterms:W3CDTF">2025-11-23T20:37:00Z</dcterms:created>
  <dcterms:modified xsi:type="dcterms:W3CDTF">2025-11-24T11:21:00Z</dcterms:modified>
</cp:coreProperties>
</file>