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9C02B" w14:textId="0905B1D6" w:rsidR="00CE5D6E" w:rsidRDefault="3644B2BA" w:rsidP="5014FB10">
      <w:pPr>
        <w:pStyle w:val="Heading3"/>
        <w:shd w:val="clear" w:color="auto" w:fill="FFFFFF" w:themeFill="background1"/>
        <w:spacing w:before="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Introduction</w:t>
      </w:r>
    </w:p>
    <w:p w14:paraId="427ED710" w14:textId="29DFC095"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 xml:space="preserve">Reflective practice is essential for personal and professional growth, offering a structured approach to learning from experiences. It involves thinking about and </w:t>
      </w:r>
      <w:proofErr w:type="spellStart"/>
      <w:r w:rsidRPr="5014FB10">
        <w:rPr>
          <w:rFonts w:ascii="Arial" w:eastAsia="Arial" w:hAnsi="Arial" w:cs="Arial"/>
          <w:color w:val="0D0D0D" w:themeColor="text1" w:themeTint="F2"/>
          <w:sz w:val="28"/>
          <w:szCs w:val="28"/>
        </w:rPr>
        <w:t>analyzing</w:t>
      </w:r>
      <w:proofErr w:type="spellEnd"/>
      <w:r w:rsidRPr="5014FB10">
        <w:rPr>
          <w:rFonts w:ascii="Arial" w:eastAsia="Arial" w:hAnsi="Arial" w:cs="Arial"/>
          <w:color w:val="0D0D0D" w:themeColor="text1" w:themeTint="F2"/>
          <w:sz w:val="28"/>
          <w:szCs w:val="28"/>
        </w:rPr>
        <w:t xml:space="preserve"> actions and outcomes to gain insights and improve future performance. Gibbs’ Reflective Cycle is a</w:t>
      </w:r>
      <w:r w:rsidR="3A18E0F7" w:rsidRPr="5014FB10">
        <w:rPr>
          <w:rFonts w:ascii="Arial" w:eastAsia="Arial" w:hAnsi="Arial" w:cs="Arial"/>
          <w:color w:val="0D0D0D" w:themeColor="text1" w:themeTint="F2"/>
          <w:sz w:val="28"/>
          <w:szCs w:val="28"/>
        </w:rPr>
        <w:t xml:space="preserve"> whole </w:t>
      </w:r>
      <w:r w:rsidRPr="5014FB10">
        <w:rPr>
          <w:rFonts w:ascii="Arial" w:eastAsia="Arial" w:hAnsi="Arial" w:cs="Arial"/>
          <w:color w:val="0D0D0D" w:themeColor="text1" w:themeTint="F2"/>
          <w:sz w:val="28"/>
          <w:szCs w:val="28"/>
        </w:rPr>
        <w:t xml:space="preserve">framework for reflection that </w:t>
      </w:r>
      <w:r w:rsidR="6176972A" w:rsidRPr="5014FB10">
        <w:rPr>
          <w:rFonts w:ascii="Arial" w:eastAsia="Arial" w:hAnsi="Arial" w:cs="Arial"/>
          <w:color w:val="0D0D0D" w:themeColor="text1" w:themeTint="F2"/>
          <w:sz w:val="28"/>
          <w:szCs w:val="28"/>
        </w:rPr>
        <w:t>is in</w:t>
      </w:r>
      <w:r w:rsidRPr="5014FB10">
        <w:rPr>
          <w:rFonts w:ascii="Arial" w:eastAsia="Arial" w:hAnsi="Arial" w:cs="Arial"/>
          <w:color w:val="0D0D0D" w:themeColor="text1" w:themeTint="F2"/>
          <w:sz w:val="28"/>
          <w:szCs w:val="28"/>
        </w:rPr>
        <w:t xml:space="preserve"> six stages: Description, Feelings, Evaluation, Analysis, Conclusion, and Action Plan. This essay employs Gibbs’ Reflective Cycle to explore five</w:t>
      </w:r>
      <w:r w:rsidR="514C98F3" w:rsidRPr="5014FB10">
        <w:rPr>
          <w:rFonts w:ascii="Arial" w:eastAsia="Arial" w:hAnsi="Arial" w:cs="Arial"/>
          <w:color w:val="0D0D0D" w:themeColor="text1" w:themeTint="F2"/>
          <w:sz w:val="28"/>
          <w:szCs w:val="28"/>
        </w:rPr>
        <w:t xml:space="preserve"> </w:t>
      </w:r>
      <w:r w:rsidRPr="5014FB10">
        <w:rPr>
          <w:rFonts w:ascii="Arial" w:eastAsia="Arial" w:hAnsi="Arial" w:cs="Arial"/>
          <w:color w:val="0D0D0D" w:themeColor="text1" w:themeTint="F2"/>
          <w:sz w:val="28"/>
          <w:szCs w:val="28"/>
        </w:rPr>
        <w:t>development tools: SWOT analysis, SMART goals, the Johari Window, Personal Development Plans (PDP), and learning styles. Each tool provides unique insights, and their</w:t>
      </w:r>
      <w:r w:rsidR="68D21598" w:rsidRPr="5014FB10">
        <w:rPr>
          <w:rFonts w:ascii="Arial" w:eastAsia="Arial" w:hAnsi="Arial" w:cs="Arial"/>
          <w:color w:val="0D0D0D" w:themeColor="text1" w:themeTint="F2"/>
          <w:sz w:val="28"/>
          <w:szCs w:val="28"/>
        </w:rPr>
        <w:t xml:space="preserve"> </w:t>
      </w:r>
      <w:r w:rsidRPr="5014FB10">
        <w:rPr>
          <w:rFonts w:ascii="Arial" w:eastAsia="Arial" w:hAnsi="Arial" w:cs="Arial"/>
          <w:color w:val="0D0D0D" w:themeColor="text1" w:themeTint="F2"/>
          <w:sz w:val="28"/>
          <w:szCs w:val="28"/>
        </w:rPr>
        <w:t>overall effectiveness. Reflecting on these tools through Gibbs’ framework allows for a deeper understanding of their application and benefits in fostering personal and professional development.</w:t>
      </w:r>
    </w:p>
    <w:p w14:paraId="0DAFFBFB" w14:textId="5F840C95"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Description</w:t>
      </w:r>
    </w:p>
    <w:p w14:paraId="6764DE93" w14:textId="164EDD9D"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 xml:space="preserve">The first stage of Gibbs’ Reflective Cycle involves describing the tools being </w:t>
      </w:r>
      <w:proofErr w:type="spellStart"/>
      <w:r w:rsidRPr="5014FB10">
        <w:rPr>
          <w:rFonts w:ascii="Arial" w:eastAsia="Arial" w:hAnsi="Arial" w:cs="Arial"/>
          <w:color w:val="0D0D0D" w:themeColor="text1" w:themeTint="F2"/>
          <w:sz w:val="28"/>
          <w:szCs w:val="28"/>
        </w:rPr>
        <w:t>analyzed</w:t>
      </w:r>
      <w:proofErr w:type="spellEnd"/>
      <w:r w:rsidRPr="5014FB10">
        <w:rPr>
          <w:rFonts w:ascii="Arial" w:eastAsia="Arial" w:hAnsi="Arial" w:cs="Arial"/>
          <w:color w:val="0D0D0D" w:themeColor="text1" w:themeTint="F2"/>
          <w:sz w:val="28"/>
          <w:szCs w:val="28"/>
        </w:rPr>
        <w:t>:</w:t>
      </w:r>
    </w:p>
    <w:p w14:paraId="188AE8F2" w14:textId="3C864D95"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SWOT Analysis</w:t>
      </w:r>
      <w:r w:rsidRPr="5014FB10">
        <w:rPr>
          <w:rFonts w:ascii="Arial" w:eastAsia="Arial" w:hAnsi="Arial" w:cs="Arial"/>
          <w:color w:val="0D0D0D" w:themeColor="text1" w:themeTint="F2"/>
          <w:sz w:val="28"/>
          <w:szCs w:val="28"/>
        </w:rPr>
        <w:t>: A strategic tool for identifying Strengths, Weaknesses, Opportunities, and Threats relevant to an individual, project, or organization. It provides a structured approach to understanding internal and external factors that impact performance and decision-making.</w:t>
      </w:r>
    </w:p>
    <w:p w14:paraId="60487CE5" w14:textId="02CC3818"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SMART Goals</w:t>
      </w:r>
      <w:r w:rsidRPr="5014FB10">
        <w:rPr>
          <w:rFonts w:ascii="Arial" w:eastAsia="Arial" w:hAnsi="Arial" w:cs="Arial"/>
          <w:color w:val="0D0D0D" w:themeColor="text1" w:themeTint="F2"/>
          <w:sz w:val="28"/>
          <w:szCs w:val="28"/>
        </w:rPr>
        <w:t>: A method for setting goals that are Specific, Measurable, Achievable, Relevant, and Time-bound. This approach ensures clarity and feasibility in goal setting, making it easier to track progress and achieve objectives.</w:t>
      </w:r>
    </w:p>
    <w:p w14:paraId="7C52A3B9" w14:textId="1C5DD33C"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Johari Window</w:t>
      </w:r>
      <w:r w:rsidRPr="5014FB10">
        <w:rPr>
          <w:rFonts w:ascii="Arial" w:eastAsia="Arial" w:hAnsi="Arial" w:cs="Arial"/>
          <w:color w:val="0D0D0D" w:themeColor="text1" w:themeTint="F2"/>
          <w:sz w:val="28"/>
          <w:szCs w:val="28"/>
        </w:rPr>
        <w:t xml:space="preserve">: A model to enhance self-awareness and personal relationships, dividing knowledge into Open, Blind, Hidden, and Unknown </w:t>
      </w:r>
      <w:r w:rsidR="773A2313" w:rsidRPr="5014FB10">
        <w:rPr>
          <w:rFonts w:ascii="Arial" w:eastAsia="Arial" w:hAnsi="Arial" w:cs="Arial"/>
          <w:color w:val="0D0D0D" w:themeColor="text1" w:themeTint="F2"/>
          <w:sz w:val="28"/>
          <w:szCs w:val="28"/>
        </w:rPr>
        <w:t>parts.</w:t>
      </w:r>
      <w:r w:rsidRPr="5014FB10">
        <w:rPr>
          <w:rFonts w:ascii="Arial" w:eastAsia="Arial" w:hAnsi="Arial" w:cs="Arial"/>
          <w:color w:val="0D0D0D" w:themeColor="text1" w:themeTint="F2"/>
          <w:sz w:val="28"/>
          <w:szCs w:val="28"/>
        </w:rPr>
        <w:t xml:space="preserve"> feedback and </w:t>
      </w:r>
      <w:r w:rsidR="4F505B1E" w:rsidRPr="5014FB10">
        <w:rPr>
          <w:rFonts w:ascii="Arial" w:eastAsia="Arial" w:hAnsi="Arial" w:cs="Arial"/>
          <w:color w:val="0D0D0D" w:themeColor="text1" w:themeTint="F2"/>
          <w:sz w:val="28"/>
          <w:szCs w:val="28"/>
        </w:rPr>
        <w:t>report</w:t>
      </w:r>
      <w:r w:rsidRPr="5014FB10">
        <w:rPr>
          <w:rFonts w:ascii="Arial" w:eastAsia="Arial" w:hAnsi="Arial" w:cs="Arial"/>
          <w:color w:val="0D0D0D" w:themeColor="text1" w:themeTint="F2"/>
          <w:sz w:val="28"/>
          <w:szCs w:val="28"/>
        </w:rPr>
        <w:t xml:space="preserve"> to improve understanding of oneself and others.</w:t>
      </w:r>
    </w:p>
    <w:p w14:paraId="2F398136" w14:textId="2E4E8496"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Personal Development Plan (PDP)</w:t>
      </w:r>
      <w:r w:rsidRPr="5014FB10">
        <w:rPr>
          <w:rFonts w:ascii="Arial" w:eastAsia="Arial" w:hAnsi="Arial" w:cs="Arial"/>
          <w:color w:val="0D0D0D" w:themeColor="text1" w:themeTint="F2"/>
          <w:sz w:val="28"/>
          <w:szCs w:val="28"/>
        </w:rPr>
        <w:t>: A structured plan for achieving personal and professional growth through self-assessment, goal setting, action planning, and regular review. It serves as a roadmap for continuous improvement and development.</w:t>
      </w:r>
    </w:p>
    <w:p w14:paraId="4AD740D9" w14:textId="7C130673"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Learning Styles</w:t>
      </w:r>
      <w:r w:rsidRPr="5014FB10">
        <w:rPr>
          <w:rFonts w:ascii="Arial" w:eastAsia="Arial" w:hAnsi="Arial" w:cs="Arial"/>
          <w:color w:val="0D0D0D" w:themeColor="text1" w:themeTint="F2"/>
          <w:sz w:val="28"/>
          <w:szCs w:val="28"/>
        </w:rPr>
        <w:t xml:space="preserve">: Different approaches to acquiring and processing information, commonly categorized into Visual, Auditory, Reading/Writing, and </w:t>
      </w:r>
      <w:proofErr w:type="spellStart"/>
      <w:r w:rsidR="69065858" w:rsidRPr="5014FB10">
        <w:rPr>
          <w:rFonts w:ascii="Arial" w:eastAsia="Arial" w:hAnsi="Arial" w:cs="Arial"/>
          <w:color w:val="0D0D0D" w:themeColor="text1" w:themeTint="F2"/>
          <w:sz w:val="28"/>
          <w:szCs w:val="28"/>
        </w:rPr>
        <w:t>physicle</w:t>
      </w:r>
      <w:proofErr w:type="spellEnd"/>
      <w:r w:rsidRPr="5014FB10">
        <w:rPr>
          <w:rFonts w:ascii="Arial" w:eastAsia="Arial" w:hAnsi="Arial" w:cs="Arial"/>
          <w:color w:val="0D0D0D" w:themeColor="text1" w:themeTint="F2"/>
          <w:sz w:val="28"/>
          <w:szCs w:val="28"/>
        </w:rPr>
        <w:t xml:space="preserve"> styles. Understanding and leveraging these styles can enhance learning effectiveness and engagement.</w:t>
      </w:r>
    </w:p>
    <w:p w14:paraId="561A3E4C" w14:textId="164B3F42"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Feelings</w:t>
      </w:r>
    </w:p>
    <w:p w14:paraId="0C4F74EC" w14:textId="6EC439D3"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Reflecting on these tools evokes a range of emotions:</w:t>
      </w:r>
    </w:p>
    <w:p w14:paraId="70D2C6ED" w14:textId="7B6656DE"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SWOT Analysis</w:t>
      </w:r>
      <w:r w:rsidRPr="5014FB10">
        <w:rPr>
          <w:rFonts w:ascii="Arial" w:eastAsia="Arial" w:hAnsi="Arial" w:cs="Arial"/>
          <w:color w:val="0D0D0D" w:themeColor="text1" w:themeTint="F2"/>
          <w:sz w:val="28"/>
          <w:szCs w:val="28"/>
        </w:rPr>
        <w:t>: Performing a SWOT analysis can be both empowering and clarifying, as it highlights strengths and opportunities. However, weaknesses and threats can be challenging and uncomfortable, requiring a</w:t>
      </w:r>
      <w:r w:rsidR="735AB123" w:rsidRPr="5014FB10">
        <w:rPr>
          <w:rFonts w:ascii="Arial" w:eastAsia="Arial" w:hAnsi="Arial" w:cs="Arial"/>
          <w:color w:val="0D0D0D" w:themeColor="text1" w:themeTint="F2"/>
          <w:sz w:val="28"/>
          <w:szCs w:val="28"/>
        </w:rPr>
        <w:t xml:space="preserve"> strong will </w:t>
      </w:r>
      <w:r w:rsidRPr="5014FB10">
        <w:rPr>
          <w:rFonts w:ascii="Arial" w:eastAsia="Arial" w:hAnsi="Arial" w:cs="Arial"/>
          <w:color w:val="0D0D0D" w:themeColor="text1" w:themeTint="F2"/>
          <w:sz w:val="28"/>
          <w:szCs w:val="28"/>
        </w:rPr>
        <w:t>to confront areas of improvement.</w:t>
      </w:r>
    </w:p>
    <w:p w14:paraId="61275411" w14:textId="397436F9"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SMART Goals</w:t>
      </w:r>
      <w:r w:rsidRPr="5014FB10">
        <w:rPr>
          <w:rFonts w:ascii="Arial" w:eastAsia="Arial" w:hAnsi="Arial" w:cs="Arial"/>
          <w:color w:val="0D0D0D" w:themeColor="text1" w:themeTint="F2"/>
          <w:sz w:val="28"/>
          <w:szCs w:val="28"/>
        </w:rPr>
        <w:t>: Setting SMART goals brings a sense of motivation and focus, as they provide clear, achievable steps toward objectives. However, ensuring the goals are realistic can sometimes be difficult, leading to frustration if goals are not met as planned.</w:t>
      </w:r>
    </w:p>
    <w:p w14:paraId="36889B94" w14:textId="64E92FF8"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Johari Window</w:t>
      </w:r>
      <w:r w:rsidRPr="5014FB10">
        <w:rPr>
          <w:rFonts w:ascii="Arial" w:eastAsia="Arial" w:hAnsi="Arial" w:cs="Arial"/>
          <w:color w:val="0D0D0D" w:themeColor="text1" w:themeTint="F2"/>
          <w:sz w:val="28"/>
          <w:szCs w:val="28"/>
        </w:rPr>
        <w:t>: Engaging with the Johari Window requires vulnerability and openness, which can be both intimidating and liberating. Receiving feedback to reduce blind spots is enlightening but can also be uncomfortable, as it involves confronting personal and interpersonal challenges.</w:t>
      </w:r>
    </w:p>
    <w:p w14:paraId="575BF5D5" w14:textId="4B3EFAC3"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PDP</w:t>
      </w:r>
      <w:r w:rsidRPr="5014FB10">
        <w:rPr>
          <w:rFonts w:ascii="Arial" w:eastAsia="Arial" w:hAnsi="Arial" w:cs="Arial"/>
          <w:color w:val="0D0D0D" w:themeColor="text1" w:themeTint="F2"/>
          <w:sz w:val="28"/>
          <w:szCs w:val="28"/>
        </w:rPr>
        <w:t xml:space="preserve">: Developing a PDP feels organized and </w:t>
      </w:r>
      <w:r w:rsidR="12BBFDFB" w:rsidRPr="5014FB10">
        <w:rPr>
          <w:rFonts w:ascii="Arial" w:eastAsia="Arial" w:hAnsi="Arial" w:cs="Arial"/>
          <w:color w:val="0D0D0D" w:themeColor="text1" w:themeTint="F2"/>
          <w:sz w:val="28"/>
          <w:szCs w:val="28"/>
        </w:rPr>
        <w:t>planned</w:t>
      </w:r>
      <w:r w:rsidRPr="5014FB10">
        <w:rPr>
          <w:rFonts w:ascii="Arial" w:eastAsia="Arial" w:hAnsi="Arial" w:cs="Arial"/>
          <w:color w:val="0D0D0D" w:themeColor="text1" w:themeTint="F2"/>
          <w:sz w:val="28"/>
          <w:szCs w:val="28"/>
        </w:rPr>
        <w:t xml:space="preserve">, offering a clear roadmap for growth. However, the commitment to ongoing review and adjustment can be </w:t>
      </w:r>
      <w:r w:rsidR="36112141" w:rsidRPr="5014FB10">
        <w:rPr>
          <w:rFonts w:ascii="Arial" w:eastAsia="Arial" w:hAnsi="Arial" w:cs="Arial"/>
          <w:color w:val="0D0D0D" w:themeColor="text1" w:themeTint="F2"/>
          <w:sz w:val="28"/>
          <w:szCs w:val="28"/>
        </w:rPr>
        <w:t>questioning</w:t>
      </w:r>
      <w:r w:rsidRPr="5014FB10">
        <w:rPr>
          <w:rFonts w:ascii="Arial" w:eastAsia="Arial" w:hAnsi="Arial" w:cs="Arial"/>
          <w:color w:val="0D0D0D" w:themeColor="text1" w:themeTint="F2"/>
          <w:sz w:val="28"/>
          <w:szCs w:val="28"/>
        </w:rPr>
        <w:t>, requiring consistent effort and reflection.</w:t>
      </w:r>
    </w:p>
    <w:p w14:paraId="20332587" w14:textId="04F5685D"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Learning Styles</w:t>
      </w:r>
      <w:r w:rsidRPr="5014FB10">
        <w:rPr>
          <w:rFonts w:ascii="Arial" w:eastAsia="Arial" w:hAnsi="Arial" w:cs="Arial"/>
          <w:color w:val="0D0D0D" w:themeColor="text1" w:themeTint="F2"/>
          <w:sz w:val="28"/>
          <w:szCs w:val="28"/>
        </w:rPr>
        <w:t xml:space="preserve">: Understanding learning styles is validating and </w:t>
      </w:r>
      <w:r w:rsidR="40928A6A" w:rsidRPr="5014FB10">
        <w:rPr>
          <w:rFonts w:ascii="Arial" w:eastAsia="Arial" w:hAnsi="Arial" w:cs="Arial"/>
          <w:color w:val="0D0D0D" w:themeColor="text1" w:themeTint="F2"/>
          <w:sz w:val="28"/>
          <w:szCs w:val="28"/>
        </w:rPr>
        <w:t>tell</w:t>
      </w:r>
      <w:r w:rsidRPr="5014FB10">
        <w:rPr>
          <w:rFonts w:ascii="Arial" w:eastAsia="Arial" w:hAnsi="Arial" w:cs="Arial"/>
          <w:color w:val="0D0D0D" w:themeColor="text1" w:themeTint="F2"/>
          <w:sz w:val="28"/>
          <w:szCs w:val="28"/>
        </w:rPr>
        <w:t xml:space="preserve">, helping tailor approaches to individual preferences. However, it also challenges individuals to </w:t>
      </w:r>
      <w:r w:rsidR="339788AF" w:rsidRPr="5014FB10">
        <w:rPr>
          <w:rFonts w:ascii="Arial" w:eastAsia="Arial" w:hAnsi="Arial" w:cs="Arial"/>
          <w:color w:val="0D0D0D" w:themeColor="text1" w:themeTint="F2"/>
          <w:sz w:val="28"/>
          <w:szCs w:val="28"/>
        </w:rPr>
        <w:t>put in</w:t>
      </w:r>
      <w:r w:rsidRPr="5014FB10">
        <w:rPr>
          <w:rFonts w:ascii="Arial" w:eastAsia="Arial" w:hAnsi="Arial" w:cs="Arial"/>
          <w:color w:val="0D0D0D" w:themeColor="text1" w:themeTint="F2"/>
          <w:sz w:val="28"/>
          <w:szCs w:val="28"/>
        </w:rPr>
        <w:t xml:space="preserve"> less familiar styles, enhancing overall learning effectiveness but sometimes causing discomfort.</w:t>
      </w:r>
    </w:p>
    <w:p w14:paraId="72704485" w14:textId="34F8C82D"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Evaluation</w:t>
      </w:r>
    </w:p>
    <w:p w14:paraId="0093A917" w14:textId="37D3F5CB"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 xml:space="preserve">Evaluating these tools involves </w:t>
      </w:r>
      <w:r w:rsidR="7DBF67E4" w:rsidRPr="5014FB10">
        <w:rPr>
          <w:rFonts w:ascii="Arial" w:eastAsia="Arial" w:hAnsi="Arial" w:cs="Arial"/>
          <w:color w:val="0D0D0D" w:themeColor="text1" w:themeTint="F2"/>
          <w:sz w:val="28"/>
          <w:szCs w:val="28"/>
        </w:rPr>
        <w:t xml:space="preserve">rate </w:t>
      </w:r>
      <w:r w:rsidRPr="5014FB10">
        <w:rPr>
          <w:rFonts w:ascii="Arial" w:eastAsia="Arial" w:hAnsi="Arial" w:cs="Arial"/>
          <w:color w:val="0D0D0D" w:themeColor="text1" w:themeTint="F2"/>
          <w:sz w:val="28"/>
          <w:szCs w:val="28"/>
        </w:rPr>
        <w:t>their benefits and challenges:</w:t>
      </w:r>
    </w:p>
    <w:p w14:paraId="4F9C4E2B" w14:textId="06F761DB"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SWOT Analysis</w:t>
      </w:r>
      <w:r w:rsidRPr="5014FB10">
        <w:rPr>
          <w:rFonts w:ascii="Arial" w:eastAsia="Arial" w:hAnsi="Arial" w:cs="Arial"/>
          <w:color w:val="0D0D0D" w:themeColor="text1" w:themeTint="F2"/>
          <w:sz w:val="28"/>
          <w:szCs w:val="28"/>
        </w:rPr>
        <w:t xml:space="preserve">: Effective for providing a comprehensive overview of strengths, weaknesses, opportunities, and threats. It aids in strategic planning and decision-making. However, the process requires honest self-assessment, which can be difficult and may lead to </w:t>
      </w:r>
      <w:r w:rsidR="779894FF" w:rsidRPr="5014FB10">
        <w:rPr>
          <w:rFonts w:ascii="Arial" w:eastAsia="Arial" w:hAnsi="Arial" w:cs="Arial"/>
          <w:color w:val="0D0D0D" w:themeColor="text1" w:themeTint="F2"/>
          <w:sz w:val="28"/>
          <w:szCs w:val="28"/>
        </w:rPr>
        <w:t xml:space="preserve">one sided </w:t>
      </w:r>
      <w:r w:rsidRPr="5014FB10">
        <w:rPr>
          <w:rFonts w:ascii="Arial" w:eastAsia="Arial" w:hAnsi="Arial" w:cs="Arial"/>
          <w:color w:val="0D0D0D" w:themeColor="text1" w:themeTint="F2"/>
          <w:sz w:val="28"/>
          <w:szCs w:val="28"/>
        </w:rPr>
        <w:t>results if not approached objectively.</w:t>
      </w:r>
    </w:p>
    <w:p w14:paraId="367FF74E" w14:textId="70446626"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SMART Goals</w:t>
      </w:r>
      <w:r w:rsidRPr="5014FB10">
        <w:rPr>
          <w:rFonts w:ascii="Arial" w:eastAsia="Arial" w:hAnsi="Arial" w:cs="Arial"/>
          <w:color w:val="0D0D0D" w:themeColor="text1" w:themeTint="F2"/>
          <w:sz w:val="28"/>
          <w:szCs w:val="28"/>
        </w:rPr>
        <w:t>: Highly useful for creating actionable plans, SMART goals ensure clarity and focus. However, setting realistic goals requires careful consideration to avoid being too ambitious or too conservative, and the process can sometimes feel restrictive.</w:t>
      </w:r>
    </w:p>
    <w:p w14:paraId="78436015" w14:textId="7B44CD2F"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Johari Window</w:t>
      </w:r>
      <w:r w:rsidRPr="5014FB10">
        <w:rPr>
          <w:rFonts w:ascii="Arial" w:eastAsia="Arial" w:hAnsi="Arial" w:cs="Arial"/>
          <w:color w:val="0D0D0D" w:themeColor="text1" w:themeTint="F2"/>
          <w:sz w:val="28"/>
          <w:szCs w:val="28"/>
        </w:rPr>
        <w:t>: Valuable for enhancing self-awareness and improving relationships, the Johari Window fosters better communication and understanding. However, it depends on a supportive environment for effective feedback, and there is a risk of discomfort or resistance from participants.</w:t>
      </w:r>
    </w:p>
    <w:p w14:paraId="5727D7C1" w14:textId="7A304EA2"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PDP</w:t>
      </w:r>
      <w:r w:rsidRPr="5014FB10">
        <w:rPr>
          <w:rFonts w:ascii="Arial" w:eastAsia="Arial" w:hAnsi="Arial" w:cs="Arial"/>
          <w:color w:val="0D0D0D" w:themeColor="text1" w:themeTint="F2"/>
          <w:sz w:val="28"/>
          <w:szCs w:val="28"/>
        </w:rPr>
        <w:t xml:space="preserve">: Beneficial for long-term growth, offering a structured approach to development. The main challenge is the need for regular review and adjustment, which requires commitment and time. Without consistent updates, the plan can become outdated or </w:t>
      </w:r>
      <w:r w:rsidR="30DB0F6A" w:rsidRPr="5014FB10">
        <w:rPr>
          <w:rFonts w:ascii="Arial" w:eastAsia="Arial" w:hAnsi="Arial" w:cs="Arial"/>
          <w:color w:val="0D0D0D" w:themeColor="text1" w:themeTint="F2"/>
          <w:sz w:val="28"/>
          <w:szCs w:val="28"/>
        </w:rPr>
        <w:t xml:space="preserve">not </w:t>
      </w:r>
      <w:proofErr w:type="spellStart"/>
      <w:r w:rsidR="30DB0F6A" w:rsidRPr="5014FB10">
        <w:rPr>
          <w:rFonts w:ascii="Arial" w:eastAsia="Arial" w:hAnsi="Arial" w:cs="Arial"/>
          <w:color w:val="0D0D0D" w:themeColor="text1" w:themeTint="F2"/>
          <w:sz w:val="28"/>
          <w:szCs w:val="28"/>
        </w:rPr>
        <w:t>importent</w:t>
      </w:r>
      <w:proofErr w:type="spellEnd"/>
      <w:r w:rsidRPr="5014FB10">
        <w:rPr>
          <w:rFonts w:ascii="Arial" w:eastAsia="Arial" w:hAnsi="Arial" w:cs="Arial"/>
          <w:color w:val="0D0D0D" w:themeColor="text1" w:themeTint="F2"/>
          <w:sz w:val="28"/>
          <w:szCs w:val="28"/>
        </w:rPr>
        <w:t>.</w:t>
      </w:r>
    </w:p>
    <w:p w14:paraId="67DD049A" w14:textId="0F04C6C0"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Learning Styles</w:t>
      </w:r>
      <w:r w:rsidRPr="5014FB10">
        <w:rPr>
          <w:rFonts w:ascii="Arial" w:eastAsia="Arial" w:hAnsi="Arial" w:cs="Arial"/>
          <w:color w:val="0D0D0D" w:themeColor="text1" w:themeTint="F2"/>
          <w:sz w:val="28"/>
          <w:szCs w:val="28"/>
        </w:rPr>
        <w:t xml:space="preserve">: Enhances learning by catering to individual preferences, making the acquisition of new skills and knowledge more effective. Integrating multiple styles can be challenging, especially in group settings where different learning preferences must be </w:t>
      </w:r>
      <w:proofErr w:type="spellStart"/>
      <w:r w:rsidRPr="5014FB10">
        <w:rPr>
          <w:rFonts w:ascii="Arial" w:eastAsia="Arial" w:hAnsi="Arial" w:cs="Arial"/>
          <w:color w:val="0D0D0D" w:themeColor="text1" w:themeTint="F2"/>
          <w:sz w:val="28"/>
          <w:szCs w:val="28"/>
        </w:rPr>
        <w:t>a</w:t>
      </w:r>
      <w:r w:rsidR="21FC6BEB" w:rsidRPr="5014FB10">
        <w:rPr>
          <w:rFonts w:ascii="Arial" w:eastAsia="Arial" w:hAnsi="Arial" w:cs="Arial"/>
          <w:color w:val="0D0D0D" w:themeColor="text1" w:themeTint="F2"/>
          <w:sz w:val="28"/>
          <w:szCs w:val="28"/>
        </w:rPr>
        <w:t>ssited</w:t>
      </w:r>
      <w:proofErr w:type="spellEnd"/>
      <w:r w:rsidRPr="5014FB10">
        <w:rPr>
          <w:rFonts w:ascii="Arial" w:eastAsia="Arial" w:hAnsi="Arial" w:cs="Arial"/>
          <w:color w:val="0D0D0D" w:themeColor="text1" w:themeTint="F2"/>
          <w:sz w:val="28"/>
          <w:szCs w:val="28"/>
        </w:rPr>
        <w:t>.</w:t>
      </w:r>
    </w:p>
    <w:p w14:paraId="63544422" w14:textId="721E944B"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Analysis</w:t>
      </w:r>
    </w:p>
    <w:p w14:paraId="43E9B471" w14:textId="3940AE5D"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proofErr w:type="spellStart"/>
      <w:r w:rsidRPr="5014FB10">
        <w:rPr>
          <w:rFonts w:ascii="Arial" w:eastAsia="Arial" w:hAnsi="Arial" w:cs="Arial"/>
          <w:color w:val="0D0D0D" w:themeColor="text1" w:themeTint="F2"/>
          <w:sz w:val="28"/>
          <w:szCs w:val="28"/>
        </w:rPr>
        <w:t>Analyzing</w:t>
      </w:r>
      <w:proofErr w:type="spellEnd"/>
      <w:r w:rsidRPr="5014FB10">
        <w:rPr>
          <w:rFonts w:ascii="Arial" w:eastAsia="Arial" w:hAnsi="Arial" w:cs="Arial"/>
          <w:color w:val="0D0D0D" w:themeColor="text1" w:themeTint="F2"/>
          <w:sz w:val="28"/>
          <w:szCs w:val="28"/>
        </w:rPr>
        <w:t xml:space="preserve"> these tools reveals their </w:t>
      </w:r>
      <w:r w:rsidR="5704129D" w:rsidRPr="5014FB10">
        <w:rPr>
          <w:rFonts w:ascii="Arial" w:eastAsia="Arial" w:hAnsi="Arial" w:cs="Arial"/>
          <w:color w:val="0D0D0D" w:themeColor="text1" w:themeTint="F2"/>
          <w:sz w:val="28"/>
          <w:szCs w:val="28"/>
        </w:rPr>
        <w:t xml:space="preserve">links </w:t>
      </w:r>
      <w:r w:rsidRPr="5014FB10">
        <w:rPr>
          <w:rFonts w:ascii="Arial" w:eastAsia="Arial" w:hAnsi="Arial" w:cs="Arial"/>
          <w:color w:val="0D0D0D" w:themeColor="text1" w:themeTint="F2"/>
          <w:sz w:val="28"/>
          <w:szCs w:val="28"/>
        </w:rPr>
        <w:t>and combined value for development:</w:t>
      </w:r>
    </w:p>
    <w:p w14:paraId="05825535" w14:textId="600C4B65"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SWOT Analysis</w:t>
      </w:r>
      <w:r w:rsidRPr="5014FB10">
        <w:rPr>
          <w:rFonts w:ascii="Arial" w:eastAsia="Arial" w:hAnsi="Arial" w:cs="Arial"/>
          <w:color w:val="0D0D0D" w:themeColor="text1" w:themeTint="F2"/>
          <w:sz w:val="28"/>
          <w:szCs w:val="28"/>
        </w:rPr>
        <w:t>: This foundational tool identifies specific areas to target with SMART goals and informs the development of a PDP by highlighting strengths, weaknesses, opportunities, and threats. It serves as a basis for setting realistic and relevant goals.</w:t>
      </w:r>
    </w:p>
    <w:p w14:paraId="6A890974" w14:textId="00BAD045"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SMART Goals</w:t>
      </w:r>
      <w:r w:rsidRPr="5014FB10">
        <w:rPr>
          <w:rFonts w:ascii="Arial" w:eastAsia="Arial" w:hAnsi="Arial" w:cs="Arial"/>
          <w:color w:val="0D0D0D" w:themeColor="text1" w:themeTint="F2"/>
          <w:sz w:val="28"/>
          <w:szCs w:val="28"/>
        </w:rPr>
        <w:t>: Provide structure to address the findings from a SWOT analysis, translating insights into clear, achievable objectives. They are essential for a detailed and realistic PDP, ensuring that goals are aligned with identified strengths and areas for improvement.</w:t>
      </w:r>
    </w:p>
    <w:p w14:paraId="67841D6D" w14:textId="3B2DAA01"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Johari Window</w:t>
      </w:r>
      <w:r w:rsidRPr="5014FB10">
        <w:rPr>
          <w:rFonts w:ascii="Arial" w:eastAsia="Arial" w:hAnsi="Arial" w:cs="Arial"/>
          <w:color w:val="0D0D0D" w:themeColor="text1" w:themeTint="F2"/>
          <w:sz w:val="28"/>
          <w:szCs w:val="28"/>
        </w:rPr>
        <w:t>: Enhances self-awareness and feedback, critical for accurate SWOT analysis and realistic SMART goals. It fosters open communication and trust, making the SWOT analysis more comprehensive and the SMART goals more achievable. The Johari Window also helps identify blind spots that can be addressed through targeted goals and actions.</w:t>
      </w:r>
    </w:p>
    <w:p w14:paraId="7B42D7CC" w14:textId="563A03F7"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PDP</w:t>
      </w:r>
      <w:r w:rsidRPr="5014FB10">
        <w:rPr>
          <w:rFonts w:ascii="Arial" w:eastAsia="Arial" w:hAnsi="Arial" w:cs="Arial"/>
          <w:color w:val="0D0D0D" w:themeColor="text1" w:themeTint="F2"/>
          <w:sz w:val="28"/>
          <w:szCs w:val="28"/>
        </w:rPr>
        <w:t>: Integrates insights from SWOT analysis, SMART goals, and the Johari Window to create a cohesive development plan. Regular review and reflection ensure continuous improvement and adaptation, keeping the development process dynamic and responsive to changing circumstances.</w:t>
      </w:r>
    </w:p>
    <w:p w14:paraId="7FA5D8B7" w14:textId="3B908745"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Learning Styles</w:t>
      </w:r>
      <w:r w:rsidRPr="5014FB10">
        <w:rPr>
          <w:rFonts w:ascii="Arial" w:eastAsia="Arial" w:hAnsi="Arial" w:cs="Arial"/>
          <w:color w:val="0D0D0D" w:themeColor="text1" w:themeTint="F2"/>
          <w:sz w:val="28"/>
          <w:szCs w:val="28"/>
        </w:rPr>
        <w:t>: Ensure that development strategies are tailored to individual preferences, enhancing the effectiveness of all other tools. Incorporating various learning styles maximizes engagement and information retention, making development efforts more successful and sustainable.</w:t>
      </w:r>
    </w:p>
    <w:p w14:paraId="2310A7A4" w14:textId="00FC936A"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Conclusion</w:t>
      </w:r>
    </w:p>
    <w:p w14:paraId="23C5129D" w14:textId="0F613A0F"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Reflecting on these development tools highlights their importance and synergy:</w:t>
      </w:r>
    </w:p>
    <w:p w14:paraId="7A60BC18" w14:textId="0A1AC8C9"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SWOT Analysis</w:t>
      </w:r>
      <w:r w:rsidRPr="5014FB10">
        <w:rPr>
          <w:rFonts w:ascii="Arial" w:eastAsia="Arial" w:hAnsi="Arial" w:cs="Arial"/>
          <w:color w:val="0D0D0D" w:themeColor="text1" w:themeTint="F2"/>
          <w:sz w:val="28"/>
          <w:szCs w:val="28"/>
        </w:rPr>
        <w:t>: Offers a understanding of internal and external factors, guiding the identification of growth areas and potential risks. It sets the stage for targeted development efforts.</w:t>
      </w:r>
    </w:p>
    <w:p w14:paraId="0E877831" w14:textId="76DEA73C"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SMART Goals</w:t>
      </w:r>
      <w:r w:rsidRPr="5014FB10">
        <w:rPr>
          <w:rFonts w:ascii="Arial" w:eastAsia="Arial" w:hAnsi="Arial" w:cs="Arial"/>
          <w:color w:val="0D0D0D" w:themeColor="text1" w:themeTint="F2"/>
          <w:sz w:val="28"/>
          <w:szCs w:val="28"/>
        </w:rPr>
        <w:t>: Translate insights from SWOT analysis into specific, actionable objectives, ensuring goals are clear and achievable. They provide a structured approach to goal setting and progress tracking.</w:t>
      </w:r>
    </w:p>
    <w:p w14:paraId="4A948987" w14:textId="3807AA2B"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Johari Window</w:t>
      </w:r>
      <w:r w:rsidRPr="5014FB10">
        <w:rPr>
          <w:rFonts w:ascii="Arial" w:eastAsia="Arial" w:hAnsi="Arial" w:cs="Arial"/>
          <w:color w:val="0D0D0D" w:themeColor="text1" w:themeTint="F2"/>
          <w:sz w:val="28"/>
          <w:szCs w:val="28"/>
        </w:rPr>
        <w:t>:  self-awareness and openness, essential for continuous improvement and accurate SWOT analysis and SMART goals. It enhances personal relationships and communication, supporting a collaborative development environment.</w:t>
      </w:r>
    </w:p>
    <w:p w14:paraId="7266C086" w14:textId="58A07CE1"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PDP</w:t>
      </w:r>
      <w:r w:rsidRPr="5014FB10">
        <w:rPr>
          <w:rFonts w:ascii="Arial" w:eastAsia="Arial" w:hAnsi="Arial" w:cs="Arial"/>
          <w:color w:val="0D0D0D" w:themeColor="text1" w:themeTint="F2"/>
          <w:sz w:val="28"/>
          <w:szCs w:val="28"/>
        </w:rPr>
        <w:t>: Provides a structured approach to achieving long-term development goals, integrating insights from SWOT analysis, SMART goals, and the Johari Window. It offers a comprehensive framework for personal and professional growth, ensuring continuous reflection and adjustment.</w:t>
      </w:r>
    </w:p>
    <w:p w14:paraId="1AC653CC" w14:textId="20BA4E64" w:rsidR="00CE5D6E" w:rsidRDefault="3644B2BA" w:rsidP="5014FB10">
      <w:pPr>
        <w:pStyle w:val="ListParagraph"/>
        <w:numPr>
          <w:ilvl w:val="0"/>
          <w:numId w:val="1"/>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Learning Styles</w:t>
      </w:r>
      <w:r w:rsidRPr="5014FB10">
        <w:rPr>
          <w:rFonts w:ascii="Arial" w:eastAsia="Arial" w:hAnsi="Arial" w:cs="Arial"/>
          <w:color w:val="0D0D0D" w:themeColor="text1" w:themeTint="F2"/>
          <w:sz w:val="28"/>
          <w:szCs w:val="28"/>
        </w:rPr>
        <w:t>: Ensure development methods are effective and personalized, enhancing engagement and effectiveness. They help tailor learning and development activities to individual preferences, maximizing the impact of development efforts.</w:t>
      </w:r>
    </w:p>
    <w:p w14:paraId="479C98B3" w14:textId="18A607EE" w:rsidR="00CE5D6E" w:rsidRDefault="3644B2BA" w:rsidP="5014FB10">
      <w:pPr>
        <w:shd w:val="clear" w:color="auto" w:fill="FFFFFF" w:themeFill="background1"/>
        <w:spacing w:before="300"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By combining these tools, individuals can create a robust framework for personal and professional growth. Each tool’s true power lies in their integration and application as a cohesive system, addressing all development aspects for more effective and sustainable growth. The synergy between these tools enhances their overall impact, making them more than the sum of their parts.</w:t>
      </w:r>
    </w:p>
    <w:p w14:paraId="7F238E18" w14:textId="270193DC" w:rsidR="00CE5D6E" w:rsidRDefault="3644B2BA" w:rsidP="5014FB10">
      <w:pPr>
        <w:pStyle w:val="Heading3"/>
        <w:shd w:val="clear" w:color="auto" w:fill="FFFFFF" w:themeFill="background1"/>
        <w:spacing w:before="240" w:after="120"/>
        <w:jc w:val="center"/>
        <w:rPr>
          <w:rFonts w:ascii="Arial" w:eastAsia="Arial" w:hAnsi="Arial" w:cs="Arial"/>
          <w:b/>
          <w:bCs/>
          <w:color w:val="0D0D0D" w:themeColor="text1" w:themeTint="F2"/>
        </w:rPr>
      </w:pPr>
      <w:r w:rsidRPr="5014FB10">
        <w:rPr>
          <w:rFonts w:ascii="Arial" w:eastAsia="Arial" w:hAnsi="Arial" w:cs="Arial"/>
          <w:b/>
          <w:bCs/>
          <w:color w:val="0D0D0D" w:themeColor="text1" w:themeTint="F2"/>
        </w:rPr>
        <w:t>Action Plan</w:t>
      </w:r>
    </w:p>
    <w:p w14:paraId="7BABC828" w14:textId="4B7C2F3E" w:rsidR="00CE5D6E" w:rsidRDefault="3644B2BA" w:rsidP="5014FB10">
      <w:pPr>
        <w:shd w:val="clear" w:color="auto" w:fill="FFFFFF" w:themeFill="background1"/>
        <w:spacing w:after="30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To apply the insights from this reflection, consider the following action plan:</w:t>
      </w:r>
    </w:p>
    <w:p w14:paraId="4E1D74F9" w14:textId="68211631"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Regularly conduct a SWOT Analysis</w:t>
      </w:r>
      <w:r w:rsidRPr="5014FB10">
        <w:rPr>
          <w:rFonts w:ascii="Arial" w:eastAsia="Arial" w:hAnsi="Arial" w:cs="Arial"/>
          <w:color w:val="0D0D0D" w:themeColor="text1" w:themeTint="F2"/>
          <w:sz w:val="28"/>
          <w:szCs w:val="28"/>
        </w:rPr>
        <w:t>: Stay aware of internal and external changes, identifying new strengths, weaknesses, opportunities, and threats. Use this analysis as a foundation for ongoing development efforts.</w:t>
      </w:r>
    </w:p>
    <w:p w14:paraId="7ACEF142" w14:textId="6BCFAFFA"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Set SMART Goals based on SWOT Analysis</w:t>
      </w:r>
      <w:r w:rsidRPr="5014FB10">
        <w:rPr>
          <w:rFonts w:ascii="Arial" w:eastAsia="Arial" w:hAnsi="Arial" w:cs="Arial"/>
          <w:color w:val="0D0D0D" w:themeColor="text1" w:themeTint="F2"/>
          <w:sz w:val="28"/>
          <w:szCs w:val="28"/>
        </w:rPr>
        <w:t>: Ensure goals are specific, measurable, achievable, relevant, and time-bound, addressing identified strengths, weaknesses, opportunities, and threats. Regularly review and adjust goals to stay aligned with evolving insights.</w:t>
      </w:r>
    </w:p>
    <w:p w14:paraId="4BDAFF51" w14:textId="420EB4A9"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Utilize the Johari Window for feedback</w:t>
      </w:r>
      <w:r w:rsidRPr="5014FB10">
        <w:rPr>
          <w:rFonts w:ascii="Arial" w:eastAsia="Arial" w:hAnsi="Arial" w:cs="Arial"/>
          <w:color w:val="0D0D0D" w:themeColor="text1" w:themeTint="F2"/>
          <w:sz w:val="28"/>
          <w:szCs w:val="28"/>
        </w:rPr>
        <w:t>: Actively seek and provide feedback to enhance self-awareness and interpersonal understanding. Use the feedback to uncover blind spots and reduce hidden areas, fostering a culture of openness and continuous improvement.</w:t>
      </w:r>
    </w:p>
    <w:p w14:paraId="62CB5888" w14:textId="6A122230"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Develop and update a PDP</w:t>
      </w:r>
      <w:r w:rsidRPr="5014FB10">
        <w:rPr>
          <w:rFonts w:ascii="Arial" w:eastAsia="Arial" w:hAnsi="Arial" w:cs="Arial"/>
          <w:color w:val="0D0D0D" w:themeColor="text1" w:themeTint="F2"/>
          <w:sz w:val="28"/>
          <w:szCs w:val="28"/>
        </w:rPr>
        <w:t xml:space="preserve">: Create and regularly review a Personal Development Plan that </w:t>
      </w:r>
      <w:r w:rsidR="0F0AF38D" w:rsidRPr="5014FB10">
        <w:rPr>
          <w:rFonts w:ascii="Arial" w:eastAsia="Arial" w:hAnsi="Arial" w:cs="Arial"/>
          <w:color w:val="0D0D0D" w:themeColor="text1" w:themeTint="F2"/>
          <w:sz w:val="28"/>
          <w:szCs w:val="28"/>
        </w:rPr>
        <w:t xml:space="preserve">join </w:t>
      </w:r>
      <w:r w:rsidRPr="5014FB10">
        <w:rPr>
          <w:rFonts w:ascii="Arial" w:eastAsia="Arial" w:hAnsi="Arial" w:cs="Arial"/>
          <w:color w:val="0D0D0D" w:themeColor="text1" w:themeTint="F2"/>
          <w:sz w:val="28"/>
          <w:szCs w:val="28"/>
        </w:rPr>
        <w:t>insights from SWOT analysis, SMART goals, and the Johari Window. Adjust the plan as needed to stay relevant and effective, ensuring continuous progress towards personal and professional goals.</w:t>
      </w:r>
    </w:p>
    <w:p w14:paraId="4DE7EB80" w14:textId="5845085F" w:rsidR="00CE5D6E" w:rsidRDefault="3644B2BA" w:rsidP="5014FB10">
      <w:pPr>
        <w:pStyle w:val="ListParagraph"/>
        <w:numPr>
          <w:ilvl w:val="0"/>
          <w:numId w:val="2"/>
        </w:numPr>
        <w:shd w:val="clear" w:color="auto" w:fill="FFFFFF" w:themeFill="background1"/>
        <w:spacing w:before="240" w:after="240"/>
        <w:jc w:val="center"/>
        <w:rPr>
          <w:rFonts w:ascii="Arial" w:eastAsia="Arial" w:hAnsi="Arial" w:cs="Arial"/>
          <w:color w:val="0D0D0D" w:themeColor="text1" w:themeTint="F2"/>
          <w:sz w:val="28"/>
          <w:szCs w:val="28"/>
        </w:rPr>
      </w:pPr>
      <w:r w:rsidRPr="5014FB10">
        <w:rPr>
          <w:rFonts w:ascii="Arial" w:eastAsia="Arial" w:hAnsi="Arial" w:cs="Arial"/>
          <w:b/>
          <w:bCs/>
          <w:color w:val="0D0D0D" w:themeColor="text1" w:themeTint="F2"/>
          <w:sz w:val="28"/>
          <w:szCs w:val="28"/>
        </w:rPr>
        <w:t>Incorporate learning styles</w:t>
      </w:r>
      <w:r w:rsidRPr="5014FB10">
        <w:rPr>
          <w:rFonts w:ascii="Arial" w:eastAsia="Arial" w:hAnsi="Arial" w:cs="Arial"/>
          <w:color w:val="0D0D0D" w:themeColor="text1" w:themeTint="F2"/>
          <w:sz w:val="28"/>
          <w:szCs w:val="28"/>
        </w:rPr>
        <w:t xml:space="preserve">: Understand and apply individual learning styles in all development activities, ensuring strategies are effective and personalized for maximum </w:t>
      </w:r>
      <w:r w:rsidR="3A8342C8" w:rsidRPr="5014FB10">
        <w:rPr>
          <w:rFonts w:ascii="Arial" w:eastAsia="Arial" w:hAnsi="Arial" w:cs="Arial"/>
          <w:color w:val="0D0D0D" w:themeColor="text1" w:themeTint="F2"/>
          <w:sz w:val="28"/>
          <w:szCs w:val="28"/>
        </w:rPr>
        <w:t xml:space="preserve">involve </w:t>
      </w:r>
      <w:r w:rsidRPr="5014FB10">
        <w:rPr>
          <w:rFonts w:ascii="Arial" w:eastAsia="Arial" w:hAnsi="Arial" w:cs="Arial"/>
          <w:color w:val="0D0D0D" w:themeColor="text1" w:themeTint="F2"/>
          <w:sz w:val="28"/>
          <w:szCs w:val="28"/>
        </w:rPr>
        <w:t xml:space="preserve">and </w:t>
      </w:r>
      <w:r w:rsidR="033A5708" w:rsidRPr="5014FB10">
        <w:rPr>
          <w:rFonts w:ascii="Arial" w:eastAsia="Arial" w:hAnsi="Arial" w:cs="Arial"/>
          <w:color w:val="0D0D0D" w:themeColor="text1" w:themeTint="F2"/>
          <w:sz w:val="28"/>
          <w:szCs w:val="28"/>
        </w:rPr>
        <w:t>care</w:t>
      </w:r>
      <w:r w:rsidRPr="5014FB10">
        <w:rPr>
          <w:rFonts w:ascii="Arial" w:eastAsia="Arial" w:hAnsi="Arial" w:cs="Arial"/>
          <w:color w:val="0D0D0D" w:themeColor="text1" w:themeTint="F2"/>
          <w:sz w:val="28"/>
          <w:szCs w:val="28"/>
        </w:rPr>
        <w:t>. Encourage the use of multiple learning styles to enhance flexibility and adaptability.</w:t>
      </w:r>
    </w:p>
    <w:p w14:paraId="4CBD26AE" w14:textId="6171EC17" w:rsidR="00CE5D6E" w:rsidRDefault="3644B2BA" w:rsidP="5014FB10">
      <w:pPr>
        <w:shd w:val="clear" w:color="auto" w:fill="FFFFFF" w:themeFill="background1"/>
        <w:spacing w:before="300" w:after="0"/>
        <w:jc w:val="center"/>
        <w:rPr>
          <w:rFonts w:ascii="Arial" w:eastAsia="Arial" w:hAnsi="Arial" w:cs="Arial"/>
          <w:color w:val="0D0D0D" w:themeColor="text1" w:themeTint="F2"/>
          <w:sz w:val="28"/>
          <w:szCs w:val="28"/>
        </w:rPr>
      </w:pPr>
      <w:r w:rsidRPr="5014FB10">
        <w:rPr>
          <w:rFonts w:ascii="Arial" w:eastAsia="Arial" w:hAnsi="Arial" w:cs="Arial"/>
          <w:color w:val="0D0D0D" w:themeColor="text1" w:themeTint="F2"/>
          <w:sz w:val="28"/>
          <w:szCs w:val="28"/>
        </w:rPr>
        <w:t xml:space="preserve">By following this action plan, individuals can leverage these tools to enhance their development journey </w:t>
      </w:r>
      <w:r w:rsidR="224B9AD6" w:rsidRPr="5014FB10">
        <w:rPr>
          <w:rFonts w:ascii="Arial" w:eastAsia="Arial" w:hAnsi="Arial" w:cs="Arial"/>
          <w:color w:val="0D0D0D" w:themeColor="text1" w:themeTint="F2"/>
          <w:sz w:val="28"/>
          <w:szCs w:val="28"/>
        </w:rPr>
        <w:t xml:space="preserve">planned </w:t>
      </w:r>
      <w:r w:rsidRPr="5014FB10">
        <w:rPr>
          <w:rFonts w:ascii="Arial" w:eastAsia="Arial" w:hAnsi="Arial" w:cs="Arial"/>
          <w:color w:val="0D0D0D" w:themeColor="text1" w:themeTint="F2"/>
          <w:sz w:val="28"/>
          <w:szCs w:val="28"/>
        </w:rPr>
        <w:t xml:space="preserve">and effectively, ensuring continuous improvement and long-term success. Reflective practice, supported by these development tools, enables individuals to learn from their experiences, make informed decisions, and achieve their personal and professional </w:t>
      </w:r>
      <w:r w:rsidR="67C6FEE8" w:rsidRPr="5014FB10">
        <w:rPr>
          <w:rFonts w:ascii="Arial" w:eastAsia="Arial" w:hAnsi="Arial" w:cs="Arial"/>
          <w:color w:val="0D0D0D" w:themeColor="text1" w:themeTint="F2"/>
          <w:sz w:val="28"/>
          <w:szCs w:val="28"/>
        </w:rPr>
        <w:t>objective.</w:t>
      </w:r>
    </w:p>
    <w:p w14:paraId="0E9065D2" w14:textId="3A7A341B" w:rsidR="00CE5D6E" w:rsidRDefault="00CE5D6E" w:rsidP="5014FB10">
      <w:pPr>
        <w:shd w:val="clear" w:color="auto" w:fill="FFFFFF" w:themeFill="background1"/>
        <w:spacing w:before="300" w:after="0"/>
        <w:rPr>
          <w:rFonts w:ascii="system-ui" w:eastAsia="system-ui" w:hAnsi="system-ui" w:cs="system-ui"/>
          <w:color w:val="0D0D0D" w:themeColor="text1" w:themeTint="F2"/>
        </w:rPr>
      </w:pPr>
    </w:p>
    <w:p w14:paraId="5E5787A5" w14:textId="3136251C" w:rsidR="00CE5D6E" w:rsidRDefault="00CE5D6E" w:rsidP="5014FB10"/>
    <w:sectPr w:rsidR="00CE5D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ystem-ui">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06E24"/>
    <w:multiLevelType w:val="hybridMultilevel"/>
    <w:tmpl w:val="FFFFFFFF"/>
    <w:lvl w:ilvl="0" w:tplc="FDDA1EFA">
      <w:start w:val="1"/>
      <w:numFmt w:val="bullet"/>
      <w:lvlText w:val=""/>
      <w:lvlJc w:val="left"/>
      <w:pPr>
        <w:ind w:left="720" w:hanging="360"/>
      </w:pPr>
      <w:rPr>
        <w:rFonts w:ascii="Symbol" w:hAnsi="Symbol" w:hint="default"/>
      </w:rPr>
    </w:lvl>
    <w:lvl w:ilvl="1" w:tplc="DBEEDB88">
      <w:start w:val="1"/>
      <w:numFmt w:val="bullet"/>
      <w:lvlText w:val="o"/>
      <w:lvlJc w:val="left"/>
      <w:pPr>
        <w:ind w:left="1440" w:hanging="360"/>
      </w:pPr>
      <w:rPr>
        <w:rFonts w:ascii="Courier New" w:hAnsi="Courier New" w:hint="default"/>
      </w:rPr>
    </w:lvl>
    <w:lvl w:ilvl="2" w:tplc="AD5AD4A6">
      <w:start w:val="1"/>
      <w:numFmt w:val="bullet"/>
      <w:lvlText w:val=""/>
      <w:lvlJc w:val="left"/>
      <w:pPr>
        <w:ind w:left="2160" w:hanging="360"/>
      </w:pPr>
      <w:rPr>
        <w:rFonts w:ascii="Wingdings" w:hAnsi="Wingdings" w:hint="default"/>
      </w:rPr>
    </w:lvl>
    <w:lvl w:ilvl="3" w:tplc="A41C77B0">
      <w:start w:val="1"/>
      <w:numFmt w:val="bullet"/>
      <w:lvlText w:val=""/>
      <w:lvlJc w:val="left"/>
      <w:pPr>
        <w:ind w:left="2880" w:hanging="360"/>
      </w:pPr>
      <w:rPr>
        <w:rFonts w:ascii="Symbol" w:hAnsi="Symbol" w:hint="default"/>
      </w:rPr>
    </w:lvl>
    <w:lvl w:ilvl="4" w:tplc="22FA5174">
      <w:start w:val="1"/>
      <w:numFmt w:val="bullet"/>
      <w:lvlText w:val="o"/>
      <w:lvlJc w:val="left"/>
      <w:pPr>
        <w:ind w:left="3600" w:hanging="360"/>
      </w:pPr>
      <w:rPr>
        <w:rFonts w:ascii="Courier New" w:hAnsi="Courier New" w:hint="default"/>
      </w:rPr>
    </w:lvl>
    <w:lvl w:ilvl="5" w:tplc="578060CE">
      <w:start w:val="1"/>
      <w:numFmt w:val="bullet"/>
      <w:lvlText w:val=""/>
      <w:lvlJc w:val="left"/>
      <w:pPr>
        <w:ind w:left="4320" w:hanging="360"/>
      </w:pPr>
      <w:rPr>
        <w:rFonts w:ascii="Wingdings" w:hAnsi="Wingdings" w:hint="default"/>
      </w:rPr>
    </w:lvl>
    <w:lvl w:ilvl="6" w:tplc="1EDC6756">
      <w:start w:val="1"/>
      <w:numFmt w:val="bullet"/>
      <w:lvlText w:val=""/>
      <w:lvlJc w:val="left"/>
      <w:pPr>
        <w:ind w:left="5040" w:hanging="360"/>
      </w:pPr>
      <w:rPr>
        <w:rFonts w:ascii="Symbol" w:hAnsi="Symbol" w:hint="default"/>
      </w:rPr>
    </w:lvl>
    <w:lvl w:ilvl="7" w:tplc="CB225AA6">
      <w:start w:val="1"/>
      <w:numFmt w:val="bullet"/>
      <w:lvlText w:val="o"/>
      <w:lvlJc w:val="left"/>
      <w:pPr>
        <w:ind w:left="5760" w:hanging="360"/>
      </w:pPr>
      <w:rPr>
        <w:rFonts w:ascii="Courier New" w:hAnsi="Courier New" w:hint="default"/>
      </w:rPr>
    </w:lvl>
    <w:lvl w:ilvl="8" w:tplc="28E41976">
      <w:start w:val="1"/>
      <w:numFmt w:val="bullet"/>
      <w:lvlText w:val=""/>
      <w:lvlJc w:val="left"/>
      <w:pPr>
        <w:ind w:left="6480" w:hanging="360"/>
      </w:pPr>
      <w:rPr>
        <w:rFonts w:ascii="Wingdings" w:hAnsi="Wingdings" w:hint="default"/>
      </w:rPr>
    </w:lvl>
  </w:abstractNum>
  <w:abstractNum w:abstractNumId="1" w15:restartNumberingAfterBreak="0">
    <w:nsid w:val="58445800"/>
    <w:multiLevelType w:val="hybridMultilevel"/>
    <w:tmpl w:val="FFFFFFFF"/>
    <w:lvl w:ilvl="0" w:tplc="7396C15A">
      <w:start w:val="1"/>
      <w:numFmt w:val="decimal"/>
      <w:lvlText w:val="%1."/>
      <w:lvlJc w:val="left"/>
      <w:pPr>
        <w:ind w:left="720" w:hanging="360"/>
      </w:pPr>
    </w:lvl>
    <w:lvl w:ilvl="1" w:tplc="2268566C">
      <w:start w:val="1"/>
      <w:numFmt w:val="lowerLetter"/>
      <w:lvlText w:val="%2."/>
      <w:lvlJc w:val="left"/>
      <w:pPr>
        <w:ind w:left="1440" w:hanging="360"/>
      </w:pPr>
    </w:lvl>
    <w:lvl w:ilvl="2" w:tplc="C780F7BC">
      <w:start w:val="1"/>
      <w:numFmt w:val="lowerRoman"/>
      <w:lvlText w:val="%3."/>
      <w:lvlJc w:val="right"/>
      <w:pPr>
        <w:ind w:left="2160" w:hanging="180"/>
      </w:pPr>
    </w:lvl>
    <w:lvl w:ilvl="3" w:tplc="A254F3EC">
      <w:start w:val="1"/>
      <w:numFmt w:val="decimal"/>
      <w:lvlText w:val="%4."/>
      <w:lvlJc w:val="left"/>
      <w:pPr>
        <w:ind w:left="2880" w:hanging="360"/>
      </w:pPr>
    </w:lvl>
    <w:lvl w:ilvl="4" w:tplc="360E2D68">
      <w:start w:val="1"/>
      <w:numFmt w:val="lowerLetter"/>
      <w:lvlText w:val="%5."/>
      <w:lvlJc w:val="left"/>
      <w:pPr>
        <w:ind w:left="3600" w:hanging="360"/>
      </w:pPr>
    </w:lvl>
    <w:lvl w:ilvl="5" w:tplc="77289C2A">
      <w:start w:val="1"/>
      <w:numFmt w:val="lowerRoman"/>
      <w:lvlText w:val="%6."/>
      <w:lvlJc w:val="right"/>
      <w:pPr>
        <w:ind w:left="4320" w:hanging="180"/>
      </w:pPr>
    </w:lvl>
    <w:lvl w:ilvl="6" w:tplc="8F80C946">
      <w:start w:val="1"/>
      <w:numFmt w:val="decimal"/>
      <w:lvlText w:val="%7."/>
      <w:lvlJc w:val="left"/>
      <w:pPr>
        <w:ind w:left="5040" w:hanging="360"/>
      </w:pPr>
    </w:lvl>
    <w:lvl w:ilvl="7" w:tplc="03869704">
      <w:start w:val="1"/>
      <w:numFmt w:val="lowerLetter"/>
      <w:lvlText w:val="%8."/>
      <w:lvlJc w:val="left"/>
      <w:pPr>
        <w:ind w:left="5760" w:hanging="360"/>
      </w:pPr>
    </w:lvl>
    <w:lvl w:ilvl="8" w:tplc="077A238A">
      <w:start w:val="1"/>
      <w:numFmt w:val="lowerRoman"/>
      <w:lvlText w:val="%9."/>
      <w:lvlJc w:val="right"/>
      <w:pPr>
        <w:ind w:left="6480" w:hanging="180"/>
      </w:pPr>
    </w:lvl>
  </w:abstractNum>
  <w:abstractNum w:abstractNumId="2" w15:restartNumberingAfterBreak="0">
    <w:nsid w:val="6BC91316"/>
    <w:multiLevelType w:val="hybridMultilevel"/>
    <w:tmpl w:val="FFFFFFFF"/>
    <w:lvl w:ilvl="0" w:tplc="7B443E8A">
      <w:start w:val="1"/>
      <w:numFmt w:val="decimal"/>
      <w:lvlText w:val="%1."/>
      <w:lvlJc w:val="left"/>
      <w:pPr>
        <w:ind w:left="720" w:hanging="360"/>
      </w:pPr>
    </w:lvl>
    <w:lvl w:ilvl="1" w:tplc="B2B43AC4">
      <w:start w:val="1"/>
      <w:numFmt w:val="lowerLetter"/>
      <w:lvlText w:val="%2."/>
      <w:lvlJc w:val="left"/>
      <w:pPr>
        <w:ind w:left="1440" w:hanging="360"/>
      </w:pPr>
    </w:lvl>
    <w:lvl w:ilvl="2" w:tplc="E7E6F22E">
      <w:start w:val="1"/>
      <w:numFmt w:val="lowerRoman"/>
      <w:lvlText w:val="%3."/>
      <w:lvlJc w:val="right"/>
      <w:pPr>
        <w:ind w:left="2160" w:hanging="180"/>
      </w:pPr>
    </w:lvl>
    <w:lvl w:ilvl="3" w:tplc="7D3A9152">
      <w:start w:val="1"/>
      <w:numFmt w:val="decimal"/>
      <w:lvlText w:val="%4."/>
      <w:lvlJc w:val="left"/>
      <w:pPr>
        <w:ind w:left="2880" w:hanging="360"/>
      </w:pPr>
    </w:lvl>
    <w:lvl w:ilvl="4" w:tplc="96E4110E">
      <w:start w:val="1"/>
      <w:numFmt w:val="lowerLetter"/>
      <w:lvlText w:val="%5."/>
      <w:lvlJc w:val="left"/>
      <w:pPr>
        <w:ind w:left="3600" w:hanging="360"/>
      </w:pPr>
    </w:lvl>
    <w:lvl w:ilvl="5" w:tplc="93A49830">
      <w:start w:val="1"/>
      <w:numFmt w:val="lowerRoman"/>
      <w:lvlText w:val="%6."/>
      <w:lvlJc w:val="right"/>
      <w:pPr>
        <w:ind w:left="4320" w:hanging="180"/>
      </w:pPr>
    </w:lvl>
    <w:lvl w:ilvl="6" w:tplc="D6E00486">
      <w:start w:val="1"/>
      <w:numFmt w:val="decimal"/>
      <w:lvlText w:val="%7."/>
      <w:lvlJc w:val="left"/>
      <w:pPr>
        <w:ind w:left="5040" w:hanging="360"/>
      </w:pPr>
    </w:lvl>
    <w:lvl w:ilvl="7" w:tplc="CAACA836">
      <w:start w:val="1"/>
      <w:numFmt w:val="lowerLetter"/>
      <w:lvlText w:val="%8."/>
      <w:lvlJc w:val="left"/>
      <w:pPr>
        <w:ind w:left="5760" w:hanging="360"/>
      </w:pPr>
    </w:lvl>
    <w:lvl w:ilvl="8" w:tplc="B4F8432A">
      <w:start w:val="1"/>
      <w:numFmt w:val="lowerRoman"/>
      <w:lvlText w:val="%9."/>
      <w:lvlJc w:val="right"/>
      <w:pPr>
        <w:ind w:left="6480" w:hanging="180"/>
      </w:pPr>
    </w:lvl>
  </w:abstractNum>
  <w:num w:numId="1" w16cid:durableId="580260493">
    <w:abstractNumId w:val="0"/>
  </w:num>
  <w:num w:numId="2" w16cid:durableId="1525633451">
    <w:abstractNumId w:val="1"/>
  </w:num>
  <w:num w:numId="3" w16cid:durableId="376858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E054FF"/>
    <w:rsid w:val="00852D05"/>
    <w:rsid w:val="008824A6"/>
    <w:rsid w:val="00B405A4"/>
    <w:rsid w:val="00CE5D6E"/>
    <w:rsid w:val="00EB3EAE"/>
    <w:rsid w:val="033A5708"/>
    <w:rsid w:val="05A6A3DA"/>
    <w:rsid w:val="0865E62B"/>
    <w:rsid w:val="0F0AF38D"/>
    <w:rsid w:val="1080967C"/>
    <w:rsid w:val="12BBFDFB"/>
    <w:rsid w:val="12E01D5A"/>
    <w:rsid w:val="14434E30"/>
    <w:rsid w:val="167ACB8F"/>
    <w:rsid w:val="19356E1D"/>
    <w:rsid w:val="1BDD9E8C"/>
    <w:rsid w:val="21FC6BEB"/>
    <w:rsid w:val="224B9AD6"/>
    <w:rsid w:val="25F847D8"/>
    <w:rsid w:val="2DE054FF"/>
    <w:rsid w:val="2FA37EA1"/>
    <w:rsid w:val="30DB0F6A"/>
    <w:rsid w:val="339788AF"/>
    <w:rsid w:val="36112141"/>
    <w:rsid w:val="3644B2BA"/>
    <w:rsid w:val="372EC36D"/>
    <w:rsid w:val="399FE2C9"/>
    <w:rsid w:val="3A18E0F7"/>
    <w:rsid w:val="3A8342C8"/>
    <w:rsid w:val="3BA53518"/>
    <w:rsid w:val="40928A6A"/>
    <w:rsid w:val="40C9C3E1"/>
    <w:rsid w:val="413F42CA"/>
    <w:rsid w:val="440FDAE1"/>
    <w:rsid w:val="450F991E"/>
    <w:rsid w:val="4D86858C"/>
    <w:rsid w:val="4F505B1E"/>
    <w:rsid w:val="5014FB10"/>
    <w:rsid w:val="514C98F3"/>
    <w:rsid w:val="5704129D"/>
    <w:rsid w:val="58BB6FC1"/>
    <w:rsid w:val="5CC94A7F"/>
    <w:rsid w:val="5EE3C653"/>
    <w:rsid w:val="6101D461"/>
    <w:rsid w:val="6176972A"/>
    <w:rsid w:val="67C232CE"/>
    <w:rsid w:val="67C6FEE8"/>
    <w:rsid w:val="68D21598"/>
    <w:rsid w:val="69065858"/>
    <w:rsid w:val="6A569E50"/>
    <w:rsid w:val="735AB123"/>
    <w:rsid w:val="773A2313"/>
    <w:rsid w:val="779894FF"/>
    <w:rsid w:val="7DBF67E4"/>
    <w:rsid w:val="7FF31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054FF"/>
  <w15:chartTrackingRefBased/>
  <w15:docId w15:val="{8CB6D26F-2791-47F5-B252-4655C0547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1471</Words>
  <Characters>8391</Characters>
  <Application>Microsoft Office Word</Application>
  <DocSecurity>0</DocSecurity>
  <Lines>69</Lines>
  <Paragraphs>19</Paragraphs>
  <ScaleCrop>false</ScaleCrop>
  <Company/>
  <LinksUpToDate>false</LinksUpToDate>
  <CharactersWithSpaces>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pelosek vydrbanc</dc:creator>
  <cp:keywords/>
  <dc:description/>
  <cp:lastModifiedBy>pelosek vydrbanc</cp:lastModifiedBy>
  <cp:revision>2</cp:revision>
  <dcterms:created xsi:type="dcterms:W3CDTF">2024-05-29T17:18:00Z</dcterms:created>
  <dcterms:modified xsi:type="dcterms:W3CDTF">2024-05-29T17:18:00Z</dcterms:modified>
</cp:coreProperties>
</file>