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8F410" w14:textId="77777777" w:rsidR="00683F3B" w:rsidRDefault="00000000">
      <w:pPr>
        <w:spacing w:before="600" w:line="360" w:lineRule="auto"/>
        <w:jc w:val="center"/>
      </w:pPr>
      <w:r>
        <w:rPr>
          <w:noProof/>
        </w:rPr>
        <w:drawing>
          <wp:inline distT="114300" distB="114300" distL="114300" distR="114300" wp14:anchorId="7FA105D6" wp14:editId="5F69DDEC">
            <wp:extent cx="2214563" cy="86976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14563" cy="869768"/>
                    </a:xfrm>
                    <a:prstGeom prst="rect">
                      <a:avLst/>
                    </a:prstGeom>
                    <a:ln/>
                  </pic:spPr>
                </pic:pic>
              </a:graphicData>
            </a:graphic>
          </wp:inline>
        </w:drawing>
      </w:r>
    </w:p>
    <w:p w14:paraId="0827E408" w14:textId="77777777" w:rsidR="00683F3B" w:rsidRDefault="00683F3B">
      <w:pPr>
        <w:pBdr>
          <w:top w:val="single" w:sz="36" w:space="0" w:color="003087"/>
        </w:pBdr>
        <w:spacing w:line="360" w:lineRule="auto"/>
      </w:pPr>
    </w:p>
    <w:p w14:paraId="7D63AEB1" w14:textId="77777777" w:rsidR="00683F3B" w:rsidRDefault="00683F3B">
      <w:pPr>
        <w:spacing w:before="200" w:line="360" w:lineRule="auto"/>
      </w:pPr>
    </w:p>
    <w:p w14:paraId="7431A772" w14:textId="77777777" w:rsidR="00683F3B" w:rsidRDefault="00000000">
      <w:pPr>
        <w:spacing w:after="80"/>
        <w:jc w:val="center"/>
      </w:pPr>
      <w:r>
        <w:rPr>
          <w:b/>
          <w:bCs/>
          <w:color w:val="003087"/>
          <w:sz w:val="28"/>
          <w:szCs w:val="28"/>
        </w:rPr>
        <w:t>UNIVERSITY OF WALES TRINITY SAINT DAVID</w:t>
      </w:r>
    </w:p>
    <w:p w14:paraId="2FF1B6E1" w14:textId="77777777" w:rsidR="00683F3B" w:rsidRDefault="00000000">
      <w:pPr>
        <w:spacing w:after="360"/>
        <w:jc w:val="center"/>
      </w:pPr>
      <w:r>
        <w:rPr>
          <w:color w:val="666666"/>
        </w:rPr>
        <w:t>Graduate School of Business</w:t>
      </w:r>
    </w:p>
    <w:p w14:paraId="67018FF5" w14:textId="77777777" w:rsidR="00683F3B" w:rsidRDefault="00000000">
      <w:pPr>
        <w:spacing w:after="80"/>
        <w:jc w:val="center"/>
      </w:pPr>
      <w:r>
        <w:rPr>
          <w:b/>
          <w:bCs/>
          <w:color w:val="003087"/>
          <w:sz w:val="26"/>
          <w:szCs w:val="26"/>
        </w:rPr>
        <w:t>MSc International Business Management</w:t>
      </w:r>
    </w:p>
    <w:p w14:paraId="41FC8903" w14:textId="77777777" w:rsidR="00683F3B" w:rsidRDefault="00683F3B">
      <w:pPr>
        <w:spacing w:before="200"/>
      </w:pPr>
    </w:p>
    <w:p w14:paraId="10211E38" w14:textId="77777777" w:rsidR="00683F3B" w:rsidRDefault="00000000">
      <w:pPr>
        <w:pBdr>
          <w:top w:val="single" w:sz="12" w:space="6" w:color="F5A623"/>
          <w:bottom w:val="single" w:sz="12" w:space="6" w:color="F5A623"/>
        </w:pBdr>
        <w:spacing w:before="160" w:after="160"/>
        <w:jc w:val="center"/>
      </w:pPr>
      <w:r>
        <w:rPr>
          <w:b/>
          <w:bCs/>
          <w:color w:val="003087"/>
          <w:sz w:val="28"/>
          <w:szCs w:val="28"/>
        </w:rPr>
        <w:t>LCMB7026 – INTERNATIONAL MARKETING</w:t>
      </w:r>
    </w:p>
    <w:p w14:paraId="619113EC" w14:textId="77777777" w:rsidR="00683F3B" w:rsidRDefault="00683F3B">
      <w:pPr>
        <w:spacing w:before="160"/>
      </w:pPr>
    </w:p>
    <w:p w14:paraId="15B62CD0" w14:textId="77777777" w:rsidR="00683F3B" w:rsidRDefault="00000000">
      <w:pPr>
        <w:spacing w:before="80" w:after="240"/>
        <w:jc w:val="center"/>
      </w:pPr>
      <w:r>
        <w:rPr>
          <w:b/>
          <w:bCs/>
          <w:color w:val="003087"/>
          <w:sz w:val="32"/>
          <w:szCs w:val="32"/>
        </w:rPr>
        <w:t>International Market Entry Strategy and Marketing Mix:</w:t>
      </w:r>
    </w:p>
    <w:p w14:paraId="08E1E682" w14:textId="77777777" w:rsidR="00683F3B" w:rsidRDefault="00000000">
      <w:pPr>
        <w:spacing w:after="400"/>
        <w:jc w:val="center"/>
      </w:pPr>
      <w:r>
        <w:rPr>
          <w:b/>
          <w:bCs/>
          <w:color w:val="F5A623"/>
          <w:sz w:val="34"/>
          <w:szCs w:val="34"/>
        </w:rPr>
        <w:t>IKEA in India and the United Kingdom</w:t>
      </w:r>
    </w:p>
    <w:p w14:paraId="5D54AC84" w14:textId="77777777" w:rsidR="00683F3B" w:rsidRDefault="00683F3B">
      <w:pPr>
        <w:spacing w:before="200"/>
      </w:pPr>
    </w:p>
    <w:tbl>
      <w:tblPr>
        <w:tblStyle w:val="a"/>
        <w:tblW w:w="7200"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400"/>
        <w:gridCol w:w="4800"/>
      </w:tblGrid>
      <w:tr w:rsidR="00683F3B" w14:paraId="0C39DF52" w14:textId="77777777">
        <w:trPr>
          <w:jc w:val="center"/>
        </w:trPr>
        <w:tc>
          <w:tcPr>
            <w:tcW w:w="2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146B3300" w14:textId="17DC2F2E" w:rsidR="00683F3B" w:rsidRDefault="00000000">
            <w:r>
              <w:rPr>
                <w:b/>
                <w:bCs/>
                <w:sz w:val="20"/>
                <w:szCs w:val="20"/>
              </w:rPr>
              <w:t>Lecturer:</w:t>
            </w:r>
          </w:p>
        </w:tc>
        <w:tc>
          <w:tcPr>
            <w:tcW w:w="4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F9041D1" w14:textId="5ADD92A2" w:rsidR="00683F3B" w:rsidRDefault="006101BE">
            <w:r>
              <w:rPr>
                <w:rFonts w:ascii="Segoe UI" w:eastAsia="Times New Roman" w:hAnsi="Segoe UI" w:cs="Segoe UI"/>
                <w:color w:val="1D2125"/>
                <w:sz w:val="22"/>
                <w:szCs w:val="22"/>
                <w:shd w:val="clear" w:color="auto" w:fill="FFFFFF"/>
              </w:rPr>
              <w:t xml:space="preserve">Dian </w:t>
            </w:r>
            <w:proofErr w:type="spellStart"/>
            <w:r>
              <w:rPr>
                <w:rFonts w:ascii="Segoe UI" w:eastAsia="Times New Roman" w:hAnsi="Segoe UI" w:cs="Segoe UI"/>
                <w:color w:val="1D2125"/>
                <w:sz w:val="22"/>
                <w:szCs w:val="22"/>
                <w:shd w:val="clear" w:color="auto" w:fill="FFFFFF"/>
              </w:rPr>
              <w:t>Mayasari</w:t>
            </w:r>
            <w:proofErr w:type="spellEnd"/>
          </w:p>
        </w:tc>
      </w:tr>
      <w:tr w:rsidR="00683F3B" w14:paraId="426D9476" w14:textId="77777777">
        <w:trPr>
          <w:jc w:val="center"/>
        </w:trPr>
        <w:tc>
          <w:tcPr>
            <w:tcW w:w="2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233911F3" w14:textId="32D9FD18" w:rsidR="00683F3B" w:rsidRDefault="00000000">
            <w:r>
              <w:rPr>
                <w:b/>
                <w:bCs/>
                <w:sz w:val="20"/>
                <w:szCs w:val="20"/>
              </w:rPr>
              <w:t>Student Name:</w:t>
            </w:r>
          </w:p>
        </w:tc>
        <w:tc>
          <w:tcPr>
            <w:tcW w:w="4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F7263DA" w14:textId="0CBA0F66" w:rsidR="00683F3B" w:rsidRDefault="006101BE">
            <w:r>
              <w:t xml:space="preserve">Jahangir </w:t>
            </w:r>
            <w:proofErr w:type="spellStart"/>
            <w:r>
              <w:t>khalaj</w:t>
            </w:r>
            <w:proofErr w:type="spellEnd"/>
            <w:r>
              <w:t xml:space="preserve"> </w:t>
            </w:r>
            <w:proofErr w:type="spellStart"/>
            <w:r>
              <w:t>savojbolagh</w:t>
            </w:r>
            <w:proofErr w:type="spellEnd"/>
            <w:r>
              <w:t xml:space="preserve"> </w:t>
            </w:r>
          </w:p>
        </w:tc>
      </w:tr>
      <w:tr w:rsidR="00683F3B" w14:paraId="05D0D1E2" w14:textId="77777777">
        <w:trPr>
          <w:jc w:val="center"/>
        </w:trPr>
        <w:tc>
          <w:tcPr>
            <w:tcW w:w="2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00E54CC9" w14:textId="3B0B9702" w:rsidR="00683F3B" w:rsidRDefault="00000000">
            <w:r>
              <w:rPr>
                <w:b/>
                <w:bCs/>
                <w:sz w:val="20"/>
                <w:szCs w:val="20"/>
              </w:rPr>
              <w:t>Student ID</w:t>
            </w:r>
            <w:r w:rsidR="006101BE">
              <w:rPr>
                <w:b/>
                <w:bCs/>
                <w:sz w:val="20"/>
                <w:szCs w:val="20"/>
              </w:rPr>
              <w:t>:</w:t>
            </w:r>
          </w:p>
        </w:tc>
        <w:tc>
          <w:tcPr>
            <w:tcW w:w="4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7BF6D4B" w14:textId="4842E2F3" w:rsidR="00683F3B" w:rsidRDefault="006101BE">
            <w:r>
              <w:t>2109914</w:t>
            </w:r>
          </w:p>
        </w:tc>
      </w:tr>
      <w:tr w:rsidR="00683F3B" w14:paraId="4CC0DAA4" w14:textId="77777777">
        <w:trPr>
          <w:jc w:val="center"/>
        </w:trPr>
        <w:tc>
          <w:tcPr>
            <w:tcW w:w="2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37107EE1" w14:textId="44D32BAA" w:rsidR="00683F3B" w:rsidRDefault="00000000">
            <w:r>
              <w:rPr>
                <w:b/>
                <w:bCs/>
                <w:sz w:val="20"/>
                <w:szCs w:val="20"/>
              </w:rPr>
              <w:t>Word Count:</w:t>
            </w:r>
          </w:p>
        </w:tc>
        <w:tc>
          <w:tcPr>
            <w:tcW w:w="4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EE044EC" w14:textId="77777777" w:rsidR="00683F3B" w:rsidRDefault="00000000">
            <w:r>
              <w:rPr>
                <w:sz w:val="20"/>
                <w:szCs w:val="20"/>
              </w:rPr>
              <w:t>Approx. 4,975 words (exc. cover, TOC, references, appendices)</w:t>
            </w:r>
          </w:p>
        </w:tc>
      </w:tr>
      <w:tr w:rsidR="00683F3B" w14:paraId="32C6DFA6" w14:textId="77777777">
        <w:trPr>
          <w:jc w:val="center"/>
        </w:trPr>
        <w:tc>
          <w:tcPr>
            <w:tcW w:w="24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1D90954E" w14:textId="77777777" w:rsidR="00683F3B" w:rsidRDefault="00000000">
            <w:r>
              <w:rPr>
                <w:b/>
                <w:bCs/>
                <w:sz w:val="20"/>
                <w:szCs w:val="20"/>
              </w:rPr>
              <w:t>Submission Date:</w:t>
            </w:r>
          </w:p>
        </w:tc>
        <w:tc>
          <w:tcPr>
            <w:tcW w:w="4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EBC8F00" w14:textId="24CF95AB" w:rsidR="00683F3B" w:rsidRDefault="006101BE">
            <w:r>
              <w:t>27/03/2026</w:t>
            </w:r>
          </w:p>
        </w:tc>
      </w:tr>
    </w:tbl>
    <w:p w14:paraId="127EA552" w14:textId="77777777" w:rsidR="00683F3B" w:rsidRDefault="00683F3B">
      <w:pPr>
        <w:spacing w:before="400"/>
      </w:pPr>
    </w:p>
    <w:p w14:paraId="1F98EF3E" w14:textId="77777777" w:rsidR="00683F3B" w:rsidRDefault="00683F3B">
      <w:pPr>
        <w:pBdr>
          <w:top w:val="single" w:sz="36" w:space="6" w:color="003087"/>
        </w:pBdr>
        <w:spacing w:before="200" w:line="360" w:lineRule="auto"/>
        <w:jc w:val="center"/>
      </w:pPr>
    </w:p>
    <w:p w14:paraId="491ED6B2" w14:textId="77777777" w:rsidR="00683F3B" w:rsidRDefault="00000000">
      <w:pPr>
        <w:spacing w:line="360" w:lineRule="auto"/>
      </w:pPr>
      <w:r>
        <w:br w:type="page"/>
      </w:r>
    </w:p>
    <w:p w14:paraId="3F1F34D8" w14:textId="77777777" w:rsidR="00683F3B" w:rsidRDefault="00683F3B">
      <w:pPr>
        <w:spacing w:line="360" w:lineRule="auto"/>
      </w:pPr>
    </w:p>
    <w:p w14:paraId="2B3B1591" w14:textId="77777777" w:rsidR="00683F3B" w:rsidRDefault="00000000">
      <w:pPr>
        <w:pStyle w:val="Heading1"/>
        <w:pBdr>
          <w:bottom w:val="single" w:sz="6" w:space="4" w:color="003087"/>
        </w:pBdr>
        <w:spacing w:line="360" w:lineRule="auto"/>
      </w:pPr>
      <w:r>
        <w:t>Executive Summary</w:t>
      </w:r>
    </w:p>
    <w:p w14:paraId="14B72003" w14:textId="77777777" w:rsidR="00683F3B" w:rsidRDefault="00000000">
      <w:pPr>
        <w:spacing w:before="80" w:after="120" w:line="360" w:lineRule="auto"/>
        <w:jc w:val="both"/>
      </w:pPr>
      <w:r>
        <w:t xml:space="preserve">This report gives a whole-hearted comparative study of the international marketing strategy of IKEA on two vastly different markets in India and United Kingdom. IKEA is the largest furniture retailer within the world founded in the Netherlands (Sweden) and operating in over 60 countries. The report analyses </w:t>
      </w:r>
      <w:proofErr w:type="spellStart"/>
      <w:r>
        <w:t>macroenvironmental</w:t>
      </w:r>
      <w:proofErr w:type="spellEnd"/>
      <w:r>
        <w:t xml:space="preserve"> situation based on PESTEL framework, compares segmentation, targeting and positioning (STP) of the brand, and critically </w:t>
      </w:r>
      <w:proofErr w:type="spellStart"/>
      <w:r>
        <w:t>analyzes</w:t>
      </w:r>
      <w:proofErr w:type="spellEnd"/>
      <w:r>
        <w:t xml:space="preserve"> how the International Marketing Mix (7Ps) of the brand is adapted in both countries. The report also examines the directional development strategy of IKEA in India according to the </w:t>
      </w:r>
      <w:proofErr w:type="spellStart"/>
      <w:r>
        <w:t>Ansoff</w:t>
      </w:r>
      <w:proofErr w:type="spellEnd"/>
      <w:r>
        <w:t xml:space="preserve"> Growth Matrix, examines ethical issues in the two markets, and ends with strategic recommendations as to the future. Section 2 constitutes a personal reflection on such research process following the Reflective Cycle of Gibbs.</w:t>
      </w:r>
      <w:r>
        <w:br w:type="page"/>
      </w:r>
    </w:p>
    <w:sdt>
      <w:sdtPr>
        <w:id w:val="442242807"/>
        <w:docPartObj>
          <w:docPartGallery w:val="Table of Contents"/>
          <w:docPartUnique/>
        </w:docPartObj>
      </w:sdtPr>
      <w:sdtContent>
        <w:p w14:paraId="5053DFBE" w14:textId="77777777" w:rsidR="00683F3B" w:rsidRDefault="00000000">
          <w:pPr>
            <w:widowControl w:val="0"/>
            <w:tabs>
              <w:tab w:val="right" w:leader="dot" w:pos="9385"/>
            </w:tabs>
            <w:spacing w:before="60" w:line="360" w:lineRule="auto"/>
            <w:rPr>
              <w:b/>
              <w:bCs/>
              <w:color w:val="000000"/>
            </w:rPr>
          </w:pPr>
          <w:r>
            <w:fldChar w:fldCharType="begin"/>
          </w:r>
          <w:r>
            <w:instrText xml:space="preserve"> TOC \h \u \z \t "Heading 1,1,Heading 2,2,Heading 3,3,Heading 4,4,Heading 5,5,Heading 6,6,"</w:instrText>
          </w:r>
          <w:r>
            <w:fldChar w:fldCharType="separate"/>
          </w:r>
          <w:hyperlink w:anchor="_heading=">
            <w:r>
              <w:rPr>
                <w:b/>
                <w:bCs/>
                <w:color w:val="000000"/>
              </w:rPr>
              <w:t>Executive Summary</w:t>
            </w:r>
            <w:r>
              <w:rPr>
                <w:b/>
                <w:bCs/>
                <w:color w:val="000000"/>
              </w:rPr>
              <w:tab/>
            </w:r>
          </w:hyperlink>
          <w:r>
            <w:fldChar w:fldCharType="begin"/>
          </w:r>
          <w:r>
            <w:instrText xml:space="preserve"> PAGEREF _heading= \h </w:instrText>
          </w:r>
          <w:r>
            <w:fldChar w:fldCharType="separate"/>
          </w:r>
          <w:r>
            <w:rPr>
              <w:b/>
              <w:bCs/>
            </w:rPr>
            <w:t>2</w:t>
          </w:r>
          <w:r>
            <w:fldChar w:fldCharType="end"/>
          </w:r>
        </w:p>
        <w:p w14:paraId="3CBB4EE5" w14:textId="77777777" w:rsidR="00683F3B" w:rsidRDefault="00000000">
          <w:pPr>
            <w:widowControl w:val="0"/>
            <w:tabs>
              <w:tab w:val="right" w:leader="dot" w:pos="9385"/>
            </w:tabs>
            <w:spacing w:before="60" w:line="360" w:lineRule="auto"/>
            <w:rPr>
              <w:b/>
              <w:bCs/>
              <w:color w:val="000000"/>
            </w:rPr>
          </w:pPr>
          <w:hyperlink w:anchor="_heading=">
            <w:r>
              <w:rPr>
                <w:b/>
                <w:bCs/>
                <w:color w:val="000000"/>
              </w:rPr>
              <w:t>Section 1: International Market Entry Strategy and Marketing Mix</w:t>
            </w:r>
            <w:r>
              <w:rPr>
                <w:b/>
                <w:bCs/>
                <w:color w:val="000000"/>
              </w:rPr>
              <w:tab/>
            </w:r>
          </w:hyperlink>
          <w:r>
            <w:fldChar w:fldCharType="begin"/>
          </w:r>
          <w:r>
            <w:instrText xml:space="preserve"> PAGEREF _heading= \h </w:instrText>
          </w:r>
          <w:r>
            <w:fldChar w:fldCharType="separate"/>
          </w:r>
          <w:r>
            <w:rPr>
              <w:b/>
              <w:bCs/>
            </w:rPr>
            <w:t>4</w:t>
          </w:r>
          <w:r>
            <w:fldChar w:fldCharType="end"/>
          </w:r>
        </w:p>
        <w:p w14:paraId="78CE7CFB" w14:textId="77777777" w:rsidR="00683F3B" w:rsidRDefault="00000000">
          <w:pPr>
            <w:widowControl w:val="0"/>
            <w:tabs>
              <w:tab w:val="right" w:leader="dot" w:pos="9385"/>
            </w:tabs>
            <w:spacing w:before="60" w:line="360" w:lineRule="auto"/>
            <w:ind w:left="360"/>
            <w:rPr>
              <w:color w:val="000000"/>
            </w:rPr>
          </w:pPr>
          <w:hyperlink w:anchor="_heading=">
            <w:r>
              <w:rPr>
                <w:color w:val="000000"/>
              </w:rPr>
              <w:t>1. Introduction</w:t>
            </w:r>
            <w:r>
              <w:rPr>
                <w:color w:val="000000"/>
              </w:rPr>
              <w:tab/>
            </w:r>
          </w:hyperlink>
          <w:r>
            <w:fldChar w:fldCharType="begin"/>
          </w:r>
          <w:r>
            <w:instrText xml:space="preserve"> PAGEREF _heading= \h </w:instrText>
          </w:r>
          <w:r>
            <w:fldChar w:fldCharType="separate"/>
          </w:r>
          <w:r>
            <w:t>4</w:t>
          </w:r>
          <w:r>
            <w:fldChar w:fldCharType="end"/>
          </w:r>
        </w:p>
        <w:p w14:paraId="249DA890" w14:textId="77777777" w:rsidR="00683F3B" w:rsidRDefault="00000000">
          <w:pPr>
            <w:widowControl w:val="0"/>
            <w:tabs>
              <w:tab w:val="right" w:leader="dot" w:pos="9385"/>
            </w:tabs>
            <w:spacing w:before="60" w:line="360" w:lineRule="auto"/>
            <w:ind w:left="360"/>
            <w:rPr>
              <w:color w:val="000000"/>
            </w:rPr>
          </w:pPr>
          <w:hyperlink w:anchor="_heading=">
            <w:r>
              <w:rPr>
                <w:color w:val="000000"/>
              </w:rPr>
              <w:t>2. Comparative Macroenvironmental Analysis: PESTEL Framework</w:t>
            </w:r>
            <w:r>
              <w:rPr>
                <w:color w:val="000000"/>
              </w:rPr>
              <w:tab/>
            </w:r>
          </w:hyperlink>
          <w:r>
            <w:fldChar w:fldCharType="begin"/>
          </w:r>
          <w:r>
            <w:instrText xml:space="preserve"> PAGEREF _heading= \h </w:instrText>
          </w:r>
          <w:r>
            <w:fldChar w:fldCharType="separate"/>
          </w:r>
          <w:r>
            <w:t>4</w:t>
          </w:r>
          <w:r>
            <w:fldChar w:fldCharType="end"/>
          </w:r>
        </w:p>
        <w:p w14:paraId="4F586E0F" w14:textId="77777777" w:rsidR="00683F3B" w:rsidRDefault="00000000">
          <w:pPr>
            <w:widowControl w:val="0"/>
            <w:tabs>
              <w:tab w:val="right" w:leader="dot" w:pos="9385"/>
            </w:tabs>
            <w:spacing w:before="60" w:line="360" w:lineRule="auto"/>
            <w:ind w:left="360"/>
            <w:rPr>
              <w:color w:val="000000"/>
            </w:rPr>
          </w:pPr>
          <w:hyperlink w:anchor="_heading=">
            <w:r>
              <w:rPr>
                <w:color w:val="000000"/>
              </w:rPr>
              <w:t>3. Comparative STP and International Marketing Mix (7Ps)</w:t>
            </w:r>
            <w:r>
              <w:rPr>
                <w:color w:val="000000"/>
              </w:rPr>
              <w:tab/>
            </w:r>
          </w:hyperlink>
          <w:r>
            <w:fldChar w:fldCharType="begin"/>
          </w:r>
          <w:r>
            <w:instrText xml:space="preserve"> PAGEREF _heading= \h </w:instrText>
          </w:r>
          <w:r>
            <w:fldChar w:fldCharType="separate"/>
          </w:r>
          <w:r>
            <w:t>6</w:t>
          </w:r>
          <w:r>
            <w:fldChar w:fldCharType="end"/>
          </w:r>
        </w:p>
        <w:p w14:paraId="0E8315CF" w14:textId="77777777" w:rsidR="00683F3B" w:rsidRDefault="00000000">
          <w:pPr>
            <w:widowControl w:val="0"/>
            <w:tabs>
              <w:tab w:val="right" w:leader="dot" w:pos="9385"/>
            </w:tabs>
            <w:spacing w:before="60" w:line="360" w:lineRule="auto"/>
            <w:ind w:left="360"/>
            <w:rPr>
              <w:color w:val="000000"/>
            </w:rPr>
          </w:pPr>
          <w:hyperlink w:anchor="_heading=">
            <w:r>
              <w:rPr>
                <w:color w:val="000000"/>
              </w:rPr>
              <w:t>4. Directional Development Strategy: IKEA in India</w:t>
            </w:r>
            <w:r>
              <w:rPr>
                <w:color w:val="000000"/>
              </w:rPr>
              <w:tab/>
            </w:r>
          </w:hyperlink>
          <w:r>
            <w:fldChar w:fldCharType="begin"/>
          </w:r>
          <w:r>
            <w:instrText xml:space="preserve"> PAGEREF _heading= \h </w:instrText>
          </w:r>
          <w:r>
            <w:fldChar w:fldCharType="separate"/>
          </w:r>
          <w:r>
            <w:t>8</w:t>
          </w:r>
          <w:r>
            <w:fldChar w:fldCharType="end"/>
          </w:r>
        </w:p>
        <w:p w14:paraId="55E8704D" w14:textId="77777777" w:rsidR="00683F3B" w:rsidRDefault="00000000">
          <w:pPr>
            <w:widowControl w:val="0"/>
            <w:tabs>
              <w:tab w:val="right" w:leader="dot" w:pos="9385"/>
            </w:tabs>
            <w:spacing w:before="60" w:line="360" w:lineRule="auto"/>
            <w:ind w:left="360"/>
            <w:rPr>
              <w:color w:val="000000"/>
            </w:rPr>
          </w:pPr>
          <w:hyperlink w:anchor="_heading=">
            <w:r>
              <w:rPr>
                <w:color w:val="000000"/>
              </w:rPr>
              <w:t>5. Ethical Issues in IKEA's Marketing Mix</w:t>
            </w:r>
            <w:r>
              <w:rPr>
                <w:color w:val="000000"/>
              </w:rPr>
              <w:tab/>
            </w:r>
          </w:hyperlink>
          <w:r>
            <w:fldChar w:fldCharType="begin"/>
          </w:r>
          <w:r>
            <w:instrText xml:space="preserve"> PAGEREF _heading= \h </w:instrText>
          </w:r>
          <w:r>
            <w:fldChar w:fldCharType="separate"/>
          </w:r>
          <w:r>
            <w:t>9</w:t>
          </w:r>
          <w:r>
            <w:fldChar w:fldCharType="end"/>
          </w:r>
        </w:p>
        <w:p w14:paraId="51292C76" w14:textId="77777777" w:rsidR="00683F3B" w:rsidRDefault="00000000">
          <w:pPr>
            <w:widowControl w:val="0"/>
            <w:tabs>
              <w:tab w:val="right" w:leader="dot" w:pos="9385"/>
            </w:tabs>
            <w:spacing w:before="60" w:line="360" w:lineRule="auto"/>
            <w:ind w:left="360"/>
            <w:rPr>
              <w:color w:val="000000"/>
            </w:rPr>
          </w:pPr>
          <w:hyperlink w:anchor="_heading=">
            <w:r>
              <w:rPr>
                <w:color w:val="000000"/>
              </w:rPr>
              <w:t>6. Strategic Recommendations</w:t>
            </w:r>
            <w:r>
              <w:rPr>
                <w:color w:val="000000"/>
              </w:rPr>
              <w:tab/>
            </w:r>
          </w:hyperlink>
          <w:r>
            <w:fldChar w:fldCharType="begin"/>
          </w:r>
          <w:r>
            <w:instrText xml:space="preserve"> PAGEREF _heading= \h </w:instrText>
          </w:r>
          <w:r>
            <w:fldChar w:fldCharType="separate"/>
          </w:r>
          <w:r>
            <w:t>10</w:t>
          </w:r>
          <w:r>
            <w:fldChar w:fldCharType="end"/>
          </w:r>
        </w:p>
        <w:p w14:paraId="339B99B0" w14:textId="77777777" w:rsidR="00683F3B" w:rsidRDefault="00000000">
          <w:pPr>
            <w:widowControl w:val="0"/>
            <w:tabs>
              <w:tab w:val="right" w:leader="dot" w:pos="9385"/>
            </w:tabs>
            <w:spacing w:before="60" w:line="360" w:lineRule="auto"/>
            <w:rPr>
              <w:b/>
              <w:bCs/>
              <w:color w:val="000000"/>
            </w:rPr>
          </w:pPr>
          <w:hyperlink w:anchor="_heading=">
            <w:r>
              <w:rPr>
                <w:b/>
                <w:bCs/>
                <w:color w:val="000000"/>
              </w:rPr>
              <w:t>Section 2: Reflective Account</w:t>
            </w:r>
            <w:r>
              <w:rPr>
                <w:b/>
                <w:bCs/>
                <w:color w:val="000000"/>
              </w:rPr>
              <w:tab/>
            </w:r>
          </w:hyperlink>
          <w:r>
            <w:fldChar w:fldCharType="begin"/>
          </w:r>
          <w:r>
            <w:instrText xml:space="preserve"> PAGEREF _heading= \h </w:instrText>
          </w:r>
          <w:r>
            <w:fldChar w:fldCharType="separate"/>
          </w:r>
          <w:r>
            <w:rPr>
              <w:b/>
              <w:bCs/>
            </w:rPr>
            <w:t>11</w:t>
          </w:r>
          <w:r>
            <w:fldChar w:fldCharType="end"/>
          </w:r>
        </w:p>
        <w:p w14:paraId="7363C136" w14:textId="77777777" w:rsidR="00683F3B" w:rsidRDefault="00000000">
          <w:pPr>
            <w:widowControl w:val="0"/>
            <w:tabs>
              <w:tab w:val="right" w:leader="dot" w:pos="9385"/>
            </w:tabs>
            <w:spacing w:before="60" w:line="360" w:lineRule="auto"/>
            <w:ind w:left="360"/>
            <w:rPr>
              <w:color w:val="000000"/>
            </w:rPr>
          </w:pPr>
          <w:hyperlink w:anchor="_heading=">
            <w:r>
              <w:rPr>
                <w:color w:val="000000"/>
              </w:rPr>
              <w:t>7. Reflective Account Using Gibbs' Reflective Cycle</w:t>
            </w:r>
            <w:r>
              <w:rPr>
                <w:color w:val="000000"/>
              </w:rPr>
              <w:tab/>
            </w:r>
          </w:hyperlink>
          <w:r>
            <w:fldChar w:fldCharType="begin"/>
          </w:r>
          <w:r>
            <w:instrText xml:space="preserve"> PAGEREF _heading= \h </w:instrText>
          </w:r>
          <w:r>
            <w:fldChar w:fldCharType="separate"/>
          </w:r>
          <w:r>
            <w:t>11</w:t>
          </w:r>
          <w:r>
            <w:fldChar w:fldCharType="end"/>
          </w:r>
        </w:p>
        <w:p w14:paraId="54F8315F" w14:textId="77777777" w:rsidR="00683F3B" w:rsidRDefault="00000000">
          <w:pPr>
            <w:widowControl w:val="0"/>
            <w:tabs>
              <w:tab w:val="right" w:leader="dot" w:pos="9385"/>
            </w:tabs>
            <w:spacing w:before="60" w:line="360" w:lineRule="auto"/>
            <w:rPr>
              <w:b/>
              <w:bCs/>
              <w:color w:val="000000"/>
            </w:rPr>
          </w:pPr>
          <w:hyperlink w:anchor="_heading=">
            <w:r>
              <w:rPr>
                <w:b/>
                <w:bCs/>
                <w:color w:val="000000"/>
              </w:rPr>
              <w:t>References</w:t>
            </w:r>
            <w:r>
              <w:rPr>
                <w:b/>
                <w:bCs/>
                <w:color w:val="000000"/>
              </w:rPr>
              <w:tab/>
            </w:r>
          </w:hyperlink>
          <w:r>
            <w:fldChar w:fldCharType="begin"/>
          </w:r>
          <w:r>
            <w:instrText xml:space="preserve"> PAGEREF _heading= \h </w:instrText>
          </w:r>
          <w:r>
            <w:fldChar w:fldCharType="separate"/>
          </w:r>
          <w:r>
            <w:rPr>
              <w:b/>
              <w:bCs/>
            </w:rPr>
            <w:t>13</w:t>
          </w:r>
          <w:r>
            <w:fldChar w:fldCharType="end"/>
          </w:r>
          <w:r>
            <w:fldChar w:fldCharType="end"/>
          </w:r>
        </w:p>
      </w:sdtContent>
    </w:sdt>
    <w:p w14:paraId="508AF3FC" w14:textId="77777777" w:rsidR="00683F3B" w:rsidRDefault="00683F3B">
      <w:pPr>
        <w:spacing w:before="80" w:after="120" w:line="360" w:lineRule="auto"/>
        <w:jc w:val="both"/>
      </w:pPr>
    </w:p>
    <w:p w14:paraId="7DBEE8A7" w14:textId="77777777" w:rsidR="00683F3B" w:rsidRDefault="00000000">
      <w:pPr>
        <w:spacing w:line="360" w:lineRule="auto"/>
      </w:pPr>
      <w:r>
        <w:br w:type="page"/>
      </w:r>
    </w:p>
    <w:p w14:paraId="1FF05444" w14:textId="77777777" w:rsidR="00683F3B" w:rsidRDefault="00000000">
      <w:pPr>
        <w:pStyle w:val="Heading1"/>
        <w:pBdr>
          <w:bottom w:val="single" w:sz="6" w:space="4" w:color="003087"/>
        </w:pBdr>
        <w:spacing w:line="360" w:lineRule="auto"/>
      </w:pPr>
      <w:r>
        <w:t>Section 1: International Market Entry Strategy and Marketing Mix</w:t>
      </w:r>
    </w:p>
    <w:p w14:paraId="61DD8972" w14:textId="77777777" w:rsidR="00683F3B" w:rsidRDefault="00000000">
      <w:pPr>
        <w:pStyle w:val="Heading2"/>
        <w:spacing w:line="360" w:lineRule="auto"/>
      </w:pPr>
      <w:r>
        <w:t>1. Introduction</w:t>
      </w:r>
    </w:p>
    <w:p w14:paraId="0AEEC4F7" w14:textId="77777777" w:rsidR="00683F3B" w:rsidRDefault="00000000">
      <w:pPr>
        <w:spacing w:before="80" w:after="120" w:line="360" w:lineRule="auto"/>
        <w:jc w:val="both"/>
      </w:pPr>
      <w:r>
        <w:t>The growing globalisation of the retail markets has forced the multinational corporations to develop subtle marketing plans that are considerate to both the global efficiencies and the local cultural contexts. IKEA, the Swedish-born, Dutch-based furniture powerhouse, is the best example that can be used to illustrate this tension. IKEA has since then expanded to become a global retail phenomenon with annual revenues of over EUR47.6 billion during the financial year 2023 since its inception in 1943 by Ingvar Kamprad (IKEA Group, 2023). It has a business model, which focuses on flat-pack and self-assembly furniture at lower price points, which has remained strong in various markets. However, converting this model to culturally and economically diverse settings requires a significant strategic adjustment.</w:t>
      </w:r>
    </w:p>
    <w:p w14:paraId="0506F673" w14:textId="77777777" w:rsidR="00683F3B" w:rsidRDefault="00000000">
      <w:pPr>
        <w:spacing w:before="80" w:after="120" w:line="360" w:lineRule="auto"/>
        <w:jc w:val="both"/>
      </w:pPr>
      <w:r>
        <w:t>This report compares IKEA international marketing strategy in two opposite markets: India one of the emerging economies with high rates of urbanisation, price sensitivity and strong cultural peculiarities and the United Kingdom (UK) one of the developed western markets with the developed retail infrastructure, the economic uncertainties of the post-</w:t>
      </w:r>
      <w:proofErr w:type="spellStart"/>
      <w:r>
        <w:t>Brexit</w:t>
      </w:r>
      <w:proofErr w:type="spellEnd"/>
      <w:r>
        <w:t xml:space="preserve"> era, and the increased sustainability awareness. Comparing these two contexts, the report will shed some light on the universality of the IKEA brand proposition and the localisation extent to maintain competitive advantage (Kotler and Keller, 2022). The idea behind choosing IKEA is based on its publicly known challenges and subsequent flexibility success in India, as well as its long-standing and ingrained presence on the UK retail scene, which makes it a perfect target of comparative international marketing research.</w:t>
      </w:r>
    </w:p>
    <w:p w14:paraId="77294E86" w14:textId="77777777" w:rsidR="00683F3B" w:rsidRDefault="00000000">
      <w:pPr>
        <w:pStyle w:val="Heading2"/>
        <w:spacing w:line="360" w:lineRule="auto"/>
      </w:pPr>
      <w:r>
        <w:t xml:space="preserve">2. Comparative </w:t>
      </w:r>
      <w:proofErr w:type="spellStart"/>
      <w:r>
        <w:t>Macroenvironmental</w:t>
      </w:r>
      <w:proofErr w:type="spellEnd"/>
      <w:r>
        <w:t xml:space="preserve"> Analysis: PESTEL Framework</w:t>
      </w:r>
    </w:p>
    <w:p w14:paraId="06B66617" w14:textId="77777777" w:rsidR="00683F3B" w:rsidRDefault="00000000">
      <w:pPr>
        <w:spacing w:before="80" w:after="120" w:line="360" w:lineRule="auto"/>
        <w:jc w:val="both"/>
      </w:pPr>
      <w:r>
        <w:t>The PESTEL model (Political, Economic, Social, Technological, Environmental, Legal) represents a systematic application of the opportunities to investigate the external environments that affect the activity of IKEA in India and the UK (Johnson et al., 2023). The following table 1 provides a comparative overview before discussing the same in detail.</w:t>
      </w:r>
    </w:p>
    <w:p w14:paraId="1E773A21" w14:textId="77777777" w:rsidR="00683F3B" w:rsidRDefault="00683F3B">
      <w:pPr>
        <w:spacing w:before="80" w:line="360" w:lineRule="auto"/>
      </w:pP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200"/>
        <w:gridCol w:w="4080"/>
        <w:gridCol w:w="4080"/>
      </w:tblGrid>
      <w:tr w:rsidR="00683F3B" w14:paraId="7F66FD96" w14:textId="77777777">
        <w:tc>
          <w:tcPr>
            <w:tcW w:w="1200" w:type="dxa"/>
            <w:tcBorders>
              <w:top w:val="single" w:sz="4" w:space="0" w:color="CCCCCC"/>
              <w:left w:val="single" w:sz="4" w:space="0" w:color="CCCCCC"/>
              <w:bottom w:val="single" w:sz="4" w:space="0" w:color="CCCCCC"/>
              <w:right w:val="single" w:sz="4" w:space="0" w:color="CCCCCC"/>
            </w:tcBorders>
            <w:shd w:val="clear" w:color="auto" w:fill="003087"/>
            <w:tcMar>
              <w:top w:w="80" w:type="dxa"/>
              <w:left w:w="120" w:type="dxa"/>
              <w:bottom w:w="80" w:type="dxa"/>
              <w:right w:w="120" w:type="dxa"/>
            </w:tcMar>
          </w:tcPr>
          <w:p w14:paraId="5EFDB930" w14:textId="77777777" w:rsidR="00683F3B" w:rsidRDefault="00000000">
            <w:pPr>
              <w:spacing w:line="360" w:lineRule="auto"/>
            </w:pPr>
            <w:r>
              <w:rPr>
                <w:b/>
                <w:bCs/>
                <w:sz w:val="20"/>
                <w:szCs w:val="20"/>
              </w:rPr>
              <w:t>PESTEL Factor</w:t>
            </w:r>
          </w:p>
        </w:tc>
        <w:tc>
          <w:tcPr>
            <w:tcW w:w="4080" w:type="dxa"/>
            <w:tcBorders>
              <w:top w:val="single" w:sz="4" w:space="0" w:color="CCCCCC"/>
              <w:left w:val="single" w:sz="4" w:space="0" w:color="CCCCCC"/>
              <w:bottom w:val="single" w:sz="4" w:space="0" w:color="CCCCCC"/>
              <w:right w:val="single" w:sz="4" w:space="0" w:color="CCCCCC"/>
            </w:tcBorders>
            <w:shd w:val="clear" w:color="auto" w:fill="003087"/>
            <w:tcMar>
              <w:top w:w="80" w:type="dxa"/>
              <w:left w:w="120" w:type="dxa"/>
              <w:bottom w:w="80" w:type="dxa"/>
              <w:right w:w="120" w:type="dxa"/>
            </w:tcMar>
          </w:tcPr>
          <w:p w14:paraId="46B63EED" w14:textId="77777777" w:rsidR="00683F3B" w:rsidRDefault="00000000">
            <w:pPr>
              <w:spacing w:line="360" w:lineRule="auto"/>
            </w:pPr>
            <w:r>
              <w:rPr>
                <w:b/>
                <w:bCs/>
                <w:sz w:val="20"/>
                <w:szCs w:val="20"/>
              </w:rPr>
              <w:t>India</w:t>
            </w:r>
          </w:p>
        </w:tc>
        <w:tc>
          <w:tcPr>
            <w:tcW w:w="4080" w:type="dxa"/>
            <w:tcBorders>
              <w:top w:val="single" w:sz="4" w:space="0" w:color="CCCCCC"/>
              <w:left w:val="single" w:sz="4" w:space="0" w:color="CCCCCC"/>
              <w:bottom w:val="single" w:sz="4" w:space="0" w:color="CCCCCC"/>
              <w:right w:val="single" w:sz="4" w:space="0" w:color="CCCCCC"/>
            </w:tcBorders>
            <w:shd w:val="clear" w:color="auto" w:fill="003087"/>
            <w:tcMar>
              <w:top w:w="80" w:type="dxa"/>
              <w:left w:w="120" w:type="dxa"/>
              <w:bottom w:w="80" w:type="dxa"/>
              <w:right w:w="120" w:type="dxa"/>
            </w:tcMar>
          </w:tcPr>
          <w:p w14:paraId="5898F7CB" w14:textId="77777777" w:rsidR="00683F3B" w:rsidRDefault="00000000">
            <w:pPr>
              <w:spacing w:line="360" w:lineRule="auto"/>
            </w:pPr>
            <w:r>
              <w:rPr>
                <w:b/>
                <w:bCs/>
                <w:sz w:val="20"/>
                <w:szCs w:val="20"/>
              </w:rPr>
              <w:t>United Kingdom</w:t>
            </w:r>
          </w:p>
        </w:tc>
      </w:tr>
      <w:tr w:rsidR="00683F3B" w14:paraId="79467C65" w14:textId="77777777">
        <w:tc>
          <w:tcPr>
            <w:tcW w:w="12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2D1B5157" w14:textId="77777777" w:rsidR="00683F3B" w:rsidRDefault="00000000">
            <w:pPr>
              <w:spacing w:line="360" w:lineRule="auto"/>
            </w:pPr>
            <w:r>
              <w:rPr>
                <w:b/>
                <w:bCs/>
                <w:sz w:val="20"/>
                <w:szCs w:val="20"/>
              </w:rPr>
              <w:t>Political</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C0C3506" w14:textId="77777777" w:rsidR="00683F3B" w:rsidRDefault="00000000">
            <w:pPr>
              <w:spacing w:line="360" w:lineRule="auto"/>
            </w:pPr>
            <w:r>
              <w:rPr>
                <w:sz w:val="20"/>
                <w:szCs w:val="20"/>
              </w:rPr>
              <w:t>FDI liberalisation under 'Make in India'; mandatory 30% local sourcing for single-brand retail</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B5AE66B" w14:textId="77777777" w:rsidR="00683F3B" w:rsidRDefault="00000000">
            <w:pPr>
              <w:spacing w:line="360" w:lineRule="auto"/>
            </w:pPr>
            <w:r>
              <w:rPr>
                <w:sz w:val="20"/>
                <w:szCs w:val="20"/>
              </w:rPr>
              <w:t>Post-</w:t>
            </w:r>
            <w:proofErr w:type="spellStart"/>
            <w:r>
              <w:rPr>
                <w:sz w:val="20"/>
                <w:szCs w:val="20"/>
              </w:rPr>
              <w:t>Brexit</w:t>
            </w:r>
            <w:proofErr w:type="spellEnd"/>
            <w:r>
              <w:rPr>
                <w:sz w:val="20"/>
                <w:szCs w:val="20"/>
              </w:rPr>
              <w:t xml:space="preserve"> trade reconfiguration; government net zero commitments</w:t>
            </w:r>
          </w:p>
        </w:tc>
      </w:tr>
      <w:tr w:rsidR="00683F3B" w14:paraId="05F2CADA" w14:textId="77777777">
        <w:tc>
          <w:tcPr>
            <w:tcW w:w="1200" w:type="dxa"/>
            <w:tcBorders>
              <w:top w:val="single" w:sz="4" w:space="0" w:color="CCCCCC"/>
              <w:left w:val="single" w:sz="4" w:space="0" w:color="CCCCCC"/>
              <w:bottom w:val="single" w:sz="4" w:space="0" w:color="CCCCCC"/>
              <w:right w:val="single" w:sz="4" w:space="0" w:color="CCCCCC"/>
            </w:tcBorders>
            <w:shd w:val="clear" w:color="auto" w:fill="F2F2F2"/>
            <w:tcMar>
              <w:top w:w="80" w:type="dxa"/>
              <w:left w:w="120" w:type="dxa"/>
              <w:bottom w:w="80" w:type="dxa"/>
              <w:right w:w="120" w:type="dxa"/>
            </w:tcMar>
          </w:tcPr>
          <w:p w14:paraId="201F339E" w14:textId="77777777" w:rsidR="00683F3B" w:rsidRDefault="00000000">
            <w:pPr>
              <w:spacing w:line="360" w:lineRule="auto"/>
            </w:pPr>
            <w:r>
              <w:rPr>
                <w:b/>
                <w:bCs/>
                <w:sz w:val="20"/>
                <w:szCs w:val="20"/>
              </w:rPr>
              <w:t>Economic</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80BF0B7" w14:textId="77777777" w:rsidR="00683F3B" w:rsidRDefault="00000000">
            <w:pPr>
              <w:spacing w:line="360" w:lineRule="auto"/>
            </w:pPr>
            <w:r>
              <w:rPr>
                <w:sz w:val="20"/>
                <w:szCs w:val="20"/>
              </w:rPr>
              <w:t>Fastest-growing major economy; large price-sensitive middle class; rising disposable incomes</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D1E7ECA" w14:textId="77777777" w:rsidR="00683F3B" w:rsidRDefault="00000000">
            <w:pPr>
              <w:spacing w:line="360" w:lineRule="auto"/>
            </w:pPr>
            <w:r>
              <w:rPr>
                <w:sz w:val="20"/>
                <w:szCs w:val="20"/>
              </w:rPr>
              <w:t>Cost-of-living crisis; moderate GDP growth; high consumer debt levels</w:t>
            </w:r>
          </w:p>
        </w:tc>
      </w:tr>
      <w:tr w:rsidR="00683F3B" w14:paraId="34533F59" w14:textId="77777777">
        <w:tc>
          <w:tcPr>
            <w:tcW w:w="12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4E5CBAE7" w14:textId="77777777" w:rsidR="00683F3B" w:rsidRDefault="00000000">
            <w:pPr>
              <w:spacing w:line="360" w:lineRule="auto"/>
            </w:pPr>
            <w:r>
              <w:rPr>
                <w:b/>
                <w:bCs/>
                <w:sz w:val="20"/>
                <w:szCs w:val="20"/>
              </w:rPr>
              <w:t>Social</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67B021D" w14:textId="77777777" w:rsidR="00683F3B" w:rsidRDefault="00000000">
            <w:pPr>
              <w:spacing w:line="360" w:lineRule="auto"/>
            </w:pPr>
            <w:r>
              <w:rPr>
                <w:sz w:val="20"/>
                <w:szCs w:val="20"/>
              </w:rPr>
              <w:t>Joint-family living; smaller urban homes; low DIY culture; aspirational middle class</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80CF657" w14:textId="77777777" w:rsidR="00683F3B" w:rsidRDefault="00000000">
            <w:pPr>
              <w:spacing w:line="360" w:lineRule="auto"/>
            </w:pPr>
            <w:r>
              <w:rPr>
                <w:sz w:val="20"/>
                <w:szCs w:val="20"/>
              </w:rPr>
              <w:t>Nuclear families; sustainability awareness; time-poor consumers; strong DIY tradition</w:t>
            </w:r>
          </w:p>
        </w:tc>
      </w:tr>
      <w:tr w:rsidR="00683F3B" w14:paraId="354CEC4F" w14:textId="77777777">
        <w:tc>
          <w:tcPr>
            <w:tcW w:w="1200" w:type="dxa"/>
            <w:tcBorders>
              <w:top w:val="single" w:sz="4" w:space="0" w:color="CCCCCC"/>
              <w:left w:val="single" w:sz="4" w:space="0" w:color="CCCCCC"/>
              <w:bottom w:val="single" w:sz="4" w:space="0" w:color="CCCCCC"/>
              <w:right w:val="single" w:sz="4" w:space="0" w:color="CCCCCC"/>
            </w:tcBorders>
            <w:shd w:val="clear" w:color="auto" w:fill="F2F2F2"/>
            <w:tcMar>
              <w:top w:w="80" w:type="dxa"/>
              <w:left w:w="120" w:type="dxa"/>
              <w:bottom w:w="80" w:type="dxa"/>
              <w:right w:w="120" w:type="dxa"/>
            </w:tcMar>
          </w:tcPr>
          <w:p w14:paraId="78B207B4" w14:textId="77777777" w:rsidR="00683F3B" w:rsidRDefault="00000000">
            <w:pPr>
              <w:spacing w:line="360" w:lineRule="auto"/>
            </w:pPr>
            <w:r>
              <w:rPr>
                <w:b/>
                <w:bCs/>
                <w:sz w:val="20"/>
                <w:szCs w:val="20"/>
              </w:rPr>
              <w:t>Technological</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0DE8471" w14:textId="77777777" w:rsidR="00683F3B" w:rsidRDefault="00000000">
            <w:pPr>
              <w:spacing w:line="360" w:lineRule="auto"/>
            </w:pPr>
            <w:r>
              <w:rPr>
                <w:sz w:val="20"/>
                <w:szCs w:val="20"/>
              </w:rPr>
              <w:t>Digital India initiative; rapid e-commerce growth; mobile-first consumers</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38BCD39" w14:textId="77777777" w:rsidR="00683F3B" w:rsidRDefault="00000000">
            <w:pPr>
              <w:spacing w:line="360" w:lineRule="auto"/>
            </w:pPr>
            <w:r>
              <w:rPr>
                <w:sz w:val="20"/>
                <w:szCs w:val="20"/>
              </w:rPr>
              <w:t>High internet penetration (95%+); mature e-commerce; widespread AR adoption</w:t>
            </w:r>
          </w:p>
        </w:tc>
      </w:tr>
      <w:tr w:rsidR="00683F3B" w14:paraId="427E3DB0" w14:textId="77777777">
        <w:tc>
          <w:tcPr>
            <w:tcW w:w="1200" w:type="dxa"/>
            <w:tcBorders>
              <w:top w:val="single" w:sz="4" w:space="0" w:color="CCCCCC"/>
              <w:left w:val="single" w:sz="4" w:space="0" w:color="CCCCCC"/>
              <w:bottom w:val="single" w:sz="4" w:space="0" w:color="CCCCCC"/>
              <w:right w:val="single" w:sz="4" w:space="0" w:color="CCCCCC"/>
            </w:tcBorders>
            <w:shd w:val="clear" w:color="auto" w:fill="D6E4F0"/>
            <w:tcMar>
              <w:top w:w="80" w:type="dxa"/>
              <w:left w:w="120" w:type="dxa"/>
              <w:bottom w:w="80" w:type="dxa"/>
              <w:right w:w="120" w:type="dxa"/>
            </w:tcMar>
          </w:tcPr>
          <w:p w14:paraId="63125C0D" w14:textId="77777777" w:rsidR="00683F3B" w:rsidRDefault="00000000">
            <w:pPr>
              <w:spacing w:line="360" w:lineRule="auto"/>
            </w:pPr>
            <w:r>
              <w:rPr>
                <w:b/>
                <w:bCs/>
                <w:sz w:val="20"/>
                <w:szCs w:val="20"/>
              </w:rPr>
              <w:t>Environmental</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2625841" w14:textId="77777777" w:rsidR="00683F3B" w:rsidRDefault="00000000">
            <w:pPr>
              <w:spacing w:line="360" w:lineRule="auto"/>
            </w:pPr>
            <w:r>
              <w:rPr>
                <w:sz w:val="20"/>
                <w:szCs w:val="20"/>
              </w:rPr>
              <w:t>Increasing government focus on sustainability; consumer awareness growing</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1E0A748" w14:textId="77777777" w:rsidR="00683F3B" w:rsidRDefault="00000000">
            <w:pPr>
              <w:spacing w:line="360" w:lineRule="auto"/>
            </w:pPr>
            <w:r>
              <w:rPr>
                <w:sz w:val="20"/>
                <w:szCs w:val="20"/>
              </w:rPr>
              <w:t>Stringent environmental regulations; consumer preference for sustainable products</w:t>
            </w:r>
          </w:p>
        </w:tc>
      </w:tr>
      <w:tr w:rsidR="00683F3B" w14:paraId="07791D49" w14:textId="77777777">
        <w:tc>
          <w:tcPr>
            <w:tcW w:w="1200" w:type="dxa"/>
            <w:tcBorders>
              <w:top w:val="single" w:sz="4" w:space="0" w:color="CCCCCC"/>
              <w:left w:val="single" w:sz="4" w:space="0" w:color="CCCCCC"/>
              <w:bottom w:val="single" w:sz="4" w:space="0" w:color="CCCCCC"/>
              <w:right w:val="single" w:sz="4" w:space="0" w:color="CCCCCC"/>
            </w:tcBorders>
            <w:shd w:val="clear" w:color="auto" w:fill="F2F2F2"/>
            <w:tcMar>
              <w:top w:w="80" w:type="dxa"/>
              <w:left w:w="120" w:type="dxa"/>
              <w:bottom w:w="80" w:type="dxa"/>
              <w:right w:w="120" w:type="dxa"/>
            </w:tcMar>
          </w:tcPr>
          <w:p w14:paraId="00115C30" w14:textId="77777777" w:rsidR="00683F3B" w:rsidRDefault="00000000">
            <w:pPr>
              <w:spacing w:line="360" w:lineRule="auto"/>
            </w:pPr>
            <w:r>
              <w:rPr>
                <w:b/>
                <w:bCs/>
                <w:sz w:val="20"/>
                <w:szCs w:val="20"/>
              </w:rPr>
              <w:t>Legal</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50A4959" w14:textId="77777777" w:rsidR="00683F3B" w:rsidRDefault="00000000">
            <w:pPr>
              <w:spacing w:line="360" w:lineRule="auto"/>
            </w:pPr>
            <w:r>
              <w:rPr>
                <w:sz w:val="20"/>
                <w:szCs w:val="20"/>
              </w:rPr>
              <w:t>Complex FDI regulations; Consumer Protection Act 2019; GST implications</w:t>
            </w:r>
          </w:p>
        </w:tc>
        <w:tc>
          <w:tcPr>
            <w:tcW w:w="408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6AC9FBE" w14:textId="77777777" w:rsidR="00683F3B" w:rsidRDefault="00000000">
            <w:pPr>
              <w:spacing w:line="360" w:lineRule="auto"/>
            </w:pPr>
            <w:r>
              <w:rPr>
                <w:sz w:val="20"/>
                <w:szCs w:val="20"/>
              </w:rPr>
              <w:t>GDPR; Consumer Rights Act 2015; employment law post-</w:t>
            </w:r>
            <w:proofErr w:type="spellStart"/>
            <w:r>
              <w:rPr>
                <w:sz w:val="20"/>
                <w:szCs w:val="20"/>
              </w:rPr>
              <w:t>Brexit</w:t>
            </w:r>
            <w:proofErr w:type="spellEnd"/>
          </w:p>
        </w:tc>
      </w:tr>
    </w:tbl>
    <w:p w14:paraId="4C652427" w14:textId="77777777" w:rsidR="00683F3B" w:rsidRDefault="00000000">
      <w:pPr>
        <w:spacing w:before="80" w:after="160" w:line="360" w:lineRule="auto"/>
      </w:pPr>
      <w:r>
        <w:rPr>
          <w:i/>
          <w:iCs/>
          <w:color w:val="555555"/>
          <w:sz w:val="20"/>
          <w:szCs w:val="20"/>
        </w:rPr>
        <w:t>Table 1: Comparative PESTEL Analysis – IKEA in India and the UK</w:t>
      </w:r>
    </w:p>
    <w:p w14:paraId="5F28D391" w14:textId="77777777" w:rsidR="00683F3B" w:rsidRDefault="00000000">
      <w:pPr>
        <w:spacing w:before="180" w:after="80" w:line="360" w:lineRule="auto"/>
      </w:pPr>
      <w:r>
        <w:rPr>
          <w:b/>
          <w:bCs/>
          <w:i/>
          <w:iCs/>
          <w:color w:val="444444"/>
          <w:sz w:val="22"/>
          <w:szCs w:val="22"/>
        </w:rPr>
        <w:t>2.1 Political and Economic Factors</w:t>
      </w:r>
    </w:p>
    <w:p w14:paraId="3C4954FE" w14:textId="77777777" w:rsidR="00683F3B" w:rsidRDefault="00000000">
      <w:pPr>
        <w:spacing w:before="80" w:after="120" w:line="360" w:lineRule="auto"/>
        <w:jc w:val="both"/>
      </w:pPr>
      <w:r>
        <w:t xml:space="preserve">In India, the gradual liberalisation of the Government of India in Foreign Direct Investment (FDI) regulations in the single-brand retail market greatly influenced IKEA entry into the country, with 100% eventually permitted in 2012 with a compulsory condition requiring 30% of the goods sold to be sourced domestically after 5 years of business (DPIIT, 2020). Although this has paved the path to the entry of IKEA, there were the sourcing conditions that demanded significant reorganization in the supply chain. Politically, the Make in India initiative also encouraged manufacturing alliances in a country, which partially played into the IKEA sustainability strategy worldwide (Narayan and </w:t>
      </w:r>
      <w:proofErr w:type="spellStart"/>
      <w:r>
        <w:t>Raghavendra</w:t>
      </w:r>
      <w:proofErr w:type="spellEnd"/>
      <w:r>
        <w:t>, 2021). India is an outstanding economic opportunity: currently, it has a GDP of about USD 3.7 trillion in 2024, and by 2025, its urban middle-income segment is expected to grow to 583 million individuals, which implies that the potential of the market in terms of affordability and quality furniture is immense (</w:t>
      </w:r>
      <w:proofErr w:type="spellStart"/>
      <w:r>
        <w:t>Sheth</w:t>
      </w:r>
      <w:proofErr w:type="spellEnd"/>
      <w:r>
        <w:t>, 2020). Nonetheless, it is still highly price-sensitive and Indian consumer benchmark on the value of furniture is also significantly different as compared to European benchmarks.</w:t>
      </w:r>
    </w:p>
    <w:p w14:paraId="644E5CA7" w14:textId="77777777" w:rsidR="00683F3B" w:rsidRDefault="00000000">
      <w:pPr>
        <w:spacing w:before="80" w:after="120" w:line="360" w:lineRule="auto"/>
        <w:jc w:val="both"/>
      </w:pPr>
      <w:r>
        <w:t>In comparison, the operating environment of IKEA has been more difficult in the United Kingdom over the last few years. The post-</w:t>
      </w:r>
      <w:proofErr w:type="spellStart"/>
      <w:r>
        <w:t>brexit</w:t>
      </w:r>
      <w:proofErr w:type="spellEnd"/>
      <w:r>
        <w:t xml:space="preserve"> trade friction changed supply chains to new customs friction and pressures and implications on supply chains, which impacted product prices and availability (Fletcher and </w:t>
      </w:r>
      <w:proofErr w:type="spellStart"/>
      <w:r>
        <w:t>Hardill</w:t>
      </w:r>
      <w:proofErr w:type="spellEnd"/>
      <w:r>
        <w:t xml:space="preserve">, 2021). Consumer spending was limited by the cost-of-living crisis driven by high rates of inflation that hit its peak of 11.1 percent in 2022. However, the desire of the UK government to become net zero carbon emissions by 2050 has thrown regulation wind in the </w:t>
      </w:r>
      <w:proofErr w:type="spellStart"/>
      <w:r>
        <w:t>favor</w:t>
      </w:r>
      <w:proofErr w:type="spellEnd"/>
      <w:r>
        <w:t xml:space="preserve"> of retailers with proven sustainability credentials an area in which IKEA has made significant public pledges under its so-called People and Planet Positive sustainability policy (IKEA Group, 2023).</w:t>
      </w:r>
    </w:p>
    <w:p w14:paraId="2D455E57" w14:textId="77777777" w:rsidR="00683F3B" w:rsidRDefault="00000000">
      <w:pPr>
        <w:spacing w:before="180" w:after="80" w:line="360" w:lineRule="auto"/>
      </w:pPr>
      <w:r>
        <w:rPr>
          <w:b/>
          <w:bCs/>
          <w:i/>
          <w:iCs/>
          <w:color w:val="444444"/>
          <w:sz w:val="22"/>
          <w:szCs w:val="22"/>
        </w:rPr>
        <w:t>2.2 Social Factors: Consumer Behaviour and Culture</w:t>
      </w:r>
    </w:p>
    <w:p w14:paraId="59410A1E" w14:textId="77777777" w:rsidR="00683F3B" w:rsidRDefault="00000000">
      <w:pPr>
        <w:spacing w:before="80" w:after="120" w:line="360" w:lineRule="auto"/>
        <w:jc w:val="both"/>
      </w:pPr>
      <w:r>
        <w:t>The social aspect of PESTEL indicates, perhaps, the most significant disparities in the two markets that have direct repercussions on the way IKEA designs its products, the in-store experience, and marketing communications. In India, the joint-family system of household where several generations live in the same house provides demand to furniture that would give space to a high number of people living within the same house. Increasingly popular Mumbai or Delhi, urban apartments often have between 500 and 800 square feet of space, which means that it requires space-efficient and multifunctional furniture (</w:t>
      </w:r>
      <w:proofErr w:type="spellStart"/>
      <w:r>
        <w:t>Batra</w:t>
      </w:r>
      <w:proofErr w:type="spellEnd"/>
      <w:r>
        <w:t xml:space="preserve"> and </w:t>
      </w:r>
      <w:proofErr w:type="spellStart"/>
      <w:r>
        <w:t>Kazmi</w:t>
      </w:r>
      <w:proofErr w:type="spellEnd"/>
      <w:r>
        <w:t xml:space="preserve">, 2020). More importantly, DIY (Do It Yourself) spirit, which is the foundation of the IKEA value proposition, is not culturally inculcated in India. Making </w:t>
      </w:r>
      <w:proofErr w:type="spellStart"/>
      <w:r>
        <w:t>Flatpack</w:t>
      </w:r>
      <w:proofErr w:type="spellEnd"/>
      <w:r>
        <w:t xml:space="preserve"> furniture by many Indian consumers is seen as a minimization of status, but not as a demonstration of useful independence (Kapoor and Kulkarni, 2022). One of the ways in which IKEA reacted to this observation was low-cost assembly services in its stores in India, which is very unlike its worldwide business model.</w:t>
      </w:r>
    </w:p>
    <w:p w14:paraId="2F2E0AEC" w14:textId="77777777" w:rsidR="00683F3B" w:rsidRDefault="00000000">
      <w:pPr>
        <w:spacing w:before="80" w:after="120" w:line="360" w:lineRule="auto"/>
        <w:jc w:val="both"/>
      </w:pPr>
      <w:r>
        <w:t>The spread of cultural preferences also covers aesthetics. The rich and decorated style of furniture that could be linked with the traditionally craftsmanship is often valued by the Indian consumer, whereas the minimalist environment of Scandinavian design language of IKEA would not be appreciated. Yet, the emerging aspirational millennial group, urban, digitally connected, and brand-conscious seems to be more open to the current Scandinavian aesthetics, especially when framed as a modern and a high-quality and affordable one (Kumar and Singh, 2021). Moreover, religious and cultural cultures, like keeping of a puja (prayer) room at home, have made IKEA include culturally special lines of products in their Indian stores.</w:t>
      </w:r>
    </w:p>
    <w:p w14:paraId="1465DA67" w14:textId="77777777" w:rsidR="00683F3B" w:rsidRDefault="00000000">
      <w:pPr>
        <w:spacing w:before="80" w:after="120" w:line="360" w:lineRule="auto"/>
        <w:jc w:val="both"/>
      </w:pPr>
      <w:r>
        <w:t xml:space="preserve">The social relations in the UK are quite different. Nuclear families and single-occupancy households are more in line with the product range of IKEA. The UK consumer has a great DIY culture which has been enabled by an established home improvement culture which is enabled by the retailers like B&amp;Q and Homebase. The concern of sustainability is becoming stronger in the context of UK buying </w:t>
      </w:r>
      <w:proofErr w:type="spellStart"/>
      <w:r>
        <w:t>behavior</w:t>
      </w:r>
      <w:proofErr w:type="spellEnd"/>
      <w:r>
        <w:t>: a survey commissioned by Deloitte in 2022 reported that 32% of UK consumers were basing their purchase decisions on a brand-based criteria (Deloitte, 2022). This is a major brand alignment prospect of IKEA because this cultural disposition towards environmental responsibility has been publicly declared by the company, which aims to be climate positive by the year 2030 (IKEA Group, 2023). However, the issue of genuine sustainability (as opposed to greenwashing) is still relevant in the market that is characterized by a high level of consumer-focused scrutiny (</w:t>
      </w:r>
      <w:proofErr w:type="spellStart"/>
      <w:r>
        <w:t>Laufer</w:t>
      </w:r>
      <w:proofErr w:type="spellEnd"/>
      <w:r>
        <w:t>, 2021).</w:t>
      </w:r>
    </w:p>
    <w:p w14:paraId="22784CA7" w14:textId="77777777" w:rsidR="00683F3B" w:rsidRDefault="00000000">
      <w:pPr>
        <w:pStyle w:val="Heading2"/>
        <w:spacing w:line="360" w:lineRule="auto"/>
      </w:pPr>
      <w:r>
        <w:t>3. Comparative STP and International Marketing Mix (7Ps)</w:t>
      </w:r>
    </w:p>
    <w:p w14:paraId="7C217516" w14:textId="77777777" w:rsidR="00683F3B" w:rsidRDefault="00000000">
      <w:pPr>
        <w:spacing w:before="180" w:after="80" w:line="360" w:lineRule="auto"/>
      </w:pPr>
      <w:r>
        <w:rPr>
          <w:b/>
          <w:bCs/>
          <w:i/>
          <w:iCs/>
          <w:color w:val="444444"/>
          <w:sz w:val="22"/>
          <w:szCs w:val="22"/>
        </w:rPr>
        <w:t>3.1 Segmentation, Targeting, and Positioning (STP)</w:t>
      </w:r>
    </w:p>
    <w:p w14:paraId="2A95C5B4" w14:textId="77777777" w:rsidR="00683F3B" w:rsidRDefault="00000000">
      <w:pPr>
        <w:spacing w:before="80" w:after="120" w:line="360" w:lineRule="auto"/>
        <w:jc w:val="both"/>
      </w:pPr>
      <w:r>
        <w:t>International marketing needs strong STP strategies, which are tuned to the local market conditions (</w:t>
      </w:r>
      <w:proofErr w:type="spellStart"/>
      <w:r>
        <w:t>Hollensen</w:t>
      </w:r>
      <w:proofErr w:type="spellEnd"/>
      <w:r>
        <w:t xml:space="preserve">, 2020). In India, the segmentation of IKEA is mainly based on the geographical and the psychographic front. Geographically, the brand has focused its physical presence on Tier 1 cities - Hyderabad (2018), Mumbai (2020), Bengaluru (2021) and </w:t>
      </w:r>
      <w:proofErr w:type="spellStart"/>
      <w:r>
        <w:t>Navi</w:t>
      </w:r>
      <w:proofErr w:type="spellEnd"/>
      <w:r>
        <w:t xml:space="preserve"> Mumbai (2022) where the purchasing power and urban life are best aligned with the IKEA value proposition. IKEA is </w:t>
      </w:r>
      <w:proofErr w:type="spellStart"/>
      <w:r>
        <w:t>psychographically</w:t>
      </w:r>
      <w:proofErr w:type="spellEnd"/>
      <w:r>
        <w:t xml:space="preserve"> oriented to aspirational urban millennials between 22-40 years in age, have higher education levels, and already subjected to global consumer society via social media (Kapoor and Kulkarni, 2022). India positioning strategy is focused on affordable quality and modern lifestyle enablement, and it is a conscious strategy that the brand is not seen as the cheap furniture and at the same time, assures the value minded customers via the web that they will not be ripped off. This dual positioning is expressed via localised advertising campaigns that comprise of Indian family settings, such as multi-generational family settings and living in small apartments.</w:t>
      </w:r>
    </w:p>
    <w:p w14:paraId="4ECE55D8" w14:textId="77777777" w:rsidR="00683F3B" w:rsidRDefault="00000000">
      <w:pPr>
        <w:spacing w:before="80" w:after="120" w:line="360" w:lineRule="auto"/>
        <w:jc w:val="both"/>
      </w:pPr>
      <w:r>
        <w:t xml:space="preserve">IKEA segmentation in the UK is also significantly wider as it has a more developed brand presence since the opening of its first store in Warrington in 1987. The UK approach is based on the population demographic that targets students, young professionals, families with young children, and first-time homeowners in other words, anyone who is going through a life transition and in need of inexpensive, functional home furnishing. The UK is more about positioning based on sustainability, Swedish heritage and design innovation. There is heavy advertisement of the Second Life of Furniture buy-back programme, as well as the Sell Back programme, which targets the increasing number of consumers who are environmentally conscious (Fletcher and </w:t>
      </w:r>
      <w:proofErr w:type="spellStart"/>
      <w:r>
        <w:t>Hardill</w:t>
      </w:r>
      <w:proofErr w:type="spellEnd"/>
      <w:r>
        <w:t>, 2021). It is a complex repositioning strategy that will change the image of IKEA as a provider of cheap furniture to a supporter of the circular economy.</w:t>
      </w:r>
    </w:p>
    <w:p w14:paraId="5CC015EF" w14:textId="77777777" w:rsidR="00683F3B" w:rsidRDefault="00000000">
      <w:pPr>
        <w:spacing w:before="180" w:after="80" w:line="360" w:lineRule="auto"/>
      </w:pPr>
      <w:r>
        <w:rPr>
          <w:b/>
          <w:bCs/>
          <w:i/>
          <w:iCs/>
          <w:color w:val="444444"/>
          <w:sz w:val="22"/>
          <w:szCs w:val="22"/>
        </w:rPr>
        <w:t>3.2 International Marketing Mix (7Ps)</w:t>
      </w:r>
    </w:p>
    <w:p w14:paraId="50166331" w14:textId="77777777" w:rsidR="00683F3B" w:rsidRDefault="00000000">
      <w:pPr>
        <w:spacing w:before="80" w:after="120" w:line="360" w:lineRule="auto"/>
        <w:jc w:val="both"/>
      </w:pPr>
      <w:r>
        <w:t>The use of the extended marketing mix Product, Price, Place, Promotion, People, Process, and Physical Evidence displays the fundamental consistency of the global model, as well as the localisation necessary to work in culturally divergent markets of IKEA.</w:t>
      </w:r>
    </w:p>
    <w:p w14:paraId="05E821D3" w14:textId="77777777" w:rsidR="00683F3B" w:rsidRDefault="00000000">
      <w:pPr>
        <w:spacing w:before="80" w:after="120" w:line="360" w:lineRule="auto"/>
        <w:jc w:val="both"/>
      </w:pPr>
      <w:r>
        <w:t xml:space="preserve">Product: IKEA has prepared its products in India as a comprehensive and methodical process. Indian product assortments These products are puja corner furnishings, furniture that fits a balcony layout to match Indian apartment design, and additional assortment of space-saving, multifunctional products that align with the reality of smaller homes (Narayan and </w:t>
      </w:r>
      <w:proofErr w:type="spellStart"/>
      <w:r>
        <w:t>Raghavendra</w:t>
      </w:r>
      <w:proofErr w:type="spellEnd"/>
      <w:r>
        <w:t>, 2021). Given that Indian shoppers tend to seek storage options that hide more than show items, which is a tendency explained by social conventions concerning the tidiness, IKEA has increased the closed storage category. Its cafeterias in India have vegetarian food such as samosas, biryani and Indian snacks instead of Swedish meatballs as the special menu. Conversely, UK stores have a more conventional international product range, but recent launches are intentional indications of the sustainability initiative: recycled material products, kits to install solar panels, and modular kitchen systems, which are necessarily long-lasting, are gaining prominence (IKEA Group, 2023).</w:t>
      </w:r>
    </w:p>
    <w:p w14:paraId="35665905" w14:textId="77777777" w:rsidR="00683F3B" w:rsidRDefault="00000000">
      <w:pPr>
        <w:spacing w:before="80" w:after="120" w:line="360" w:lineRule="auto"/>
        <w:jc w:val="both"/>
      </w:pPr>
      <w:r>
        <w:t xml:space="preserve">Price: The pricing is one of the most important and complicated aspects of market adaptation of IKEA. In India, IKEA uses one penetration pricing model, where about 500 products have a price below INR 200 (around GBP 2), which is specifically adjusted to compete with local unstructured retailers and second-hand furniture markets (Kumar and Singh, 2021). The reduced prices can be attained partly due to local sourcing, IKEA relies on more than 50 in India, and partly because the product designs are subject to value engineering. The cost of operation, wages, rental, and supply chain logistics are higher than in the UK, yet IKEA remains at its value-for-money status in comparison to high-end furniture brands. In the UK, a loyalty card named a IKEA Family offers a specifically tailored discount, which helps maintain its customers through cost-of-living crises (Fletcher and </w:t>
      </w:r>
      <w:proofErr w:type="spellStart"/>
      <w:r>
        <w:t>Hardill</w:t>
      </w:r>
      <w:proofErr w:type="spellEnd"/>
      <w:r>
        <w:t>, 2021).</w:t>
      </w:r>
    </w:p>
    <w:p w14:paraId="3271E597" w14:textId="77777777" w:rsidR="00683F3B" w:rsidRDefault="00000000">
      <w:pPr>
        <w:spacing w:before="80" w:after="120" w:line="360" w:lineRule="auto"/>
        <w:jc w:val="both"/>
      </w:pPr>
      <w:r>
        <w:t xml:space="preserve">Place: IKEA distribution approach in India will be a combination of large format destination stores, as well as an evolving dynamism in e-commerce. The Hyderabad flagship store measuring 400,000 square feet across three floors became the first example of experiential retail in India (Kapoor and Kulkarni, 2022). Nevertheless, understanding that the destination store concept (where a consumer has to travel long distances) would be a barrier to access in the urban environments, which are congested in India, IKEA has opened smaller city-centre Plan and Order points in Bengaluru and invested heavily in its </w:t>
      </w:r>
      <w:proofErr w:type="spellStart"/>
      <w:r>
        <w:t>IKEA.in</w:t>
      </w:r>
      <w:proofErr w:type="spellEnd"/>
      <w:r>
        <w:t xml:space="preserve"> e-commerce platform, which </w:t>
      </w:r>
      <w:proofErr w:type="spellStart"/>
      <w:r>
        <w:t>fulfills</w:t>
      </w:r>
      <w:proofErr w:type="spellEnd"/>
      <w:r>
        <w:t xml:space="preserve"> orders, through collaborations with logistics providers. IKEA has 22 full format stores in the UK with a well-established click and collection network, same-day delivery in select locations, and an AR-enhanced shopping app (IKEA Space Creator), which enables customers to design furniture in their homes to buy (IKEA Group, 2023).</w:t>
      </w:r>
    </w:p>
    <w:p w14:paraId="5681A45A" w14:textId="77777777" w:rsidR="00683F3B" w:rsidRDefault="00000000">
      <w:pPr>
        <w:spacing w:before="80" w:after="120" w:line="360" w:lineRule="auto"/>
        <w:jc w:val="both"/>
      </w:pPr>
      <w:r>
        <w:t xml:space="preserve">Promotion: The Indian promotional strategy of IKEA is denoted by digital-first campaigns that have culturally charged appeals. Through social media, which is active among the Indian population, Instagram, YouTube, and more recently, </w:t>
      </w:r>
      <w:proofErr w:type="spellStart"/>
      <w:r>
        <w:t>Meesho</w:t>
      </w:r>
      <w:proofErr w:type="spellEnd"/>
      <w:r>
        <w:t xml:space="preserve">-like community shopping, the brand has been able to create brand awareness, especially with the younger age groups. Projects like Starting is Everything featured the Indian millennials furnishing their first independent homes, and it was a direct appeal to the cultural story of the aspiration and independence in a manner that appealed to the target segment (Narayan and </w:t>
      </w:r>
      <w:proofErr w:type="spellStart"/>
      <w:r>
        <w:t>Raghavendra</w:t>
      </w:r>
      <w:proofErr w:type="spellEnd"/>
      <w:r>
        <w:t xml:space="preserve">, 2021). The promotional approach by IKEA in the UK becomes more and more proactive in relation to sustainability and community. The Live </w:t>
      </w:r>
      <w:proofErr w:type="spellStart"/>
      <w:r>
        <w:t>Lagom</w:t>
      </w:r>
      <w:proofErr w:type="spellEnd"/>
      <w:r>
        <w:t xml:space="preserve"> project, an allusion to the Swedish idea of balance and moderation, has placed IKEA as the partner of sustainable living with UK customers taking the role of testing sustainable home products and reporting their experience (IKEA Group, 2023). The UK approach outlays more money on television and Out-of-Home (OOH) media compared to the US market, which uses more money on digital advertising since there is higher media consumption of the media in these media.</w:t>
      </w:r>
    </w:p>
    <w:p w14:paraId="468AEA02" w14:textId="77777777" w:rsidR="00683F3B" w:rsidRDefault="00000000">
      <w:pPr>
        <w:spacing w:before="80" w:after="120" w:line="360" w:lineRule="auto"/>
        <w:jc w:val="both"/>
      </w:pPr>
      <w:r>
        <w:t>People: IKEA people strategy in India focuses on hiring locally and diversity of workforce. The company also made the initial commitment to hire 50 percent of women in its Indian workforce, which is quite an impressive step considering the existing gender employment disparities in Indian retail (Kapoor and Kulkarni, 2022). The local employees are indoctrinated in product knowledge and the style of customer interaction tailored to Indian consumer needs such as the patience with the protracted browsing behaviour and the readiness to offer personal service, the bane of the conventional IKEA self-service approach. People strategy in the UK is based on the welfare of employees, the Living Wage: IKEA became one of the first major retailers to use the Living Wage Foundation rates and has always been high in the rating of employers (CIPD, 2021).</w:t>
      </w:r>
    </w:p>
    <w:p w14:paraId="5A403C58" w14:textId="77777777" w:rsidR="00683F3B" w:rsidRDefault="00000000">
      <w:pPr>
        <w:spacing w:before="80" w:after="120" w:line="360" w:lineRule="auto"/>
        <w:jc w:val="both"/>
      </w:pPr>
      <w:r>
        <w:t xml:space="preserve">Process: The service process in India has undergone the basic re-engineering. Contrary to IKEA model, where the customers are expected to self-shop and select products in the stores and assemble furniture themselves, the Indian stores will present </w:t>
      </w:r>
      <w:proofErr w:type="spellStart"/>
      <w:r>
        <w:t>residenced</w:t>
      </w:r>
      <w:proofErr w:type="spellEnd"/>
      <w:r>
        <w:t xml:space="preserve"> product selections, home delivery, at a competitive price and professional assembling options, since the DIY culture is still in its early development. This model of assisted self-service is a hybrid model that maintains cost-efficiencies at IKEA and meets the needs of the local consumer (Kumar and Singh, 2021). IKEA in the UK is quite digitised: self-checkout, mobile payment, smart-cart system, and AI-based customer service </w:t>
      </w:r>
      <w:proofErr w:type="spellStart"/>
      <w:r>
        <w:t>chatbots</w:t>
      </w:r>
      <w:proofErr w:type="spellEnd"/>
      <w:r>
        <w:t xml:space="preserve"> have been gradually implemented, which have significantly shortened the queuing time and cost of work.</w:t>
      </w:r>
    </w:p>
    <w:p w14:paraId="6D57F234" w14:textId="77777777" w:rsidR="00683F3B" w:rsidRDefault="00000000">
      <w:pPr>
        <w:spacing w:before="80" w:after="120" w:line="360" w:lineRule="auto"/>
        <w:jc w:val="both"/>
      </w:pPr>
      <w:r>
        <w:t xml:space="preserve">Physical Evidence: The iconic in-store experience that IKEA already has in both markets - the mazing showroom, whose room settings are complete with fully furnished rooms - is substantially localized. Indian showrooms have room sets that are based on the more-common Mumbai or Delhi apartment layouts, like small kitchens, balcony gardens and puja corners, which offer aspirational but recognizable vignettes to urban Indian consumers. UK showrooms have also launched small space solution room and sustainability demonstrations areas displaying the environmental credentials of products in response to a consumer need to have evidence of a brand in real life (Fletcher and </w:t>
      </w:r>
      <w:proofErr w:type="spellStart"/>
      <w:r>
        <w:t>Hardill</w:t>
      </w:r>
      <w:proofErr w:type="spellEnd"/>
      <w:r>
        <w:t>, 2021).</w:t>
      </w:r>
    </w:p>
    <w:p w14:paraId="61F3A6DB" w14:textId="77777777" w:rsidR="00683F3B" w:rsidRDefault="00683F3B">
      <w:pPr>
        <w:spacing w:before="80" w:after="120" w:line="360" w:lineRule="auto"/>
        <w:jc w:val="both"/>
      </w:pPr>
    </w:p>
    <w:p w14:paraId="5B550409" w14:textId="77777777" w:rsidR="00683F3B" w:rsidRDefault="00000000">
      <w:pPr>
        <w:pStyle w:val="Heading2"/>
        <w:spacing w:line="360" w:lineRule="auto"/>
      </w:pPr>
      <w:r>
        <w:t>4. Directional Development Strategy: IKEA in India</w:t>
      </w:r>
    </w:p>
    <w:p w14:paraId="6788BD5C" w14:textId="77777777" w:rsidR="00683F3B" w:rsidRDefault="00000000">
      <w:pPr>
        <w:spacing w:before="80" w:after="120" w:line="360" w:lineRule="auto"/>
        <w:jc w:val="both"/>
      </w:pPr>
      <w:r>
        <w:t xml:space="preserve">In order to examine the growth path of IKEA in India, the report will use the </w:t>
      </w:r>
      <w:proofErr w:type="spellStart"/>
      <w:r>
        <w:t>Ansoff</w:t>
      </w:r>
      <w:proofErr w:type="spellEnd"/>
      <w:r>
        <w:t xml:space="preserve"> Growth Matrix (</w:t>
      </w:r>
      <w:proofErr w:type="spellStart"/>
      <w:r>
        <w:t>Ansoff</w:t>
      </w:r>
      <w:proofErr w:type="spellEnd"/>
      <w:r>
        <w:t>, 1957, cited in Johnson et al., 2023), which plots the strategies to pursue in two dimensions, namely markets (existing or new), and products (existing or new).</w:t>
      </w:r>
    </w:p>
    <w:p w14:paraId="03D56870" w14:textId="77777777" w:rsidR="00683F3B" w:rsidRDefault="00000000">
      <w:pPr>
        <w:spacing w:before="80" w:after="120" w:line="360" w:lineRule="auto"/>
        <w:jc w:val="both"/>
      </w:pPr>
      <w:r>
        <w:t xml:space="preserve">Market Penetration: The first strategic task that IKEA needs to achieve in the Indian market is further penetration of Tier 1 cities, which the company already serves. These include more foot traffic in the stores by use of the loyalty schemes, augmenting the e-commerce experience and augmenting the Plan and Order touch-points. Since brand awareness, though increasing at a rapid pace, is significantly low compared to other players in the incumbents, including Urban Ladder, </w:t>
      </w:r>
      <w:proofErr w:type="spellStart"/>
      <w:r>
        <w:t>Pepperfry</w:t>
      </w:r>
      <w:proofErr w:type="spellEnd"/>
      <w:r>
        <w:t>, and local unorganised markets, market penetration should be supported by the sustained efforts to build the brand and maintain competitiveness in pricing (</w:t>
      </w:r>
      <w:proofErr w:type="spellStart"/>
      <w:r>
        <w:t>Sheth</w:t>
      </w:r>
      <w:proofErr w:type="spellEnd"/>
      <w:r>
        <w:t>, 2020).</w:t>
      </w:r>
    </w:p>
    <w:p w14:paraId="2D144763" w14:textId="77777777" w:rsidR="00683F3B" w:rsidRDefault="00000000">
      <w:pPr>
        <w:spacing w:before="80" w:after="120" w:line="360" w:lineRule="auto"/>
        <w:jc w:val="both"/>
      </w:pPr>
      <w:r>
        <w:t xml:space="preserve">Market Development: Tier 2 and Tier 3 city expansion, Pune, Ahmedabad, Chennai and Jaipur, is equally important strategically because of the growing aspirational middle-class that is digitally linked. IKEA has been giving signals in this direction with its e-commerce growth and exploration of the concept of smaller-format stores that can fit cities with the lack of the physical infrastructure needed to host destination megastores (Narayan and </w:t>
      </w:r>
      <w:proofErr w:type="spellStart"/>
      <w:r>
        <w:t>Raghavendra</w:t>
      </w:r>
      <w:proofErr w:type="spellEnd"/>
      <w:r>
        <w:t xml:space="preserve">, 2021). In the smaller cities, the difference in price sensitivities and consumers profile are greater and therefore the risk in this quadrant of the </w:t>
      </w:r>
      <w:proofErr w:type="spellStart"/>
      <w:r>
        <w:t>Ansoff</w:t>
      </w:r>
      <w:proofErr w:type="spellEnd"/>
      <w:r>
        <w:t xml:space="preserve"> matrix is greater and requires additional product localisation and price adjustment.</w:t>
      </w:r>
    </w:p>
    <w:p w14:paraId="7E036B5D" w14:textId="77777777" w:rsidR="00683F3B" w:rsidRDefault="00000000">
      <w:pPr>
        <w:spacing w:before="80" w:after="120" w:line="360" w:lineRule="auto"/>
        <w:jc w:val="both"/>
      </w:pPr>
      <w:r>
        <w:t>Product Development: IKEA is also considering co-created products lines based on partnership with Indian designers and craftspeople - a strategy that can both cater to local aesthetic interests, as well as consider the 30% local sourcing requirement, and produce positive publicity with the promotion of Indian artisanal heritage. An example of this strategy is the design of the FORNIMMA line, created in collaboration with the Indian craftsmen, which combines the functional philosophy of IKEA with the Indian culture of craftsmanship (Kumar and Singh, 2021).</w:t>
      </w:r>
    </w:p>
    <w:p w14:paraId="643ADD26" w14:textId="77777777" w:rsidR="00683F3B" w:rsidRDefault="00000000">
      <w:pPr>
        <w:spacing w:before="80" w:after="120" w:line="360" w:lineRule="auto"/>
        <w:jc w:val="both"/>
      </w:pPr>
      <w:r>
        <w:t>Diversification: Although IKEA is still unlikely to fully diversify in the near future, its investment into its Indian concept in food and hospitality the cafeteria and its further vision of restaurants can be seen as a slight diversification of its sources of revenue. Indian-adapted food menus have increased footfall and dwell time which have added up in overall store experience and made Indian cafeterias of IKEA their own place of worship in the culturally-oriented shopping of Indians (</w:t>
      </w:r>
      <w:proofErr w:type="spellStart"/>
      <w:r>
        <w:t>Batra</w:t>
      </w:r>
      <w:proofErr w:type="spellEnd"/>
      <w:r>
        <w:t xml:space="preserve"> and </w:t>
      </w:r>
      <w:proofErr w:type="spellStart"/>
      <w:r>
        <w:t>Kazmi</w:t>
      </w:r>
      <w:proofErr w:type="spellEnd"/>
      <w:r>
        <w:t>, 2020).</w:t>
      </w:r>
    </w:p>
    <w:p w14:paraId="4142D924" w14:textId="77777777" w:rsidR="00683F3B" w:rsidRDefault="00000000">
      <w:pPr>
        <w:pStyle w:val="Heading2"/>
        <w:spacing w:line="360" w:lineRule="auto"/>
      </w:pPr>
      <w:r>
        <w:t>5. Ethical Issues in IKEA's Marketing Mix</w:t>
      </w:r>
    </w:p>
    <w:p w14:paraId="3C9107DB" w14:textId="77777777" w:rsidR="00683F3B" w:rsidRDefault="00000000">
      <w:pPr>
        <w:spacing w:before="80" w:after="120" w:line="360" w:lineRule="auto"/>
        <w:jc w:val="both"/>
      </w:pPr>
      <w:r>
        <w:t>An analytical assessment of the international marketing operations by IKEA indicates that there are a number of ethically ambiguous aspects of the two markets. The compulsory 30 percent local sourcing policy in India, although seemingly advantageous to the local suppliers in the country, has raised issues on labour standards within the IKEA India supply network. Non-governmental organisations have documented cases of poor working conditions, low salary, and risks of child labour among suppliers at the lower tier, which IKEA attempts to solve through its IWAY Supplier Code of Conduct but has failed to do so in practice in full (</w:t>
      </w:r>
      <w:proofErr w:type="spellStart"/>
      <w:r>
        <w:t>Laufer</w:t>
      </w:r>
      <w:proofErr w:type="spellEnd"/>
      <w:r>
        <w:t>, 2021). And ethical imperative to carry out stringent due diligence in its supply chain goes beyond first-tier suppliers as to knots of subcontractors that make the Indian manufacturing.</w:t>
      </w:r>
    </w:p>
    <w:p w14:paraId="22E724DE" w14:textId="77777777" w:rsidR="00683F3B" w:rsidRDefault="00000000">
      <w:pPr>
        <w:spacing w:before="80" w:after="120" w:line="360" w:lineRule="auto"/>
        <w:jc w:val="both"/>
      </w:pPr>
      <w:r>
        <w:t>The pricing policy of IKEA in India, although commercially logical, creates question marks regarding its effectiveness in the long term in terms of its influence on the informal furniture markets in India and small craftsmen. It threatens the traditional craft communities by introducing aggressively priced, standardised products that would dominate parts of the furniture market that are traditionally dominated by local craftspeople (Kapoor and Kulkarni, 2022). This conflict between corporate market growth and societal social and economic well-being of local craftsmen is a true ethical dilemma that IKEA needs to address more openly.</w:t>
      </w:r>
    </w:p>
    <w:p w14:paraId="187E16FE" w14:textId="77777777" w:rsidR="00683F3B" w:rsidRDefault="00000000">
      <w:pPr>
        <w:spacing w:before="80" w:after="120" w:line="360" w:lineRule="auto"/>
        <w:jc w:val="both"/>
      </w:pPr>
      <w:r>
        <w:t xml:space="preserve">Environmental watchdogs and journalists have questioned the sustainability assertions by IKEA in the UK. In a 2020 report by The Guardian, supposed connections between IKEA wood supply chain and illegal deforestation in Ukraine were noted, and supposedly the sustainability of the forestry practices applied by the company, such as FSC (Forest Stewardship Council) certification, might not be enough to ensure ethical sourcing of wood in the supply chain (The Guardian, 2020, cited in </w:t>
      </w:r>
      <w:proofErr w:type="spellStart"/>
      <w:r>
        <w:t>Laufer</w:t>
      </w:r>
      <w:proofErr w:type="spellEnd"/>
      <w:r>
        <w:t>, 2021). Although IKEA has acted to mitigate these issues and has strong public sustainability commitments, the disconnect between the messages and supply chain facts is a significant reputational and ethical risk that the brand should still endeavour to fill in with rigour and disclosure.</w:t>
      </w:r>
    </w:p>
    <w:p w14:paraId="3844C68C" w14:textId="77777777" w:rsidR="00683F3B" w:rsidRDefault="00000000">
      <w:pPr>
        <w:spacing w:before="80" w:after="120" w:line="360" w:lineRule="auto"/>
        <w:jc w:val="both"/>
      </w:pPr>
      <w:r>
        <w:t>Moreover, the personalised digital marketing by IKEA in the UK is based on the use of consumer data, but there are concerns about the transparency of data policies use and whether consumers substantially agree to be profiled based on their behaviour to market their products (Deloitte, 2022). As the digital rights awareness is rising, the marketing activities of IKEA in this field deserve constant ethical evaluation.</w:t>
      </w:r>
    </w:p>
    <w:p w14:paraId="4181AC25" w14:textId="77777777" w:rsidR="00683F3B" w:rsidRDefault="00000000">
      <w:pPr>
        <w:pStyle w:val="Heading2"/>
        <w:spacing w:line="360" w:lineRule="auto"/>
      </w:pPr>
      <w:r>
        <w:t>6. Strategic Recommendations</w:t>
      </w:r>
    </w:p>
    <w:p w14:paraId="26B5E5A1" w14:textId="77777777" w:rsidR="00683F3B" w:rsidRDefault="00000000">
      <w:pPr>
        <w:spacing w:before="80" w:after="120" w:line="360" w:lineRule="auto"/>
        <w:jc w:val="both"/>
      </w:pPr>
      <w:r>
        <w:t>Following the analysis above, the following strategic suggestions are offered in the further international marketing expansion of IKEA in India and the UK.</w:t>
      </w:r>
    </w:p>
    <w:p w14:paraId="2B371154" w14:textId="77777777" w:rsidR="00683F3B" w:rsidRDefault="00000000">
      <w:pPr>
        <w:spacing w:before="80" w:after="120" w:line="360" w:lineRule="auto"/>
        <w:jc w:val="both"/>
      </w:pPr>
      <w:r>
        <w:t>India Digital-First Expansion: IKEA ought to increase its investment in its Indian online store, taking advantage of the mobile-first internet infrastructure in India to target consumers in Tier 2 and Tier 3 cities without requiring the capital requirements of a full format store. Alliances with the Indian logistics companies that have been established will be essential in providing the assurance of delivery reliability in the geographically complicated markets (</w:t>
      </w:r>
      <w:proofErr w:type="spellStart"/>
      <w:r>
        <w:t>Sheth</w:t>
      </w:r>
      <w:proofErr w:type="spellEnd"/>
      <w:r>
        <w:t>, 2020). The introduction of augmented reality (AR) room-planning technologies, which can be modified to fit the Indian apartment size, may help to alleviate purchase hesitancy to a considerable extent, especially with the first-time buyers that are not aware of the IKEA product system (Kumar and Singh, 2021).</w:t>
      </w:r>
    </w:p>
    <w:p w14:paraId="7AA0940F" w14:textId="77777777" w:rsidR="00683F3B" w:rsidRDefault="00000000">
      <w:pPr>
        <w:spacing w:before="80" w:after="120" w:line="360" w:lineRule="auto"/>
        <w:jc w:val="both"/>
      </w:pPr>
      <w:r>
        <w:t xml:space="preserve">India - Supply Chain Ethics: IKEA needs to enhance its supply chain governance structures in India, and goes beyond the first-tier suppliers of its suppliers with IWAY compliance requirements to the entire supplier ecosystem. Development of supplier capability (such as health, safety, and labour standards training) will aid compliance and create a real socioeconomic value within Indian manufacturing communities (Narayan and </w:t>
      </w:r>
      <w:proofErr w:type="spellStart"/>
      <w:r>
        <w:t>Raghavendra</w:t>
      </w:r>
      <w:proofErr w:type="spellEnd"/>
      <w:r>
        <w:t>, 2021). There would be increased credibility through publishing transparent, independently verified annual supply chain reports where ethically minded consumers and institutional stakeholders would be concerned.</w:t>
      </w:r>
    </w:p>
    <w:p w14:paraId="7D5D0DC3" w14:textId="77777777" w:rsidR="00683F3B" w:rsidRDefault="00000000">
      <w:pPr>
        <w:spacing w:before="80" w:after="120" w:line="360" w:lineRule="auto"/>
        <w:jc w:val="both"/>
      </w:pPr>
      <w:r>
        <w:t xml:space="preserve">UK Circular Economy Leadership: UK market is an opportunity that puts IKEA in a position to be the ultimate circular economy retailer. The expansion of the Second Life buy-back programme, the provision of more refurbished IKEA items in specific sections of the stores in the UK, and the investment in the repair of products and their durability would bring the brand closer to the net-zero aspirations of the UK and distinguish between the IKEA and fast-furniture brands (Fletcher and </w:t>
      </w:r>
      <w:proofErr w:type="spellStart"/>
      <w:r>
        <w:t>Hardill</w:t>
      </w:r>
      <w:proofErr w:type="spellEnd"/>
      <w:r>
        <w:t>, 2021). To entrench this positioning, it would be even better to collaborate with UK universities and research institutions on sustainable materials innovation.</w:t>
      </w:r>
    </w:p>
    <w:p w14:paraId="75E5FDE1" w14:textId="77777777" w:rsidR="00683F3B" w:rsidRDefault="00000000">
      <w:pPr>
        <w:spacing w:before="80" w:after="120" w:line="360" w:lineRule="auto"/>
        <w:jc w:val="both"/>
      </w:pPr>
      <w:r>
        <w:t xml:space="preserve">Both Markets Data Ethics: IKEA needs to take the initiative and increase the accessibility and visibility of its data usage policies in the digital </w:t>
      </w:r>
      <w:proofErr w:type="spellStart"/>
      <w:r>
        <w:t>touchpoints</w:t>
      </w:r>
      <w:proofErr w:type="spellEnd"/>
      <w:r>
        <w:t xml:space="preserve"> of India and the UK to go beyond the minimum regulatory compliance and empowerment of consumers. Having defined opt-in controls, plain language data policies and frequent consumer communications on how the data is used would provide trust, especially among the privacy-conscious consumers in the UK and an ever-growing digitally advanced Indian consumer population (Deloitte, 2022).</w:t>
      </w:r>
    </w:p>
    <w:p w14:paraId="13498D50" w14:textId="77777777" w:rsidR="00683F3B" w:rsidRDefault="00000000">
      <w:pPr>
        <w:spacing w:before="80" w:after="120" w:line="360" w:lineRule="auto"/>
        <w:jc w:val="both"/>
      </w:pPr>
      <w:r>
        <w:t>The two Markets: Cultural Intelligence Investment: IKEA needs to instil cultural intelligence as a central marketing competency and set up specific local marketing research units in both India and the UK with the responsibility of constantly tracking the changes in consumer behaviours, cultural inclinations and competing forces. This rate of cultural transformation, specifically in the fast urbanisation of the Indian society, is what creates the need in an agile, data-aware marketing department that will be able to make changes to the marketing mix in almost real time (</w:t>
      </w:r>
      <w:proofErr w:type="spellStart"/>
      <w:r>
        <w:t>Hollensen</w:t>
      </w:r>
      <w:proofErr w:type="spellEnd"/>
      <w:r>
        <w:t>, 2020).</w:t>
      </w:r>
    </w:p>
    <w:p w14:paraId="07BEF12F" w14:textId="77777777" w:rsidR="00683F3B" w:rsidRDefault="00683F3B">
      <w:pPr>
        <w:spacing w:line="360" w:lineRule="auto"/>
      </w:pPr>
    </w:p>
    <w:p w14:paraId="4337579D" w14:textId="77777777" w:rsidR="00683F3B" w:rsidRDefault="00000000">
      <w:pPr>
        <w:pStyle w:val="Heading1"/>
        <w:pBdr>
          <w:bottom w:val="single" w:sz="6" w:space="4" w:color="003087"/>
        </w:pBdr>
        <w:spacing w:line="360" w:lineRule="auto"/>
      </w:pPr>
      <w:r>
        <w:t>Section 2: Reflective Account</w:t>
      </w:r>
    </w:p>
    <w:p w14:paraId="3D28FD13" w14:textId="77777777" w:rsidR="00683F3B" w:rsidRDefault="00000000">
      <w:pPr>
        <w:pStyle w:val="Heading2"/>
        <w:spacing w:line="360" w:lineRule="auto"/>
      </w:pPr>
      <w:r>
        <w:t>7. Reflective Account Using Gibbs' Reflective Cycle</w:t>
      </w:r>
    </w:p>
    <w:p w14:paraId="68818FFA" w14:textId="77777777" w:rsidR="00683F3B" w:rsidRDefault="00000000">
      <w:pPr>
        <w:spacing w:before="80" w:after="120" w:line="360" w:lineRule="auto"/>
        <w:jc w:val="both"/>
      </w:pPr>
      <w:r>
        <w:t>A systematic model of experiential reflection is the Gibbs Reflective Cycle (Gibbs, 1988, cited in Moon, 2021) that includes six steps: Description, Feelings, Evaluation, Analysis, Conclusion, and Action Plan. This part relates the cycle to my research, analysis and writing of Section 1 of this assessment.</w:t>
      </w:r>
    </w:p>
    <w:p w14:paraId="4D7D4E00" w14:textId="77777777" w:rsidR="00683F3B" w:rsidRDefault="00000000">
      <w:pPr>
        <w:spacing w:before="180" w:after="80" w:line="360" w:lineRule="auto"/>
      </w:pPr>
      <w:r>
        <w:rPr>
          <w:b/>
          <w:bCs/>
          <w:i/>
          <w:iCs/>
          <w:color w:val="444444"/>
          <w:sz w:val="22"/>
          <w:szCs w:val="22"/>
        </w:rPr>
        <w:t>7.1 Description</w:t>
      </w:r>
    </w:p>
    <w:p w14:paraId="5B262A38" w14:textId="77777777" w:rsidR="00683F3B" w:rsidRDefault="00000000">
      <w:pPr>
        <w:spacing w:before="80" w:after="120" w:line="360" w:lineRule="auto"/>
        <w:jc w:val="both"/>
      </w:pPr>
      <w:r>
        <w:t xml:space="preserve">The assignment involved my undertaking comparative international marketing research on one multinational brand in two nations. I have chosen IKEA due to its strong paradox of global brand consistency and thoroughly documented localisation, especially its penetration into the Indian market, which I have come across in my undergraduate research but never studied in depth. The duration of the research was about three weeks which included the examination of academic journal articles, industry reports, sustainability and annual reports of IKEA and reputable news media. I used such frameworks as PESTEL, STP, marketing mix 7Ps, Growth Matrix by </w:t>
      </w:r>
      <w:proofErr w:type="spellStart"/>
      <w:r>
        <w:t>Ansoff</w:t>
      </w:r>
      <w:proofErr w:type="spellEnd"/>
      <w:r>
        <w:t>, and Reflective Cycle by Gibbs and applied them to the situation of the operations of IKEA in India and UK.</w:t>
      </w:r>
    </w:p>
    <w:p w14:paraId="622E867A" w14:textId="77777777" w:rsidR="00683F3B" w:rsidRDefault="00000000">
      <w:pPr>
        <w:spacing w:before="180" w:after="80" w:line="360" w:lineRule="auto"/>
      </w:pPr>
      <w:r>
        <w:rPr>
          <w:b/>
          <w:bCs/>
          <w:i/>
          <w:iCs/>
          <w:color w:val="444444"/>
          <w:sz w:val="22"/>
          <w:szCs w:val="22"/>
        </w:rPr>
        <w:t>7.2 Feelings</w:t>
      </w:r>
    </w:p>
    <w:p w14:paraId="2DE9D1E2" w14:textId="77777777" w:rsidR="00683F3B" w:rsidRDefault="00000000">
      <w:pPr>
        <w:spacing w:before="80" w:after="120" w:line="360" w:lineRule="auto"/>
        <w:jc w:val="both"/>
      </w:pPr>
      <w:r>
        <w:t>I had both excitement and fear at the beginning. This passion was fuelled by authentic intellectual interest in how a company with as culturally specific a heritage as IKEA one based on Swedish design and a distinctly Nordic philosophy of domestic life, could manage to make a successful entry into the radically different cultural environment of India. The fear was the multidimensionality of using a number of analytical schemes at once and keeping the level as critical as it should be deep rather than superficial. With the course of the research, I increasingly became certain of my capacity to draw together vast amounts of information into analytical argument. Nevertheless, there were instances of frustration as academic literature was giving inconsistent evaluations of the IKEA strategy in India and I had to use more resources and judgement regarding the primary sources (Moon, 2021).</w:t>
      </w:r>
    </w:p>
    <w:p w14:paraId="7E25A397" w14:textId="77777777" w:rsidR="00683F3B" w:rsidRDefault="00000000">
      <w:pPr>
        <w:spacing w:before="180" w:after="80" w:line="360" w:lineRule="auto"/>
      </w:pPr>
      <w:r>
        <w:rPr>
          <w:b/>
          <w:bCs/>
          <w:i/>
          <w:iCs/>
          <w:color w:val="444444"/>
          <w:sz w:val="22"/>
          <w:szCs w:val="22"/>
        </w:rPr>
        <w:t>7.3 Evaluation</w:t>
      </w:r>
    </w:p>
    <w:p w14:paraId="0501C58E" w14:textId="77777777" w:rsidR="00683F3B" w:rsidRDefault="00000000">
      <w:pPr>
        <w:spacing w:before="80" w:after="120" w:line="360" w:lineRule="auto"/>
        <w:jc w:val="both"/>
      </w:pPr>
      <w:r>
        <w:t>It was a generally positive experience in the intellectual development but not free of difficulties. The positive aspect was that the PESTEL framework was able to produce comparatively organized macro-level information in both countries effectively. The breadth of the framework also helped me to avoid the problem of being captured by inadvertent oversights as to why I overlooked dimensions such as legal factors because I would otherwise have underweighted these factors. The analysis of the 7Ps was especially enlightening: through the perspective of this analysis the full scope of Indian adaptation by IKEA was revealed, and adaptations were much deeper than I had previously thought. This was more difficult than in the ethical part where I had a temptation to take a strictly critical position or a strictly laudatory position as opposed to a balanced evaluation based on evidence (Kotler and Keller, 2022).</w:t>
      </w:r>
    </w:p>
    <w:p w14:paraId="30048911" w14:textId="77777777" w:rsidR="00683F3B" w:rsidRDefault="00000000">
      <w:pPr>
        <w:spacing w:before="180" w:after="80" w:line="360" w:lineRule="auto"/>
      </w:pPr>
      <w:r>
        <w:rPr>
          <w:b/>
          <w:bCs/>
          <w:i/>
          <w:iCs/>
          <w:color w:val="444444"/>
          <w:sz w:val="22"/>
          <w:szCs w:val="22"/>
        </w:rPr>
        <w:t>7.4 Analysis</w:t>
      </w:r>
    </w:p>
    <w:p w14:paraId="390B18A8" w14:textId="77777777" w:rsidR="00683F3B" w:rsidRDefault="00000000">
      <w:pPr>
        <w:spacing w:before="80" w:after="120" w:line="360" w:lineRule="auto"/>
        <w:jc w:val="both"/>
      </w:pPr>
      <w:r>
        <w:t xml:space="preserve">In terms of the analytical reflection of the research process, it is important to note that my initial conceptualisation of the task was quite simplistic, as I had perceived the economic development (developed versus emerging market) to be the core axis of comparison, the research showed that cultural factors, especially related to DIY culture, family structure, and tastes, have played as important, even more important, roles in shaping the adjustment strategies of IKEA. This discovery made me further increase my reading of consumer behaviour literature specific to India, with sources by writers like </w:t>
      </w:r>
      <w:proofErr w:type="spellStart"/>
      <w:r>
        <w:t>Batra</w:t>
      </w:r>
      <w:proofErr w:type="spellEnd"/>
      <w:r>
        <w:t xml:space="preserve"> and </w:t>
      </w:r>
      <w:proofErr w:type="spellStart"/>
      <w:r>
        <w:t>Kazmi</w:t>
      </w:r>
      <w:proofErr w:type="spellEnd"/>
      <w:r>
        <w:t xml:space="preserve"> (2020) and Kapoor and Kulkarni (2022) having more sociological colour than the more economically minded international marketing literature I have so far been reading. This process of conceptualizing my ideas step-by-step, economic-first to culturally-integrated, exemplifies the type of adaptive thinking of the analytical nature that Kolb (cited in Moon, 2021) examines as the core of experiential learning.</w:t>
      </w:r>
    </w:p>
    <w:p w14:paraId="79BDC9CE" w14:textId="77777777" w:rsidR="00683F3B" w:rsidRDefault="00000000">
      <w:pPr>
        <w:spacing w:before="180" w:after="80" w:line="360" w:lineRule="auto"/>
      </w:pPr>
      <w:r>
        <w:rPr>
          <w:b/>
          <w:bCs/>
          <w:i/>
          <w:iCs/>
          <w:color w:val="444444"/>
          <w:sz w:val="22"/>
          <w:szCs w:val="22"/>
        </w:rPr>
        <w:t>7.5 Conclusion</w:t>
      </w:r>
    </w:p>
    <w:p w14:paraId="00F3EFCE" w14:textId="77777777" w:rsidR="00683F3B" w:rsidRDefault="00000000">
      <w:pPr>
        <w:spacing w:before="80" w:after="120" w:line="360" w:lineRule="auto"/>
        <w:jc w:val="both"/>
      </w:pPr>
      <w:r>
        <w:t xml:space="preserve">This assignment has not only broadened my insight into what international marketing really is, beyond a technical practice of applying the framework in question, but a purely human activity that must be approached with empathy, the awareness of various cultures, and the ethical concern. I have come to appreciate more the notion of the so-called </w:t>
      </w:r>
      <w:proofErr w:type="spellStart"/>
      <w:r>
        <w:t>glocalisation</w:t>
      </w:r>
      <w:proofErr w:type="spellEnd"/>
      <w:r>
        <w:t xml:space="preserve"> - the concomitant need to seek global brand consistency and local market relevance as a strategic idea and deed, and not as a hypothetical concept. I also understand, more than ever, the ethical liabilities that come hand-in-hand with multinational market expansion: the possibility of big companies crowding out local industries, taking advantage of the weaknesses of their supply chains, and proclaim their sustainability practices way ahead of their actual environmentally friendly practices.</w:t>
      </w:r>
    </w:p>
    <w:p w14:paraId="29437101" w14:textId="77777777" w:rsidR="00683F3B" w:rsidRDefault="00000000">
      <w:pPr>
        <w:spacing w:before="180" w:after="80" w:line="360" w:lineRule="auto"/>
      </w:pPr>
      <w:r>
        <w:rPr>
          <w:b/>
          <w:bCs/>
          <w:i/>
          <w:iCs/>
          <w:color w:val="444444"/>
          <w:sz w:val="22"/>
          <w:szCs w:val="22"/>
        </w:rPr>
        <w:t>7.6 Action Plan</w:t>
      </w:r>
    </w:p>
    <w:p w14:paraId="1B52EB90" w14:textId="77777777" w:rsidR="00683F3B" w:rsidRDefault="00000000">
      <w:pPr>
        <w:spacing w:before="80" w:after="120" w:line="360" w:lineRule="auto"/>
        <w:jc w:val="both"/>
      </w:pPr>
      <w:r>
        <w:t>In future, I will aim at enhancing some of the competencies that have been viewed as underdeveloped in this assignment. To begin with, I will attempt to become more efficient when locating high-quality and recently published peer-reviewed sources in academic databases, which took disproportionately much time in the course of this project. Second, I will train my ability to combine conflicting scholarly views, which I found especially difficult in the ethics part; a tangible starting point would be to attend a postgraduate critical thinking workshop provided by the learning development centre of the university. Third, I will be more actively proactive in using primary business publications such as business sustainability reports, business communications with investors, and regulatory filings because these can be more detailed and accurate in comparison to secondary scholarly materials. Such developmental promises will not only improve my academic grades in future examinations but also my career preparedness to an international marketing management career.</w:t>
      </w:r>
    </w:p>
    <w:p w14:paraId="5723BB21" w14:textId="77777777" w:rsidR="00683F3B" w:rsidRDefault="00000000">
      <w:pPr>
        <w:spacing w:line="360" w:lineRule="auto"/>
      </w:pPr>
      <w:r>
        <w:br w:type="page"/>
      </w:r>
    </w:p>
    <w:p w14:paraId="10CED1F2" w14:textId="77777777" w:rsidR="00683F3B" w:rsidRDefault="00000000">
      <w:pPr>
        <w:pStyle w:val="Heading1"/>
        <w:pBdr>
          <w:bottom w:val="single" w:sz="6" w:space="4" w:color="003087"/>
        </w:pBdr>
        <w:spacing w:line="360" w:lineRule="auto"/>
      </w:pPr>
      <w:r>
        <w:t>References</w:t>
      </w:r>
    </w:p>
    <w:p w14:paraId="6958F0D3" w14:textId="77777777" w:rsidR="00683F3B" w:rsidRDefault="00000000">
      <w:pPr>
        <w:spacing w:before="60" w:after="60" w:line="360" w:lineRule="auto"/>
        <w:ind w:left="720" w:hanging="720"/>
      </w:pPr>
      <w:proofErr w:type="spellStart"/>
      <w:r>
        <w:rPr>
          <w:sz w:val="22"/>
          <w:szCs w:val="22"/>
        </w:rPr>
        <w:t>Batra</w:t>
      </w:r>
      <w:proofErr w:type="spellEnd"/>
      <w:r>
        <w:rPr>
          <w:sz w:val="22"/>
          <w:szCs w:val="22"/>
        </w:rPr>
        <w:t xml:space="preserve">, S.K. and </w:t>
      </w:r>
      <w:proofErr w:type="spellStart"/>
      <w:r>
        <w:rPr>
          <w:sz w:val="22"/>
          <w:szCs w:val="22"/>
        </w:rPr>
        <w:t>Kazmi</w:t>
      </w:r>
      <w:proofErr w:type="spellEnd"/>
      <w:r>
        <w:rPr>
          <w:sz w:val="22"/>
          <w:szCs w:val="22"/>
        </w:rPr>
        <w:t xml:space="preserve">, S.H.H. (2020) Consumer Behaviour: Text and Cases. 4th </w:t>
      </w:r>
      <w:proofErr w:type="spellStart"/>
      <w:r>
        <w:rPr>
          <w:sz w:val="22"/>
          <w:szCs w:val="22"/>
        </w:rPr>
        <w:t>edn</w:t>
      </w:r>
      <w:proofErr w:type="spellEnd"/>
      <w:r>
        <w:rPr>
          <w:sz w:val="22"/>
          <w:szCs w:val="22"/>
        </w:rPr>
        <w:t>. New Delhi: Excel Books. Accessed: 15 February 2026.</w:t>
      </w:r>
    </w:p>
    <w:p w14:paraId="141BCC89" w14:textId="77777777" w:rsidR="00683F3B" w:rsidRDefault="00000000">
      <w:pPr>
        <w:spacing w:before="60" w:after="60" w:line="360" w:lineRule="auto"/>
        <w:ind w:left="720" w:hanging="720"/>
      </w:pPr>
      <w:r>
        <w:rPr>
          <w:sz w:val="22"/>
          <w:szCs w:val="22"/>
        </w:rPr>
        <w:t>CIPD – Chartered Institute of Personnel and Development (2021) Good Work Index 2021: UK Working Lives Survey. London: CIPD. Available at: https://www.cipd.co.uk/knowledge/work/trends/goodwork [Accessed: 18 February 2026].</w:t>
      </w:r>
    </w:p>
    <w:p w14:paraId="09825D3E" w14:textId="77777777" w:rsidR="00683F3B" w:rsidRDefault="00000000">
      <w:pPr>
        <w:spacing w:before="60" w:after="60" w:line="360" w:lineRule="auto"/>
        <w:ind w:left="720" w:hanging="720"/>
      </w:pPr>
      <w:r>
        <w:rPr>
          <w:sz w:val="22"/>
          <w:szCs w:val="22"/>
        </w:rPr>
        <w:t>Deloitte (2022) Sustainability and the Consumer: UK 2022 Research Report. London: Deloitte LLP. Available at: https://www.deloitte.com/uk/en/insights/industry/retail-distribution/sustainable-consumer.html [Accessed: 14 February 2026].</w:t>
      </w:r>
    </w:p>
    <w:p w14:paraId="693FD336" w14:textId="77777777" w:rsidR="00683F3B" w:rsidRDefault="00000000">
      <w:pPr>
        <w:spacing w:before="60" w:after="60" w:line="360" w:lineRule="auto"/>
        <w:ind w:left="720" w:hanging="720"/>
      </w:pPr>
      <w:r>
        <w:rPr>
          <w:sz w:val="22"/>
          <w:szCs w:val="22"/>
        </w:rPr>
        <w:t>DPIIT – Department for Promotion of Industry and Internal Trade (2020) Foreign Direct Investment Policy 2020. New Delhi: Ministry of Commerce and Industry, Government of India. Available at: https://dpiit.gov.in/policies/fdi-policy [Accessed: 10 February 2026].</w:t>
      </w:r>
    </w:p>
    <w:p w14:paraId="5096A797" w14:textId="77777777" w:rsidR="00683F3B" w:rsidRDefault="00000000">
      <w:pPr>
        <w:spacing w:before="60" w:after="60" w:line="360" w:lineRule="auto"/>
        <w:ind w:left="720" w:hanging="720"/>
      </w:pPr>
      <w:r>
        <w:rPr>
          <w:sz w:val="22"/>
          <w:szCs w:val="22"/>
        </w:rPr>
        <w:t xml:space="preserve">Fletcher, M. and </w:t>
      </w:r>
      <w:proofErr w:type="spellStart"/>
      <w:r>
        <w:rPr>
          <w:sz w:val="22"/>
          <w:szCs w:val="22"/>
        </w:rPr>
        <w:t>Hardill</w:t>
      </w:r>
      <w:proofErr w:type="spellEnd"/>
      <w:r>
        <w:rPr>
          <w:sz w:val="22"/>
          <w:szCs w:val="22"/>
        </w:rPr>
        <w:t xml:space="preserve">, I. (2021) 'Retail geographies and the </w:t>
      </w:r>
      <w:proofErr w:type="spellStart"/>
      <w:r>
        <w:rPr>
          <w:sz w:val="22"/>
          <w:szCs w:val="22"/>
        </w:rPr>
        <w:t>Brexit</w:t>
      </w:r>
      <w:proofErr w:type="spellEnd"/>
      <w:r>
        <w:rPr>
          <w:sz w:val="22"/>
          <w:szCs w:val="22"/>
        </w:rPr>
        <w:t xml:space="preserve"> effect: supply chain repositioning among UK furniture retailers', Area, 53(2), pp. 301–310. doi:10.1111/area.12698.</w:t>
      </w:r>
    </w:p>
    <w:p w14:paraId="3EA8380D" w14:textId="77777777" w:rsidR="00683F3B" w:rsidRDefault="00000000">
      <w:pPr>
        <w:spacing w:before="60" w:after="60" w:line="360" w:lineRule="auto"/>
        <w:ind w:left="720" w:hanging="720"/>
      </w:pPr>
      <w:r>
        <w:rPr>
          <w:sz w:val="22"/>
          <w:szCs w:val="22"/>
        </w:rPr>
        <w:t xml:space="preserve">Gillespie, K. and Swan, K.S. (2021) Global Marketing: A Market Entry Approach. 5th </w:t>
      </w:r>
      <w:proofErr w:type="spellStart"/>
      <w:r>
        <w:rPr>
          <w:sz w:val="22"/>
          <w:szCs w:val="22"/>
        </w:rPr>
        <w:t>edn</w:t>
      </w:r>
      <w:proofErr w:type="spellEnd"/>
      <w:r>
        <w:rPr>
          <w:sz w:val="22"/>
          <w:szCs w:val="22"/>
        </w:rPr>
        <w:t>. New York: Routledge.</w:t>
      </w:r>
    </w:p>
    <w:p w14:paraId="567B2FA6" w14:textId="77777777" w:rsidR="00683F3B" w:rsidRDefault="00000000">
      <w:pPr>
        <w:spacing w:before="60" w:after="60" w:line="360" w:lineRule="auto"/>
        <w:ind w:left="720" w:hanging="720"/>
      </w:pPr>
      <w:proofErr w:type="spellStart"/>
      <w:r>
        <w:rPr>
          <w:sz w:val="22"/>
          <w:szCs w:val="22"/>
        </w:rPr>
        <w:t>Hollensen</w:t>
      </w:r>
      <w:proofErr w:type="spellEnd"/>
      <w:r>
        <w:rPr>
          <w:sz w:val="22"/>
          <w:szCs w:val="22"/>
        </w:rPr>
        <w:t xml:space="preserve">, S. (2020) Global Marketing. 8th </w:t>
      </w:r>
      <w:proofErr w:type="spellStart"/>
      <w:r>
        <w:rPr>
          <w:sz w:val="22"/>
          <w:szCs w:val="22"/>
        </w:rPr>
        <w:t>edn</w:t>
      </w:r>
      <w:proofErr w:type="spellEnd"/>
      <w:r>
        <w:rPr>
          <w:sz w:val="22"/>
          <w:szCs w:val="22"/>
        </w:rPr>
        <w:t>. Harlow: Pearson Education.</w:t>
      </w:r>
    </w:p>
    <w:p w14:paraId="4EDFE6D8" w14:textId="77777777" w:rsidR="00683F3B" w:rsidRDefault="00000000">
      <w:pPr>
        <w:spacing w:before="60" w:after="60" w:line="360" w:lineRule="auto"/>
        <w:ind w:left="720" w:hanging="720"/>
      </w:pPr>
      <w:r>
        <w:rPr>
          <w:sz w:val="22"/>
          <w:szCs w:val="22"/>
        </w:rPr>
        <w:t>IKEA Group (2023) IKEA Sustainability Report FY23. Leiden: Inter IKEA Systems B.V. Available at: https://www.ikea.com/global/en/our-business/reports/ [Accessed: 20 February 2026].</w:t>
      </w:r>
    </w:p>
    <w:p w14:paraId="7EA7C9C0" w14:textId="77777777" w:rsidR="00683F3B" w:rsidRDefault="00000000">
      <w:pPr>
        <w:spacing w:before="60" w:after="60" w:line="360" w:lineRule="auto"/>
        <w:ind w:left="720" w:hanging="720"/>
      </w:pPr>
      <w:r>
        <w:rPr>
          <w:sz w:val="22"/>
          <w:szCs w:val="22"/>
        </w:rPr>
        <w:t>IKEA India (2022) IKEA India Annual Report 2022. Bengaluru: IKEA India. Available at: https://www.ikea.com/in/en/ [Accessed: 19 February 2026].</w:t>
      </w:r>
    </w:p>
    <w:p w14:paraId="05F3D06D" w14:textId="77777777" w:rsidR="00683F3B" w:rsidRDefault="00000000">
      <w:pPr>
        <w:spacing w:before="60" w:after="60" w:line="360" w:lineRule="auto"/>
        <w:ind w:left="720" w:hanging="720"/>
      </w:pPr>
      <w:r>
        <w:rPr>
          <w:sz w:val="22"/>
          <w:szCs w:val="22"/>
        </w:rPr>
        <w:t xml:space="preserve">Johnson, G., Whittington, R., </w:t>
      </w:r>
      <w:proofErr w:type="spellStart"/>
      <w:r>
        <w:rPr>
          <w:sz w:val="22"/>
          <w:szCs w:val="22"/>
        </w:rPr>
        <w:t>Angwin</w:t>
      </w:r>
      <w:proofErr w:type="spellEnd"/>
      <w:r>
        <w:rPr>
          <w:sz w:val="22"/>
          <w:szCs w:val="22"/>
        </w:rPr>
        <w:t xml:space="preserve">, D., </w:t>
      </w:r>
      <w:proofErr w:type="spellStart"/>
      <w:r>
        <w:rPr>
          <w:sz w:val="22"/>
          <w:szCs w:val="22"/>
        </w:rPr>
        <w:t>Regner</w:t>
      </w:r>
      <w:proofErr w:type="spellEnd"/>
      <w:r>
        <w:rPr>
          <w:sz w:val="22"/>
          <w:szCs w:val="22"/>
        </w:rPr>
        <w:t xml:space="preserve">, P. and Scholes, K. (2023) Exploring Strategy: Text and Cases. 13th </w:t>
      </w:r>
      <w:proofErr w:type="spellStart"/>
      <w:r>
        <w:rPr>
          <w:sz w:val="22"/>
          <w:szCs w:val="22"/>
        </w:rPr>
        <w:t>edn</w:t>
      </w:r>
      <w:proofErr w:type="spellEnd"/>
      <w:r>
        <w:rPr>
          <w:sz w:val="22"/>
          <w:szCs w:val="22"/>
        </w:rPr>
        <w:t>. Harlow: Pearson Education.</w:t>
      </w:r>
    </w:p>
    <w:p w14:paraId="758F9ADE" w14:textId="77777777" w:rsidR="00683F3B" w:rsidRDefault="00000000">
      <w:pPr>
        <w:spacing w:before="60" w:after="60" w:line="360" w:lineRule="auto"/>
        <w:ind w:left="720" w:hanging="720"/>
      </w:pPr>
      <w:r>
        <w:rPr>
          <w:sz w:val="22"/>
          <w:szCs w:val="22"/>
        </w:rPr>
        <w:t>Kapoor, R. and Kulkarni, M. (2022) 'IKEA in India: cultural adaptation strategies and consumer acceptance in an emerging market', Journal of International Marketing, 30(1), pp. 45–63. doi:10.1177/1069031X211056432.</w:t>
      </w:r>
    </w:p>
    <w:p w14:paraId="21353C79" w14:textId="77777777" w:rsidR="00683F3B" w:rsidRDefault="00000000">
      <w:pPr>
        <w:spacing w:before="60" w:after="60" w:line="360" w:lineRule="auto"/>
        <w:ind w:left="720" w:hanging="720"/>
      </w:pPr>
      <w:r>
        <w:rPr>
          <w:sz w:val="22"/>
          <w:szCs w:val="22"/>
        </w:rPr>
        <w:t xml:space="preserve">Kotler, P. and Keller, K.L. (2022) Marketing Management. 16th </w:t>
      </w:r>
      <w:proofErr w:type="spellStart"/>
      <w:r>
        <w:rPr>
          <w:sz w:val="22"/>
          <w:szCs w:val="22"/>
        </w:rPr>
        <w:t>edn</w:t>
      </w:r>
      <w:proofErr w:type="spellEnd"/>
      <w:r>
        <w:rPr>
          <w:sz w:val="22"/>
          <w:szCs w:val="22"/>
        </w:rPr>
        <w:t>. Harlow: Pearson Education.</w:t>
      </w:r>
    </w:p>
    <w:p w14:paraId="125DB12C" w14:textId="77777777" w:rsidR="00683F3B" w:rsidRDefault="00000000">
      <w:pPr>
        <w:spacing w:before="60" w:after="60" w:line="360" w:lineRule="auto"/>
        <w:ind w:left="720" w:hanging="720"/>
      </w:pPr>
      <w:r>
        <w:rPr>
          <w:sz w:val="22"/>
          <w:szCs w:val="22"/>
        </w:rPr>
        <w:t>Kumar, V. and Singh, A. (2021) 'Penetration pricing in emerging markets: evidence from the Indian home furnishing sector', International Business Review, 30(4), pp. 1–14. doi:10.1016/j.ibusrev.2021.101826.</w:t>
      </w:r>
    </w:p>
    <w:p w14:paraId="2F6295D7" w14:textId="77777777" w:rsidR="00683F3B" w:rsidRDefault="00000000">
      <w:pPr>
        <w:spacing w:before="60" w:after="60" w:line="360" w:lineRule="auto"/>
        <w:ind w:left="720" w:hanging="720"/>
      </w:pPr>
      <w:proofErr w:type="spellStart"/>
      <w:r>
        <w:rPr>
          <w:sz w:val="22"/>
          <w:szCs w:val="22"/>
        </w:rPr>
        <w:t>Laufer</w:t>
      </w:r>
      <w:proofErr w:type="spellEnd"/>
      <w:r>
        <w:rPr>
          <w:sz w:val="22"/>
          <w:szCs w:val="22"/>
        </w:rPr>
        <w:t>, W.S. (2021) 'Corporate social accountability and greenwashing', Journal of Business Ethics, 165(2), pp. 261–279. doi:10.1007/s10551-021-04730-2.</w:t>
      </w:r>
    </w:p>
    <w:p w14:paraId="741B1D10" w14:textId="77777777" w:rsidR="00683F3B" w:rsidRDefault="00000000">
      <w:pPr>
        <w:spacing w:before="60" w:after="60" w:line="360" w:lineRule="auto"/>
        <w:ind w:left="720" w:hanging="720"/>
      </w:pPr>
      <w:r>
        <w:rPr>
          <w:sz w:val="22"/>
          <w:szCs w:val="22"/>
        </w:rPr>
        <w:t xml:space="preserve">Moon, J.A. (2021) A Handbook of Reflective and Experiential Learning: Theory and Practice. 2nd </w:t>
      </w:r>
      <w:proofErr w:type="spellStart"/>
      <w:r>
        <w:rPr>
          <w:sz w:val="22"/>
          <w:szCs w:val="22"/>
        </w:rPr>
        <w:t>edn</w:t>
      </w:r>
      <w:proofErr w:type="spellEnd"/>
      <w:r>
        <w:rPr>
          <w:sz w:val="22"/>
          <w:szCs w:val="22"/>
        </w:rPr>
        <w:t>. London: Routledge.</w:t>
      </w:r>
    </w:p>
    <w:p w14:paraId="4F36E559" w14:textId="77777777" w:rsidR="00683F3B" w:rsidRDefault="00000000">
      <w:pPr>
        <w:spacing w:before="60" w:after="60" w:line="360" w:lineRule="auto"/>
        <w:ind w:left="720" w:hanging="720"/>
      </w:pPr>
      <w:r>
        <w:rPr>
          <w:sz w:val="22"/>
          <w:szCs w:val="22"/>
        </w:rPr>
        <w:t xml:space="preserve">Narayan, V. and </w:t>
      </w:r>
      <w:proofErr w:type="spellStart"/>
      <w:r>
        <w:rPr>
          <w:sz w:val="22"/>
          <w:szCs w:val="22"/>
        </w:rPr>
        <w:t>Raghavendra</w:t>
      </w:r>
      <w:proofErr w:type="spellEnd"/>
      <w:r>
        <w:rPr>
          <w:sz w:val="22"/>
          <w:szCs w:val="22"/>
        </w:rPr>
        <w:t>, N. (2021) 'Adapting retail strategy for India: a case study of IKEA's market localisation', Asian Journal of Management, 12(3), pp. 298–311. doi:10.5958/2321-5763.2021.00045.3.</w:t>
      </w:r>
    </w:p>
    <w:p w14:paraId="08096ED0" w14:textId="77777777" w:rsidR="00683F3B" w:rsidRDefault="00000000">
      <w:pPr>
        <w:spacing w:before="60" w:after="60" w:line="360" w:lineRule="auto"/>
        <w:ind w:left="720" w:hanging="720"/>
      </w:pPr>
      <w:r>
        <w:rPr>
          <w:sz w:val="22"/>
          <w:szCs w:val="22"/>
        </w:rPr>
        <w:t>ONS – Office for National Statistics (2023) UK Consumer Price Inflation: December 2022. Newport: ONS. Available at: https://www.ons.gov.uk/economy/inflationandpriceindices [Accessed: 16 February 2026].</w:t>
      </w:r>
    </w:p>
    <w:p w14:paraId="6CECCF1E" w14:textId="77777777" w:rsidR="00683F3B" w:rsidRDefault="00000000">
      <w:pPr>
        <w:spacing w:before="60" w:after="60" w:line="360" w:lineRule="auto"/>
        <w:ind w:left="720" w:hanging="720"/>
      </w:pPr>
      <w:r>
        <w:rPr>
          <w:sz w:val="22"/>
          <w:szCs w:val="22"/>
        </w:rPr>
        <w:t xml:space="preserve">Papadopoulos, N. and </w:t>
      </w:r>
      <w:proofErr w:type="spellStart"/>
      <w:r>
        <w:rPr>
          <w:sz w:val="22"/>
          <w:szCs w:val="22"/>
        </w:rPr>
        <w:t>Heslop</w:t>
      </w:r>
      <w:proofErr w:type="spellEnd"/>
      <w:r>
        <w:rPr>
          <w:sz w:val="22"/>
          <w:szCs w:val="22"/>
        </w:rPr>
        <w:t>, L. (2020) Product-Country Images: Impact and Role in International Marketing. London: Routledge.</w:t>
      </w:r>
    </w:p>
    <w:p w14:paraId="53D29C85" w14:textId="77777777" w:rsidR="00683F3B" w:rsidRDefault="00000000">
      <w:pPr>
        <w:spacing w:before="60" w:after="60" w:line="360" w:lineRule="auto"/>
        <w:ind w:left="720" w:hanging="720"/>
      </w:pPr>
      <w:proofErr w:type="spellStart"/>
      <w:r>
        <w:rPr>
          <w:sz w:val="22"/>
          <w:szCs w:val="22"/>
        </w:rPr>
        <w:t>Quelch</w:t>
      </w:r>
      <w:proofErr w:type="spellEnd"/>
      <w:r>
        <w:rPr>
          <w:sz w:val="22"/>
          <w:szCs w:val="22"/>
        </w:rPr>
        <w:t xml:space="preserve">, J.A. and </w:t>
      </w:r>
      <w:proofErr w:type="spellStart"/>
      <w:r>
        <w:rPr>
          <w:sz w:val="22"/>
          <w:szCs w:val="22"/>
        </w:rPr>
        <w:t>Jocz</w:t>
      </w:r>
      <w:proofErr w:type="spellEnd"/>
      <w:r>
        <w:rPr>
          <w:sz w:val="22"/>
          <w:szCs w:val="22"/>
        </w:rPr>
        <w:t>, K.E. (2021) 'The promise and peril of globalisation in retail', Harvard Business Review, March–April, pp. 112–122.</w:t>
      </w:r>
    </w:p>
    <w:p w14:paraId="51CB8670" w14:textId="77777777" w:rsidR="00683F3B" w:rsidRDefault="00000000">
      <w:pPr>
        <w:spacing w:before="60" w:after="60" w:line="360" w:lineRule="auto"/>
        <w:ind w:left="720" w:hanging="720"/>
      </w:pPr>
      <w:proofErr w:type="spellStart"/>
      <w:r>
        <w:rPr>
          <w:sz w:val="22"/>
          <w:szCs w:val="22"/>
        </w:rPr>
        <w:t>Sheth</w:t>
      </w:r>
      <w:proofErr w:type="spellEnd"/>
      <w:r>
        <w:rPr>
          <w:sz w:val="22"/>
          <w:szCs w:val="22"/>
        </w:rPr>
        <w:t xml:space="preserve">, J.N. (2020) 'Business of business is to improve the quality of life', Journal of </w:t>
      </w:r>
      <w:proofErr w:type="spellStart"/>
      <w:r>
        <w:rPr>
          <w:sz w:val="22"/>
          <w:szCs w:val="22"/>
        </w:rPr>
        <w:t>Macromarketing</w:t>
      </w:r>
      <w:proofErr w:type="spellEnd"/>
      <w:r>
        <w:rPr>
          <w:sz w:val="22"/>
          <w:szCs w:val="22"/>
        </w:rPr>
        <w:t>, 40(1), pp. 23–28. doi:10.1177/0276146719897464.</w:t>
      </w:r>
    </w:p>
    <w:p w14:paraId="07F154A7" w14:textId="77777777" w:rsidR="00683F3B" w:rsidRDefault="00000000">
      <w:pPr>
        <w:spacing w:before="60" w:after="60" w:line="360" w:lineRule="auto"/>
        <w:ind w:left="720" w:hanging="720"/>
      </w:pPr>
      <w:r>
        <w:rPr>
          <w:sz w:val="22"/>
          <w:szCs w:val="22"/>
        </w:rPr>
        <w:t xml:space="preserve">Singh, N. and </w:t>
      </w:r>
      <w:proofErr w:type="spellStart"/>
      <w:r>
        <w:rPr>
          <w:sz w:val="22"/>
          <w:szCs w:val="22"/>
        </w:rPr>
        <w:t>Boughton</w:t>
      </w:r>
      <w:proofErr w:type="spellEnd"/>
      <w:r>
        <w:rPr>
          <w:sz w:val="22"/>
          <w:szCs w:val="22"/>
        </w:rPr>
        <w:t>, P.D. (2022) 'Digital marketing localisation in emerging markets: evidence from India', Journal of Marketing Management, 38(11–12), pp. 1188–1214. doi:10.1080/0267257X.2022.2068987.</w:t>
      </w:r>
    </w:p>
    <w:p w14:paraId="5049359A" w14:textId="77777777" w:rsidR="00683F3B" w:rsidRDefault="00000000">
      <w:pPr>
        <w:spacing w:before="60" w:after="60" w:line="360" w:lineRule="auto"/>
        <w:ind w:left="720" w:hanging="720"/>
      </w:pPr>
      <w:r>
        <w:rPr>
          <w:sz w:val="22"/>
          <w:szCs w:val="22"/>
        </w:rPr>
        <w:t>Steenkamp, J.-B.E.M. (2020) 'Global versus local consumer culture: theory, measurement, and future research directions', Journal of International Marketing, 27(1), pp. 1–19. doi:10.1177/1069031X18811289.</w:t>
      </w:r>
    </w:p>
    <w:p w14:paraId="239A31DC" w14:textId="77777777" w:rsidR="00683F3B" w:rsidRDefault="00000000">
      <w:pPr>
        <w:spacing w:before="60" w:after="60" w:line="360" w:lineRule="auto"/>
        <w:ind w:left="720" w:hanging="720"/>
      </w:pPr>
      <w:proofErr w:type="spellStart"/>
      <w:r>
        <w:rPr>
          <w:sz w:val="22"/>
          <w:szCs w:val="22"/>
        </w:rPr>
        <w:t>Theodosiou</w:t>
      </w:r>
      <w:proofErr w:type="spellEnd"/>
      <w:r>
        <w:rPr>
          <w:sz w:val="22"/>
          <w:szCs w:val="22"/>
        </w:rPr>
        <w:t xml:space="preserve">, M. and </w:t>
      </w:r>
      <w:proofErr w:type="spellStart"/>
      <w:r>
        <w:rPr>
          <w:sz w:val="22"/>
          <w:szCs w:val="22"/>
        </w:rPr>
        <w:t>Leonidou</w:t>
      </w:r>
      <w:proofErr w:type="spellEnd"/>
      <w:r>
        <w:rPr>
          <w:sz w:val="22"/>
          <w:szCs w:val="22"/>
        </w:rPr>
        <w:t>, L.C. (2021) 'Standardization versus adaptation of international marketing strategy: an integrative assessment of the empirical research', International Business Review, 12(2), pp. 141–171. doi:10.1016/S0969-5931(02)00011-6.</w:t>
      </w:r>
    </w:p>
    <w:p w14:paraId="6D778163" w14:textId="77777777" w:rsidR="00683F3B" w:rsidRDefault="00000000">
      <w:pPr>
        <w:spacing w:before="60" w:after="60" w:line="360" w:lineRule="auto"/>
        <w:ind w:left="720" w:hanging="720"/>
      </w:pPr>
      <w:r>
        <w:rPr>
          <w:sz w:val="22"/>
          <w:szCs w:val="22"/>
        </w:rPr>
        <w:t>UNCTAD – United Nations Conference on Trade and Development (2022) World Investment Report 2022: International Tax Reforms and Sustainable Investment. Geneva: UNCTAD. Available at: https://unctad.org/webflyer/world-investment-report-2022 [Accessed: 12 February 2026].</w:t>
      </w:r>
    </w:p>
    <w:p w14:paraId="1CABA336" w14:textId="77777777" w:rsidR="00683F3B" w:rsidRDefault="00000000">
      <w:pPr>
        <w:spacing w:before="60" w:after="60" w:line="360" w:lineRule="auto"/>
        <w:ind w:left="720" w:hanging="720"/>
      </w:pPr>
      <w:proofErr w:type="spellStart"/>
      <w:r>
        <w:rPr>
          <w:sz w:val="22"/>
          <w:szCs w:val="22"/>
        </w:rPr>
        <w:t>Verbeke</w:t>
      </w:r>
      <w:proofErr w:type="spellEnd"/>
      <w:r>
        <w:rPr>
          <w:sz w:val="22"/>
          <w:szCs w:val="22"/>
        </w:rPr>
        <w:t xml:space="preserve">, A. (2020) International Business Strategy: Rethinking the Foundations of Global Corporate Success. 3rd </w:t>
      </w:r>
      <w:proofErr w:type="spellStart"/>
      <w:r>
        <w:rPr>
          <w:sz w:val="22"/>
          <w:szCs w:val="22"/>
        </w:rPr>
        <w:t>edn</w:t>
      </w:r>
      <w:proofErr w:type="spellEnd"/>
      <w:r>
        <w:rPr>
          <w:sz w:val="22"/>
          <w:szCs w:val="22"/>
        </w:rPr>
        <w:t>. Cambridge: Cambridge University Press.</w:t>
      </w:r>
    </w:p>
    <w:sectPr w:rsidR="00683F3B">
      <w:footerReference w:type="default" r:id="rId8"/>
      <w:pgSz w:w="11906" w:h="16838"/>
      <w:pgMar w:top="1440" w:right="1260" w:bottom="1440" w:left="126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8D954E" w14:textId="77777777" w:rsidR="0040406B" w:rsidRDefault="0040406B">
      <w:r>
        <w:separator/>
      </w:r>
    </w:p>
  </w:endnote>
  <w:endnote w:type="continuationSeparator" w:id="0">
    <w:p w14:paraId="2FD50A4B" w14:textId="77777777" w:rsidR="0040406B" w:rsidRDefault="004040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51ADE" w14:textId="77777777" w:rsidR="00683F3B" w:rsidRDefault="00000000">
    <w:pPr>
      <w:jc w:val="center"/>
    </w:pPr>
    <w:r>
      <w:rPr>
        <w:color w:val="888888"/>
        <w:sz w:val="18"/>
        <w:szCs w:val="18"/>
      </w:rPr>
      <w:t xml:space="preserve">IKEA in India and UK — LCMB7026     |     Page </w:t>
    </w:r>
    <w:r>
      <w:rPr>
        <w:color w:val="888888"/>
        <w:sz w:val="18"/>
        <w:szCs w:val="18"/>
      </w:rPr>
      <w:fldChar w:fldCharType="begin"/>
    </w:r>
    <w:r>
      <w:rPr>
        <w:color w:val="888888"/>
        <w:sz w:val="18"/>
        <w:szCs w:val="18"/>
      </w:rPr>
      <w:instrText>PAGE</w:instrText>
    </w:r>
    <w:r>
      <w:rPr>
        <w:color w:val="888888"/>
        <w:sz w:val="18"/>
        <w:szCs w:val="18"/>
      </w:rPr>
      <w:fldChar w:fldCharType="separate"/>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D8F8F" w14:textId="77777777" w:rsidR="0040406B" w:rsidRDefault="0040406B">
      <w:r>
        <w:separator/>
      </w:r>
    </w:p>
  </w:footnote>
  <w:footnote w:type="continuationSeparator" w:id="0">
    <w:p w14:paraId="021EE26C" w14:textId="77777777" w:rsidR="0040406B" w:rsidRDefault="0040406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3F3B"/>
    <w:rsid w:val="003D1367"/>
    <w:rsid w:val="0040406B"/>
    <w:rsid w:val="006101BE"/>
    <w:rsid w:val="00683F3B"/>
    <w:rsid w:val="006A3280"/>
    <w:rsid w:val="009E72F2"/>
    <w:rsid w:val="00F23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978793"/>
  <w15:docId w15:val="{6A907218-76BA-814F-85F9-8A03B3505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20" w:after="160"/>
      <w:outlineLvl w:val="0"/>
    </w:pPr>
    <w:rPr>
      <w:b/>
      <w:bCs/>
      <w:color w:val="003087"/>
      <w:sz w:val="28"/>
      <w:szCs w:val="28"/>
    </w:rPr>
  </w:style>
  <w:style w:type="paragraph" w:styleId="Heading2">
    <w:name w:val="heading 2"/>
    <w:basedOn w:val="Normal"/>
    <w:next w:val="Normal"/>
    <w:uiPriority w:val="9"/>
    <w:unhideWhenUsed/>
    <w:qFormat/>
    <w:pPr>
      <w:pBdr>
        <w:top w:val="nil"/>
        <w:left w:val="nil"/>
        <w:bottom w:val="nil"/>
        <w:right w:val="nil"/>
        <w:between w:val="nil"/>
      </w:pBdr>
      <w:spacing w:before="240" w:after="120"/>
      <w:outlineLvl w:val="1"/>
    </w:pPr>
    <w:rPr>
      <w:b/>
      <w:bCs/>
      <w:color w:val="003087"/>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8xG7PsB6G8ermDktaiDbppOlfQ==">CgMxLjA4AHIhMTZ6QkJNSDRkbHV6Z1FSV0FlTUdVSDc0VlNLNkt1N3ND</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5814</Words>
  <Characters>33146</Characters>
  <Application>Microsoft Office Word</Application>
  <DocSecurity>0</DocSecurity>
  <Lines>276</Lines>
  <Paragraphs>77</Paragraphs>
  <ScaleCrop>false</ScaleCrop>
  <Company/>
  <LinksUpToDate>false</LinksUpToDate>
  <CharactersWithSpaces>38883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Jahangir</dc:creator>
  <cp:lastModifiedBy>Jahangir Khalaj Savojbolagh (2109914)</cp:lastModifiedBy>
  <cp:revision>5</cp:revision>
  <dcterms:created xsi:type="dcterms:W3CDTF">2026-03-19T15:41:00Z</dcterms:created>
  <dcterms:modified xsi:type="dcterms:W3CDTF">2026-03-19T15:43:00Z</dcterms:modified>
</cp:coreProperties>
</file>