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3884564" w:rsidP="49F3A3DB" w:rsidRDefault="53884564" w14:paraId="4A5EBC57" w14:textId="6074CB86">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AC 1.1 </w:t>
      </w:r>
    </w:p>
    <w:p w:rsidR="53884564" w:rsidP="49F3A3DB" w:rsidRDefault="53884564" w14:paraId="0A98E190" w14:textId="7CEE4239">
      <w:pPr>
        <w:keepNext w:val="1"/>
        <w:spacing w:line="276" w:lineRule="auto"/>
        <w:ind w:right="0"/>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Evidence-based practice (EBP) is a systematic and ethical decision-making process that utilises reliable evidence to improve organisational outcomes (Barends </w:t>
      </w:r>
      <w:r w:rsidRPr="49F3A3DB" w:rsidR="53884564">
        <w:rPr>
          <w:rFonts w:ascii="Aptos" w:hAnsi="Aptos" w:eastAsia="Aptos" w:cs="Aptos"/>
          <w:i w:val="1"/>
          <w:iCs w:val="1"/>
          <w:noProof w:val="0"/>
          <w:sz w:val="24"/>
          <w:szCs w:val="24"/>
          <w:lang w:val="en-GB"/>
        </w:rPr>
        <w:t>et al</w:t>
      </w:r>
      <w:r w:rsidRPr="49F3A3DB" w:rsidR="53884564">
        <w:rPr>
          <w:rFonts w:ascii="Aptos" w:hAnsi="Aptos" w:eastAsia="Aptos" w:cs="Aptos"/>
          <w:noProof w:val="0"/>
          <w:sz w:val="24"/>
          <w:szCs w:val="24"/>
          <w:lang w:val="en-GB"/>
        </w:rPr>
        <w:t xml:space="preserve">., 2017). Within people practice, EBP integrates four key sources of evidence: scientific research, organisational data, professional </w:t>
      </w:r>
      <w:r w:rsidRPr="49F3A3DB" w:rsidR="53884564">
        <w:rPr>
          <w:rFonts w:ascii="Aptos" w:hAnsi="Aptos" w:eastAsia="Aptos" w:cs="Aptos"/>
          <w:noProof w:val="0"/>
          <w:sz w:val="24"/>
          <w:szCs w:val="24"/>
          <w:lang w:val="en-GB"/>
        </w:rPr>
        <w:t>expertise</w:t>
      </w:r>
      <w:r w:rsidRPr="49F3A3DB" w:rsidR="53884564">
        <w:rPr>
          <w:rFonts w:ascii="Aptos" w:hAnsi="Aptos" w:eastAsia="Aptos" w:cs="Aptos"/>
          <w:noProof w:val="0"/>
          <w:sz w:val="24"/>
          <w:szCs w:val="24"/>
          <w:lang w:val="en-GB"/>
        </w:rPr>
        <w:t xml:space="preserve"> and stakeholder perspectives (</w:t>
      </w:r>
      <w:r w:rsidRPr="49F3A3DB" w:rsidR="53884564">
        <w:rPr>
          <w:rFonts w:ascii="Aptos" w:hAnsi="Aptos" w:eastAsia="Aptos" w:cs="Aptos"/>
          <w:noProof w:val="0"/>
          <w:color w:val="242424"/>
          <w:sz w:val="24"/>
          <w:szCs w:val="24"/>
          <w:lang w:val="en-GB"/>
        </w:rPr>
        <w:t>Chartered Institute of Personnel and Development</w:t>
      </w:r>
      <w:r w:rsidRPr="49F3A3DB" w:rsidR="53884564">
        <w:rPr>
          <w:rFonts w:ascii="Aptos" w:hAnsi="Aptos" w:eastAsia="Aptos" w:cs="Aptos"/>
          <w:noProof w:val="0"/>
          <w:sz w:val="24"/>
          <w:szCs w:val="24"/>
          <w:lang w:val="en-GB"/>
        </w:rPr>
        <w:t xml:space="preserve">, 2025a). Credible evidence reduces bias and ineffective decision-making, improving accountability and transparency. Unilever uses HR data and engagement metrics to inform </w:t>
      </w:r>
      <w:r w:rsidRPr="49F3A3DB" w:rsidR="53884564">
        <w:rPr>
          <w:rFonts w:ascii="Aptos" w:hAnsi="Aptos" w:eastAsia="Aptos" w:cs="Aptos"/>
          <w:noProof w:val="0"/>
          <w:sz w:val="24"/>
          <w:szCs w:val="24"/>
          <w:lang w:val="en-GB"/>
        </w:rPr>
        <w:t>recruitment and learning</w:t>
      </w:r>
      <w:r w:rsidRPr="49F3A3DB" w:rsidR="53884564">
        <w:rPr>
          <w:rFonts w:ascii="Aptos" w:hAnsi="Aptos" w:eastAsia="Aptos" w:cs="Aptos"/>
          <w:noProof w:val="0"/>
          <w:sz w:val="24"/>
          <w:szCs w:val="24"/>
          <w:lang w:val="en-GB"/>
        </w:rPr>
        <w:t xml:space="preserve"> and development (L&amp;</w:t>
      </w:r>
      <w:r w:rsidRPr="49F3A3DB" w:rsidR="53884564">
        <w:rPr>
          <w:rFonts w:ascii="Aptos" w:hAnsi="Aptos" w:eastAsia="Aptos" w:cs="Aptos"/>
          <w:noProof w:val="0"/>
          <w:sz w:val="24"/>
          <w:szCs w:val="24"/>
          <w:lang w:val="en-GB"/>
        </w:rPr>
        <w:t>D)</w:t>
      </w:r>
      <w:r w:rsidRPr="49F3A3DB" w:rsidR="4CB380DF">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decisions</w:t>
      </w:r>
      <w:r w:rsidRPr="49F3A3DB" w:rsidR="53884564">
        <w:rPr>
          <w:rFonts w:ascii="Aptos" w:hAnsi="Aptos" w:eastAsia="Aptos" w:cs="Aptos"/>
          <w:noProof w:val="0"/>
          <w:sz w:val="24"/>
          <w:szCs w:val="24"/>
          <w:lang w:val="en-GB"/>
        </w:rPr>
        <w:t xml:space="preserve"> (CIPD, 2016). Without EBP, organisations like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risk relying on intuition and outdated practices, leading to poor recruitment and ineffective training. EBP also supports ethical practice by considering stakeholder perspectives, supporting </w:t>
      </w:r>
      <w:r w:rsidRPr="49F3A3DB" w:rsidR="53884564">
        <w:rPr>
          <w:rFonts w:ascii="Aptos" w:hAnsi="Aptos" w:eastAsia="Aptos" w:cs="Aptos"/>
          <w:noProof w:val="0"/>
          <w:sz w:val="24"/>
          <w:szCs w:val="24"/>
          <w:lang w:val="en-GB"/>
        </w:rPr>
        <w:t>inclusion</w:t>
      </w:r>
      <w:r w:rsidRPr="49F3A3DB" w:rsidR="53884564">
        <w:rPr>
          <w:rFonts w:ascii="Aptos" w:hAnsi="Aptos" w:eastAsia="Aptos" w:cs="Aptos"/>
          <w:noProof w:val="0"/>
          <w:sz w:val="24"/>
          <w:szCs w:val="24"/>
          <w:lang w:val="en-GB"/>
        </w:rPr>
        <w:t xml:space="preserve"> and fostering trust. However, EBP can be time-consuming and resource-intensive and may overlook specific cultural needs by risking cultural bias. It also requires skilled practitioners to evaluate research; without this, evidence may be misinterpreted, leading to decisions misaligned with the organisation. </w:t>
      </w:r>
    </w:p>
    <w:p w:rsidR="53884564" w:rsidP="49F3A3DB" w:rsidRDefault="53884564" w14:paraId="1E76CB35" w14:textId="20C18D1C">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Technivara’s</w:t>
      </w:r>
      <w:r w:rsidRPr="49F3A3DB" w:rsidR="53884564">
        <w:rPr>
          <w:rFonts w:ascii="Aptos" w:hAnsi="Aptos" w:eastAsia="Aptos" w:cs="Aptos"/>
          <w:noProof w:val="0"/>
          <w:sz w:val="24"/>
          <w:szCs w:val="24"/>
          <w:lang w:val="en-GB"/>
        </w:rPr>
        <w:t xml:space="preserve"> current L&amp;D decisions rely on historical 55-year tradition, paper </w:t>
      </w:r>
      <w:r w:rsidRPr="49F3A3DB" w:rsidR="53884564">
        <w:rPr>
          <w:rFonts w:ascii="Aptos" w:hAnsi="Aptos" w:eastAsia="Aptos" w:cs="Aptos"/>
          <w:noProof w:val="0"/>
          <w:sz w:val="24"/>
          <w:szCs w:val="24"/>
          <w:lang w:val="en-GB"/>
        </w:rPr>
        <w:t>records</w:t>
      </w:r>
      <w:r w:rsidRPr="49F3A3DB" w:rsidR="53884564">
        <w:rPr>
          <w:rFonts w:ascii="Aptos" w:hAnsi="Aptos" w:eastAsia="Aptos" w:cs="Aptos"/>
          <w:noProof w:val="0"/>
          <w:sz w:val="24"/>
          <w:szCs w:val="24"/>
          <w:lang w:val="en-GB"/>
        </w:rPr>
        <w:t xml:space="preserve"> and Bill’s opinion. As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grows, this ‘outdated received wisdom’ approach (CIPD 2025a) becomes increasingly unsustainable as it limits the People team's ability to analyse employee data or measure training impact. To avoid ineffective practices, Sue should apply EBP by analysing organisational data, performance </w:t>
      </w:r>
      <w:r w:rsidRPr="49F3A3DB" w:rsidR="53884564">
        <w:rPr>
          <w:rFonts w:ascii="Aptos" w:hAnsi="Aptos" w:eastAsia="Aptos" w:cs="Aptos"/>
          <w:noProof w:val="0"/>
          <w:sz w:val="24"/>
          <w:szCs w:val="24"/>
          <w:lang w:val="en-GB"/>
        </w:rPr>
        <w:t>metrics</w:t>
      </w:r>
      <w:r w:rsidRPr="49F3A3DB" w:rsidR="53884564">
        <w:rPr>
          <w:rFonts w:ascii="Aptos" w:hAnsi="Aptos" w:eastAsia="Aptos" w:cs="Aptos"/>
          <w:noProof w:val="0"/>
          <w:sz w:val="24"/>
          <w:szCs w:val="24"/>
          <w:lang w:val="en-GB"/>
        </w:rPr>
        <w:t xml:space="preserve"> and skills audits to build </w:t>
      </w:r>
      <w:r w:rsidRPr="49F3A3DB" w:rsidR="53884564">
        <w:rPr>
          <w:rFonts w:ascii="Aptos" w:hAnsi="Aptos" w:eastAsia="Aptos" w:cs="Aptos"/>
          <w:noProof w:val="0"/>
          <w:sz w:val="24"/>
          <w:szCs w:val="24"/>
          <w:lang w:val="en-GB"/>
        </w:rPr>
        <w:t>a strong case</w:t>
      </w:r>
      <w:r w:rsidRPr="49F3A3DB" w:rsidR="53884564">
        <w:rPr>
          <w:rFonts w:ascii="Aptos" w:hAnsi="Aptos" w:eastAsia="Aptos" w:cs="Aptos"/>
          <w:noProof w:val="0"/>
          <w:sz w:val="24"/>
          <w:szCs w:val="24"/>
          <w:lang w:val="en-GB"/>
        </w:rPr>
        <w:t xml:space="preserve"> for modernising L&amp;D that is rooted in evidence (Elder and Nikodem, 2023). EBP can also be used to evaluate the effectiveness of training programmes. Table 2 highlights clear patterns of dissatisfaction with how learning is applied at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which shows L&amp;D resources are delivered ineffectively, limiting return on investment in this area. Combining this evidence with industry benchmarking, Sue has </w:t>
      </w:r>
      <w:r w:rsidRPr="49F3A3DB" w:rsidR="1FA9CD07">
        <w:rPr>
          <w:rFonts w:ascii="Aptos" w:hAnsi="Aptos" w:eastAsia="Aptos" w:cs="Aptos"/>
          <w:noProof w:val="0"/>
          <w:sz w:val="24"/>
          <w:szCs w:val="24"/>
          <w:lang w:val="en-GB"/>
        </w:rPr>
        <w:t>a convincing argument</w:t>
      </w:r>
      <w:r w:rsidRPr="49F3A3DB" w:rsidR="53884564">
        <w:rPr>
          <w:rFonts w:ascii="Aptos" w:hAnsi="Aptos" w:eastAsia="Aptos" w:cs="Aptos"/>
          <w:noProof w:val="0"/>
          <w:sz w:val="24"/>
          <w:szCs w:val="24"/>
          <w:lang w:val="en-GB"/>
        </w:rPr>
        <w:t xml:space="preserve"> to show the need for EBP in L&amp;D to ensure investment is specific to business needs and aligned to </w:t>
      </w:r>
      <w:r w:rsidRPr="49F3A3DB" w:rsidR="53884564">
        <w:rPr>
          <w:rFonts w:ascii="Aptos" w:hAnsi="Aptos" w:eastAsia="Aptos" w:cs="Aptos"/>
          <w:noProof w:val="0"/>
          <w:sz w:val="24"/>
          <w:szCs w:val="24"/>
          <w:lang w:val="en-GB"/>
        </w:rPr>
        <w:t>Technivara’s</w:t>
      </w:r>
      <w:r w:rsidRPr="49F3A3DB" w:rsidR="53884564">
        <w:rPr>
          <w:rFonts w:ascii="Aptos" w:hAnsi="Aptos" w:eastAsia="Aptos" w:cs="Aptos"/>
          <w:noProof w:val="0"/>
          <w:sz w:val="24"/>
          <w:szCs w:val="24"/>
          <w:lang w:val="en-GB"/>
        </w:rPr>
        <w:t xml:space="preserve"> growth strategy. </w:t>
      </w:r>
    </w:p>
    <w:p w:rsidR="53884564" w:rsidP="49F3A3DB" w:rsidRDefault="53884564" w14:paraId="6F3FBA84" w14:textId="2EF268B5">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Similarly, </w:t>
      </w:r>
      <w:r w:rsidRPr="49F3A3DB" w:rsidR="53884564">
        <w:rPr>
          <w:rFonts w:ascii="Aptos" w:hAnsi="Aptos" w:eastAsia="Aptos" w:cs="Aptos"/>
          <w:noProof w:val="0"/>
          <w:sz w:val="24"/>
          <w:szCs w:val="24"/>
          <w:lang w:val="en-GB"/>
        </w:rPr>
        <w:t>Technivara’s</w:t>
      </w:r>
      <w:r w:rsidRPr="49F3A3DB" w:rsidR="53884564">
        <w:rPr>
          <w:rFonts w:ascii="Aptos" w:hAnsi="Aptos" w:eastAsia="Aptos" w:cs="Aptos"/>
          <w:noProof w:val="0"/>
          <w:sz w:val="24"/>
          <w:szCs w:val="24"/>
          <w:lang w:val="en-GB"/>
        </w:rPr>
        <w:t xml:space="preserve"> paper-driven recruitment process increases the risk of poor hiring outcomes. Converted to percentages, </w:t>
      </w:r>
      <w:r w:rsidRPr="49F3A3DB" w:rsidR="35D76920">
        <w:rPr>
          <w:rFonts w:ascii="Aptos" w:hAnsi="Aptos" w:eastAsia="Aptos" w:cs="Aptos"/>
          <w:noProof w:val="0"/>
          <w:sz w:val="24"/>
          <w:szCs w:val="24"/>
          <w:lang w:val="en-GB"/>
        </w:rPr>
        <w:t>T</w:t>
      </w:r>
      <w:r w:rsidRPr="49F3A3DB" w:rsidR="53884564">
        <w:rPr>
          <w:rFonts w:ascii="Aptos" w:hAnsi="Aptos" w:eastAsia="Aptos" w:cs="Aptos"/>
          <w:noProof w:val="0"/>
          <w:sz w:val="24"/>
          <w:szCs w:val="24"/>
          <w:lang w:val="en-GB"/>
        </w:rPr>
        <w:t xml:space="preserve">able 1 shows an 83.3% vacancy rate in the Casting Department, </w:t>
      </w:r>
      <w:r w:rsidRPr="49F3A3DB" w:rsidR="53884564">
        <w:rPr>
          <w:rFonts w:ascii="Aptos" w:hAnsi="Aptos" w:eastAsia="Aptos" w:cs="Aptos"/>
          <w:noProof w:val="0"/>
          <w:sz w:val="24"/>
          <w:szCs w:val="24"/>
          <w:lang w:val="en-GB"/>
        </w:rPr>
        <w:t>evidencing</w:t>
      </w:r>
      <w:r w:rsidRPr="49F3A3DB" w:rsidR="766FEB78">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 xml:space="preserve">resource challenges. EBP could redesign recruitment by combining internal data with external market trends. For example, by capturing performance data and feedback from high performing employees and analysing labour market trends, Sue can ensure job descriptions and adverts give a true representation of the day-to-day at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rather than relying on outdated templates which strong job seekers would simply overlook. EBP also supports the use of fair selection methods through implementing structured interviews with consistent questions (</w:t>
      </w:r>
      <w:r w:rsidRPr="49F3A3DB" w:rsidR="53884564">
        <w:rPr>
          <w:rFonts w:ascii="Aptos" w:hAnsi="Aptos" w:eastAsia="Aptos" w:cs="Aptos"/>
          <w:noProof w:val="0"/>
          <w:sz w:val="24"/>
          <w:szCs w:val="24"/>
          <w:lang w:val="en-GB"/>
        </w:rPr>
        <w:t>Bergelson</w:t>
      </w:r>
      <w:r w:rsidRPr="49F3A3DB" w:rsidR="53884564">
        <w:rPr>
          <w:rFonts w:ascii="Aptos" w:hAnsi="Aptos" w:eastAsia="Aptos" w:cs="Aptos"/>
          <w:noProof w:val="0"/>
          <w:sz w:val="24"/>
          <w:szCs w:val="24"/>
          <w:lang w:val="en-GB"/>
        </w:rPr>
        <w:t xml:space="preserve">, Tracy and Takacs, 2022), reducing bias and subjective decision-making. </w:t>
      </w:r>
    </w:p>
    <w:p w:rsidR="53884564" w:rsidP="49F3A3DB" w:rsidRDefault="53884564" w14:paraId="061D0484" w14:textId="5781DC4A">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While intuition has supported </w:t>
      </w:r>
      <w:r w:rsidRPr="49F3A3DB" w:rsidR="53884564">
        <w:rPr>
          <w:rFonts w:ascii="Aptos" w:hAnsi="Aptos" w:eastAsia="Aptos" w:cs="Aptos"/>
          <w:noProof w:val="0"/>
          <w:sz w:val="24"/>
          <w:szCs w:val="24"/>
          <w:lang w:val="en-GB"/>
        </w:rPr>
        <w:t>Technivara’s</w:t>
      </w:r>
      <w:r w:rsidRPr="49F3A3DB" w:rsidR="53884564">
        <w:rPr>
          <w:rFonts w:ascii="Aptos" w:hAnsi="Aptos" w:eastAsia="Aptos" w:cs="Aptos"/>
          <w:noProof w:val="0"/>
          <w:sz w:val="24"/>
          <w:szCs w:val="24"/>
          <w:lang w:val="en-GB"/>
        </w:rPr>
        <w:t xml:space="preserve"> long-term growth, continued reliance will risk bias and inconsistency. Sue has </w:t>
      </w:r>
      <w:r w:rsidRPr="49F3A3DB" w:rsidR="53884564">
        <w:rPr>
          <w:rFonts w:ascii="Aptos" w:hAnsi="Aptos" w:eastAsia="Aptos" w:cs="Aptos"/>
          <w:noProof w:val="0"/>
          <w:sz w:val="24"/>
          <w:szCs w:val="24"/>
          <w:lang w:val="en-GB"/>
        </w:rPr>
        <w:t>a strong case</w:t>
      </w:r>
      <w:r w:rsidRPr="49F3A3DB" w:rsidR="53884564">
        <w:rPr>
          <w:rFonts w:ascii="Aptos" w:hAnsi="Aptos" w:eastAsia="Aptos" w:cs="Aptos"/>
          <w:noProof w:val="0"/>
          <w:sz w:val="24"/>
          <w:szCs w:val="24"/>
          <w:lang w:val="en-GB"/>
        </w:rPr>
        <w:t xml:space="preserve"> to justify applying EBP in areas such as L&amp;D and recruitment, despite the time and resource demands. It would support better investment decisions, align people practices with organisational </w:t>
      </w:r>
      <w:r w:rsidRPr="49F3A3DB" w:rsidR="53884564">
        <w:rPr>
          <w:rFonts w:ascii="Aptos" w:hAnsi="Aptos" w:eastAsia="Aptos" w:cs="Aptos"/>
          <w:noProof w:val="0"/>
          <w:sz w:val="24"/>
          <w:szCs w:val="24"/>
          <w:lang w:val="en-GB"/>
        </w:rPr>
        <w:t>growth</w:t>
      </w:r>
      <w:r w:rsidRPr="49F3A3DB" w:rsidR="53884564">
        <w:rPr>
          <w:rFonts w:ascii="Aptos" w:hAnsi="Aptos" w:eastAsia="Aptos" w:cs="Aptos"/>
          <w:noProof w:val="0"/>
          <w:sz w:val="24"/>
          <w:szCs w:val="24"/>
          <w:lang w:val="en-GB"/>
        </w:rPr>
        <w:t xml:space="preserve"> and improve resourcing. </w:t>
      </w:r>
    </w:p>
    <w:p w:rsidR="49F3A3DB" w:rsidP="49F3A3DB" w:rsidRDefault="49F3A3DB" w14:paraId="72E8D15F" w14:textId="79E517A9">
      <w:pPr>
        <w:keepNext w:val="1"/>
        <w:spacing w:line="240" w:lineRule="auto"/>
        <w:jc w:val="both"/>
        <w:rPr>
          <w:rFonts w:ascii="Aptos" w:hAnsi="Aptos" w:eastAsia="Aptos" w:cs="Aptos"/>
          <w:noProof w:val="0"/>
          <w:sz w:val="24"/>
          <w:szCs w:val="24"/>
          <w:lang w:val="en-US"/>
        </w:rPr>
      </w:pPr>
    </w:p>
    <w:p w:rsidR="53884564" w:rsidP="49F3A3DB" w:rsidRDefault="53884564" w14:paraId="5945982A" w14:textId="7E0EA24B">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AC1.2 </w:t>
      </w:r>
    </w:p>
    <w:p w:rsidR="53884564" w:rsidP="49F3A3DB" w:rsidRDefault="53884564" w14:paraId="22C4CFF4" w14:textId="0B655F41">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could use PESTLE analysis as a tool to recognise external issues, challenges and opportunities that directly influence people practice. As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operates across multiple sectors, PESTLE provides Sue with a structured overview of external influences </w:t>
      </w:r>
      <w:r w:rsidRPr="49F3A3DB" w:rsidR="53884564">
        <w:rPr>
          <w:rFonts w:ascii="Aptos" w:hAnsi="Aptos" w:eastAsia="Aptos" w:cs="Aptos"/>
          <w:noProof w:val="0"/>
          <w:sz w:val="24"/>
          <w:szCs w:val="24"/>
          <w:lang w:val="en-GB"/>
        </w:rPr>
        <w:t>impacting</w:t>
      </w:r>
      <w:r w:rsidRPr="49F3A3DB" w:rsidR="53884564">
        <w:rPr>
          <w:rFonts w:ascii="Aptos" w:hAnsi="Aptos" w:eastAsia="Aptos" w:cs="Aptos"/>
          <w:noProof w:val="0"/>
          <w:sz w:val="24"/>
          <w:szCs w:val="24"/>
          <w:lang w:val="en-GB"/>
        </w:rPr>
        <w:t xml:space="preserve"> workforce strategy and HR decision making. By analysing Political, Economic, Sociological, Technological, Legal and Environmental factors </w:t>
      </w:r>
      <w:r w:rsidRPr="49F3A3DB" w:rsidR="53884564">
        <w:rPr>
          <w:rFonts w:ascii="Aptos" w:hAnsi="Aptos" w:eastAsia="Aptos" w:cs="Aptos"/>
          <w:noProof w:val="0"/>
          <w:sz w:val="24"/>
          <w:szCs w:val="24"/>
          <w:lang w:val="en-GB"/>
        </w:rPr>
        <w:t>(Brougham-Chandler, 2023)</w:t>
      </w:r>
      <w:r w:rsidRPr="49F3A3DB" w:rsidR="53884564">
        <w:rPr>
          <w:rFonts w:ascii="Aptos" w:hAnsi="Aptos" w:eastAsia="Aptos" w:cs="Aptos"/>
          <w:noProof w:val="0"/>
          <w:sz w:val="24"/>
          <w:szCs w:val="24"/>
          <w:lang w:val="en-GB"/>
        </w:rPr>
        <w:t xml:space="preserve">, Sue can gather evidence to inform HR strategies that align with organisational needs. Political factors such as changes to trade agreements and government policies affecting engineering and manufacturing supply chains help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anticipate potential challenges, such as skill shortages, and adapt recruitment and retention strategies accordingly. Economic factors highlight financial challenges such as labour market inflation and raw material costs directly </w:t>
      </w:r>
      <w:r w:rsidRPr="49F3A3DB" w:rsidR="53884564">
        <w:rPr>
          <w:rFonts w:ascii="Aptos" w:hAnsi="Aptos" w:eastAsia="Aptos" w:cs="Aptos"/>
          <w:noProof w:val="0"/>
          <w:sz w:val="24"/>
          <w:szCs w:val="24"/>
          <w:lang w:val="en-GB"/>
        </w:rPr>
        <w:t>impacting</w:t>
      </w:r>
      <w:r w:rsidRPr="49F3A3DB" w:rsidR="53884564">
        <w:rPr>
          <w:rFonts w:ascii="Aptos" w:hAnsi="Aptos" w:eastAsia="Aptos" w:cs="Aptos"/>
          <w:noProof w:val="0"/>
          <w:sz w:val="24"/>
          <w:szCs w:val="24"/>
          <w:lang w:val="en-GB"/>
        </w:rPr>
        <w:t xml:space="preserve"> salaries, material demand and supporting workforce planning. Social factors allow Sue to benchmark competitors’ modern people practices and provide evidence for Sue to challenge Bill’s traditional and outdated methods. PESTLE can also </w:t>
      </w:r>
      <w:r w:rsidRPr="49F3A3DB" w:rsidR="53884564">
        <w:rPr>
          <w:rFonts w:ascii="Aptos" w:hAnsi="Aptos" w:eastAsia="Aptos" w:cs="Aptos"/>
          <w:noProof w:val="0"/>
          <w:sz w:val="24"/>
          <w:szCs w:val="24"/>
          <w:lang w:val="en-GB"/>
        </w:rPr>
        <w:t>identify</w:t>
      </w:r>
      <w:r w:rsidRPr="49F3A3DB" w:rsidR="53884564">
        <w:rPr>
          <w:rFonts w:ascii="Aptos" w:hAnsi="Aptos" w:eastAsia="Aptos" w:cs="Aptos"/>
          <w:noProof w:val="0"/>
          <w:sz w:val="24"/>
          <w:szCs w:val="24"/>
          <w:lang w:val="en-GB"/>
        </w:rPr>
        <w:t xml:space="preserve"> technological opportunities, such as emerging electrical innovations, helping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remain competitive. Legal factors support compliance with employment, health and safety and data protection legislation, whilst environmental factors emphasise growing requirements affecting the manufacturing sector. However, findings are a snapshot in time, which therefore must be updated regularly to remain effective </w:t>
      </w:r>
      <w:r w:rsidRPr="49F3A3DB" w:rsidR="53884564">
        <w:rPr>
          <w:rFonts w:ascii="Aptos" w:hAnsi="Aptos" w:eastAsia="Aptos" w:cs="Aptos"/>
          <w:noProof w:val="0"/>
          <w:sz w:val="24"/>
          <w:szCs w:val="24"/>
          <w:lang w:val="en-GB"/>
        </w:rPr>
        <w:t>(Hayden 2025a)</w:t>
      </w:r>
      <w:r w:rsidRPr="49F3A3DB" w:rsidR="53884564">
        <w:rPr>
          <w:rFonts w:ascii="Aptos" w:hAnsi="Aptos" w:eastAsia="Aptos" w:cs="Aptos"/>
          <w:noProof w:val="0"/>
          <w:sz w:val="24"/>
          <w:szCs w:val="24"/>
          <w:lang w:val="en-GB"/>
        </w:rPr>
        <w:t>, which will be time-consuming for Sue to collate each time.</w:t>
      </w:r>
    </w:p>
    <w:p w:rsidR="53884564" w:rsidP="49F3A3DB" w:rsidRDefault="53884564" w14:paraId="0E35A380" w14:textId="59C0CDF2">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While PESTLE </w:t>
      </w:r>
      <w:r w:rsidRPr="49F3A3DB" w:rsidR="53884564">
        <w:rPr>
          <w:rFonts w:ascii="Aptos" w:hAnsi="Aptos" w:eastAsia="Aptos" w:cs="Aptos"/>
          <w:noProof w:val="0"/>
          <w:sz w:val="24"/>
          <w:szCs w:val="24"/>
          <w:lang w:val="en-GB"/>
        </w:rPr>
        <w:t>identifies</w:t>
      </w:r>
      <w:r w:rsidRPr="49F3A3DB" w:rsidR="53884564">
        <w:rPr>
          <w:rFonts w:ascii="Aptos" w:hAnsi="Aptos" w:eastAsia="Aptos" w:cs="Aptos"/>
          <w:noProof w:val="0"/>
          <w:sz w:val="24"/>
          <w:szCs w:val="24"/>
          <w:lang w:val="en-GB"/>
        </w:rPr>
        <w:t xml:space="preserve"> external opportunities and threats, it </w:t>
      </w:r>
      <w:r w:rsidRPr="49F3A3DB" w:rsidR="53884564">
        <w:rPr>
          <w:rFonts w:ascii="Aptos" w:hAnsi="Aptos" w:eastAsia="Aptos" w:cs="Aptos"/>
          <w:noProof w:val="0"/>
          <w:sz w:val="24"/>
          <w:szCs w:val="24"/>
          <w:lang w:val="en-GB"/>
        </w:rPr>
        <w:t>doesn’t</w:t>
      </w:r>
      <w:r w:rsidRPr="49F3A3DB" w:rsidR="53884564">
        <w:rPr>
          <w:rFonts w:ascii="Aptos" w:hAnsi="Aptos" w:eastAsia="Aptos" w:cs="Aptos"/>
          <w:noProof w:val="0"/>
          <w:sz w:val="24"/>
          <w:szCs w:val="24"/>
          <w:lang w:val="en-GB"/>
        </w:rPr>
        <w:t xml:space="preserve"> capture employee perspectives. To assess internal impact at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Sue could distribute employee surveys, a method which gathers both qualitative and quantitative insights using open-ended questions and rating scales. Answers can be quantified to diagnose internal challenges, understand employee perspectives, and reveal opportunities for improvement through trend analysis or comparison over time. </w:t>
      </w:r>
      <w:r w:rsidRPr="49F3A3DB" w:rsidR="53884564">
        <w:rPr>
          <w:rFonts w:ascii="Aptos" w:hAnsi="Aptos" w:eastAsia="Aptos" w:cs="Aptos"/>
          <w:noProof w:val="0"/>
          <w:sz w:val="24"/>
          <w:szCs w:val="24"/>
          <w:lang w:val="en-GB"/>
        </w:rPr>
        <w:t>Maintaining</w:t>
      </w:r>
      <w:r w:rsidRPr="49F3A3DB" w:rsidR="53884564">
        <w:rPr>
          <w:rFonts w:ascii="Aptos" w:hAnsi="Aptos" w:eastAsia="Aptos" w:cs="Aptos"/>
          <w:noProof w:val="0"/>
          <w:sz w:val="24"/>
          <w:szCs w:val="24"/>
          <w:lang w:val="en-GB"/>
        </w:rPr>
        <w:t xml:space="preserve"> anonymity encourages honest feedback and a higher response rate as employees may not feel comfortable addressing directly to management, enabling hidden areas to be </w:t>
      </w:r>
      <w:r w:rsidRPr="49F3A3DB" w:rsidR="53884564">
        <w:rPr>
          <w:rFonts w:ascii="Aptos" w:hAnsi="Aptos" w:eastAsia="Aptos" w:cs="Aptos"/>
          <w:noProof w:val="0"/>
          <w:sz w:val="24"/>
          <w:szCs w:val="24"/>
          <w:lang w:val="en-GB"/>
        </w:rPr>
        <w:t>identified</w:t>
      </w:r>
      <w:r w:rsidRPr="49F3A3DB" w:rsidR="53884564">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(Jackson, 2024)</w:t>
      </w:r>
      <w:r w:rsidRPr="49F3A3DB" w:rsidR="53884564">
        <w:rPr>
          <w:rFonts w:ascii="Aptos" w:hAnsi="Aptos" w:eastAsia="Aptos" w:cs="Aptos"/>
          <w:noProof w:val="0"/>
          <w:sz w:val="24"/>
          <w:szCs w:val="24"/>
          <w:lang w:val="en-GB"/>
        </w:rPr>
        <w:t xml:space="preserve">. Surveys can </w:t>
      </w:r>
      <w:r w:rsidRPr="49F3A3DB" w:rsidR="53884564">
        <w:rPr>
          <w:rFonts w:ascii="Aptos" w:hAnsi="Aptos" w:eastAsia="Aptos" w:cs="Aptos"/>
          <w:noProof w:val="0"/>
          <w:sz w:val="24"/>
          <w:szCs w:val="24"/>
          <w:lang w:val="en-GB"/>
        </w:rPr>
        <w:t>identify</w:t>
      </w:r>
      <w:r w:rsidRPr="49F3A3DB" w:rsidR="53884564">
        <w:rPr>
          <w:rFonts w:ascii="Aptos" w:hAnsi="Aptos" w:eastAsia="Aptos" w:cs="Aptos"/>
          <w:noProof w:val="0"/>
          <w:sz w:val="24"/>
          <w:szCs w:val="24"/>
          <w:lang w:val="en-GB"/>
        </w:rPr>
        <w:t xml:space="preserve"> potential challenges such as turnover, poor management practices or a lack of L&amp;D opportunities. They are also a powerful way of enabling employee voice and engagement by showing that their opinions are valued</w:t>
      </w:r>
      <w:r w:rsidRPr="49F3A3DB" w:rsidR="53884564">
        <w:rPr>
          <w:rFonts w:ascii="Aptos" w:hAnsi="Aptos" w:eastAsia="Aptos" w:cs="Aptos"/>
          <w:noProof w:val="0"/>
          <w:sz w:val="24"/>
          <w:szCs w:val="24"/>
          <w:lang w:val="en-GB"/>
        </w:rPr>
        <w:t xml:space="preserve">.  </w:t>
      </w:r>
    </w:p>
    <w:p w:rsidR="53884564" w:rsidP="49F3A3DB" w:rsidRDefault="53884564" w14:paraId="19CA730D" w14:textId="34639503">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However, creating, </w:t>
      </w:r>
      <w:r w:rsidRPr="49F3A3DB" w:rsidR="53884564">
        <w:rPr>
          <w:rFonts w:ascii="Aptos" w:hAnsi="Aptos" w:eastAsia="Aptos" w:cs="Aptos"/>
          <w:noProof w:val="0"/>
          <w:sz w:val="24"/>
          <w:szCs w:val="24"/>
          <w:lang w:val="en-GB"/>
        </w:rPr>
        <w:t>distributing</w:t>
      </w:r>
      <w:r w:rsidRPr="49F3A3DB" w:rsidR="53884564">
        <w:rPr>
          <w:rFonts w:ascii="Aptos" w:hAnsi="Aptos" w:eastAsia="Aptos" w:cs="Aptos"/>
          <w:noProof w:val="0"/>
          <w:sz w:val="24"/>
          <w:szCs w:val="24"/>
          <w:lang w:val="en-GB"/>
        </w:rPr>
        <w:t xml:space="preserve"> and analysing results can be admin-intensive and time-consuming. Consequently, the delay in actioning and providing feedback can damage employee trust. Also, a potential low response rate may bias results and not be representative of the whole organisation. Questions must also be designed to capture facts rather than opinions to prevent surveys from being used as ‘happy meters’ </w:t>
      </w:r>
      <w:r w:rsidRPr="49F3A3DB" w:rsidR="53884564">
        <w:rPr>
          <w:rFonts w:ascii="Aptos" w:hAnsi="Aptos" w:eastAsia="Aptos" w:cs="Aptos"/>
          <w:noProof w:val="0"/>
          <w:sz w:val="24"/>
          <w:szCs w:val="24"/>
          <w:lang w:val="en-GB"/>
        </w:rPr>
        <w:t>(Johnson, 2025)</w:t>
      </w:r>
      <w:r w:rsidRPr="49F3A3DB" w:rsidR="53884564">
        <w:rPr>
          <w:rFonts w:ascii="Aptos" w:hAnsi="Aptos" w:eastAsia="Aptos" w:cs="Aptos"/>
          <w:noProof w:val="0"/>
          <w:sz w:val="24"/>
          <w:szCs w:val="24"/>
          <w:lang w:val="en-GB"/>
        </w:rPr>
        <w:t>.</w:t>
      </w:r>
    </w:p>
    <w:p w:rsidR="53884564" w:rsidP="49F3A3DB" w:rsidRDefault="53884564" w14:paraId="7F26267C" w14:textId="37434624">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In conclusion, PESTLE analysis enables Sue to </w:t>
      </w:r>
      <w:r w:rsidRPr="49F3A3DB" w:rsidR="53884564">
        <w:rPr>
          <w:rFonts w:ascii="Aptos" w:hAnsi="Aptos" w:eastAsia="Aptos" w:cs="Aptos"/>
          <w:noProof w:val="0"/>
          <w:sz w:val="24"/>
          <w:szCs w:val="24"/>
          <w:lang w:val="en-GB"/>
        </w:rPr>
        <w:t>identify</w:t>
      </w:r>
      <w:r w:rsidRPr="49F3A3DB" w:rsidR="53884564">
        <w:rPr>
          <w:rFonts w:ascii="Aptos" w:hAnsi="Aptos" w:eastAsia="Aptos" w:cs="Aptos"/>
          <w:noProof w:val="0"/>
          <w:sz w:val="24"/>
          <w:szCs w:val="24"/>
          <w:lang w:val="en-GB"/>
        </w:rPr>
        <w:t xml:space="preserve"> external factors shaping people practice by </w:t>
      </w:r>
      <w:r w:rsidRPr="49F3A3DB" w:rsidR="53884564">
        <w:rPr>
          <w:rFonts w:ascii="Aptos" w:hAnsi="Aptos" w:eastAsia="Aptos" w:cs="Aptos"/>
          <w:noProof w:val="0"/>
          <w:sz w:val="24"/>
          <w:szCs w:val="24"/>
          <w:lang w:val="en-GB"/>
        </w:rPr>
        <w:t>identifying</w:t>
      </w:r>
      <w:r w:rsidRPr="49F3A3DB" w:rsidR="53884564">
        <w:rPr>
          <w:rFonts w:ascii="Aptos" w:hAnsi="Aptos" w:eastAsia="Aptos" w:cs="Aptos"/>
          <w:noProof w:val="0"/>
          <w:sz w:val="24"/>
          <w:szCs w:val="24"/>
          <w:lang w:val="en-GB"/>
        </w:rPr>
        <w:t xml:space="preserve"> potential challenges and opportunities, while employee surveys are key for diagnosing and uncovering internal employee issues. Together, they would result in a balanced, evidence-based foundation for Sue to recognise and diagnose issues, </w:t>
      </w:r>
      <w:r w:rsidRPr="49F3A3DB" w:rsidR="53884564">
        <w:rPr>
          <w:rFonts w:ascii="Aptos" w:hAnsi="Aptos" w:eastAsia="Aptos" w:cs="Aptos"/>
          <w:noProof w:val="0"/>
          <w:sz w:val="24"/>
          <w:szCs w:val="24"/>
          <w:lang w:val="en-GB"/>
        </w:rPr>
        <w:t>challenges</w:t>
      </w:r>
      <w:r w:rsidRPr="49F3A3DB" w:rsidR="53884564">
        <w:rPr>
          <w:rFonts w:ascii="Aptos" w:hAnsi="Aptos" w:eastAsia="Aptos" w:cs="Aptos"/>
          <w:noProof w:val="0"/>
          <w:sz w:val="24"/>
          <w:szCs w:val="24"/>
          <w:lang w:val="en-GB"/>
        </w:rPr>
        <w:t xml:space="preserve"> and opportunities within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w:t>
      </w:r>
    </w:p>
    <w:p w:rsidR="49F3A3DB" w:rsidP="49F3A3DB" w:rsidRDefault="49F3A3DB" w14:paraId="5D690A68" w14:textId="0DFB2B7D">
      <w:pPr>
        <w:keepNext w:val="1"/>
        <w:spacing w:line="240" w:lineRule="auto"/>
        <w:jc w:val="both"/>
        <w:rPr>
          <w:rFonts w:ascii="Aptos" w:hAnsi="Aptos" w:eastAsia="Aptos" w:cs="Aptos"/>
          <w:noProof w:val="0"/>
          <w:sz w:val="24"/>
          <w:szCs w:val="24"/>
          <w:lang w:val="en-US"/>
        </w:rPr>
      </w:pPr>
    </w:p>
    <w:p w:rsidR="53884564" w:rsidP="49F3A3DB" w:rsidRDefault="53884564" w14:paraId="36BB5CC7" w14:textId="7D3AA450">
      <w:pPr>
        <w:keepNext w:val="1"/>
        <w:spacing w:line="240" w:lineRule="auto"/>
        <w:ind w:right="0"/>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AC1.3</w:t>
      </w:r>
    </w:p>
    <w:p w:rsidR="53884564" w:rsidP="49F3A3DB" w:rsidRDefault="53884564" w14:paraId="5D31FDD5" w14:textId="65297EE9">
      <w:pPr>
        <w:keepNext w:val="1"/>
        <w:spacing w:line="240" w:lineRule="auto"/>
        <w:ind w:right="0"/>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Critical thinking allows reflection on others’ ideas, </w:t>
      </w:r>
      <w:r w:rsidRPr="49F3A3DB" w:rsidR="53884564">
        <w:rPr>
          <w:rFonts w:ascii="Aptos" w:hAnsi="Aptos" w:eastAsia="Aptos" w:cs="Aptos"/>
          <w:noProof w:val="0"/>
          <w:sz w:val="24"/>
          <w:szCs w:val="24"/>
          <w:lang w:val="en-GB"/>
        </w:rPr>
        <w:t>opinions</w:t>
      </w:r>
      <w:r w:rsidRPr="49F3A3DB" w:rsidR="53884564">
        <w:rPr>
          <w:rFonts w:ascii="Aptos" w:hAnsi="Aptos" w:eastAsia="Aptos" w:cs="Aptos"/>
          <w:noProof w:val="0"/>
          <w:sz w:val="24"/>
          <w:szCs w:val="24"/>
          <w:lang w:val="en-GB"/>
        </w:rPr>
        <w:t xml:space="preserve"> and arguments, helping us address more complex issues (Lamb, 2019), enabling objective decision-making. </w:t>
      </w:r>
      <w:r w:rsidRPr="49F3A3DB" w:rsidR="53884564">
        <w:rPr>
          <w:rFonts w:ascii="Aptos" w:hAnsi="Aptos" w:eastAsia="Aptos" w:cs="Aptos"/>
          <w:noProof w:val="0"/>
          <w:sz w:val="24"/>
          <w:szCs w:val="24"/>
          <w:lang w:val="en-GB"/>
        </w:rPr>
        <w:t>It’s</w:t>
      </w:r>
      <w:r w:rsidRPr="49F3A3DB" w:rsidR="53884564">
        <w:rPr>
          <w:rFonts w:ascii="Aptos" w:hAnsi="Aptos" w:eastAsia="Aptos" w:cs="Aptos"/>
          <w:noProof w:val="0"/>
          <w:sz w:val="24"/>
          <w:szCs w:val="24"/>
          <w:lang w:val="en-GB"/>
        </w:rPr>
        <w:t xml:space="preserve"> the ability to objectively analyse data</w:t>
      </w:r>
      <w:r w:rsidRPr="49F3A3DB" w:rsidR="3912028F">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and arguments using evidence to form a rational, bias</w:t>
      </w:r>
      <w:r w:rsidRPr="49F3A3DB" w:rsidR="30E246CB">
        <w:rPr>
          <w:rFonts w:ascii="Aptos" w:hAnsi="Aptos" w:eastAsia="Aptos" w:cs="Aptos"/>
          <w:noProof w:val="0"/>
          <w:sz w:val="24"/>
          <w:szCs w:val="24"/>
          <w:lang w:val="en-GB"/>
        </w:rPr>
        <w:t>-</w:t>
      </w:r>
      <w:r w:rsidRPr="49F3A3DB" w:rsidR="53884564">
        <w:rPr>
          <w:rFonts w:ascii="Aptos" w:hAnsi="Aptos" w:eastAsia="Aptos" w:cs="Aptos"/>
          <w:noProof w:val="0"/>
          <w:sz w:val="24"/>
          <w:szCs w:val="24"/>
          <w:lang w:val="en-GB"/>
        </w:rPr>
        <w:t xml:space="preserve">free debate. It empowers the need to analyse problems, create solutions and make informed judgements (Young, 2023). Critical thinkers </w:t>
      </w:r>
      <w:r w:rsidRPr="49F3A3DB" w:rsidR="53884564">
        <w:rPr>
          <w:rFonts w:ascii="Aptos" w:hAnsi="Aptos" w:eastAsia="Aptos" w:cs="Aptos"/>
          <w:noProof w:val="0"/>
          <w:sz w:val="24"/>
          <w:szCs w:val="24"/>
          <w:lang w:val="en-GB"/>
        </w:rPr>
        <w:t>don’t</w:t>
      </w:r>
      <w:r w:rsidRPr="49F3A3DB" w:rsidR="53884564">
        <w:rPr>
          <w:rFonts w:ascii="Aptos" w:hAnsi="Aptos" w:eastAsia="Aptos" w:cs="Aptos"/>
          <w:noProof w:val="0"/>
          <w:sz w:val="24"/>
          <w:szCs w:val="24"/>
          <w:lang w:val="en-GB"/>
        </w:rPr>
        <w:t xml:space="preserve"> accept information at face value; they assess the reliability, </w:t>
      </w:r>
      <w:r w:rsidRPr="49F3A3DB" w:rsidR="53884564">
        <w:rPr>
          <w:rFonts w:ascii="Aptos" w:hAnsi="Aptos" w:eastAsia="Aptos" w:cs="Aptos"/>
          <w:noProof w:val="0"/>
          <w:sz w:val="24"/>
          <w:szCs w:val="24"/>
          <w:lang w:val="en-GB"/>
        </w:rPr>
        <w:t>relevance</w:t>
      </w:r>
      <w:r w:rsidRPr="49F3A3DB" w:rsidR="53884564">
        <w:rPr>
          <w:rFonts w:ascii="Aptos" w:hAnsi="Aptos" w:eastAsia="Aptos" w:cs="Aptos"/>
          <w:noProof w:val="0"/>
          <w:sz w:val="24"/>
          <w:szCs w:val="24"/>
          <w:lang w:val="en-GB"/>
        </w:rPr>
        <w:t xml:space="preserve"> and potential bias of evidence to create credible arguments. </w:t>
      </w:r>
    </w:p>
    <w:p w:rsidR="53884564" w:rsidP="49F3A3DB" w:rsidRDefault="53884564" w14:paraId="61036F1B" w14:textId="7FCF2D81">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One key principle of critical thinking is challenging assumptions, which form through habit and culture rather than evidence. A common assumption at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is that current people practices, like paper-based systems, must be effective because the company has grown for sixteen consecutive years. Applying critical thinking to my own ideas means recognising that growth alone </w:t>
      </w:r>
      <w:r w:rsidRPr="49F3A3DB" w:rsidR="53884564">
        <w:rPr>
          <w:rFonts w:ascii="Aptos" w:hAnsi="Aptos" w:eastAsia="Aptos" w:cs="Aptos"/>
          <w:noProof w:val="0"/>
          <w:sz w:val="24"/>
          <w:szCs w:val="24"/>
          <w:lang w:val="en-GB"/>
        </w:rPr>
        <w:t>isn’t</w:t>
      </w:r>
      <w:r w:rsidRPr="49F3A3DB" w:rsidR="53884564">
        <w:rPr>
          <w:rFonts w:ascii="Aptos" w:hAnsi="Aptos" w:eastAsia="Aptos" w:cs="Aptos"/>
          <w:noProof w:val="0"/>
          <w:sz w:val="24"/>
          <w:szCs w:val="24"/>
          <w:lang w:val="en-GB"/>
        </w:rPr>
        <w:t xml:space="preserve"> proof that people practices are effective or compliant. Questioning this assumption supports objective and rational debate, showing that tradition alone </w:t>
      </w:r>
      <w:r w:rsidRPr="49F3A3DB" w:rsidR="53884564">
        <w:rPr>
          <w:rFonts w:ascii="Aptos" w:hAnsi="Aptos" w:eastAsia="Aptos" w:cs="Aptos"/>
          <w:noProof w:val="0"/>
          <w:sz w:val="24"/>
          <w:szCs w:val="24"/>
          <w:lang w:val="en-GB"/>
        </w:rPr>
        <w:t>isn’t</w:t>
      </w:r>
      <w:r w:rsidRPr="49F3A3DB" w:rsidR="53884564">
        <w:rPr>
          <w:rFonts w:ascii="Aptos" w:hAnsi="Aptos" w:eastAsia="Aptos" w:cs="Aptos"/>
          <w:noProof w:val="0"/>
          <w:sz w:val="24"/>
          <w:szCs w:val="24"/>
          <w:lang w:val="en-GB"/>
        </w:rPr>
        <w:t xml:space="preserve"> sufficient evidence, reflecting a critical-thinking mindset rather than a ‘shooting first, aiming later’ mindset </w:t>
      </w:r>
      <w:r w:rsidRPr="49F3A3DB" w:rsidR="53884564">
        <w:rPr>
          <w:rFonts w:ascii="Aptos" w:hAnsi="Aptos" w:eastAsia="Aptos" w:cs="Aptos"/>
          <w:noProof w:val="0"/>
          <w:sz w:val="24"/>
          <w:szCs w:val="24"/>
          <w:lang w:val="en-GB"/>
        </w:rPr>
        <w:t>(Haber, 2020)</w:t>
      </w:r>
      <w:r w:rsidRPr="49F3A3DB" w:rsidR="53884564">
        <w:rPr>
          <w:rFonts w:ascii="Aptos" w:hAnsi="Aptos" w:eastAsia="Aptos" w:cs="Aptos"/>
          <w:noProof w:val="0"/>
          <w:sz w:val="24"/>
          <w:szCs w:val="24"/>
          <w:lang w:val="en-GB"/>
        </w:rPr>
        <w:t xml:space="preserve">. </w:t>
      </w:r>
    </w:p>
    <w:p w:rsidR="53884564" w:rsidP="49F3A3DB" w:rsidRDefault="53884564" w14:paraId="6BB2A5C9" w14:textId="6533A7DA">
      <w:pPr>
        <w:keepNext w:val="1"/>
        <w:spacing w:line="240" w:lineRule="auto"/>
        <w:ind w:right="0"/>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Another key principle is evaluating evidence to test assumptions which involves whether evidence is </w:t>
      </w:r>
      <w:r w:rsidRPr="49F3A3DB" w:rsidR="53884564">
        <w:rPr>
          <w:rFonts w:ascii="Aptos" w:hAnsi="Aptos" w:eastAsia="Aptos" w:cs="Aptos"/>
          <w:noProof w:val="0"/>
          <w:sz w:val="24"/>
          <w:szCs w:val="24"/>
          <w:lang w:val="en-GB"/>
        </w:rPr>
        <w:t>accurate</w:t>
      </w:r>
      <w:r w:rsidRPr="49F3A3DB" w:rsidR="53884564">
        <w:rPr>
          <w:rFonts w:ascii="Aptos" w:hAnsi="Aptos" w:eastAsia="Aptos" w:cs="Aptos"/>
          <w:noProof w:val="0"/>
          <w:sz w:val="24"/>
          <w:szCs w:val="24"/>
          <w:lang w:val="en-GB"/>
        </w:rPr>
        <w:t xml:space="preserve">, relevant, </w:t>
      </w:r>
      <w:r w:rsidRPr="49F3A3DB" w:rsidR="53884564">
        <w:rPr>
          <w:rFonts w:ascii="Aptos" w:hAnsi="Aptos" w:eastAsia="Aptos" w:cs="Aptos"/>
          <w:noProof w:val="0"/>
          <w:sz w:val="24"/>
          <w:szCs w:val="24"/>
          <w:lang w:val="en-GB"/>
        </w:rPr>
        <w:t>current</w:t>
      </w:r>
      <w:r w:rsidRPr="49F3A3DB" w:rsidR="53884564">
        <w:rPr>
          <w:rFonts w:ascii="Aptos" w:hAnsi="Aptos" w:eastAsia="Aptos" w:cs="Aptos"/>
          <w:noProof w:val="0"/>
          <w:sz w:val="24"/>
          <w:szCs w:val="24"/>
          <w:lang w:val="en-GB"/>
        </w:rPr>
        <w:t xml:space="preserve"> and bias-free. For example, rather than </w:t>
      </w:r>
      <w:r w:rsidRPr="49F3A3DB" w:rsidR="53884564">
        <w:rPr>
          <w:rFonts w:ascii="Aptos" w:hAnsi="Aptos" w:eastAsia="Aptos" w:cs="Aptos"/>
          <w:noProof w:val="0"/>
          <w:sz w:val="24"/>
          <w:szCs w:val="24"/>
          <w:lang w:val="en-GB"/>
        </w:rPr>
        <w:t>stating</w:t>
      </w:r>
      <w:r w:rsidRPr="49F3A3DB" w:rsidR="53884564">
        <w:rPr>
          <w:rFonts w:ascii="Aptos" w:hAnsi="Aptos" w:eastAsia="Aptos" w:cs="Aptos"/>
          <w:noProof w:val="0"/>
          <w:sz w:val="24"/>
          <w:szCs w:val="24"/>
          <w:lang w:val="en-GB"/>
        </w:rPr>
        <w:t xml:space="preserve"> that paper-based systems are outdated, I would collect and analyse data on printing, </w:t>
      </w:r>
      <w:r w:rsidRPr="49F3A3DB" w:rsidR="53884564">
        <w:rPr>
          <w:rFonts w:ascii="Aptos" w:hAnsi="Aptos" w:eastAsia="Aptos" w:cs="Aptos"/>
          <w:noProof w:val="0"/>
          <w:sz w:val="24"/>
          <w:szCs w:val="24"/>
          <w:lang w:val="en-GB"/>
        </w:rPr>
        <w:t>storage</w:t>
      </w:r>
      <w:r w:rsidRPr="49F3A3DB" w:rsidR="53884564">
        <w:rPr>
          <w:rFonts w:ascii="Aptos" w:hAnsi="Aptos" w:eastAsia="Aptos" w:cs="Aptos"/>
          <w:noProof w:val="0"/>
          <w:sz w:val="24"/>
          <w:szCs w:val="24"/>
          <w:lang w:val="en-GB"/>
        </w:rPr>
        <w:t xml:space="preserve"> and administrative costs, as well as management time spent processing manual forms. Presenting quantified evidence allows Bill to evaluate current practices rationally and make informed, evidence-based decisions.</w:t>
      </w:r>
    </w:p>
    <w:p w:rsidR="53884564" w:rsidP="49F3A3DB" w:rsidRDefault="53884564" w14:paraId="45EFD31D" w14:textId="5A68D395">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US"/>
        </w:rPr>
        <w:t>Applying critical thinking to the ideas of others is equally important in supporting objective data. Experience can lead to bias</w:t>
      </w:r>
      <w:r w:rsidRPr="49F3A3DB" w:rsidR="53884564">
        <w:rPr>
          <w:rFonts w:ascii="Aptos" w:hAnsi="Aptos" w:eastAsia="Aptos" w:cs="Aptos"/>
          <w:noProof w:val="0"/>
          <w:sz w:val="24"/>
          <w:szCs w:val="24"/>
          <w:lang w:val="en-US"/>
        </w:rPr>
        <w:t xml:space="preserve">.  </w:t>
      </w:r>
      <w:r w:rsidRPr="49F3A3DB" w:rsidR="53884564">
        <w:rPr>
          <w:rFonts w:ascii="Aptos" w:hAnsi="Aptos" w:eastAsia="Aptos" w:cs="Aptos"/>
          <w:noProof w:val="0"/>
          <w:sz w:val="24"/>
          <w:szCs w:val="24"/>
          <w:lang w:val="en-US"/>
        </w:rPr>
        <w:t xml:space="preserve">At </w:t>
      </w:r>
      <w:r w:rsidRPr="49F3A3DB" w:rsidR="53884564">
        <w:rPr>
          <w:rFonts w:ascii="Aptos" w:hAnsi="Aptos" w:eastAsia="Aptos" w:cs="Aptos"/>
          <w:noProof w:val="0"/>
          <w:sz w:val="24"/>
          <w:szCs w:val="24"/>
          <w:lang w:val="en-US"/>
        </w:rPr>
        <w:t>Technivara</w:t>
      </w:r>
      <w:r w:rsidRPr="49F3A3DB" w:rsidR="53884564">
        <w:rPr>
          <w:rFonts w:ascii="Aptos" w:hAnsi="Aptos" w:eastAsia="Aptos" w:cs="Aptos"/>
          <w:noProof w:val="0"/>
          <w:sz w:val="24"/>
          <w:szCs w:val="24"/>
          <w:lang w:val="en-US"/>
        </w:rPr>
        <w:t xml:space="preserve">, Bill’s long involvement in the business may lead to confirmation bias, </w:t>
      </w:r>
      <w:r w:rsidRPr="49F3A3DB" w:rsidR="53884564">
        <w:rPr>
          <w:rFonts w:ascii="Aptos" w:hAnsi="Aptos" w:eastAsia="Aptos" w:cs="Aptos"/>
          <w:noProof w:val="0"/>
          <w:sz w:val="24"/>
          <w:szCs w:val="24"/>
          <w:lang w:val="en-US"/>
        </w:rPr>
        <w:t>favouring</w:t>
      </w:r>
      <w:r w:rsidRPr="49F3A3DB" w:rsidR="53884564">
        <w:rPr>
          <w:rFonts w:ascii="Aptos" w:hAnsi="Aptos" w:eastAsia="Aptos" w:cs="Aptos"/>
          <w:noProof w:val="0"/>
          <w:sz w:val="24"/>
          <w:szCs w:val="24"/>
          <w:lang w:val="en-US"/>
        </w:rPr>
        <w:t xml:space="preserve"> evidence supporting his opinions and dismissing evidence that contradicts him (Hoffman, 2024)</w:t>
      </w:r>
      <w:r w:rsidRPr="49F3A3DB" w:rsidR="53884564">
        <w:rPr>
          <w:rFonts w:ascii="Aptos" w:hAnsi="Aptos" w:eastAsia="Aptos" w:cs="Aptos"/>
          <w:noProof w:val="0"/>
          <w:sz w:val="24"/>
          <w:szCs w:val="24"/>
          <w:lang w:val="en-US"/>
        </w:rPr>
        <w:t xml:space="preserve">.  </w:t>
      </w:r>
      <w:r w:rsidRPr="49F3A3DB" w:rsidR="53884564">
        <w:rPr>
          <w:rFonts w:ascii="Aptos" w:hAnsi="Aptos" w:eastAsia="Aptos" w:cs="Aptos"/>
          <w:noProof w:val="0"/>
          <w:sz w:val="24"/>
          <w:szCs w:val="24"/>
          <w:lang w:val="en-US"/>
        </w:rPr>
        <w:t xml:space="preserve">For example, Bill could believe that employee turnover in the Quality department is caused by poor management. This could be influenced by a strained working relationship with this manager. Applying critical thinking to this idea would involve </w:t>
      </w:r>
      <w:r w:rsidRPr="49F3A3DB" w:rsidR="53884564">
        <w:rPr>
          <w:rFonts w:ascii="Aptos" w:hAnsi="Aptos" w:eastAsia="Aptos" w:cs="Aptos"/>
          <w:noProof w:val="0"/>
          <w:sz w:val="24"/>
          <w:szCs w:val="24"/>
          <w:lang w:val="en-US"/>
        </w:rPr>
        <w:t>recognising</w:t>
      </w:r>
      <w:r w:rsidRPr="49F3A3DB" w:rsidR="53884564">
        <w:rPr>
          <w:rFonts w:ascii="Aptos" w:hAnsi="Aptos" w:eastAsia="Aptos" w:cs="Aptos"/>
          <w:noProof w:val="0"/>
          <w:sz w:val="24"/>
          <w:szCs w:val="24"/>
          <w:lang w:val="en-US"/>
        </w:rPr>
        <w:t xml:space="preserve"> potential personal bias and </w:t>
      </w:r>
      <w:r w:rsidRPr="49F3A3DB" w:rsidR="53884564">
        <w:rPr>
          <w:rFonts w:ascii="Aptos" w:hAnsi="Aptos" w:eastAsia="Aptos" w:cs="Aptos"/>
          <w:noProof w:val="0"/>
          <w:sz w:val="24"/>
          <w:szCs w:val="24"/>
          <w:lang w:val="en-US"/>
        </w:rPr>
        <w:t>analysing</w:t>
      </w:r>
      <w:r w:rsidRPr="49F3A3DB" w:rsidR="53884564">
        <w:rPr>
          <w:rFonts w:ascii="Aptos" w:hAnsi="Aptos" w:eastAsia="Aptos" w:cs="Aptos"/>
          <w:noProof w:val="0"/>
          <w:sz w:val="24"/>
          <w:szCs w:val="24"/>
          <w:lang w:val="en-US"/>
        </w:rPr>
        <w:t xml:space="preserve"> objective evidence such as exit interview data and turnover trends across other departments. Presenting this evidence reframes the issue from being seen as an individual failing to a systematic </w:t>
      </w:r>
      <w:r w:rsidRPr="49F3A3DB" w:rsidR="53884564">
        <w:rPr>
          <w:rFonts w:ascii="Aptos" w:hAnsi="Aptos" w:eastAsia="Aptos" w:cs="Aptos"/>
          <w:noProof w:val="0"/>
          <w:sz w:val="24"/>
          <w:szCs w:val="24"/>
          <w:lang w:val="en-US"/>
        </w:rPr>
        <w:t>organisational</w:t>
      </w:r>
      <w:r w:rsidRPr="49F3A3DB" w:rsidR="53884564">
        <w:rPr>
          <w:rFonts w:ascii="Aptos" w:hAnsi="Aptos" w:eastAsia="Aptos" w:cs="Aptos"/>
          <w:noProof w:val="0"/>
          <w:sz w:val="24"/>
          <w:szCs w:val="24"/>
          <w:lang w:val="en-US"/>
        </w:rPr>
        <w:t xml:space="preserve"> </w:t>
      </w:r>
      <w:r w:rsidRPr="49F3A3DB" w:rsidR="53884564">
        <w:rPr>
          <w:rFonts w:ascii="Aptos" w:hAnsi="Aptos" w:eastAsia="Aptos" w:cs="Aptos"/>
          <w:noProof w:val="0"/>
          <w:sz w:val="24"/>
          <w:szCs w:val="24"/>
          <w:lang w:val="en-US"/>
        </w:rPr>
        <w:t>challenge,</w:t>
      </w:r>
      <w:r w:rsidRPr="49F3A3DB" w:rsidR="69077A44">
        <w:rPr>
          <w:rFonts w:ascii="Aptos" w:hAnsi="Aptos" w:eastAsia="Aptos" w:cs="Aptos"/>
          <w:noProof w:val="0"/>
          <w:sz w:val="24"/>
          <w:szCs w:val="24"/>
          <w:lang w:val="en-US"/>
        </w:rPr>
        <w:t xml:space="preserve"> </w:t>
      </w:r>
      <w:r w:rsidRPr="49F3A3DB" w:rsidR="53884564">
        <w:rPr>
          <w:rFonts w:ascii="Aptos" w:hAnsi="Aptos" w:eastAsia="Aptos" w:cs="Aptos"/>
          <w:noProof w:val="0"/>
          <w:sz w:val="24"/>
          <w:szCs w:val="24"/>
          <w:lang w:val="en-US"/>
        </w:rPr>
        <w:t>ensuring</w:t>
      </w:r>
      <w:r w:rsidRPr="49F3A3DB" w:rsidR="53884564">
        <w:rPr>
          <w:rFonts w:ascii="Aptos" w:hAnsi="Aptos" w:eastAsia="Aptos" w:cs="Aptos"/>
          <w:noProof w:val="0"/>
          <w:sz w:val="24"/>
          <w:szCs w:val="24"/>
          <w:lang w:val="en-US"/>
        </w:rPr>
        <w:t xml:space="preserve"> conclusions are evidence-based and rational. </w:t>
      </w:r>
    </w:p>
    <w:p w:rsidR="53884564" w:rsidP="49F3A3DB" w:rsidRDefault="53884564" w14:paraId="1D6AA373" w14:textId="54DE4B05">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Applying the principles of critical thinking at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enables decisions to be based on objective evidence rather than opinion. Using a variety of sources, such as employee feedback, trends and </w:t>
      </w:r>
      <w:r w:rsidRPr="49F3A3DB" w:rsidR="53884564">
        <w:rPr>
          <w:rFonts w:ascii="Aptos" w:hAnsi="Aptos" w:eastAsia="Aptos" w:cs="Aptos"/>
          <w:noProof w:val="0"/>
          <w:sz w:val="24"/>
          <w:szCs w:val="24"/>
          <w:lang w:val="en-GB"/>
        </w:rPr>
        <w:t>metrics,</w:t>
      </w:r>
      <w:r w:rsidRPr="49F3A3DB" w:rsidR="59B38429">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allows</w:t>
      </w:r>
      <w:r w:rsidRPr="49F3A3DB" w:rsidR="53884564">
        <w:rPr>
          <w:rFonts w:ascii="Aptos" w:hAnsi="Aptos" w:eastAsia="Aptos" w:cs="Aptos"/>
          <w:noProof w:val="0"/>
          <w:sz w:val="24"/>
          <w:szCs w:val="24"/>
          <w:lang w:val="en-GB"/>
        </w:rPr>
        <w:t xml:space="preserve"> conclusions to be triangulated and supports sustainable evidence-based decisions being made. Balancing this analysis with employee experience is crucial because a rational focus may overlook emotion and morale because growth and planned expansion can place pressure on employees.</w:t>
      </w:r>
    </w:p>
    <w:p w:rsidR="49F3A3DB" w:rsidP="49F3A3DB" w:rsidRDefault="49F3A3DB" w14:paraId="7322AF6F" w14:textId="621A046C">
      <w:pPr>
        <w:keepNext w:val="1"/>
        <w:spacing w:line="240" w:lineRule="auto"/>
        <w:jc w:val="both"/>
        <w:rPr>
          <w:rFonts w:ascii="Aptos" w:hAnsi="Aptos" w:eastAsia="Aptos" w:cs="Aptos"/>
          <w:noProof w:val="0"/>
          <w:sz w:val="24"/>
          <w:szCs w:val="24"/>
          <w:lang w:val="en-US"/>
        </w:rPr>
      </w:pPr>
    </w:p>
    <w:p w:rsidR="53884564" w:rsidP="49F3A3DB" w:rsidRDefault="53884564" w14:paraId="6CC07715" w14:textId="562C44A7">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(AC 1.4) </w:t>
      </w:r>
    </w:p>
    <w:p w:rsidR="53884564" w:rsidP="49F3A3DB" w:rsidRDefault="53884564" w14:paraId="255E318B" w14:textId="3BB0EA3F">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Structured processes, like the Six Thinking Hats and Deming’s PDCA Cycle, ensure effective outcomes and ethical decision making (CMI, 2020). The Six Hats separates emotions and creativity to make effective decisions. Each Hat </w:t>
      </w:r>
      <w:r w:rsidRPr="49F3A3DB" w:rsidR="53884564">
        <w:rPr>
          <w:rFonts w:ascii="Aptos" w:hAnsi="Aptos" w:eastAsia="Aptos" w:cs="Aptos"/>
          <w:noProof w:val="0"/>
          <w:sz w:val="24"/>
          <w:szCs w:val="24"/>
          <w:lang w:val="en-GB"/>
        </w:rPr>
        <w:t>represents</w:t>
      </w:r>
      <w:r w:rsidRPr="49F3A3DB" w:rsidR="53884564">
        <w:rPr>
          <w:rFonts w:ascii="Aptos" w:hAnsi="Aptos" w:eastAsia="Aptos" w:cs="Aptos"/>
          <w:noProof w:val="0"/>
          <w:sz w:val="24"/>
          <w:szCs w:val="24"/>
          <w:lang w:val="en-GB"/>
        </w:rPr>
        <w:t xml:space="preserve"> a different mode of thinking: White focuses on data and facts, Red explores emotion and reaction, Black </w:t>
      </w:r>
      <w:r w:rsidRPr="49F3A3DB" w:rsidR="53884564">
        <w:rPr>
          <w:rFonts w:ascii="Aptos" w:hAnsi="Aptos" w:eastAsia="Aptos" w:cs="Aptos"/>
          <w:noProof w:val="0"/>
          <w:sz w:val="24"/>
          <w:szCs w:val="24"/>
          <w:lang w:val="en-GB"/>
        </w:rPr>
        <w:t>identifies</w:t>
      </w:r>
      <w:r w:rsidRPr="49F3A3DB" w:rsidR="53884564">
        <w:rPr>
          <w:rFonts w:ascii="Aptos" w:hAnsi="Aptos" w:eastAsia="Aptos" w:cs="Aptos"/>
          <w:noProof w:val="0"/>
          <w:sz w:val="24"/>
          <w:szCs w:val="24"/>
          <w:lang w:val="en-GB"/>
        </w:rPr>
        <w:t xml:space="preserve"> risks and weaknesses, Yellow focuses on benefits and being optimistic, Green generates </w:t>
      </w:r>
      <w:r w:rsidRPr="49F3A3DB" w:rsidR="53884564">
        <w:rPr>
          <w:rFonts w:ascii="Aptos" w:hAnsi="Aptos" w:eastAsia="Aptos" w:cs="Aptos"/>
          <w:noProof w:val="0"/>
          <w:sz w:val="24"/>
          <w:szCs w:val="24"/>
          <w:lang w:val="en-GB"/>
        </w:rPr>
        <w:t>new ideas</w:t>
      </w:r>
      <w:r w:rsidRPr="49F3A3DB" w:rsidR="53884564">
        <w:rPr>
          <w:rFonts w:ascii="Aptos" w:hAnsi="Aptos" w:eastAsia="Aptos" w:cs="Aptos"/>
          <w:noProof w:val="0"/>
          <w:sz w:val="24"/>
          <w:szCs w:val="24"/>
          <w:lang w:val="en-GB"/>
        </w:rPr>
        <w:t xml:space="preserve"> and Blue manages the thinking process (De Bono, 2000). Sue could use this theory to decide whether to move from a paper-based process to digital systems. The Black Hat would consider data security risks and </w:t>
      </w:r>
      <w:r w:rsidRPr="49F3A3DB" w:rsidR="53884564">
        <w:rPr>
          <w:rFonts w:ascii="Aptos" w:hAnsi="Aptos" w:eastAsia="Aptos" w:cs="Aptos"/>
          <w:noProof w:val="0"/>
          <w:sz w:val="24"/>
          <w:szCs w:val="24"/>
          <w:lang w:val="en-GB"/>
        </w:rPr>
        <w:t>high costs</w:t>
      </w:r>
      <w:r w:rsidRPr="49F3A3DB" w:rsidR="53884564">
        <w:rPr>
          <w:rFonts w:ascii="Aptos" w:hAnsi="Aptos" w:eastAsia="Aptos" w:cs="Aptos"/>
          <w:noProof w:val="0"/>
          <w:sz w:val="24"/>
          <w:szCs w:val="24"/>
          <w:lang w:val="en-GB"/>
        </w:rPr>
        <w:t xml:space="preserve">, whilst the Yellow Hat would explore improved reporting, workforce planning </w:t>
      </w:r>
      <w:r w:rsidRPr="49F3A3DB" w:rsidR="53884564">
        <w:rPr>
          <w:rFonts w:ascii="Aptos" w:hAnsi="Aptos" w:eastAsia="Aptos" w:cs="Aptos"/>
          <w:noProof w:val="0"/>
          <w:sz w:val="24"/>
          <w:szCs w:val="24"/>
          <w:lang w:val="en-GB"/>
        </w:rPr>
        <w:t>insights</w:t>
      </w:r>
      <w:r w:rsidRPr="49F3A3DB" w:rsidR="53884564">
        <w:rPr>
          <w:rFonts w:ascii="Aptos" w:hAnsi="Aptos" w:eastAsia="Aptos" w:cs="Aptos"/>
          <w:noProof w:val="0"/>
          <w:sz w:val="24"/>
          <w:szCs w:val="24"/>
          <w:lang w:val="en-GB"/>
        </w:rPr>
        <w:t xml:space="preserve"> and easier access to information. This method will encourage inclusive and balanced decision-making, acknowledging emotions and different perspectives to achieve effective outcomes. For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this could result in better workforce planning, improved </w:t>
      </w:r>
      <w:r w:rsidRPr="49F3A3DB" w:rsidR="53884564">
        <w:rPr>
          <w:rFonts w:ascii="Aptos" w:hAnsi="Aptos" w:eastAsia="Aptos" w:cs="Aptos"/>
          <w:noProof w:val="0"/>
          <w:sz w:val="24"/>
          <w:szCs w:val="24"/>
          <w:lang w:val="en-GB"/>
        </w:rPr>
        <w:t>efficiency</w:t>
      </w:r>
      <w:r w:rsidRPr="49F3A3DB" w:rsidR="1E8BB517">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and</w:t>
      </w:r>
      <w:r w:rsidRPr="49F3A3DB" w:rsidR="53884564">
        <w:rPr>
          <w:rFonts w:ascii="Aptos" w:hAnsi="Aptos" w:eastAsia="Aptos" w:cs="Aptos"/>
          <w:noProof w:val="0"/>
          <w:sz w:val="24"/>
          <w:szCs w:val="24"/>
          <w:lang w:val="en-GB"/>
        </w:rPr>
        <w:t xml:space="preserve"> positive morale. However, strong personalities may still influence discussions, and poor decisions can still arise if decision makers lack relevant knowledge. </w:t>
      </w:r>
    </w:p>
    <w:p w:rsidR="53884564" w:rsidP="49F3A3DB" w:rsidRDefault="53884564" w14:paraId="694B149F" w14:textId="328F70A7">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Deming’s Wheel PDCA Cycle is another evidence-based approach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could use to ensure effective outcomes. The cycle involves four stages: Plan, Do, Check and Act </w:t>
      </w:r>
      <w:r w:rsidRPr="49F3A3DB" w:rsidR="53884564">
        <w:rPr>
          <w:rFonts w:ascii="Aptos" w:hAnsi="Aptos" w:eastAsia="Aptos" w:cs="Aptos"/>
          <w:noProof w:val="0"/>
          <w:sz w:val="24"/>
          <w:szCs w:val="24"/>
          <w:lang w:val="en-GB"/>
        </w:rPr>
        <w:t>(Abbas, 2023)</w:t>
      </w:r>
      <w:r w:rsidRPr="49F3A3DB" w:rsidR="53884564">
        <w:rPr>
          <w:rFonts w:ascii="Aptos" w:hAnsi="Aptos" w:eastAsia="Aptos" w:cs="Aptos"/>
          <w:noProof w:val="0"/>
          <w:sz w:val="24"/>
          <w:szCs w:val="24"/>
          <w:lang w:val="en-GB"/>
        </w:rPr>
        <w:t xml:space="preserve">. When a problem or opportunity is </w:t>
      </w:r>
      <w:r w:rsidRPr="49F3A3DB" w:rsidR="53884564">
        <w:rPr>
          <w:rFonts w:ascii="Aptos" w:hAnsi="Aptos" w:eastAsia="Aptos" w:cs="Aptos"/>
          <w:noProof w:val="0"/>
          <w:sz w:val="24"/>
          <w:szCs w:val="24"/>
          <w:lang w:val="en-GB"/>
        </w:rPr>
        <w:t>identified</w:t>
      </w:r>
      <w:r w:rsidRPr="49F3A3DB" w:rsidR="53884564">
        <w:rPr>
          <w:rFonts w:ascii="Aptos" w:hAnsi="Aptos" w:eastAsia="Aptos" w:cs="Aptos"/>
          <w:noProof w:val="0"/>
          <w:sz w:val="24"/>
          <w:szCs w:val="24"/>
          <w:lang w:val="en-GB"/>
        </w:rPr>
        <w:t xml:space="preserve">, a plan is developed and implemented on a small scale and results, including stakeholder feedback and any potential challenges, are evaluated against the </w:t>
      </w:r>
      <w:r w:rsidRPr="49F3A3DB" w:rsidR="53884564">
        <w:rPr>
          <w:rFonts w:ascii="Aptos" w:hAnsi="Aptos" w:eastAsia="Aptos" w:cs="Aptos"/>
          <w:noProof w:val="0"/>
          <w:sz w:val="24"/>
          <w:szCs w:val="24"/>
          <w:lang w:val="en-GB"/>
        </w:rPr>
        <w:t>objectives</w:t>
      </w:r>
      <w:r w:rsidRPr="49F3A3DB" w:rsidR="53884564">
        <w:rPr>
          <w:rFonts w:ascii="Aptos" w:hAnsi="Aptos" w:eastAsia="Aptos" w:cs="Aptos"/>
          <w:noProof w:val="0"/>
          <w:sz w:val="24"/>
          <w:szCs w:val="24"/>
          <w:lang w:val="en-GB"/>
        </w:rPr>
        <w:t xml:space="preserve"> set out in the </w:t>
      </w:r>
      <w:r w:rsidRPr="49F3A3DB" w:rsidR="53884564">
        <w:rPr>
          <w:rFonts w:ascii="Aptos" w:hAnsi="Aptos" w:eastAsia="Aptos" w:cs="Aptos"/>
          <w:noProof w:val="0"/>
          <w:sz w:val="24"/>
          <w:szCs w:val="24"/>
          <w:lang w:val="en-GB"/>
        </w:rPr>
        <w:t>initial</w:t>
      </w:r>
      <w:r w:rsidRPr="49F3A3DB" w:rsidR="53884564">
        <w:rPr>
          <w:rFonts w:ascii="Aptos" w:hAnsi="Aptos" w:eastAsia="Aptos" w:cs="Aptos"/>
          <w:noProof w:val="0"/>
          <w:sz w:val="24"/>
          <w:szCs w:val="24"/>
          <w:lang w:val="en-GB"/>
        </w:rPr>
        <w:t xml:space="preserve"> planning phase. A decision would then be made to either implement the plan or revise and repeat the cycle. For example, an automotive company </w:t>
      </w:r>
      <w:r w:rsidRPr="49F3A3DB" w:rsidR="53884564">
        <w:rPr>
          <w:rFonts w:ascii="Aptos" w:hAnsi="Aptos" w:eastAsia="Aptos" w:cs="Aptos"/>
          <w:noProof w:val="0"/>
          <w:sz w:val="24"/>
          <w:szCs w:val="24"/>
          <w:lang w:val="en-GB"/>
        </w:rPr>
        <w:t>demonstrated</w:t>
      </w:r>
      <w:r w:rsidRPr="49F3A3DB" w:rsidR="53884564">
        <w:rPr>
          <w:rFonts w:ascii="Aptos" w:hAnsi="Aptos" w:eastAsia="Aptos" w:cs="Aptos"/>
          <w:noProof w:val="0"/>
          <w:sz w:val="24"/>
          <w:szCs w:val="24"/>
          <w:lang w:val="en-GB"/>
        </w:rPr>
        <w:t xml:space="preserve"> the use of this to improve assembly processes by </w:t>
      </w:r>
      <w:r w:rsidRPr="49F3A3DB" w:rsidR="53884564">
        <w:rPr>
          <w:rFonts w:ascii="Aptos" w:hAnsi="Aptos" w:eastAsia="Aptos" w:cs="Aptos"/>
          <w:noProof w:val="0"/>
          <w:sz w:val="24"/>
          <w:szCs w:val="24"/>
          <w:lang w:val="en-GB"/>
        </w:rPr>
        <w:t>identifying</w:t>
      </w:r>
      <w:r w:rsidRPr="49F3A3DB" w:rsidR="53884564">
        <w:rPr>
          <w:rFonts w:ascii="Aptos" w:hAnsi="Aptos" w:eastAsia="Aptos" w:cs="Aptos"/>
          <w:noProof w:val="0"/>
          <w:sz w:val="24"/>
          <w:szCs w:val="24"/>
          <w:lang w:val="en-GB"/>
        </w:rPr>
        <w:t xml:space="preserve"> causes of defects, implementing corrective actions, and then </w:t>
      </w:r>
      <w:r w:rsidRPr="49F3A3DB" w:rsidR="53884564">
        <w:rPr>
          <w:rFonts w:ascii="Aptos" w:hAnsi="Aptos" w:eastAsia="Aptos" w:cs="Aptos"/>
          <w:noProof w:val="0"/>
          <w:sz w:val="24"/>
          <w:szCs w:val="24"/>
          <w:lang w:val="en-GB"/>
        </w:rPr>
        <w:t>monitoring</w:t>
      </w:r>
      <w:r w:rsidRPr="49F3A3DB" w:rsidR="53884564">
        <w:rPr>
          <w:rFonts w:ascii="Aptos" w:hAnsi="Aptos" w:eastAsia="Aptos" w:cs="Aptos"/>
          <w:noProof w:val="0"/>
          <w:sz w:val="24"/>
          <w:szCs w:val="24"/>
          <w:lang w:val="en-GB"/>
        </w:rPr>
        <w:t xml:space="preserve"> their effectiveness through data-analysis </w:t>
      </w:r>
      <w:r w:rsidRPr="49F3A3DB" w:rsidR="53884564">
        <w:rPr>
          <w:rFonts w:ascii="Aptos" w:hAnsi="Aptos" w:eastAsia="Aptos" w:cs="Aptos"/>
          <w:noProof w:val="0"/>
          <w:sz w:val="24"/>
          <w:szCs w:val="24"/>
          <w:lang w:val="en-GB"/>
        </w:rPr>
        <w:t xml:space="preserve">(Malega </w:t>
      </w:r>
      <w:r w:rsidRPr="49F3A3DB" w:rsidR="53884564">
        <w:rPr>
          <w:rFonts w:ascii="Aptos" w:hAnsi="Aptos" w:eastAsia="Aptos" w:cs="Aptos"/>
          <w:i w:val="1"/>
          <w:iCs w:val="1"/>
          <w:noProof w:val="0"/>
          <w:sz w:val="24"/>
          <w:szCs w:val="24"/>
          <w:lang w:val="en-GB"/>
        </w:rPr>
        <w:t>et al</w:t>
      </w:r>
      <w:r w:rsidRPr="49F3A3DB" w:rsidR="53884564">
        <w:rPr>
          <w:rFonts w:ascii="Aptos" w:hAnsi="Aptos" w:eastAsia="Aptos" w:cs="Aptos"/>
          <w:noProof w:val="0"/>
          <w:sz w:val="24"/>
          <w:szCs w:val="24"/>
          <w:lang w:val="en-GB"/>
        </w:rPr>
        <w:t>., 2021).</w:t>
      </w:r>
      <w:r w:rsidRPr="49F3A3DB" w:rsidR="53884564">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could adopt a similar approach as a framework for expansion by analysing market conditions, testing small-scale implementations such as product launches to a handful of target customers, evaluating results against </w:t>
      </w:r>
      <w:r w:rsidRPr="49F3A3DB" w:rsidR="53884564">
        <w:rPr>
          <w:rFonts w:ascii="Aptos" w:hAnsi="Aptos" w:eastAsia="Aptos" w:cs="Aptos"/>
          <w:noProof w:val="0"/>
          <w:sz w:val="24"/>
          <w:szCs w:val="24"/>
          <w:lang w:val="en-GB"/>
        </w:rPr>
        <w:t>objectives</w:t>
      </w:r>
      <w:r w:rsidRPr="49F3A3DB" w:rsidR="53884564">
        <w:rPr>
          <w:rFonts w:ascii="Aptos" w:hAnsi="Aptos" w:eastAsia="Aptos" w:cs="Aptos"/>
          <w:noProof w:val="0"/>
          <w:sz w:val="24"/>
          <w:szCs w:val="24"/>
          <w:lang w:val="en-GB"/>
        </w:rPr>
        <w:t xml:space="preserve"> and then adjusting the plan accordingly. </w:t>
      </w:r>
    </w:p>
    <w:p w:rsidR="53884564" w:rsidP="49F3A3DB" w:rsidRDefault="53884564" w14:paraId="0D5B8C12" w14:textId="348B6C27">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The PDCA Cycle is designed for sustainable and quality outcomes and reduces risk by testing and learning before full implementation. This allows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to avoid costly mistakes and promotes a data-driven evaluation, which would help Sue integrate a new data-driven approach. On the other hand, disadvantages lie in its fixed stages, as it leaves little room for unforeseen variables. It can also be time-consuming, making it challenging for urgent problems. </w:t>
      </w:r>
    </w:p>
    <w:p w:rsidR="53884564" w:rsidP="49F3A3DB" w:rsidRDefault="53884564" w14:paraId="142D7AE2" w14:textId="594F1E9A">
      <w:pPr>
        <w:keepNext w:val="1"/>
        <w:spacing w:line="240" w:lineRule="auto"/>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By implementing EBP through the above decision-making processes,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can improve the quality of its decisions. Using the Six Hats method enables balanced and inclusive thinking whilst the PDCA Cycle’s evidence-based framework reduces risks through testing before implementation.</w:t>
      </w:r>
    </w:p>
    <w:p w:rsidR="49F3A3DB" w:rsidP="49F3A3DB" w:rsidRDefault="49F3A3DB" w14:paraId="36BF57C5" w14:textId="61A54017">
      <w:pPr>
        <w:keepNext w:val="1"/>
        <w:spacing w:line="240" w:lineRule="auto"/>
        <w:jc w:val="both"/>
        <w:rPr>
          <w:rFonts w:ascii="Segoe UI" w:hAnsi="Segoe UI" w:eastAsia="Segoe UI" w:cs="Segoe UI"/>
          <w:noProof w:val="0"/>
          <w:color w:val="242424"/>
          <w:sz w:val="21"/>
          <w:szCs w:val="21"/>
          <w:lang w:val="en-US"/>
        </w:rPr>
      </w:pPr>
    </w:p>
    <w:p w:rsidR="53884564" w:rsidP="49F3A3DB" w:rsidRDefault="53884564" w14:paraId="417BF921" w14:textId="64EA547F">
      <w:pPr>
        <w:keepNext w:val="1"/>
        <w:spacing w:line="240" w:lineRule="auto"/>
        <w:jc w:val="both"/>
        <w:rPr>
          <w:rFonts w:ascii="Aptos" w:hAnsi="Aptos" w:eastAsia="Aptos" w:cs="Aptos"/>
          <w:noProof w:val="0"/>
          <w:color w:val="242424"/>
          <w:sz w:val="24"/>
          <w:szCs w:val="24"/>
          <w:lang w:val="en-US"/>
        </w:rPr>
      </w:pPr>
      <w:r w:rsidRPr="49F3A3DB" w:rsidR="53884564">
        <w:rPr>
          <w:rFonts w:ascii="Aptos" w:hAnsi="Aptos" w:eastAsia="Aptos" w:cs="Aptos"/>
          <w:noProof w:val="0"/>
          <w:color w:val="242424"/>
          <w:sz w:val="24"/>
          <w:szCs w:val="24"/>
          <w:lang w:val="en-GB"/>
        </w:rPr>
        <w:t xml:space="preserve">AC1.5 </w:t>
      </w:r>
    </w:p>
    <w:p w:rsidR="53884564" w:rsidP="49F3A3DB" w:rsidRDefault="53884564" w14:paraId="59B76287" w14:textId="2E9D43EA">
      <w:pPr>
        <w:keepNext w:val="0"/>
        <w:keepLines w:val="0"/>
        <w:spacing w:before="0" w:beforeAutospacing="off" w:after="160" w:afterAutospacing="off" w:line="279" w:lineRule="auto"/>
        <w:ind w:left="0" w:right="-180"/>
        <w:jc w:val="both"/>
        <w:rPr>
          <w:rFonts w:ascii="Aptos" w:hAnsi="Aptos" w:eastAsia="Aptos" w:cs="Aptos"/>
          <w:noProof w:val="0"/>
          <w:color w:val="000000" w:themeColor="text1" w:themeTint="FF" w:themeShade="FF"/>
          <w:sz w:val="24"/>
          <w:szCs w:val="24"/>
          <w:lang w:val="en-US"/>
        </w:rPr>
      </w:pPr>
      <w:r w:rsidRPr="49F3A3DB" w:rsidR="53884564">
        <w:rPr>
          <w:rFonts w:ascii="Aptos" w:hAnsi="Aptos" w:eastAsia="Aptos" w:cs="Aptos"/>
          <w:noProof w:val="0"/>
          <w:color w:val="000000" w:themeColor="text1" w:themeTint="FF" w:themeShade="FF"/>
          <w:sz w:val="24"/>
          <w:szCs w:val="24"/>
          <w:lang w:val="en-GB"/>
        </w:rPr>
        <w:t xml:space="preserve">Continuing with paper-based systems increases </w:t>
      </w:r>
      <w:r w:rsidRPr="49F3A3DB" w:rsidR="53884564">
        <w:rPr>
          <w:rFonts w:ascii="Aptos" w:hAnsi="Aptos" w:eastAsia="Aptos" w:cs="Aptos"/>
          <w:noProof w:val="0"/>
          <w:color w:val="000000" w:themeColor="text1" w:themeTint="FF" w:themeShade="FF"/>
          <w:sz w:val="24"/>
          <w:szCs w:val="24"/>
          <w:lang w:val="en-GB"/>
        </w:rPr>
        <w:t>Technivara’s</w:t>
      </w:r>
      <w:r w:rsidRPr="49F3A3DB" w:rsidR="53884564">
        <w:rPr>
          <w:rFonts w:ascii="Aptos" w:hAnsi="Aptos" w:eastAsia="Aptos" w:cs="Aptos"/>
          <w:noProof w:val="0"/>
          <w:color w:val="000000" w:themeColor="text1" w:themeTint="FF" w:themeShade="FF"/>
          <w:sz w:val="24"/>
          <w:szCs w:val="24"/>
          <w:lang w:val="en-GB"/>
        </w:rPr>
        <w:t xml:space="preserve"> risk of failing employee, </w:t>
      </w:r>
      <w:r w:rsidRPr="49F3A3DB" w:rsidR="53884564">
        <w:rPr>
          <w:rFonts w:ascii="Aptos" w:hAnsi="Aptos" w:eastAsia="Aptos" w:cs="Aptos"/>
          <w:noProof w:val="0"/>
          <w:color w:val="000000" w:themeColor="text1" w:themeTint="FF" w:themeShade="FF"/>
          <w:sz w:val="24"/>
          <w:szCs w:val="24"/>
          <w:lang w:val="en-GB"/>
        </w:rPr>
        <w:t>customer</w:t>
      </w:r>
      <w:r w:rsidRPr="49F3A3DB" w:rsidR="53884564">
        <w:rPr>
          <w:rFonts w:ascii="Aptos" w:hAnsi="Aptos" w:eastAsia="Aptos" w:cs="Aptos"/>
          <w:noProof w:val="0"/>
          <w:color w:val="000000" w:themeColor="text1" w:themeTint="FF" w:themeShade="FF"/>
          <w:sz w:val="24"/>
          <w:szCs w:val="24"/>
          <w:lang w:val="en-GB"/>
        </w:rPr>
        <w:t xml:space="preserve"> and regulatory expectations. An ethical framework is needed to guide Bill in making fair, reasonable decisions. Adopting an ethical, evidence-based approach, such as utilitarianism or deontology, provides reliable data to support ethical organisational decision-making, whilst recognising that ethics is situational and each decision requires critical thinking </w:t>
      </w:r>
      <w:r w:rsidRPr="49F3A3DB" w:rsidR="53884564">
        <w:rPr>
          <w:rFonts w:ascii="Aptos" w:hAnsi="Aptos" w:eastAsia="Aptos" w:cs="Aptos"/>
          <w:noProof w:val="0"/>
          <w:color w:val="000000" w:themeColor="text1" w:themeTint="FF" w:themeShade="FF"/>
          <w:sz w:val="24"/>
          <w:szCs w:val="24"/>
          <w:lang w:val="en-GB"/>
        </w:rPr>
        <w:t>(</w:t>
      </w:r>
      <w:r w:rsidRPr="49F3A3DB" w:rsidR="53884564">
        <w:rPr>
          <w:rFonts w:ascii="Aptos" w:hAnsi="Aptos" w:eastAsia="Aptos" w:cs="Aptos"/>
          <w:noProof w:val="0"/>
          <w:color w:val="000000" w:themeColor="text1" w:themeTint="FF" w:themeShade="FF"/>
          <w:sz w:val="24"/>
          <w:szCs w:val="24"/>
          <w:lang w:val="en-GB"/>
        </w:rPr>
        <w:t>Winstanley and Woodhall, 2000, cited in Armstrong and Brown, 2023).</w:t>
      </w:r>
      <w:r w:rsidRPr="49F3A3DB" w:rsidR="53884564">
        <w:rPr>
          <w:rFonts w:ascii="Aptos" w:hAnsi="Aptos" w:eastAsia="Aptos" w:cs="Aptos"/>
          <w:noProof w:val="0"/>
          <w:color w:val="000000" w:themeColor="text1" w:themeTint="FF" w:themeShade="FF"/>
          <w:sz w:val="24"/>
          <w:szCs w:val="24"/>
          <w:lang w:val="en-GB"/>
        </w:rPr>
        <w:t xml:space="preserve"> </w:t>
      </w:r>
    </w:p>
    <w:p w:rsidR="53884564" w:rsidP="49F3A3DB" w:rsidRDefault="53884564" w14:paraId="25324D41" w14:textId="3C4BF6CE">
      <w:pPr>
        <w:keepNext w:val="0"/>
        <w:keepLines w:val="0"/>
        <w:spacing w:before="0" w:beforeAutospacing="off" w:after="160" w:afterAutospacing="off" w:line="279" w:lineRule="auto"/>
        <w:ind w:left="0" w:right="-180"/>
        <w:jc w:val="both"/>
        <w:rPr>
          <w:rFonts w:ascii="Aptos" w:hAnsi="Aptos" w:eastAsia="Aptos" w:cs="Aptos"/>
          <w:noProof w:val="0"/>
          <w:color w:val="000000" w:themeColor="text1" w:themeTint="FF" w:themeShade="FF"/>
          <w:sz w:val="24"/>
          <w:szCs w:val="24"/>
          <w:lang w:val="en-US"/>
        </w:rPr>
      </w:pPr>
      <w:r w:rsidRPr="49F3A3DB" w:rsidR="53884564">
        <w:rPr>
          <w:rFonts w:ascii="Aptos" w:hAnsi="Aptos" w:eastAsia="Aptos" w:cs="Aptos"/>
          <w:noProof w:val="0"/>
          <w:color w:val="000000" w:themeColor="text1" w:themeTint="FF" w:themeShade="FF"/>
          <w:sz w:val="24"/>
          <w:szCs w:val="24"/>
          <w:lang w:val="en-GB"/>
        </w:rPr>
        <w:t xml:space="preserve">Utilitarianism </w:t>
      </w:r>
      <w:r w:rsidRPr="49F3A3DB" w:rsidR="53884564">
        <w:rPr>
          <w:rFonts w:ascii="Aptos" w:hAnsi="Aptos" w:eastAsia="Aptos" w:cs="Aptos"/>
          <w:noProof w:val="0"/>
          <w:color w:val="000000" w:themeColor="text1" w:themeTint="FF" w:themeShade="FF"/>
          <w:sz w:val="24"/>
          <w:szCs w:val="24"/>
          <w:lang w:val="en-GB"/>
        </w:rPr>
        <w:t>judges</w:t>
      </w:r>
      <w:r w:rsidRPr="49F3A3DB" w:rsidR="53884564">
        <w:rPr>
          <w:rFonts w:ascii="Aptos" w:hAnsi="Aptos" w:eastAsia="Aptos" w:cs="Aptos"/>
          <w:noProof w:val="0"/>
          <w:color w:val="000000" w:themeColor="text1" w:themeTint="FF" w:themeShade="FF"/>
          <w:sz w:val="24"/>
          <w:szCs w:val="24"/>
          <w:lang w:val="en-GB"/>
        </w:rPr>
        <w:t xml:space="preserve"> actions by outcomes, defining the most ethical choice as that which produces the greatest good for the greatest number of people. Utilitarianism is ethically important for </w:t>
      </w:r>
      <w:r w:rsidRPr="49F3A3DB" w:rsidR="53884564">
        <w:rPr>
          <w:rFonts w:ascii="Aptos" w:hAnsi="Aptos" w:eastAsia="Aptos" w:cs="Aptos"/>
          <w:noProof w:val="0"/>
          <w:color w:val="000000" w:themeColor="text1" w:themeTint="FF" w:themeShade="FF"/>
          <w:sz w:val="24"/>
          <w:szCs w:val="24"/>
          <w:lang w:val="en-GB"/>
        </w:rPr>
        <w:t>Technivara</w:t>
      </w:r>
      <w:r w:rsidRPr="49F3A3DB" w:rsidR="4AF66CAD">
        <w:rPr>
          <w:rFonts w:ascii="Aptos" w:hAnsi="Aptos" w:eastAsia="Aptos" w:cs="Aptos"/>
          <w:noProof w:val="0"/>
          <w:color w:val="000000" w:themeColor="text1" w:themeTint="FF" w:themeShade="FF"/>
          <w:sz w:val="24"/>
          <w:szCs w:val="24"/>
          <w:lang w:val="en-GB"/>
        </w:rPr>
        <w:t xml:space="preserve"> </w:t>
      </w:r>
      <w:r w:rsidRPr="49F3A3DB" w:rsidR="53884564">
        <w:rPr>
          <w:rFonts w:ascii="Aptos" w:hAnsi="Aptos" w:eastAsia="Aptos" w:cs="Aptos"/>
          <w:noProof w:val="0"/>
          <w:color w:val="000000" w:themeColor="text1" w:themeTint="FF" w:themeShade="FF"/>
          <w:sz w:val="24"/>
          <w:szCs w:val="24"/>
          <w:lang w:val="en-GB"/>
        </w:rPr>
        <w:t xml:space="preserve">because it encourages decisions that protect employee wellbeing and operational efficiency, as this theory considers the wider impact of a decision on all stakeholders. This aligns with the CIPD’s view of ethical practice in the workplace, which involves applying principles and values consistently in decision-making (Russell and Weeks, 2024). For example, new training programmes at </w:t>
      </w:r>
      <w:r w:rsidRPr="49F3A3DB" w:rsidR="53884564">
        <w:rPr>
          <w:rFonts w:ascii="Aptos" w:hAnsi="Aptos" w:eastAsia="Aptos" w:cs="Aptos"/>
          <w:noProof w:val="0"/>
          <w:color w:val="000000" w:themeColor="text1" w:themeTint="FF" w:themeShade="FF"/>
          <w:sz w:val="24"/>
          <w:szCs w:val="24"/>
          <w:lang w:val="en-GB"/>
        </w:rPr>
        <w:t>Technivara</w:t>
      </w:r>
      <w:r w:rsidRPr="49F3A3DB" w:rsidR="53884564">
        <w:rPr>
          <w:rFonts w:ascii="Aptos" w:hAnsi="Aptos" w:eastAsia="Aptos" w:cs="Aptos"/>
          <w:noProof w:val="0"/>
          <w:color w:val="000000" w:themeColor="text1" w:themeTint="FF" w:themeShade="FF"/>
          <w:sz w:val="24"/>
          <w:szCs w:val="24"/>
          <w:lang w:val="en-GB"/>
        </w:rPr>
        <w:t xml:space="preserve"> are utilitarian </w:t>
      </w:r>
      <w:r w:rsidRPr="49F3A3DB" w:rsidR="53884564">
        <w:rPr>
          <w:rFonts w:ascii="Aptos" w:hAnsi="Aptos" w:eastAsia="Aptos" w:cs="Aptos"/>
          <w:noProof w:val="0"/>
          <w:color w:val="000000" w:themeColor="text1" w:themeTint="FF" w:themeShade="FF"/>
          <w:sz w:val="24"/>
          <w:szCs w:val="24"/>
          <w:lang w:val="en-GB"/>
        </w:rPr>
        <w:t>because</w:t>
      </w:r>
      <w:r w:rsidRPr="49F3A3DB" w:rsidR="0D8AB75B">
        <w:rPr>
          <w:rFonts w:ascii="Aptos" w:hAnsi="Aptos" w:eastAsia="Aptos" w:cs="Aptos"/>
          <w:noProof w:val="0"/>
          <w:color w:val="000000" w:themeColor="text1" w:themeTint="FF" w:themeShade="FF"/>
          <w:sz w:val="24"/>
          <w:szCs w:val="24"/>
          <w:lang w:val="en-GB"/>
        </w:rPr>
        <w:t xml:space="preserve"> </w:t>
      </w:r>
      <w:r w:rsidRPr="49F3A3DB" w:rsidR="53884564">
        <w:rPr>
          <w:rFonts w:ascii="Aptos" w:hAnsi="Aptos" w:eastAsia="Aptos" w:cs="Aptos"/>
          <w:noProof w:val="0"/>
          <w:color w:val="000000" w:themeColor="text1" w:themeTint="FF" w:themeShade="FF"/>
          <w:sz w:val="24"/>
          <w:szCs w:val="24"/>
          <w:lang w:val="en-GB"/>
        </w:rPr>
        <w:t>they</w:t>
      </w:r>
      <w:r w:rsidRPr="49F3A3DB" w:rsidR="53884564">
        <w:rPr>
          <w:rFonts w:ascii="Aptos" w:hAnsi="Aptos" w:eastAsia="Aptos" w:cs="Aptos"/>
          <w:noProof w:val="0"/>
          <w:color w:val="000000" w:themeColor="text1" w:themeTint="FF" w:themeShade="FF"/>
          <w:sz w:val="24"/>
          <w:szCs w:val="24"/>
          <w:lang w:val="en-GB"/>
        </w:rPr>
        <w:t xml:space="preserve"> improve employee skills, productivity </w:t>
      </w:r>
      <w:r w:rsidRPr="49F3A3DB" w:rsidR="53884564">
        <w:rPr>
          <w:rFonts w:ascii="Aptos" w:hAnsi="Aptos" w:eastAsia="Aptos" w:cs="Aptos"/>
          <w:noProof w:val="0"/>
          <w:color w:val="000000" w:themeColor="text1" w:themeTint="FF" w:themeShade="FF"/>
          <w:sz w:val="24"/>
          <w:szCs w:val="24"/>
          <w:lang w:val="en-GB"/>
        </w:rPr>
        <w:t>levels</w:t>
      </w:r>
      <w:r w:rsidRPr="49F3A3DB" w:rsidR="53884564">
        <w:rPr>
          <w:rFonts w:ascii="Aptos" w:hAnsi="Aptos" w:eastAsia="Aptos" w:cs="Aptos"/>
          <w:noProof w:val="0"/>
          <w:color w:val="000000" w:themeColor="text1" w:themeTint="FF" w:themeShade="FF"/>
          <w:sz w:val="24"/>
          <w:szCs w:val="24"/>
          <w:lang w:val="en-GB"/>
        </w:rPr>
        <w:t xml:space="preserve"> and customer service, </w:t>
      </w:r>
      <w:r w:rsidRPr="49F3A3DB" w:rsidR="53884564">
        <w:rPr>
          <w:rFonts w:ascii="Aptos" w:hAnsi="Aptos" w:eastAsia="Aptos" w:cs="Aptos"/>
          <w:noProof w:val="0"/>
          <w:color w:val="000000" w:themeColor="text1" w:themeTint="FF" w:themeShade="FF"/>
          <w:sz w:val="24"/>
          <w:szCs w:val="24"/>
          <w:lang w:val="en-GB"/>
        </w:rPr>
        <w:t>benefiting</w:t>
      </w:r>
      <w:r w:rsidRPr="49F3A3DB" w:rsidR="53884564">
        <w:rPr>
          <w:rFonts w:ascii="Aptos" w:hAnsi="Aptos" w:eastAsia="Aptos" w:cs="Aptos"/>
          <w:noProof w:val="0"/>
          <w:color w:val="000000" w:themeColor="text1" w:themeTint="FF" w:themeShade="FF"/>
          <w:sz w:val="24"/>
          <w:szCs w:val="24"/>
          <w:lang w:val="en-GB"/>
        </w:rPr>
        <w:t xml:space="preserve"> a majority and supporting an ethically justifiable decision. However, this theory can please a majority while unintentionally harming a minority, leading to feelings of injustice and dissatisfaction. To minimise this ethical risk, </w:t>
      </w:r>
      <w:r w:rsidRPr="49F3A3DB" w:rsidR="53884564">
        <w:rPr>
          <w:rFonts w:ascii="Aptos" w:hAnsi="Aptos" w:eastAsia="Aptos" w:cs="Aptos"/>
          <w:noProof w:val="0"/>
          <w:color w:val="000000" w:themeColor="text1" w:themeTint="FF" w:themeShade="FF"/>
          <w:sz w:val="24"/>
          <w:szCs w:val="24"/>
          <w:lang w:val="en-GB"/>
        </w:rPr>
        <w:t>Technivara</w:t>
      </w:r>
      <w:r w:rsidRPr="49F3A3DB" w:rsidR="53884564">
        <w:rPr>
          <w:rFonts w:ascii="Aptos" w:hAnsi="Aptos" w:eastAsia="Aptos" w:cs="Aptos"/>
          <w:noProof w:val="0"/>
          <w:color w:val="000000" w:themeColor="text1" w:themeTint="FF" w:themeShade="FF"/>
          <w:sz w:val="24"/>
          <w:szCs w:val="24"/>
          <w:lang w:val="en-GB"/>
        </w:rPr>
        <w:t xml:space="preserve"> can provide </w:t>
      </w:r>
      <w:r w:rsidRPr="49F3A3DB" w:rsidR="53884564">
        <w:rPr>
          <w:rFonts w:ascii="Aptos" w:hAnsi="Aptos" w:eastAsia="Aptos" w:cs="Aptos"/>
          <w:noProof w:val="0"/>
          <w:color w:val="000000" w:themeColor="text1" w:themeTint="FF" w:themeShade="FF"/>
          <w:sz w:val="24"/>
          <w:szCs w:val="24"/>
          <w:lang w:val="en-GB"/>
        </w:rPr>
        <w:t>additional</w:t>
      </w:r>
      <w:r w:rsidRPr="49F3A3DB" w:rsidR="53884564">
        <w:rPr>
          <w:rFonts w:ascii="Aptos" w:hAnsi="Aptos" w:eastAsia="Aptos" w:cs="Aptos"/>
          <w:noProof w:val="0"/>
          <w:color w:val="000000" w:themeColor="text1" w:themeTint="FF" w:themeShade="FF"/>
          <w:sz w:val="24"/>
          <w:szCs w:val="24"/>
          <w:lang w:val="en-GB"/>
        </w:rPr>
        <w:t xml:space="preserve"> support for employees who may need it, such as translation for non-English speakers, to ensure positive outcomes for all, strengthening fairness and inclusion. </w:t>
      </w:r>
    </w:p>
    <w:p w:rsidR="53884564" w:rsidP="49F3A3DB" w:rsidRDefault="53884564" w14:paraId="7B9FAAC1" w14:textId="352A9DD3">
      <w:pPr>
        <w:keepNext w:val="0"/>
        <w:keepLines w:val="0"/>
        <w:ind w:right="-180"/>
        <w:jc w:val="both"/>
        <w:rPr>
          <w:rFonts w:ascii="Aptos" w:hAnsi="Aptos" w:eastAsia="Aptos" w:cs="Aptos"/>
          <w:noProof w:val="0"/>
          <w:sz w:val="24"/>
          <w:szCs w:val="24"/>
          <w:lang w:val="en-US"/>
        </w:rPr>
      </w:pPr>
      <w:r w:rsidRPr="49F3A3DB" w:rsidR="53884564">
        <w:rPr>
          <w:rFonts w:ascii="Aptos" w:hAnsi="Aptos" w:eastAsia="Aptos" w:cs="Aptos"/>
          <w:noProof w:val="0"/>
          <w:color w:val="000000" w:themeColor="text1" w:themeTint="FF" w:themeShade="FF"/>
          <w:sz w:val="24"/>
          <w:szCs w:val="24"/>
          <w:lang w:val="en-GB"/>
        </w:rPr>
        <w:t xml:space="preserve">Secondly, a deontological perspective evaluates a behaviour as right or wrong based on the action itself, </w:t>
      </w:r>
      <w:r w:rsidRPr="49F3A3DB" w:rsidR="53884564">
        <w:rPr>
          <w:rFonts w:ascii="Aptos" w:hAnsi="Aptos" w:eastAsia="Aptos" w:cs="Aptos"/>
          <w:noProof w:val="0"/>
          <w:color w:val="000000" w:themeColor="text1" w:themeTint="FF" w:themeShade="FF"/>
          <w:sz w:val="24"/>
          <w:szCs w:val="24"/>
          <w:lang w:val="en-GB"/>
        </w:rPr>
        <w:t>whereas</w:t>
      </w:r>
      <w:r w:rsidRPr="49F3A3DB" w:rsidR="53884564">
        <w:rPr>
          <w:rFonts w:ascii="Aptos" w:hAnsi="Aptos" w:eastAsia="Aptos" w:cs="Aptos"/>
          <w:noProof w:val="0"/>
          <w:color w:val="000000" w:themeColor="text1" w:themeTint="FF" w:themeShade="FF"/>
          <w:sz w:val="24"/>
          <w:szCs w:val="24"/>
          <w:lang w:val="en-GB"/>
        </w:rPr>
        <w:t xml:space="preserve"> utilitarianism focuses on the consequences that result from it </w:t>
      </w:r>
      <w:r w:rsidRPr="49F3A3DB" w:rsidR="53884564">
        <w:rPr>
          <w:rFonts w:ascii="Aptos" w:hAnsi="Aptos" w:eastAsia="Aptos" w:cs="Aptos"/>
          <w:noProof w:val="0"/>
          <w:color w:val="000000" w:themeColor="text1" w:themeTint="FF" w:themeShade="FF"/>
          <w:sz w:val="24"/>
          <w:szCs w:val="24"/>
          <w:lang w:val="en-GB"/>
        </w:rPr>
        <w:t>(Jin and Peng, 2021)</w:t>
      </w:r>
      <w:r w:rsidRPr="49F3A3DB" w:rsidR="53884564">
        <w:rPr>
          <w:rFonts w:ascii="Aptos" w:hAnsi="Aptos" w:eastAsia="Aptos" w:cs="Aptos"/>
          <w:noProof w:val="0"/>
          <w:color w:val="000000" w:themeColor="text1" w:themeTint="FF" w:themeShade="FF"/>
          <w:sz w:val="24"/>
          <w:szCs w:val="24"/>
          <w:lang w:val="en-GB"/>
        </w:rPr>
        <w:t xml:space="preserve">. Sue could use a deontological argument to persuade Bill to invest in an HRIS system by emphasising </w:t>
      </w:r>
      <w:r w:rsidRPr="49F3A3DB" w:rsidR="53884564">
        <w:rPr>
          <w:rFonts w:ascii="Aptos" w:hAnsi="Aptos" w:eastAsia="Aptos" w:cs="Aptos"/>
          <w:noProof w:val="0"/>
          <w:color w:val="000000" w:themeColor="text1" w:themeTint="FF" w:themeShade="FF"/>
          <w:sz w:val="24"/>
          <w:szCs w:val="24"/>
          <w:lang w:val="en-GB"/>
        </w:rPr>
        <w:t>Technivara’s</w:t>
      </w:r>
      <w:r w:rsidRPr="49F3A3DB" w:rsidR="53884564">
        <w:rPr>
          <w:rFonts w:ascii="Aptos" w:hAnsi="Aptos" w:eastAsia="Aptos" w:cs="Aptos"/>
          <w:noProof w:val="0"/>
          <w:color w:val="000000" w:themeColor="text1" w:themeTint="FF" w:themeShade="FF"/>
          <w:sz w:val="24"/>
          <w:szCs w:val="24"/>
          <w:lang w:val="en-GB"/>
        </w:rPr>
        <w:t xml:space="preserve"> ethical duty to ensure the secure and confidential management of employee data, protecting employee rights under the Data Protection Act 2018 </w:t>
      </w:r>
      <w:r w:rsidRPr="49F3A3DB" w:rsidR="53884564">
        <w:rPr>
          <w:rFonts w:ascii="Aptos" w:hAnsi="Aptos" w:eastAsia="Aptos" w:cs="Aptos"/>
          <w:noProof w:val="0"/>
          <w:color w:val="000000" w:themeColor="text1" w:themeTint="FF" w:themeShade="FF"/>
          <w:sz w:val="24"/>
          <w:szCs w:val="24"/>
          <w:lang w:val="en-GB"/>
        </w:rPr>
        <w:t>(Data Protection Act 2018),</w:t>
      </w:r>
      <w:r w:rsidRPr="49F3A3DB" w:rsidR="53884564">
        <w:rPr>
          <w:rFonts w:ascii="Aptos" w:hAnsi="Aptos" w:eastAsia="Aptos" w:cs="Aptos"/>
          <w:noProof w:val="0"/>
          <w:color w:val="000000" w:themeColor="text1" w:themeTint="FF" w:themeShade="FF"/>
          <w:sz w:val="24"/>
          <w:szCs w:val="24"/>
          <w:lang w:val="en-GB"/>
        </w:rPr>
        <w:t xml:space="preserve"> which the current paper-based system doesn’t effectively provide. By framing the decision around ethical duty rather than outcomes </w:t>
      </w:r>
      <w:r w:rsidRPr="49F3A3DB" w:rsidR="53884564">
        <w:rPr>
          <w:rFonts w:ascii="Aptos" w:hAnsi="Aptos" w:eastAsia="Aptos" w:cs="Aptos"/>
          <w:noProof w:val="0"/>
          <w:color w:val="000000" w:themeColor="text1" w:themeTint="FF" w:themeShade="FF"/>
          <w:sz w:val="24"/>
          <w:szCs w:val="24"/>
          <w:lang w:val="en-GB"/>
        </w:rPr>
        <w:t>(</w:t>
      </w:r>
      <w:r w:rsidRPr="49F3A3DB" w:rsidR="53884564">
        <w:rPr>
          <w:rFonts w:ascii="Aptos" w:hAnsi="Aptos" w:eastAsia="Aptos" w:cs="Aptos"/>
          <w:noProof w:val="0"/>
          <w:color w:val="000000" w:themeColor="text1" w:themeTint="FF" w:themeShade="FF"/>
          <w:sz w:val="24"/>
          <w:szCs w:val="24"/>
          <w:lang w:val="en-GB"/>
        </w:rPr>
        <w:t>Frischhut</w:t>
      </w:r>
      <w:r w:rsidRPr="49F3A3DB" w:rsidR="53884564">
        <w:rPr>
          <w:rFonts w:ascii="Aptos" w:hAnsi="Aptos" w:eastAsia="Aptos" w:cs="Aptos"/>
          <w:noProof w:val="0"/>
          <w:color w:val="000000" w:themeColor="text1" w:themeTint="FF" w:themeShade="FF"/>
          <w:sz w:val="24"/>
          <w:szCs w:val="24"/>
          <w:lang w:val="en-GB"/>
        </w:rPr>
        <w:t>, 2019)</w:t>
      </w:r>
      <w:r w:rsidRPr="49F3A3DB" w:rsidR="53884564">
        <w:rPr>
          <w:rFonts w:ascii="Aptos" w:hAnsi="Aptos" w:eastAsia="Aptos" w:cs="Aptos"/>
          <w:noProof w:val="0"/>
          <w:color w:val="000000" w:themeColor="text1" w:themeTint="FF" w:themeShade="FF"/>
          <w:sz w:val="24"/>
          <w:szCs w:val="24"/>
          <w:lang w:val="en-GB"/>
        </w:rPr>
        <w:t xml:space="preserve">, Sue can influence Bill to act in a morally consistent and legally compliant way, recognising that securing employee data is </w:t>
      </w:r>
      <w:r w:rsidRPr="49F3A3DB" w:rsidR="53884564">
        <w:rPr>
          <w:rFonts w:ascii="Aptos" w:hAnsi="Aptos" w:eastAsia="Aptos" w:cs="Aptos"/>
          <w:noProof w:val="0"/>
          <w:sz w:val="24"/>
          <w:szCs w:val="24"/>
          <w:lang w:val="en-GB"/>
        </w:rPr>
        <w:t xml:space="preserve">a key aspect of ethical decision-making at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In contrast to utilitarianism, a deontological approach to decision-making may prevent ethical breaches, as its priority is following government laws. However, the focus on rules can result in less favourable overall outcomes, such as higher costs, for the organisation and its stakeholders. </w:t>
      </w:r>
    </w:p>
    <w:p w:rsidR="53884564" w:rsidP="49F3A3DB" w:rsidRDefault="53884564" w14:paraId="5C37CC64" w14:textId="55CCB5A1">
      <w:pPr>
        <w:keepNext w:val="0"/>
        <w:keepLines w:val="0"/>
        <w:ind w:right="-180"/>
        <w:jc w:val="both"/>
        <w:rPr>
          <w:rFonts w:ascii="Aptos" w:hAnsi="Aptos" w:eastAsia="Aptos" w:cs="Aptos"/>
          <w:noProof w:val="0"/>
          <w:color w:val="000000" w:themeColor="text1" w:themeTint="FF" w:themeShade="FF"/>
          <w:sz w:val="24"/>
          <w:szCs w:val="24"/>
          <w:lang w:val="en-US"/>
        </w:rPr>
      </w:pPr>
      <w:r w:rsidRPr="49F3A3DB" w:rsidR="53884564">
        <w:rPr>
          <w:rFonts w:ascii="Aptos" w:hAnsi="Aptos" w:eastAsia="Aptos" w:cs="Aptos"/>
          <w:noProof w:val="0"/>
          <w:color w:val="000000" w:themeColor="text1" w:themeTint="FF" w:themeShade="FF"/>
          <w:sz w:val="24"/>
          <w:szCs w:val="24"/>
          <w:lang w:val="en-GB"/>
        </w:rPr>
        <w:t xml:space="preserve">Both utilitarianism and deontology </w:t>
      </w:r>
      <w:r w:rsidRPr="49F3A3DB" w:rsidR="53884564">
        <w:rPr>
          <w:rFonts w:ascii="Aptos" w:hAnsi="Aptos" w:eastAsia="Aptos" w:cs="Aptos"/>
          <w:noProof w:val="0"/>
          <w:color w:val="000000" w:themeColor="text1" w:themeTint="FF" w:themeShade="FF"/>
          <w:sz w:val="24"/>
          <w:szCs w:val="24"/>
          <w:lang w:val="en-GB"/>
        </w:rPr>
        <w:t>provide</w:t>
      </w:r>
      <w:r w:rsidRPr="49F3A3DB" w:rsidR="53884564">
        <w:rPr>
          <w:rFonts w:ascii="Aptos" w:hAnsi="Aptos" w:eastAsia="Aptos" w:cs="Aptos"/>
          <w:noProof w:val="0"/>
          <w:color w:val="000000" w:themeColor="text1" w:themeTint="FF" w:themeShade="FF"/>
          <w:sz w:val="24"/>
          <w:szCs w:val="24"/>
          <w:lang w:val="en-GB"/>
        </w:rPr>
        <w:t xml:space="preserve"> valuable guidance for ethical decision-making. Utilitarianism encourages actions that </w:t>
      </w:r>
      <w:r w:rsidRPr="49F3A3DB" w:rsidR="53884564">
        <w:rPr>
          <w:rFonts w:ascii="Aptos" w:hAnsi="Aptos" w:eastAsia="Aptos" w:cs="Aptos"/>
          <w:noProof w:val="0"/>
          <w:color w:val="000000" w:themeColor="text1" w:themeTint="FF" w:themeShade="FF"/>
          <w:sz w:val="24"/>
          <w:szCs w:val="24"/>
          <w:lang w:val="en-GB"/>
        </w:rPr>
        <w:t>benefit</w:t>
      </w:r>
      <w:r w:rsidRPr="49F3A3DB" w:rsidR="53884564">
        <w:rPr>
          <w:rFonts w:ascii="Aptos" w:hAnsi="Aptos" w:eastAsia="Aptos" w:cs="Aptos"/>
          <w:noProof w:val="0"/>
          <w:color w:val="000000" w:themeColor="text1" w:themeTint="FF" w:themeShade="FF"/>
          <w:sz w:val="24"/>
          <w:szCs w:val="24"/>
          <w:lang w:val="en-GB"/>
        </w:rPr>
        <w:t xml:space="preserve"> the majority, whilst deontology ensures ethical duties are upheld. By combining both approaches, </w:t>
      </w:r>
      <w:r w:rsidRPr="49F3A3DB" w:rsidR="53884564">
        <w:rPr>
          <w:rFonts w:ascii="Aptos" w:hAnsi="Aptos" w:eastAsia="Aptos" w:cs="Aptos"/>
          <w:noProof w:val="0"/>
          <w:color w:val="000000" w:themeColor="text1" w:themeTint="FF" w:themeShade="FF"/>
          <w:sz w:val="24"/>
          <w:szCs w:val="24"/>
          <w:lang w:val="en-GB"/>
        </w:rPr>
        <w:t>Technivara</w:t>
      </w:r>
      <w:r w:rsidRPr="49F3A3DB" w:rsidR="53884564">
        <w:rPr>
          <w:rFonts w:ascii="Aptos" w:hAnsi="Aptos" w:eastAsia="Aptos" w:cs="Aptos"/>
          <w:noProof w:val="0"/>
          <w:color w:val="000000" w:themeColor="text1" w:themeTint="FF" w:themeShade="FF"/>
          <w:sz w:val="24"/>
          <w:szCs w:val="24"/>
          <w:lang w:val="en-GB"/>
        </w:rPr>
        <w:t xml:space="preserve"> can make decisions that maximise positive outcomes while </w:t>
      </w:r>
      <w:r w:rsidRPr="49F3A3DB" w:rsidR="53884564">
        <w:rPr>
          <w:rFonts w:ascii="Aptos" w:hAnsi="Aptos" w:eastAsia="Aptos" w:cs="Aptos"/>
          <w:noProof w:val="0"/>
          <w:color w:val="000000" w:themeColor="text1" w:themeTint="FF" w:themeShade="FF"/>
          <w:sz w:val="24"/>
          <w:szCs w:val="24"/>
          <w:lang w:val="en-GB"/>
        </w:rPr>
        <w:t>maintaining</w:t>
      </w:r>
      <w:r w:rsidRPr="49F3A3DB" w:rsidR="53884564">
        <w:rPr>
          <w:rFonts w:ascii="Aptos" w:hAnsi="Aptos" w:eastAsia="Aptos" w:cs="Aptos"/>
          <w:noProof w:val="0"/>
          <w:color w:val="000000" w:themeColor="text1" w:themeTint="FF" w:themeShade="FF"/>
          <w:sz w:val="24"/>
          <w:szCs w:val="24"/>
          <w:lang w:val="en-GB"/>
        </w:rPr>
        <w:t xml:space="preserve"> a fair and respectful organisational culture.</w:t>
      </w:r>
    </w:p>
    <w:p w:rsidR="53884564" w:rsidP="49F3A3DB" w:rsidRDefault="53884564" w14:paraId="6721675F" w14:textId="42F3FD8A">
      <w:pPr>
        <w:keepNext w:val="1"/>
        <w:spacing w:line="240" w:lineRule="auto"/>
        <w:jc w:val="left"/>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AC3.1</w:t>
      </w:r>
    </w:p>
    <w:p w:rsidR="53884564" w:rsidP="49F3A3DB" w:rsidRDefault="53884564" w14:paraId="7B2D0D46" w14:textId="431E624C">
      <w:pPr>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Effective performance measurement requires both financial and non-financial indicators. Financial performance can be measured through Return on Investment (ROI), which calculates the financial return from an investment as a percentage: (Net Profit / Cost of Investment) x 100. For example, if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invested in a digital HR Information System (HRIS) like </w:t>
      </w:r>
      <w:r w:rsidRPr="49F3A3DB" w:rsidR="53884564">
        <w:rPr>
          <w:rFonts w:ascii="Aptos" w:hAnsi="Aptos" w:eastAsia="Aptos" w:cs="Aptos"/>
          <w:noProof w:val="0"/>
          <w:sz w:val="24"/>
          <w:szCs w:val="24"/>
          <w:lang w:val="en-GB"/>
        </w:rPr>
        <w:t>HiBob</w:t>
      </w:r>
      <w:r w:rsidRPr="49F3A3DB" w:rsidR="53884564">
        <w:rPr>
          <w:rFonts w:ascii="Aptos" w:hAnsi="Aptos" w:eastAsia="Aptos" w:cs="Aptos"/>
          <w:noProof w:val="0"/>
          <w:sz w:val="24"/>
          <w:szCs w:val="24"/>
          <w:lang w:val="en-GB"/>
        </w:rPr>
        <w:t xml:space="preserve">, ROI would compare the costs with measured benefits such as lower printing costs, reduced administrative work and improved legal compliance. ROI is quantifiable, easy to interpret and supports Sue’s evidence-based decision-making by justifying, improving cost </w:t>
      </w:r>
      <w:r w:rsidRPr="49F3A3DB" w:rsidR="53884564">
        <w:rPr>
          <w:rFonts w:ascii="Aptos" w:hAnsi="Aptos" w:eastAsia="Aptos" w:cs="Aptos"/>
          <w:noProof w:val="0"/>
          <w:sz w:val="24"/>
          <w:szCs w:val="24"/>
          <w:lang w:val="en-GB"/>
        </w:rPr>
        <w:t>efficiency</w:t>
      </w:r>
      <w:r w:rsidRPr="49F3A3DB" w:rsidR="53884564">
        <w:rPr>
          <w:rFonts w:ascii="Aptos" w:hAnsi="Aptos" w:eastAsia="Aptos" w:cs="Aptos"/>
          <w:noProof w:val="0"/>
          <w:sz w:val="24"/>
          <w:szCs w:val="24"/>
          <w:lang w:val="en-GB"/>
        </w:rPr>
        <w:t xml:space="preserve"> and enabling benchmarking. To remain competitive,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should utilise ROI as more employers are now using it to measure processes such as recruitment, rising from 13% to 24% of employers over the past three years </w:t>
      </w:r>
      <w:r w:rsidRPr="49F3A3DB" w:rsidR="53884564">
        <w:rPr>
          <w:rFonts w:ascii="Aptos" w:hAnsi="Aptos" w:eastAsia="Aptos" w:cs="Aptos"/>
          <w:noProof w:val="0"/>
          <w:sz w:val="24"/>
          <w:szCs w:val="24"/>
          <w:lang w:val="en-GB"/>
        </w:rPr>
        <w:t>(Hogarth and McCartney, 2024).</w:t>
      </w:r>
      <w:r w:rsidRPr="49F3A3DB" w:rsidR="53884564">
        <w:rPr>
          <w:rFonts w:ascii="Aptos" w:hAnsi="Aptos" w:eastAsia="Aptos" w:cs="Aptos"/>
          <w:noProof w:val="0"/>
          <w:sz w:val="24"/>
          <w:szCs w:val="24"/>
          <w:lang w:val="en-GB"/>
        </w:rPr>
        <w:t xml:space="preserve"> However, ROI risks oversimplifying HR outcomes as reducing people practices to quantitative figures ignores the qualitative value. Also, ROI focuses on recent financial returns, which can discourage long-term investment. The timing of ROI calculations can significantly affect its accuracy. Measuring too early may </w:t>
      </w:r>
      <w:r w:rsidRPr="49F3A3DB" w:rsidR="53884564">
        <w:rPr>
          <w:rFonts w:ascii="Aptos" w:hAnsi="Aptos" w:eastAsia="Aptos" w:cs="Aptos"/>
          <w:noProof w:val="0"/>
          <w:sz w:val="24"/>
          <w:szCs w:val="24"/>
          <w:lang w:val="en-GB"/>
        </w:rPr>
        <w:t>fail to</w:t>
      </w:r>
      <w:r w:rsidRPr="49F3A3DB" w:rsidR="53884564">
        <w:rPr>
          <w:rFonts w:ascii="Aptos" w:hAnsi="Aptos" w:eastAsia="Aptos" w:cs="Aptos"/>
          <w:noProof w:val="0"/>
          <w:sz w:val="24"/>
          <w:szCs w:val="24"/>
          <w:lang w:val="en-GB"/>
        </w:rPr>
        <w:t xml:space="preserve"> capture the full impact of an investment, while measuring too late risks influence from future factors </w:t>
      </w:r>
      <w:r w:rsidRPr="49F3A3DB" w:rsidR="53884564">
        <w:rPr>
          <w:rFonts w:ascii="Aptos" w:hAnsi="Aptos" w:eastAsia="Aptos" w:cs="Aptos"/>
          <w:noProof w:val="0"/>
          <w:sz w:val="24"/>
          <w:szCs w:val="24"/>
          <w:lang w:val="en-GB"/>
        </w:rPr>
        <w:t>(Lemmon, 2024; Gowans, 2025).</w:t>
      </w:r>
      <w:r w:rsidRPr="49F3A3DB" w:rsidR="53884564">
        <w:rPr>
          <w:rFonts w:ascii="Aptos" w:hAnsi="Aptos" w:eastAsia="Aptos" w:cs="Aptos"/>
          <w:noProof w:val="0"/>
          <w:sz w:val="24"/>
          <w:szCs w:val="24"/>
          <w:lang w:val="en-GB"/>
        </w:rPr>
        <w:t xml:space="preserve"> </w:t>
      </w:r>
    </w:p>
    <w:p w:rsidR="53884564" w:rsidP="49F3A3DB" w:rsidRDefault="53884564" w14:paraId="3AD389F8" w14:textId="5AB533AA">
      <w:pPr>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To contrast ROI,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could use employee engagement as a qualitative measure of non-financial performance. Qualitative methods help to understand employee experiences and problems </w:t>
      </w:r>
      <w:r w:rsidRPr="49F3A3DB" w:rsidR="53884564">
        <w:rPr>
          <w:rFonts w:ascii="Aptos" w:hAnsi="Aptos" w:eastAsia="Aptos" w:cs="Aptos"/>
          <w:noProof w:val="0"/>
          <w:sz w:val="24"/>
          <w:szCs w:val="24"/>
          <w:lang w:val="en-GB"/>
        </w:rPr>
        <w:t>(CIPD, 2025b)</w:t>
      </w:r>
      <w:r w:rsidRPr="49F3A3DB" w:rsidR="53884564">
        <w:rPr>
          <w:rFonts w:ascii="Aptos" w:hAnsi="Aptos" w:eastAsia="Aptos" w:cs="Aptos"/>
          <w:noProof w:val="0"/>
          <w:sz w:val="24"/>
          <w:szCs w:val="24"/>
          <w:lang w:val="en-GB"/>
        </w:rPr>
        <w:t xml:space="preserve">. Employee engagement surveys capture intangible factors such as motivation, satisfaction and morale which are significantly linked to productivity, </w:t>
      </w:r>
      <w:r w:rsidRPr="49F3A3DB" w:rsidR="53884564">
        <w:rPr>
          <w:rFonts w:ascii="Aptos" w:hAnsi="Aptos" w:eastAsia="Aptos" w:cs="Aptos"/>
          <w:noProof w:val="0"/>
          <w:sz w:val="24"/>
          <w:szCs w:val="24"/>
          <w:lang w:val="en-GB"/>
        </w:rPr>
        <w:t>retention</w:t>
      </w:r>
      <w:r w:rsidRPr="49F3A3DB" w:rsidR="53884564">
        <w:rPr>
          <w:rFonts w:ascii="Aptos" w:hAnsi="Aptos" w:eastAsia="Aptos" w:cs="Aptos"/>
          <w:noProof w:val="0"/>
          <w:sz w:val="24"/>
          <w:szCs w:val="24"/>
          <w:lang w:val="en-GB"/>
        </w:rPr>
        <w:t xml:space="preserve"> and overall performance. Targeted improvements can then be implemented to improve these</w:t>
      </w:r>
      <w:r w:rsidRPr="49F3A3DB" w:rsidR="53884564">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could implement a survey providing Sue with non-financial data to diagnose the high turnover </w:t>
      </w:r>
      <w:r w:rsidRPr="49F3A3DB" w:rsidR="53884564">
        <w:rPr>
          <w:rFonts w:ascii="Aptos" w:hAnsi="Aptos" w:eastAsia="Aptos" w:cs="Aptos"/>
          <w:noProof w:val="0"/>
          <w:sz w:val="24"/>
          <w:szCs w:val="24"/>
          <w:lang w:val="en-GB"/>
        </w:rPr>
        <w:t>identified</w:t>
      </w:r>
      <w:r w:rsidRPr="49F3A3DB" w:rsidR="53884564">
        <w:rPr>
          <w:rFonts w:ascii="Aptos" w:hAnsi="Aptos" w:eastAsia="Aptos" w:cs="Aptos"/>
          <w:noProof w:val="0"/>
          <w:sz w:val="24"/>
          <w:szCs w:val="24"/>
          <w:lang w:val="en-GB"/>
        </w:rPr>
        <w:t xml:space="preserve"> in Table 1. Personalised questions can highlight communication and improvement opportunities and offer valuable insights into workforce behaviours and leadership. Surveys also improve employee engagement, which will lead to higher performance levels, innovative </w:t>
      </w:r>
      <w:r w:rsidRPr="49F3A3DB" w:rsidR="53884564">
        <w:rPr>
          <w:rFonts w:ascii="Aptos" w:hAnsi="Aptos" w:eastAsia="Aptos" w:cs="Aptos"/>
          <w:noProof w:val="0"/>
          <w:sz w:val="24"/>
          <w:szCs w:val="24"/>
          <w:lang w:val="en-GB"/>
        </w:rPr>
        <w:t>ideas</w:t>
      </w:r>
      <w:r w:rsidRPr="49F3A3DB" w:rsidR="53884564">
        <w:rPr>
          <w:rFonts w:ascii="Aptos" w:hAnsi="Aptos" w:eastAsia="Aptos" w:cs="Aptos"/>
          <w:noProof w:val="0"/>
          <w:sz w:val="24"/>
          <w:szCs w:val="24"/>
          <w:lang w:val="en-GB"/>
        </w:rPr>
        <w:t xml:space="preserve"> and improved employee retention </w:t>
      </w:r>
      <w:r w:rsidRPr="49F3A3DB" w:rsidR="53884564">
        <w:rPr>
          <w:rFonts w:ascii="Aptos" w:hAnsi="Aptos" w:eastAsia="Aptos" w:cs="Aptos"/>
          <w:noProof w:val="0"/>
          <w:sz w:val="24"/>
          <w:szCs w:val="24"/>
          <w:lang w:val="en-GB"/>
        </w:rPr>
        <w:t xml:space="preserve">(Alfes </w:t>
      </w:r>
      <w:r w:rsidRPr="49F3A3DB" w:rsidR="53884564">
        <w:rPr>
          <w:rFonts w:ascii="Aptos" w:hAnsi="Aptos" w:eastAsia="Aptos" w:cs="Aptos"/>
          <w:i w:val="1"/>
          <w:iCs w:val="1"/>
          <w:noProof w:val="0"/>
          <w:sz w:val="24"/>
          <w:szCs w:val="24"/>
          <w:lang w:val="en-GB"/>
        </w:rPr>
        <w:t>et al.</w:t>
      </w:r>
      <w:r w:rsidRPr="49F3A3DB" w:rsidR="53884564">
        <w:rPr>
          <w:rFonts w:ascii="Aptos" w:hAnsi="Aptos" w:eastAsia="Aptos" w:cs="Aptos"/>
          <w:noProof w:val="0"/>
          <w:sz w:val="24"/>
          <w:szCs w:val="24"/>
          <w:lang w:val="en-GB"/>
        </w:rPr>
        <w:t>, 2010; Gruman and Saks, 2011 as cited in Armstrong, 2021)</w:t>
      </w:r>
      <w:r w:rsidRPr="49F3A3DB" w:rsidR="53884564">
        <w:rPr>
          <w:rFonts w:ascii="Aptos" w:hAnsi="Aptos" w:eastAsia="Aptos" w:cs="Aptos"/>
          <w:noProof w:val="0"/>
          <w:sz w:val="24"/>
          <w:szCs w:val="24"/>
          <w:lang w:val="en-GB"/>
        </w:rPr>
        <w:t xml:space="preserve">. However, survey results are subjective, relying on employee's honesty, which may not reflect their actual views so Sue may choose to implement anonymous ones. Poor participation also </w:t>
      </w:r>
      <w:r w:rsidRPr="49F3A3DB" w:rsidR="53884564">
        <w:rPr>
          <w:rFonts w:ascii="Aptos" w:hAnsi="Aptos" w:eastAsia="Aptos" w:cs="Aptos"/>
          <w:noProof w:val="0"/>
          <w:sz w:val="24"/>
          <w:szCs w:val="24"/>
          <w:lang w:val="en-GB"/>
        </w:rPr>
        <w:t>won’t</w:t>
      </w:r>
      <w:r w:rsidRPr="49F3A3DB" w:rsidR="53884564">
        <w:rPr>
          <w:rFonts w:ascii="Aptos" w:hAnsi="Aptos" w:eastAsia="Aptos" w:cs="Aptos"/>
          <w:noProof w:val="0"/>
          <w:sz w:val="24"/>
          <w:szCs w:val="24"/>
          <w:lang w:val="en-GB"/>
        </w:rPr>
        <w:t xml:space="preserve"> provide </w:t>
      </w:r>
      <w:r w:rsidRPr="49F3A3DB" w:rsidR="53884564">
        <w:rPr>
          <w:rFonts w:ascii="Aptos" w:hAnsi="Aptos" w:eastAsia="Aptos" w:cs="Aptos"/>
          <w:noProof w:val="0"/>
          <w:sz w:val="24"/>
          <w:szCs w:val="24"/>
          <w:lang w:val="en-GB"/>
        </w:rPr>
        <w:t>an accurate</w:t>
      </w:r>
      <w:r w:rsidRPr="49F3A3DB" w:rsidR="53884564">
        <w:rPr>
          <w:rFonts w:ascii="Aptos" w:hAnsi="Aptos" w:eastAsia="Aptos" w:cs="Aptos"/>
          <w:noProof w:val="0"/>
          <w:sz w:val="24"/>
          <w:szCs w:val="24"/>
          <w:lang w:val="en-GB"/>
        </w:rPr>
        <w:t xml:space="preserve"> representation of the whole workforce. This method can also be administratively intensive for Sue as creating, </w:t>
      </w:r>
      <w:r w:rsidRPr="49F3A3DB" w:rsidR="53884564">
        <w:rPr>
          <w:rFonts w:ascii="Aptos" w:hAnsi="Aptos" w:eastAsia="Aptos" w:cs="Aptos"/>
          <w:noProof w:val="0"/>
          <w:sz w:val="24"/>
          <w:szCs w:val="24"/>
          <w:lang w:val="en-GB"/>
        </w:rPr>
        <w:t>distributing</w:t>
      </w:r>
      <w:r w:rsidRPr="49F3A3DB" w:rsidR="53884564">
        <w:rPr>
          <w:rFonts w:ascii="Aptos" w:hAnsi="Aptos" w:eastAsia="Aptos" w:cs="Aptos"/>
          <w:noProof w:val="0"/>
          <w:sz w:val="24"/>
          <w:szCs w:val="24"/>
          <w:lang w:val="en-GB"/>
        </w:rPr>
        <w:t xml:space="preserve"> and analysing complex data limits action and change </w:t>
      </w:r>
      <w:r w:rsidRPr="49F3A3DB" w:rsidR="53884564">
        <w:rPr>
          <w:rFonts w:ascii="Aptos" w:hAnsi="Aptos" w:eastAsia="Aptos" w:cs="Aptos"/>
          <w:noProof w:val="0"/>
          <w:sz w:val="24"/>
          <w:szCs w:val="24"/>
          <w:lang w:val="en-GB"/>
        </w:rPr>
        <w:t>(Garrad and Hyland, 2020)</w:t>
      </w:r>
      <w:r w:rsidRPr="49F3A3DB" w:rsidR="53884564">
        <w:rPr>
          <w:rFonts w:ascii="Aptos" w:hAnsi="Aptos" w:eastAsia="Aptos" w:cs="Aptos"/>
          <w:noProof w:val="0"/>
          <w:sz w:val="24"/>
          <w:szCs w:val="24"/>
          <w:lang w:val="en-GB"/>
        </w:rPr>
        <w:t xml:space="preserve">, potentially damaging employee trust. To prevent this, ensuring Sue follows up with feedback is key. </w:t>
      </w:r>
    </w:p>
    <w:p w:rsidR="53884564" w:rsidP="49F3A3DB" w:rsidRDefault="53884564" w14:paraId="0C871F05" w14:textId="36F15A3F">
      <w:pPr>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Appraising both measures, they are most effective when used together. While ROI provides quantifiable evidence of the financial benefits of an initiative, it </w:t>
      </w:r>
      <w:r w:rsidRPr="49F3A3DB" w:rsidR="53884564">
        <w:rPr>
          <w:rFonts w:ascii="Aptos" w:hAnsi="Aptos" w:eastAsia="Aptos" w:cs="Aptos"/>
          <w:noProof w:val="0"/>
          <w:sz w:val="24"/>
          <w:szCs w:val="24"/>
          <w:lang w:val="en-GB"/>
        </w:rPr>
        <w:t>doesn’t</w:t>
      </w:r>
      <w:r w:rsidRPr="49F3A3DB" w:rsidR="53884564">
        <w:rPr>
          <w:rFonts w:ascii="Aptos" w:hAnsi="Aptos" w:eastAsia="Aptos" w:cs="Aptos"/>
          <w:noProof w:val="0"/>
          <w:sz w:val="24"/>
          <w:szCs w:val="24"/>
          <w:lang w:val="en-GB"/>
        </w:rPr>
        <w:t xml:space="preserve"> capture employee experience, which is crucial for long-term engagement and retention. In contrast, employee engagement survey results offer qualitative insights into morale but lack objectivity and may neglect measurable financial efficiency. For example, a new HRIS could </w:t>
      </w:r>
      <w:r w:rsidRPr="49F3A3DB" w:rsidR="53884564">
        <w:rPr>
          <w:rFonts w:ascii="Aptos" w:hAnsi="Aptos" w:eastAsia="Aptos" w:cs="Aptos"/>
          <w:noProof w:val="0"/>
          <w:sz w:val="24"/>
          <w:szCs w:val="24"/>
          <w:lang w:val="en-GB"/>
        </w:rPr>
        <w:t>demonstrate</w:t>
      </w:r>
      <w:r w:rsidRPr="49F3A3DB" w:rsidR="53884564">
        <w:rPr>
          <w:rFonts w:ascii="Aptos" w:hAnsi="Aptos" w:eastAsia="Aptos" w:cs="Aptos"/>
          <w:noProof w:val="0"/>
          <w:sz w:val="24"/>
          <w:szCs w:val="24"/>
          <w:lang w:val="en-GB"/>
        </w:rPr>
        <w:t xml:space="preserve"> a positive ROI through reduced administration and paper costs; however, it would not consider the employee experience of the new system. Instead, combining ROI with employee feedback from surveys ensures decisions are evidence-based and balanced, meeting both operational and people-focused needs. </w:t>
      </w:r>
    </w:p>
    <w:p w:rsidR="49F3A3DB" w:rsidP="49F3A3DB" w:rsidRDefault="49F3A3DB" w14:paraId="2981F627" w14:textId="1BDFBFC4">
      <w:pPr>
        <w:spacing w:before="0" w:beforeAutospacing="off" w:after="0" w:afterAutospacing="off" w:line="279" w:lineRule="auto"/>
        <w:ind w:left="0" w:right="283"/>
        <w:jc w:val="left"/>
        <w:rPr>
          <w:rFonts w:ascii="Arial" w:hAnsi="Arial" w:eastAsia="Arial" w:cs="Arial"/>
          <w:noProof w:val="0"/>
          <w:sz w:val="22"/>
          <w:szCs w:val="22"/>
          <w:lang w:val="en-US"/>
        </w:rPr>
      </w:pPr>
    </w:p>
    <w:p w:rsidR="53884564" w:rsidP="49F3A3DB" w:rsidRDefault="53884564" w14:paraId="7A3AB433" w14:textId="2400ADAB">
      <w:pPr>
        <w:keepNext w:val="1"/>
        <w:spacing w:line="240" w:lineRule="auto"/>
        <w:jc w:val="left"/>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AC3.2</w:t>
      </w:r>
    </w:p>
    <w:p w:rsidR="53884564" w:rsidP="49F3A3DB" w:rsidRDefault="53884564" w14:paraId="6DB2707A" w14:textId="0E7A57A7">
      <w:pPr>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People practices create value for an organisation by aligning employee potential with </w:t>
      </w:r>
      <w:r w:rsidRPr="49F3A3DB" w:rsidR="53884564">
        <w:rPr>
          <w:rFonts w:ascii="Aptos" w:hAnsi="Aptos" w:eastAsia="Aptos" w:cs="Aptos"/>
          <w:noProof w:val="0"/>
          <w:sz w:val="24"/>
          <w:szCs w:val="24"/>
          <w:lang w:val="en-GB"/>
        </w:rPr>
        <w:t>objectives</w:t>
      </w:r>
      <w:r w:rsidRPr="49F3A3DB" w:rsidR="53884564">
        <w:rPr>
          <w:rFonts w:ascii="Aptos" w:hAnsi="Aptos" w:eastAsia="Aptos" w:cs="Aptos"/>
          <w:noProof w:val="0"/>
          <w:sz w:val="24"/>
          <w:szCs w:val="24"/>
          <w:lang w:val="en-GB"/>
        </w:rPr>
        <w:t xml:space="preserve"> and supporting sustainable success through strategic recruitment, L&amp;</w:t>
      </w:r>
      <w:r w:rsidRPr="49F3A3DB" w:rsidR="53884564">
        <w:rPr>
          <w:rFonts w:ascii="Aptos" w:hAnsi="Aptos" w:eastAsia="Aptos" w:cs="Aptos"/>
          <w:noProof w:val="0"/>
          <w:sz w:val="24"/>
          <w:szCs w:val="24"/>
          <w:lang w:val="en-GB"/>
        </w:rPr>
        <w:t>D</w:t>
      </w:r>
      <w:r w:rsidRPr="49F3A3DB" w:rsidR="53884564">
        <w:rPr>
          <w:rFonts w:ascii="Aptos" w:hAnsi="Aptos" w:eastAsia="Aptos" w:cs="Aptos"/>
          <w:noProof w:val="0"/>
          <w:sz w:val="24"/>
          <w:szCs w:val="24"/>
          <w:lang w:val="en-GB"/>
        </w:rPr>
        <w:t xml:space="preserve"> and people management (Cassidy, 2022). Value can be financial, such as increased productivity and reduced turnover, or non-financial, such as improved organisational culture and morale. </w:t>
      </w:r>
      <w:r w:rsidRPr="49F3A3DB" w:rsidR="53884564">
        <w:rPr>
          <w:rFonts w:ascii="Aptos" w:hAnsi="Aptos" w:eastAsia="Aptos" w:cs="Aptos"/>
          <w:noProof w:val="0"/>
          <w:sz w:val="24"/>
          <w:szCs w:val="24"/>
          <w:lang w:val="en-GB"/>
        </w:rPr>
        <w:t>Technivara’s</w:t>
      </w:r>
      <w:r w:rsidRPr="49F3A3DB" w:rsidR="53884564">
        <w:rPr>
          <w:rFonts w:ascii="Aptos" w:hAnsi="Aptos" w:eastAsia="Aptos" w:cs="Aptos"/>
          <w:noProof w:val="0"/>
          <w:sz w:val="24"/>
          <w:szCs w:val="24"/>
          <w:lang w:val="en-GB"/>
        </w:rPr>
        <w:t xml:space="preserve"> current historical people practices limit the ability to evaluate effectiveness and forecast future needs. Adopting modern, data-driven practices allows people practices’ impact to be measured and aligned with </w:t>
      </w:r>
      <w:r w:rsidRPr="49F3A3DB" w:rsidR="53884564">
        <w:rPr>
          <w:rFonts w:ascii="Aptos" w:hAnsi="Aptos" w:eastAsia="Aptos" w:cs="Aptos"/>
          <w:noProof w:val="0"/>
          <w:sz w:val="24"/>
          <w:szCs w:val="24"/>
          <w:lang w:val="en-GB"/>
        </w:rPr>
        <w:t>Technivara’s</w:t>
      </w:r>
      <w:r w:rsidRPr="49F3A3DB" w:rsidR="53884564">
        <w:rPr>
          <w:rFonts w:ascii="Aptos" w:hAnsi="Aptos" w:eastAsia="Aptos" w:cs="Aptos"/>
          <w:noProof w:val="0"/>
          <w:sz w:val="24"/>
          <w:szCs w:val="24"/>
          <w:lang w:val="en-GB"/>
        </w:rPr>
        <w:t xml:space="preserve"> strategic growth </w:t>
      </w:r>
      <w:r w:rsidRPr="49F3A3DB" w:rsidR="53884564">
        <w:rPr>
          <w:rFonts w:ascii="Aptos" w:hAnsi="Aptos" w:eastAsia="Aptos" w:cs="Aptos"/>
          <w:noProof w:val="0"/>
          <w:sz w:val="24"/>
          <w:szCs w:val="24"/>
          <w:lang w:val="en-GB"/>
        </w:rPr>
        <w:t>objectives</w:t>
      </w:r>
      <w:r w:rsidRPr="49F3A3DB" w:rsidR="53884564">
        <w:rPr>
          <w:rFonts w:ascii="Aptos" w:hAnsi="Aptos" w:eastAsia="Aptos" w:cs="Aptos"/>
          <w:noProof w:val="0"/>
          <w:sz w:val="24"/>
          <w:szCs w:val="24"/>
          <w:lang w:val="en-GB"/>
        </w:rPr>
        <w:t xml:space="preserve">, enabling improved productivity, </w:t>
      </w:r>
      <w:r w:rsidRPr="49F3A3DB" w:rsidR="53884564">
        <w:rPr>
          <w:rFonts w:ascii="Aptos" w:hAnsi="Aptos" w:eastAsia="Aptos" w:cs="Aptos"/>
          <w:noProof w:val="0"/>
          <w:sz w:val="24"/>
          <w:szCs w:val="24"/>
          <w:lang w:val="en-GB"/>
        </w:rPr>
        <w:t>performance</w:t>
      </w:r>
      <w:r w:rsidRPr="49F3A3DB" w:rsidR="53884564">
        <w:rPr>
          <w:rFonts w:ascii="Aptos" w:hAnsi="Aptos" w:eastAsia="Aptos" w:cs="Aptos"/>
          <w:noProof w:val="0"/>
          <w:sz w:val="24"/>
          <w:szCs w:val="24"/>
          <w:lang w:val="en-GB"/>
        </w:rPr>
        <w:t xml:space="preserve"> and reputation. Measuring their impact helps </w:t>
      </w:r>
      <w:r w:rsidRPr="49F3A3DB" w:rsidR="53884564">
        <w:rPr>
          <w:rFonts w:ascii="Aptos" w:hAnsi="Aptos" w:eastAsia="Aptos" w:cs="Aptos"/>
          <w:noProof w:val="0"/>
          <w:sz w:val="24"/>
          <w:szCs w:val="24"/>
          <w:lang w:val="en-GB"/>
        </w:rPr>
        <w:t>identify</w:t>
      </w:r>
      <w:r w:rsidRPr="49F3A3DB" w:rsidR="53884564">
        <w:rPr>
          <w:rFonts w:ascii="Aptos" w:hAnsi="Aptos" w:eastAsia="Aptos" w:cs="Aptos"/>
          <w:noProof w:val="0"/>
          <w:sz w:val="24"/>
          <w:szCs w:val="24"/>
          <w:lang w:val="en-GB"/>
        </w:rPr>
        <w:t xml:space="preserve"> organisational needs and </w:t>
      </w:r>
      <w:r w:rsidRPr="49F3A3DB" w:rsidR="53884564">
        <w:rPr>
          <w:rFonts w:ascii="Aptos" w:hAnsi="Aptos" w:eastAsia="Aptos" w:cs="Aptos"/>
          <w:noProof w:val="0"/>
          <w:sz w:val="24"/>
          <w:szCs w:val="24"/>
          <w:lang w:val="en-GB"/>
        </w:rPr>
        <w:t>demonstrates</w:t>
      </w:r>
      <w:r w:rsidRPr="49F3A3DB" w:rsidR="53884564">
        <w:rPr>
          <w:rFonts w:ascii="Aptos" w:hAnsi="Aptos" w:eastAsia="Aptos" w:cs="Aptos"/>
          <w:noProof w:val="0"/>
          <w:sz w:val="24"/>
          <w:szCs w:val="24"/>
          <w:lang w:val="en-GB"/>
        </w:rPr>
        <w:t xml:space="preserve"> their strategic value, a practice used by 75% of HR professionals</w:t>
      </w:r>
      <w:r w:rsidRPr="49F3A3DB" w:rsidR="49E7D3FA">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 xml:space="preserve">Houghton and Green, 2018). </w:t>
      </w:r>
    </w:p>
    <w:p w:rsidR="53884564" w:rsidP="49F3A3DB" w:rsidRDefault="53884564" w14:paraId="4F45AD69" w14:textId="44EC031F">
      <w:pPr>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Impact and value of people practices can be measured using Cost-Benefit Analysis (CBA), which compares the financial cost of a people initiative with the measurable benefits delivered (Charlwood, </w:t>
      </w:r>
      <w:r w:rsidRPr="49F3A3DB" w:rsidR="53884564">
        <w:rPr>
          <w:rFonts w:ascii="Aptos" w:hAnsi="Aptos" w:eastAsia="Aptos" w:cs="Aptos"/>
          <w:noProof w:val="0"/>
          <w:sz w:val="24"/>
          <w:szCs w:val="24"/>
          <w:lang w:val="en-GB"/>
        </w:rPr>
        <w:t>Stuart</w:t>
      </w:r>
      <w:r w:rsidRPr="49F3A3DB" w:rsidR="53884564">
        <w:rPr>
          <w:rFonts w:ascii="Aptos" w:hAnsi="Aptos" w:eastAsia="Aptos" w:cs="Aptos"/>
          <w:noProof w:val="0"/>
          <w:sz w:val="24"/>
          <w:szCs w:val="24"/>
          <w:lang w:val="en-GB"/>
        </w:rPr>
        <w:t xml:space="preserve"> and </w:t>
      </w:r>
      <w:r w:rsidRPr="49F3A3DB" w:rsidR="53884564">
        <w:rPr>
          <w:rFonts w:ascii="Aptos" w:hAnsi="Aptos" w:eastAsia="Aptos" w:cs="Aptos"/>
          <w:noProof w:val="0"/>
          <w:sz w:val="24"/>
          <w:szCs w:val="24"/>
          <w:lang w:val="en-GB"/>
        </w:rPr>
        <w:t>Trusson</w:t>
      </w:r>
      <w:r w:rsidRPr="49F3A3DB" w:rsidR="53884564">
        <w:rPr>
          <w:rFonts w:ascii="Aptos" w:hAnsi="Aptos" w:eastAsia="Aptos" w:cs="Aptos"/>
          <w:noProof w:val="0"/>
          <w:sz w:val="24"/>
          <w:szCs w:val="24"/>
          <w:lang w:val="en-GB"/>
        </w:rPr>
        <w:t xml:space="preserve">, 2017). If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chose to implement an upskilling training programme to prepare engineers for expansion into new markets, the CBA would quantify costs, including course fees and employee time away from production. These would then be compared against financial benefits, including reduced employee turnover and lower recruitment and onboarding expenses, showing the measurable impact of the initiative. Non-financial benefits could also include fewer remakes due to errors and improved confidence and productivity among staff. The impact is </w:t>
      </w:r>
      <w:r w:rsidRPr="49F3A3DB" w:rsidR="53884564">
        <w:rPr>
          <w:rFonts w:ascii="Aptos" w:hAnsi="Aptos" w:eastAsia="Aptos" w:cs="Aptos"/>
          <w:noProof w:val="0"/>
          <w:sz w:val="24"/>
          <w:szCs w:val="24"/>
          <w:lang w:val="en-GB"/>
        </w:rPr>
        <w:t>demonstrated</w:t>
      </w:r>
      <w:r w:rsidRPr="49F3A3DB" w:rsidR="53884564">
        <w:rPr>
          <w:rFonts w:ascii="Aptos" w:hAnsi="Aptos" w:eastAsia="Aptos" w:cs="Aptos"/>
          <w:noProof w:val="0"/>
          <w:sz w:val="24"/>
          <w:szCs w:val="24"/>
          <w:lang w:val="en-GB"/>
        </w:rPr>
        <w:t xml:space="preserve"> if the benefits outweigh the costs, providing</w:t>
      </w:r>
      <w:r w:rsidRPr="49F3A3DB" w:rsidR="587DAA90">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with a data-driven framework that ensures investments align with strategic </w:t>
      </w:r>
      <w:r w:rsidRPr="49F3A3DB" w:rsidR="53884564">
        <w:rPr>
          <w:rFonts w:ascii="Aptos" w:hAnsi="Aptos" w:eastAsia="Aptos" w:cs="Aptos"/>
          <w:noProof w:val="0"/>
          <w:sz w:val="24"/>
          <w:szCs w:val="24"/>
          <w:lang w:val="en-GB"/>
        </w:rPr>
        <w:t>objectives</w:t>
      </w:r>
      <w:r w:rsidRPr="49F3A3DB" w:rsidR="53884564">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identify</w:t>
      </w:r>
      <w:r w:rsidRPr="49F3A3DB" w:rsidR="53884564">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risks</w:t>
      </w:r>
      <w:r w:rsidRPr="49F3A3DB" w:rsidR="53884564">
        <w:rPr>
          <w:rFonts w:ascii="Aptos" w:hAnsi="Aptos" w:eastAsia="Aptos" w:cs="Aptos"/>
          <w:noProof w:val="0"/>
          <w:sz w:val="24"/>
          <w:szCs w:val="24"/>
          <w:lang w:val="en-GB"/>
        </w:rPr>
        <w:t xml:space="preserve"> and show the profitability of people practices. Measuring the impact of training helps </w:t>
      </w:r>
      <w:r w:rsidRPr="49F3A3DB" w:rsidR="53884564">
        <w:rPr>
          <w:rFonts w:ascii="Aptos" w:hAnsi="Aptos" w:eastAsia="Aptos" w:cs="Aptos"/>
          <w:noProof w:val="0"/>
          <w:sz w:val="24"/>
          <w:szCs w:val="24"/>
          <w:lang w:val="en-GB"/>
        </w:rPr>
        <w:t>Technivara</w:t>
      </w:r>
      <w:r w:rsidRPr="49F3A3DB" w:rsidR="7DAA2B8E">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 xml:space="preserve">remain competitive, as only 50% of organisations have a process for measuring the learning impact of people practices (Overton, 2023). However, it can be difficult to quantify intangible factors of </w:t>
      </w:r>
      <w:r w:rsidRPr="49F3A3DB" w:rsidR="53884564">
        <w:rPr>
          <w:rFonts w:ascii="Aptos" w:hAnsi="Aptos" w:eastAsia="Aptos" w:cs="Aptos"/>
          <w:noProof w:val="0"/>
          <w:sz w:val="24"/>
          <w:szCs w:val="24"/>
          <w:lang w:val="en-GB"/>
        </w:rPr>
        <w:t>practices,</w:t>
      </w:r>
      <w:r w:rsidRPr="49F3A3DB" w:rsidR="51B974CE">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such</w:t>
      </w:r>
      <w:r w:rsidRPr="49F3A3DB" w:rsidR="53884564">
        <w:rPr>
          <w:rFonts w:ascii="Aptos" w:hAnsi="Aptos" w:eastAsia="Aptos" w:cs="Aptos"/>
          <w:noProof w:val="0"/>
          <w:sz w:val="24"/>
          <w:szCs w:val="24"/>
          <w:lang w:val="en-GB"/>
        </w:rPr>
        <w:t xml:space="preserve"> as employee morale, which risks bias. </w:t>
      </w:r>
    </w:p>
    <w:p w:rsidR="53884564" w:rsidP="49F3A3DB" w:rsidRDefault="53884564" w14:paraId="5D663A1C" w14:textId="0F702885">
      <w:pPr>
        <w:spacing w:before="0" w:beforeAutospacing="off" w:after="160" w:afterAutospacing="off" w:line="279" w:lineRule="auto"/>
        <w:ind w:left="0" w:right="0"/>
        <w:jc w:val="both"/>
        <w:rPr>
          <w:rFonts w:ascii="Aptos" w:hAnsi="Aptos" w:eastAsia="Aptos" w:cs="Aptos"/>
          <w:noProof w:val="0"/>
          <w:sz w:val="24"/>
          <w:szCs w:val="24"/>
          <w:lang w:val="en-GB"/>
        </w:rPr>
      </w:pPr>
      <w:r w:rsidRPr="49F3A3DB" w:rsidR="53884564">
        <w:rPr>
          <w:rFonts w:ascii="Aptos" w:hAnsi="Aptos" w:eastAsia="Aptos" w:cs="Aptos"/>
          <w:noProof w:val="0"/>
          <w:sz w:val="24"/>
          <w:szCs w:val="24"/>
          <w:lang w:val="en-GB"/>
        </w:rPr>
        <w:t>Similarly, HR Metrics can also be used to measure impact. They assess the efficiency, effectiveness and impact of people practices by measuring organisational outcomes, such as turnover and productivity</w:t>
      </w:r>
      <w:r w:rsidRPr="49F3A3DB" w:rsidR="37B593C2">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 xml:space="preserve">(Findlay </w:t>
      </w:r>
      <w:r w:rsidRPr="49F3A3DB" w:rsidR="53884564">
        <w:rPr>
          <w:rFonts w:ascii="Aptos" w:hAnsi="Aptos" w:eastAsia="Aptos" w:cs="Aptos"/>
          <w:i w:val="1"/>
          <w:iCs w:val="1"/>
          <w:noProof w:val="0"/>
          <w:sz w:val="24"/>
          <w:szCs w:val="24"/>
          <w:lang w:val="en-GB"/>
        </w:rPr>
        <w:t>et al</w:t>
      </w:r>
      <w:r w:rsidRPr="49F3A3DB" w:rsidR="53884564">
        <w:rPr>
          <w:rFonts w:ascii="Aptos" w:hAnsi="Aptos" w:eastAsia="Aptos" w:cs="Aptos"/>
          <w:noProof w:val="0"/>
          <w:sz w:val="24"/>
          <w:szCs w:val="24"/>
          <w:lang w:val="en-GB"/>
        </w:rPr>
        <w:t xml:space="preserve">., 2018). By introducing and measuring HR metrics,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can gain clear evidence-based insights into workplace performance, </w:t>
      </w:r>
      <w:r w:rsidRPr="49F3A3DB" w:rsidR="53884564">
        <w:rPr>
          <w:rFonts w:ascii="Aptos" w:hAnsi="Aptos" w:eastAsia="Aptos" w:cs="Aptos"/>
          <w:noProof w:val="0"/>
          <w:sz w:val="24"/>
          <w:szCs w:val="24"/>
          <w:lang w:val="en-GB"/>
        </w:rPr>
        <w:t>engagement</w:t>
      </w:r>
      <w:r w:rsidRPr="49F3A3DB" w:rsidR="53884564">
        <w:rPr>
          <w:rFonts w:ascii="Aptos" w:hAnsi="Aptos" w:eastAsia="Aptos" w:cs="Aptos"/>
          <w:noProof w:val="0"/>
          <w:sz w:val="24"/>
          <w:szCs w:val="24"/>
          <w:lang w:val="en-GB"/>
        </w:rPr>
        <w:t xml:space="preserve"> and development, enabling them to </w:t>
      </w:r>
      <w:r w:rsidRPr="49F3A3DB" w:rsidR="53884564">
        <w:rPr>
          <w:rFonts w:ascii="Aptos" w:hAnsi="Aptos" w:eastAsia="Aptos" w:cs="Aptos"/>
          <w:noProof w:val="0"/>
          <w:sz w:val="24"/>
          <w:szCs w:val="24"/>
          <w:lang w:val="en-GB"/>
        </w:rPr>
        <w:t>retain</w:t>
      </w:r>
      <w:r w:rsidRPr="49F3A3DB" w:rsidR="53884564">
        <w:rPr>
          <w:rFonts w:ascii="Aptos" w:hAnsi="Aptos" w:eastAsia="Aptos" w:cs="Aptos"/>
          <w:noProof w:val="0"/>
          <w:sz w:val="24"/>
          <w:szCs w:val="24"/>
          <w:lang w:val="en-GB"/>
        </w:rPr>
        <w:t xml:space="preserve"> quality talent and optimise operations to inform strategic actions (Talent Management Institute, 2023), supporting their ongoing growth strategy. For example, if </w:t>
      </w:r>
      <w:r w:rsidRPr="49F3A3DB" w:rsidR="53884564">
        <w:rPr>
          <w:rFonts w:ascii="Aptos" w:hAnsi="Aptos" w:eastAsia="Aptos" w:cs="Aptos"/>
          <w:noProof w:val="0"/>
          <w:sz w:val="24"/>
          <w:szCs w:val="24"/>
          <w:lang w:val="en-GB"/>
        </w:rPr>
        <w:t>Technivara</w:t>
      </w:r>
      <w:r w:rsidRPr="49F3A3DB" w:rsidR="53884564">
        <w:rPr>
          <w:rFonts w:ascii="Aptos" w:hAnsi="Aptos" w:eastAsia="Aptos" w:cs="Aptos"/>
          <w:noProof w:val="0"/>
          <w:sz w:val="24"/>
          <w:szCs w:val="24"/>
          <w:lang w:val="en-GB"/>
        </w:rPr>
        <w:t xml:space="preserve"> implemented a reward and recognition programme, they could use a five-item scale technique to measure its impact (Migneault</w:t>
      </w:r>
      <w:r w:rsidRPr="49F3A3DB" w:rsidR="53884564">
        <w:rPr>
          <w:rFonts w:ascii="Aptos" w:hAnsi="Aptos" w:eastAsia="Aptos" w:cs="Aptos"/>
          <w:i w:val="1"/>
          <w:iCs w:val="1"/>
          <w:noProof w:val="0"/>
          <w:sz w:val="24"/>
          <w:szCs w:val="24"/>
          <w:lang w:val="en-GB"/>
        </w:rPr>
        <w:t xml:space="preserve"> et al</w:t>
      </w:r>
      <w:r w:rsidRPr="49F3A3DB" w:rsidR="53884564">
        <w:rPr>
          <w:rFonts w:ascii="Aptos" w:hAnsi="Aptos" w:eastAsia="Aptos" w:cs="Aptos"/>
          <w:noProof w:val="0"/>
          <w:sz w:val="24"/>
          <w:szCs w:val="24"/>
          <w:lang w:val="en-GB"/>
        </w:rPr>
        <w:t xml:space="preserve">., 2006, cited in Barends </w:t>
      </w:r>
      <w:r w:rsidRPr="49F3A3DB" w:rsidR="53884564">
        <w:rPr>
          <w:rFonts w:ascii="Aptos" w:hAnsi="Aptos" w:eastAsia="Aptos" w:cs="Aptos"/>
          <w:i w:val="1"/>
          <w:iCs w:val="1"/>
          <w:noProof w:val="0"/>
          <w:sz w:val="24"/>
          <w:szCs w:val="24"/>
          <w:lang w:val="en-GB"/>
        </w:rPr>
        <w:t>et al</w:t>
      </w:r>
      <w:r w:rsidRPr="49F3A3DB" w:rsidR="53884564">
        <w:rPr>
          <w:rFonts w:ascii="Aptos" w:hAnsi="Aptos" w:eastAsia="Aptos" w:cs="Aptos"/>
          <w:noProof w:val="0"/>
          <w:sz w:val="24"/>
          <w:szCs w:val="24"/>
          <w:lang w:val="en-GB"/>
        </w:rPr>
        <w:t xml:space="preserve">., 2022). </w:t>
      </w:r>
    </w:p>
    <w:p w:rsidR="53884564" w:rsidP="49F3A3DB" w:rsidRDefault="53884564" w14:paraId="66DFB2D8" w14:textId="1415D49E">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49F3A3DB" w:rsidR="53884564">
        <w:rPr>
          <w:rFonts w:ascii="Aptos" w:hAnsi="Aptos" w:eastAsia="Aptos" w:cs="Aptos"/>
          <w:noProof w:val="0"/>
          <w:sz w:val="24"/>
          <w:szCs w:val="24"/>
          <w:lang w:val="en-GB"/>
        </w:rPr>
        <w:t xml:space="preserve">In conclusion, people </w:t>
      </w:r>
      <w:r w:rsidRPr="49F3A3DB" w:rsidR="53884564">
        <w:rPr>
          <w:rFonts w:ascii="Aptos" w:hAnsi="Aptos" w:eastAsia="Aptos" w:cs="Aptos"/>
          <w:noProof w:val="0"/>
          <w:sz w:val="24"/>
          <w:szCs w:val="24"/>
          <w:lang w:val="en-GB"/>
        </w:rPr>
        <w:t>practices</w:t>
      </w:r>
      <w:r w:rsidRPr="49F3A3DB" w:rsidR="53884564">
        <w:rPr>
          <w:rFonts w:ascii="Aptos" w:hAnsi="Aptos" w:eastAsia="Aptos" w:cs="Aptos"/>
          <w:noProof w:val="0"/>
          <w:sz w:val="24"/>
          <w:szCs w:val="24"/>
          <w:lang w:val="en-GB"/>
        </w:rPr>
        <w:t xml:space="preserve"> </w:t>
      </w:r>
      <w:r w:rsidRPr="49F3A3DB" w:rsidR="76C20679">
        <w:rPr>
          <w:rFonts w:ascii="Aptos" w:hAnsi="Aptos" w:eastAsia="Aptos" w:cs="Aptos"/>
          <w:noProof w:val="0"/>
          <w:sz w:val="24"/>
          <w:szCs w:val="24"/>
          <w:lang w:val="en-GB"/>
        </w:rPr>
        <w:t xml:space="preserve">can </w:t>
      </w:r>
      <w:r w:rsidRPr="49F3A3DB" w:rsidR="53884564">
        <w:rPr>
          <w:rFonts w:ascii="Aptos" w:hAnsi="Aptos" w:eastAsia="Aptos" w:cs="Aptos"/>
          <w:noProof w:val="0"/>
          <w:sz w:val="24"/>
          <w:szCs w:val="24"/>
          <w:lang w:val="en-GB"/>
        </w:rPr>
        <w:t xml:space="preserve">add value to </w:t>
      </w:r>
      <w:r w:rsidRPr="49F3A3DB" w:rsidR="53884564">
        <w:rPr>
          <w:rFonts w:ascii="Aptos" w:hAnsi="Aptos" w:eastAsia="Aptos" w:cs="Aptos"/>
          <w:noProof w:val="0"/>
          <w:sz w:val="24"/>
          <w:szCs w:val="24"/>
          <w:lang w:val="en-GB"/>
        </w:rPr>
        <w:t>Tec</w:t>
      </w:r>
      <w:r w:rsidRPr="49F3A3DB" w:rsidR="53884564">
        <w:rPr>
          <w:rFonts w:ascii="Aptos" w:hAnsi="Aptos" w:eastAsia="Aptos" w:cs="Aptos"/>
          <w:noProof w:val="0"/>
          <w:sz w:val="24"/>
          <w:szCs w:val="24"/>
          <w:lang w:val="en-GB"/>
        </w:rPr>
        <w:t>hn</w:t>
      </w:r>
      <w:r w:rsidRPr="49F3A3DB" w:rsidR="53884564">
        <w:rPr>
          <w:rFonts w:ascii="Aptos" w:hAnsi="Aptos" w:eastAsia="Aptos" w:cs="Aptos"/>
          <w:noProof w:val="0"/>
          <w:sz w:val="24"/>
          <w:szCs w:val="24"/>
          <w:lang w:val="en-GB"/>
        </w:rPr>
        <w:t>ivar</w:t>
      </w:r>
      <w:r w:rsidRPr="49F3A3DB" w:rsidR="53884564">
        <w:rPr>
          <w:rFonts w:ascii="Aptos" w:hAnsi="Aptos" w:eastAsia="Aptos" w:cs="Aptos"/>
          <w:noProof w:val="0"/>
          <w:sz w:val="24"/>
          <w:szCs w:val="24"/>
          <w:lang w:val="en-GB"/>
        </w:rPr>
        <w:t>a</w:t>
      </w:r>
      <w:r w:rsidRPr="49F3A3DB" w:rsidR="45B697E8">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by improving skills, capability and reducing turnover while enabling better decision making. Although their impact may not be visible to</w:t>
      </w:r>
      <w:r w:rsidRPr="49F3A3DB" w:rsidR="4C2C2AF0">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stakeholders</w:t>
      </w:r>
      <w:r w:rsidRPr="49F3A3DB" w:rsidR="0D245B2E">
        <w:rPr>
          <w:rFonts w:ascii="Aptos" w:hAnsi="Aptos" w:eastAsia="Aptos" w:cs="Aptos"/>
          <w:noProof w:val="0"/>
          <w:sz w:val="24"/>
          <w:szCs w:val="24"/>
          <w:lang w:val="en-GB"/>
        </w:rPr>
        <w:t xml:space="preserve"> </w:t>
      </w:r>
      <w:r w:rsidRPr="49F3A3DB" w:rsidR="53884564">
        <w:rPr>
          <w:rFonts w:ascii="Aptos" w:hAnsi="Aptos" w:eastAsia="Aptos" w:cs="Aptos"/>
          <w:noProof w:val="0"/>
          <w:sz w:val="24"/>
          <w:szCs w:val="24"/>
          <w:lang w:val="en-GB"/>
        </w:rPr>
        <w:t xml:space="preserve">(Waverley, 2024), people practices contribute both tangible and intangible benefits. Measuring HR metrics balances the financial focus of CBA by capturing non-financial impacts such as morale and motivation, </w:t>
      </w:r>
      <w:r w:rsidRPr="49F3A3DB" w:rsidR="53884564">
        <w:rPr>
          <w:rFonts w:ascii="Aptos" w:hAnsi="Aptos" w:eastAsia="Aptos" w:cs="Aptos"/>
          <w:noProof w:val="0"/>
          <w:sz w:val="24"/>
          <w:szCs w:val="24"/>
          <w:lang w:val="en-GB"/>
        </w:rPr>
        <w:t>demonstrating</w:t>
      </w:r>
      <w:r w:rsidRPr="49F3A3DB" w:rsidR="53884564">
        <w:rPr>
          <w:rFonts w:ascii="Aptos" w:hAnsi="Aptos" w:eastAsia="Aptos" w:cs="Aptos"/>
          <w:noProof w:val="0"/>
          <w:sz w:val="24"/>
          <w:szCs w:val="24"/>
          <w:lang w:val="en-GB"/>
        </w:rPr>
        <w:t xml:space="preserve"> the full value of people practices</w:t>
      </w:r>
      <w:r w:rsidRPr="49F3A3DB" w:rsidR="53884564">
        <w:rPr>
          <w:rFonts w:ascii="Aptos" w:hAnsi="Aptos" w:eastAsia="Aptos" w:cs="Aptos"/>
          <w:noProof w:val="0"/>
          <w:sz w:val="24"/>
          <w:szCs w:val="24"/>
          <w:lang w:val="en-GB"/>
        </w:rPr>
        <w:t xml:space="preserve">.  </w:t>
      </w:r>
    </w:p>
    <w:p w:rsidR="49F3A3DB" w:rsidP="49F3A3DB" w:rsidRDefault="49F3A3DB" w14:paraId="6D0903F6" w14:textId="411DB3DF">
      <w:pPr>
        <w:jc w:val="both"/>
        <w:rPr>
          <w:rFonts w:ascii="Arial" w:hAnsi="Arial" w:eastAsia="Arial" w:cs="Arial"/>
          <w:noProof w:val="0"/>
          <w:color w:val="000000" w:themeColor="text1" w:themeTint="FF" w:themeShade="FF"/>
          <w:sz w:val="22"/>
          <w:szCs w:val="22"/>
          <w:lang w:val="en-GB"/>
        </w:rPr>
      </w:pPr>
    </w:p>
    <w:p w:rsidR="49F3A3DB" w:rsidP="49F3A3DB" w:rsidRDefault="49F3A3DB" w14:paraId="1A7B87F2" w14:textId="06C33640">
      <w:pPr>
        <w:jc w:val="both"/>
        <w:rPr>
          <w:rFonts w:ascii="Arial" w:hAnsi="Arial" w:eastAsia="Arial" w:cs="Arial"/>
          <w:noProof w:val="0"/>
          <w:color w:val="000000" w:themeColor="text1" w:themeTint="FF" w:themeShade="FF"/>
          <w:sz w:val="22"/>
          <w:szCs w:val="22"/>
          <w:lang w:val="en-GB"/>
        </w:rPr>
      </w:pPr>
    </w:p>
    <w:p w:rsidR="49F3A3DB" w:rsidP="49F3A3DB" w:rsidRDefault="49F3A3DB" w14:paraId="25C4EF52" w14:textId="27AC2C24">
      <w:pPr>
        <w:jc w:val="both"/>
        <w:rPr>
          <w:rFonts w:ascii="Arial" w:hAnsi="Arial" w:eastAsia="Arial" w:cs="Arial"/>
          <w:noProof w:val="0"/>
          <w:color w:val="000000" w:themeColor="text1" w:themeTint="FF" w:themeShade="FF"/>
          <w:sz w:val="22"/>
          <w:szCs w:val="22"/>
          <w:lang w:val="en-GB"/>
        </w:rPr>
      </w:pPr>
    </w:p>
    <w:p w:rsidR="49F3A3DB" w:rsidP="49F3A3DB" w:rsidRDefault="49F3A3DB" w14:paraId="5A1876D9" w14:textId="127017B5">
      <w:pPr>
        <w:pStyle w:val="Normal"/>
        <w:jc w:val="both"/>
        <w:rPr>
          <w:rFonts w:ascii="Arial" w:hAnsi="Arial" w:eastAsia="Arial" w:cs="Arial"/>
          <w:noProof w:val="0"/>
          <w:color w:val="000000" w:themeColor="text1" w:themeTint="FF" w:themeShade="FF"/>
          <w:sz w:val="22"/>
          <w:szCs w:val="22"/>
          <w:lang w:val="en-GB"/>
        </w:rPr>
      </w:pPr>
    </w:p>
    <w:p w:rsidR="49F3A3DB" w:rsidP="49F3A3DB" w:rsidRDefault="49F3A3DB" w14:paraId="4CBC9DB3" w14:textId="5C8AC6FA">
      <w:pPr>
        <w:pStyle w:val="Normal"/>
        <w:jc w:val="both"/>
        <w:rPr>
          <w:rFonts w:ascii="Arial" w:hAnsi="Arial" w:eastAsia="Arial" w:cs="Arial"/>
          <w:noProof w:val="0"/>
          <w:color w:val="000000" w:themeColor="text1" w:themeTint="FF" w:themeShade="FF"/>
          <w:sz w:val="22"/>
          <w:szCs w:val="22"/>
          <w:lang w:val="en-GB"/>
        </w:rPr>
      </w:pPr>
    </w:p>
    <w:p w:rsidR="554F7D65" w:rsidRDefault="554F7D65" w14:paraId="165C5FF2" w14:textId="79BBFDF7">
      <w:r w:rsidR="554F7D65">
        <w:rPr/>
        <w:t>Task 2</w:t>
      </w:r>
    </w:p>
    <w:p w:rsidR="554F7D65" w:rsidRDefault="554F7D65" w14:paraId="5E2946E5" w14:textId="1AF123EB">
      <w:r w:rsidR="554F7D65">
        <w:rPr/>
        <w:t>AC2.1</w:t>
      </w:r>
    </w:p>
    <w:tbl>
      <w:tblPr>
        <w:tblStyle w:val="TableNormal"/>
        <w:bidiVisual w:val="0"/>
        <w:tblW w:w="0" w:type="auto"/>
        <w:tblInd w:w="-255" w:type="dxa"/>
        <w:tblLook w:val="06A0" w:firstRow="1" w:lastRow="0" w:firstColumn="1" w:lastColumn="0" w:noHBand="1" w:noVBand="1"/>
      </w:tblPr>
      <w:tblGrid>
        <w:gridCol w:w="2523"/>
        <w:gridCol w:w="1239"/>
        <w:gridCol w:w="1182"/>
        <w:gridCol w:w="1239"/>
        <w:gridCol w:w="1196"/>
        <w:gridCol w:w="1239"/>
        <w:gridCol w:w="1196"/>
        <w:gridCol w:w="1239"/>
      </w:tblGrid>
      <w:tr w:rsidR="49F3A3DB" w:rsidTr="49F3A3DB" w14:paraId="0C0BDF18">
        <w:trPr>
          <w:trHeight w:val="525"/>
        </w:trPr>
        <w:tc>
          <w:tcPr>
            <w:tcW w:w="11053" w:type="dxa"/>
            <w:gridSpan w:val="8"/>
            <w:vMerge w:val="restart"/>
            <w:tcBorders>
              <w:top w:val="single" w:sz="4"/>
              <w:left w:val="single" w:sz="4"/>
              <w:bottom w:val="single" w:sz="4"/>
              <w:right w:val="single" w:sz="4"/>
            </w:tcBorders>
            <w:shd w:val="clear" w:color="auto" w:fill="B3D7DB"/>
            <w:tcMar>
              <w:top w:w="15" w:type="dxa"/>
              <w:left w:w="15" w:type="dxa"/>
              <w:right w:w="15" w:type="dxa"/>
            </w:tcMar>
            <w:vAlign w:val="center"/>
          </w:tcPr>
          <w:p w:rsidR="49F3A3DB" w:rsidP="49F3A3DB" w:rsidRDefault="49F3A3DB" w14:paraId="4AAB488A" w14:textId="5BB76123">
            <w:pPr>
              <w:spacing w:before="0" w:beforeAutospacing="off" w:after="0" w:afterAutospacing="off"/>
              <w:jc w:val="center"/>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 xml:space="preserve">Turnover and recruitment take up for Technivara 2024 </w:t>
            </w:r>
          </w:p>
        </w:tc>
      </w:tr>
      <w:tr w:rsidR="49F3A3DB" w:rsidTr="49F3A3DB" w14:paraId="733B94DA">
        <w:trPr>
          <w:trHeight w:val="255"/>
        </w:trPr>
        <w:tc>
          <w:tcPr>
            <w:tcW w:w="11053" w:type="dxa"/>
            <w:gridSpan w:val="8"/>
            <w:vMerge/>
            <w:tcBorders>
              <w:top w:sz="0"/>
              <w:left w:val="single" w:sz="0"/>
              <w:bottom w:val="single" w:sz="0"/>
              <w:right w:val="single" w:sz="0"/>
            </w:tcBorders>
            <w:tcMar/>
            <w:vAlign w:val="center"/>
          </w:tcPr>
          <w:p w14:paraId="580A57F2"/>
        </w:tc>
      </w:tr>
      <w:tr w:rsidR="49F3A3DB" w:rsidTr="49F3A3DB" w14:paraId="7BCB7BB9">
        <w:trPr>
          <w:trHeight w:val="1590"/>
        </w:trPr>
        <w:tc>
          <w:tcPr>
            <w:tcW w:w="2523" w:type="dxa"/>
            <w:tcBorders>
              <w:top w:val="nil" w:sz="4"/>
              <w:left w:val="single" w:sz="4"/>
              <w:bottom w:val="single" w:sz="4"/>
              <w:right w:val="single" w:sz="4"/>
            </w:tcBorders>
            <w:shd w:val="clear" w:color="auto" w:fill="B3D7DB"/>
            <w:tcMar>
              <w:top w:w="15" w:type="dxa"/>
              <w:left w:w="15" w:type="dxa"/>
              <w:right w:w="15" w:type="dxa"/>
            </w:tcMar>
            <w:vAlign w:val="bottom"/>
          </w:tcPr>
          <w:p w:rsidR="49F3A3DB" w:rsidP="49F3A3DB" w:rsidRDefault="49F3A3DB" w14:paraId="64AF599C" w14:textId="00EF23B5">
            <w:pPr>
              <w:spacing w:before="0" w:beforeAutospacing="off" w:after="0" w:afterAutospacing="off"/>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 xml:space="preserve"> </w:t>
            </w:r>
          </w:p>
        </w:tc>
        <w:tc>
          <w:tcPr>
            <w:tcW w:w="1239" w:type="dxa"/>
            <w:tcBorders>
              <w:top w:val="nil" w:sz="4"/>
              <w:left w:val="single" w:sz="4"/>
              <w:bottom w:val="single" w:sz="4"/>
              <w:right w:val="single" w:sz="4"/>
            </w:tcBorders>
            <w:shd w:val="clear" w:color="auto" w:fill="B3D7DB"/>
            <w:tcMar>
              <w:top w:w="15" w:type="dxa"/>
              <w:left w:w="15" w:type="dxa"/>
              <w:right w:w="15" w:type="dxa"/>
            </w:tcMar>
            <w:vAlign w:val="center"/>
          </w:tcPr>
          <w:p w:rsidR="49F3A3DB" w:rsidP="49F3A3DB" w:rsidRDefault="49F3A3DB" w14:paraId="2D6FB7EE" w14:textId="1BCE3CB5">
            <w:pPr>
              <w:spacing w:before="0" w:beforeAutospacing="off" w:after="0" w:afterAutospacing="off"/>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Total in Department 2024</w:t>
            </w:r>
          </w:p>
        </w:tc>
        <w:tc>
          <w:tcPr>
            <w:tcW w:w="1182" w:type="dxa"/>
            <w:tcBorders>
              <w:top w:val="nil" w:sz="4"/>
              <w:left w:val="single" w:sz="4"/>
              <w:bottom w:val="single" w:sz="4"/>
              <w:right w:val="single" w:sz="4"/>
            </w:tcBorders>
            <w:shd w:val="clear" w:color="auto" w:fill="B3D7DB"/>
            <w:tcMar>
              <w:top w:w="15" w:type="dxa"/>
              <w:left w:w="15" w:type="dxa"/>
              <w:right w:w="15" w:type="dxa"/>
            </w:tcMar>
            <w:vAlign w:val="center"/>
          </w:tcPr>
          <w:p w:rsidR="49F3A3DB" w:rsidP="49F3A3DB" w:rsidRDefault="49F3A3DB" w14:paraId="4E50F058" w14:textId="66A3FB13">
            <w:pPr>
              <w:spacing w:before="0" w:beforeAutospacing="off" w:after="0" w:afterAutospacing="off"/>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Leavers for 2024</w:t>
            </w:r>
          </w:p>
        </w:tc>
        <w:tc>
          <w:tcPr>
            <w:tcW w:w="1239" w:type="dxa"/>
            <w:tcBorders>
              <w:top w:val="nil" w:sz="4"/>
              <w:left w:val="single" w:sz="4"/>
              <w:bottom w:val="single" w:sz="4"/>
              <w:right w:val="single" w:sz="4"/>
            </w:tcBorders>
            <w:shd w:val="clear" w:color="auto" w:fill="B3D7DB"/>
            <w:tcMar>
              <w:top w:w="15" w:type="dxa"/>
              <w:left w:w="15" w:type="dxa"/>
              <w:right w:w="15" w:type="dxa"/>
            </w:tcMar>
            <w:vAlign w:val="center"/>
          </w:tcPr>
          <w:p w:rsidR="49F3A3DB" w:rsidP="49F3A3DB" w:rsidRDefault="49F3A3DB" w14:paraId="7A6EE68A" w14:textId="1302EB86">
            <w:pPr>
              <w:spacing w:before="0" w:beforeAutospacing="off" w:after="0" w:afterAutospacing="off"/>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Leavers as a % against total in each Department</w:t>
            </w:r>
          </w:p>
        </w:tc>
        <w:tc>
          <w:tcPr>
            <w:tcW w:w="1196" w:type="dxa"/>
            <w:tcBorders>
              <w:top w:val="nil" w:sz="4"/>
              <w:left w:val="single" w:sz="4"/>
              <w:bottom w:val="single" w:sz="4"/>
              <w:right w:val="single" w:sz="4"/>
            </w:tcBorders>
            <w:shd w:val="clear" w:color="auto" w:fill="B3D7DB"/>
            <w:tcMar>
              <w:top w:w="15" w:type="dxa"/>
              <w:left w:w="15" w:type="dxa"/>
              <w:right w:w="15" w:type="dxa"/>
            </w:tcMar>
            <w:vAlign w:val="center"/>
          </w:tcPr>
          <w:p w:rsidR="49F3A3DB" w:rsidP="49F3A3DB" w:rsidRDefault="49F3A3DB" w14:paraId="2FE852BE" w14:textId="357FCF64">
            <w:pPr>
              <w:spacing w:before="0" w:beforeAutospacing="off" w:after="0" w:afterAutospacing="off"/>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 xml:space="preserve">Positions vacant </w:t>
            </w:r>
          </w:p>
        </w:tc>
        <w:tc>
          <w:tcPr>
            <w:tcW w:w="1239" w:type="dxa"/>
            <w:tcBorders>
              <w:top w:val="nil" w:sz="4"/>
              <w:left w:val="single" w:sz="4"/>
              <w:bottom w:val="single" w:sz="4"/>
              <w:right w:val="single" w:sz="4"/>
            </w:tcBorders>
            <w:shd w:val="clear" w:color="auto" w:fill="B3D7DB"/>
            <w:tcMar>
              <w:top w:w="15" w:type="dxa"/>
              <w:left w:w="15" w:type="dxa"/>
              <w:right w:w="15" w:type="dxa"/>
            </w:tcMar>
            <w:vAlign w:val="center"/>
          </w:tcPr>
          <w:p w:rsidR="49F3A3DB" w:rsidP="49F3A3DB" w:rsidRDefault="49F3A3DB" w14:paraId="4BF55F3E" w14:textId="7FBA0E9C">
            <w:pPr>
              <w:spacing w:before="0" w:beforeAutospacing="off" w:after="0" w:afterAutospacing="off"/>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Vacancies as a % against total in each Department</w:t>
            </w:r>
          </w:p>
        </w:tc>
        <w:tc>
          <w:tcPr>
            <w:tcW w:w="1196" w:type="dxa"/>
            <w:tcBorders>
              <w:top w:val="nil" w:sz="4"/>
              <w:left w:val="single" w:sz="4"/>
              <w:bottom w:val="single" w:sz="4"/>
              <w:right w:val="single" w:sz="4"/>
            </w:tcBorders>
            <w:shd w:val="clear" w:color="auto" w:fill="B3D7DB"/>
            <w:tcMar>
              <w:top w:w="15" w:type="dxa"/>
              <w:left w:w="15" w:type="dxa"/>
              <w:right w:w="15" w:type="dxa"/>
            </w:tcMar>
            <w:vAlign w:val="center"/>
          </w:tcPr>
          <w:p w:rsidR="49F3A3DB" w:rsidP="49F3A3DB" w:rsidRDefault="49F3A3DB" w14:paraId="2B884C75" w14:textId="7DCED2F4">
            <w:pPr>
              <w:spacing w:before="0" w:beforeAutospacing="off" w:after="0" w:afterAutospacing="off"/>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 xml:space="preserve">Positions filled </w:t>
            </w:r>
          </w:p>
        </w:tc>
        <w:tc>
          <w:tcPr>
            <w:tcW w:w="1239" w:type="dxa"/>
            <w:tcBorders>
              <w:top w:val="nil" w:sz="4"/>
              <w:left w:val="single" w:sz="4"/>
              <w:bottom w:val="single" w:sz="4"/>
              <w:right w:val="single" w:sz="4"/>
            </w:tcBorders>
            <w:shd w:val="clear" w:color="auto" w:fill="B3D7DB"/>
            <w:tcMar>
              <w:top w:w="15" w:type="dxa"/>
              <w:left w:w="15" w:type="dxa"/>
              <w:right w:w="15" w:type="dxa"/>
            </w:tcMar>
            <w:vAlign w:val="center"/>
          </w:tcPr>
          <w:p w:rsidR="49F3A3DB" w:rsidP="49F3A3DB" w:rsidRDefault="49F3A3DB" w14:paraId="16D6F67B" w14:textId="018826AB">
            <w:pPr>
              <w:spacing w:before="0" w:beforeAutospacing="off" w:after="0" w:afterAutospacing="off"/>
              <w:rPr>
                <w:rFonts w:ascii="Trebuchet MS" w:hAnsi="Trebuchet MS" w:eastAsia="Trebuchet MS" w:cs="Trebuchet MS"/>
                <w:b w:val="1"/>
                <w:bCs w:val="1"/>
                <w:color w:val="004147"/>
                <w:sz w:val="20"/>
                <w:szCs w:val="20"/>
              </w:rPr>
            </w:pPr>
            <w:r w:rsidRPr="49F3A3DB" w:rsidR="49F3A3DB">
              <w:rPr>
                <w:rFonts w:ascii="Trebuchet MS" w:hAnsi="Trebuchet MS" w:eastAsia="Trebuchet MS" w:cs="Trebuchet MS"/>
                <w:b w:val="1"/>
                <w:bCs w:val="1"/>
                <w:color w:val="004147"/>
                <w:sz w:val="20"/>
                <w:szCs w:val="20"/>
              </w:rPr>
              <w:t>Positions filled as a % of total in each Department</w:t>
            </w:r>
          </w:p>
        </w:tc>
      </w:tr>
      <w:tr w:rsidR="49F3A3DB" w:rsidTr="49F3A3DB" w14:paraId="6D9AB0AD">
        <w:trPr>
          <w:trHeight w:val="5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CCB0171" w14:textId="342AF9A7">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Audio technical Department</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C2F3F56" w14:textId="0686E5C7">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26</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7226C109" w14:textId="71227FC0">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6</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2057296" w14:textId="319D1CAF">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23.1</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B42D56A" w14:textId="255D8A2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8</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59CE274C" w14:textId="1D272D0A">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30.8</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5516078" w14:textId="5B03FF4B">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6AA1D61" w14:textId="3643D51A">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11.5</w:t>
            </w:r>
          </w:p>
        </w:tc>
      </w:tr>
      <w:tr w:rsidR="49F3A3DB" w:rsidTr="49F3A3DB" w14:paraId="05D6E5A6">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7CC7E688" w14:textId="794BE8C2">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57B3FA1D" w14:textId="48C0A2D9">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72C89E1" w14:textId="3648F130">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5CAB60B" w14:textId="4F0967B3">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3D06836" w14:textId="00326F44">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38A31E8" w14:textId="382D7FC2">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795271CD" w14:textId="6F69B7B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E349389" w14:textId="6D651B5F">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659F71D3">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402B49A" w14:textId="4C15E521">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Offices and Administration</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0F37FA74" w14:textId="04926A0F">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15</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796013EF" w14:textId="6B06F411">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7FEAC441" w14:textId="08CBEBD6">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26.7</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32B8FC1" w14:textId="5F9367B0">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5</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167C704" w14:textId="2C49E13C">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33.3</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2E2E06B" w14:textId="36AC50BB">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5</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CE01743" w14:textId="48E85873">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33.3</w:t>
            </w:r>
          </w:p>
        </w:tc>
      </w:tr>
      <w:tr w:rsidR="49F3A3DB" w:rsidTr="49F3A3DB" w14:paraId="3615F82A">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28767F15" w14:textId="01BDBF4D">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3D56458" w14:textId="4838129C">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0BD3B72" w14:textId="3E00693C">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9AC0ABB" w14:textId="06D1DCBB">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2AAFF54C" w14:textId="0A9093EF">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D3711E8" w14:textId="62EAB54C">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4A8B767" w14:textId="47B4C860">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08640391" w14:textId="31A0D0DE">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28C90012">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CC00BF2" w14:textId="3B4BDC9F">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Research and Development</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0B7DDB3" w14:textId="5414547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8</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6D5238E" w14:textId="373D0519">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5568EE41" w14:textId="2C1C956C">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12.5</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5F18EDA4" w14:textId="60B2DF7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BFFF097" w14:textId="1199DBA3">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50</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1B42F26" w14:textId="6F9F32C4">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7391C1A1" w14:textId="48362914">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50</w:t>
            </w:r>
          </w:p>
        </w:tc>
      </w:tr>
      <w:tr w:rsidR="49F3A3DB" w:rsidTr="49F3A3DB" w14:paraId="2F39D891">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DA4E8CE" w14:textId="77069195">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003053D" w14:textId="09E303FD">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0BFE97E0" w14:textId="475EFC88">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E896B60" w14:textId="6A66B8FD">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76194367" w14:textId="39EFB79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282A6965" w14:textId="54DF75E2">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09FBEC0C" w14:textId="42E2A3E6">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5D734A30" w14:textId="04322880">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16AEFB4D">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5C20A01" w14:textId="4B2C15F0">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Quality control</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ACB1ADC" w14:textId="6B93E1F7">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14AC70E" w14:textId="7AF83EF4">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ABC4DE7" w14:textId="3762C0E9">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50</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0B38A97F" w14:textId="17B2132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2853F38" w14:textId="04C6D26C">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75</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0ECF61E1" w14:textId="6E210E5E">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7743B28" w14:textId="515B1D09">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75</w:t>
            </w:r>
          </w:p>
        </w:tc>
      </w:tr>
      <w:tr w:rsidR="49F3A3DB" w:rsidTr="49F3A3DB" w14:paraId="7C7B4F20">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55B45A1B" w14:textId="7EAB2872">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7E39B67" w14:textId="335E4172">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08865059" w14:textId="56A177D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C667E2C" w14:textId="5CF09A6B">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85C7519" w14:textId="31187E29">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2BDF55C0" w14:textId="6ECA1A57">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0BCDD4D9" w14:textId="66F007F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D4C07A4" w14:textId="2DE3C115">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14BB6C6F">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549B85F" w14:textId="09AD8633">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Dispatch </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B1A8458" w14:textId="5F2CD7A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15</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47B269F" w14:textId="7DE7FBDB">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2D5C456" w14:textId="0CC20762">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26.7</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871B5FC" w14:textId="4135E179">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6</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58AE150D" w14:textId="718B1986">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40</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F5A78D5" w14:textId="010F8021">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6</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B946C41" w14:textId="6DEDCD81">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40</w:t>
            </w:r>
          </w:p>
        </w:tc>
      </w:tr>
      <w:tr w:rsidR="49F3A3DB" w:rsidTr="49F3A3DB" w14:paraId="0820A88B">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3E9302F" w14:textId="61C3AFAA">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3FAB72B" w14:textId="072940A0">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2AE1D0DF" w14:textId="49C9466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A84229B" w14:textId="2C2350C7">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DA002D3" w14:textId="10C4431C">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44FD512" w14:textId="0CE198FC">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7FCBE8F" w14:textId="7B758A0C">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5C00D5A7" w14:textId="56194697">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3CEDA05B">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934B3E7" w14:textId="70A97518">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Engineering </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1EFFEA1" w14:textId="39B6C9E2">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35</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05D04449" w14:textId="7FD81ED7">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8</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E6C9888" w14:textId="191F8D27">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22.9</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DDC2581" w14:textId="7EB25B1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8</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896559B" w14:textId="11803771">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22.9</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06A2163F" w14:textId="55DF8F82">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2EC9372" w14:textId="76C49439">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8.6</w:t>
            </w:r>
          </w:p>
        </w:tc>
      </w:tr>
      <w:tr w:rsidR="49F3A3DB" w:rsidTr="49F3A3DB" w14:paraId="7F19B71B">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01B64F09" w14:textId="6C3F0853">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D2EE4FD" w14:textId="56F2BDDC">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37A3A40" w14:textId="0F20790A">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069F23F3" w14:textId="08098272">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9467488" w14:textId="452ED826">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950A6A0" w14:textId="3DFF6D0D">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7E58F75E" w14:textId="7F40F98A">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5CD8A9B4" w14:textId="14EA8059">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5B90177D">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0D4C5B8" w14:textId="75E7DBFA">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Casting Department </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B5FDB86" w14:textId="51B5A94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6</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564BDEF7" w14:textId="245ED981">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5563C5A1" w14:textId="2C643B8B">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50</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7FADA1B" w14:textId="5D0FF63C">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5</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3FE758C" w14:textId="2DB0A5CC">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83.3</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79F9345" w14:textId="01A3B562">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0FCB69C4" w14:textId="41FA0A0C">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33.3</w:t>
            </w:r>
          </w:p>
        </w:tc>
      </w:tr>
      <w:tr w:rsidR="49F3A3DB" w:rsidTr="49F3A3DB" w14:paraId="0EE698D3">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21DF3EBA" w14:textId="7AF98779">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8C42165" w14:textId="0337E10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7D8CD53" w14:textId="72D4920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280D3F50" w14:textId="7623E2AA">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83D5F1E" w14:textId="3166E01E">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36B8266" w14:textId="34020160">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54226DE3" w14:textId="5F1212E6">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DFC65C0" w14:textId="2C79E7F2">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3CF120B4">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45350AF" w14:textId="4D150E09">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Sales &amp; Marketing </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B9F9F77" w14:textId="75A2D149">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12</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5E876B0E" w14:textId="6C62ABB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2DC83E3" w14:textId="5DDF64BE">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33.3</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DFBA32C" w14:textId="00CAA159">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45230E8" w14:textId="7248E4E4">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25</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F742699" w14:textId="7840924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779F1E32" w14:textId="48AA7353">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25</w:t>
            </w:r>
          </w:p>
        </w:tc>
      </w:tr>
      <w:tr w:rsidR="49F3A3DB" w:rsidTr="49F3A3DB" w14:paraId="08F9DA52">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84DDA67" w14:textId="76762858">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60CB0BAC" w14:textId="26E03C16">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71EC858" w14:textId="641F8104">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4D6F0C0" w14:textId="71C85297">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5A3AD19A" w14:textId="1B3DD72C">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7D69B765" w14:textId="53A2219F">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A13D757" w14:textId="24466D6B">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7F6C88A" w14:textId="2BEFFF30">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512B105C">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20B2DE3" w14:textId="28EE20F2">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Human Resources </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7C08395" w14:textId="5A7E342A">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BBA88DC" w14:textId="65117C6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4BF0C1F" w14:textId="4B8F24BC">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25</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022754C2" w14:textId="6714BF5B">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0896F13" w14:textId="0C15478C">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25</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D533E56" w14:textId="7B5F95C6">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39FDC49" w14:textId="5545B68D">
            <w:pPr>
              <w:spacing w:before="0" w:beforeAutospacing="off" w:after="0" w:afterAutospacing="off"/>
              <w:jc w:val="right"/>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25</w:t>
            </w:r>
          </w:p>
        </w:tc>
      </w:tr>
      <w:tr w:rsidR="49F3A3DB" w:rsidTr="49F3A3DB" w14:paraId="7998177D">
        <w:trPr>
          <w:trHeight w:val="255"/>
        </w:trPr>
        <w:tc>
          <w:tcPr>
            <w:tcW w:w="2523"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22C8C4C9" w14:textId="4CE4FE11">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ED25FF5" w14:textId="2108FAA6">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82"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2364D7B" w14:textId="5CE645BE">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245F877" w14:textId="7D691459">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1314A758" w14:textId="0905A216">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085D369B" w14:textId="664FCC43">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196"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4C3688C2" w14:textId="1B36CCA5">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c>
          <w:tcPr>
            <w:tcW w:w="1239" w:type="dxa"/>
            <w:tcBorders>
              <w:top w:val="single" w:sz="4"/>
              <w:left w:val="single" w:sz="4"/>
              <w:bottom w:val="single" w:sz="4"/>
              <w:right w:val="single" w:sz="4"/>
            </w:tcBorders>
            <w:shd w:val="clear" w:color="auto" w:fill="D0E0E2"/>
            <w:tcMar>
              <w:top w:w="15" w:type="dxa"/>
              <w:left w:w="15" w:type="dxa"/>
              <w:right w:w="15" w:type="dxa"/>
            </w:tcMar>
            <w:vAlign w:val="bottom"/>
          </w:tcPr>
          <w:p w:rsidR="49F3A3DB" w:rsidP="49F3A3DB" w:rsidRDefault="49F3A3DB" w14:paraId="3A71A790" w14:textId="26DFCBC6">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 </w:t>
            </w:r>
          </w:p>
        </w:tc>
      </w:tr>
      <w:tr w:rsidR="49F3A3DB" w:rsidTr="49F3A3DB" w14:paraId="5D80732B">
        <w:trPr>
          <w:trHeight w:val="255"/>
        </w:trPr>
        <w:tc>
          <w:tcPr>
            <w:tcW w:w="252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4E9A5A6" w14:textId="68B889F1">
            <w:pPr>
              <w:spacing w:before="0" w:beforeAutospacing="off" w:after="0" w:afterAutospacing="off"/>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 xml:space="preserve">Design </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6817BD50" w14:textId="2243C56F">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12</w:t>
            </w:r>
          </w:p>
        </w:tc>
        <w:tc>
          <w:tcPr>
            <w:tcW w:w="1182"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49941363" w14:textId="3742772A">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3</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704F280E" w14:textId="3F33B0A6">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25</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9F9B001" w14:textId="0AEA75C3">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5</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2C64D6F1" w14:textId="4928AF75">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41.7</w:t>
            </w:r>
          </w:p>
        </w:tc>
        <w:tc>
          <w:tcPr>
            <w:tcW w:w="1196"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1EAA6F89" w14:textId="4109957F">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2</w:t>
            </w:r>
          </w:p>
        </w:tc>
        <w:tc>
          <w:tcPr>
            <w:tcW w:w="123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49F3A3DB" w:rsidP="49F3A3DB" w:rsidRDefault="49F3A3DB" w14:paraId="30B54898" w14:textId="132C09C7">
            <w:pPr>
              <w:spacing w:before="0" w:beforeAutospacing="off" w:after="0" w:afterAutospacing="off"/>
              <w:jc w:val="center"/>
              <w:rPr>
                <w:rFonts w:ascii="Trebuchet MS" w:hAnsi="Trebuchet MS" w:eastAsia="Trebuchet MS" w:cs="Trebuchet MS"/>
                <w:color w:val="004147"/>
                <w:sz w:val="20"/>
                <w:szCs w:val="20"/>
              </w:rPr>
            </w:pPr>
            <w:r w:rsidRPr="49F3A3DB" w:rsidR="49F3A3DB">
              <w:rPr>
                <w:rFonts w:ascii="Trebuchet MS" w:hAnsi="Trebuchet MS" w:eastAsia="Trebuchet MS" w:cs="Trebuchet MS"/>
                <w:color w:val="004147"/>
                <w:sz w:val="20"/>
                <w:szCs w:val="20"/>
              </w:rPr>
              <w:t>16.7</w:t>
            </w:r>
          </w:p>
        </w:tc>
      </w:tr>
    </w:tbl>
    <w:p w:rsidR="0F6D39E3" w:rsidP="49F3A3DB" w:rsidRDefault="0F6D39E3" w14:paraId="1098601E" w14:textId="0D772F3D">
      <w:pPr>
        <w:pStyle w:val="Normal"/>
      </w:pPr>
      <w:r w:rsidR="0F6D39E3">
        <w:rPr/>
        <w:t>AC2.2</w:t>
      </w:r>
    </w:p>
    <w:p w:rsidR="0F6D39E3" w:rsidP="49F3A3DB" w:rsidRDefault="0F6D39E3" w14:paraId="03077F44" w14:textId="5DCE17B8">
      <w:pPr>
        <w:pStyle w:val="Normal"/>
      </w:pPr>
      <w:r w:rsidR="0F6D39E3">
        <w:drawing>
          <wp:inline wp14:editId="011FDD4E" wp14:anchorId="42224DE6">
            <wp:extent cx="5943600" cy="3819525"/>
            <wp:effectExtent l="0" t="0" r="0" b="0"/>
            <wp:docPr id="4271102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7110203" name="Picture 427110203"/>
                    <pic:cNvPicPr/>
                  </pic:nvPicPr>
                  <pic:blipFill>
                    <a:blip xmlns:r="http://schemas.openxmlformats.org/officeDocument/2006/relationships" r:embed="rId1513204404">
                      <a:extLst>
                        <a:ext uri="{28A0092B-C50C-407E-A947-70E740481C1C}">
                          <a14:useLocalDpi xmlns:a14="http://schemas.microsoft.com/office/drawing/2010/main"/>
                        </a:ext>
                      </a:extLst>
                    </a:blip>
                    <a:stretch>
                      <a:fillRect/>
                    </a:stretch>
                  </pic:blipFill>
                  <pic:spPr>
                    <a:xfrm>
                      <a:off x="0" y="0"/>
                      <a:ext cx="5943600" cy="3819525"/>
                    </a:xfrm>
                    <a:prstGeom prst="rect">
                      <a:avLst/>
                    </a:prstGeom>
                  </pic:spPr>
                </pic:pic>
              </a:graphicData>
            </a:graphic>
          </wp:inline>
        </w:drawing>
      </w:r>
      <w:r w:rsidR="0F6D39E3">
        <w:drawing>
          <wp:inline wp14:editId="077644E8" wp14:anchorId="7D6C333A">
            <wp:extent cx="5943600" cy="3924300"/>
            <wp:effectExtent l="0" t="0" r="0" b="0"/>
            <wp:docPr id="7213991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1399117" name="Picture 721399117"/>
                    <pic:cNvPicPr/>
                  </pic:nvPicPr>
                  <pic:blipFill>
                    <a:blip xmlns:r="http://schemas.openxmlformats.org/officeDocument/2006/relationships" r:embed="rId671100154">
                      <a:extLst>
                        <a:ext uri="{28A0092B-C50C-407E-A947-70E740481C1C}">
                          <a14:useLocalDpi xmlns:a14="http://schemas.microsoft.com/office/drawing/2010/main"/>
                        </a:ext>
                      </a:extLst>
                    </a:blip>
                    <a:stretch>
                      <a:fillRect/>
                    </a:stretch>
                  </pic:blipFill>
                  <pic:spPr>
                    <a:xfrm>
                      <a:off x="0" y="0"/>
                      <a:ext cx="5943600" cy="3924300"/>
                    </a:xfrm>
                    <a:prstGeom prst="rect">
                      <a:avLst/>
                    </a:prstGeom>
                  </pic:spPr>
                </pic:pic>
              </a:graphicData>
            </a:graphic>
          </wp:inline>
        </w:drawing>
      </w:r>
      <w:r w:rsidR="0F6D39E3">
        <w:drawing>
          <wp:inline wp14:editId="30CB9B84" wp14:anchorId="7E4BED1E">
            <wp:extent cx="5943600" cy="3524250"/>
            <wp:effectExtent l="0" t="0" r="0" b="0"/>
            <wp:docPr id="2251664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5166418" name="Picture 225166418"/>
                    <pic:cNvPicPr/>
                  </pic:nvPicPr>
                  <pic:blipFill>
                    <a:blip xmlns:r="http://schemas.openxmlformats.org/officeDocument/2006/relationships" r:embed="rId406770301">
                      <a:extLst>
                        <a:ext uri="{28A0092B-C50C-407E-A947-70E740481C1C}">
                          <a14:useLocalDpi xmlns:a14="http://schemas.microsoft.com/office/drawing/2010/main"/>
                        </a:ext>
                      </a:extLst>
                    </a:blip>
                    <a:stretch>
                      <a:fillRect/>
                    </a:stretch>
                  </pic:blipFill>
                  <pic:spPr>
                    <a:xfrm>
                      <a:off x="0" y="0"/>
                      <a:ext cx="5943600" cy="3524250"/>
                    </a:xfrm>
                    <a:prstGeom prst="rect">
                      <a:avLst/>
                    </a:prstGeom>
                  </pic:spPr>
                </pic:pic>
              </a:graphicData>
            </a:graphic>
          </wp:inline>
        </w:drawing>
      </w:r>
    </w:p>
    <w:p w:rsidR="158D19F2" w:rsidP="49F3A3DB" w:rsidRDefault="158D19F2" w14:paraId="3CB4035A" w14:textId="48DF111B">
      <w:pPr>
        <w:rPr>
          <w:rFonts w:ascii="Aptos" w:hAnsi="Aptos" w:eastAsia="Aptos" w:cs="Aptos" w:asciiTheme="minorAscii" w:hAnsiTheme="minorAscii" w:eastAsiaTheme="minorAscii" w:cstheme="minorAscii"/>
        </w:rPr>
      </w:pPr>
      <w:r w:rsidRPr="49F3A3DB" w:rsidR="158D19F2">
        <w:rPr>
          <w:rFonts w:ascii="Aptos" w:hAnsi="Aptos" w:eastAsia="Aptos" w:cs="Aptos" w:asciiTheme="minorAscii" w:hAnsiTheme="minorAscii" w:eastAsiaTheme="minorAscii" w:cstheme="minorAscii"/>
        </w:rPr>
        <w:t>AC2.3</w:t>
      </w:r>
    </w:p>
    <w:p w:rsidR="158D19F2" w:rsidP="49F3A3DB" w:rsidRDefault="158D19F2" w14:paraId="2DE5B46B" w14:textId="0784C722">
      <w:pPr>
        <w:spacing w:before="0" w:beforeAutospacing="off" w:after="0" w:afterAutospacing="off"/>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Converting Table 2 to percentages, over 92.9% of employees agreed or strongly agreed that the facilitator was knowledgeable and 78.6% agreed or strongly agreed that topics were clearly explained. This suggests confidence in content, accuracy and trust in delivery, whilst also highlighting a small opportunity to improve clarity for all participants. Feedback also suggests clear objectives were set. As a rapidly growing organisation, it’s important for learning and development (L&amp;D) initiatives to align with organisational goals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(Hayden, 2025b).</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p>
    <w:p w:rsidR="49F3A3DB" w:rsidP="49F3A3DB" w:rsidRDefault="49F3A3DB" w14:paraId="03E0D611" w14:textId="5BB72294">
      <w:pPr>
        <w:spacing w:before="0" w:beforeAutospacing="off" w:after="0" w:afterAutospacing="off"/>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158D19F2" w:rsidP="49F3A3DB" w:rsidRDefault="158D19F2" w14:paraId="6233D2FD" w14:textId="56C98DD9">
      <w:pPr>
        <w:spacing w:before="0" w:beforeAutospacing="off" w:after="0" w:afterAutospacing="off"/>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However, feedback highlights a disconnect between the delivered training and workplace application. Only 6 people agreed that learning was transferable, while 22 were unsure and 14 disagreed or strongly disagreed. Only 14.3% agreed or strongly agreed that learning linked to performance targets, aligning with research which suggests only 8% of organisations prioritise learning transfer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(Lancaster, 2024).</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Also, only 23.8% felt their learning preferences were considered, which may lead to disengagement and demotivation.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F</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eeback proves this as only 4.8% agreed they could engage with the discussions. Table 2 indicates Technivara’s L&amp;D activity incurred significant costs, including time away from production and trainer costs, highlighting the need for evidence-based decision-making to evaluate the effectiveness of their L&amp;D practices. </w:t>
      </w:r>
    </w:p>
    <w:p w:rsidR="158D19F2" w:rsidP="49F3A3DB" w:rsidRDefault="158D19F2" w14:paraId="50951158" w14:textId="03FFC546">
      <w:pPr>
        <w:spacing w:before="0" w:beforeAutospacing="off" w:after="0" w:afterAutospacing="off"/>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p>
    <w:p w:rsidR="158D19F2" w:rsidP="49F3A3DB" w:rsidRDefault="158D19F2" w14:paraId="05D3BAE9" w14:textId="07F5DD77">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Low engagement and poor learning transfer may indicate an ineffective delivery model, which may not meet diverse learner needs or enable active participation. Therefore, my first recommendation to Sue would be to introduce training through an e-learning platform. Delivered through a learning management system (LMS), e-learning would enable employees to be trained through digital content which can be tailored to employees’ roles, skill levels and career paths. A key cornerstone of many L&amp;D strategies, particularly highlighted by its importance since Covid-19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(Lamb, 2020),</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e-learning has proven to be a flexible, scalable and effective method of training to date.</w:t>
      </w:r>
    </w:p>
    <w:p w:rsidR="49F3A3DB" w:rsidP="49F3A3DB" w:rsidRDefault="49F3A3DB" w14:paraId="4AA9952B" w14:textId="44F7ED4F">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158D19F2" w:rsidP="49F3A3DB" w:rsidRDefault="158D19F2" w14:paraId="2841DA80" w14:textId="05744496">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An LMS enables training to be tailored to individual needs, improving engagement and learning transfer. E-learning supports Sue’s drive towards evidence-based practice as an LMS generates reliable data such as employee feedback, completion rates and learning outcomes. Sue can use this data to evaluate the effectiveness of L&amp;D initiatives and help identify skill gaps to then tailor training to individual or role-specific needs.  For example, in 2024, 25.5% of the workforce were in the Engineering department and 2.9% in Quality Control. LMS data could reveal that engineers require upskilling on a new part, while Quality employees need a compliance refresher. This ensures training resources are directed where they will have the greatest impact. Learning topics will be based on evidence rather than intuition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(Taylor, 2025),</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aligning training investments with Technivara’s strategic goals. E-learning also supports these goals as accessibility allows employees to conduct learning around operational demands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(Tuhey, 2024)</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w:t>
      </w:r>
    </w:p>
    <w:p w:rsidR="49F3A3DB" w:rsidP="49F3A3DB" w:rsidRDefault="49F3A3DB" w14:paraId="15BB55F7" w14:textId="30BC8327">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158D19F2" w:rsidP="49F3A3DB" w:rsidRDefault="158D19F2" w14:paraId="1D7CFF7B" w14:textId="06D9C1F3">
      <w:pPr>
        <w:pStyle w:val="Normal"/>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GB"/>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However, e-learning can be frustrating and ineffective for employees who lack digital capability, potentially leading to low participation rates, unequal learning outcomes and a skills divide. Sue can address this by choosing a user-friendly LMS and providing step-by-step navigation tutorials. Although initially time-consuming, they are a long-term investment, preparing the workforce for future digital initiatives like an online HR system, supporting Sue’s shift from Paper-based practices. Engagement risks associated with e-learning can also be reduced through short, manageable courses and interactive content rather than passive slide-based learning.</w:t>
      </w:r>
    </w:p>
    <w:p w:rsidR="49F3A3DB" w:rsidP="49F3A3DB" w:rsidRDefault="49F3A3DB" w14:paraId="4FDE890C" w14:textId="1011BEA3">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158D19F2" w:rsidP="49F3A3DB" w:rsidRDefault="158D19F2" w14:paraId="23C6DC16" w14:textId="20141DC0">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Sue must consider costs such as licenses, implementation and administration, but acknowledge the long-term savings of e-learning outweigh face-to-face training. In-house courses by Corporate Coach Group cost £2,250 +VAT for 2-day courses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(Corporate Coach Group, no date).</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With over 130 employees, and the recommended 12 learners per grou</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p (Regan, 2023),</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delivery would exceed £24,750 +VAT. In comparison, adopting an LMS like iSpring, reduces learner costs, enables flexible scheduling and supports targeted departmental courses. Central 1 halved onboarding time with 80% online training using iSpring. For up to 300 users, iSpring charges £3.48 per user per month, equalling £6,264 annually based on 150 employees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(iSpring LMS, no date),</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proving a more cost-effective and efficient option for L&amp;D at Technivara. </w:t>
      </w:r>
    </w:p>
    <w:p w:rsidR="49F3A3DB" w:rsidP="49F3A3DB" w:rsidRDefault="49F3A3DB" w14:paraId="2A0DAE05" w14:textId="781578D6">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158D19F2" w:rsidP="49F3A3DB" w:rsidRDefault="158D19F2" w14:paraId="2B9E109D" w14:textId="3564367D">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Feedback indicates a misalignment between training, skills gaps and performance. Therefore, a second recommendation is to implement a structured training needs analysis (TNA) using surveys to align future L&amp;D activities with individual skill requirements, performance objectives and strategic goals. This supports a recent study, which found only 33% of employees believe their skills align with organisational goals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(Pacelli, 2024).</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The TNA should involve line managers and employees to target relevant and aligned needs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(Hayden, 2025b).</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This approach helps to prioritise training investment on areas that deliver the greatest value to both employees and Technivara.</w:t>
      </w:r>
    </w:p>
    <w:p w:rsidR="49F3A3DB" w:rsidP="49F3A3DB" w:rsidRDefault="49F3A3DB" w14:paraId="04505F13" w14:textId="4C3656D2">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158D19F2" w:rsidP="49F3A3DB" w:rsidRDefault="158D19F2" w14:paraId="0A3738D6" w14:textId="21AA5440">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However, conducting a thorough TNA can be time-consuming, requiring time from both managers and employees, which may temporarily impact operational efficiency. Therefore, Technivara should ensure these activities are scheduled to minimise disruption to production. Also, TNA findings may not truly reflect actual performance gaps. Without triangulating data from various sources, findings may be inaccurate, as employees may over- or underestimate their capabilities and managers’ perceptions may be subjective, increasing the risk of bias.</w:t>
      </w:r>
    </w:p>
    <w:p w:rsidR="49F3A3DB" w:rsidP="49F3A3DB" w:rsidRDefault="49F3A3DB" w14:paraId="7EC2CB01" w14:textId="0E4C2A6F">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158D19F2" w:rsidP="49F3A3DB" w:rsidRDefault="158D19F2" w14:paraId="74839DF2" w14:textId="6E8E3F34">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The process is also resource intensive for Sue, requiring her to design and analyse surveys from hundreds of employees across multiple departments, which is labour-intensive and logistically challenging in a large organisation like Technivara. As a result, she may choose to engage the expertise of an external consultant. For example, Frazer-Nash Consultancy Limited provide end-to-end TNA services, identifying needs straight through to delivery and evaluation, but costing up to £2,100 per day </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(Digital Market Place, no date).</w:t>
      </w: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While there’s a cost to engaging a specialist, the value is in the depth of analysis and supports long-term organisational capability. By identifying and addressing training needs now, Technivara can better align employee development with its growth strategy, maximising the return on future training investments.</w:t>
      </w:r>
    </w:p>
    <w:p w:rsidR="49F3A3DB" w:rsidP="49F3A3DB" w:rsidRDefault="49F3A3DB" w14:paraId="647C8EB9" w14:textId="2DB1A5B0">
      <w:pPr>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158D19F2" w:rsidP="49F3A3DB" w:rsidRDefault="158D19F2" w14:paraId="2F5D3D11" w14:textId="1F783711">
      <w:pPr>
        <w:jc w:val="both"/>
        <w:rPr>
          <w:rFonts w:ascii="Aptos" w:hAnsi="Aptos" w:eastAsia="Aptos" w:cs="Aptos" w:asciiTheme="minorAscii" w:hAnsiTheme="minorAscii" w:eastAsiaTheme="minorAscii" w:cstheme="minorAscii"/>
          <w:noProof w:val="0"/>
          <w:color w:val="000000" w:themeColor="text1" w:themeTint="FF" w:themeShade="FF"/>
          <w:sz w:val="22"/>
          <w:szCs w:val="22"/>
          <w:lang w:val="en-US"/>
        </w:rPr>
      </w:pPr>
      <w:r w:rsidRPr="49F3A3DB" w:rsidR="158D19F2">
        <w:rPr>
          <w:rFonts w:ascii="Aptos" w:hAnsi="Aptos" w:eastAsia="Aptos" w:cs="Aptos" w:asciiTheme="minorAscii" w:hAnsiTheme="minorAscii" w:eastAsiaTheme="minorAscii" w:cstheme="minorAscii"/>
          <w:noProof w:val="0"/>
          <w:color w:val="000000" w:themeColor="text1" w:themeTint="FF" w:themeShade="FF"/>
          <w:sz w:val="22"/>
          <w:szCs w:val="22"/>
          <w:lang w:val="en-GB"/>
        </w:rPr>
        <w:t>To conclude, evaluating the feedback in Table 2 indicates that while employees had confidence in the vacillator's content and delivery, the learning failed to mirror workplace performance. Low levels of engagement, limited consideration of learning preferences and weak links to performance resulted in minimal measurable return on investment. To address the feedback, two evidence-based recommendations were proposed. Firstly, implementing a LMS through e-learning is a cost-effective, user-friendly delivery model, supporting diverse learner needs and targeted modules to improve learning transfer. Secondly, implementing a structured TNA involving employees and managers prior to future training which would ensure future L&amp;D activities are aligned with individual skill gaps, performance objectives and Technivara’s strategic goals. Although both recommendations require investment, time and resources, the long-term benefits outweigh these limitations, providing an evidence-based L&amp;D framework to strengthen performance and capability.</w:t>
      </w:r>
    </w:p>
    <w:p w:rsidR="49F3A3DB" w:rsidP="49F3A3DB" w:rsidRDefault="49F3A3DB" w14:paraId="5E935671" w14:textId="1EC1D27C">
      <w:pPr>
        <w:pStyle w:val="Normal"/>
      </w:pPr>
    </w:p>
    <w:p w:rsidR="49F3A3DB" w:rsidP="49F3A3DB" w:rsidRDefault="49F3A3DB" w14:paraId="790B6167" w14:textId="59D74997">
      <w:pPr>
        <w:pStyle w:val="Normal"/>
      </w:pPr>
    </w:p>
    <w:p w:rsidR="49F3A3DB" w:rsidP="49F3A3DB" w:rsidRDefault="49F3A3DB" w14:paraId="7BFA16A3" w14:textId="3B8234ED">
      <w:pPr>
        <w:pStyle w:val="Normal"/>
      </w:pPr>
    </w:p>
    <w:p w:rsidR="49F3A3DB" w:rsidP="49F3A3DB" w:rsidRDefault="49F3A3DB" w14:paraId="432FEBAB" w14:textId="497CE4C4">
      <w:pPr>
        <w:pStyle w:val="Normal"/>
      </w:pPr>
    </w:p>
    <w:p w:rsidR="49F3A3DB" w:rsidP="49F3A3DB" w:rsidRDefault="49F3A3DB" w14:paraId="65536CC4" w14:textId="0E3A8846">
      <w:pPr>
        <w:pStyle w:val="Normal"/>
      </w:pPr>
    </w:p>
    <w:p w:rsidR="49F3A3DB" w:rsidP="49F3A3DB" w:rsidRDefault="49F3A3DB" w14:paraId="7A6C9E68" w14:textId="1D78A484">
      <w:pPr>
        <w:pStyle w:val="Normal"/>
      </w:pPr>
    </w:p>
    <w:p w:rsidR="49F3A3DB" w:rsidP="49F3A3DB" w:rsidRDefault="49F3A3DB" w14:paraId="72FF661C" w14:textId="67853220">
      <w:pPr>
        <w:pStyle w:val="Normal"/>
      </w:pPr>
    </w:p>
    <w:p w:rsidR="49F3A3DB" w:rsidP="49F3A3DB" w:rsidRDefault="49F3A3DB" w14:paraId="52FD5F77" w14:textId="799B071E">
      <w:pPr>
        <w:pStyle w:val="Normal"/>
      </w:pPr>
    </w:p>
    <w:p w:rsidR="49F3A3DB" w:rsidP="49F3A3DB" w:rsidRDefault="49F3A3DB" w14:paraId="6627CFF6" w14:textId="50B70609">
      <w:pPr>
        <w:pStyle w:val="Normal"/>
      </w:pPr>
    </w:p>
    <w:p w:rsidR="49F3A3DB" w:rsidP="49F3A3DB" w:rsidRDefault="49F3A3DB" w14:paraId="18CF5918" w14:textId="5085B1CB">
      <w:pPr>
        <w:pStyle w:val="Normal"/>
      </w:pPr>
    </w:p>
    <w:p w:rsidR="5B543110" w:rsidP="49F3A3DB" w:rsidRDefault="5B543110" w14:paraId="62E74CC6" w14:textId="22AF676C">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Bibliography </w:t>
      </w:r>
    </w:p>
    <w:p w:rsidR="49F3A3DB" w:rsidP="49F3A3DB" w:rsidRDefault="49F3A3DB" w14:paraId="13E49EC2" w14:textId="53662D19">
      <w:pPr>
        <w:spacing w:before="0" w:beforeAutospacing="off" w:after="0" w:afterAutospacing="off"/>
        <w:rPr>
          <w:rFonts w:ascii="Aptos" w:hAnsi="Aptos" w:eastAsia="Aptos" w:cs="Aptos"/>
          <w:noProof w:val="0"/>
          <w:color w:val="000000" w:themeColor="text1" w:themeTint="FF" w:themeShade="FF"/>
          <w:sz w:val="24"/>
          <w:szCs w:val="24"/>
          <w:lang w:val="en-US"/>
        </w:rPr>
      </w:pPr>
    </w:p>
    <w:p w:rsidR="5B543110" w:rsidP="49F3A3DB" w:rsidRDefault="5B543110" w14:paraId="640B5BAC" w14:textId="676E01D2">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Abbas, T. (2023) ‘Deming Wheel PDCA Cycle – </w:t>
      </w:r>
      <w:r w:rsidRPr="49F3A3DB" w:rsidR="5B543110">
        <w:rPr>
          <w:rFonts w:ascii="Aptos" w:hAnsi="Aptos" w:eastAsia="Aptos" w:cs="Aptos"/>
          <w:noProof w:val="0"/>
          <w:color w:val="000000" w:themeColor="text1" w:themeTint="FF" w:themeShade="FF"/>
          <w:sz w:val="24"/>
          <w:szCs w:val="24"/>
          <w:lang w:val="en-US"/>
        </w:rPr>
        <w:t>It's</w:t>
      </w:r>
      <w:r w:rsidRPr="49F3A3DB" w:rsidR="5B543110">
        <w:rPr>
          <w:rFonts w:ascii="Aptos" w:hAnsi="Aptos" w:eastAsia="Aptos" w:cs="Aptos"/>
          <w:noProof w:val="0"/>
          <w:color w:val="000000" w:themeColor="text1" w:themeTint="FF" w:themeShade="FF"/>
          <w:sz w:val="24"/>
          <w:szCs w:val="24"/>
          <w:lang w:val="en-US"/>
        </w:rPr>
        <w:t xml:space="preserve"> 04 stages, benefits, and examples’, </w:t>
      </w:r>
      <w:r w:rsidRPr="49F3A3DB" w:rsidR="5B543110">
        <w:rPr>
          <w:rFonts w:ascii="Aptos" w:hAnsi="Aptos" w:eastAsia="Aptos" w:cs="Aptos"/>
          <w:i w:val="1"/>
          <w:iCs w:val="1"/>
          <w:noProof w:val="0"/>
          <w:color w:val="000000" w:themeColor="text1" w:themeTint="FF" w:themeShade="FF"/>
          <w:sz w:val="24"/>
          <w:szCs w:val="24"/>
          <w:lang w:val="en-US"/>
        </w:rPr>
        <w:t>Change Management Insight</w:t>
      </w:r>
      <w:r w:rsidRPr="49F3A3DB" w:rsidR="5B543110">
        <w:rPr>
          <w:rFonts w:ascii="Aptos" w:hAnsi="Aptos" w:eastAsia="Aptos" w:cs="Aptos"/>
          <w:noProof w:val="0"/>
          <w:color w:val="000000" w:themeColor="text1" w:themeTint="FF" w:themeShade="FF"/>
          <w:sz w:val="24"/>
          <w:szCs w:val="24"/>
          <w:lang w:val="en-US"/>
        </w:rPr>
        <w:t xml:space="preserve">, 30 April. Available at: </w:t>
      </w:r>
      <w:hyperlink r:id="Rbf1b407492b6446c">
        <w:r w:rsidRPr="49F3A3DB" w:rsidR="5B543110">
          <w:rPr>
            <w:rStyle w:val="Hyperlink"/>
            <w:rFonts w:ascii="Aptos" w:hAnsi="Aptos" w:eastAsia="Aptos" w:cs="Aptos"/>
            <w:strike w:val="0"/>
            <w:dstrike w:val="0"/>
            <w:noProof w:val="0"/>
            <w:sz w:val="24"/>
            <w:szCs w:val="24"/>
            <w:lang w:val="en-US"/>
          </w:rPr>
          <w:t>Deming Wheel PDCA Cycle | CMI</w:t>
        </w:r>
      </w:hyperlink>
      <w:r w:rsidRPr="49F3A3DB" w:rsidR="5B543110">
        <w:rPr>
          <w:rFonts w:ascii="Aptos" w:hAnsi="Aptos" w:eastAsia="Aptos" w:cs="Aptos"/>
          <w:noProof w:val="0"/>
          <w:color w:val="000000" w:themeColor="text1" w:themeTint="FF" w:themeShade="FF"/>
          <w:sz w:val="24"/>
          <w:szCs w:val="24"/>
          <w:lang w:val="en-US"/>
        </w:rPr>
        <w:t xml:space="preserve"> (Accessed: 26 January 2026). </w:t>
      </w:r>
    </w:p>
    <w:p w:rsidR="5B543110" w:rsidP="49F3A3DB" w:rsidRDefault="5B543110" w14:paraId="04140185" w14:textId="04CA6D4C">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1C79CD69" w14:textId="2EA859D0">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Armstrong, M. (2021) A</w:t>
      </w:r>
      <w:r w:rsidRPr="49F3A3DB" w:rsidR="5B543110">
        <w:rPr>
          <w:rFonts w:ascii="Aptos" w:hAnsi="Aptos" w:eastAsia="Aptos" w:cs="Aptos"/>
          <w:i w:val="1"/>
          <w:iCs w:val="1"/>
          <w:noProof w:val="0"/>
          <w:color w:val="000000" w:themeColor="text1" w:themeTint="FF" w:themeShade="FF"/>
          <w:sz w:val="24"/>
          <w:szCs w:val="24"/>
          <w:lang w:val="en-US"/>
        </w:rPr>
        <w:t xml:space="preserve">rmstrong’s handbook of performance management: an evidence-based guide to performance </w:t>
      </w:r>
      <w:r w:rsidRPr="49F3A3DB" w:rsidR="5B543110">
        <w:rPr>
          <w:rFonts w:ascii="Aptos" w:hAnsi="Aptos" w:eastAsia="Aptos" w:cs="Aptos"/>
          <w:i w:val="1"/>
          <w:iCs w:val="1"/>
          <w:noProof w:val="0"/>
          <w:color w:val="000000" w:themeColor="text1" w:themeTint="FF" w:themeShade="FF"/>
          <w:sz w:val="24"/>
          <w:szCs w:val="24"/>
          <w:lang w:val="en-US"/>
        </w:rPr>
        <w:t>leadership</w:t>
      </w:r>
      <w:r w:rsidRPr="49F3A3DB" w:rsidR="2C0C4C81">
        <w:rPr>
          <w:rFonts w:ascii="Aptos" w:hAnsi="Aptos" w:eastAsia="Aptos" w:cs="Aptos"/>
          <w:i w:val="1"/>
          <w:iCs w:val="1"/>
          <w:noProof w:val="0"/>
          <w:color w:val="000000" w:themeColor="text1" w:themeTint="FF" w:themeShade="FF"/>
          <w:sz w:val="24"/>
          <w:szCs w:val="24"/>
          <w:lang w:val="en-US"/>
        </w:rPr>
        <w:t xml:space="preserve"> </w:t>
      </w:r>
      <w:r w:rsidRPr="49F3A3DB" w:rsidR="5B543110">
        <w:rPr>
          <w:rFonts w:ascii="Aptos" w:hAnsi="Aptos" w:eastAsia="Aptos" w:cs="Aptos"/>
          <w:i w:val="1"/>
          <w:iCs w:val="1"/>
          <w:noProof w:val="0"/>
          <w:color w:val="000000" w:themeColor="text1" w:themeTint="FF" w:themeShade="FF"/>
          <w:sz w:val="24"/>
          <w:szCs w:val="24"/>
          <w:lang w:val="en-US"/>
        </w:rPr>
        <w:t>.</w:t>
      </w:r>
      <w:r w:rsidRPr="49F3A3DB" w:rsidR="5B543110">
        <w:rPr>
          <w:rFonts w:ascii="Aptos" w:hAnsi="Aptos" w:eastAsia="Aptos" w:cs="Aptos"/>
          <w:noProof w:val="0"/>
          <w:color w:val="000000" w:themeColor="text1" w:themeTint="FF" w:themeShade="FF"/>
          <w:sz w:val="24"/>
          <w:szCs w:val="24"/>
          <w:lang w:val="en-US"/>
        </w:rPr>
        <w:t>Seventh</w:t>
      </w:r>
      <w:r w:rsidRPr="49F3A3DB" w:rsidR="5B543110">
        <w:rPr>
          <w:rFonts w:ascii="Aptos" w:hAnsi="Aptos" w:eastAsia="Aptos" w:cs="Aptos"/>
          <w:noProof w:val="0"/>
          <w:color w:val="000000" w:themeColor="text1" w:themeTint="FF" w:themeShade="FF"/>
          <w:sz w:val="24"/>
          <w:szCs w:val="24"/>
          <w:lang w:val="en-US"/>
        </w:rPr>
        <w:t xml:space="preserve"> edition.  </w:t>
      </w:r>
    </w:p>
    <w:p w:rsidR="5B543110" w:rsidP="49F3A3DB" w:rsidRDefault="5B543110" w14:paraId="40422BDC" w14:textId="43C22DDC">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31762670" w14:textId="20A26AC3">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Armstrong, M. and Brown, D. (2023). </w:t>
      </w:r>
      <w:r w:rsidRPr="49F3A3DB" w:rsidR="5B543110">
        <w:rPr>
          <w:rFonts w:ascii="Aptos" w:hAnsi="Aptos" w:eastAsia="Aptos" w:cs="Aptos"/>
          <w:i w:val="1"/>
          <w:iCs w:val="1"/>
          <w:noProof w:val="0"/>
          <w:color w:val="000000" w:themeColor="text1" w:themeTint="FF" w:themeShade="FF"/>
          <w:sz w:val="24"/>
          <w:szCs w:val="24"/>
          <w:lang w:val="en-US"/>
        </w:rPr>
        <w:t>Armstrong’s Handbook of Reward Management Practice</w:t>
      </w:r>
      <w:r w:rsidRPr="49F3A3DB" w:rsidR="5B543110">
        <w:rPr>
          <w:rFonts w:ascii="Aptos" w:hAnsi="Aptos" w:eastAsia="Aptos" w:cs="Aptos"/>
          <w:noProof w:val="0"/>
          <w:color w:val="000000" w:themeColor="text1" w:themeTint="FF" w:themeShade="FF"/>
          <w:sz w:val="24"/>
          <w:szCs w:val="24"/>
          <w:lang w:val="en-US"/>
        </w:rPr>
        <w:t xml:space="preserve">. London: Kogan Page.    </w:t>
      </w:r>
    </w:p>
    <w:p w:rsidR="5B543110" w:rsidP="49F3A3DB" w:rsidRDefault="5B543110" w14:paraId="6F73D469" w14:textId="16A2097D">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432851AC" w14:textId="5E7C24FD">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Barends, E., Villanueva, J., Rousseau, D.M., Briner, R.B., Jepsen, D.M., Houghton, E. and Steven, T.H. (2017) ‘</w:t>
      </w:r>
      <w:r w:rsidRPr="49F3A3DB" w:rsidR="5B543110">
        <w:rPr>
          <w:rFonts w:ascii="Aptos" w:hAnsi="Aptos" w:eastAsia="Aptos" w:cs="Aptos"/>
          <w:i w:val="1"/>
          <w:iCs w:val="1"/>
          <w:noProof w:val="0"/>
          <w:color w:val="000000" w:themeColor="text1" w:themeTint="FF" w:themeShade="FF"/>
          <w:sz w:val="24"/>
          <w:szCs w:val="24"/>
          <w:lang w:val="en-US"/>
        </w:rPr>
        <w:t>Managerial attitudes and perceived barriers regarding evidence-based practice: An international survey</w:t>
      </w:r>
      <w:r w:rsidRPr="49F3A3DB" w:rsidR="5B543110">
        <w:rPr>
          <w:rFonts w:ascii="Aptos" w:hAnsi="Aptos" w:eastAsia="Aptos" w:cs="Aptos"/>
          <w:noProof w:val="0"/>
          <w:color w:val="000000" w:themeColor="text1" w:themeTint="FF" w:themeShade="FF"/>
          <w:sz w:val="24"/>
          <w:szCs w:val="24"/>
          <w:lang w:val="en-US"/>
        </w:rPr>
        <w:t xml:space="preserve">’, PLoS One, vol. 12, no. 10.  </w:t>
      </w:r>
    </w:p>
    <w:p w:rsidR="5B543110" w:rsidP="49F3A3DB" w:rsidRDefault="5B543110" w14:paraId="1A1AAC81" w14:textId="76C5AC24">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476D894F" w14:textId="2EC8200D">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Barends, E., Wietrak, E., Cioca, I. and Rousseau, D. (2022). Employee recognition and non-financial rewards: an evidence review. </w:t>
      </w:r>
      <w:r w:rsidRPr="49F3A3DB" w:rsidR="5B543110">
        <w:rPr>
          <w:rFonts w:ascii="Aptos" w:hAnsi="Aptos" w:eastAsia="Aptos" w:cs="Aptos"/>
          <w:i w:val="1"/>
          <w:iCs w:val="1"/>
          <w:noProof w:val="0"/>
          <w:color w:val="000000" w:themeColor="text1" w:themeTint="FF" w:themeShade="FF"/>
          <w:sz w:val="24"/>
          <w:szCs w:val="24"/>
          <w:lang w:val="en-US"/>
        </w:rPr>
        <w:t>Scientific summary</w:t>
      </w:r>
      <w:r w:rsidRPr="49F3A3DB" w:rsidR="5B543110">
        <w:rPr>
          <w:rFonts w:ascii="Aptos" w:hAnsi="Aptos" w:eastAsia="Aptos" w:cs="Aptos"/>
          <w:noProof w:val="0"/>
          <w:color w:val="000000" w:themeColor="text1" w:themeTint="FF" w:themeShade="FF"/>
          <w:sz w:val="24"/>
          <w:szCs w:val="24"/>
          <w:lang w:val="en-US"/>
        </w:rPr>
        <w:t xml:space="preserve">. London: Chartered Institute of Personnel and Development.  </w:t>
      </w:r>
    </w:p>
    <w:p w:rsidR="5B543110" w:rsidP="49F3A3DB" w:rsidRDefault="5B543110" w14:paraId="6D2B6728" w14:textId="5B315962">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50ECE3AE" w14:textId="7C19ADB3">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Bergelson, I., Tracy, C. and Takacs, E. (2022) ‘Best Practices for Reducing Bias in the Interview Process’, </w:t>
      </w:r>
      <w:r w:rsidRPr="49F3A3DB" w:rsidR="5B543110">
        <w:rPr>
          <w:rFonts w:ascii="Aptos" w:hAnsi="Aptos" w:eastAsia="Aptos" w:cs="Aptos"/>
          <w:i w:val="1"/>
          <w:iCs w:val="1"/>
          <w:noProof w:val="0"/>
          <w:color w:val="000000" w:themeColor="text1" w:themeTint="FF" w:themeShade="FF"/>
          <w:sz w:val="24"/>
          <w:szCs w:val="24"/>
          <w:lang w:val="en-US"/>
        </w:rPr>
        <w:t>Current Urology Reports</w:t>
      </w:r>
      <w:r w:rsidRPr="49F3A3DB" w:rsidR="5B543110">
        <w:rPr>
          <w:rFonts w:ascii="Aptos" w:hAnsi="Aptos" w:eastAsia="Aptos" w:cs="Aptos"/>
          <w:noProof w:val="0"/>
          <w:color w:val="000000" w:themeColor="text1" w:themeTint="FF" w:themeShade="FF"/>
          <w:sz w:val="24"/>
          <w:szCs w:val="24"/>
          <w:lang w:val="en-US"/>
        </w:rPr>
        <w:t xml:space="preserve">, 23(11), pp. 319–325. Available at: </w:t>
      </w:r>
      <w:hyperlink r:id="Rf6f13d7695c944ee">
        <w:r w:rsidRPr="49F3A3DB" w:rsidR="5B543110">
          <w:rPr>
            <w:rStyle w:val="Hyperlink"/>
            <w:rFonts w:ascii="Aptos" w:hAnsi="Aptos" w:eastAsia="Aptos" w:cs="Aptos"/>
            <w:strike w:val="0"/>
            <w:dstrike w:val="0"/>
            <w:noProof w:val="0"/>
            <w:sz w:val="24"/>
            <w:szCs w:val="24"/>
            <w:lang w:val="en-US"/>
          </w:rPr>
          <w:t>https://doi.org/10.1007/s11934-022-01116-7</w:t>
        </w:r>
      </w:hyperlink>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4BBFD6CD" w14:textId="4F235468">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6DADB891" w14:textId="199222D0">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Brougham-Chandler, A. (2023) ‘What is a PESTLE analysis and why is it important to HR?’, </w:t>
      </w:r>
      <w:r w:rsidRPr="49F3A3DB" w:rsidR="5B543110">
        <w:rPr>
          <w:rFonts w:ascii="Aptos" w:hAnsi="Aptos" w:eastAsia="Aptos" w:cs="Aptos"/>
          <w:i w:val="1"/>
          <w:iCs w:val="1"/>
          <w:noProof w:val="0"/>
          <w:color w:val="000000" w:themeColor="text1" w:themeTint="FF" w:themeShade="FF"/>
          <w:sz w:val="24"/>
          <w:szCs w:val="24"/>
          <w:lang w:val="en-US"/>
        </w:rPr>
        <w:t>Breathe HR</w:t>
      </w:r>
      <w:r w:rsidRPr="49F3A3DB" w:rsidR="5B543110">
        <w:rPr>
          <w:rFonts w:ascii="Aptos" w:hAnsi="Aptos" w:eastAsia="Aptos" w:cs="Aptos"/>
          <w:noProof w:val="0"/>
          <w:color w:val="000000" w:themeColor="text1" w:themeTint="FF" w:themeShade="FF"/>
          <w:sz w:val="24"/>
          <w:szCs w:val="24"/>
          <w:lang w:val="en-US"/>
        </w:rPr>
        <w:t xml:space="preserve">, 24 November. Available at: </w:t>
      </w:r>
      <w:hyperlink r:id="R609e1c6c0fdf489b">
        <w:r w:rsidRPr="49F3A3DB" w:rsidR="5B543110">
          <w:rPr>
            <w:rStyle w:val="Hyperlink"/>
            <w:rFonts w:ascii="Aptos" w:hAnsi="Aptos" w:eastAsia="Aptos" w:cs="Aptos"/>
            <w:strike w:val="0"/>
            <w:dstrike w:val="0"/>
            <w:noProof w:val="0"/>
            <w:sz w:val="24"/>
            <w:szCs w:val="24"/>
            <w:lang w:val="en-US"/>
          </w:rPr>
          <w:t>https://www.breathehr.com/en-gb/blog/topic/performance-and-productivity/what-is-a-pestle-analysis-and-why-is-it-important-to-hr</w:t>
        </w:r>
      </w:hyperlink>
      <w:r w:rsidRPr="49F3A3DB" w:rsidR="5B543110">
        <w:rPr>
          <w:rFonts w:ascii="Aptos" w:hAnsi="Aptos" w:eastAsia="Aptos" w:cs="Aptos"/>
          <w:noProof w:val="0"/>
          <w:color w:val="000000" w:themeColor="text1" w:themeTint="FF" w:themeShade="FF"/>
          <w:sz w:val="24"/>
          <w:szCs w:val="24"/>
          <w:lang w:val="en-US"/>
        </w:rPr>
        <w:t xml:space="preserve"> (Accessed: 21 January 2025). </w:t>
      </w:r>
    </w:p>
    <w:p w:rsidR="5B543110" w:rsidP="49F3A3DB" w:rsidRDefault="5B543110" w14:paraId="70E287B2" w14:textId="0003C532">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241CF36B" w14:textId="2CF43035">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Cassidy, N. (2022) </w:t>
      </w:r>
      <w:r w:rsidRPr="49F3A3DB" w:rsidR="5B543110">
        <w:rPr>
          <w:rFonts w:ascii="Aptos" w:hAnsi="Aptos" w:eastAsia="Aptos" w:cs="Aptos"/>
          <w:i w:val="1"/>
          <w:iCs w:val="1"/>
          <w:noProof w:val="0"/>
          <w:color w:val="000000" w:themeColor="text1" w:themeTint="FF" w:themeShade="FF"/>
          <w:sz w:val="24"/>
          <w:szCs w:val="24"/>
          <w:lang w:val="en-US"/>
        </w:rPr>
        <w:t xml:space="preserve">Podcast 185 – What value does HR bring to today’s organisations? </w:t>
      </w:r>
      <w:r w:rsidRPr="49F3A3DB" w:rsidR="5B543110">
        <w:rPr>
          <w:rFonts w:ascii="Aptos" w:hAnsi="Aptos" w:eastAsia="Aptos" w:cs="Aptos"/>
          <w:noProof w:val="0"/>
          <w:color w:val="000000" w:themeColor="text1" w:themeTint="FF" w:themeShade="FF"/>
          <w:sz w:val="24"/>
          <w:szCs w:val="24"/>
          <w:lang w:val="en-US"/>
        </w:rPr>
        <w:t xml:space="preserve">[Podcast]. 12 July. Available at: </w:t>
      </w:r>
      <w:hyperlink r:id="Ra84e25b3cef04dee">
        <w:r w:rsidRPr="49F3A3DB" w:rsidR="5B543110">
          <w:rPr>
            <w:rStyle w:val="Hyperlink"/>
            <w:rFonts w:ascii="Aptos" w:hAnsi="Aptos" w:eastAsia="Aptos" w:cs="Aptos"/>
            <w:strike w:val="0"/>
            <w:dstrike w:val="0"/>
            <w:noProof w:val="0"/>
            <w:sz w:val="24"/>
            <w:szCs w:val="24"/>
            <w:lang w:val="en-US"/>
          </w:rPr>
          <w:t>www.cipd.org/uk/knowledge/podcasts/purpose-and-value-of-hr/</w:t>
        </w:r>
      </w:hyperlink>
      <w:r w:rsidRPr="49F3A3DB" w:rsidR="5B543110">
        <w:rPr>
          <w:rFonts w:ascii="Aptos" w:hAnsi="Aptos" w:eastAsia="Aptos" w:cs="Aptos"/>
          <w:noProof w:val="0"/>
          <w:color w:val="000000" w:themeColor="text1" w:themeTint="FF" w:themeShade="FF"/>
          <w:sz w:val="24"/>
          <w:szCs w:val="24"/>
          <w:lang w:val="en-US"/>
        </w:rPr>
        <w:t xml:space="preserve"> (Accessed: 29 January 2026).  </w:t>
      </w:r>
    </w:p>
    <w:p w:rsidR="5B543110" w:rsidP="49F3A3DB" w:rsidRDefault="5B543110" w14:paraId="4B2CD9D1" w14:textId="38D7C35F">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45767F42" w14:textId="46436DD8">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Charlwood, A., Stuart, M. and Trusson, C. (2017). </w:t>
      </w:r>
      <w:r w:rsidRPr="49F3A3DB" w:rsidR="5B543110">
        <w:rPr>
          <w:rFonts w:ascii="Aptos" w:hAnsi="Aptos" w:eastAsia="Aptos" w:cs="Aptos"/>
          <w:i w:val="1"/>
          <w:iCs w:val="1"/>
          <w:noProof w:val="0"/>
          <w:color w:val="000000" w:themeColor="text1" w:themeTint="FF" w:themeShade="FF"/>
          <w:sz w:val="24"/>
          <w:szCs w:val="24"/>
          <w:lang w:val="en-US"/>
        </w:rPr>
        <w:t>Human capital metrics and analytics: assessing the evidence of the value and impact of people data.</w:t>
      </w:r>
      <w:r w:rsidRPr="49F3A3DB" w:rsidR="5B543110">
        <w:rPr>
          <w:rFonts w:ascii="Aptos" w:hAnsi="Aptos" w:eastAsia="Aptos" w:cs="Aptos"/>
          <w:noProof w:val="0"/>
          <w:color w:val="000000" w:themeColor="text1" w:themeTint="FF" w:themeShade="FF"/>
          <w:sz w:val="24"/>
          <w:szCs w:val="24"/>
          <w:lang w:val="en-US"/>
        </w:rPr>
        <w:t xml:space="preserve">  London: Chartered Institute of Personnel and Development. </w:t>
      </w:r>
    </w:p>
    <w:p w:rsidR="5B543110" w:rsidP="49F3A3DB" w:rsidRDefault="5B543110" w14:paraId="20F9DCD1" w14:textId="20C1F18B">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26A46491" w14:textId="590D51E8">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Chartered Institute of Personnel and Development (2016) </w:t>
      </w:r>
      <w:r w:rsidRPr="49F3A3DB" w:rsidR="5B543110">
        <w:rPr>
          <w:rFonts w:ascii="Aptos" w:hAnsi="Aptos" w:eastAsia="Aptos" w:cs="Aptos"/>
          <w:i w:val="1"/>
          <w:iCs w:val="1"/>
          <w:noProof w:val="0"/>
          <w:color w:val="000000" w:themeColor="text1" w:themeTint="FF" w:themeShade="FF"/>
          <w:sz w:val="24"/>
          <w:szCs w:val="24"/>
          <w:lang w:val="en-US"/>
        </w:rPr>
        <w:t>Valuing your talent: Unilever.</w:t>
      </w:r>
      <w:r w:rsidRPr="49F3A3DB" w:rsidR="5B543110">
        <w:rPr>
          <w:rFonts w:ascii="Aptos" w:hAnsi="Aptos" w:eastAsia="Aptos" w:cs="Aptos"/>
          <w:noProof w:val="0"/>
          <w:color w:val="000000" w:themeColor="text1" w:themeTint="FF" w:themeShade="FF"/>
          <w:sz w:val="24"/>
          <w:szCs w:val="24"/>
          <w:lang w:val="en-US"/>
        </w:rPr>
        <w:t xml:space="preserve"> Available at: </w:t>
      </w:r>
      <w:hyperlink r:id="Rc2819148e6e54e8d">
        <w:r w:rsidRPr="49F3A3DB" w:rsidR="5B543110">
          <w:rPr>
            <w:rStyle w:val="Hyperlink"/>
            <w:rFonts w:ascii="Aptos" w:hAnsi="Aptos" w:eastAsia="Aptos" w:cs="Aptos"/>
            <w:strike w:val="0"/>
            <w:dstrike w:val="0"/>
            <w:noProof w:val="0"/>
            <w:sz w:val="24"/>
            <w:szCs w:val="24"/>
            <w:lang w:val="en-US"/>
          </w:rPr>
          <w:t>Valuing your talent: Unilever | CIPD</w:t>
        </w:r>
      </w:hyperlink>
      <w:r w:rsidRPr="49F3A3DB" w:rsidR="5B543110">
        <w:rPr>
          <w:rFonts w:ascii="Aptos" w:hAnsi="Aptos" w:eastAsia="Aptos" w:cs="Aptos"/>
          <w:noProof w:val="0"/>
          <w:color w:val="000000" w:themeColor="text1" w:themeTint="FF" w:themeShade="FF"/>
          <w:sz w:val="24"/>
          <w:szCs w:val="24"/>
          <w:lang w:val="en-US"/>
        </w:rPr>
        <w:t xml:space="preserve"> (Accessed: 23 January 2026). </w:t>
      </w:r>
    </w:p>
    <w:p w:rsidR="5B543110" w:rsidP="49F3A3DB" w:rsidRDefault="5B543110" w14:paraId="755EE264" w14:textId="1DEE6492">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6EB722C2" w14:textId="132C766C">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Chartered Institute of Personnel and Development (2025a) </w:t>
      </w:r>
      <w:r w:rsidRPr="49F3A3DB" w:rsidR="5B543110">
        <w:rPr>
          <w:rFonts w:ascii="Aptos" w:hAnsi="Aptos" w:eastAsia="Aptos" w:cs="Aptos"/>
          <w:i w:val="1"/>
          <w:iCs w:val="1"/>
          <w:noProof w:val="0"/>
          <w:color w:val="000000" w:themeColor="text1" w:themeTint="FF" w:themeShade="FF"/>
          <w:sz w:val="24"/>
          <w:szCs w:val="24"/>
          <w:lang w:val="en-US"/>
        </w:rPr>
        <w:t>Evidence-based practice for effective decision-making.</w:t>
      </w:r>
      <w:r w:rsidRPr="49F3A3DB" w:rsidR="5B543110">
        <w:rPr>
          <w:rFonts w:ascii="Aptos" w:hAnsi="Aptos" w:eastAsia="Aptos" w:cs="Aptos"/>
          <w:noProof w:val="0"/>
          <w:color w:val="000000" w:themeColor="text1" w:themeTint="FF" w:themeShade="FF"/>
          <w:sz w:val="24"/>
          <w:szCs w:val="24"/>
          <w:lang w:val="en-US"/>
        </w:rPr>
        <w:t xml:space="preserve"> Available at: </w:t>
      </w:r>
      <w:hyperlink r:id="R5bdb2cbe25264ca2">
        <w:r w:rsidRPr="49F3A3DB" w:rsidR="5B543110">
          <w:rPr>
            <w:rStyle w:val="Hyperlink"/>
            <w:rFonts w:ascii="Aptos" w:hAnsi="Aptos" w:eastAsia="Aptos" w:cs="Aptos"/>
            <w:strike w:val="0"/>
            <w:dstrike w:val="0"/>
            <w:noProof w:val="0"/>
            <w:sz w:val="24"/>
            <w:szCs w:val="24"/>
            <w:lang w:val="en-US"/>
          </w:rPr>
          <w:t>https://www.cipd.org/uk/knowledge/factsheets/evidence-based-practice-factsheet/</w:t>
        </w:r>
      </w:hyperlink>
      <w:r w:rsidRPr="49F3A3DB" w:rsidR="5B543110">
        <w:rPr>
          <w:rFonts w:ascii="Aptos" w:hAnsi="Aptos" w:eastAsia="Aptos" w:cs="Aptos"/>
          <w:noProof w:val="0"/>
          <w:color w:val="000000" w:themeColor="text1" w:themeTint="FF" w:themeShade="FF"/>
          <w:sz w:val="24"/>
          <w:szCs w:val="24"/>
          <w:lang w:val="en-US"/>
        </w:rPr>
        <w:t xml:space="preserve"> (Accessed: 29 December 2025).</w:t>
      </w:r>
    </w:p>
    <w:p w:rsidR="5B543110" w:rsidP="49F3A3DB" w:rsidRDefault="5B543110" w14:paraId="0C308822" w14:textId="3F4470A1">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75E7D32D" w14:textId="6650847D">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CIPD (2025b)</w:t>
      </w:r>
      <w:r w:rsidRPr="49F3A3DB" w:rsidR="5B543110">
        <w:rPr>
          <w:rFonts w:ascii="Aptos" w:hAnsi="Aptos" w:eastAsia="Aptos" w:cs="Aptos"/>
          <w:i w:val="1"/>
          <w:iCs w:val="1"/>
          <w:noProof w:val="0"/>
          <w:color w:val="000000" w:themeColor="text1" w:themeTint="FF" w:themeShade="FF"/>
          <w:sz w:val="24"/>
          <w:szCs w:val="24"/>
          <w:lang w:val="en-US"/>
        </w:rPr>
        <w:t xml:space="preserve"> Employee engagement and motivation</w:t>
      </w:r>
      <w:r w:rsidRPr="49F3A3DB" w:rsidR="5B543110">
        <w:rPr>
          <w:rFonts w:ascii="Aptos" w:hAnsi="Aptos" w:eastAsia="Aptos" w:cs="Aptos"/>
          <w:noProof w:val="0"/>
          <w:color w:val="000000" w:themeColor="text1" w:themeTint="FF" w:themeShade="FF"/>
          <w:sz w:val="24"/>
          <w:szCs w:val="24"/>
          <w:lang w:val="en-US"/>
        </w:rPr>
        <w:t xml:space="preserve">. Available at: </w:t>
      </w:r>
      <w:hyperlink r:id="R85001a367c404669">
        <w:r w:rsidRPr="49F3A3DB" w:rsidR="5B543110">
          <w:rPr>
            <w:rStyle w:val="Hyperlink"/>
            <w:rFonts w:ascii="Aptos" w:hAnsi="Aptos" w:eastAsia="Aptos" w:cs="Aptos"/>
            <w:strike w:val="0"/>
            <w:dstrike w:val="0"/>
            <w:noProof w:val="0"/>
            <w:sz w:val="24"/>
            <w:szCs w:val="24"/>
            <w:lang w:val="en-US"/>
          </w:rPr>
          <w:t>www.cipd.org/uk/knowledge/factsheets/engagement-factsheet/#what-are-the-benefits-of-employee-engagement</w:t>
        </w:r>
      </w:hyperlink>
      <w:r w:rsidRPr="49F3A3DB" w:rsidR="5B543110">
        <w:rPr>
          <w:rFonts w:ascii="Aptos" w:hAnsi="Aptos" w:eastAsia="Aptos" w:cs="Aptos"/>
          <w:noProof w:val="0"/>
          <w:color w:val="000000" w:themeColor="text1" w:themeTint="FF" w:themeShade="FF"/>
          <w:sz w:val="24"/>
          <w:szCs w:val="24"/>
          <w:lang w:val="en-US"/>
        </w:rPr>
        <w:t xml:space="preserve"> (Accessed: 29 January 2026).  </w:t>
      </w:r>
    </w:p>
    <w:p w:rsidR="49F3A3DB" w:rsidP="49F3A3DB" w:rsidRDefault="49F3A3DB" w14:paraId="7F59C220" w14:textId="53F78120">
      <w:pPr>
        <w:spacing w:before="0" w:beforeAutospacing="off" w:after="0" w:afterAutospacing="off"/>
        <w:rPr>
          <w:rFonts w:ascii="Aptos" w:hAnsi="Aptos" w:eastAsia="Aptos" w:cs="Aptos"/>
          <w:noProof w:val="0"/>
          <w:color w:val="000000" w:themeColor="text1" w:themeTint="FF" w:themeShade="FF"/>
          <w:sz w:val="24"/>
          <w:szCs w:val="24"/>
          <w:lang w:val="en-US"/>
        </w:rPr>
      </w:pPr>
    </w:p>
    <w:p w:rsidR="5B543110" w:rsidP="49F3A3DB" w:rsidRDefault="5B543110" w14:paraId="0F327EFF" w14:textId="53E0134F">
      <w:pPr>
        <w:spacing w:before="0" w:beforeAutospacing="off" w:after="160" w:afterAutospacing="off" w:line="276" w:lineRule="auto"/>
        <w:rPr>
          <w:rFonts w:ascii="Aptos" w:hAnsi="Aptos" w:eastAsia="Aptos" w:cs="Aptos"/>
          <w:noProof w:val="0"/>
          <w:sz w:val="24"/>
          <w:szCs w:val="24"/>
          <w:lang w:val="en-US"/>
        </w:rPr>
      </w:pPr>
      <w:r w:rsidRPr="49F3A3DB" w:rsidR="5B543110">
        <w:rPr>
          <w:rFonts w:ascii="Aptos" w:hAnsi="Aptos" w:eastAsia="Aptos" w:cs="Aptos"/>
          <w:i w:val="1"/>
          <w:iCs w:val="1"/>
          <w:noProof w:val="0"/>
          <w:color w:val="000000" w:themeColor="text1" w:themeTint="FF" w:themeShade="FF"/>
          <w:sz w:val="24"/>
          <w:szCs w:val="24"/>
          <w:lang w:val="en-US"/>
        </w:rPr>
        <w:t>Corporate Coach.</w:t>
      </w:r>
      <w:r w:rsidRPr="49F3A3DB" w:rsidR="5B543110">
        <w:rPr>
          <w:rFonts w:ascii="Aptos" w:hAnsi="Aptos" w:eastAsia="Aptos" w:cs="Aptos"/>
          <w:noProof w:val="0"/>
          <w:color w:val="000000" w:themeColor="text1" w:themeTint="FF" w:themeShade="FF"/>
          <w:sz w:val="24"/>
          <w:szCs w:val="24"/>
          <w:lang w:val="en-US"/>
        </w:rPr>
        <w:t xml:space="preserve"> Available at: </w:t>
      </w:r>
      <w:hyperlink r:id="R62e0b434bfa3477e">
        <w:r w:rsidRPr="49F3A3DB" w:rsidR="5B543110">
          <w:rPr>
            <w:rStyle w:val="Hyperlink"/>
            <w:rFonts w:ascii="Aptos" w:hAnsi="Aptos" w:eastAsia="Aptos" w:cs="Aptos"/>
            <w:strike w:val="0"/>
            <w:dstrike w:val="0"/>
            <w:noProof w:val="0"/>
            <w:sz w:val="24"/>
            <w:szCs w:val="24"/>
            <w:lang w:val="en-US"/>
          </w:rPr>
          <w:t>https://corporatecoachgroup.com/courses/personal-effectiveness-training#in-house</w:t>
        </w:r>
      </w:hyperlink>
      <w:r w:rsidRPr="49F3A3DB" w:rsidR="5B543110">
        <w:rPr>
          <w:rFonts w:ascii="Aptos" w:hAnsi="Aptos" w:eastAsia="Aptos" w:cs="Aptos"/>
          <w:noProof w:val="0"/>
          <w:sz w:val="24"/>
          <w:szCs w:val="24"/>
          <w:lang w:val="en-US"/>
        </w:rPr>
        <w:t xml:space="preserve"> (Accessed: 02 February 2026).</w:t>
      </w:r>
    </w:p>
    <w:p w:rsidR="5B543110" w:rsidP="49F3A3DB" w:rsidRDefault="5B543110" w14:paraId="7BAE5D39" w14:textId="1039CB07">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55F23735" w14:textId="1AAE2090">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CMI (2020). </w:t>
      </w:r>
      <w:r w:rsidRPr="49F3A3DB" w:rsidR="5B543110">
        <w:rPr>
          <w:rFonts w:ascii="Aptos" w:hAnsi="Aptos" w:eastAsia="Aptos" w:cs="Aptos"/>
          <w:i w:val="1"/>
          <w:iCs w:val="1"/>
          <w:noProof w:val="0"/>
          <w:color w:val="000000" w:themeColor="text1" w:themeTint="FF" w:themeShade="FF"/>
          <w:sz w:val="24"/>
          <w:szCs w:val="24"/>
          <w:lang w:val="en-US"/>
        </w:rPr>
        <w:t xml:space="preserve">Decision Making. </w:t>
      </w:r>
      <w:r w:rsidRPr="49F3A3DB" w:rsidR="5B543110">
        <w:rPr>
          <w:rFonts w:ascii="Aptos" w:hAnsi="Aptos" w:eastAsia="Aptos" w:cs="Aptos"/>
          <w:noProof w:val="0"/>
          <w:color w:val="000000" w:themeColor="text1" w:themeTint="FF" w:themeShade="FF"/>
          <w:sz w:val="24"/>
          <w:szCs w:val="24"/>
          <w:lang w:val="en-US"/>
        </w:rPr>
        <w:t xml:space="preserve">Available at: </w:t>
      </w:r>
      <w:hyperlink r:id="R939b8c2bc56547a9">
        <w:r w:rsidRPr="49F3A3DB" w:rsidR="5B543110">
          <w:rPr>
            <w:rStyle w:val="Hyperlink"/>
            <w:rFonts w:ascii="Aptos" w:hAnsi="Aptos" w:eastAsia="Aptos" w:cs="Aptos"/>
            <w:strike w:val="0"/>
            <w:dstrike w:val="0"/>
            <w:noProof w:val="0"/>
            <w:sz w:val="24"/>
            <w:szCs w:val="24"/>
            <w:lang w:val="en-US"/>
          </w:rPr>
          <w:t>Decision Making - CMI</w:t>
        </w:r>
      </w:hyperlink>
      <w:r w:rsidRPr="49F3A3DB" w:rsidR="5B543110">
        <w:rPr>
          <w:rFonts w:ascii="Aptos" w:hAnsi="Aptos" w:eastAsia="Aptos" w:cs="Aptos"/>
          <w:noProof w:val="0"/>
          <w:color w:val="000000" w:themeColor="text1" w:themeTint="FF" w:themeShade="FF"/>
          <w:sz w:val="24"/>
          <w:szCs w:val="24"/>
          <w:lang w:val="en-US"/>
        </w:rPr>
        <w:t xml:space="preserve"> (Accessed: 27 January 2026).  </w:t>
      </w:r>
    </w:p>
    <w:p w:rsidR="5B543110" w:rsidP="49F3A3DB" w:rsidRDefault="5B543110" w14:paraId="00CD13FB" w14:textId="56613B88">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18D15CF1" w14:textId="50D85C37">
      <w:pPr>
        <w:spacing w:before="0" w:beforeAutospacing="off" w:after="0" w:afterAutospacing="off"/>
        <w:rPr>
          <w:rFonts w:ascii="Aptos" w:hAnsi="Aptos" w:eastAsia="Aptos" w:cs="Aptos"/>
          <w:noProof w:val="0"/>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Data Protection Act 2018, c. 12. Available at: </w:t>
      </w:r>
      <w:hyperlink r:id="Rbc9dbc614ab54af8">
        <w:r w:rsidRPr="49F3A3DB" w:rsidR="5B543110">
          <w:rPr>
            <w:rStyle w:val="Hyperlink"/>
            <w:rFonts w:ascii="Aptos" w:hAnsi="Aptos" w:eastAsia="Aptos" w:cs="Aptos"/>
            <w:strike w:val="0"/>
            <w:dstrike w:val="0"/>
            <w:noProof w:val="0"/>
            <w:sz w:val="24"/>
            <w:szCs w:val="24"/>
            <w:lang w:val="en-US"/>
          </w:rPr>
          <w:t>https://www.legislation.gov.uk/ukpga/2018/12/contents</w:t>
        </w:r>
      </w:hyperlink>
      <w:r w:rsidRPr="49F3A3DB" w:rsidR="5B543110">
        <w:rPr>
          <w:rFonts w:ascii="Aptos" w:hAnsi="Aptos" w:eastAsia="Aptos" w:cs="Aptos"/>
          <w:noProof w:val="0"/>
          <w:sz w:val="24"/>
          <w:szCs w:val="24"/>
          <w:lang w:val="en-US"/>
        </w:rPr>
        <w:t xml:space="preserve"> (Accessed: 2 February 2026). </w:t>
      </w:r>
    </w:p>
    <w:p w:rsidR="49F3A3DB" w:rsidP="49F3A3DB" w:rsidRDefault="49F3A3DB" w14:paraId="17A6377C" w14:textId="59FD14E3">
      <w:pPr>
        <w:spacing w:before="0" w:beforeAutospacing="off" w:after="0" w:afterAutospacing="off"/>
        <w:rPr>
          <w:rFonts w:ascii="Aptos" w:hAnsi="Aptos" w:eastAsia="Aptos" w:cs="Aptos"/>
          <w:noProof w:val="0"/>
          <w:color w:val="000000" w:themeColor="text1" w:themeTint="FF" w:themeShade="FF"/>
          <w:sz w:val="24"/>
          <w:szCs w:val="24"/>
          <w:lang w:val="en-US"/>
        </w:rPr>
      </w:pPr>
    </w:p>
    <w:p w:rsidR="5B543110" w:rsidP="49F3A3DB" w:rsidRDefault="5B543110" w14:paraId="758D9D6A" w14:textId="332AE91F">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De Bono, E. (2000). </w:t>
      </w:r>
      <w:r w:rsidRPr="49F3A3DB" w:rsidR="5B543110">
        <w:rPr>
          <w:rFonts w:ascii="Aptos" w:hAnsi="Aptos" w:eastAsia="Aptos" w:cs="Aptos"/>
          <w:i w:val="1"/>
          <w:iCs w:val="1"/>
          <w:noProof w:val="0"/>
          <w:color w:val="000000" w:themeColor="text1" w:themeTint="FF" w:themeShade="FF"/>
          <w:sz w:val="24"/>
          <w:szCs w:val="24"/>
          <w:lang w:val="en-US"/>
        </w:rPr>
        <w:t>Six Thinking Hats</w:t>
      </w:r>
      <w:r w:rsidRPr="49F3A3DB" w:rsidR="5B543110">
        <w:rPr>
          <w:rFonts w:ascii="Aptos" w:hAnsi="Aptos" w:eastAsia="Aptos" w:cs="Aptos"/>
          <w:noProof w:val="0"/>
          <w:color w:val="000000" w:themeColor="text1" w:themeTint="FF" w:themeShade="FF"/>
          <w:sz w:val="24"/>
          <w:szCs w:val="24"/>
          <w:lang w:val="en-US"/>
        </w:rPr>
        <w:t xml:space="preserve">. London: Penguin Life.  </w:t>
      </w:r>
    </w:p>
    <w:p w:rsidR="49F3A3DB" w:rsidP="49F3A3DB" w:rsidRDefault="49F3A3DB" w14:paraId="23EA9A17" w14:textId="0E696D99">
      <w:pPr>
        <w:spacing w:before="0" w:beforeAutospacing="off" w:after="0" w:afterAutospacing="off"/>
        <w:rPr>
          <w:rFonts w:ascii="Aptos" w:hAnsi="Aptos" w:eastAsia="Aptos" w:cs="Aptos"/>
          <w:noProof w:val="0"/>
          <w:color w:val="000000" w:themeColor="text1" w:themeTint="FF" w:themeShade="FF"/>
          <w:sz w:val="24"/>
          <w:szCs w:val="24"/>
          <w:lang w:val="en-US"/>
        </w:rPr>
      </w:pPr>
    </w:p>
    <w:p w:rsidR="5B543110" w:rsidP="49F3A3DB" w:rsidRDefault="5B543110" w14:paraId="1113D700" w14:textId="126B2EF7">
      <w:pPr>
        <w:spacing w:before="0" w:beforeAutospacing="off" w:after="160" w:afterAutospacing="off" w:line="276" w:lineRule="auto"/>
        <w:rPr>
          <w:rFonts w:ascii="Aptos" w:hAnsi="Aptos" w:eastAsia="Aptos" w:cs="Aptos"/>
          <w:noProof w:val="0"/>
          <w:sz w:val="24"/>
          <w:szCs w:val="24"/>
          <w:lang w:val="en-US"/>
        </w:rPr>
      </w:pPr>
      <w:r w:rsidRPr="49F3A3DB" w:rsidR="5B543110">
        <w:rPr>
          <w:rFonts w:ascii="Aptos" w:hAnsi="Aptos" w:eastAsia="Aptos" w:cs="Aptos"/>
          <w:i w:val="1"/>
          <w:iCs w:val="1"/>
          <w:noProof w:val="0"/>
          <w:color w:val="000000" w:themeColor="text1" w:themeTint="FF" w:themeShade="FF"/>
          <w:sz w:val="24"/>
          <w:szCs w:val="24"/>
          <w:lang w:val="en-US"/>
        </w:rPr>
        <w:t>Digital Market Place.</w:t>
      </w:r>
      <w:r w:rsidRPr="49F3A3DB" w:rsidR="5B543110">
        <w:rPr>
          <w:rFonts w:ascii="Aptos" w:hAnsi="Aptos" w:eastAsia="Aptos" w:cs="Aptos"/>
          <w:noProof w:val="0"/>
          <w:color w:val="000000" w:themeColor="text1" w:themeTint="FF" w:themeShade="FF"/>
          <w:sz w:val="24"/>
          <w:szCs w:val="24"/>
          <w:lang w:val="en-US"/>
        </w:rPr>
        <w:t xml:space="preserve"> Available at: </w:t>
      </w:r>
      <w:hyperlink r:id="R104f8eafe8e34b31">
        <w:r w:rsidRPr="49F3A3DB" w:rsidR="5B543110">
          <w:rPr>
            <w:rStyle w:val="Hyperlink"/>
            <w:rFonts w:ascii="Aptos" w:hAnsi="Aptos" w:eastAsia="Aptos" w:cs="Aptos"/>
            <w:strike w:val="0"/>
            <w:dstrike w:val="0"/>
            <w:noProof w:val="0"/>
            <w:sz w:val="24"/>
            <w:szCs w:val="24"/>
            <w:lang w:val="en-US"/>
          </w:rPr>
          <w:t>https://www.applytosupply.digitalmarketplace.service.gov.uk/g-cloud/services/209186563672829</w:t>
        </w:r>
      </w:hyperlink>
      <w:r w:rsidRPr="49F3A3DB" w:rsidR="5B543110">
        <w:rPr>
          <w:rFonts w:ascii="Aptos" w:hAnsi="Aptos" w:eastAsia="Aptos" w:cs="Aptos"/>
          <w:noProof w:val="0"/>
          <w:sz w:val="24"/>
          <w:szCs w:val="24"/>
          <w:lang w:val="en-US"/>
        </w:rPr>
        <w:t xml:space="preserve"> (Accessed: 02 February 2026).</w:t>
      </w:r>
    </w:p>
    <w:p w:rsidR="49F3A3DB" w:rsidP="49F3A3DB" w:rsidRDefault="49F3A3DB" w14:paraId="670BCCE4" w14:textId="55B6F528">
      <w:pPr>
        <w:spacing w:before="0" w:beforeAutospacing="off" w:after="0" w:afterAutospacing="off"/>
        <w:rPr>
          <w:rFonts w:ascii="Aptos" w:hAnsi="Aptos" w:eastAsia="Aptos" w:cs="Aptos"/>
          <w:noProof w:val="0"/>
          <w:color w:val="000000" w:themeColor="text1" w:themeTint="FF" w:themeShade="FF"/>
          <w:sz w:val="24"/>
          <w:szCs w:val="24"/>
          <w:lang w:val="en-US"/>
        </w:rPr>
      </w:pPr>
    </w:p>
    <w:p w:rsidR="5B543110" w:rsidP="49F3A3DB" w:rsidRDefault="5B543110" w14:paraId="0F2D11B5" w14:textId="0F177553">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Elder, R.S. and Nikodem, M. (2023) ‘Considering the application and relevance of evidence-based HR’, P</w:t>
      </w:r>
      <w:r w:rsidRPr="49F3A3DB" w:rsidR="5B543110">
        <w:rPr>
          <w:rFonts w:ascii="Aptos" w:hAnsi="Aptos" w:eastAsia="Aptos" w:cs="Aptos"/>
          <w:i w:val="1"/>
          <w:iCs w:val="1"/>
          <w:noProof w:val="0"/>
          <w:color w:val="000000" w:themeColor="text1" w:themeTint="FF" w:themeShade="FF"/>
          <w:sz w:val="24"/>
          <w:szCs w:val="24"/>
          <w:lang w:val="en-US"/>
        </w:rPr>
        <w:t>eople Management</w:t>
      </w:r>
      <w:r w:rsidRPr="49F3A3DB" w:rsidR="5B543110">
        <w:rPr>
          <w:rFonts w:ascii="Aptos" w:hAnsi="Aptos" w:eastAsia="Aptos" w:cs="Aptos"/>
          <w:noProof w:val="0"/>
          <w:color w:val="000000" w:themeColor="text1" w:themeTint="FF" w:themeShade="FF"/>
          <w:sz w:val="24"/>
          <w:szCs w:val="24"/>
          <w:lang w:val="en-US"/>
        </w:rPr>
        <w:t>, 31 October. Available at:</w:t>
      </w:r>
    </w:p>
    <w:p w:rsidR="5B543110" w:rsidP="49F3A3DB" w:rsidRDefault="5B543110" w14:paraId="53F1A417" w14:textId="63142A1F">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hyperlink r:id="R187855758a0449a8">
        <w:r w:rsidRPr="49F3A3DB" w:rsidR="5B543110">
          <w:rPr>
            <w:rStyle w:val="Hyperlink"/>
            <w:rFonts w:ascii="Aptos" w:hAnsi="Aptos" w:eastAsia="Aptos" w:cs="Aptos"/>
            <w:strike w:val="0"/>
            <w:dstrike w:val="0"/>
            <w:noProof w:val="0"/>
            <w:sz w:val="24"/>
            <w:szCs w:val="24"/>
            <w:lang w:val="en-US"/>
          </w:rPr>
          <w:t>https://www.peoplemanagement.co.uk/article/1845833/considering-application-relevance-evidence-based-hr</w:t>
        </w:r>
      </w:hyperlink>
      <w:r w:rsidRPr="49F3A3DB" w:rsidR="5B543110">
        <w:rPr>
          <w:rFonts w:ascii="Aptos" w:hAnsi="Aptos" w:eastAsia="Aptos" w:cs="Aptos"/>
          <w:noProof w:val="0"/>
          <w:sz w:val="24"/>
          <w:szCs w:val="24"/>
          <w:lang w:val="en-US"/>
        </w:rPr>
        <w:t xml:space="preserve"> (</w:t>
      </w:r>
      <w:r w:rsidRPr="49F3A3DB" w:rsidR="5B543110">
        <w:rPr>
          <w:rFonts w:ascii="Aptos" w:hAnsi="Aptos" w:eastAsia="Aptos" w:cs="Aptos"/>
          <w:noProof w:val="0"/>
          <w:color w:val="000000" w:themeColor="text1" w:themeTint="FF" w:themeShade="FF"/>
          <w:sz w:val="24"/>
          <w:szCs w:val="24"/>
          <w:lang w:val="en-US"/>
        </w:rPr>
        <w:t>Accessed: 21 January 2026).</w:t>
      </w:r>
    </w:p>
    <w:p w:rsidR="49F3A3DB" w:rsidP="49F3A3DB" w:rsidRDefault="49F3A3DB" w14:paraId="3C4B3236" w14:textId="1847BCB2">
      <w:pPr>
        <w:spacing w:before="0" w:beforeAutospacing="off" w:after="0" w:afterAutospacing="off"/>
        <w:rPr>
          <w:rFonts w:ascii="Aptos" w:hAnsi="Aptos" w:eastAsia="Aptos" w:cs="Aptos"/>
          <w:noProof w:val="0"/>
          <w:color w:val="000000" w:themeColor="text1" w:themeTint="FF" w:themeShade="FF"/>
          <w:sz w:val="24"/>
          <w:szCs w:val="24"/>
          <w:lang w:val="en-US"/>
        </w:rPr>
      </w:pPr>
    </w:p>
    <w:p w:rsidR="5B543110" w:rsidP="49F3A3DB" w:rsidRDefault="5B543110" w14:paraId="146B24F4" w14:textId="564D552B">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Findlay, P., Thompson, P., Cooper, C. and Pascoe-Deslauriers, R. (2018) </w:t>
      </w:r>
      <w:r w:rsidRPr="49F3A3DB" w:rsidR="5B543110">
        <w:rPr>
          <w:rFonts w:ascii="Aptos" w:hAnsi="Aptos" w:eastAsia="Aptos" w:cs="Aptos"/>
          <w:i w:val="1"/>
          <w:iCs w:val="1"/>
          <w:noProof w:val="0"/>
          <w:color w:val="000000" w:themeColor="text1" w:themeTint="FF" w:themeShade="FF"/>
          <w:sz w:val="24"/>
          <w:szCs w:val="24"/>
          <w:lang w:val="en-US"/>
        </w:rPr>
        <w:t>Creating and capturing value at work: Who benefits? Part 2 – Measurements report.</w:t>
      </w:r>
      <w:r w:rsidRPr="49F3A3DB" w:rsidR="5B543110">
        <w:rPr>
          <w:rFonts w:ascii="Aptos" w:hAnsi="Aptos" w:eastAsia="Aptos" w:cs="Aptos"/>
          <w:noProof w:val="0"/>
          <w:color w:val="000000" w:themeColor="text1" w:themeTint="FF" w:themeShade="FF"/>
          <w:sz w:val="24"/>
          <w:szCs w:val="24"/>
          <w:lang w:val="en-US"/>
        </w:rPr>
        <w:t xml:space="preserve"> London: Chartered Institute of Personnel and Development.  </w:t>
      </w:r>
    </w:p>
    <w:p w:rsidR="49F3A3DB" w:rsidP="49F3A3DB" w:rsidRDefault="49F3A3DB" w14:paraId="0851F7CC" w14:textId="7D52C1A1">
      <w:pPr>
        <w:spacing w:before="0" w:beforeAutospacing="off" w:after="0" w:afterAutospacing="off"/>
        <w:rPr>
          <w:rFonts w:ascii="Aptos" w:hAnsi="Aptos" w:eastAsia="Aptos" w:cs="Aptos"/>
          <w:noProof w:val="0"/>
          <w:color w:val="000000" w:themeColor="text1" w:themeTint="FF" w:themeShade="FF"/>
          <w:sz w:val="24"/>
          <w:szCs w:val="24"/>
          <w:lang w:val="en-US"/>
        </w:rPr>
      </w:pPr>
    </w:p>
    <w:p w:rsidR="5B543110" w:rsidP="49F3A3DB" w:rsidRDefault="5B543110" w14:paraId="2ABECC21" w14:textId="08421830">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72F31B64" w14:textId="1AEBCB69">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Frischhut, M. (2019) The Ethical Spirit of EU Law. 1st ed. 2019. Cham: Springer Nature. Available at: </w:t>
      </w:r>
      <w:hyperlink r:id="R838003e221b44dcb">
        <w:r w:rsidRPr="49F3A3DB" w:rsidR="5B543110">
          <w:rPr>
            <w:rStyle w:val="Hyperlink"/>
            <w:rFonts w:ascii="Aptos" w:hAnsi="Aptos" w:eastAsia="Aptos" w:cs="Aptos"/>
            <w:strike w:val="0"/>
            <w:dstrike w:val="0"/>
            <w:noProof w:val="0"/>
            <w:sz w:val="24"/>
            <w:szCs w:val="24"/>
            <w:lang w:val="en-US"/>
          </w:rPr>
          <w:t>https://doi.org/10.1007/978-3-030-10582-2</w:t>
        </w:r>
      </w:hyperlink>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5018E8A2" w14:textId="620CA521">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328A9F9E" w14:textId="11B1ED4A">
      <w:pPr>
        <w:spacing w:before="0" w:beforeAutospacing="off" w:after="0" w:afterAutospacing="off"/>
        <w:rPr>
          <w:rFonts w:ascii="Aptos" w:hAnsi="Aptos" w:eastAsia="Aptos" w:cs="Aptos"/>
          <w:noProof w:val="0"/>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Garrad, L.K., and Hyland, P.K. (2020) ‘Employee survey research: A critical review of theory and practice’, in W. Macey (ed.), A. Fink (ed.), Employee surveys and sensing: challenges and opportunities. Available at: </w:t>
      </w:r>
      <w:hyperlink r:id="Rb6a35084c6874917">
        <w:r w:rsidRPr="49F3A3DB" w:rsidR="5B543110">
          <w:rPr>
            <w:rStyle w:val="Hyperlink"/>
            <w:rFonts w:ascii="Aptos" w:hAnsi="Aptos" w:eastAsia="Aptos" w:cs="Aptos"/>
            <w:strike w:val="0"/>
            <w:dstrike w:val="0"/>
            <w:noProof w:val="0"/>
            <w:sz w:val="24"/>
            <w:szCs w:val="24"/>
            <w:lang w:val="en-US"/>
          </w:rPr>
          <w:t>https://doi-org.uwtsd.idm.oclc.org/10.1093/oso/9780190939717.003.0023</w:t>
        </w:r>
      </w:hyperlink>
      <w:r w:rsidRPr="49F3A3DB" w:rsidR="5B543110">
        <w:rPr>
          <w:rFonts w:ascii="Aptos" w:hAnsi="Aptos" w:eastAsia="Aptos" w:cs="Aptos"/>
          <w:noProof w:val="0"/>
          <w:sz w:val="24"/>
          <w:szCs w:val="24"/>
          <w:lang w:val="en-US"/>
        </w:rPr>
        <w:t>.</w:t>
      </w:r>
    </w:p>
    <w:p w:rsidR="5B543110" w:rsidP="49F3A3DB" w:rsidRDefault="5B543110" w14:paraId="628C54F4" w14:textId="64E256AF">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65CC04BC" w14:textId="42517637">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Gowans, E. (2025) ‘How to measure and maximise L&amp;D ROI: A complete guide for 2026’, </w:t>
      </w:r>
      <w:r w:rsidRPr="49F3A3DB" w:rsidR="5B543110">
        <w:rPr>
          <w:rFonts w:ascii="Aptos" w:hAnsi="Aptos" w:eastAsia="Aptos" w:cs="Aptos"/>
          <w:i w:val="1"/>
          <w:iCs w:val="1"/>
          <w:noProof w:val="0"/>
          <w:color w:val="000000" w:themeColor="text1" w:themeTint="FF" w:themeShade="FF"/>
          <w:sz w:val="24"/>
          <w:szCs w:val="24"/>
          <w:lang w:val="en-US"/>
        </w:rPr>
        <w:t>Access</w:t>
      </w:r>
      <w:r w:rsidRPr="49F3A3DB" w:rsidR="5B543110">
        <w:rPr>
          <w:rFonts w:ascii="Aptos" w:hAnsi="Aptos" w:eastAsia="Aptos" w:cs="Aptos"/>
          <w:noProof w:val="0"/>
          <w:color w:val="000000" w:themeColor="text1" w:themeTint="FF" w:themeShade="FF"/>
          <w:sz w:val="24"/>
          <w:szCs w:val="24"/>
          <w:lang w:val="en-US"/>
        </w:rPr>
        <w:t xml:space="preserve">, 7 November. Available at: </w:t>
      </w:r>
      <w:hyperlink r:id="Re02dab10db964a3b">
        <w:r w:rsidRPr="49F3A3DB" w:rsidR="5B543110">
          <w:rPr>
            <w:rStyle w:val="Hyperlink"/>
            <w:rFonts w:ascii="Aptos" w:hAnsi="Aptos" w:eastAsia="Aptos" w:cs="Aptos"/>
            <w:strike w:val="0"/>
            <w:dstrike w:val="0"/>
            <w:noProof w:val="0"/>
            <w:sz w:val="24"/>
            <w:szCs w:val="24"/>
            <w:lang w:val="en-US"/>
          </w:rPr>
          <w:t>www.theaccessgroup.com/en-gb/digital-learning/resources/measuring-roi-in-learning-and-development/</w:t>
        </w:r>
      </w:hyperlink>
      <w:r w:rsidRPr="49F3A3DB" w:rsidR="5B543110">
        <w:rPr>
          <w:rFonts w:ascii="Aptos" w:hAnsi="Aptos" w:eastAsia="Aptos" w:cs="Aptos"/>
          <w:noProof w:val="0"/>
          <w:color w:val="000000" w:themeColor="text1" w:themeTint="FF" w:themeShade="FF"/>
          <w:sz w:val="24"/>
          <w:szCs w:val="24"/>
          <w:lang w:val="en-US"/>
        </w:rPr>
        <w:t xml:space="preserve"> (Accessed: 29 January 2026).  </w:t>
      </w:r>
    </w:p>
    <w:p w:rsidR="5B543110" w:rsidP="49F3A3DB" w:rsidRDefault="5B543110" w14:paraId="6AC397AE" w14:textId="54588C1C">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584ADF92" w14:textId="7FA439E7">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Haber, J. (2020) Critical thinking. 1st ed. Cambridge: The MIT Press.  </w:t>
      </w:r>
    </w:p>
    <w:p w:rsidR="49F3A3DB" w:rsidP="49F3A3DB" w:rsidRDefault="49F3A3DB" w14:paraId="6BF1A6B4" w14:textId="28B31FB9">
      <w:pPr>
        <w:spacing w:before="0" w:beforeAutospacing="off" w:after="0" w:afterAutospacing="off"/>
        <w:rPr>
          <w:rFonts w:ascii="Aptos" w:hAnsi="Aptos" w:eastAsia="Aptos" w:cs="Aptos"/>
          <w:noProof w:val="0"/>
          <w:color w:val="000000" w:themeColor="text1" w:themeTint="FF" w:themeShade="FF"/>
          <w:sz w:val="24"/>
          <w:szCs w:val="24"/>
          <w:lang w:val="en-US"/>
        </w:rPr>
      </w:pPr>
    </w:p>
    <w:p w:rsidR="5B543110" w:rsidP="49F3A3DB" w:rsidRDefault="5B543110" w14:paraId="61998B59" w14:textId="389FA72D">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Hayden, D. (2025a) </w:t>
      </w:r>
      <w:r w:rsidRPr="49F3A3DB" w:rsidR="5B543110">
        <w:rPr>
          <w:rFonts w:ascii="Aptos" w:hAnsi="Aptos" w:eastAsia="Aptos" w:cs="Aptos"/>
          <w:i w:val="1"/>
          <w:iCs w:val="1"/>
          <w:noProof w:val="0"/>
          <w:color w:val="000000" w:themeColor="text1" w:themeTint="FF" w:themeShade="FF"/>
          <w:sz w:val="24"/>
          <w:szCs w:val="24"/>
          <w:lang w:val="en-US"/>
        </w:rPr>
        <w:t>PESTLE Analysis</w:t>
      </w:r>
      <w:r w:rsidRPr="49F3A3DB" w:rsidR="5B543110">
        <w:rPr>
          <w:rFonts w:ascii="Aptos" w:hAnsi="Aptos" w:eastAsia="Aptos" w:cs="Aptos"/>
          <w:noProof w:val="0"/>
          <w:color w:val="000000" w:themeColor="text1" w:themeTint="FF" w:themeShade="FF"/>
          <w:sz w:val="24"/>
          <w:szCs w:val="24"/>
          <w:lang w:val="en-US"/>
        </w:rPr>
        <w:t xml:space="preserve">. Available at: </w:t>
      </w:r>
      <w:hyperlink r:id="R9bc7eaee13774105">
        <w:r w:rsidRPr="49F3A3DB" w:rsidR="5B543110">
          <w:rPr>
            <w:rStyle w:val="Hyperlink"/>
            <w:rFonts w:ascii="Aptos" w:hAnsi="Aptos" w:eastAsia="Aptos" w:cs="Aptos"/>
            <w:strike w:val="0"/>
            <w:dstrike w:val="0"/>
            <w:noProof w:val="0"/>
            <w:sz w:val="24"/>
            <w:szCs w:val="24"/>
            <w:lang w:val="en-US"/>
          </w:rPr>
          <w:t>https://www.cipd.org/uk/knowledge/factsheets/pestle-analysis-factsheet/</w:t>
        </w:r>
      </w:hyperlink>
      <w:r w:rsidRPr="49F3A3DB" w:rsidR="5B543110">
        <w:rPr>
          <w:rFonts w:ascii="Aptos" w:hAnsi="Aptos" w:eastAsia="Aptos" w:cs="Aptos"/>
          <w:noProof w:val="0"/>
          <w:color w:val="000000" w:themeColor="text1" w:themeTint="FF" w:themeShade="FF"/>
          <w:sz w:val="24"/>
          <w:szCs w:val="24"/>
          <w:lang w:val="en-US"/>
        </w:rPr>
        <w:t xml:space="preserve"> (Accessed: 21 January 2026).   </w:t>
      </w:r>
    </w:p>
    <w:p w:rsidR="5B543110" w:rsidP="49F3A3DB" w:rsidRDefault="5B543110" w14:paraId="454DD923" w14:textId="2CD718D1">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73AB0F23" w14:textId="7F1D676B">
      <w:pPr>
        <w:spacing w:before="0" w:beforeAutospacing="off" w:after="160" w:afterAutospacing="off" w:line="276" w:lineRule="auto"/>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Hayden, D. (2025b)</w:t>
      </w:r>
      <w:r w:rsidRPr="49F3A3DB" w:rsidR="5B543110">
        <w:rPr>
          <w:rFonts w:ascii="Aptos" w:hAnsi="Aptos" w:eastAsia="Aptos" w:cs="Aptos"/>
          <w:i w:val="1"/>
          <w:iCs w:val="1"/>
          <w:noProof w:val="0"/>
          <w:color w:val="000000" w:themeColor="text1" w:themeTint="FF" w:themeShade="FF"/>
          <w:sz w:val="24"/>
          <w:szCs w:val="24"/>
          <w:lang w:val="en-US"/>
        </w:rPr>
        <w:t xml:space="preserve"> Methods of delivering learning interventions</w:t>
      </w:r>
      <w:r w:rsidRPr="49F3A3DB" w:rsidR="5B543110">
        <w:rPr>
          <w:rFonts w:ascii="Aptos" w:hAnsi="Aptos" w:eastAsia="Aptos" w:cs="Aptos"/>
          <w:noProof w:val="0"/>
          <w:color w:val="000000" w:themeColor="text1" w:themeTint="FF" w:themeShade="FF"/>
          <w:sz w:val="24"/>
          <w:szCs w:val="24"/>
          <w:lang w:val="en-US"/>
        </w:rPr>
        <w:t xml:space="preserve">. Available at: </w:t>
      </w:r>
      <w:hyperlink r:id="R1c91d40ae7d14d98">
        <w:r w:rsidRPr="49F3A3DB" w:rsidR="5B543110">
          <w:rPr>
            <w:rStyle w:val="Hyperlink"/>
            <w:rFonts w:ascii="Aptos" w:hAnsi="Aptos" w:eastAsia="Aptos" w:cs="Aptos"/>
            <w:strike w:val="0"/>
            <w:dstrike w:val="0"/>
            <w:noProof w:val="0"/>
            <w:sz w:val="24"/>
            <w:szCs w:val="24"/>
            <w:lang w:val="en-US"/>
          </w:rPr>
          <w:t>https://www.cipd.org/uk/knowledge/factsheets/learning-methods-factsheet/</w:t>
        </w:r>
      </w:hyperlink>
      <w:r w:rsidRPr="49F3A3DB" w:rsidR="5B543110">
        <w:rPr>
          <w:rFonts w:ascii="Aptos" w:hAnsi="Aptos" w:eastAsia="Aptos" w:cs="Aptos"/>
          <w:noProof w:val="0"/>
          <w:color w:val="000000" w:themeColor="text1" w:themeTint="FF" w:themeShade="FF"/>
          <w:sz w:val="24"/>
          <w:szCs w:val="24"/>
          <w:lang w:val="en-US"/>
        </w:rPr>
        <w:t xml:space="preserve"> (Accessed: 01 February 2026). </w:t>
      </w:r>
    </w:p>
    <w:p w:rsidR="5B543110" w:rsidP="49F3A3DB" w:rsidRDefault="5B543110" w14:paraId="06D67B18" w14:textId="339DE290">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Hoffman, B. (2024) ‘Confirmation bias: What is it and how to overcome it’, </w:t>
      </w:r>
      <w:r w:rsidRPr="49F3A3DB" w:rsidR="5B543110">
        <w:rPr>
          <w:rFonts w:ascii="Aptos" w:hAnsi="Aptos" w:eastAsia="Aptos" w:cs="Aptos"/>
          <w:i w:val="1"/>
          <w:iCs w:val="1"/>
          <w:noProof w:val="0"/>
          <w:color w:val="000000" w:themeColor="text1" w:themeTint="FF" w:themeShade="FF"/>
          <w:sz w:val="24"/>
          <w:szCs w:val="24"/>
          <w:lang w:val="en-US"/>
        </w:rPr>
        <w:t>Forbes</w:t>
      </w:r>
      <w:r w:rsidRPr="49F3A3DB" w:rsidR="5B543110">
        <w:rPr>
          <w:rFonts w:ascii="Aptos" w:hAnsi="Aptos" w:eastAsia="Aptos" w:cs="Aptos"/>
          <w:noProof w:val="0"/>
          <w:color w:val="000000" w:themeColor="text1" w:themeTint="FF" w:themeShade="FF"/>
          <w:sz w:val="24"/>
          <w:szCs w:val="24"/>
          <w:lang w:val="en-US"/>
        </w:rPr>
        <w:t xml:space="preserve">, 20 July. Available at: </w:t>
      </w:r>
      <w:hyperlink r:id="R8c58f6c4d40849e2">
        <w:r w:rsidRPr="49F3A3DB" w:rsidR="5B543110">
          <w:rPr>
            <w:rStyle w:val="Hyperlink"/>
            <w:rFonts w:ascii="Aptos" w:hAnsi="Aptos" w:eastAsia="Aptos" w:cs="Aptos"/>
            <w:strike w:val="0"/>
            <w:dstrike w:val="0"/>
            <w:noProof w:val="0"/>
            <w:sz w:val="24"/>
            <w:szCs w:val="24"/>
            <w:lang w:val="en-US"/>
          </w:rPr>
          <w:t>Confirmation Bias: What It Is And How To Overcome It</w:t>
        </w:r>
      </w:hyperlink>
      <w:r w:rsidRPr="49F3A3DB" w:rsidR="5B543110">
        <w:rPr>
          <w:rFonts w:ascii="Aptos" w:hAnsi="Aptos" w:eastAsia="Aptos" w:cs="Aptos"/>
          <w:noProof w:val="0"/>
          <w:color w:val="000000" w:themeColor="text1" w:themeTint="FF" w:themeShade="FF"/>
          <w:sz w:val="24"/>
          <w:szCs w:val="24"/>
          <w:lang w:val="en-US"/>
        </w:rPr>
        <w:t xml:space="preserve"> (Accessed: 19 January 2026).    </w:t>
      </w:r>
    </w:p>
    <w:p w:rsidR="5B543110" w:rsidP="49F3A3DB" w:rsidRDefault="5B543110" w14:paraId="5FB1299A" w14:textId="3F2A875B">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04CEDFB3" w14:textId="585872C4">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Hogarth, A. and McCartney, C. (2024). </w:t>
      </w:r>
      <w:r w:rsidRPr="49F3A3DB" w:rsidR="5B543110">
        <w:rPr>
          <w:rFonts w:ascii="Aptos" w:hAnsi="Aptos" w:eastAsia="Aptos" w:cs="Aptos"/>
          <w:i w:val="1"/>
          <w:iCs w:val="1"/>
          <w:noProof w:val="0"/>
          <w:color w:val="000000" w:themeColor="text1" w:themeTint="FF" w:themeShade="FF"/>
          <w:sz w:val="24"/>
          <w:szCs w:val="24"/>
          <w:lang w:val="en-US"/>
        </w:rPr>
        <w:t>Resourcing and talent planning report 2024</w:t>
      </w:r>
      <w:r w:rsidRPr="49F3A3DB" w:rsidR="5B543110">
        <w:rPr>
          <w:rFonts w:ascii="Aptos" w:hAnsi="Aptos" w:eastAsia="Aptos" w:cs="Aptos"/>
          <w:noProof w:val="0"/>
          <w:color w:val="000000" w:themeColor="text1" w:themeTint="FF" w:themeShade="FF"/>
          <w:sz w:val="24"/>
          <w:szCs w:val="24"/>
          <w:lang w:val="en-US"/>
        </w:rPr>
        <w:t xml:space="preserve">. London: Chartered Institute of Personnel and Development. </w:t>
      </w:r>
    </w:p>
    <w:p w:rsidR="5B543110" w:rsidP="49F3A3DB" w:rsidRDefault="5B543110" w14:paraId="2C6BCC44" w14:textId="65424D59">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759A76C3" w14:textId="0B4C951A">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Houghton, E., and Green, M. (2018). People analytics: driving business performance with people data -</w:t>
      </w:r>
      <w:r w:rsidRPr="49F3A3DB" w:rsidR="5B543110">
        <w:rPr>
          <w:rFonts w:ascii="Aptos" w:hAnsi="Aptos" w:eastAsia="Aptos" w:cs="Aptos"/>
          <w:i w:val="1"/>
          <w:iCs w:val="1"/>
          <w:noProof w:val="0"/>
          <w:color w:val="000000" w:themeColor="text1" w:themeTint="FF" w:themeShade="FF"/>
          <w:sz w:val="24"/>
          <w:szCs w:val="24"/>
          <w:lang w:val="en-US"/>
        </w:rPr>
        <w:t xml:space="preserve"> UK </w:t>
      </w:r>
      <w:r w:rsidRPr="49F3A3DB" w:rsidR="5B543110">
        <w:rPr>
          <w:rFonts w:ascii="Aptos" w:hAnsi="Aptos" w:eastAsia="Aptos" w:cs="Aptos"/>
          <w:i w:val="1"/>
          <w:iCs w:val="1"/>
          <w:noProof w:val="0"/>
          <w:color w:val="000000" w:themeColor="text1" w:themeTint="FF" w:themeShade="FF"/>
          <w:sz w:val="24"/>
          <w:szCs w:val="24"/>
          <w:lang w:val="en-US"/>
        </w:rPr>
        <w:t>focus</w:t>
      </w:r>
      <w:r w:rsidRPr="49F3A3DB" w:rsidR="5B543110">
        <w:rPr>
          <w:rFonts w:ascii="Aptos" w:hAnsi="Aptos" w:eastAsia="Aptos" w:cs="Aptos"/>
          <w:noProof w:val="0"/>
          <w:color w:val="000000" w:themeColor="text1" w:themeTint="FF" w:themeShade="FF"/>
          <w:sz w:val="24"/>
          <w:szCs w:val="24"/>
          <w:lang w:val="en-US"/>
        </w:rPr>
        <w:t>.</w:t>
      </w:r>
      <w:r w:rsidRPr="49F3A3DB" w:rsidR="66D66406">
        <w:rPr>
          <w:rFonts w:ascii="Aptos" w:hAnsi="Aptos" w:eastAsia="Aptos" w:cs="Aptos"/>
          <w:noProof w:val="0"/>
          <w:color w:val="000000" w:themeColor="text1" w:themeTint="FF" w:themeShade="FF"/>
          <w:sz w:val="24"/>
          <w:szCs w:val="24"/>
          <w:lang w:val="en-US"/>
        </w:rPr>
        <w:t xml:space="preserve"> </w:t>
      </w:r>
      <w:r w:rsidRPr="49F3A3DB" w:rsidR="5B543110">
        <w:rPr>
          <w:rFonts w:ascii="Aptos" w:hAnsi="Aptos" w:eastAsia="Aptos" w:cs="Aptos"/>
          <w:noProof w:val="0"/>
          <w:color w:val="000000" w:themeColor="text1" w:themeTint="FF" w:themeShade="FF"/>
          <w:sz w:val="24"/>
          <w:szCs w:val="24"/>
          <w:lang w:val="en-US"/>
        </w:rPr>
        <w:t>Available</w:t>
      </w:r>
      <w:r w:rsidRPr="49F3A3DB" w:rsidR="5B543110">
        <w:rPr>
          <w:rFonts w:ascii="Aptos" w:hAnsi="Aptos" w:eastAsia="Aptos" w:cs="Aptos"/>
          <w:noProof w:val="0"/>
          <w:color w:val="000000" w:themeColor="text1" w:themeTint="FF" w:themeShade="FF"/>
          <w:sz w:val="24"/>
          <w:szCs w:val="24"/>
          <w:lang w:val="en-US"/>
        </w:rPr>
        <w:t xml:space="preserve"> at: </w:t>
      </w:r>
      <w:hyperlink r:id="R48681dfdec18499f">
        <w:r w:rsidRPr="49F3A3DB" w:rsidR="5B543110">
          <w:rPr>
            <w:rStyle w:val="Hyperlink"/>
            <w:rFonts w:ascii="Aptos" w:hAnsi="Aptos" w:eastAsia="Aptos" w:cs="Aptos"/>
            <w:strike w:val="0"/>
            <w:dstrike w:val="0"/>
            <w:noProof w:val="0"/>
            <w:sz w:val="24"/>
            <w:szCs w:val="24"/>
            <w:lang w:val="en-US"/>
          </w:rPr>
          <w:t>https://www.cipd.org/globalassets/media/knowledge/knowledge-hub/reports/people-analytics-uk-focus_2018_tcm18-47579.pdf</w:t>
        </w:r>
      </w:hyperlink>
      <w:r w:rsidRPr="49F3A3DB" w:rsidR="5B543110">
        <w:rPr>
          <w:rFonts w:ascii="Aptos" w:hAnsi="Aptos" w:eastAsia="Aptos" w:cs="Aptos"/>
          <w:noProof w:val="0"/>
          <w:color w:val="000000" w:themeColor="text1" w:themeTint="FF" w:themeShade="FF"/>
          <w:sz w:val="24"/>
          <w:szCs w:val="24"/>
          <w:lang w:val="en-US"/>
        </w:rPr>
        <w:t xml:space="preserve"> (Accessed: 30 January 2026). </w:t>
      </w:r>
    </w:p>
    <w:p w:rsidR="5B543110" w:rsidP="49F3A3DB" w:rsidRDefault="5B543110" w14:paraId="08E31CD0" w14:textId="1959C57B">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6F39CD9E" w14:textId="290576B8">
      <w:pPr>
        <w:spacing w:before="0" w:beforeAutospacing="off" w:after="160" w:afterAutospacing="off" w:line="276" w:lineRule="auto"/>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i w:val="1"/>
          <w:iCs w:val="1"/>
          <w:noProof w:val="0"/>
          <w:color w:val="000000" w:themeColor="text1" w:themeTint="FF" w:themeShade="FF"/>
          <w:sz w:val="24"/>
          <w:szCs w:val="24"/>
          <w:lang w:val="en-US"/>
        </w:rPr>
        <w:t xml:space="preserve">ISpring LMS. </w:t>
      </w:r>
      <w:r w:rsidRPr="49F3A3DB" w:rsidR="5B543110">
        <w:rPr>
          <w:rFonts w:ascii="Aptos" w:hAnsi="Aptos" w:eastAsia="Aptos" w:cs="Aptos"/>
          <w:noProof w:val="0"/>
          <w:color w:val="000000" w:themeColor="text1" w:themeTint="FF" w:themeShade="FF"/>
          <w:sz w:val="24"/>
          <w:szCs w:val="24"/>
          <w:lang w:val="en-US"/>
        </w:rPr>
        <w:t xml:space="preserve">Available at: </w:t>
      </w:r>
      <w:hyperlink r:id="R3a2d9052954c4c26">
        <w:r w:rsidRPr="49F3A3DB" w:rsidR="5B543110">
          <w:rPr>
            <w:rStyle w:val="Hyperlink"/>
            <w:rFonts w:ascii="Aptos" w:hAnsi="Aptos" w:eastAsia="Aptos" w:cs="Aptos"/>
            <w:strike w:val="0"/>
            <w:dstrike w:val="0"/>
            <w:noProof w:val="0"/>
            <w:sz w:val="24"/>
            <w:szCs w:val="24"/>
            <w:lang w:val="en-US"/>
          </w:rPr>
          <w:t>https://www.ispring.com/pricing</w:t>
        </w:r>
      </w:hyperlink>
      <w:r w:rsidRPr="49F3A3DB" w:rsidR="5B543110">
        <w:rPr>
          <w:rFonts w:ascii="Aptos" w:hAnsi="Aptos" w:eastAsia="Aptos" w:cs="Aptos"/>
          <w:noProof w:val="0"/>
          <w:color w:val="000000" w:themeColor="text1" w:themeTint="FF" w:themeShade="FF"/>
          <w:sz w:val="24"/>
          <w:szCs w:val="24"/>
          <w:lang w:val="en-US"/>
        </w:rPr>
        <w:t xml:space="preserve"> (Accessed: 01 February 2026). </w:t>
      </w:r>
    </w:p>
    <w:p w:rsidR="5B543110" w:rsidP="49F3A3DB" w:rsidRDefault="5B543110" w14:paraId="3EDEE7DA" w14:textId="7B54AB1D">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Jackson, I. (2024) ‘Three quarters of employers do not regularly check on staff morale, report reveals’, </w:t>
      </w:r>
      <w:r w:rsidRPr="49F3A3DB" w:rsidR="5B543110">
        <w:rPr>
          <w:rFonts w:ascii="Aptos" w:hAnsi="Aptos" w:eastAsia="Aptos" w:cs="Aptos"/>
          <w:i w:val="1"/>
          <w:iCs w:val="1"/>
          <w:noProof w:val="0"/>
          <w:color w:val="000000" w:themeColor="text1" w:themeTint="FF" w:themeShade="FF"/>
          <w:sz w:val="24"/>
          <w:szCs w:val="24"/>
          <w:lang w:val="en-US"/>
        </w:rPr>
        <w:t>People Management</w:t>
      </w:r>
      <w:r w:rsidRPr="49F3A3DB" w:rsidR="5B543110">
        <w:rPr>
          <w:rFonts w:ascii="Aptos" w:hAnsi="Aptos" w:eastAsia="Aptos" w:cs="Aptos"/>
          <w:noProof w:val="0"/>
          <w:color w:val="000000" w:themeColor="text1" w:themeTint="FF" w:themeShade="FF"/>
          <w:sz w:val="24"/>
          <w:szCs w:val="24"/>
          <w:lang w:val="en-US"/>
        </w:rPr>
        <w:t xml:space="preserve">, 7 February. Available at: </w:t>
      </w:r>
      <w:hyperlink r:id="R555586810f344450">
        <w:r w:rsidRPr="49F3A3DB" w:rsidR="5B543110">
          <w:rPr>
            <w:rStyle w:val="Hyperlink"/>
            <w:rFonts w:ascii="Aptos" w:hAnsi="Aptos" w:eastAsia="Aptos" w:cs="Aptos"/>
            <w:strike w:val="0"/>
            <w:dstrike w:val="0"/>
            <w:noProof w:val="0"/>
            <w:sz w:val="24"/>
            <w:szCs w:val="24"/>
            <w:lang w:val="en-US"/>
          </w:rPr>
          <w:t>https://www.peoplemanagement.co.uk/article/1860564/three-quarters-employers-not-regularly-check-staff-morale-report-reveals</w:t>
        </w:r>
      </w:hyperlink>
      <w:r w:rsidRPr="49F3A3DB" w:rsidR="5B543110">
        <w:rPr>
          <w:rFonts w:ascii="Aptos" w:hAnsi="Aptos" w:eastAsia="Aptos" w:cs="Aptos"/>
          <w:noProof w:val="0"/>
          <w:color w:val="000000" w:themeColor="text1" w:themeTint="FF" w:themeShade="FF"/>
          <w:sz w:val="24"/>
          <w:szCs w:val="24"/>
          <w:lang w:val="en-US"/>
        </w:rPr>
        <w:t xml:space="preserve"> (Accessed: 21 January 2026).  </w:t>
      </w:r>
    </w:p>
    <w:p w:rsidR="5B543110" w:rsidP="49F3A3DB" w:rsidRDefault="5B543110" w14:paraId="17861927" w14:textId="09EC92A5">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0A0C382E" w14:textId="1A85C4D3">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Jin, W.Y. and Peng, M. (2021) ‘The Effects of Social Perception on Moral Judgment’, Frontiers in psychology, 11, p. 557216. Available at: </w:t>
      </w:r>
      <w:hyperlink r:id="Ra85eae38204046f0">
        <w:r w:rsidRPr="49F3A3DB" w:rsidR="5B543110">
          <w:rPr>
            <w:rStyle w:val="Hyperlink"/>
            <w:rFonts w:ascii="Aptos" w:hAnsi="Aptos" w:eastAsia="Aptos" w:cs="Aptos"/>
            <w:strike w:val="0"/>
            <w:dstrike w:val="0"/>
            <w:noProof w:val="0"/>
            <w:sz w:val="24"/>
            <w:szCs w:val="24"/>
            <w:lang w:val="en-US"/>
          </w:rPr>
          <w:t>https://doi.org/10.3389/fpsyg.2020.557216</w:t>
        </w:r>
      </w:hyperlink>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296C87AF" w14:textId="235B44D2">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72462A05" w14:textId="7D3A8210">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Johnson, N. (2025) ‘Are staff surveys making employees too entitled?’, </w:t>
      </w:r>
      <w:r w:rsidRPr="49F3A3DB" w:rsidR="5B543110">
        <w:rPr>
          <w:rFonts w:ascii="Aptos" w:hAnsi="Aptos" w:eastAsia="Aptos" w:cs="Aptos"/>
          <w:i w:val="1"/>
          <w:iCs w:val="1"/>
          <w:noProof w:val="0"/>
          <w:color w:val="000000" w:themeColor="text1" w:themeTint="FF" w:themeShade="FF"/>
          <w:sz w:val="24"/>
          <w:szCs w:val="24"/>
          <w:lang w:val="en-US"/>
        </w:rPr>
        <w:t>HR Zone</w:t>
      </w:r>
      <w:r w:rsidRPr="49F3A3DB" w:rsidR="5B543110">
        <w:rPr>
          <w:rFonts w:ascii="Aptos" w:hAnsi="Aptos" w:eastAsia="Aptos" w:cs="Aptos"/>
          <w:noProof w:val="0"/>
          <w:color w:val="000000" w:themeColor="text1" w:themeTint="FF" w:themeShade="FF"/>
          <w:sz w:val="24"/>
          <w:szCs w:val="24"/>
          <w:lang w:val="en-US"/>
        </w:rPr>
        <w:t xml:space="preserve">, 9 December. Available at: </w:t>
      </w:r>
      <w:hyperlink r:id="Rc5c0150215b74de0">
        <w:r w:rsidRPr="49F3A3DB" w:rsidR="5B543110">
          <w:rPr>
            <w:rStyle w:val="Hyperlink"/>
            <w:rFonts w:ascii="Aptos" w:hAnsi="Aptos" w:eastAsia="Aptos" w:cs="Aptos"/>
            <w:strike w:val="0"/>
            <w:dstrike w:val="0"/>
            <w:noProof w:val="0"/>
            <w:sz w:val="24"/>
            <w:szCs w:val="24"/>
            <w:lang w:val="en-US"/>
          </w:rPr>
          <w:t>https://hrzone.com/2025-12-are-staff-surveys-making-employees-too-entitled/</w:t>
        </w:r>
      </w:hyperlink>
      <w:r w:rsidRPr="49F3A3DB" w:rsidR="5B543110">
        <w:rPr>
          <w:rFonts w:ascii="Aptos" w:hAnsi="Aptos" w:eastAsia="Aptos" w:cs="Aptos"/>
          <w:noProof w:val="0"/>
          <w:color w:val="000000" w:themeColor="text1" w:themeTint="FF" w:themeShade="FF"/>
          <w:sz w:val="24"/>
          <w:szCs w:val="24"/>
          <w:lang w:val="en-US"/>
        </w:rPr>
        <w:t xml:space="preserve"> (Accessed: 03 January 2026).  </w:t>
      </w:r>
    </w:p>
    <w:p w:rsidR="5B543110" w:rsidP="49F3A3DB" w:rsidRDefault="5B543110" w14:paraId="51FFE128" w14:textId="4D0A7E0A">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5A7B8A62" w14:textId="2948CE90">
      <w:pPr>
        <w:spacing w:before="0" w:beforeAutospacing="off" w:after="160" w:afterAutospacing="off" w:line="276" w:lineRule="auto"/>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Lamb, H. (2020)</w:t>
      </w:r>
      <w:r w:rsidRPr="49F3A3DB" w:rsidR="5B543110">
        <w:rPr>
          <w:rFonts w:ascii="Aptos" w:hAnsi="Aptos" w:eastAsia="Aptos" w:cs="Aptos"/>
          <w:i w:val="1"/>
          <w:iCs w:val="1"/>
          <w:noProof w:val="0"/>
          <w:color w:val="000000" w:themeColor="text1" w:themeTint="FF" w:themeShade="FF"/>
          <w:sz w:val="24"/>
          <w:szCs w:val="24"/>
          <w:lang w:val="en-US"/>
        </w:rPr>
        <w:t xml:space="preserve"> I’ll tell you something: E-learning has proved vital this year – here’s how to get to it right.</w:t>
      </w:r>
      <w:r w:rsidRPr="49F3A3DB" w:rsidR="5B543110">
        <w:rPr>
          <w:rFonts w:ascii="Aptos" w:hAnsi="Aptos" w:eastAsia="Aptos" w:cs="Aptos"/>
          <w:noProof w:val="0"/>
          <w:color w:val="000000" w:themeColor="text1" w:themeTint="FF" w:themeShade="FF"/>
          <w:sz w:val="24"/>
          <w:szCs w:val="24"/>
          <w:lang w:val="en-US"/>
        </w:rPr>
        <w:t xml:space="preserve"> Available at: </w:t>
      </w:r>
      <w:hyperlink r:id="Rc650413cbc5e4657">
        <w:r w:rsidRPr="49F3A3DB" w:rsidR="5B543110">
          <w:rPr>
            <w:rStyle w:val="Hyperlink"/>
            <w:rFonts w:ascii="Aptos" w:hAnsi="Aptos" w:eastAsia="Aptos" w:cs="Aptos"/>
            <w:strike w:val="0"/>
            <w:dstrike w:val="0"/>
            <w:noProof w:val="0"/>
            <w:sz w:val="24"/>
            <w:szCs w:val="24"/>
            <w:lang w:val="en-US"/>
          </w:rPr>
          <w:t>https://www.cipd.org/uk/about/news/get-e-learning-right/</w:t>
        </w:r>
      </w:hyperlink>
      <w:r w:rsidRPr="49F3A3DB" w:rsidR="5B543110">
        <w:rPr>
          <w:rFonts w:ascii="Aptos" w:hAnsi="Aptos" w:eastAsia="Aptos" w:cs="Aptos"/>
          <w:noProof w:val="0"/>
          <w:color w:val="000000" w:themeColor="text1" w:themeTint="FF" w:themeShade="FF"/>
          <w:sz w:val="24"/>
          <w:szCs w:val="24"/>
          <w:lang w:val="en-US"/>
        </w:rPr>
        <w:t xml:space="preserve"> (Accessed: 29 January 2026). </w:t>
      </w:r>
    </w:p>
    <w:p w:rsidR="5B543110" w:rsidP="49F3A3DB" w:rsidRDefault="5B543110" w14:paraId="12427DB1" w14:textId="2EDA7B9C">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Lamb, P. (2019) </w:t>
      </w:r>
      <w:r w:rsidRPr="49F3A3DB" w:rsidR="5B543110">
        <w:rPr>
          <w:rFonts w:ascii="Aptos" w:hAnsi="Aptos" w:eastAsia="Aptos" w:cs="Aptos"/>
          <w:i w:val="1"/>
          <w:iCs w:val="1"/>
          <w:noProof w:val="0"/>
          <w:color w:val="000000" w:themeColor="text1" w:themeTint="FF" w:themeShade="FF"/>
          <w:sz w:val="24"/>
          <w:szCs w:val="24"/>
          <w:lang w:val="en-US"/>
        </w:rPr>
        <w:t>Podcast 154: How to think well and critically reflect objectively on the ideas, opinions and arguments of others</w:t>
      </w:r>
      <w:r w:rsidRPr="49F3A3DB" w:rsidR="5B543110">
        <w:rPr>
          <w:rFonts w:ascii="Aptos" w:hAnsi="Aptos" w:eastAsia="Aptos" w:cs="Aptos"/>
          <w:noProof w:val="0"/>
          <w:color w:val="000000" w:themeColor="text1" w:themeTint="FF" w:themeShade="FF"/>
          <w:sz w:val="24"/>
          <w:szCs w:val="24"/>
          <w:lang w:val="en-US"/>
        </w:rPr>
        <w:t xml:space="preserve"> [podcast]. 5 November. Available at: </w:t>
      </w:r>
      <w:hyperlink r:id="R5debea24f41e483b">
        <w:r w:rsidRPr="49F3A3DB" w:rsidR="5B543110">
          <w:rPr>
            <w:rStyle w:val="Hyperlink"/>
            <w:rFonts w:ascii="Aptos" w:hAnsi="Aptos" w:eastAsia="Aptos" w:cs="Aptos"/>
            <w:strike w:val="0"/>
            <w:dstrike w:val="0"/>
            <w:noProof w:val="0"/>
            <w:sz w:val="24"/>
            <w:szCs w:val="24"/>
            <w:lang w:val="en-US"/>
          </w:rPr>
          <w:t>Critical thinking | Podcast | CIPD</w:t>
        </w:r>
      </w:hyperlink>
      <w:r w:rsidRPr="49F3A3DB" w:rsidR="5B543110">
        <w:rPr>
          <w:rFonts w:ascii="Aptos" w:hAnsi="Aptos" w:eastAsia="Aptos" w:cs="Aptos"/>
          <w:noProof w:val="0"/>
          <w:color w:val="000000" w:themeColor="text1" w:themeTint="FF" w:themeShade="FF"/>
          <w:sz w:val="24"/>
          <w:szCs w:val="24"/>
          <w:lang w:val="en-US"/>
        </w:rPr>
        <w:t xml:space="preserve"> (Accessed: 19 December 2025).  </w:t>
      </w:r>
    </w:p>
    <w:p w:rsidR="5B543110" w:rsidP="49F3A3DB" w:rsidRDefault="5B543110" w14:paraId="2CE7EC16" w14:textId="20BF42D0">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62FE7AF3" w14:textId="2699E7B6">
      <w:pPr>
        <w:spacing w:before="0" w:beforeAutospacing="off" w:after="160" w:afterAutospacing="off" w:line="276" w:lineRule="auto"/>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Lancaster, A. (2024) </w:t>
      </w:r>
      <w:r w:rsidRPr="49F3A3DB" w:rsidR="5B543110">
        <w:rPr>
          <w:rFonts w:ascii="Aptos" w:hAnsi="Aptos" w:eastAsia="Aptos" w:cs="Aptos"/>
          <w:i w:val="1"/>
          <w:iCs w:val="1"/>
          <w:noProof w:val="0"/>
          <w:color w:val="000000" w:themeColor="text1" w:themeTint="FF" w:themeShade="FF"/>
          <w:sz w:val="24"/>
          <w:szCs w:val="24"/>
          <w:lang w:val="en-US"/>
        </w:rPr>
        <w:t>Analysis | How L&amp;D can create value: Focusing on skills and development.</w:t>
      </w:r>
      <w:r w:rsidRPr="49F3A3DB" w:rsidR="5B543110">
        <w:rPr>
          <w:rFonts w:ascii="Aptos" w:hAnsi="Aptos" w:eastAsia="Aptos" w:cs="Aptos"/>
          <w:noProof w:val="0"/>
          <w:color w:val="000000" w:themeColor="text1" w:themeTint="FF" w:themeShade="FF"/>
          <w:sz w:val="24"/>
          <w:szCs w:val="24"/>
          <w:lang w:val="en-US"/>
        </w:rPr>
        <w:t xml:space="preserve"> Available at: </w:t>
      </w:r>
      <w:hyperlink r:id="R71bff31edf594e73">
        <w:r w:rsidRPr="49F3A3DB" w:rsidR="5B543110">
          <w:rPr>
            <w:rStyle w:val="Hyperlink"/>
            <w:rFonts w:ascii="Aptos" w:hAnsi="Aptos" w:eastAsia="Aptos" w:cs="Aptos"/>
            <w:strike w:val="0"/>
            <w:dstrike w:val="0"/>
            <w:noProof w:val="0"/>
            <w:sz w:val="24"/>
            <w:szCs w:val="24"/>
            <w:lang w:val="en-US"/>
          </w:rPr>
          <w:t>https://www.cipd.org/uk/views-and-insights/thought-leadership/insight/learning-value-skills-development/</w:t>
        </w:r>
      </w:hyperlink>
      <w:r w:rsidRPr="49F3A3DB" w:rsidR="5B543110">
        <w:rPr>
          <w:rFonts w:ascii="Aptos" w:hAnsi="Aptos" w:eastAsia="Aptos" w:cs="Aptos"/>
          <w:noProof w:val="0"/>
          <w:color w:val="000000" w:themeColor="text1" w:themeTint="FF" w:themeShade="FF"/>
          <w:sz w:val="24"/>
          <w:szCs w:val="24"/>
          <w:lang w:val="en-US"/>
        </w:rPr>
        <w:t xml:space="preserve">(Accessed: 28 January 2026). </w:t>
      </w:r>
    </w:p>
    <w:p w:rsidR="5B543110" w:rsidP="49F3A3DB" w:rsidRDefault="5B543110" w14:paraId="7C93CC5E" w14:textId="5D6A5F54">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Lemmon, G. (2024) “Innovation ROI Best Practices,” Research technology management, 67(5), pp. 57–62. Available at: </w:t>
      </w:r>
      <w:hyperlink r:id="R6736774e2e2a48e2">
        <w:r w:rsidRPr="49F3A3DB" w:rsidR="5B543110">
          <w:rPr>
            <w:rStyle w:val="Hyperlink"/>
            <w:rFonts w:ascii="Aptos" w:hAnsi="Aptos" w:eastAsia="Aptos" w:cs="Aptos"/>
            <w:strike w:val="0"/>
            <w:dstrike w:val="0"/>
            <w:noProof w:val="0"/>
            <w:sz w:val="24"/>
            <w:szCs w:val="24"/>
            <w:lang w:val="en-US"/>
          </w:rPr>
          <w:t>https://doi.org/10.1080/08956308.2024.2375933</w:t>
        </w:r>
      </w:hyperlink>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5DB315EF" w14:textId="52E5EFDF">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508D62B2" w14:textId="415CEBEF">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Malega, P., Daneshjo, N., Rudy, V. and Drabik, P. (2021) ‘PDCA Cycle – Tool for improvement of the business processes – Case study’, </w:t>
      </w:r>
      <w:r w:rsidRPr="49F3A3DB" w:rsidR="5B543110">
        <w:rPr>
          <w:rFonts w:ascii="Aptos" w:hAnsi="Aptos" w:eastAsia="Aptos" w:cs="Aptos"/>
          <w:i w:val="1"/>
          <w:iCs w:val="1"/>
          <w:noProof w:val="0"/>
          <w:color w:val="000000" w:themeColor="text1" w:themeTint="FF" w:themeShade="FF"/>
          <w:sz w:val="24"/>
          <w:szCs w:val="24"/>
          <w:lang w:val="en-US"/>
        </w:rPr>
        <w:t>TEM Journal</w:t>
      </w:r>
      <w:r w:rsidRPr="49F3A3DB" w:rsidR="5B543110">
        <w:rPr>
          <w:rFonts w:ascii="Aptos" w:hAnsi="Aptos" w:eastAsia="Aptos" w:cs="Aptos"/>
          <w:noProof w:val="0"/>
          <w:color w:val="000000" w:themeColor="text1" w:themeTint="FF" w:themeShade="FF"/>
          <w:sz w:val="24"/>
          <w:szCs w:val="24"/>
          <w:lang w:val="en-US"/>
        </w:rPr>
        <w:t xml:space="preserve">, 10(3), pp. 1336–1347. Available at: </w:t>
      </w:r>
      <w:hyperlink r:id="Reda6665cfd854e14">
        <w:r w:rsidRPr="49F3A3DB" w:rsidR="5B543110">
          <w:rPr>
            <w:rStyle w:val="Hyperlink"/>
            <w:rFonts w:ascii="Aptos" w:hAnsi="Aptos" w:eastAsia="Aptos" w:cs="Aptos"/>
            <w:strike w:val="0"/>
            <w:dstrike w:val="0"/>
            <w:noProof w:val="0"/>
            <w:sz w:val="24"/>
            <w:szCs w:val="24"/>
            <w:lang w:val="en-US"/>
          </w:rPr>
          <w:t>https://doi.org/10.18421/TEM103-42</w:t>
        </w:r>
      </w:hyperlink>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237F5ACA" w14:textId="45E1BF6D">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09EC3487" w14:textId="43BEB1FA">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Overton, L. (2023) Learning at work 2023 survey report. London: Chartered Institute of Personnel and Development.    </w:t>
      </w:r>
    </w:p>
    <w:p w:rsidR="5B543110" w:rsidP="49F3A3DB" w:rsidRDefault="5B543110" w14:paraId="5F032776" w14:textId="3A44937B">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30E04D7B" w14:textId="4F0D0437">
      <w:pPr>
        <w:spacing w:before="0" w:beforeAutospacing="off" w:after="160" w:afterAutospacing="off" w:line="276" w:lineRule="auto"/>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Pacelli, A. (2024) Research shows ‘misalignment’ between workforce skills and organisational goals. Available at: </w:t>
      </w:r>
      <w:hyperlink r:id="Rfbc5c62c36284273">
        <w:r w:rsidRPr="49F3A3DB" w:rsidR="5B543110">
          <w:rPr>
            <w:rStyle w:val="Hyperlink"/>
            <w:rFonts w:ascii="Aptos" w:hAnsi="Aptos" w:eastAsia="Aptos" w:cs="Aptos"/>
            <w:strike w:val="0"/>
            <w:dstrike w:val="0"/>
            <w:noProof w:val="0"/>
            <w:sz w:val="24"/>
            <w:szCs w:val="24"/>
            <w:lang w:val="en-US"/>
          </w:rPr>
          <w:t>https://hrreview.co.uk/hr-news/l-d-news/research-shows-misalignment-between-workforce-skills-and-organisational-goals/378378</w:t>
        </w:r>
      </w:hyperlink>
      <w:r w:rsidRPr="49F3A3DB" w:rsidR="5B543110">
        <w:rPr>
          <w:rFonts w:ascii="Aptos" w:hAnsi="Aptos" w:eastAsia="Aptos" w:cs="Aptos"/>
          <w:noProof w:val="0"/>
          <w:color w:val="000000" w:themeColor="text1" w:themeTint="FF" w:themeShade="FF"/>
          <w:sz w:val="24"/>
          <w:szCs w:val="24"/>
          <w:lang w:val="en-US"/>
        </w:rPr>
        <w:t xml:space="preserve"> (Accessed: 01 February 2026). </w:t>
      </w:r>
    </w:p>
    <w:p w:rsidR="5B543110" w:rsidP="49F3A3DB" w:rsidRDefault="5B543110" w14:paraId="7CFF37DF" w14:textId="584D78EE">
      <w:pPr>
        <w:spacing w:before="0" w:beforeAutospacing="off" w:after="160" w:afterAutospacing="off" w:line="276" w:lineRule="auto"/>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Regan, J .(2023) Why is 12 learners to 1 trainer an effective learning experience? Available at: </w:t>
      </w:r>
      <w:hyperlink r:id="Rae61775c01864ff0">
        <w:r w:rsidRPr="49F3A3DB" w:rsidR="5B543110">
          <w:rPr>
            <w:rStyle w:val="Hyperlink"/>
            <w:rFonts w:ascii="Aptos" w:hAnsi="Aptos" w:eastAsia="Aptos" w:cs="Aptos"/>
            <w:strike w:val="0"/>
            <w:dstrike w:val="0"/>
            <w:noProof w:val="0"/>
            <w:sz w:val="24"/>
            <w:szCs w:val="24"/>
            <w:lang w:val="en-US"/>
          </w:rPr>
          <w:t>https://resources.jmsconsultants.co.uk/news/12learners</w:t>
        </w:r>
      </w:hyperlink>
      <w:r w:rsidRPr="49F3A3DB" w:rsidR="5B543110">
        <w:rPr>
          <w:rFonts w:ascii="Aptos" w:hAnsi="Aptos" w:eastAsia="Aptos" w:cs="Aptos"/>
          <w:noProof w:val="0"/>
          <w:color w:val="000000" w:themeColor="text1" w:themeTint="FF" w:themeShade="FF"/>
          <w:sz w:val="24"/>
          <w:szCs w:val="24"/>
          <w:lang w:val="en-US"/>
        </w:rPr>
        <w:t xml:space="preserve"> (Accessed: 01 February 2026). </w:t>
      </w:r>
    </w:p>
    <w:p w:rsidR="5B543110" w:rsidP="49F3A3DB" w:rsidRDefault="5B543110" w14:paraId="5005388B" w14:textId="401E6DB7">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Russell, T., and Weeks, A. (2024) Ethics at work: An employer’s guide. Available at: </w:t>
      </w:r>
      <w:hyperlink r:id="R9916451feead4835">
        <w:r w:rsidRPr="49F3A3DB" w:rsidR="5B543110">
          <w:rPr>
            <w:rStyle w:val="Hyperlink"/>
            <w:rFonts w:ascii="Aptos" w:hAnsi="Aptos" w:eastAsia="Aptos" w:cs="Aptos"/>
            <w:strike w:val="0"/>
            <w:dstrike w:val="0"/>
            <w:noProof w:val="0"/>
            <w:sz w:val="24"/>
            <w:szCs w:val="24"/>
            <w:lang w:val="en-US"/>
          </w:rPr>
          <w:t>www.cipd.org/uk/knowledge/guides/ethics-work-guide</w:t>
        </w:r>
      </w:hyperlink>
      <w:r w:rsidRPr="49F3A3DB" w:rsidR="5B543110">
        <w:rPr>
          <w:rFonts w:ascii="Aptos" w:hAnsi="Aptos" w:eastAsia="Aptos" w:cs="Aptos"/>
          <w:noProof w:val="0"/>
          <w:color w:val="000000" w:themeColor="text1" w:themeTint="FF" w:themeShade="FF"/>
          <w:sz w:val="24"/>
          <w:szCs w:val="24"/>
          <w:lang w:val="en-US"/>
        </w:rPr>
        <w:t xml:space="preserve"> (Accessed: 28 January 2026). </w:t>
      </w:r>
    </w:p>
    <w:p w:rsidR="5B543110" w:rsidP="49F3A3DB" w:rsidRDefault="5B543110" w14:paraId="3A6308E1" w14:textId="5FD356E1">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74D99A79" w14:textId="109FF836">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Talent Management Institute (2023) HR metrics and analytics: A guide to success. Available at: </w:t>
      </w:r>
      <w:hyperlink r:id="R9ffb41d351854cd8">
        <w:r w:rsidRPr="49F3A3DB" w:rsidR="5B543110">
          <w:rPr>
            <w:rStyle w:val="Hyperlink"/>
            <w:rFonts w:ascii="Aptos" w:hAnsi="Aptos" w:eastAsia="Aptos" w:cs="Aptos"/>
            <w:strike w:val="0"/>
            <w:dstrike w:val="0"/>
            <w:noProof w:val="0"/>
            <w:sz w:val="24"/>
            <w:szCs w:val="24"/>
            <w:lang w:val="en-US"/>
          </w:rPr>
          <w:t>https://www.tmi.org/blogs/hr-metrics-and-analytics-a-guide-to-success</w:t>
        </w:r>
      </w:hyperlink>
      <w:r w:rsidRPr="49F3A3DB" w:rsidR="5B543110">
        <w:rPr>
          <w:rFonts w:ascii="Aptos" w:hAnsi="Aptos" w:eastAsia="Aptos" w:cs="Aptos"/>
          <w:noProof w:val="0"/>
          <w:color w:val="000000" w:themeColor="text1" w:themeTint="FF" w:themeShade="FF"/>
          <w:sz w:val="24"/>
          <w:szCs w:val="24"/>
          <w:lang w:val="en-US"/>
        </w:rPr>
        <w:t xml:space="preserve"> (Accessed: 30 January 2026). </w:t>
      </w:r>
    </w:p>
    <w:p w:rsidR="5B543110" w:rsidP="49F3A3DB" w:rsidRDefault="5B543110" w14:paraId="0EBB4D5E" w14:textId="38509AD1">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5FB429C9" w14:textId="62E1100A">
      <w:pPr>
        <w:spacing w:before="0" w:beforeAutospacing="off" w:after="160" w:afterAutospacing="off" w:line="276" w:lineRule="auto"/>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Taylor, S. and Chartered Institute of Personnel and Development, associated with work (2025) Resourcing and talent management: the theory and practice of recruiting and developing a workforce. Ninth edition. London: KoganPage. </w:t>
      </w:r>
    </w:p>
    <w:p w:rsidR="5B543110" w:rsidP="49F3A3DB" w:rsidRDefault="5B543110" w14:paraId="0C2567FD" w14:textId="6406945F">
      <w:pPr>
        <w:spacing w:before="0" w:beforeAutospacing="off" w:after="160" w:afterAutospacing="off" w:line="276" w:lineRule="auto"/>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Tuhey, J. (2024) E-learning at work: the benefits &amp; why it’s important [online]. </w:t>
      </w:r>
      <w:r w:rsidRPr="49F3A3DB" w:rsidR="5B543110">
        <w:rPr>
          <w:rFonts w:ascii="Aptos" w:hAnsi="Aptos" w:eastAsia="Aptos" w:cs="Aptos"/>
          <w:i w:val="1"/>
          <w:iCs w:val="1"/>
          <w:noProof w:val="0"/>
          <w:color w:val="000000" w:themeColor="text1" w:themeTint="FF" w:themeShade="FF"/>
          <w:sz w:val="24"/>
          <w:szCs w:val="24"/>
          <w:lang w:val="en-US"/>
        </w:rPr>
        <w:t>Access People HR</w:t>
      </w:r>
      <w:r w:rsidRPr="49F3A3DB" w:rsidR="5B543110">
        <w:rPr>
          <w:rFonts w:ascii="Aptos" w:hAnsi="Aptos" w:eastAsia="Aptos" w:cs="Aptos"/>
          <w:noProof w:val="0"/>
          <w:color w:val="000000" w:themeColor="text1" w:themeTint="FF" w:themeShade="FF"/>
          <w:sz w:val="24"/>
          <w:szCs w:val="24"/>
          <w:lang w:val="en-US"/>
        </w:rPr>
        <w:t xml:space="preserve">. Available at: </w:t>
      </w:r>
      <w:hyperlink r:id="R4fb2c77514c443fd">
        <w:r w:rsidRPr="49F3A3DB" w:rsidR="5B543110">
          <w:rPr>
            <w:rStyle w:val="Hyperlink"/>
            <w:rFonts w:ascii="Aptos" w:hAnsi="Aptos" w:eastAsia="Aptos" w:cs="Aptos"/>
            <w:strike w:val="0"/>
            <w:dstrike w:val="0"/>
            <w:noProof w:val="0"/>
            <w:sz w:val="24"/>
            <w:szCs w:val="24"/>
            <w:lang w:val="en-US"/>
          </w:rPr>
          <w:t>https://www.peoplehr.com/en-gb/resources/blog/elearning-at-work/</w:t>
        </w:r>
      </w:hyperlink>
      <w:r w:rsidRPr="49F3A3DB" w:rsidR="5B543110">
        <w:rPr>
          <w:rFonts w:ascii="Aptos" w:hAnsi="Aptos" w:eastAsia="Aptos" w:cs="Aptos"/>
          <w:noProof w:val="0"/>
          <w:color w:val="000000" w:themeColor="text1" w:themeTint="FF" w:themeShade="FF"/>
          <w:sz w:val="24"/>
          <w:szCs w:val="24"/>
          <w:lang w:val="en-US"/>
        </w:rPr>
        <w:t xml:space="preserve"> (Accessed: 31 January 2026). </w:t>
      </w:r>
    </w:p>
    <w:p w:rsidR="5B543110" w:rsidP="49F3A3DB" w:rsidRDefault="5B543110" w14:paraId="4C9AC031" w14:textId="73FB6B63">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Waverley, M. (2024) ‘The best way to deliver value as a people professional’, </w:t>
      </w:r>
      <w:r w:rsidRPr="49F3A3DB" w:rsidR="5B543110">
        <w:rPr>
          <w:rFonts w:ascii="Aptos" w:hAnsi="Aptos" w:eastAsia="Aptos" w:cs="Aptos"/>
          <w:i w:val="1"/>
          <w:iCs w:val="1"/>
          <w:noProof w:val="0"/>
          <w:color w:val="000000" w:themeColor="text1" w:themeTint="FF" w:themeShade="FF"/>
          <w:sz w:val="24"/>
          <w:szCs w:val="24"/>
          <w:lang w:val="en-US"/>
        </w:rPr>
        <w:t>People Management</w:t>
      </w:r>
      <w:r w:rsidRPr="49F3A3DB" w:rsidR="5B543110">
        <w:rPr>
          <w:rFonts w:ascii="Aptos" w:hAnsi="Aptos" w:eastAsia="Aptos" w:cs="Aptos"/>
          <w:noProof w:val="0"/>
          <w:color w:val="000000" w:themeColor="text1" w:themeTint="FF" w:themeShade="FF"/>
          <w:sz w:val="24"/>
          <w:szCs w:val="24"/>
          <w:lang w:val="en-US"/>
        </w:rPr>
        <w:t xml:space="preserve">, 27 November. Available at: </w:t>
      </w:r>
      <w:hyperlink r:id="R0266c75c9e384c6a">
        <w:r w:rsidRPr="49F3A3DB" w:rsidR="5B543110">
          <w:rPr>
            <w:rStyle w:val="Hyperlink"/>
            <w:rFonts w:ascii="Aptos" w:hAnsi="Aptos" w:eastAsia="Aptos" w:cs="Aptos"/>
            <w:strike w:val="0"/>
            <w:dstrike w:val="0"/>
            <w:noProof w:val="0"/>
            <w:sz w:val="24"/>
            <w:szCs w:val="24"/>
            <w:lang w:val="en-US"/>
          </w:rPr>
          <w:t>The best way to deliver value as a people professional</w:t>
        </w:r>
      </w:hyperlink>
      <w:r w:rsidRPr="49F3A3DB" w:rsidR="5B543110">
        <w:rPr>
          <w:rFonts w:ascii="Aptos" w:hAnsi="Aptos" w:eastAsia="Aptos" w:cs="Aptos"/>
          <w:noProof w:val="0"/>
          <w:color w:val="000000" w:themeColor="text1" w:themeTint="FF" w:themeShade="FF"/>
          <w:sz w:val="24"/>
          <w:szCs w:val="24"/>
          <w:lang w:val="en-US"/>
        </w:rPr>
        <w:t xml:space="preserve"> (Accessed: 29 January 2026).  </w:t>
      </w:r>
    </w:p>
    <w:p w:rsidR="5B543110" w:rsidP="49F3A3DB" w:rsidRDefault="5B543110" w14:paraId="69DCBB12" w14:textId="239639AB">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 </w:t>
      </w:r>
    </w:p>
    <w:p w:rsidR="5B543110" w:rsidP="49F3A3DB" w:rsidRDefault="5B543110" w14:paraId="3AD28377" w14:textId="0A3BA3E5">
      <w:pPr>
        <w:spacing w:before="0" w:beforeAutospacing="off" w:after="0" w:afterAutospacing="off"/>
        <w:rPr>
          <w:rFonts w:ascii="Aptos" w:hAnsi="Aptos" w:eastAsia="Aptos" w:cs="Aptos"/>
          <w:noProof w:val="0"/>
          <w:color w:val="000000" w:themeColor="text1" w:themeTint="FF" w:themeShade="FF"/>
          <w:sz w:val="24"/>
          <w:szCs w:val="24"/>
          <w:lang w:val="en-US"/>
        </w:rPr>
      </w:pPr>
      <w:r w:rsidRPr="49F3A3DB" w:rsidR="5B543110">
        <w:rPr>
          <w:rFonts w:ascii="Aptos" w:hAnsi="Aptos" w:eastAsia="Aptos" w:cs="Aptos"/>
          <w:noProof w:val="0"/>
          <w:color w:val="000000" w:themeColor="text1" w:themeTint="FF" w:themeShade="FF"/>
          <w:sz w:val="24"/>
          <w:szCs w:val="24"/>
          <w:lang w:val="en-US"/>
        </w:rPr>
        <w:t xml:space="preserve">Young, R. (2023) ‘The power of critical thinking: Enhancing decision-making and problem-solving’, </w:t>
      </w:r>
      <w:r w:rsidRPr="49F3A3DB" w:rsidR="5B543110">
        <w:rPr>
          <w:rFonts w:ascii="Aptos" w:hAnsi="Aptos" w:eastAsia="Aptos" w:cs="Aptos"/>
          <w:i w:val="1"/>
          <w:iCs w:val="1"/>
          <w:noProof w:val="0"/>
          <w:color w:val="000000" w:themeColor="text1" w:themeTint="FF" w:themeShade="FF"/>
          <w:sz w:val="24"/>
          <w:szCs w:val="24"/>
          <w:lang w:val="en-US"/>
        </w:rPr>
        <w:t>Forbes</w:t>
      </w:r>
      <w:r w:rsidRPr="49F3A3DB" w:rsidR="5B543110">
        <w:rPr>
          <w:rFonts w:ascii="Aptos" w:hAnsi="Aptos" w:eastAsia="Aptos" w:cs="Aptos"/>
          <w:noProof w:val="0"/>
          <w:color w:val="000000" w:themeColor="text1" w:themeTint="FF" w:themeShade="FF"/>
          <w:sz w:val="24"/>
          <w:szCs w:val="24"/>
          <w:lang w:val="en-US"/>
        </w:rPr>
        <w:t xml:space="preserve">, 28 July. Available at: </w:t>
      </w:r>
      <w:hyperlink r:id="R70c56b0519d04fae">
        <w:r w:rsidRPr="49F3A3DB" w:rsidR="5B543110">
          <w:rPr>
            <w:rStyle w:val="Hyperlink"/>
            <w:rFonts w:ascii="Aptos" w:hAnsi="Aptos" w:eastAsia="Aptos" w:cs="Aptos"/>
            <w:strike w:val="0"/>
            <w:dstrike w:val="0"/>
            <w:noProof w:val="0"/>
            <w:sz w:val="24"/>
            <w:szCs w:val="24"/>
            <w:lang w:val="en-US"/>
          </w:rPr>
          <w:t>The Power Of Critical Thinking: Enhancing Decision-Making And Problem-Solving</w:t>
        </w:r>
      </w:hyperlink>
      <w:r w:rsidRPr="49F3A3DB" w:rsidR="5B543110">
        <w:rPr>
          <w:rFonts w:ascii="Aptos" w:hAnsi="Aptos" w:eastAsia="Aptos" w:cs="Aptos"/>
          <w:noProof w:val="0"/>
          <w:color w:val="000000" w:themeColor="text1" w:themeTint="FF" w:themeShade="FF"/>
          <w:sz w:val="24"/>
          <w:szCs w:val="24"/>
          <w:lang w:val="en-US"/>
        </w:rPr>
        <w:t xml:space="preserve"> (Accessed: 11 January 2026).  </w:t>
      </w:r>
    </w:p>
    <w:p w:rsidR="49F3A3DB" w:rsidP="49F3A3DB" w:rsidRDefault="49F3A3DB" w14:paraId="66567248" w14:textId="2E5B7785">
      <w:pPr>
        <w:pStyle w:val="Normal"/>
      </w:pPr>
    </w:p>
    <w:sectPr>
      <w:pgSz w:w="12240" w:h="15840" w:orient="portrait"/>
      <w:pgMar w:top="1440" w:right="1440" w:bottom="1440" w:left="1440" w:header="720" w:footer="720" w:gutter="0"/>
      <w:cols w:space="720"/>
      <w:docGrid w:linePitch="360"/>
      <w:headerReference w:type="default" r:id="R448aacf9ffb84032"/>
      <w:footerReference w:type="default" r:id="Rf3bdf88b3c3042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9F3A3DB" w:rsidTr="49F3A3DB" w14:paraId="3B808BE6">
      <w:trPr>
        <w:trHeight w:val="300"/>
      </w:trPr>
      <w:tc>
        <w:tcPr>
          <w:tcW w:w="3120" w:type="dxa"/>
          <w:tcMar/>
        </w:tcPr>
        <w:p w:rsidR="49F3A3DB" w:rsidP="49F3A3DB" w:rsidRDefault="49F3A3DB" w14:paraId="16B07718" w14:textId="6B1E48B7">
          <w:pPr>
            <w:pStyle w:val="Header"/>
            <w:bidi w:val="0"/>
            <w:ind w:left="-115"/>
            <w:jc w:val="left"/>
          </w:pPr>
        </w:p>
      </w:tc>
      <w:tc>
        <w:tcPr>
          <w:tcW w:w="3120" w:type="dxa"/>
          <w:tcMar/>
        </w:tcPr>
        <w:p w:rsidR="49F3A3DB" w:rsidP="49F3A3DB" w:rsidRDefault="49F3A3DB" w14:paraId="2763CD57" w14:textId="5FA94DF0">
          <w:pPr>
            <w:pStyle w:val="Header"/>
            <w:bidi w:val="0"/>
            <w:jc w:val="center"/>
          </w:pPr>
        </w:p>
      </w:tc>
      <w:tc>
        <w:tcPr>
          <w:tcW w:w="3120" w:type="dxa"/>
          <w:tcMar/>
        </w:tcPr>
        <w:p w:rsidR="49F3A3DB" w:rsidP="49F3A3DB" w:rsidRDefault="49F3A3DB" w14:paraId="0E6133B2" w14:textId="26CF2EC2">
          <w:pPr>
            <w:pStyle w:val="Header"/>
            <w:bidi w:val="0"/>
            <w:ind w:right="-115"/>
            <w:jc w:val="right"/>
          </w:pPr>
        </w:p>
      </w:tc>
    </w:tr>
  </w:tbl>
  <w:p w:rsidR="49F3A3DB" w:rsidP="49F3A3DB" w:rsidRDefault="49F3A3DB" w14:paraId="689B34CE" w14:textId="101DBC3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9F3A3DB" w:rsidTr="49F3A3DB" w14:paraId="4E0011BC">
      <w:trPr>
        <w:trHeight w:val="300"/>
      </w:trPr>
      <w:tc>
        <w:tcPr>
          <w:tcW w:w="3120" w:type="dxa"/>
          <w:tcMar/>
        </w:tcPr>
        <w:p w:rsidR="49F3A3DB" w:rsidP="49F3A3DB" w:rsidRDefault="49F3A3DB" w14:paraId="14BF3898" w14:textId="071117ED">
          <w:pPr>
            <w:pStyle w:val="Header"/>
            <w:bidi w:val="0"/>
            <w:ind w:left="-115"/>
            <w:jc w:val="left"/>
          </w:pPr>
        </w:p>
      </w:tc>
      <w:tc>
        <w:tcPr>
          <w:tcW w:w="3120" w:type="dxa"/>
          <w:tcMar/>
        </w:tcPr>
        <w:p w:rsidR="49F3A3DB" w:rsidP="49F3A3DB" w:rsidRDefault="49F3A3DB" w14:paraId="569531E2" w14:textId="58AC1D2D">
          <w:pPr>
            <w:pStyle w:val="Header"/>
            <w:bidi w:val="0"/>
            <w:jc w:val="center"/>
          </w:pPr>
        </w:p>
      </w:tc>
      <w:tc>
        <w:tcPr>
          <w:tcW w:w="3120" w:type="dxa"/>
          <w:tcMar/>
        </w:tcPr>
        <w:p w:rsidR="49F3A3DB" w:rsidP="49F3A3DB" w:rsidRDefault="49F3A3DB" w14:paraId="36815A3B" w14:textId="774DA850">
          <w:pPr>
            <w:pStyle w:val="Header"/>
            <w:bidi w:val="0"/>
            <w:ind w:right="-115"/>
            <w:jc w:val="right"/>
          </w:pPr>
        </w:p>
      </w:tc>
    </w:tr>
  </w:tbl>
  <w:p w:rsidR="49F3A3DB" w:rsidP="49F3A3DB" w:rsidRDefault="49F3A3DB" w14:paraId="0CE8EEAE" w14:textId="0CF3CC03">
    <w:pPr>
      <w:pStyle w:val="Header"/>
      <w:bidi w:val="0"/>
    </w:pPr>
  </w:p>
</w:hdr>
</file>

<file path=word/intelligence2.xml><?xml version="1.0" encoding="utf-8"?>
<int2:intelligence xmlns:int2="http://schemas.microsoft.com/office/intelligence/2020/intelligence">
  <int2:observations>
    <int2:textHash int2:hashCode="kByidkXaRxGvMx" int2:id="5QNCWYdB">
      <int2:state int2:type="spell" int2:value="Rejected"/>
    </int2:textHash>
    <int2:textHash int2:hashCode="3cN3KRY7blgCDz" int2:id="wGlQ168d">
      <int2:state int2:type="spell" int2:value="Rejected"/>
    </int2:textHash>
    <int2:textHash int2:hashCode="TaUNCpEh0sOBot" int2:id="gFl9kKFb">
      <int2:state int2:type="spell" int2:value="Rejected"/>
    </int2:textHash>
    <int2:textHash int2:hashCode="MLtXAnESlbvDnu" int2:id="oJ3DWqK5">
      <int2:state int2:type="spell" int2:value="Rejected"/>
    </int2:textHash>
    <int2:textHash int2:hashCode="xx9yrpOGp2APHj" int2:id="RbiQ592r">
      <int2:state int2:type="spell" int2:value="Rejected"/>
    </int2:textHash>
    <int2:textHash int2:hashCode="WsWIu0Be8ibJ4h" int2:id="Uz5BNOBJ">
      <int2:state int2:type="spell" int2:value="Rejected"/>
    </int2:textHash>
    <int2:textHash int2:hashCode="kv4UVae7TQCfC0" int2:id="1COQEmuX">
      <int2:state int2:type="spell" int2:value="Rejected"/>
    </int2:textHash>
    <int2:textHash int2:hashCode="zqhYDntAHb/qEo" int2:id="6IasHiLA">
      <int2:state int2:type="spell" int2:value="Rejected"/>
    </int2:textHash>
    <int2:textHash int2:hashCode="nRSox3TdiEm2GZ" int2:id="1iZPnGln">
      <int2:state int2:type="spell" int2:value="Rejected"/>
    </int2:textHash>
    <int2:textHash int2:hashCode="46Ab7zXyh7/gZO" int2:id="QAQlJ6Tr">
      <int2:state int2:type="spell" int2:value="Rejected"/>
    </int2:textHash>
    <int2:textHash int2:hashCode="qFhyTmWDh/f5Mb" int2:id="e1VguYwo">
      <int2:state int2:type="spell" int2:value="Rejected"/>
    </int2:textHash>
    <int2:textHash int2:hashCode="pN4Vmq+aGSmDgP" int2:id="UCMFessh">
      <int2:state int2:type="spell" int2:value="Rejected"/>
    </int2:textHash>
    <int2:textHash int2:hashCode="tmrieJCcTOhVz7" int2:id="qPfaNNPI">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3A6F2A"/>
    <w:rsid w:val="0D245B2E"/>
    <w:rsid w:val="0D8AB75B"/>
    <w:rsid w:val="0F6D39E3"/>
    <w:rsid w:val="15730F75"/>
    <w:rsid w:val="158D19F2"/>
    <w:rsid w:val="188E1A93"/>
    <w:rsid w:val="1E8BB517"/>
    <w:rsid w:val="1FA9CD07"/>
    <w:rsid w:val="2855DB2D"/>
    <w:rsid w:val="2C0C4C81"/>
    <w:rsid w:val="2E9391D8"/>
    <w:rsid w:val="30E246CB"/>
    <w:rsid w:val="30FE98BE"/>
    <w:rsid w:val="35D76920"/>
    <w:rsid w:val="37B593C2"/>
    <w:rsid w:val="390A0CE2"/>
    <w:rsid w:val="3912028F"/>
    <w:rsid w:val="3E6BF6EC"/>
    <w:rsid w:val="40649CC5"/>
    <w:rsid w:val="41DCD47D"/>
    <w:rsid w:val="455CA91F"/>
    <w:rsid w:val="45B697E8"/>
    <w:rsid w:val="49E7D3FA"/>
    <w:rsid w:val="49F3A3DB"/>
    <w:rsid w:val="4AF66CAD"/>
    <w:rsid w:val="4C2C2AF0"/>
    <w:rsid w:val="4CB380DF"/>
    <w:rsid w:val="510FC6EF"/>
    <w:rsid w:val="510FC6EF"/>
    <w:rsid w:val="51AF86D6"/>
    <w:rsid w:val="51B974CE"/>
    <w:rsid w:val="53884564"/>
    <w:rsid w:val="554F7D65"/>
    <w:rsid w:val="587DAA90"/>
    <w:rsid w:val="58D34E38"/>
    <w:rsid w:val="58D34E38"/>
    <w:rsid w:val="59B38429"/>
    <w:rsid w:val="5B543110"/>
    <w:rsid w:val="637CE4F7"/>
    <w:rsid w:val="66D66406"/>
    <w:rsid w:val="69077A44"/>
    <w:rsid w:val="690EB080"/>
    <w:rsid w:val="710CE70A"/>
    <w:rsid w:val="766FEB78"/>
    <w:rsid w:val="76C20679"/>
    <w:rsid w:val="76CFA327"/>
    <w:rsid w:val="773A6F2A"/>
    <w:rsid w:val="7A962FA0"/>
    <w:rsid w:val="7DAA2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6F2A"/>
  <w15:chartTrackingRefBased/>
  <w15:docId w15:val="{7BAE7599-EACC-4915-AEB5-EBC82184F5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9F3A3DB"/>
    <w:pPr>
      <w:tabs>
        <w:tab w:val="center" w:leader="none" w:pos="4680"/>
        <w:tab w:val="right" w:leader="none" w:pos="9360"/>
      </w:tabs>
      <w:spacing w:after="0" w:line="240" w:lineRule="auto"/>
    </w:pPr>
  </w:style>
  <w:style w:type="paragraph" w:styleId="Footer">
    <w:uiPriority w:val="99"/>
    <w:name w:val="footer"/>
    <w:basedOn w:val="Normal"/>
    <w:unhideWhenUsed/>
    <w:rsid w:val="49F3A3D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9F3A3D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13204404" /><Relationship Type="http://schemas.openxmlformats.org/officeDocument/2006/relationships/image" Target="/media/image2.png" Id="rId671100154" /><Relationship Type="http://schemas.openxmlformats.org/officeDocument/2006/relationships/image" Target="/media/image3.png" Id="rId406770301" /><Relationship Type="http://schemas.openxmlformats.org/officeDocument/2006/relationships/hyperlink" Target="https://changemanagementinsight.com/deming-wheel-pdca-cycle/" TargetMode="External" Id="Rbf1b407492b6446c" /><Relationship Type="http://schemas.openxmlformats.org/officeDocument/2006/relationships/hyperlink" Target="https://doi.org/10.1007/s11934-022-01116-7" TargetMode="External" Id="Rf6f13d7695c944ee" /><Relationship Type="http://schemas.openxmlformats.org/officeDocument/2006/relationships/hyperlink" Target="https://www.breathehr.com/en-gb/blog/topic/performance-and-productivity/what-is-a-pestle-analysis-and-why-is-it-important-to-hr" TargetMode="External" Id="R609e1c6c0fdf489b" /><Relationship Type="http://schemas.openxmlformats.org/officeDocument/2006/relationships/hyperlink" Target="https://www.cipd.org/uk/knowledge/podcasts/purpose-and-value-of-hr/" TargetMode="External" Id="Ra84e25b3cef04dee" /><Relationship Type="http://schemas.openxmlformats.org/officeDocument/2006/relationships/hyperlink" Target="https://www.cipd.org/uk/knowledge/case-studies/value-talent-unilever/" TargetMode="External" Id="Rc2819148e6e54e8d" /><Relationship Type="http://schemas.openxmlformats.org/officeDocument/2006/relationships/hyperlink" Target="https://www.cipd.org/uk/knowledge/factsheets/evidence-based-practice-factsheet/" TargetMode="External" Id="R5bdb2cbe25264ca2" /><Relationship Type="http://schemas.openxmlformats.org/officeDocument/2006/relationships/hyperlink" Target="https://www.cipd.org/uk/knowledge/factsheets/engagement-factsheet/#what-are-the-benefits-of-employee-engagement" TargetMode="External" Id="R85001a367c404669" /><Relationship Type="http://schemas.openxmlformats.org/officeDocument/2006/relationships/hyperlink" Target="https://corporatecoachgroup.com/courses/personal-effectiveness-training#in-house" TargetMode="External" Id="R62e0b434bfa3477e" /><Relationship Type="http://schemas.openxmlformats.org/officeDocument/2006/relationships/hyperlink" Target="https://www.managers.org.uk/knowledge-and-insights/resource/decision-making/" TargetMode="External" Id="R939b8c2bc56547a9" /><Relationship Type="http://schemas.openxmlformats.org/officeDocument/2006/relationships/hyperlink" Target="https://www.legislation.gov.uk/ukpga/2018/12/contents" TargetMode="External" Id="Rbc9dbc614ab54af8" /><Relationship Type="http://schemas.openxmlformats.org/officeDocument/2006/relationships/hyperlink" Target="https://www.applytosupply.digitalmarketplace.service.gov.uk/g-cloud/services/209186563672829" TargetMode="External" Id="R104f8eafe8e34b31" /><Relationship Type="http://schemas.openxmlformats.org/officeDocument/2006/relationships/hyperlink" Target="https://www.peoplemanagement.co.uk/article/1845833/considering-application-relevance-evidence-based-hr" TargetMode="External" Id="R187855758a0449a8" /><Relationship Type="http://schemas.openxmlformats.org/officeDocument/2006/relationships/hyperlink" Target="https://doi.org/10.1007/978-3-030-10582-2" TargetMode="External" Id="R838003e221b44dcb" /><Relationship Type="http://schemas.openxmlformats.org/officeDocument/2006/relationships/hyperlink" Target="https://doi-org.uwtsd.idm.oclc.org/10.1093/oso/9780190939717.003.0023" TargetMode="External" Id="Rb6a35084c6874917" /><Relationship Type="http://schemas.openxmlformats.org/officeDocument/2006/relationships/hyperlink" Target="https://www.theaccessgroup.com/en-gb/digital-learning/resources/measuring-roi-in-learning-and-development/" TargetMode="External" Id="Re02dab10db964a3b" /><Relationship Type="http://schemas.openxmlformats.org/officeDocument/2006/relationships/hyperlink" Target="https://www.cipd.org/uk/knowledge/factsheets/pestle-analysis-factsheet/" TargetMode="External" Id="R9bc7eaee13774105" /><Relationship Type="http://schemas.openxmlformats.org/officeDocument/2006/relationships/hyperlink" Target="https://www.cipd.org/uk/knowledge/factsheets/learning-methods-factsheet/" TargetMode="External" Id="R1c91d40ae7d14d98" /><Relationship Type="http://schemas.openxmlformats.org/officeDocument/2006/relationships/hyperlink" Target="https://www.forbes.com/sites/brycehoffman/2024/07/20/confirmation-bias-what-it-is-and-how-to-overcome-it/" TargetMode="External" Id="R8c58f6c4d40849e2" /><Relationship Type="http://schemas.openxmlformats.org/officeDocument/2006/relationships/hyperlink" Target="https://www.cipd.org/globalassets/media/knowledge/knowledge-hub/reports/people-analytics-uk-focus_2018_tcm18-47579.pdf" TargetMode="External" Id="R48681dfdec18499f" /><Relationship Type="http://schemas.openxmlformats.org/officeDocument/2006/relationships/hyperlink" Target="https://www.ispring.com/pricing" TargetMode="External" Id="R3a2d9052954c4c26" /><Relationship Type="http://schemas.openxmlformats.org/officeDocument/2006/relationships/hyperlink" Target="https://www.peoplemanagement.co.uk/article/1860564/three-quarters-employers-not-regularly-check-staff-morale-report-reveals" TargetMode="External" Id="R555586810f344450" /><Relationship Type="http://schemas.openxmlformats.org/officeDocument/2006/relationships/hyperlink" Target="https://doi.org/10.3389/fpsyg.2020.557216" TargetMode="External" Id="Ra85eae38204046f0" /><Relationship Type="http://schemas.openxmlformats.org/officeDocument/2006/relationships/hyperlink" Target="https://hrzone.com/2025-12-are-staff-surveys-making-employees-too-entitled/" TargetMode="External" Id="Rc5c0150215b74de0" /><Relationship Type="http://schemas.openxmlformats.org/officeDocument/2006/relationships/hyperlink" Target="https://www.cipd.org/uk/about/news/get-e-learning-right/" TargetMode="External" Id="Rc650413cbc5e4657" /><Relationship Type="http://schemas.openxmlformats.org/officeDocument/2006/relationships/hyperlink" Target="https://www.cipd.org/uk/knowledge/podcasts/critical-thinking/" TargetMode="External" Id="R5debea24f41e483b" /><Relationship Type="http://schemas.openxmlformats.org/officeDocument/2006/relationships/hyperlink" Target="https://www.cipd.org/uk/views-and-insights/thought-leadership/insight/learning-value-skills-development/" TargetMode="External" Id="R71bff31edf594e73" /><Relationship Type="http://schemas.openxmlformats.org/officeDocument/2006/relationships/hyperlink" Target="https://doi.org/10.1080/08956308.2024.2375933" TargetMode="External" Id="R6736774e2e2a48e2" /><Relationship Type="http://schemas.openxmlformats.org/officeDocument/2006/relationships/hyperlink" Target="https://doi.org/10.18421/TEM103-42" TargetMode="External" Id="Reda6665cfd854e14" /><Relationship Type="http://schemas.openxmlformats.org/officeDocument/2006/relationships/hyperlink" Target="https://hrreview.co.uk/hr-news/l-d-news/research-shows-misalignment-between-workforce-skills-and-organisational-goals/378378" TargetMode="External" Id="Rfbc5c62c36284273" /><Relationship Type="http://schemas.openxmlformats.org/officeDocument/2006/relationships/hyperlink" Target="https://resources.jmsconsultants.co.uk/news/12learners" TargetMode="External" Id="Rae61775c01864ff0" /><Relationship Type="http://schemas.openxmlformats.org/officeDocument/2006/relationships/hyperlink" Target="https://www.cipd.org/uk/knowledge/guides/ethics-work-guide" TargetMode="External" Id="R9916451feead4835" /><Relationship Type="http://schemas.openxmlformats.org/officeDocument/2006/relationships/hyperlink" Target="https://www.tmi.org/blogs/hr-metrics-and-analytics-a-guide-to-success" TargetMode="External" Id="R9ffb41d351854cd8" /><Relationship Type="http://schemas.openxmlformats.org/officeDocument/2006/relationships/hyperlink" Target="https://www.peoplehr.com/en-gb/resources/blog/elearning-at-work/" TargetMode="External" Id="R4fb2c77514c443fd" /><Relationship Type="http://schemas.openxmlformats.org/officeDocument/2006/relationships/hyperlink" Target="https://www.peoplemanagement.co.uk/article/1897820/best-deliver-value-people-professional" TargetMode="External" Id="R0266c75c9e384c6a" /><Relationship Type="http://schemas.openxmlformats.org/officeDocument/2006/relationships/hyperlink" Target="https://www.forbes.com/councils/forbescoachescouncil/2023/07/28/enhancing-decision-making-and-problem-solving/" TargetMode="External" Id="R70c56b0519d04fae" /><Relationship Type="http://schemas.openxmlformats.org/officeDocument/2006/relationships/header" Target="header.xml" Id="R448aacf9ffb84032" /><Relationship Type="http://schemas.openxmlformats.org/officeDocument/2006/relationships/footer" Target="footer.xml" Id="Rf3bdf88b3c304291" /><Relationship Type="http://schemas.microsoft.com/office/2020/10/relationships/intelligence" Target="intelligence2.xml" Id="R6679d88d6b0a40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2026-02-02T18:43:23.6875843Z</dcterms:created>
  <dcterms:modified xsi:type="dcterms:W3CDTF">2026-02-02T19:28:09.0399685Z</dcterms:modified>
  <dc:creator>Sam Doult (2407837)</dc:creator>
  <lastModifiedBy>Sam Doult (2407837)</lastModifiedBy>
</coreProperties>
</file>