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42799A" w:rsidRPr="00473D3C" w14:paraId="5FE6F4C6" w14:textId="77777777" w:rsidTr="0042799A">
        <w:tc>
          <w:tcPr>
            <w:tcW w:w="4508" w:type="dxa"/>
          </w:tcPr>
          <w:p w14:paraId="12D6C3E8" w14:textId="53C722AC" w:rsidR="0042799A" w:rsidRPr="00473D3C" w:rsidRDefault="0042799A">
            <w:pPr>
              <w:rPr>
                <w:rFonts w:ascii="Arial" w:hAnsi="Arial" w:cs="Arial"/>
                <w:sz w:val="32"/>
                <w:szCs w:val="32"/>
              </w:rPr>
            </w:pPr>
            <w:r w:rsidRPr="00473D3C">
              <w:rPr>
                <w:rFonts w:ascii="Arial" w:hAnsi="Arial" w:cs="Arial"/>
                <w:sz w:val="32"/>
                <w:szCs w:val="32"/>
              </w:rPr>
              <w:t>Y Targed cyntaf</w:t>
            </w:r>
          </w:p>
        </w:tc>
        <w:tc>
          <w:tcPr>
            <w:tcW w:w="4508" w:type="dxa"/>
          </w:tcPr>
          <w:p w14:paraId="54266469" w14:textId="63F23DAF" w:rsidR="0042799A" w:rsidRPr="00473D3C" w:rsidRDefault="0042799A" w:rsidP="0042799A">
            <w:pPr>
              <w:spacing w:line="360" w:lineRule="auto"/>
              <w:rPr>
                <w:rFonts w:ascii="Arial" w:hAnsi="Arial" w:cs="Arial"/>
                <w:b/>
                <w:bCs/>
                <w:u w:val="single"/>
              </w:rPr>
            </w:pPr>
            <w:r w:rsidRPr="00473D3C">
              <w:rPr>
                <w:rFonts w:ascii="Arial" w:hAnsi="Arial" w:cs="Arial"/>
                <w:shd w:val="clear" w:color="auto" w:fill="FFFFFF"/>
              </w:rPr>
              <w:t>Parhau i syntheseiddio ymchwil i'ch gwaith ysgrifennu er mwyn cefnogi'ch pwyntiau allweddol.</w:t>
            </w:r>
          </w:p>
        </w:tc>
      </w:tr>
      <w:tr w:rsidR="0042799A" w:rsidRPr="00473D3C" w14:paraId="221DCAB9" w14:textId="77777777" w:rsidTr="0042799A">
        <w:tc>
          <w:tcPr>
            <w:tcW w:w="4508" w:type="dxa"/>
          </w:tcPr>
          <w:p w14:paraId="3A492799" w14:textId="67983EC1" w:rsidR="0042799A" w:rsidRPr="00473D3C" w:rsidRDefault="0042799A">
            <w:pPr>
              <w:rPr>
                <w:rFonts w:ascii="Arial" w:hAnsi="Arial" w:cs="Arial"/>
                <w:sz w:val="32"/>
                <w:szCs w:val="32"/>
              </w:rPr>
            </w:pPr>
            <w:r w:rsidRPr="00473D3C">
              <w:rPr>
                <w:rFonts w:ascii="Arial" w:hAnsi="Arial" w:cs="Arial"/>
                <w:sz w:val="32"/>
                <w:szCs w:val="32"/>
              </w:rPr>
              <w:t>Ail darged</w:t>
            </w:r>
          </w:p>
        </w:tc>
        <w:tc>
          <w:tcPr>
            <w:tcW w:w="4508" w:type="dxa"/>
          </w:tcPr>
          <w:p w14:paraId="2380DFFE" w14:textId="4D10DE76" w:rsidR="0042799A" w:rsidRPr="00473D3C" w:rsidRDefault="0042799A" w:rsidP="0042799A">
            <w:pPr>
              <w:spacing w:line="360" w:lineRule="auto"/>
              <w:rPr>
                <w:rFonts w:ascii="Arial" w:hAnsi="Arial" w:cs="Arial"/>
                <w:b/>
                <w:bCs/>
                <w:u w:val="single"/>
              </w:rPr>
            </w:pPr>
            <w:r w:rsidRPr="00473D3C">
              <w:rPr>
                <w:rFonts w:ascii="Arial" w:hAnsi="Arial" w:cs="Arial"/>
                <w:shd w:val="clear" w:color="auto" w:fill="FFFFFF"/>
              </w:rPr>
              <w:t>Parhau i ddatblygu agwedd feirniadol drwyddi draw, gan gynnig y farn gyferbyniol pryd bynnag y bo modd gan ystyried goblygiadau'r hyn a ysgrifennwyd drwy ddadansoddi a gwerthuso'n feirniadol yn gyson.</w:t>
            </w:r>
          </w:p>
        </w:tc>
      </w:tr>
    </w:tbl>
    <w:p w14:paraId="45FE3834" w14:textId="77777777" w:rsidR="0042799A" w:rsidRPr="00473D3C" w:rsidRDefault="0042799A">
      <w:pPr>
        <w:rPr>
          <w:rFonts w:ascii="Arial" w:hAnsi="Arial" w:cs="Arial"/>
          <w:b/>
          <w:bCs/>
          <w:sz w:val="32"/>
          <w:szCs w:val="32"/>
          <w:u w:val="single"/>
        </w:rPr>
      </w:pPr>
    </w:p>
    <w:p w14:paraId="360D39BE" w14:textId="125AF1E2" w:rsidR="008742CC" w:rsidRPr="00473D3C" w:rsidRDefault="00922BEF">
      <w:pPr>
        <w:rPr>
          <w:rFonts w:ascii="Arial" w:hAnsi="Arial" w:cs="Arial"/>
          <w:b/>
          <w:bCs/>
          <w:sz w:val="32"/>
          <w:szCs w:val="32"/>
          <w:u w:val="single"/>
        </w:rPr>
      </w:pPr>
      <w:r w:rsidRPr="00473D3C">
        <w:rPr>
          <w:rFonts w:ascii="Arial" w:hAnsi="Arial" w:cs="Arial"/>
          <w:b/>
          <w:bCs/>
          <w:sz w:val="32"/>
          <w:szCs w:val="32"/>
          <w:u w:val="single"/>
        </w:rPr>
        <w:t xml:space="preserve">Dylunio a chynnal astudiaeth ymchwil ar raddfa fach, a gwerthuso'n feirniadol effaith offer ymchwil a ddewiswyd, a’r data, ar y dysgwr ac ar eich ymarfer proffesiynol. </w:t>
      </w:r>
    </w:p>
    <w:p w14:paraId="5B958F07" w14:textId="77777777" w:rsidR="003A57A9" w:rsidRPr="00473D3C" w:rsidRDefault="003A57A9">
      <w:pPr>
        <w:rPr>
          <w:rFonts w:ascii="Arial" w:hAnsi="Arial" w:cs="Arial"/>
          <w:b/>
          <w:bCs/>
          <w:sz w:val="32"/>
          <w:szCs w:val="32"/>
          <w:u w:val="single"/>
        </w:rPr>
      </w:pPr>
    </w:p>
    <w:p w14:paraId="63557FE5" w14:textId="4068DA05" w:rsidR="00922BEF" w:rsidRPr="00473D3C" w:rsidRDefault="003A57A9">
      <w:pPr>
        <w:rPr>
          <w:rFonts w:ascii="Arial" w:hAnsi="Arial" w:cs="Arial"/>
          <w:b/>
          <w:bCs/>
          <w:sz w:val="32"/>
          <w:szCs w:val="32"/>
          <w:u w:val="single"/>
        </w:rPr>
      </w:pPr>
      <w:r w:rsidRPr="00473D3C">
        <w:rPr>
          <w:rFonts w:ascii="Arial" w:hAnsi="Arial" w:cs="Arial"/>
          <w:b/>
          <w:bCs/>
          <w:sz w:val="32"/>
          <w:szCs w:val="32"/>
          <w:u w:val="single"/>
        </w:rPr>
        <w:t xml:space="preserve">Beth yw barn staff a dysgwyr Blwyddyn tri </w:t>
      </w:r>
      <w:r w:rsidR="00A35E5C" w:rsidRPr="00473D3C">
        <w:rPr>
          <w:rFonts w:ascii="Arial" w:hAnsi="Arial" w:cs="Arial"/>
          <w:b/>
          <w:bCs/>
          <w:sz w:val="32"/>
          <w:szCs w:val="32"/>
          <w:u w:val="single"/>
        </w:rPr>
        <w:t>ar</w:t>
      </w:r>
      <w:r w:rsidRPr="00473D3C">
        <w:rPr>
          <w:rFonts w:ascii="Arial" w:hAnsi="Arial" w:cs="Arial"/>
          <w:b/>
          <w:bCs/>
          <w:sz w:val="32"/>
          <w:szCs w:val="32"/>
          <w:u w:val="single"/>
        </w:rPr>
        <w:t xml:space="preserve"> hunanasesu fel strategaeth Asesu ar gyfer Dysgu yn y dosbarth.</w:t>
      </w:r>
    </w:p>
    <w:p w14:paraId="183F86AD" w14:textId="71C47B61" w:rsidR="00682825" w:rsidRPr="006D6075" w:rsidRDefault="00532751" w:rsidP="00290159">
      <w:pPr>
        <w:spacing w:line="360" w:lineRule="auto"/>
        <w:rPr>
          <w:rFonts w:ascii="Arial" w:hAnsi="Arial" w:cs="Arial"/>
        </w:rPr>
      </w:pPr>
      <w:r w:rsidRPr="006D6075">
        <w:rPr>
          <w:rFonts w:ascii="Arial" w:hAnsi="Arial" w:cs="Arial"/>
        </w:rPr>
        <w:t xml:space="preserve">Yn yr aseiniad hwn byddaf yn trafod beth yw barn staff a dysgwyr blwyddyn tri ar hunanasesu fel strategaeth Asesu ar gyfer Dysgu (AagD). Amcanion cynnal yr astudiaeth ymchwil oedd </w:t>
      </w:r>
      <w:r w:rsidRPr="00CA7015">
        <w:rPr>
          <w:rFonts w:ascii="Arial" w:hAnsi="Arial" w:cs="Arial"/>
        </w:rPr>
        <w:t>ceisio darganfod barn addysgwyr a dysgwyr ar hunanasesu fel offer o AagD yn yr ysgol. Ceir AagD ei ddisgrifio yn effeithiol gan (Stiggins et al., 2004, tud.57) fel proses o gasglu tystiolaeth o ddealltwriaeth dysgwyr a’i ddefnyddio’n effeithiol er mwyn llywio’r dysgu drwy gefnogi a sicrhau cynnydd y dysgwyr. Yn ogystal gall AagD gynnig fwy o reolaeth i ddysgwyr dros eu dysgu gan hybu cymhelliant a pherfformiad. Os defnyddir AagD yn effeithiol, gall helpu dysgwyr weld sut mae gwella a beth sydd angen gwneud er mwyn gwneud cynnydd yn y dosbarth (Steele, 2019). Ceir bwyslais mawr ar AagD yn adolygiad Graham Donaldson o’r cwricwlwm yng Nghymru. Mae un o’r egwyddorion addysgeg a awgrymir ganddo yn pwysleisio bod addysgu da yn cynnwys defnydd effeithiol ac amserol o AagD. Awgryma (Donaldson, 2015) yn ei adolygiad, trwy gynnig adborth rheolaidd, amserol ac ystyrlon gellir codi safonau'r dysgwyr, a’i llywio i lawr y trywydd cywir drwy roi’r cyfarwyddiadau ar y camau nesaf yn eu dysgu. Yn ôl ymchwil (Wiliam, 2017, tud.124) gall</w:t>
      </w:r>
      <w:r w:rsidRPr="006D6075">
        <w:rPr>
          <w:rFonts w:ascii="Arial" w:hAnsi="Arial" w:cs="Arial"/>
        </w:rPr>
        <w:t xml:space="preserve"> AagD effeithiol wrth addysgu dyblu cyflymder y dysgu gan hefyd sicrhau agweddau mwy cadarnhaol gan ddysgwyr am waith. Wrth ystyried hyn, dwi’n rhagdybio bydd agweddau dysgwyr ac addysgwyr yn gadarnhaol am AagD o hunanasesu a’i rôl yn yr ystafell ddosbarth. Ar gyfer yr ymchwiliad, defnyddiais yr agwedd fosaig sy’n pwysleisio defnyddio </w:t>
      </w:r>
      <w:r w:rsidRPr="006D6075">
        <w:rPr>
          <w:rFonts w:ascii="Arial" w:hAnsi="Arial" w:cs="Arial"/>
        </w:rPr>
        <w:lastRenderedPageBreak/>
        <w:t>ystod o ddulliau a chasglu sawl gwahanol safbwynt wrth gasglu data (Brown, 2015). Yr offer ymchwil defnyddiais oedd holiadur i’r addysgwyr a chyfweliad grŵp i’r dysgwyr.</w:t>
      </w:r>
    </w:p>
    <w:p w14:paraId="20E1A3C0" w14:textId="77777777" w:rsidR="006D6075" w:rsidRDefault="006D6075" w:rsidP="00290159">
      <w:pPr>
        <w:spacing w:line="360" w:lineRule="auto"/>
        <w:rPr>
          <w:rFonts w:ascii="Arial" w:hAnsi="Arial" w:cs="Arial"/>
        </w:rPr>
      </w:pPr>
      <w:r w:rsidRPr="006D6075">
        <w:rPr>
          <w:rFonts w:ascii="Arial" w:hAnsi="Arial" w:cs="Arial"/>
        </w:rPr>
        <w:t xml:space="preserve">Awgryma Llywodraeth Cymru (2013) bod AagD effeithiol yn cynnwys dysgwyr a sicrhau eu bod nhw’n cymryd rhan yn y dysgu. Trwy wneud hyn, gellir dysgwyr weld a gosod targedau datblygu a thrwy ddefnyddio ystod o strategaethau AagD a thechnegau myfyrio, gallant weld pe bai nhw wedi cyrraedd y targedau ac amcanion pennwyd. Wrth ystyried hyn, amlwg yw’r pwyslais a’r pwysigrwydd o weithredu ystod o strategaethau AagD wrth addysgu er mwyn gwthio pob unigolyn i’w llawn botensial. Er bod yr aseiniad hwn yn ffocysu ar un elfen benodol o AagD sef hunanasesu ac asesu cyfoed, mae pedwar prif elfen. Y tair elfen arall yw; cwestiynu, adborth a rhannu’r meini prawf llwyddiant (MPLl). Mae cwestiynu effeithiol yn cynnwys defnydd o gwestiynau sy’n magu trafodaeth a sbarduno meddwl y dysgwyr er mwyn gweld eu dealltwriaeth ar y pwnc. Cefnoga hyn gan waith Lev Vygotsky a’i theori o’r parth datblygiad procsimol. Awgryma Vygotsky bod dysgu effeithiol yn digwydd drwy dreiddio beth y gallai dysgwyr gyflawni yn annibynnol trwy gynorthwyo gydag arweiniad athro (Shabani, Khatib a Ebadi, 2010). Ceir rôl hollbwysig gan gwestiynu wrth ystyried hyn, gan roi’r cyfle i addysgwyr llywio’r dysgu gan ofyn cwestiynau. Trwy gwestiynu yn effeithiol, gellir annog myfyrio, ymestyn dealltwriaeth a hyrwyddo meddwl yn ddyfnach am y pwnc gan sgaffaldi’r lefel o wybodaeth bresennol gyda’r amcanion dysgu (Smidt, 2013, tud.122). </w:t>
      </w:r>
    </w:p>
    <w:p w14:paraId="036B8F7D" w14:textId="12109770" w:rsidR="00187E59" w:rsidRPr="006D6075" w:rsidRDefault="006D6075" w:rsidP="00290159">
      <w:pPr>
        <w:spacing w:line="360" w:lineRule="auto"/>
        <w:rPr>
          <w:rFonts w:ascii="Arial" w:hAnsi="Arial" w:cs="Arial"/>
        </w:rPr>
      </w:pPr>
      <w:r w:rsidRPr="006D6075">
        <w:rPr>
          <w:rFonts w:ascii="Arial" w:hAnsi="Arial" w:cs="Arial"/>
        </w:rPr>
        <w:t>Yn ychwanegol, amlwg yw’r buddiannau o ddefnyddio adborth yn effeithiol fel strategaeth o AagD yn ogystal â chwestiynu. Damcaniaethwr sy’n pwysleisio’r dylanwad ceir adborth ar gyflawniad dysgwyr yw John Hattie. Awgryma Hattie fod adborth effeithiol yn amserol, yn benodol ac yn rhoi disgrifiad clir i’r dysgwyr beth allent wneud er mwyn gwella a sicrhau cynnydd yn eu gwaith (Hattie a Timperley, 2007). Fodd bynnag, disgrifia hefyd bod modd i adborth gael effaith negyddol ar gynnydd dysgwyr. Awgryma Hattie gall gor-ganmoliaeth gael effaith negyddol ar gynnydd dysgwyr gan eu bod yn gallu rhoi’r syniad anghywir iddynt o’u dealltwriaeth. Pe bai disgybl yn clywed adborth cadarnhaol yn aml, a diffyg adborth adeiladol negyddol er mwyn gwella bydd cymhlethdod o ran beth i wneud er mwyn gwella (Hattie a Timperley, 2007). Wrth ystyried hyn rhaid cymryd gofal wrth ddarparu adborth a sicrhau ei fod yn ystyrlon a’n cynnig y cyfle i ddysgwyr gwella a sicrhau cynnydd. Yr elfen arall o AagD yw rhannu’r MPLl, sydd yn cael ei weithredu yn aml, ac yn ymarfer cyffredin mewn sawl ysgol. Dadleua Black a Wiliam (1998) bod rhannu’r MPLl yn effeithiol gan ei fod yn cyfathrebu’n glir amcanion y dasg a beth sy’n rhaid gwneud er mwyn llwyddo. Ymhellach, cysyllta hyn gyda hunanasesu trwy roi’r canllaw llwyddiant iddynt. Gall ddysgwyr edrych yn ôl dros y MPLl a’u gwaith a gwneud newidiadau neu ychwanegiadau os oes angen.</w:t>
      </w:r>
    </w:p>
    <w:p w14:paraId="48081DB4" w14:textId="77777777" w:rsidR="006D6075" w:rsidRDefault="006D6075" w:rsidP="00290159">
      <w:pPr>
        <w:spacing w:line="360" w:lineRule="auto"/>
        <w:rPr>
          <w:rFonts w:ascii="Arial" w:hAnsi="Arial" w:cs="Arial"/>
        </w:rPr>
      </w:pPr>
      <w:r w:rsidRPr="006D6075">
        <w:rPr>
          <w:rFonts w:ascii="Arial" w:hAnsi="Arial" w:cs="Arial"/>
        </w:rPr>
        <w:lastRenderedPageBreak/>
        <w:t>Hunanasesu yw’r broses o hybu dysgwyr i fyfyrio’n feirniadol ar eu dysgu a’u cyrhaeddiad yn annibynnol (Race, 2013, tud.117). Nid oes amheuaeth dros ddefnyddioldeb dulliau hunanasesu fel strategaeth o AagD, mae’n galluogi dysgwyr i gymryd rhan ganolog yn eu dysgu a’u cynnydd. Er hyn, mae’n rhaid sicrhau defnydd effeithiol wrth weithredu hunanasesu. Ceir beirniadaeth gan rhai fel David Boud sy’n codi pryder wrth nodi gall fod tuedd wrth hunanasesu gan ddysgwyr. Ymhellach, mae’n dadlau nid oes gan rhai dysgwyr y sgiliau na’r ymwybyddiaeth angenrheidiol i werthuso’u gwaith yn gritigol (Boud, 2013, tud.207) Wrth ystyried hyn, gall hyn arwain at ddysgwyr yn anwybyddu beth sy’n rhaid gwneud er mwyn datblygu drwy farcio’u gwaith yn rhy uchel, neu’n afrealistig. Yn groes i feirniadaeth Boud, Mae ymchwil John Hattie yn datgan bod gan hunanasesu effaith gadarnhaol ar gyflawniad dysgwyr.</w:t>
      </w:r>
      <w:r>
        <w:rPr>
          <w:rFonts w:ascii="Arial" w:hAnsi="Arial" w:cs="Arial"/>
        </w:rPr>
        <w:t xml:space="preserve"> </w:t>
      </w:r>
      <w:r w:rsidRPr="006D6075">
        <w:rPr>
          <w:rFonts w:ascii="Arial" w:hAnsi="Arial" w:cs="Arial"/>
        </w:rPr>
        <w:t>Awgryma os ceir hunanasesu ei ddefnyddio yn gywir, ac yn amserol, gall wella cymhelliant ac ymgysylltiad dysgwyr i’r dysgu ac felly gwella canlyniadau a sicrhau gwell cyrhaeddiad (Waack, 2013). Cefnoga Wiliam (2016) y safbwynt hwn gan awgrymu bod hunanasesu yn hollbwysig, a’i bod yn broses sy’n sicrhau bod dysgwyr yn dysgu o’r hyn maent yn cwblhau o fewn gwersi. Yn ogystal, pwysleisia Wiliam rôl hunanasesu fel rhan o arferion asesu ffurfiannol. Dadleua bod yr arfer yn galluogi dysgwyr i gymryd perchnogaeth dros eu dysgu ac yn helpu datblygu sgiliau hanfodol mewn bywyd. Disgrifia Sadler (1998) y pwysigrwydd o AagD yn effeithiol gan ddatgan taw dim yn unig faint o asesu sy’n bwysig ond ei ansawdd hefyd. Yn ogystal, mae’n esbonio bod hi’n bwysig gwneud hi’n hygyrch i ddysgwyr a thrwy wneud hyn bydd addysgwyr yn ysgogi hyder a gobaith y dysgwyr er mwyn llwyddo a gwneud cynnydd (Sadler, 1998 tud.84).</w:t>
      </w:r>
      <w:r>
        <w:rPr>
          <w:rFonts w:ascii="Arial" w:hAnsi="Arial" w:cs="Arial"/>
        </w:rPr>
        <w:t xml:space="preserve"> </w:t>
      </w:r>
      <w:r w:rsidRPr="006D6075">
        <w:rPr>
          <w:rFonts w:ascii="Arial" w:hAnsi="Arial" w:cs="Arial"/>
        </w:rPr>
        <w:t xml:space="preserve">Wrth ystyried y safbwyntiau hyn, gellir gweld bod pwyslais mawr ar ddefnydd effeithiol o dechnegau AagD a sicrhau ei fod yn amserol. Angenrheidiol yw cadw cydbwysedd deg fel addysgwyr o asesu, gall gormod o AagD arwain at ddysgwyr dan straen ac agweddau mwy negyddol tuag at y dysgu (Balasubramanian, 2017).   </w:t>
      </w:r>
    </w:p>
    <w:p w14:paraId="13783D64" w14:textId="534A76B1" w:rsidR="001E11AC" w:rsidRPr="006D6075" w:rsidRDefault="006D6075" w:rsidP="00290159">
      <w:pPr>
        <w:spacing w:line="360" w:lineRule="auto"/>
        <w:rPr>
          <w:rFonts w:ascii="Arial" w:hAnsi="Arial" w:cs="Arial"/>
        </w:rPr>
      </w:pPr>
      <w:r w:rsidRPr="006D6075">
        <w:rPr>
          <w:rFonts w:ascii="Arial" w:hAnsi="Arial" w:cs="Arial"/>
        </w:rPr>
        <w:t>Yn adran hon yr aseiniad, bwriedir trafod y fethodoleg ac egwyddorion moeseg wrth gynnal ymchwiliadau. Yn ôl y canllawiau BERA, cyn dechrau unrhyw ymchwiliadau addysgiadol, rhaid ystyried yn ddwys yr elfennau o foeseg ynglŷn â’r ymchwil. Rhaid dangos parch moesegol at y cyfranwyr, ac unrhyw wybodaeth a drafodir yn ystod yr ymchwil gan sicrhau sensitifrwydd wrth drafod pwnc (BERA, 2018). Seliwyd y fethodoleg ar yr “agwedd fosaig” sef rhoi pwyslais ar lais y plentyn wrth gynnal ymchwiliadau (Clark, 2011). Nod Clark a Moss wrth gynllunio’r agwedd fosaig oedd dod o hyd i ffyrdd ymarferol o gasglu data gyda phobl ifanc. Ceir bwyslais mawr ar lais y plentyn wrth gynnal ymchwil gan gydnabod cymhwysedd plant ifanc (Clark, Moss a National Children's Bureau, 2011, tud.10).</w:t>
      </w:r>
      <w:r>
        <w:rPr>
          <w:rFonts w:ascii="Arial" w:hAnsi="Arial" w:cs="Arial"/>
        </w:rPr>
        <w:t xml:space="preserve"> </w:t>
      </w:r>
      <w:r w:rsidRPr="006D6075">
        <w:rPr>
          <w:rFonts w:ascii="Arial" w:hAnsi="Arial" w:cs="Arial"/>
        </w:rPr>
        <w:t xml:space="preserve">Mae’r agwedd fosaig yn cyfuno’r dulliau traddodiadol o arsylwi a chyfweld gyda’r cymorth o ddulliau cyfranogol </w:t>
      </w:r>
      <w:r w:rsidRPr="006D6075">
        <w:rPr>
          <w:rFonts w:ascii="Arial" w:hAnsi="Arial" w:cs="Arial"/>
        </w:rPr>
        <w:lastRenderedPageBreak/>
        <w:t xml:space="preserve">(Clark, Moss a A.T Kjørholt, 2005, tud.13). Cyn mynd ati i gynnal ymchwiliad mae hi’n hollbwysig ystyried materion moesegol am ystod eang o resymau. </w:t>
      </w:r>
      <w:r w:rsidR="00B20797" w:rsidRPr="006D6075">
        <w:rPr>
          <w:rFonts w:ascii="Arial" w:hAnsi="Arial" w:cs="Arial"/>
        </w:rPr>
        <w:t xml:space="preserve"> </w:t>
      </w:r>
    </w:p>
    <w:p w14:paraId="18CBB35C" w14:textId="77777777" w:rsidR="005E16D2" w:rsidRDefault="005E16D2" w:rsidP="00290159">
      <w:pPr>
        <w:spacing w:line="360" w:lineRule="auto"/>
        <w:rPr>
          <w:rFonts w:ascii="Arial" w:hAnsi="Arial" w:cs="Arial"/>
        </w:rPr>
      </w:pPr>
      <w:r w:rsidRPr="005E16D2">
        <w:rPr>
          <w:rFonts w:ascii="Arial" w:hAnsi="Arial" w:cs="Arial"/>
        </w:rPr>
        <w:t>Awgryma BERA (2018) taw un o’r materion mwyaf pwysig i ystyried yw gofalu’r cyfranogwyr gan ystyried eu hawliau, gofal a lles wrth iddyn gyfrannu. Yn ogystal, rhaid ceisio osgoi niwed gan geisio lleihau’r risg neu beryglon ynglŷn â’r ymchwil, gall rhai pynciau fod yn sensitif ac yn well osgoi gofyn rhai cwestiynau gall gael ei hystyried yn rhy bersonol (BERA, 2018). Yn olaf rhaid ystyried dilyn canllawiau cyfreithiol fel y canllawiau BERA wrth gynnal ymchwiliad. I ymestyn hyn, rhaid dilyn cyfreithiau yn enwedig yr hawliau dynol a phlant. Rhaid dilyn y “1989 Convention on the Rights of the Child” sy’n datgan bod gan blant yr hawl i gael gwrandawiad a pharch dros eu dymuniadau (Blackburn, 2015).</w:t>
      </w:r>
      <w:r>
        <w:rPr>
          <w:rFonts w:ascii="Arial" w:hAnsi="Arial" w:cs="Arial"/>
        </w:rPr>
        <w:t xml:space="preserve"> </w:t>
      </w:r>
      <w:r w:rsidRPr="005E16D2">
        <w:rPr>
          <w:rFonts w:ascii="Arial" w:hAnsi="Arial" w:cs="Arial"/>
        </w:rPr>
        <w:t>Yn olaf, mynna BERA (2018) y dylai ymchwilwyr sicrhau bod cyfranogwyr yn deall pam a beth y maent yn cyfrannu at. Yn ogystal dylai’r ymchwilydd ddatgan beth y mae'n mynd i wneud gyda’r data a sicrhau caniatâd y cyfranogwyr drwy gydol yr ymchwil. Llenwais ffurflen foeseg (gweler atodiad 1) cyn mynd ati i gynnal yr ymchwil yn yr ysgol a sicrhau caniatâd yr ysgol. Yn gyffredinol, mae’n angenrheidiol ystyried moeseg cyn cynnal ymchwil er mwyn sicrhau parch a chyfiawnder yn y broses ymchwil.</w:t>
      </w:r>
    </w:p>
    <w:p w14:paraId="06BE9F16" w14:textId="2348E070" w:rsidR="008D1333" w:rsidRPr="006D6075" w:rsidRDefault="005E16D2" w:rsidP="00290159">
      <w:pPr>
        <w:spacing w:line="360" w:lineRule="auto"/>
        <w:rPr>
          <w:rFonts w:ascii="Arial" w:hAnsi="Arial" w:cs="Arial"/>
        </w:rPr>
      </w:pPr>
      <w:r w:rsidRPr="005E16D2">
        <w:rPr>
          <w:rFonts w:ascii="Arial" w:hAnsi="Arial" w:cs="Arial"/>
        </w:rPr>
        <w:t>Y dulliau ymchwilio dewisais i ddefnyddio wrth gynnal fy ymchwil oedd holiadur a chyfweliadau wrth geisio darganfod barnau addysgwyr a dysgwyr ar hunanasesu. Mae holiaduron yn gallu bod yn adnodd defnyddiol wrth gasglu ymchwil gan ei fod yn sicrhau anhysbysrwydd a chyfrinachedd i’r cyfranwyr wrth ateb. Yn aml bysai cyfranogwyr yn teimlo’n fwy cyfforddus a hyderus ateb gyda’r ffydd yn anhysbysrwydd y data (Jain, 2023). Yn ogystal, creda Jain (2023) bod yr elfen o gyfrinachedd mae holiadur yn cynnig yn gallu arwain at ddata mwy dibynadwy a chywir gan fod unigolion yn fwy tebygol o rannu barn. Fodd bynnag, ceir feirniadaeth o holiaduron gan Lindemann (2023) wrth iddo ddatgan nad yw holiaduron yn casglu data cadarn. Awgryma ei bod hi’n anodd deall y rhesymu neu wir agweddau'r cyfranogwyr ar adegau ac felly’n anodd dod i ganfyddiadau. I ymestyn hyn, gellir dadlau nad yw cyfranogwyr yn ymdrechu i ateb yn fanwl efallai.</w:t>
      </w:r>
      <w:r>
        <w:rPr>
          <w:rFonts w:ascii="Arial" w:hAnsi="Arial" w:cs="Arial"/>
        </w:rPr>
        <w:t xml:space="preserve"> </w:t>
      </w:r>
      <w:r w:rsidRPr="005E16D2">
        <w:rPr>
          <w:rFonts w:ascii="Arial" w:hAnsi="Arial" w:cs="Arial"/>
        </w:rPr>
        <w:t>Boed yn ddiffyg diddordeb, sylw neu amser rhydd, gellir dadlau bydd cyfranogwyr yn rhuthro drwy’r cwestiynau a’n ateb yn anghyflawn (Lindemann, 2023). Er hyn mae’n rhaid canmol holiaduron gan eu bod nhw’n addas er mwyn casglu data ansoddol a meintiol, maent yn hyblyg iawn (Taherdoost, 2021, tud.14). Yn ogystal nid yw paratoi holiadur yn dasg anodd, mae’n gymharol syml a di-straen ac unwaith mae’r canlyniadau wedi’i chasglu, mae’n hawdd cymharu ymatebion i gasglu data. Wrth edrych dros fy mhrofiad i gan ddefnyddio holiadur fel offeryn ymchwil, roedd hi’n amlwg fod sawl mantais ac anfantais i’r dull.</w:t>
      </w:r>
      <w:r>
        <w:rPr>
          <w:rFonts w:ascii="Arial" w:hAnsi="Arial" w:cs="Arial"/>
        </w:rPr>
        <w:t xml:space="preserve"> </w:t>
      </w:r>
      <w:r w:rsidR="00385C52" w:rsidRPr="006D6075">
        <w:rPr>
          <w:rFonts w:ascii="Arial" w:hAnsi="Arial" w:cs="Arial"/>
        </w:rPr>
        <w:t xml:space="preserve">Yn fy marn i, un o’r heriau mwyaf oedd perswadio addysgwyr i lenwi’r holiadur ac nid oedd hi’n dasg syml. Efallai diffyg diddordeb yn y pwnc ymchwil neu efallai diffyg amser i lenwi’r holiadur oedd ond llwyddais i gasglu 6 </w:t>
      </w:r>
      <w:r w:rsidR="00385C52" w:rsidRPr="006D6075">
        <w:rPr>
          <w:rFonts w:ascii="Arial" w:hAnsi="Arial" w:cs="Arial"/>
        </w:rPr>
        <w:lastRenderedPageBreak/>
        <w:t>ymateb</w:t>
      </w:r>
      <w:r w:rsidR="00565C00" w:rsidRPr="006D6075">
        <w:rPr>
          <w:rFonts w:ascii="Arial" w:hAnsi="Arial" w:cs="Arial"/>
        </w:rPr>
        <w:t xml:space="preserve"> yn y pendraw. Wrth edrych trwy’r ymatebion mae’r holiadur wedi bod yn effeithiol wrth gasglu data a barnau addysgwyr am rôl hunanasesu wrth AagD. Dwi’n hoffi pa mor syml yw gwirio’r canlyniadau a gallu cymharu ymatebion cyfranogwyr gwahanol gyda’i gilydd.</w:t>
      </w:r>
    </w:p>
    <w:p w14:paraId="71D96999" w14:textId="40F897C9" w:rsidR="00565C00" w:rsidRPr="006D6075" w:rsidRDefault="005E16D2" w:rsidP="00290159">
      <w:pPr>
        <w:spacing w:line="360" w:lineRule="auto"/>
        <w:rPr>
          <w:rFonts w:ascii="Arial" w:hAnsi="Arial" w:cs="Arial"/>
        </w:rPr>
      </w:pPr>
      <w:r w:rsidRPr="005E16D2">
        <w:rPr>
          <w:rFonts w:ascii="Arial" w:hAnsi="Arial" w:cs="Arial"/>
        </w:rPr>
        <w:t>Yn ogystal i’r holiadur, defnyddiais gyfweliadau grŵp gyda 2 grŵp gwahanol o ddysgwyr blwyddyn tri. Yn ôl Study Smarter (2023) mae cyfweliadau yn galluogi i ymchwilwyr gasglu gwybodaeth fanwl am brofiadau, barnau ac agweddau cyfranogwyr ac yn rhoi syniad manylach i’r ymchwilydd o’u safbwynt. I ymestyn hyn, cyniga gyfweliadau’r cyfle i ymchwilwyr addasu’r cyfweliad i anghenion penodol y pwnc ymchwil. Yn ogystal, gall ymchwilwyr ofyn cwestiynau nad oedd yn y sgript er mwyn trafod pwnc nad oedd yn ddisgwyliedig. Gan ystyried hyn, mae’n bwysig fod y cyfweliad yn cael ei gynnal yn lled-strwythuriedig, a bod gan yr ymchwilydd y rhyddid i drafod pwnc neu faes gwahanol sy’n berthnasol i’r ymchwil. Dwi’n cofio wrth i mi gyfweld a grwpiau o ddysgwyr blwyddyn tri, ar adegau byddaf yn cael ateb nad oeddwn yn disgwyl. Os oedd yn berthnasol, gofynnais iddyn nhw ymhelaethu ar eu pwynt er mwyn cael gwell darlun o’u safbwynt. Cefnoga hyn gan Denscombe (2017, tud.184)  wrth iddo ddisgrifio bod modd i gyfweliadau lled-strwythuriedig neu distrwythur ddatblygu a newid drwy gydol yr ymchwil. Cefnoga hyn y pwysigrwydd o fod yn agored i fynd lawr trywydd gwahanol o fewn y cyfweliad. Yn fy marn i mae hyn yn fantais enfawr i’r offeryn ymchwil o gyfweliad gan ei fod yn casglu data manwl. Ar y llaw arall, ceir feirniadaeth o gyfweliadau gan Opdenakker (2006) wrth iddo ddatgan bod hi’n bosib i ymchwilydd llywio’r drafodaeth i lawr trywydd penodol ac felly yn creu atebion afrealistig ac annibynadwy. Hollbwysig yw ystyried y niwed gall hyn gael ar y data, ac fel ymchwilydd roedd hi’n bwysig sicrhau dim tuedd a gofyn cwestiynau agored er mwyn i’r cyfranogwyr gallu trafod eu gwir farn, safbwyntiau neu brofiadau.</w:t>
      </w:r>
      <w:r w:rsidR="00A766ED" w:rsidRPr="006D6075">
        <w:rPr>
          <w:rFonts w:ascii="Arial" w:hAnsi="Arial" w:cs="Arial"/>
        </w:rPr>
        <w:t xml:space="preserve"> </w:t>
      </w:r>
    </w:p>
    <w:p w14:paraId="5BB77788" w14:textId="77777777" w:rsidR="005E16D2" w:rsidRDefault="005E16D2" w:rsidP="00290159">
      <w:pPr>
        <w:spacing w:line="360" w:lineRule="auto"/>
        <w:rPr>
          <w:rFonts w:ascii="Arial" w:hAnsi="Arial" w:cs="Arial"/>
        </w:rPr>
      </w:pPr>
      <w:r w:rsidRPr="005E16D2">
        <w:rPr>
          <w:rFonts w:ascii="Arial" w:hAnsi="Arial" w:cs="Arial"/>
        </w:rPr>
        <w:t>Fy nghwestiwn ymchwil oedd ‘beth yw barn staff a dysgwyr blwyddyn tri ar hunanasesu fel strategaeth AagD yn y dosbarth’. Yn adran hon yr aseiniad, bwriedir trafod y data a gasglwyd o’r cyfranwyr ac effeithlonrwydd yr offer ymchwilio. Gan edrych dros fy nghanlyniadau, mae’n amlwg fy mod wedi casglu cymysgedd o ddata ansoddol a meintiol. Mae data ansoddol yn wybodaeth di ffigwr sy’n canfod barn fanwl y cyfranogwyr, casglwyd llawer o ddata ansoddol yn ystod fy nghyfweliadau wrth i gyfranogwyr rhannu eu profiadau. Mae data ansoddol yn fwy disgrifiadol na ffigyrau ac mae ffocws ar yr ystyron, dehongliadau, a phrofiadau personol (Bailey, 2008).</w:t>
      </w:r>
      <w:r>
        <w:rPr>
          <w:rFonts w:ascii="Arial" w:hAnsi="Arial" w:cs="Arial"/>
        </w:rPr>
        <w:t xml:space="preserve"> </w:t>
      </w:r>
      <w:r w:rsidRPr="005E16D2">
        <w:rPr>
          <w:rFonts w:ascii="Arial" w:hAnsi="Arial" w:cs="Arial"/>
        </w:rPr>
        <w:t xml:space="preserve">Yn ogystal, roedd rhai cwestiynau yn yr holiadur wedi’i strwythuro i geisio casglu data ansoddol fel y cwestiwn ‘pa mor effeithiol yw strategaethau hunanasesu a pham?’. Gofynnais i’r cyfranogwyr rhannu unrhyw brofiadau addas i gefnogi’r farn ac felly yn casglu data ansoddol. Er hyn, un fantais sydd gan ddata meintiol dros ansoddol yw pa mor hawdd yw ei ddadansoddi. Wrth ddadansoddi data meintiol, mae </w:t>
      </w:r>
      <w:r w:rsidRPr="005E16D2">
        <w:rPr>
          <w:rFonts w:ascii="Arial" w:hAnsi="Arial" w:cs="Arial"/>
        </w:rPr>
        <w:lastRenderedPageBreak/>
        <w:t xml:space="preserve">disgwyliad i’r ymchwilydd droi rhifau a ffigyrau data a gasglwyd i mewn i ddata ystyrlon drwy gymhwyso canlyniadau (Business Research Methodology, 2012). Yn yr holiadur, casglir ambell gwestiwn data meintiol fel ‘Yn eich barn chi, pa mor effeithiol yw hunanasesu yn y dosbarth?’. Gofynnais am sgôr rhwng un a phump ac wrth edrych ar y canlyniadau mae’n rhwydd datgan bod barnau a safbwyntiau gwahanol clir dros hunanasesu. Sgôr cyfartaledd effeithiolrwydd hunanasesu yn ôl y cyfranogwyr oedd 3.83/5 gyda sgôr isaf o ddau ac uchaf o bump. </w:t>
      </w:r>
    </w:p>
    <w:p w14:paraId="3E5C474C" w14:textId="77777777" w:rsidR="005E16D2" w:rsidRDefault="005E16D2" w:rsidP="005E16D2">
      <w:pPr>
        <w:spacing w:line="360" w:lineRule="auto"/>
        <w:rPr>
          <w:rFonts w:ascii="Arial" w:hAnsi="Arial" w:cs="Arial"/>
        </w:rPr>
      </w:pPr>
      <w:r w:rsidRPr="005E16D2">
        <w:rPr>
          <w:rFonts w:ascii="Arial" w:hAnsi="Arial" w:cs="Arial"/>
          <w:shd w:val="clear" w:color="auto" w:fill="FFFFFF"/>
        </w:rPr>
        <w:t>Hoffwn drafod canlyniadau ac ymatebion y cyfranwyr i’r cyfweliad sef disgyblion blwyddyn tri yn ysgol A (gweler atodiad tri). Atodaf hefyd y trawsgrifiad o’r cyfweliad (gweler atodiad pedwar) defnyddiais y trawsgrifiad hwn er mwyn cadw cofnod manwl o ymatebion y cyfranwyr i’r cwestiynau cyfweliad. Noda Byrne (2023) bod sawl mantais i gadw trawsgrifiad o’r cyfweliad gan gynnwys tystiolaeth fwy dibynadwy, ansawdd uchel i’r data, cydsyniad gwell o’r farn neu safbwynt, a mynediad i ddyfyniadau penodol sy’n helpu gyda’r dadansoddiad. Ymhellach, creda Byrne (2023) fod cyfweliadau yn adnodd gwerthfawr wrth gasglu data ansoddol gan ei fod yn sicrhau cywirdeb a data dibynadwy.</w:t>
      </w:r>
      <w:r>
        <w:rPr>
          <w:rFonts w:ascii="Arial" w:hAnsi="Arial" w:cs="Arial"/>
          <w:shd w:val="clear" w:color="auto" w:fill="FFFFFF"/>
        </w:rPr>
        <w:t xml:space="preserve"> </w:t>
      </w:r>
      <w:r w:rsidRPr="005E16D2">
        <w:rPr>
          <w:rFonts w:ascii="Arial" w:hAnsi="Arial" w:cs="Arial"/>
        </w:rPr>
        <w:t xml:space="preserve">Ceisiaf gynllunio i ofyn cwestiynau agored er mwyn cynnig y cyfle i gyfranogwyr ateb yn onest a thrafod eu gwir farn gan drafod un rhywbeth addas. Mae cwestiynau agored yn ennyn trafodaeth agored lle mae cyfranogwyr yn gallu dewis beth i rannu a faint o fanylder. Yn ogystal, anogir atebion rhesymegol yn lle atebion un gair (Rosala, 2024). </w:t>
      </w:r>
    </w:p>
    <w:p w14:paraId="75D56A3B" w14:textId="77777777" w:rsidR="005E16D2" w:rsidRDefault="005E16D2" w:rsidP="005E16D2">
      <w:pPr>
        <w:spacing w:line="360" w:lineRule="auto"/>
        <w:rPr>
          <w:rFonts w:ascii="Arial" w:hAnsi="Arial" w:cs="Arial"/>
          <w:shd w:val="clear" w:color="auto" w:fill="FFFFFF"/>
        </w:rPr>
      </w:pPr>
      <w:r w:rsidRPr="005E16D2">
        <w:rPr>
          <w:rFonts w:ascii="Arial" w:hAnsi="Arial" w:cs="Arial"/>
          <w:shd w:val="clear" w:color="auto" w:fill="FFFFFF"/>
        </w:rPr>
        <w:t>Gan edrych dros y trawsgrifiad, gallaf weld tebygrwydd yn atebion y ddau grŵp i gwestiwn chwech a saith, sef ‘Ydych chi’n meddwl ei bod hi’n bwysig cefnogi ffrindiau wrth rannu syniadau yn y dosbarth?’ A’r seithfed cwestiwn yn gofyn am ymhelaethed i’r ateb blaenorol. Roedd ymatebion y dysgwyr yn debyg iawn ac i gyd yn rhannu’r farn o’r pwysigrwydd o gefnogi ffrind wrth rannu ateb. Dywedodd plentyn A'u bod yn gallu “clywed syniadau newydd drwy wrando ar atebion ffrindiau” ac ychwanegodd plentyn B efallai bysai modd clywed am rywbeth bysech “chi ddim wedi meddwl am” ac yn cefnogi’r broses o gydweithio, hunanasesu ac asesu cyfoedion. Yn yr ail grŵp, atebodd plentyn C gyda mwy na lai'r un ateb a phlentyn B gyda’i arsylwad o’r gallu i “glywed syniadau newydd weithiau” wrth wrando ar ymatebion ffrindiau i gwestiynau. Ymhellach, yn cefnogi hunanasesu datgela plentyn D gall gefnogi arwain at godi hyder ffrindiau a bydden nhw’n fwy tebygol o ateb eto. Yn ôl Padayichie (2023), gall hyn gael ei ddiffinio’n dysgu cydweithredol drwy gydweithio i ddatrys problem neu ddeall cysyniad. Ychwanega pan ddefnyddir yn effeithiol gall sicrhau dysgwyr sy’n ymgysylltu’n dda gyda chynnwys gwersi wrth feddwl yn feirniadol wrth rannu syniadau gyda’u cyfoedion (Padayichie, 2023).</w:t>
      </w:r>
    </w:p>
    <w:p w14:paraId="7F69F2AA" w14:textId="77777777" w:rsidR="00CA7015" w:rsidRDefault="005E16D2" w:rsidP="00CA7015">
      <w:pPr>
        <w:spacing w:line="360" w:lineRule="auto"/>
        <w:rPr>
          <w:rFonts w:ascii="Arial" w:hAnsi="Arial" w:cs="Arial"/>
        </w:rPr>
      </w:pPr>
      <w:r w:rsidRPr="005E16D2">
        <w:rPr>
          <w:rFonts w:ascii="Arial" w:hAnsi="Arial" w:cs="Arial"/>
        </w:rPr>
        <w:lastRenderedPageBreak/>
        <w:t>Oni bai am y cwestiynau olaf, roedd ymatebion y dysgwyr yn wahanol iawn ac roedd amrywiaeth fawr o syniadau a barnau yn cael eu trafod. Credaf fod hyn yn fantais i ddefnyddio cyfweliadau gan fod sawl syniad yn cael eu trafod gan annog cyfranogwyr i rannu barn. Ymatebion i gwestiwn arall oedd yn sefyll allan oedd yr ymatebion i gwestiwn ‘Ydych chi’n hoffi cael cyfle i drafod cwestiwn gyda ffrind/munud i feddwl?’ Roedd y ddau grŵp yn rhannu’r farn o drafod gyda phartner a bod e weithiau yn gallu codi problemau. Yng ngrŵp A, cytunon nhw ar weithiau nad yw’r partner yn rhannu syniadau. Yn debyg yng ngrŵp B, disgrifia plentyn D bod rhai plant yn sgwrsio am bethau amherthnasol a chwarae o gwmpas. Roedd grŵp B yn gytûn o’r farn nad oedd trafod gyda phartner yn dechneg dda o hunanasesu neu asesu cyfoed.</w:t>
      </w:r>
      <w:r>
        <w:rPr>
          <w:rFonts w:ascii="Arial" w:hAnsi="Arial" w:cs="Arial"/>
        </w:rPr>
        <w:t xml:space="preserve"> </w:t>
      </w:r>
      <w:r w:rsidR="00CA7015" w:rsidRPr="00CA7015">
        <w:rPr>
          <w:rFonts w:ascii="Arial" w:hAnsi="Arial" w:cs="Arial"/>
        </w:rPr>
        <w:t>Yn groes i hyn, yn ôl Tullis a Goldstone (2020), mae gwaith pȃr yn dueddol o helpu dysgwyr wneud cynnydd pellach yn hytrach na gwaith annibynnol gan fod syniadau a gwybodaeth yn cael eu rhannu. I gefnogi hyn, gall ddysgwyr fod yn fwy tebygol o feddwl yn agored wrth drafod gyda chyfoedion i gymharu â thrafod gydag oedolyn neu addysgwr (Carico, 2001).</w:t>
      </w:r>
    </w:p>
    <w:p w14:paraId="36794BA7" w14:textId="77777777" w:rsidR="00CA7015" w:rsidRDefault="00CA7015" w:rsidP="00CA7015">
      <w:pPr>
        <w:spacing w:line="360" w:lineRule="auto"/>
        <w:rPr>
          <w:rFonts w:ascii="Arial" w:hAnsi="Arial" w:cs="Arial"/>
        </w:rPr>
      </w:pPr>
      <w:r w:rsidRPr="00CA7015">
        <w:rPr>
          <w:rFonts w:ascii="Arial" w:hAnsi="Arial" w:cs="Arial"/>
        </w:rPr>
        <w:t>Yn ogystal â’r offeryn ymchwil o gyfweliad, cynlluniais holiadur (gweler atodiad pump) i ddosbarth i addysgwyr yr ysgol leoliad yn gofyn i addysgwyr rhannu barn a safbwyntiau dros hunanasesu fel techneg o AagD. Mae holiaduron yn cael eu defnyddio yn aml wrth geisio casglu data mewn ymchwil addysgiadol gan ei fod yn strwythuredig a’n syml. Yn ôl (Phellas, Bloch a Seale, 2011) mae’n hynod o bwysig sicrhau bod unrhyw holiaduron yn ddigon syml i’r cyfranwyr ddeall gan eu bod yn ei lenwi yn annibynnol. Pwysleisia hyn y pwysigrwydd o sicrhau cynllunio holiadur hawdd i’w ddehongli a’i lenwi a bydd y data a gasglwyd yn fwy dibynadwy o ganlyniad. I gefnogi hyn, awgryma Fowler (2014 tud.154) bod angen ystyried yn ofalus wrth gynllunio holiadur nid yn unig i’w ddehongli’n hawdd ond hefyd i ystyried y foeseg o’r holiadur a’i gynnwys. Er hyn, awgryma Jones et al. (2008) bod sawl anfantais yn dod gyda’r defnydd o holiaduron yn ogystal â’r manteision. Awgryma bod tuedd a chyfraddau ymateb isel yn her fawr i’r offer ymchwil o holiadur. Ymhellach, dadleua Jones et al. (2008) bod bron i ddim cyswllt rhwng yr ymchwilydd a’r cyfranogwyr ac felly yn gallu cael effaith ar y canlyniadau. Wrth ystyried hyn efallai bysai’n anodd dehongli gwir farn neu safbwynt cyfranogwyr i’r holiadur os nad yw eu hatebion yn ddealladwy i’r ymchwilydd. Wrth gymharu gyda fy mhrofiad i, gwelais y broblem o gyfraddau ateb isel ond llwyddais i gasglu chwe ateb yn llawn safbwyntiau gwahanol. Yn fy marn i mae’r manteision yn gorbwyso’r anfanteision ac roedd defnyddio’r holiadur yn fuddiol iawn i mi wrth gasglu data i fy nghwestiwn ymchwil.</w:t>
      </w:r>
    </w:p>
    <w:p w14:paraId="7145F5B9" w14:textId="77777777" w:rsidR="00CA7015" w:rsidRDefault="00CA7015" w:rsidP="00CA7015">
      <w:pPr>
        <w:spacing w:line="360" w:lineRule="auto"/>
        <w:rPr>
          <w:rFonts w:ascii="Arial" w:hAnsi="Arial" w:cs="Arial"/>
          <w:shd w:val="clear" w:color="auto" w:fill="FFFFFF"/>
        </w:rPr>
      </w:pPr>
      <w:r w:rsidRPr="00CA7015">
        <w:rPr>
          <w:rFonts w:ascii="Arial" w:hAnsi="Arial" w:cs="Arial"/>
        </w:rPr>
        <w:t xml:space="preserve">Diddorol oedd gweld ymatebion yr holiadur (gweler atodiad chwech) a oedd yn debyg yn enwedig cwestiwn chwech sef ‘pa mor effeithiol yw asesu cyfoedion/adborth gan gyfoed yn y dosbarth?’. Gwelwyd patrwm gan sawl ymateb yn nodi ei fod yn dibynnu ar lefel gallu’r plentyn wrth ystyried ffactorau fel hyder wrth drafod. Atebodd cyfranogwr A gyda’r farn ei fod </w:t>
      </w:r>
      <w:r w:rsidRPr="00CA7015">
        <w:rPr>
          <w:rFonts w:ascii="Arial" w:hAnsi="Arial" w:cs="Arial"/>
        </w:rPr>
        <w:lastRenderedPageBreak/>
        <w:t xml:space="preserve">yn ‘Werthfawr os yw’r plant yn hyderus. Anodd i blant is eu gallu.’ Yn hynod o debyg atebodd cyfranogwr B gyda ‘Mae'n effeithiol iawn gyda'r plant mwyaf annibynnol, uwch eu gallu.’ </w:t>
      </w:r>
      <w:r w:rsidRPr="00CA7015">
        <w:rPr>
          <w:rFonts w:ascii="Arial" w:hAnsi="Arial" w:cs="Arial"/>
          <w:shd w:val="clear" w:color="auto" w:fill="FFFFFF"/>
        </w:rPr>
        <w:t xml:space="preserve">Yn amlwg mae’r addysgwyr yn gweld hunanasesu yn fwy defnyddiol i blant uwch eu gallu efallai gan eu bod nhw’n fwy hyderus wrth drafod syniadau neu atebion gyda chyfoedion. Er y rhwystrau a godir gan y cyfranogwyr, yn ôl Estyn (2022) mae’n hollbwysig rhoi’r cyfle i ddysgwyr ddatblygu ar eu sgiliau myfyrio. Mae angen i addysgwyr ddeall y rhwystrau cymdeithasol posib wrth roi’r cyfle i blant gydweithio, a’i sicrhau ei fod yn rhan naturiol o’r broses o ddysgu a gwneud cynnydd (Estyn, 2022). </w:t>
      </w:r>
    </w:p>
    <w:p w14:paraId="4BC335C4" w14:textId="2AB52610" w:rsidR="00BE58E5" w:rsidRPr="006D6075" w:rsidRDefault="00CA7015" w:rsidP="00CA7015">
      <w:pPr>
        <w:spacing w:line="360" w:lineRule="auto"/>
        <w:rPr>
          <w:rFonts w:ascii="Arial" w:hAnsi="Arial" w:cs="Arial"/>
          <w:shd w:val="clear" w:color="auto" w:fill="FFFFFF"/>
        </w:rPr>
      </w:pPr>
      <w:r w:rsidRPr="00CA7015">
        <w:rPr>
          <w:rFonts w:ascii="Arial" w:hAnsi="Arial" w:cs="Arial"/>
        </w:rPr>
        <w:t>Mantais arall o ddefnyddio holiaduron yw pa mor hawdd yw dadansoddi’r data, yn enwedig yr holl ddata meintiol a gasglwyd. Diffinnir dadansoddi data meintiol gan Albers (2017) yn effeithiol drwy ei ddisgrifio fel ffordd o feddwl yn gritigol wrth edrych ar ddata. Bwriad y dadansoddi yw datgelu unrhyw batrymau neu dueddiadau o fewn cyd-destun yr ymchwiliad (Albers, 2017). Cwestiwn saith yn fy holiadur oedd ‘I ba raddau ydych chi’n credu bod hunanasesu yn helpu dysgwyr i sicrhau cynnydd’ a’n gofyn am sgôr rhwng 1 a 5 o effeithlonrwydd. Y lefel isaf oedd 2 allan o bump gydag un cyfranogwr yn ateb, a’r sgôr uchaf oedd 5 gydag un yn ateb hwnnw.</w:t>
      </w:r>
      <w:r>
        <w:rPr>
          <w:rFonts w:ascii="Arial" w:hAnsi="Arial" w:cs="Arial"/>
        </w:rPr>
        <w:t xml:space="preserve"> </w:t>
      </w:r>
      <w:r w:rsidRPr="00CA7015">
        <w:rPr>
          <w:rFonts w:ascii="Arial" w:hAnsi="Arial" w:cs="Arial"/>
          <w:shd w:val="clear" w:color="auto" w:fill="FFFFFF"/>
        </w:rPr>
        <w:t>Y modd oedd 4 allan o bump gyda 50% o’r cyfranogwyr yn rhoi rho’i sgôr hwn, a’r sgôr cyfartaledd oedd 3.7 allan o bump. Wrth ddadansoddi’r canlyniadau hyn, mae’n amlwg fod hunanasesu yn bwnc lle ceir ystod o farnau a safbwyntiau drosti gyda rhai yn fwy cadarnhaol nag eraill.</w:t>
      </w:r>
    </w:p>
    <w:p w14:paraId="6AD98D9F" w14:textId="2AAD53B5" w:rsidR="00BE58E5" w:rsidRDefault="00CA7015" w:rsidP="00734E12">
      <w:pPr>
        <w:pStyle w:val="NormalWeb"/>
        <w:spacing w:line="360" w:lineRule="auto"/>
        <w:rPr>
          <w:rFonts w:ascii="Arial" w:hAnsi="Arial" w:cs="Arial"/>
          <w:sz w:val="22"/>
          <w:szCs w:val="22"/>
          <w:lang w:val="cy-GB"/>
        </w:rPr>
      </w:pPr>
      <w:r w:rsidRPr="00CA7015">
        <w:rPr>
          <w:rFonts w:ascii="Arial" w:hAnsi="Arial" w:cs="Arial"/>
          <w:sz w:val="22"/>
          <w:szCs w:val="22"/>
          <w:shd w:val="clear" w:color="auto" w:fill="FFFFFF"/>
          <w:lang w:val="cy-GB"/>
        </w:rPr>
        <w:t>I gloi’r aseiniad, gan edrych dros ymatebion i’m cwestiwn ymchwil a’r adolygiad llenyddiaeth mae’n amlwg iawn bod ystod eang o farnau dros hunanasesu, boed yn gadarnhaol neu’n negyddol. Yn fy marn i mae pob maes o AagD yn angenrheidiol wrth addysgu, ond mae’n bwysig iawn cadw cydbwysedd deg o asesu. Nid oes amheuaeth dros bwysigrwydd AagD gan gynnwys hunanasesu, mae’n sicrhau rôl ganolog i ddysgwyr dros eu dysgu (Race, 2013, tud.117). Wrth ystyried hyn bysai dysgwyr yn fwy ymwybodol o’r camau nesaf yn eu dysgu a sut i wneud cynnydd pellach.</w:t>
      </w:r>
      <w:r w:rsidR="00473D3C" w:rsidRPr="006D6075">
        <w:rPr>
          <w:rFonts w:ascii="Arial" w:hAnsi="Arial" w:cs="Arial"/>
          <w:sz w:val="22"/>
          <w:szCs w:val="22"/>
          <w:lang w:val="cy-GB"/>
        </w:rPr>
        <w:t xml:space="preserve"> </w:t>
      </w:r>
      <w:r w:rsidRPr="00CA7015">
        <w:rPr>
          <w:rFonts w:ascii="Arial" w:hAnsi="Arial" w:cs="Arial"/>
          <w:sz w:val="22"/>
          <w:szCs w:val="22"/>
          <w:lang w:val="cy-GB"/>
        </w:rPr>
        <w:t>Er hyn, rhaid bod yn gritigol gan nodi bod gormod o asesu yn gallu gwthio dysgwyr i ffwrdd o’r dysgu a gostwng eu cymhelliant (Balasubramanian, 2017). Wrth ystyried hyn, mae’n hollbwysig sicrhau defnydd cyson, ond dim gwthio’n ormodol ar ddysgwyr, gan bwysleisio’r pwysigrwydd o gadw cydbwysedd. Yn fy marn i, mae’n angenrheidiol i addysgwyr brofi pob agwedd o AagD drwy dreialu sawl techneg wahanol gan ddarganfod beth sy’n gweithio i unigolion eu dosbarth. Sicrhaf i geisio rhoi ffocws deg ar bob elfen o AagD gan gynnwys hunanasesu gan dreialu technegau newydd yn gyson er mwyn sicrhau nad yw’r addysgu a’r technegau yn troi’n ddiflas.</w:t>
      </w:r>
    </w:p>
    <w:p w14:paraId="1DFAE457" w14:textId="77777777" w:rsidR="00CA7015" w:rsidRDefault="00CA7015" w:rsidP="00734E12">
      <w:pPr>
        <w:pStyle w:val="NormalWeb"/>
        <w:spacing w:line="360" w:lineRule="auto"/>
        <w:rPr>
          <w:rFonts w:ascii="Arial" w:hAnsi="Arial" w:cs="Arial"/>
          <w:sz w:val="22"/>
          <w:szCs w:val="22"/>
          <w:lang w:val="cy-GB"/>
        </w:rPr>
      </w:pPr>
    </w:p>
    <w:p w14:paraId="62B9E32A" w14:textId="22963C6F" w:rsidR="00CA7015" w:rsidRDefault="00CA7015" w:rsidP="00734E12">
      <w:pPr>
        <w:pStyle w:val="NormalWeb"/>
        <w:spacing w:line="360" w:lineRule="auto"/>
        <w:rPr>
          <w:rFonts w:ascii="Arial" w:hAnsi="Arial" w:cs="Arial"/>
          <w:sz w:val="22"/>
          <w:szCs w:val="22"/>
          <w:lang w:val="cy-GB"/>
        </w:rPr>
      </w:pPr>
      <w:r>
        <w:rPr>
          <w:rFonts w:ascii="Arial" w:hAnsi="Arial" w:cs="Arial"/>
          <w:sz w:val="22"/>
          <w:szCs w:val="22"/>
          <w:lang w:val="cy-GB"/>
        </w:rPr>
        <w:lastRenderedPageBreak/>
        <w:t>Rhestr cyferinodi</w:t>
      </w:r>
    </w:p>
    <w:p w14:paraId="00AACFD6" w14:textId="5C0E85F3"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Albers, M.J. (2017). Quantitative Data Analysis—In the Graduate Curriculum. </w:t>
      </w:r>
      <w:r>
        <w:rPr>
          <w:rFonts w:ascii="Arial" w:hAnsi="Arial" w:cs="Arial"/>
          <w:i/>
          <w:iCs/>
          <w:sz w:val="22"/>
          <w:szCs w:val="22"/>
        </w:rPr>
        <w:t>Journal of Technical Writing and Communication</w:t>
      </w:r>
      <w:r>
        <w:rPr>
          <w:rFonts w:ascii="Arial" w:hAnsi="Arial" w:cs="Arial"/>
          <w:sz w:val="22"/>
          <w:szCs w:val="22"/>
        </w:rPr>
        <w:t xml:space="preserve">, [online] 47(2), </w:t>
      </w:r>
      <w:r>
        <w:rPr>
          <w:rFonts w:ascii="Arial" w:hAnsi="Arial" w:cs="Arial"/>
          <w:sz w:val="22"/>
          <w:szCs w:val="22"/>
        </w:rPr>
        <w:t>tud</w:t>
      </w:r>
      <w:r>
        <w:rPr>
          <w:rFonts w:ascii="Arial" w:hAnsi="Arial" w:cs="Arial"/>
          <w:sz w:val="22"/>
          <w:szCs w:val="22"/>
        </w:rPr>
        <w:t>.215–233.</w:t>
      </w:r>
      <w:r>
        <w:rPr>
          <w:rFonts w:ascii="Arial" w:hAnsi="Arial" w:cs="Arial"/>
          <w:sz w:val="22"/>
          <w:szCs w:val="22"/>
        </w:rPr>
        <w:t xml:space="preserve"> </w:t>
      </w:r>
      <w:r>
        <w:rPr>
          <w:rFonts w:ascii="Arial" w:hAnsi="Arial" w:cs="Arial"/>
          <w:sz w:val="22"/>
          <w:szCs w:val="22"/>
        </w:rPr>
        <w:t>https://journals.sagepub.com/doi/abs/10.1177/0047281617692067 [</w:t>
      </w:r>
      <w:r>
        <w:rPr>
          <w:rFonts w:ascii="Arial" w:hAnsi="Arial" w:cs="Arial"/>
          <w:sz w:val="22"/>
          <w:szCs w:val="22"/>
        </w:rPr>
        <w:t>Dyddiad Mynediad</w:t>
      </w:r>
      <w:r>
        <w:rPr>
          <w:rFonts w:ascii="Arial" w:hAnsi="Arial" w:cs="Arial"/>
          <w:sz w:val="22"/>
          <w:szCs w:val="22"/>
        </w:rPr>
        <w:t xml:space="preserve"> 19</w:t>
      </w:r>
      <w:r>
        <w:rPr>
          <w:rFonts w:ascii="Arial" w:hAnsi="Arial" w:cs="Arial"/>
          <w:sz w:val="22"/>
          <w:szCs w:val="22"/>
        </w:rPr>
        <w:t>/02/2024</w:t>
      </w:r>
      <w:r>
        <w:rPr>
          <w:rFonts w:ascii="Arial" w:hAnsi="Arial" w:cs="Arial"/>
          <w:sz w:val="22"/>
          <w:szCs w:val="22"/>
        </w:rPr>
        <w:t>].</w:t>
      </w:r>
    </w:p>
    <w:p w14:paraId="33F402A2" w14:textId="3CBF5CD1"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Bailey, J. (2008). First Steps in Qualitative Data analysis: Transcribing. </w:t>
      </w:r>
      <w:r>
        <w:rPr>
          <w:rFonts w:ascii="Arial" w:hAnsi="Arial" w:cs="Arial"/>
          <w:i/>
          <w:iCs/>
          <w:sz w:val="22"/>
          <w:szCs w:val="22"/>
        </w:rPr>
        <w:t>Family Practice</w:t>
      </w:r>
      <w:r>
        <w:rPr>
          <w:rFonts w:ascii="Arial" w:hAnsi="Arial" w:cs="Arial"/>
          <w:sz w:val="22"/>
          <w:szCs w:val="22"/>
        </w:rPr>
        <w:t>,</w:t>
      </w:r>
      <w:r>
        <w:rPr>
          <w:rFonts w:ascii="Arial" w:hAnsi="Arial" w:cs="Arial"/>
          <w:sz w:val="22"/>
          <w:szCs w:val="22"/>
        </w:rPr>
        <w:t xml:space="preserve"> </w:t>
      </w:r>
      <w:r>
        <w:rPr>
          <w:rFonts w:ascii="Arial" w:hAnsi="Arial" w:cs="Arial"/>
          <w:sz w:val="22"/>
          <w:szCs w:val="22"/>
        </w:rPr>
        <w:t xml:space="preserve">25(2), </w:t>
      </w:r>
      <w:r>
        <w:rPr>
          <w:rFonts w:ascii="Arial" w:hAnsi="Arial" w:cs="Arial"/>
          <w:sz w:val="22"/>
          <w:szCs w:val="22"/>
        </w:rPr>
        <w:t>tud</w:t>
      </w:r>
      <w:r>
        <w:rPr>
          <w:rFonts w:ascii="Arial" w:hAnsi="Arial" w:cs="Arial"/>
          <w:sz w:val="22"/>
          <w:szCs w:val="22"/>
        </w:rPr>
        <w:t>.127–131. doi:https://doi.org/10.1093/fampra/cmn003.</w:t>
      </w:r>
    </w:p>
    <w:p w14:paraId="3315DC0B" w14:textId="6F7E2DD2"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Balasubramanian, S. (2017). </w:t>
      </w:r>
      <w:r>
        <w:rPr>
          <w:rFonts w:ascii="Arial" w:hAnsi="Arial" w:cs="Arial"/>
          <w:i/>
          <w:iCs/>
          <w:sz w:val="22"/>
          <w:szCs w:val="22"/>
        </w:rPr>
        <w:t>Too Many Tests Can Detract from Joy of Learning</w:t>
      </w:r>
      <w:r>
        <w:rPr>
          <w:rFonts w:ascii="Arial" w:hAnsi="Arial" w:cs="Arial"/>
          <w:sz w:val="22"/>
          <w:szCs w:val="22"/>
        </w:rPr>
        <w:t>. [online] Poughkeepsie Journal.</w:t>
      </w:r>
      <w:r>
        <w:rPr>
          <w:rFonts w:ascii="Arial" w:hAnsi="Arial" w:cs="Arial"/>
          <w:sz w:val="22"/>
          <w:szCs w:val="22"/>
        </w:rPr>
        <w:t xml:space="preserve"> </w:t>
      </w:r>
      <w:r>
        <w:rPr>
          <w:rFonts w:ascii="Arial" w:hAnsi="Arial" w:cs="Arial"/>
          <w:sz w:val="22"/>
          <w:szCs w:val="22"/>
        </w:rPr>
        <w:t>https://eu.poughkeepsiejournal.com/story/life/2017/06/01/too-many-tests-can-detract-joy-learning/345679001/ [</w:t>
      </w:r>
      <w:r>
        <w:rPr>
          <w:rFonts w:ascii="Arial" w:hAnsi="Arial" w:cs="Arial"/>
          <w:sz w:val="22"/>
          <w:szCs w:val="22"/>
        </w:rPr>
        <w:t>Dyddiad Mynediad 17/02/</w:t>
      </w:r>
      <w:r>
        <w:rPr>
          <w:rFonts w:ascii="Arial" w:hAnsi="Arial" w:cs="Arial"/>
          <w:sz w:val="22"/>
          <w:szCs w:val="22"/>
        </w:rPr>
        <w:t>2024].</w:t>
      </w:r>
    </w:p>
    <w:p w14:paraId="68A75325" w14:textId="441C991E"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BERA (2018). </w:t>
      </w:r>
      <w:r>
        <w:rPr>
          <w:rFonts w:ascii="Arial" w:hAnsi="Arial" w:cs="Arial"/>
          <w:i/>
          <w:iCs/>
          <w:sz w:val="22"/>
          <w:szCs w:val="22"/>
        </w:rPr>
        <w:t>Ethical Guidelines for Educational Research, Fourth Edition (2018)</w:t>
      </w:r>
      <w:r>
        <w:rPr>
          <w:rFonts w:ascii="Arial" w:hAnsi="Arial" w:cs="Arial"/>
          <w:sz w:val="22"/>
          <w:szCs w:val="22"/>
        </w:rPr>
        <w:t>.</w:t>
      </w:r>
      <w:r>
        <w:rPr>
          <w:rFonts w:ascii="Arial" w:hAnsi="Arial" w:cs="Arial"/>
          <w:sz w:val="22"/>
          <w:szCs w:val="22"/>
        </w:rPr>
        <w:t xml:space="preserve"> </w:t>
      </w:r>
      <w:r>
        <w:rPr>
          <w:rFonts w:ascii="Arial" w:hAnsi="Arial" w:cs="Arial"/>
          <w:sz w:val="22"/>
          <w:szCs w:val="22"/>
        </w:rPr>
        <w:t>Bera.ac.uk. Available at: https://www.bera.ac.uk/publication/ethical-guidelines-for-educational-research-2018-online.</w:t>
      </w:r>
    </w:p>
    <w:p w14:paraId="762D9D06" w14:textId="77777777"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Black, P. and Wiliam, D. (1998). </w:t>
      </w:r>
      <w:r>
        <w:rPr>
          <w:rFonts w:ascii="Arial" w:hAnsi="Arial" w:cs="Arial"/>
          <w:i/>
          <w:iCs/>
          <w:sz w:val="22"/>
          <w:szCs w:val="22"/>
        </w:rPr>
        <w:t>Inside the Black Box : Raising Standards through Classroom Assessment</w:t>
      </w:r>
      <w:r>
        <w:rPr>
          <w:rFonts w:ascii="Arial" w:hAnsi="Arial" w:cs="Arial"/>
          <w:sz w:val="22"/>
          <w:szCs w:val="22"/>
        </w:rPr>
        <w:t>. Cheltenham, Vic.: Hawker Brownlow Education.</w:t>
      </w:r>
    </w:p>
    <w:p w14:paraId="4EEDEAF6" w14:textId="0873D25B"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Blackburn, C. (2015). </w:t>
      </w:r>
      <w:r>
        <w:rPr>
          <w:rFonts w:ascii="Arial" w:hAnsi="Arial" w:cs="Arial"/>
          <w:i/>
          <w:iCs/>
          <w:sz w:val="22"/>
          <w:szCs w:val="22"/>
        </w:rPr>
        <w:t>Researching with young and developmentally young children – ethical considerations, dilemmas and compromises</w:t>
      </w:r>
      <w:r>
        <w:rPr>
          <w:rFonts w:ascii="Arial" w:hAnsi="Arial" w:cs="Arial"/>
          <w:sz w:val="22"/>
          <w:szCs w:val="22"/>
        </w:rPr>
        <w:t>. www.bera.ac.uk. Available at: https://www.bera.ac.uk/blog/researching-with-young-and-developmentally-young-children-ethical-considerations-dilemmas-and-compromises.</w:t>
      </w:r>
    </w:p>
    <w:p w14:paraId="185BBBE8" w14:textId="5EFA64B0"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Boud, D. (2013). </w:t>
      </w:r>
      <w:r>
        <w:rPr>
          <w:rFonts w:ascii="Arial" w:hAnsi="Arial" w:cs="Arial"/>
          <w:i/>
          <w:iCs/>
          <w:sz w:val="22"/>
          <w:szCs w:val="22"/>
        </w:rPr>
        <w:t>Enhancing learning through self-assessment.</w:t>
      </w:r>
      <w:r>
        <w:rPr>
          <w:rFonts w:ascii="Arial" w:hAnsi="Arial" w:cs="Arial"/>
          <w:sz w:val="22"/>
          <w:szCs w:val="22"/>
        </w:rPr>
        <w:t xml:space="preserve"> Routledge, </w:t>
      </w:r>
      <w:r>
        <w:rPr>
          <w:rFonts w:ascii="Arial" w:hAnsi="Arial" w:cs="Arial"/>
          <w:sz w:val="22"/>
          <w:szCs w:val="22"/>
        </w:rPr>
        <w:t>tud</w:t>
      </w:r>
      <w:r>
        <w:rPr>
          <w:rFonts w:ascii="Arial" w:hAnsi="Arial" w:cs="Arial"/>
          <w:sz w:val="22"/>
          <w:szCs w:val="22"/>
        </w:rPr>
        <w:t>.207.</w:t>
      </w:r>
    </w:p>
    <w:p w14:paraId="12447346" w14:textId="21C59754"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Brown, N. (2015). </w:t>
      </w:r>
      <w:r>
        <w:rPr>
          <w:rFonts w:ascii="Arial" w:hAnsi="Arial" w:cs="Arial"/>
          <w:i/>
          <w:iCs/>
          <w:sz w:val="22"/>
          <w:szCs w:val="22"/>
        </w:rPr>
        <w:t>The Mosaic approach according to Clark and Moss</w:t>
      </w:r>
      <w:r>
        <w:rPr>
          <w:rFonts w:ascii="Arial" w:hAnsi="Arial" w:cs="Arial"/>
          <w:sz w:val="22"/>
          <w:szCs w:val="22"/>
        </w:rPr>
        <w:t>. [online] Nicole Brown. https://www.nicole-brown.co.uk/the-mosaic-approach-according-to-clark-and-moss/ [</w:t>
      </w:r>
      <w:r>
        <w:rPr>
          <w:rFonts w:ascii="Arial" w:hAnsi="Arial" w:cs="Arial"/>
          <w:sz w:val="22"/>
          <w:szCs w:val="22"/>
        </w:rPr>
        <w:t>Dyddiad Mynediad 16/02/</w:t>
      </w:r>
      <w:r>
        <w:rPr>
          <w:rFonts w:ascii="Arial" w:hAnsi="Arial" w:cs="Arial"/>
          <w:sz w:val="22"/>
          <w:szCs w:val="22"/>
        </w:rPr>
        <w:t>2024].</w:t>
      </w:r>
    </w:p>
    <w:p w14:paraId="6706FC8D" w14:textId="1833ED92"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Business Research Methodology (2012). </w:t>
      </w:r>
      <w:r>
        <w:rPr>
          <w:rFonts w:ascii="Arial" w:hAnsi="Arial" w:cs="Arial"/>
          <w:i/>
          <w:iCs/>
          <w:sz w:val="22"/>
          <w:szCs w:val="22"/>
        </w:rPr>
        <w:t>Quantitative Data Analysis - Research-Methodology</w:t>
      </w:r>
      <w:r>
        <w:rPr>
          <w:rFonts w:ascii="Arial" w:hAnsi="Arial" w:cs="Arial"/>
          <w:sz w:val="22"/>
          <w:szCs w:val="22"/>
        </w:rPr>
        <w:t>. Research-Methodology. Available at: https://research-methodology.net/research-methods/data-analysis/quantitative-data-analysis/.</w:t>
      </w:r>
    </w:p>
    <w:p w14:paraId="121388F0" w14:textId="0C86C7EC"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Byrne, C. (2023). </w:t>
      </w:r>
      <w:r>
        <w:rPr>
          <w:rFonts w:ascii="Arial" w:hAnsi="Arial" w:cs="Arial"/>
          <w:i/>
          <w:iCs/>
          <w:sz w:val="22"/>
          <w:szCs w:val="22"/>
        </w:rPr>
        <w:t>Benefits of Transcribing Interviews for Research</w:t>
      </w:r>
      <w:r>
        <w:rPr>
          <w:rFonts w:ascii="Arial" w:hAnsi="Arial" w:cs="Arial"/>
          <w:sz w:val="22"/>
          <w:szCs w:val="22"/>
        </w:rPr>
        <w:t>. Sterling Transcription. https://www.sterlingtranscription.co.uk/2023/04/18/benefits-of-transcribing-interviews-for-research/ [</w:t>
      </w:r>
      <w:r>
        <w:rPr>
          <w:rFonts w:ascii="Arial" w:hAnsi="Arial" w:cs="Arial"/>
          <w:sz w:val="22"/>
          <w:szCs w:val="22"/>
        </w:rPr>
        <w:t>Dyddiad Mynediad 18/02/</w:t>
      </w:r>
      <w:r>
        <w:rPr>
          <w:rFonts w:ascii="Arial" w:hAnsi="Arial" w:cs="Arial"/>
          <w:sz w:val="22"/>
          <w:szCs w:val="22"/>
        </w:rPr>
        <w:t>2024].</w:t>
      </w:r>
    </w:p>
    <w:p w14:paraId="12791F41" w14:textId="60150762"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Carico, K.M. (2001). Negotiating Meaning in Classroom Literature Discussions. </w:t>
      </w:r>
      <w:r>
        <w:rPr>
          <w:rFonts w:ascii="Arial" w:hAnsi="Arial" w:cs="Arial"/>
          <w:i/>
          <w:iCs/>
          <w:sz w:val="22"/>
          <w:szCs w:val="22"/>
        </w:rPr>
        <w:t>Journal of Adolescent &amp; Adult Literacy</w:t>
      </w:r>
      <w:r>
        <w:rPr>
          <w:rFonts w:ascii="Arial" w:hAnsi="Arial" w:cs="Arial"/>
          <w:sz w:val="22"/>
          <w:szCs w:val="22"/>
        </w:rPr>
        <w:t xml:space="preserve">, 44(6), </w:t>
      </w:r>
      <w:r>
        <w:rPr>
          <w:rFonts w:ascii="Arial" w:hAnsi="Arial" w:cs="Arial"/>
          <w:sz w:val="22"/>
          <w:szCs w:val="22"/>
        </w:rPr>
        <w:t>tud</w:t>
      </w:r>
      <w:r>
        <w:rPr>
          <w:rFonts w:ascii="Arial" w:hAnsi="Arial" w:cs="Arial"/>
          <w:sz w:val="22"/>
          <w:szCs w:val="22"/>
        </w:rPr>
        <w:t>.510.</w:t>
      </w:r>
    </w:p>
    <w:p w14:paraId="4BB0BFB4" w14:textId="48C6C945"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Clark, A. (2011). </w:t>
      </w:r>
      <w:r>
        <w:rPr>
          <w:rFonts w:ascii="Arial" w:hAnsi="Arial" w:cs="Arial"/>
          <w:i/>
          <w:iCs/>
          <w:sz w:val="22"/>
          <w:szCs w:val="22"/>
        </w:rPr>
        <w:t>Ways of seeing: Using the Mosaic Approach to Listen to Young Children’s Perspectives</w:t>
      </w:r>
      <w:r>
        <w:rPr>
          <w:rFonts w:ascii="Arial" w:hAnsi="Arial" w:cs="Arial"/>
          <w:sz w:val="22"/>
          <w:szCs w:val="22"/>
        </w:rPr>
        <w:t>. https://learningaway.org.uk/wp-content/uploads/RL56-Extract-the-Mosaic-Approach-EARLY-YEARS.pdf.</w:t>
      </w:r>
    </w:p>
    <w:p w14:paraId="56B733FB" w14:textId="7D8A70C3"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Clark, A., Moss, P. and Anne Trine Kjørholt (2005). </w:t>
      </w:r>
      <w:r>
        <w:rPr>
          <w:rFonts w:ascii="Arial" w:hAnsi="Arial" w:cs="Arial"/>
          <w:i/>
          <w:iCs/>
          <w:sz w:val="22"/>
          <w:szCs w:val="22"/>
        </w:rPr>
        <w:t>Beyond Listening : Children’s Perspectives on Early Childhood Services</w:t>
      </w:r>
      <w:r>
        <w:rPr>
          <w:rFonts w:ascii="Arial" w:hAnsi="Arial" w:cs="Arial"/>
          <w:sz w:val="22"/>
          <w:szCs w:val="22"/>
        </w:rPr>
        <w:t xml:space="preserve">. Bristol: Policy, </w:t>
      </w:r>
      <w:r>
        <w:rPr>
          <w:rFonts w:ascii="Arial" w:hAnsi="Arial" w:cs="Arial"/>
          <w:sz w:val="22"/>
          <w:szCs w:val="22"/>
        </w:rPr>
        <w:t>tud</w:t>
      </w:r>
      <w:r>
        <w:rPr>
          <w:rFonts w:ascii="Arial" w:hAnsi="Arial" w:cs="Arial"/>
          <w:sz w:val="22"/>
          <w:szCs w:val="22"/>
        </w:rPr>
        <w:t>.11–27.</w:t>
      </w:r>
    </w:p>
    <w:p w14:paraId="4D520AFC" w14:textId="25E76117"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Clark, A., Moss, P. and National Children's Bureau (2011). </w:t>
      </w:r>
      <w:r>
        <w:rPr>
          <w:rFonts w:ascii="Arial" w:hAnsi="Arial" w:cs="Arial"/>
          <w:i/>
          <w:iCs/>
          <w:sz w:val="22"/>
          <w:szCs w:val="22"/>
        </w:rPr>
        <w:t>Listening to Young Children : the Mosaic Approach</w:t>
      </w:r>
      <w:r>
        <w:rPr>
          <w:rFonts w:ascii="Arial" w:hAnsi="Arial" w:cs="Arial"/>
          <w:sz w:val="22"/>
          <w:szCs w:val="22"/>
        </w:rPr>
        <w:t xml:space="preserve">. London: National Children’s Bureau, </w:t>
      </w:r>
      <w:r>
        <w:rPr>
          <w:rFonts w:ascii="Arial" w:hAnsi="Arial" w:cs="Arial"/>
          <w:sz w:val="22"/>
          <w:szCs w:val="22"/>
        </w:rPr>
        <w:t>tud</w:t>
      </w:r>
      <w:r>
        <w:rPr>
          <w:rFonts w:ascii="Arial" w:hAnsi="Arial" w:cs="Arial"/>
          <w:sz w:val="22"/>
          <w:szCs w:val="22"/>
        </w:rPr>
        <w:t>.10–12.</w:t>
      </w:r>
    </w:p>
    <w:p w14:paraId="5F7C477A" w14:textId="68F1B5D3"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Denscombe, M. (2017). </w:t>
      </w:r>
      <w:r>
        <w:rPr>
          <w:rFonts w:ascii="Arial" w:hAnsi="Arial" w:cs="Arial"/>
          <w:i/>
          <w:iCs/>
          <w:sz w:val="22"/>
          <w:szCs w:val="22"/>
        </w:rPr>
        <w:t>The Good Research Guide for Small-Scale Social Research Projects</w:t>
      </w:r>
      <w:r>
        <w:rPr>
          <w:rFonts w:ascii="Arial" w:hAnsi="Arial" w:cs="Arial"/>
          <w:sz w:val="22"/>
          <w:szCs w:val="22"/>
        </w:rPr>
        <w:t xml:space="preserve">. 6th ed. London: Open University Press, </w:t>
      </w:r>
      <w:r>
        <w:rPr>
          <w:rFonts w:ascii="Arial" w:hAnsi="Arial" w:cs="Arial"/>
          <w:sz w:val="22"/>
          <w:szCs w:val="22"/>
        </w:rPr>
        <w:t>tud</w:t>
      </w:r>
      <w:r>
        <w:rPr>
          <w:rFonts w:ascii="Arial" w:hAnsi="Arial" w:cs="Arial"/>
          <w:sz w:val="22"/>
          <w:szCs w:val="22"/>
        </w:rPr>
        <w:t>.184–204.</w:t>
      </w:r>
    </w:p>
    <w:p w14:paraId="3DCEFCAC" w14:textId="15376291"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Donaldson, G. (2015). </w:t>
      </w:r>
      <w:r>
        <w:rPr>
          <w:rFonts w:ascii="Arial" w:hAnsi="Arial" w:cs="Arial"/>
          <w:i/>
          <w:iCs/>
          <w:sz w:val="22"/>
          <w:szCs w:val="22"/>
        </w:rPr>
        <w:t>Dyfodol Llwyddiannus Adolygiad Annibynnol o’r Cwricwlwm a’r Trefniadau Asesu yng Nghymru Chwefror 2015</w:t>
      </w:r>
      <w:r>
        <w:rPr>
          <w:rFonts w:ascii="Arial" w:hAnsi="Arial" w:cs="Arial"/>
          <w:sz w:val="22"/>
          <w:szCs w:val="22"/>
        </w:rPr>
        <w:t xml:space="preserve">. </w:t>
      </w:r>
      <w:r>
        <w:rPr>
          <w:rFonts w:ascii="Arial" w:hAnsi="Arial" w:cs="Arial"/>
          <w:sz w:val="22"/>
          <w:szCs w:val="22"/>
        </w:rPr>
        <w:t>tud</w:t>
      </w:r>
      <w:r>
        <w:rPr>
          <w:rFonts w:ascii="Arial" w:hAnsi="Arial" w:cs="Arial"/>
          <w:sz w:val="22"/>
          <w:szCs w:val="22"/>
        </w:rPr>
        <w:t>.67–68.</w:t>
      </w:r>
      <w:r>
        <w:rPr>
          <w:rFonts w:ascii="Arial" w:hAnsi="Arial" w:cs="Arial"/>
          <w:sz w:val="22"/>
          <w:szCs w:val="22"/>
        </w:rPr>
        <w:t xml:space="preserve"> </w:t>
      </w:r>
      <w:r>
        <w:rPr>
          <w:rFonts w:ascii="Arial" w:hAnsi="Arial" w:cs="Arial"/>
          <w:sz w:val="22"/>
          <w:szCs w:val="22"/>
        </w:rPr>
        <w:t>https://www.llyw.cymru/sites/default/files/publications/2018-03/dyfodol-llwyddiannus.pdf [</w:t>
      </w:r>
      <w:r>
        <w:rPr>
          <w:rFonts w:ascii="Arial" w:hAnsi="Arial" w:cs="Arial"/>
          <w:sz w:val="22"/>
          <w:szCs w:val="22"/>
        </w:rPr>
        <w:t>Dyddiad Mynediad 16/02/</w:t>
      </w:r>
      <w:r>
        <w:rPr>
          <w:rFonts w:ascii="Arial" w:hAnsi="Arial" w:cs="Arial"/>
          <w:sz w:val="22"/>
          <w:szCs w:val="22"/>
        </w:rPr>
        <w:t>2024].</w:t>
      </w:r>
    </w:p>
    <w:p w14:paraId="48C014CC" w14:textId="42411B13"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Estyn (2022). </w:t>
      </w:r>
      <w:r>
        <w:rPr>
          <w:rFonts w:ascii="Arial" w:hAnsi="Arial" w:cs="Arial"/>
          <w:i/>
          <w:iCs/>
          <w:sz w:val="22"/>
          <w:szCs w:val="22"/>
        </w:rPr>
        <w:t>Effective Approaches to Assessment That Improve Teaching and Learning</w:t>
      </w:r>
      <w:r>
        <w:rPr>
          <w:rFonts w:ascii="Arial" w:hAnsi="Arial" w:cs="Arial"/>
          <w:sz w:val="22"/>
          <w:szCs w:val="22"/>
        </w:rPr>
        <w:t>. https://www.estyn.gov.wales/system/files/2022-10/Effective%20approaches%20to%20assessment%20that%20improve%20teaching%20and%20learning.pdf [</w:t>
      </w:r>
      <w:r>
        <w:rPr>
          <w:rFonts w:ascii="Arial" w:hAnsi="Arial" w:cs="Arial"/>
          <w:sz w:val="22"/>
          <w:szCs w:val="22"/>
        </w:rPr>
        <w:t>Dyddiad Mynediad 19/02/</w:t>
      </w:r>
      <w:r>
        <w:rPr>
          <w:rFonts w:ascii="Arial" w:hAnsi="Arial" w:cs="Arial"/>
          <w:sz w:val="22"/>
          <w:szCs w:val="22"/>
        </w:rPr>
        <w:t>2024].</w:t>
      </w:r>
    </w:p>
    <w:p w14:paraId="0BEAA670" w14:textId="0C3A7BBE"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Fowler, F.J. (2014). </w:t>
      </w:r>
      <w:r>
        <w:rPr>
          <w:rFonts w:ascii="Arial" w:hAnsi="Arial" w:cs="Arial"/>
          <w:i/>
          <w:iCs/>
          <w:sz w:val="22"/>
          <w:szCs w:val="22"/>
        </w:rPr>
        <w:t>Survey Research Methods</w:t>
      </w:r>
      <w:r>
        <w:rPr>
          <w:rFonts w:ascii="Arial" w:hAnsi="Arial" w:cs="Arial"/>
          <w:sz w:val="22"/>
          <w:szCs w:val="22"/>
        </w:rPr>
        <w:t xml:space="preserve">. 5th ed. London: Sage Publication, </w:t>
      </w:r>
      <w:r>
        <w:rPr>
          <w:rFonts w:ascii="Arial" w:hAnsi="Arial" w:cs="Arial"/>
          <w:sz w:val="22"/>
          <w:szCs w:val="22"/>
        </w:rPr>
        <w:t>tud</w:t>
      </w:r>
      <w:r>
        <w:rPr>
          <w:rFonts w:ascii="Arial" w:hAnsi="Arial" w:cs="Arial"/>
          <w:sz w:val="22"/>
          <w:szCs w:val="22"/>
        </w:rPr>
        <w:t>.154–155.</w:t>
      </w:r>
    </w:p>
    <w:p w14:paraId="43FFBF60" w14:textId="77777777"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Fraser, S., Open University and Al, E. (2009). </w:t>
      </w:r>
      <w:r>
        <w:rPr>
          <w:rFonts w:ascii="Arial" w:hAnsi="Arial" w:cs="Arial"/>
          <w:i/>
          <w:iCs/>
          <w:sz w:val="22"/>
          <w:szCs w:val="22"/>
        </w:rPr>
        <w:t>Doing research with children and young people</w:t>
      </w:r>
      <w:r>
        <w:rPr>
          <w:rFonts w:ascii="Arial" w:hAnsi="Arial" w:cs="Arial"/>
          <w:sz w:val="22"/>
          <w:szCs w:val="22"/>
        </w:rPr>
        <w:t>. London: Sage.</w:t>
      </w:r>
    </w:p>
    <w:p w14:paraId="455D918D" w14:textId="2C4C002F"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Hattie, J. and Timperley, H. (2007). The Power of Feedback. </w:t>
      </w:r>
      <w:r>
        <w:rPr>
          <w:rFonts w:ascii="Arial" w:hAnsi="Arial" w:cs="Arial"/>
          <w:i/>
          <w:iCs/>
          <w:sz w:val="22"/>
          <w:szCs w:val="22"/>
        </w:rPr>
        <w:t>Review of Educational Research</w:t>
      </w:r>
      <w:r>
        <w:rPr>
          <w:rFonts w:ascii="Arial" w:hAnsi="Arial" w:cs="Arial"/>
          <w:sz w:val="22"/>
          <w:szCs w:val="22"/>
        </w:rPr>
        <w:t xml:space="preserve">, 77(1), </w:t>
      </w:r>
      <w:r>
        <w:rPr>
          <w:rFonts w:ascii="Arial" w:hAnsi="Arial" w:cs="Arial"/>
          <w:sz w:val="22"/>
          <w:szCs w:val="22"/>
        </w:rPr>
        <w:t>tud</w:t>
      </w:r>
      <w:r>
        <w:rPr>
          <w:rFonts w:ascii="Arial" w:hAnsi="Arial" w:cs="Arial"/>
          <w:sz w:val="22"/>
          <w:szCs w:val="22"/>
        </w:rPr>
        <w:t>.81–112. doi:https://doi.org/10.3102/003465430298487.</w:t>
      </w:r>
    </w:p>
    <w:p w14:paraId="31A5B999" w14:textId="1E88B120"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Jain, D. (2023). </w:t>
      </w:r>
      <w:r>
        <w:rPr>
          <w:rFonts w:ascii="Arial" w:hAnsi="Arial" w:cs="Arial"/>
          <w:i/>
          <w:iCs/>
          <w:sz w:val="22"/>
          <w:szCs w:val="22"/>
        </w:rPr>
        <w:t>16 Advantages and Disadvantages of Questionnaires + Examples</w:t>
      </w:r>
      <w:r>
        <w:rPr>
          <w:rFonts w:ascii="Arial" w:hAnsi="Arial" w:cs="Arial"/>
          <w:sz w:val="22"/>
          <w:szCs w:val="22"/>
        </w:rPr>
        <w:t>. EDUCBA. https://www.educba.com/advantages-and-disadvantages-of-questionnaires/ [</w:t>
      </w:r>
      <w:r>
        <w:rPr>
          <w:rFonts w:ascii="Arial" w:hAnsi="Arial" w:cs="Arial"/>
          <w:sz w:val="22"/>
          <w:szCs w:val="22"/>
        </w:rPr>
        <w:t>Dyddiad Mynediad 17/02/</w:t>
      </w:r>
      <w:r>
        <w:rPr>
          <w:rFonts w:ascii="Arial" w:hAnsi="Arial" w:cs="Arial"/>
          <w:sz w:val="22"/>
          <w:szCs w:val="22"/>
        </w:rPr>
        <w:t>2024].</w:t>
      </w:r>
    </w:p>
    <w:p w14:paraId="3DCDE139" w14:textId="09FD572E"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Jones, S., Murphy, F., Edwards, M. and James, J. (2008). Doing things differently: advantages and disadvantages of web questionnaires. </w:t>
      </w:r>
      <w:r>
        <w:rPr>
          <w:rFonts w:ascii="Arial" w:hAnsi="Arial" w:cs="Arial"/>
          <w:i/>
          <w:iCs/>
          <w:sz w:val="22"/>
          <w:szCs w:val="22"/>
        </w:rPr>
        <w:t>Nurse Researcher</w:t>
      </w:r>
      <w:r>
        <w:rPr>
          <w:rFonts w:ascii="Arial" w:hAnsi="Arial" w:cs="Arial"/>
          <w:sz w:val="22"/>
          <w:szCs w:val="22"/>
        </w:rPr>
        <w:t xml:space="preserve">, 15(4), </w:t>
      </w:r>
      <w:r>
        <w:rPr>
          <w:rFonts w:ascii="Arial" w:hAnsi="Arial" w:cs="Arial"/>
          <w:sz w:val="22"/>
          <w:szCs w:val="22"/>
        </w:rPr>
        <w:t>tud</w:t>
      </w:r>
      <w:r>
        <w:rPr>
          <w:rFonts w:ascii="Arial" w:hAnsi="Arial" w:cs="Arial"/>
          <w:sz w:val="22"/>
          <w:szCs w:val="22"/>
        </w:rPr>
        <w:t>.15–26. doi:https://doi.org/10.7748/nr2008.07.15.4.15.c6658.</w:t>
      </w:r>
    </w:p>
    <w:p w14:paraId="1E461BDB" w14:textId="75B2A92B"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Lindemann, N. (2023). 12 Advantages and Disadvantages of Questionnaires. </w:t>
      </w:r>
      <w:r>
        <w:rPr>
          <w:rFonts w:ascii="Arial" w:hAnsi="Arial" w:cs="Arial"/>
          <w:i/>
          <w:iCs/>
          <w:sz w:val="22"/>
          <w:szCs w:val="22"/>
        </w:rPr>
        <w:t>Pointerpro</w:t>
      </w:r>
      <w:r>
        <w:rPr>
          <w:rFonts w:ascii="Arial" w:hAnsi="Arial" w:cs="Arial"/>
          <w:sz w:val="22"/>
          <w:szCs w:val="22"/>
        </w:rPr>
        <w:t xml:space="preserve">. </w:t>
      </w:r>
      <w:hyperlink r:id="rId7" w:history="1">
        <w:r w:rsidR="00437AE9" w:rsidRPr="00865604">
          <w:rPr>
            <w:rStyle w:val="Hyperlink"/>
            <w:rFonts w:ascii="Arial" w:hAnsi="Arial" w:cs="Arial"/>
            <w:sz w:val="22"/>
            <w:szCs w:val="22"/>
          </w:rPr>
          <w:t>https://pointerpro.com/blog/questionnaire-pros-and-cons/</w:t>
        </w:r>
      </w:hyperlink>
      <w:r>
        <w:rPr>
          <w:rFonts w:ascii="Arial" w:hAnsi="Arial" w:cs="Arial"/>
          <w:sz w:val="22"/>
          <w:szCs w:val="22"/>
        </w:rPr>
        <w:t>.</w:t>
      </w:r>
      <w:r w:rsidR="00437AE9">
        <w:rPr>
          <w:rFonts w:ascii="Arial" w:hAnsi="Arial" w:cs="Arial"/>
          <w:sz w:val="22"/>
          <w:szCs w:val="22"/>
        </w:rPr>
        <w:t xml:space="preserve"> [Dyddiad Mynediad 18/02/2024]</w:t>
      </w:r>
    </w:p>
    <w:p w14:paraId="02A7535D" w14:textId="3DEBC0D6"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Llywodraeth Cymru (2013). </w:t>
      </w:r>
      <w:r>
        <w:rPr>
          <w:rFonts w:ascii="Arial" w:hAnsi="Arial" w:cs="Arial"/>
          <w:i/>
          <w:iCs/>
          <w:sz w:val="22"/>
          <w:szCs w:val="22"/>
        </w:rPr>
        <w:t>Assessment for Learning and the National Literacy and Numeracy Framework Guidance</w:t>
      </w:r>
      <w:r>
        <w:rPr>
          <w:rFonts w:ascii="Arial" w:hAnsi="Arial" w:cs="Arial"/>
          <w:sz w:val="22"/>
          <w:szCs w:val="22"/>
        </w:rPr>
        <w:t>. https://hwb.gov.wales/api/storage/b447d1fe-5463-4382-9726-e68623a05dd2/assessment-for-learning-and-the-national-literacy-and-numeracy-framework.pdf [</w:t>
      </w:r>
      <w:r w:rsidR="00437AE9">
        <w:rPr>
          <w:rFonts w:ascii="Arial" w:hAnsi="Arial" w:cs="Arial"/>
          <w:sz w:val="22"/>
          <w:szCs w:val="22"/>
        </w:rPr>
        <w:t>Dyddiad Mynediad 16/02/</w:t>
      </w:r>
      <w:r>
        <w:rPr>
          <w:rFonts w:ascii="Arial" w:hAnsi="Arial" w:cs="Arial"/>
          <w:sz w:val="22"/>
          <w:szCs w:val="22"/>
        </w:rPr>
        <w:t>2024].</w:t>
      </w:r>
    </w:p>
    <w:p w14:paraId="6835D01A" w14:textId="329D005A"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Llywodraeth Cymru (2015). </w:t>
      </w:r>
      <w:r>
        <w:rPr>
          <w:rFonts w:ascii="Arial" w:hAnsi="Arial" w:cs="Arial"/>
          <w:i/>
          <w:iCs/>
          <w:sz w:val="22"/>
          <w:szCs w:val="22"/>
        </w:rPr>
        <w:t>Gwneud defnydd effeithiol o ddata a thystiolaeth ymchwil</w:t>
      </w:r>
      <w:r>
        <w:rPr>
          <w:rFonts w:ascii="Arial" w:hAnsi="Arial" w:cs="Arial"/>
          <w:sz w:val="22"/>
          <w:szCs w:val="22"/>
        </w:rPr>
        <w:t xml:space="preserve">. </w:t>
      </w:r>
      <w:r w:rsidR="00437AE9">
        <w:rPr>
          <w:rFonts w:ascii="Arial" w:hAnsi="Arial" w:cs="Arial"/>
          <w:sz w:val="22"/>
          <w:szCs w:val="22"/>
        </w:rPr>
        <w:t>tud</w:t>
      </w:r>
      <w:r>
        <w:rPr>
          <w:rFonts w:ascii="Arial" w:hAnsi="Arial" w:cs="Arial"/>
          <w:sz w:val="22"/>
          <w:szCs w:val="22"/>
        </w:rPr>
        <w:t>.1–40.</w:t>
      </w:r>
    </w:p>
    <w:p w14:paraId="737D73EC" w14:textId="310AA0C7"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Opdenakker, R. (2006). </w:t>
      </w:r>
      <w:r>
        <w:rPr>
          <w:rFonts w:ascii="Arial" w:hAnsi="Arial" w:cs="Arial"/>
          <w:i/>
          <w:iCs/>
          <w:sz w:val="22"/>
          <w:szCs w:val="22"/>
        </w:rPr>
        <w:t>Advantages and Disadvantages of Four Interview Techniques in Qualitative Research Advantages and Disadvantages of Four Interview Techniques in Qualitative Research</w:t>
      </w:r>
      <w:r>
        <w:rPr>
          <w:rFonts w:ascii="Arial" w:hAnsi="Arial" w:cs="Arial"/>
          <w:sz w:val="22"/>
          <w:szCs w:val="22"/>
        </w:rPr>
        <w:t xml:space="preserve">. </w:t>
      </w:r>
      <w:r w:rsidR="00437AE9">
        <w:rPr>
          <w:rFonts w:ascii="Arial" w:hAnsi="Arial" w:cs="Arial"/>
          <w:sz w:val="22"/>
          <w:szCs w:val="22"/>
        </w:rPr>
        <w:t>tud</w:t>
      </w:r>
      <w:r>
        <w:rPr>
          <w:rFonts w:ascii="Arial" w:hAnsi="Arial" w:cs="Arial"/>
          <w:sz w:val="22"/>
          <w:szCs w:val="22"/>
        </w:rPr>
        <w:t>.4–5.</w:t>
      </w:r>
      <w:r w:rsidR="00437AE9">
        <w:rPr>
          <w:rFonts w:ascii="Arial" w:hAnsi="Arial" w:cs="Arial"/>
          <w:sz w:val="22"/>
          <w:szCs w:val="22"/>
        </w:rPr>
        <w:t xml:space="preserve"> </w:t>
      </w:r>
      <w:r>
        <w:rPr>
          <w:rFonts w:ascii="Arial" w:hAnsi="Arial" w:cs="Arial"/>
          <w:sz w:val="22"/>
          <w:szCs w:val="22"/>
        </w:rPr>
        <w:t>https://pure.tue.nl/ws/portalfiles/portal/1948695/Metis202565.pdf [</w:t>
      </w:r>
      <w:r w:rsidR="00437AE9">
        <w:rPr>
          <w:rFonts w:ascii="Arial" w:hAnsi="Arial" w:cs="Arial"/>
          <w:sz w:val="22"/>
          <w:szCs w:val="22"/>
        </w:rPr>
        <w:t>Dyddiad Mynediad 18/02/</w:t>
      </w:r>
      <w:r>
        <w:rPr>
          <w:rFonts w:ascii="Arial" w:hAnsi="Arial" w:cs="Arial"/>
          <w:sz w:val="22"/>
          <w:szCs w:val="22"/>
        </w:rPr>
        <w:t>2024].</w:t>
      </w:r>
    </w:p>
    <w:p w14:paraId="2ED52CF5" w14:textId="1E915166"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Padayichie, K. (2023). </w:t>
      </w:r>
      <w:r>
        <w:rPr>
          <w:rFonts w:ascii="Arial" w:hAnsi="Arial" w:cs="Arial"/>
          <w:i/>
          <w:iCs/>
          <w:sz w:val="22"/>
          <w:szCs w:val="22"/>
        </w:rPr>
        <w:t>Collaborative Learning</w:t>
      </w:r>
      <w:r>
        <w:rPr>
          <w:rFonts w:ascii="Arial" w:hAnsi="Arial" w:cs="Arial"/>
          <w:sz w:val="22"/>
          <w:szCs w:val="22"/>
        </w:rPr>
        <w:t>. [online] www.structural-learning.com. https://www.structural-learning.com/post/collaborative-learning [</w:t>
      </w:r>
      <w:r w:rsidR="00437AE9">
        <w:rPr>
          <w:rFonts w:ascii="Arial" w:hAnsi="Arial" w:cs="Arial"/>
          <w:sz w:val="22"/>
          <w:szCs w:val="22"/>
        </w:rPr>
        <w:t>Dyddiad Mynediad 18/02/</w:t>
      </w:r>
      <w:r>
        <w:rPr>
          <w:rFonts w:ascii="Arial" w:hAnsi="Arial" w:cs="Arial"/>
          <w:sz w:val="22"/>
          <w:szCs w:val="22"/>
        </w:rPr>
        <w:t>2024].</w:t>
      </w:r>
    </w:p>
    <w:p w14:paraId="432A6F2C" w14:textId="7D664B25"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Phellas, C.N., Bloch, A. and Seale, C. (2011). Structured methods: Interviews, Questionnaires and Observation. </w:t>
      </w:r>
      <w:r>
        <w:rPr>
          <w:rFonts w:ascii="Arial" w:hAnsi="Arial" w:cs="Arial"/>
          <w:i/>
          <w:iCs/>
          <w:sz w:val="22"/>
          <w:szCs w:val="22"/>
        </w:rPr>
        <w:t>Researching Society and Culture</w:t>
      </w:r>
      <w:r>
        <w:rPr>
          <w:rFonts w:ascii="Arial" w:hAnsi="Arial" w:cs="Arial"/>
          <w:sz w:val="22"/>
          <w:szCs w:val="22"/>
        </w:rPr>
        <w:t xml:space="preserve">, 3(1), </w:t>
      </w:r>
      <w:r w:rsidR="00437AE9">
        <w:rPr>
          <w:rFonts w:ascii="Arial" w:hAnsi="Arial" w:cs="Arial"/>
          <w:sz w:val="22"/>
          <w:szCs w:val="22"/>
        </w:rPr>
        <w:t>tud</w:t>
      </w:r>
      <w:r>
        <w:rPr>
          <w:rFonts w:ascii="Arial" w:hAnsi="Arial" w:cs="Arial"/>
          <w:sz w:val="22"/>
          <w:szCs w:val="22"/>
        </w:rPr>
        <w:t>.184–185.</w:t>
      </w:r>
    </w:p>
    <w:p w14:paraId="4DF7BF5A" w14:textId="2A5854F5"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Race, P. (2013). </w:t>
      </w:r>
      <w:r>
        <w:rPr>
          <w:rFonts w:ascii="Arial" w:hAnsi="Arial" w:cs="Arial"/>
          <w:i/>
          <w:iCs/>
          <w:sz w:val="22"/>
          <w:szCs w:val="22"/>
        </w:rPr>
        <w:t>The Lecturer’s Toolkit</w:t>
      </w:r>
      <w:r>
        <w:rPr>
          <w:rFonts w:ascii="Arial" w:hAnsi="Arial" w:cs="Arial"/>
          <w:sz w:val="22"/>
          <w:szCs w:val="22"/>
        </w:rPr>
        <w:t xml:space="preserve">. Routledge, </w:t>
      </w:r>
      <w:r w:rsidR="00437AE9">
        <w:rPr>
          <w:rFonts w:ascii="Arial" w:hAnsi="Arial" w:cs="Arial"/>
          <w:sz w:val="22"/>
          <w:szCs w:val="22"/>
        </w:rPr>
        <w:t>tud</w:t>
      </w:r>
      <w:r>
        <w:rPr>
          <w:rFonts w:ascii="Arial" w:hAnsi="Arial" w:cs="Arial"/>
          <w:sz w:val="22"/>
          <w:szCs w:val="22"/>
        </w:rPr>
        <w:t>.117–119.</w:t>
      </w:r>
    </w:p>
    <w:p w14:paraId="3474CDC4" w14:textId="38B23C66"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Rosala, M. (2024). </w:t>
      </w:r>
      <w:r>
        <w:rPr>
          <w:rFonts w:ascii="Arial" w:hAnsi="Arial" w:cs="Arial"/>
          <w:i/>
          <w:iCs/>
          <w:sz w:val="22"/>
          <w:szCs w:val="22"/>
        </w:rPr>
        <w:t>Open-Ended vs. Closed-Ended Questions in User Research</w:t>
      </w:r>
      <w:r>
        <w:rPr>
          <w:rFonts w:ascii="Arial" w:hAnsi="Arial" w:cs="Arial"/>
          <w:sz w:val="22"/>
          <w:szCs w:val="22"/>
        </w:rPr>
        <w:t>. Nielsen Norman Group.</w:t>
      </w:r>
      <w:r w:rsidR="00437AE9">
        <w:rPr>
          <w:rFonts w:ascii="Arial" w:hAnsi="Arial" w:cs="Arial"/>
          <w:sz w:val="22"/>
          <w:szCs w:val="22"/>
        </w:rPr>
        <w:t xml:space="preserve"> </w:t>
      </w:r>
      <w:r>
        <w:rPr>
          <w:rFonts w:ascii="Arial" w:hAnsi="Arial" w:cs="Arial"/>
          <w:sz w:val="22"/>
          <w:szCs w:val="22"/>
        </w:rPr>
        <w:t>https://www.nngroup.com/articles/open-ended-questions/ [</w:t>
      </w:r>
      <w:r w:rsidR="00437AE9">
        <w:rPr>
          <w:rFonts w:ascii="Arial" w:hAnsi="Arial" w:cs="Arial"/>
          <w:sz w:val="22"/>
          <w:szCs w:val="22"/>
        </w:rPr>
        <w:t>Dyddiad Mynediad 18/02/</w:t>
      </w:r>
      <w:r>
        <w:rPr>
          <w:rFonts w:ascii="Arial" w:hAnsi="Arial" w:cs="Arial"/>
          <w:sz w:val="22"/>
          <w:szCs w:val="22"/>
        </w:rPr>
        <w:t>2024].</w:t>
      </w:r>
    </w:p>
    <w:p w14:paraId="0006AB87" w14:textId="72480D01"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Sadler, D.R. (1998). Formative Assessment: Revisiting the Territory. </w:t>
      </w:r>
      <w:r>
        <w:rPr>
          <w:rFonts w:ascii="Arial" w:hAnsi="Arial" w:cs="Arial"/>
          <w:i/>
          <w:iCs/>
          <w:sz w:val="22"/>
          <w:szCs w:val="22"/>
        </w:rPr>
        <w:t>Assessment in Education: Principles, Policy &amp; Practice</w:t>
      </w:r>
      <w:r>
        <w:rPr>
          <w:rFonts w:ascii="Arial" w:hAnsi="Arial" w:cs="Arial"/>
          <w:sz w:val="22"/>
          <w:szCs w:val="22"/>
        </w:rPr>
        <w:t xml:space="preserve">, 5(1), </w:t>
      </w:r>
      <w:r w:rsidR="00437AE9">
        <w:rPr>
          <w:rFonts w:ascii="Arial" w:hAnsi="Arial" w:cs="Arial"/>
          <w:sz w:val="22"/>
          <w:szCs w:val="22"/>
        </w:rPr>
        <w:t>tud</w:t>
      </w:r>
      <w:r>
        <w:rPr>
          <w:rFonts w:ascii="Arial" w:hAnsi="Arial" w:cs="Arial"/>
          <w:sz w:val="22"/>
          <w:szCs w:val="22"/>
        </w:rPr>
        <w:t>.77–84. doi:https://doi.org/10.1080/0969595980050104.</w:t>
      </w:r>
    </w:p>
    <w:p w14:paraId="1AEF0CEC" w14:textId="581C9DBA"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Shabani, K., Khatib, M. and Ebadi, S. (2010). Vygotsky’s Zone of Proximal Development: Instructional Implications and Teachers’ Professional Development. </w:t>
      </w:r>
      <w:r>
        <w:rPr>
          <w:rFonts w:ascii="Arial" w:hAnsi="Arial" w:cs="Arial"/>
          <w:i/>
          <w:iCs/>
          <w:sz w:val="22"/>
          <w:szCs w:val="22"/>
        </w:rPr>
        <w:t>English Language Teaching</w:t>
      </w:r>
      <w:r>
        <w:rPr>
          <w:rFonts w:ascii="Arial" w:hAnsi="Arial" w:cs="Arial"/>
          <w:sz w:val="22"/>
          <w:szCs w:val="22"/>
        </w:rPr>
        <w:t xml:space="preserve">, 3(4), </w:t>
      </w:r>
      <w:r w:rsidR="00437AE9">
        <w:rPr>
          <w:rFonts w:ascii="Arial" w:hAnsi="Arial" w:cs="Arial"/>
          <w:sz w:val="22"/>
          <w:szCs w:val="22"/>
        </w:rPr>
        <w:t>tud</w:t>
      </w:r>
      <w:r>
        <w:rPr>
          <w:rFonts w:ascii="Arial" w:hAnsi="Arial" w:cs="Arial"/>
          <w:sz w:val="22"/>
          <w:szCs w:val="22"/>
        </w:rPr>
        <w:t xml:space="preserve">.237–248. </w:t>
      </w:r>
    </w:p>
    <w:p w14:paraId="5FCF7A06" w14:textId="0626F3AE"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Sherrington, T. (2019). </w:t>
      </w:r>
      <w:r>
        <w:rPr>
          <w:rFonts w:ascii="Arial" w:hAnsi="Arial" w:cs="Arial"/>
          <w:i/>
          <w:iCs/>
          <w:sz w:val="22"/>
          <w:szCs w:val="22"/>
        </w:rPr>
        <w:t>Revisiting Dylan Wiliam’s Five Brilliant Formative Assessment Strategies.</w:t>
      </w:r>
      <w:r>
        <w:rPr>
          <w:rFonts w:ascii="Arial" w:hAnsi="Arial" w:cs="Arial"/>
          <w:sz w:val="22"/>
          <w:szCs w:val="22"/>
        </w:rPr>
        <w:t xml:space="preserve"> teacherhead. https://teacherhead.com/2019/01/10/revisiting-dylan-wiliams-five-brilliant-formative-assessment-strategies/ [</w:t>
      </w:r>
      <w:r w:rsidR="00437AE9">
        <w:rPr>
          <w:rFonts w:ascii="Arial" w:hAnsi="Arial" w:cs="Arial"/>
          <w:sz w:val="22"/>
          <w:szCs w:val="22"/>
        </w:rPr>
        <w:t>Dyddiad Mynediad 17/02/</w:t>
      </w:r>
      <w:r>
        <w:rPr>
          <w:rFonts w:ascii="Arial" w:hAnsi="Arial" w:cs="Arial"/>
          <w:sz w:val="22"/>
          <w:szCs w:val="22"/>
        </w:rPr>
        <w:t>2024].</w:t>
      </w:r>
    </w:p>
    <w:p w14:paraId="358919D0" w14:textId="32D49030"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Smidt, S. (2013). </w:t>
      </w:r>
      <w:r>
        <w:rPr>
          <w:rFonts w:ascii="Arial" w:hAnsi="Arial" w:cs="Arial"/>
          <w:i/>
          <w:iCs/>
          <w:sz w:val="22"/>
          <w:szCs w:val="22"/>
        </w:rPr>
        <w:t>Introducing Vygotsky</w:t>
      </w:r>
      <w:r>
        <w:rPr>
          <w:rFonts w:ascii="Arial" w:hAnsi="Arial" w:cs="Arial"/>
          <w:sz w:val="22"/>
          <w:szCs w:val="22"/>
        </w:rPr>
        <w:t xml:space="preserve">. Routledge, </w:t>
      </w:r>
      <w:r w:rsidR="00437AE9">
        <w:rPr>
          <w:rFonts w:ascii="Arial" w:hAnsi="Arial" w:cs="Arial"/>
          <w:sz w:val="22"/>
          <w:szCs w:val="22"/>
        </w:rPr>
        <w:t>tud</w:t>
      </w:r>
      <w:r>
        <w:rPr>
          <w:rFonts w:ascii="Arial" w:hAnsi="Arial" w:cs="Arial"/>
          <w:sz w:val="22"/>
          <w:szCs w:val="22"/>
        </w:rPr>
        <w:t>.121–125.</w:t>
      </w:r>
    </w:p>
    <w:p w14:paraId="67B00E09" w14:textId="2C6A56F6"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Steele, A. (2019). </w:t>
      </w:r>
      <w:r>
        <w:rPr>
          <w:rFonts w:ascii="Arial" w:hAnsi="Arial" w:cs="Arial"/>
          <w:i/>
          <w:iCs/>
          <w:sz w:val="22"/>
          <w:szCs w:val="22"/>
        </w:rPr>
        <w:t>What is assessment for learning and what are the benefits?</w:t>
      </w:r>
      <w:r>
        <w:rPr>
          <w:rFonts w:ascii="Arial" w:hAnsi="Arial" w:cs="Arial"/>
          <w:sz w:val="22"/>
          <w:szCs w:val="22"/>
        </w:rPr>
        <w:t xml:space="preserve"> Brighter Thinking Blog | Cambridge University Press. https://www.cambridge.org/gb/education/blog/2019/07/02/what-assessment-learning-and-what-are-benefits/ [</w:t>
      </w:r>
      <w:r w:rsidR="00437AE9">
        <w:rPr>
          <w:rFonts w:ascii="Arial" w:hAnsi="Arial" w:cs="Arial"/>
          <w:sz w:val="22"/>
          <w:szCs w:val="22"/>
        </w:rPr>
        <w:t>Dyddiad Mynediad 16/02/</w:t>
      </w:r>
      <w:r>
        <w:rPr>
          <w:rFonts w:ascii="Arial" w:hAnsi="Arial" w:cs="Arial"/>
          <w:sz w:val="22"/>
          <w:szCs w:val="22"/>
        </w:rPr>
        <w:t>2024].</w:t>
      </w:r>
    </w:p>
    <w:p w14:paraId="6817686D" w14:textId="694CC5D6"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Stiggins, R.J., Arter, J.A., Chappuis, J. and Chappuis, S. (2004). </w:t>
      </w:r>
      <w:r>
        <w:rPr>
          <w:rFonts w:ascii="Arial" w:hAnsi="Arial" w:cs="Arial"/>
          <w:i/>
          <w:iCs/>
          <w:sz w:val="22"/>
          <w:szCs w:val="22"/>
        </w:rPr>
        <w:t>Classroom Assessment for Student Learning: Doing It Right - Using It Well</w:t>
      </w:r>
      <w:r>
        <w:rPr>
          <w:rFonts w:ascii="Arial" w:hAnsi="Arial" w:cs="Arial"/>
          <w:sz w:val="22"/>
          <w:szCs w:val="22"/>
        </w:rPr>
        <w:t xml:space="preserve">. Assessment Training Institiute, </w:t>
      </w:r>
      <w:r w:rsidR="00437AE9">
        <w:rPr>
          <w:rFonts w:ascii="Arial" w:hAnsi="Arial" w:cs="Arial"/>
          <w:sz w:val="22"/>
          <w:szCs w:val="22"/>
        </w:rPr>
        <w:t>tud</w:t>
      </w:r>
      <w:r>
        <w:rPr>
          <w:rFonts w:ascii="Arial" w:hAnsi="Arial" w:cs="Arial"/>
          <w:sz w:val="22"/>
          <w:szCs w:val="22"/>
        </w:rPr>
        <w:t>.57.</w:t>
      </w:r>
    </w:p>
    <w:p w14:paraId="650E12C9" w14:textId="2E65DDE5"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Study Smarter (2023). </w:t>
      </w:r>
      <w:r>
        <w:rPr>
          <w:rFonts w:ascii="Arial" w:hAnsi="Arial" w:cs="Arial"/>
          <w:i/>
          <w:iCs/>
          <w:sz w:val="22"/>
          <w:szCs w:val="22"/>
        </w:rPr>
        <w:t>Interview in Research: Types &amp; Importance | StudySmarter</w:t>
      </w:r>
      <w:r>
        <w:rPr>
          <w:rFonts w:ascii="Arial" w:hAnsi="Arial" w:cs="Arial"/>
          <w:sz w:val="22"/>
          <w:szCs w:val="22"/>
        </w:rPr>
        <w:t>.</w:t>
      </w:r>
      <w:r w:rsidR="00437AE9">
        <w:rPr>
          <w:rFonts w:ascii="Arial" w:hAnsi="Arial" w:cs="Arial"/>
          <w:sz w:val="22"/>
          <w:szCs w:val="22"/>
        </w:rPr>
        <w:t xml:space="preserve"> </w:t>
      </w:r>
      <w:r>
        <w:rPr>
          <w:rFonts w:ascii="Arial" w:hAnsi="Arial" w:cs="Arial"/>
          <w:sz w:val="22"/>
          <w:szCs w:val="22"/>
        </w:rPr>
        <w:t>StudySmarter UK.</w:t>
      </w:r>
      <w:r w:rsidR="00437AE9">
        <w:rPr>
          <w:rFonts w:ascii="Arial" w:hAnsi="Arial" w:cs="Arial"/>
          <w:sz w:val="22"/>
          <w:szCs w:val="22"/>
        </w:rPr>
        <w:t xml:space="preserve"> </w:t>
      </w:r>
      <w:r>
        <w:rPr>
          <w:rFonts w:ascii="Arial" w:hAnsi="Arial" w:cs="Arial"/>
          <w:sz w:val="22"/>
          <w:szCs w:val="22"/>
        </w:rPr>
        <w:t>https://www.studysmarter.co.uk/explanations/marketing/marketing-information-management/interview-in-research/ [</w:t>
      </w:r>
      <w:r w:rsidR="00437AE9">
        <w:rPr>
          <w:rFonts w:ascii="Arial" w:hAnsi="Arial" w:cs="Arial"/>
          <w:sz w:val="22"/>
          <w:szCs w:val="22"/>
        </w:rPr>
        <w:t>Dyddiad Mynediad 18/02/</w:t>
      </w:r>
      <w:r>
        <w:rPr>
          <w:rFonts w:ascii="Arial" w:hAnsi="Arial" w:cs="Arial"/>
          <w:sz w:val="22"/>
          <w:szCs w:val="22"/>
        </w:rPr>
        <w:t>2024].</w:t>
      </w:r>
    </w:p>
    <w:p w14:paraId="67F38627" w14:textId="12B3BAA2"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Taherdoost, H. (2021). Data Collection Methods and Tools for Research; a Step-by-Step Guide to Choose Data Collection Technique for Academic and Business Research Projects. </w:t>
      </w:r>
      <w:r>
        <w:rPr>
          <w:rFonts w:ascii="Arial" w:hAnsi="Arial" w:cs="Arial"/>
          <w:i/>
          <w:iCs/>
          <w:sz w:val="22"/>
          <w:szCs w:val="22"/>
        </w:rPr>
        <w:t>International Journal of Academic Research in Management (IJARM)</w:t>
      </w:r>
      <w:r>
        <w:rPr>
          <w:rFonts w:ascii="Arial" w:hAnsi="Arial" w:cs="Arial"/>
          <w:sz w:val="22"/>
          <w:szCs w:val="22"/>
        </w:rPr>
        <w:t xml:space="preserve">, 10(1), </w:t>
      </w:r>
      <w:r w:rsidR="00437AE9">
        <w:rPr>
          <w:rFonts w:ascii="Arial" w:hAnsi="Arial" w:cs="Arial"/>
          <w:sz w:val="22"/>
          <w:szCs w:val="22"/>
        </w:rPr>
        <w:t>tud</w:t>
      </w:r>
      <w:r>
        <w:rPr>
          <w:rFonts w:ascii="Arial" w:hAnsi="Arial" w:cs="Arial"/>
          <w:sz w:val="22"/>
          <w:szCs w:val="22"/>
        </w:rPr>
        <w:t>.10–38.</w:t>
      </w:r>
    </w:p>
    <w:p w14:paraId="046E7DE8" w14:textId="1F1EC8F0"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Tullis, J.G. and Goldstone, R.L. (2020). Why Does Peer Instruction Benefit Student learning? </w:t>
      </w:r>
      <w:r>
        <w:rPr>
          <w:rFonts w:ascii="Arial" w:hAnsi="Arial" w:cs="Arial"/>
          <w:i/>
          <w:iCs/>
          <w:sz w:val="22"/>
          <w:szCs w:val="22"/>
        </w:rPr>
        <w:t>Cognitive Research: Principles and Implications</w:t>
      </w:r>
      <w:r>
        <w:rPr>
          <w:rFonts w:ascii="Arial" w:hAnsi="Arial" w:cs="Arial"/>
          <w:sz w:val="22"/>
          <w:szCs w:val="22"/>
        </w:rPr>
        <w:t>, 5(1). doi:https://doi.org/10.1186/s41235-020-00218-5.</w:t>
      </w:r>
    </w:p>
    <w:p w14:paraId="1DE0EACD" w14:textId="5299C03E"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Waack, S. (2013). </w:t>
      </w:r>
      <w:r>
        <w:rPr>
          <w:rFonts w:ascii="Arial" w:hAnsi="Arial" w:cs="Arial"/>
          <w:i/>
          <w:iCs/>
          <w:sz w:val="22"/>
          <w:szCs w:val="22"/>
        </w:rPr>
        <w:t>Glossary of Hattie’s Influences on Student Achievement - VISIBLE LEARNING</w:t>
      </w:r>
      <w:r>
        <w:rPr>
          <w:rFonts w:ascii="Arial" w:hAnsi="Arial" w:cs="Arial"/>
          <w:sz w:val="22"/>
          <w:szCs w:val="22"/>
        </w:rPr>
        <w:t>.VISIBLE LEARNING.</w:t>
      </w:r>
      <w:r w:rsidR="00437AE9">
        <w:rPr>
          <w:rFonts w:ascii="Arial" w:hAnsi="Arial" w:cs="Arial"/>
          <w:sz w:val="22"/>
          <w:szCs w:val="22"/>
        </w:rPr>
        <w:t xml:space="preserve"> </w:t>
      </w:r>
      <w:r>
        <w:rPr>
          <w:rFonts w:ascii="Arial" w:hAnsi="Arial" w:cs="Arial"/>
          <w:sz w:val="22"/>
          <w:szCs w:val="22"/>
        </w:rPr>
        <w:t>https://visible-learning.org/glossary/ [</w:t>
      </w:r>
      <w:r w:rsidR="00437AE9">
        <w:rPr>
          <w:rFonts w:ascii="Arial" w:hAnsi="Arial" w:cs="Arial"/>
          <w:sz w:val="22"/>
          <w:szCs w:val="22"/>
        </w:rPr>
        <w:t>Dyddiad Mynediad 17/02/</w:t>
      </w:r>
      <w:r>
        <w:rPr>
          <w:rFonts w:ascii="Arial" w:hAnsi="Arial" w:cs="Arial"/>
          <w:sz w:val="22"/>
          <w:szCs w:val="22"/>
        </w:rPr>
        <w:t>2024].</w:t>
      </w:r>
    </w:p>
    <w:p w14:paraId="589C72D1" w14:textId="77777777"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Wiliam, D. (2016). </w:t>
      </w:r>
      <w:r>
        <w:rPr>
          <w:rFonts w:ascii="Arial" w:hAnsi="Arial" w:cs="Arial"/>
          <w:i/>
          <w:iCs/>
          <w:sz w:val="22"/>
          <w:szCs w:val="22"/>
        </w:rPr>
        <w:t>Self and Peer Assessment - Dylan Wiliam</w:t>
      </w:r>
      <w:r>
        <w:rPr>
          <w:rFonts w:ascii="Arial" w:hAnsi="Arial" w:cs="Arial"/>
          <w:sz w:val="22"/>
          <w:szCs w:val="22"/>
        </w:rPr>
        <w:t xml:space="preserve">. </w:t>
      </w:r>
      <w:r>
        <w:rPr>
          <w:rFonts w:ascii="Arial" w:hAnsi="Arial" w:cs="Arial"/>
          <w:i/>
          <w:iCs/>
          <w:sz w:val="22"/>
          <w:szCs w:val="22"/>
        </w:rPr>
        <w:t>Education Scotland</w:t>
      </w:r>
      <w:r>
        <w:rPr>
          <w:rFonts w:ascii="Arial" w:hAnsi="Arial" w:cs="Arial"/>
          <w:sz w:val="22"/>
          <w:szCs w:val="22"/>
        </w:rPr>
        <w:t>.</w:t>
      </w:r>
    </w:p>
    <w:p w14:paraId="04EDAC8C" w14:textId="6125BC25" w:rsidR="00CA7015" w:rsidRDefault="00CA7015" w:rsidP="00CA70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Wiliam, D. (2017). </w:t>
      </w:r>
      <w:r>
        <w:rPr>
          <w:rFonts w:ascii="Arial" w:hAnsi="Arial" w:cs="Arial"/>
          <w:i/>
          <w:iCs/>
          <w:sz w:val="22"/>
          <w:szCs w:val="22"/>
        </w:rPr>
        <w:t>Embedded Formative Assessment</w:t>
      </w:r>
      <w:r>
        <w:rPr>
          <w:rFonts w:ascii="Arial" w:hAnsi="Arial" w:cs="Arial"/>
          <w:sz w:val="22"/>
          <w:szCs w:val="22"/>
        </w:rPr>
        <w:t xml:space="preserve">. 2nd ed. Bloomington, Indiana Solution Tree Press, </w:t>
      </w:r>
      <w:r w:rsidR="00437AE9">
        <w:rPr>
          <w:rFonts w:ascii="Arial" w:hAnsi="Arial" w:cs="Arial"/>
          <w:sz w:val="22"/>
          <w:szCs w:val="22"/>
        </w:rPr>
        <w:t>tud</w:t>
      </w:r>
      <w:r>
        <w:rPr>
          <w:rFonts w:ascii="Arial" w:hAnsi="Arial" w:cs="Arial"/>
          <w:sz w:val="22"/>
          <w:szCs w:val="22"/>
        </w:rPr>
        <w:t>.123–124.</w:t>
      </w:r>
    </w:p>
    <w:p w14:paraId="2675FE5A" w14:textId="77777777" w:rsidR="00CA7015" w:rsidRPr="006D6075" w:rsidRDefault="00CA7015" w:rsidP="00734E12">
      <w:pPr>
        <w:pStyle w:val="NormalWeb"/>
        <w:spacing w:line="360" w:lineRule="auto"/>
        <w:rPr>
          <w:rFonts w:ascii="Arial" w:hAnsi="Arial" w:cs="Arial"/>
          <w:sz w:val="22"/>
          <w:szCs w:val="22"/>
          <w:shd w:val="clear" w:color="auto" w:fill="FFFFFF"/>
          <w:lang w:val="cy-GB"/>
        </w:rPr>
      </w:pPr>
    </w:p>
    <w:p w14:paraId="7331A184" w14:textId="77777777" w:rsidR="00673EE5" w:rsidRPr="00473D3C" w:rsidRDefault="00673EE5" w:rsidP="00734E12">
      <w:pPr>
        <w:pStyle w:val="NormalWeb"/>
        <w:spacing w:line="360" w:lineRule="auto"/>
        <w:rPr>
          <w:rFonts w:ascii="Arial" w:hAnsi="Arial" w:cs="Arial"/>
          <w:sz w:val="22"/>
          <w:szCs w:val="22"/>
          <w:lang w:val="cy-GB"/>
        </w:rPr>
      </w:pPr>
    </w:p>
    <w:p w14:paraId="29E28086" w14:textId="59FBFEA3" w:rsidR="00673EE5" w:rsidRPr="00473D3C" w:rsidRDefault="00673EE5" w:rsidP="00734E12">
      <w:pPr>
        <w:pStyle w:val="NormalWeb"/>
        <w:spacing w:line="360" w:lineRule="auto"/>
        <w:rPr>
          <w:rFonts w:ascii="Arial" w:hAnsi="Arial" w:cs="Arial"/>
          <w:sz w:val="22"/>
          <w:szCs w:val="22"/>
          <w:lang w:val="cy-GB"/>
        </w:rPr>
      </w:pPr>
    </w:p>
    <w:p w14:paraId="310BDE84" w14:textId="77777777" w:rsidR="00B61282" w:rsidRPr="00473D3C" w:rsidRDefault="00B61282" w:rsidP="00734E12">
      <w:pPr>
        <w:pStyle w:val="NormalWeb"/>
        <w:spacing w:line="360" w:lineRule="auto"/>
        <w:rPr>
          <w:rFonts w:ascii="Arial" w:hAnsi="Arial" w:cs="Arial"/>
          <w:sz w:val="22"/>
          <w:szCs w:val="22"/>
          <w:lang w:val="cy-GB"/>
        </w:rPr>
      </w:pPr>
    </w:p>
    <w:p w14:paraId="722F8DE6" w14:textId="77777777" w:rsidR="00734E12" w:rsidRPr="00473D3C" w:rsidRDefault="00734E12" w:rsidP="00E41F53">
      <w:pPr>
        <w:pStyle w:val="NormalWeb"/>
        <w:rPr>
          <w:rFonts w:ascii="Arial" w:hAnsi="Arial" w:cs="Arial"/>
          <w:sz w:val="22"/>
          <w:szCs w:val="22"/>
          <w:lang w:val="cy-GB"/>
        </w:rPr>
      </w:pPr>
    </w:p>
    <w:p w14:paraId="51FB6D2B" w14:textId="77777777" w:rsidR="00C6692E" w:rsidRPr="00473D3C" w:rsidRDefault="00C6692E" w:rsidP="00E41F53">
      <w:pPr>
        <w:pStyle w:val="NormalWeb"/>
        <w:rPr>
          <w:rFonts w:ascii="Arial" w:hAnsi="Arial" w:cs="Arial"/>
          <w:color w:val="000000"/>
          <w:sz w:val="22"/>
          <w:szCs w:val="22"/>
          <w:lang w:val="cy-GB"/>
        </w:rPr>
      </w:pPr>
    </w:p>
    <w:p w14:paraId="21B0D72F" w14:textId="77777777" w:rsidR="00C6692E" w:rsidRPr="00473D3C" w:rsidRDefault="00C6692E" w:rsidP="00E41F53">
      <w:pPr>
        <w:pStyle w:val="NormalWeb"/>
        <w:rPr>
          <w:color w:val="000000"/>
          <w:sz w:val="27"/>
          <w:szCs w:val="27"/>
          <w:lang w:val="cy-GB"/>
        </w:rPr>
      </w:pPr>
    </w:p>
    <w:p w14:paraId="17DB2502" w14:textId="074D2D16" w:rsidR="00DD1F0D" w:rsidRPr="00473D3C" w:rsidRDefault="00DD1F0D" w:rsidP="00290159">
      <w:pPr>
        <w:pStyle w:val="NormalWeb"/>
        <w:spacing w:line="360" w:lineRule="auto"/>
        <w:rPr>
          <w:rFonts w:ascii="Arial" w:hAnsi="Arial" w:cs="Arial"/>
          <w:sz w:val="22"/>
          <w:szCs w:val="22"/>
          <w:lang w:val="cy-GB"/>
        </w:rPr>
      </w:pPr>
    </w:p>
    <w:p w14:paraId="337E018D" w14:textId="77777777" w:rsidR="00445DCB" w:rsidRPr="00473D3C" w:rsidRDefault="00445DCB" w:rsidP="00290159">
      <w:pPr>
        <w:pStyle w:val="NormalWeb"/>
        <w:spacing w:line="360" w:lineRule="auto"/>
        <w:rPr>
          <w:rFonts w:ascii="Arial" w:hAnsi="Arial" w:cs="Arial"/>
          <w:color w:val="000000"/>
          <w:sz w:val="22"/>
          <w:szCs w:val="22"/>
          <w:lang w:val="cy-GB"/>
        </w:rPr>
      </w:pPr>
    </w:p>
    <w:p w14:paraId="7E4B3CC1" w14:textId="77777777" w:rsidR="00DD1F0D" w:rsidRPr="00473D3C" w:rsidRDefault="00DD1F0D"/>
    <w:p w14:paraId="756BB9C9" w14:textId="77777777" w:rsidR="00DD1F0D" w:rsidRPr="00473D3C" w:rsidRDefault="00DD1F0D"/>
    <w:p w14:paraId="1C894E3D" w14:textId="77777777" w:rsidR="00DD1F0D" w:rsidRPr="00922BEF" w:rsidRDefault="00DD1F0D">
      <w:pPr>
        <w:rPr>
          <w:rFonts w:ascii="Arial" w:hAnsi="Arial" w:cs="Arial"/>
        </w:rPr>
      </w:pPr>
    </w:p>
    <w:sectPr w:rsidR="00DD1F0D" w:rsidRPr="00922BE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4E9BC" w14:textId="77777777" w:rsidR="00654770" w:rsidRPr="00473D3C" w:rsidRDefault="00654770" w:rsidP="00922BEF">
      <w:pPr>
        <w:spacing w:after="0" w:line="240" w:lineRule="auto"/>
      </w:pPr>
      <w:r w:rsidRPr="00473D3C">
        <w:separator/>
      </w:r>
    </w:p>
  </w:endnote>
  <w:endnote w:type="continuationSeparator" w:id="0">
    <w:p w14:paraId="67A7CAFD" w14:textId="77777777" w:rsidR="00654770" w:rsidRPr="00473D3C" w:rsidRDefault="00654770" w:rsidP="00922BEF">
      <w:pPr>
        <w:spacing w:after="0" w:line="240" w:lineRule="auto"/>
      </w:pPr>
      <w:r w:rsidRPr="00473D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30C47" w14:textId="77777777" w:rsidR="00654770" w:rsidRPr="00473D3C" w:rsidRDefault="00654770" w:rsidP="00922BEF">
      <w:pPr>
        <w:spacing w:after="0" w:line="240" w:lineRule="auto"/>
      </w:pPr>
      <w:r w:rsidRPr="00473D3C">
        <w:separator/>
      </w:r>
    </w:p>
  </w:footnote>
  <w:footnote w:type="continuationSeparator" w:id="0">
    <w:p w14:paraId="087F2ED2" w14:textId="77777777" w:rsidR="00654770" w:rsidRPr="00473D3C" w:rsidRDefault="00654770" w:rsidP="00922BEF">
      <w:pPr>
        <w:spacing w:after="0" w:line="240" w:lineRule="auto"/>
      </w:pPr>
      <w:r w:rsidRPr="00473D3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6BD31" w14:textId="1EA96F54" w:rsidR="00922BEF" w:rsidRPr="00473D3C" w:rsidRDefault="00922BEF">
    <w:pPr>
      <w:pStyle w:val="Header"/>
    </w:pPr>
    <w:r w:rsidRPr="00473D3C">
      <w:t>2103520</w:t>
    </w:r>
    <w:r w:rsidRPr="00473D3C">
      <w:tab/>
    </w:r>
    <w:r w:rsidRPr="00473D3C">
      <w:tab/>
      <w:t>ECAD5010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E5865"/>
    <w:multiLevelType w:val="multilevel"/>
    <w:tmpl w:val="E954C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0D23AA"/>
    <w:multiLevelType w:val="hybridMultilevel"/>
    <w:tmpl w:val="1A1AD3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3864D2"/>
    <w:multiLevelType w:val="hybridMultilevel"/>
    <w:tmpl w:val="B55E83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4340024">
    <w:abstractNumId w:val="0"/>
  </w:num>
  <w:num w:numId="2" w16cid:durableId="1441874407">
    <w:abstractNumId w:val="1"/>
  </w:num>
  <w:num w:numId="3" w16cid:durableId="1522209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7162"/>
    <w:rsid w:val="000277BB"/>
    <w:rsid w:val="00035742"/>
    <w:rsid w:val="00035E21"/>
    <w:rsid w:val="00054578"/>
    <w:rsid w:val="00076762"/>
    <w:rsid w:val="000F5CDA"/>
    <w:rsid w:val="0010455F"/>
    <w:rsid w:val="001221FF"/>
    <w:rsid w:val="00146362"/>
    <w:rsid w:val="00156235"/>
    <w:rsid w:val="00156905"/>
    <w:rsid w:val="00157D1B"/>
    <w:rsid w:val="00162A21"/>
    <w:rsid w:val="00185404"/>
    <w:rsid w:val="00187E59"/>
    <w:rsid w:val="001A39E8"/>
    <w:rsid w:val="001E11AC"/>
    <w:rsid w:val="001F2C2A"/>
    <w:rsid w:val="0020261C"/>
    <w:rsid w:val="00235AB6"/>
    <w:rsid w:val="00290159"/>
    <w:rsid w:val="002A198F"/>
    <w:rsid w:val="002D2104"/>
    <w:rsid w:val="00353700"/>
    <w:rsid w:val="00381753"/>
    <w:rsid w:val="00385C52"/>
    <w:rsid w:val="003A20FB"/>
    <w:rsid w:val="003A57A9"/>
    <w:rsid w:val="003C2543"/>
    <w:rsid w:val="003C7953"/>
    <w:rsid w:val="003F29AD"/>
    <w:rsid w:val="003F6E67"/>
    <w:rsid w:val="0041600A"/>
    <w:rsid w:val="0042799A"/>
    <w:rsid w:val="00434B78"/>
    <w:rsid w:val="00437AE9"/>
    <w:rsid w:val="00445DCB"/>
    <w:rsid w:val="00473D3C"/>
    <w:rsid w:val="00491D7D"/>
    <w:rsid w:val="00495677"/>
    <w:rsid w:val="004A42BC"/>
    <w:rsid w:val="005043C8"/>
    <w:rsid w:val="00513B99"/>
    <w:rsid w:val="005163D4"/>
    <w:rsid w:val="00522AFC"/>
    <w:rsid w:val="00532751"/>
    <w:rsid w:val="005331CC"/>
    <w:rsid w:val="00564103"/>
    <w:rsid w:val="00565C00"/>
    <w:rsid w:val="005673D6"/>
    <w:rsid w:val="00576AD6"/>
    <w:rsid w:val="0058669C"/>
    <w:rsid w:val="00595E88"/>
    <w:rsid w:val="005D3736"/>
    <w:rsid w:val="005E16D2"/>
    <w:rsid w:val="00654770"/>
    <w:rsid w:val="00673EE5"/>
    <w:rsid w:val="00682825"/>
    <w:rsid w:val="00684EE1"/>
    <w:rsid w:val="006D060A"/>
    <w:rsid w:val="006D6075"/>
    <w:rsid w:val="00734E12"/>
    <w:rsid w:val="00737E00"/>
    <w:rsid w:val="00746CA5"/>
    <w:rsid w:val="00787A5E"/>
    <w:rsid w:val="0079428C"/>
    <w:rsid w:val="007D6ED2"/>
    <w:rsid w:val="007F417B"/>
    <w:rsid w:val="00800866"/>
    <w:rsid w:val="00816E1F"/>
    <w:rsid w:val="00824188"/>
    <w:rsid w:val="0084624F"/>
    <w:rsid w:val="008742CC"/>
    <w:rsid w:val="008D1333"/>
    <w:rsid w:val="00913889"/>
    <w:rsid w:val="00922BEF"/>
    <w:rsid w:val="00964F61"/>
    <w:rsid w:val="009C46F8"/>
    <w:rsid w:val="009C74BA"/>
    <w:rsid w:val="00A05193"/>
    <w:rsid w:val="00A35E5C"/>
    <w:rsid w:val="00A40CB4"/>
    <w:rsid w:val="00A61E4D"/>
    <w:rsid w:val="00A766ED"/>
    <w:rsid w:val="00AA73FD"/>
    <w:rsid w:val="00AB2067"/>
    <w:rsid w:val="00AB60B4"/>
    <w:rsid w:val="00B03DED"/>
    <w:rsid w:val="00B10E3F"/>
    <w:rsid w:val="00B1596F"/>
    <w:rsid w:val="00B20797"/>
    <w:rsid w:val="00B259D3"/>
    <w:rsid w:val="00B27DDB"/>
    <w:rsid w:val="00B61282"/>
    <w:rsid w:val="00B71D4E"/>
    <w:rsid w:val="00B8527B"/>
    <w:rsid w:val="00BA2D01"/>
    <w:rsid w:val="00BB7162"/>
    <w:rsid w:val="00BD7706"/>
    <w:rsid w:val="00BE58E5"/>
    <w:rsid w:val="00C17096"/>
    <w:rsid w:val="00C23916"/>
    <w:rsid w:val="00C24E59"/>
    <w:rsid w:val="00C40A97"/>
    <w:rsid w:val="00C6692E"/>
    <w:rsid w:val="00CA2476"/>
    <w:rsid w:val="00CA7015"/>
    <w:rsid w:val="00CB458B"/>
    <w:rsid w:val="00CC5AAE"/>
    <w:rsid w:val="00CE033F"/>
    <w:rsid w:val="00D840A1"/>
    <w:rsid w:val="00DB118B"/>
    <w:rsid w:val="00DD1F0D"/>
    <w:rsid w:val="00E21CBD"/>
    <w:rsid w:val="00E41F53"/>
    <w:rsid w:val="00E72909"/>
    <w:rsid w:val="00E827DA"/>
    <w:rsid w:val="00E840A0"/>
    <w:rsid w:val="00EB506C"/>
    <w:rsid w:val="00F01B95"/>
    <w:rsid w:val="00F657FF"/>
    <w:rsid w:val="00F67A4D"/>
    <w:rsid w:val="00F832A7"/>
    <w:rsid w:val="00FA47D0"/>
    <w:rsid w:val="00FB0BB8"/>
    <w:rsid w:val="00FD1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72960"/>
  <w15:docId w15:val="{4F3A6A77-5533-4F90-9940-E79FB894F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BEF"/>
    <w:rPr>
      <w:noProof/>
      <w:lang w:val="cy-GB"/>
    </w:rPr>
  </w:style>
  <w:style w:type="paragraph" w:styleId="Footer">
    <w:name w:val="footer"/>
    <w:basedOn w:val="Normal"/>
    <w:link w:val="FooterChar"/>
    <w:uiPriority w:val="99"/>
    <w:unhideWhenUsed/>
    <w:rsid w:val="00922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BEF"/>
    <w:rPr>
      <w:noProof/>
      <w:lang w:val="cy-GB"/>
    </w:rPr>
  </w:style>
  <w:style w:type="character" w:styleId="Emphasis">
    <w:name w:val="Emphasis"/>
    <w:basedOn w:val="DefaultParagraphFont"/>
    <w:uiPriority w:val="20"/>
    <w:qFormat/>
    <w:rsid w:val="000F5CDA"/>
    <w:rPr>
      <w:i/>
      <w:iCs/>
    </w:rPr>
  </w:style>
  <w:style w:type="paragraph" w:styleId="NormalWeb">
    <w:name w:val="Normal (Web)"/>
    <w:basedOn w:val="Normal"/>
    <w:uiPriority w:val="99"/>
    <w:unhideWhenUsed/>
    <w:rsid w:val="00800866"/>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table" w:styleId="TableGrid">
    <w:name w:val="Table Grid"/>
    <w:basedOn w:val="TableNormal"/>
    <w:uiPriority w:val="39"/>
    <w:rsid w:val="00427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20797"/>
    <w:rPr>
      <w:b/>
      <w:bCs/>
    </w:rPr>
  </w:style>
  <w:style w:type="character" w:styleId="Hyperlink">
    <w:name w:val="Hyperlink"/>
    <w:basedOn w:val="DefaultParagraphFont"/>
    <w:uiPriority w:val="99"/>
    <w:unhideWhenUsed/>
    <w:rsid w:val="00CA2476"/>
    <w:rPr>
      <w:color w:val="0000FF"/>
      <w:u w:val="single"/>
    </w:rPr>
  </w:style>
  <w:style w:type="character" w:styleId="UnresolvedMention">
    <w:name w:val="Unresolved Mention"/>
    <w:basedOn w:val="DefaultParagraphFont"/>
    <w:uiPriority w:val="99"/>
    <w:semiHidden/>
    <w:unhideWhenUsed/>
    <w:rsid w:val="00437A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18405">
      <w:bodyDiv w:val="1"/>
      <w:marLeft w:val="0"/>
      <w:marRight w:val="0"/>
      <w:marTop w:val="0"/>
      <w:marBottom w:val="0"/>
      <w:divBdr>
        <w:top w:val="none" w:sz="0" w:space="0" w:color="auto"/>
        <w:left w:val="none" w:sz="0" w:space="0" w:color="auto"/>
        <w:bottom w:val="none" w:sz="0" w:space="0" w:color="auto"/>
        <w:right w:val="none" w:sz="0" w:space="0" w:color="auto"/>
      </w:divBdr>
      <w:divsChild>
        <w:div w:id="693649419">
          <w:marLeft w:val="0"/>
          <w:marRight w:val="0"/>
          <w:marTop w:val="0"/>
          <w:marBottom w:val="0"/>
          <w:divBdr>
            <w:top w:val="none" w:sz="0" w:space="0" w:color="auto"/>
            <w:left w:val="none" w:sz="0" w:space="0" w:color="auto"/>
            <w:bottom w:val="none" w:sz="0" w:space="0" w:color="auto"/>
            <w:right w:val="none" w:sz="0" w:space="0" w:color="auto"/>
          </w:divBdr>
        </w:div>
      </w:divsChild>
    </w:div>
    <w:div w:id="1272738030">
      <w:bodyDiv w:val="1"/>
      <w:marLeft w:val="0"/>
      <w:marRight w:val="0"/>
      <w:marTop w:val="0"/>
      <w:marBottom w:val="0"/>
      <w:divBdr>
        <w:top w:val="none" w:sz="0" w:space="0" w:color="auto"/>
        <w:left w:val="none" w:sz="0" w:space="0" w:color="auto"/>
        <w:bottom w:val="none" w:sz="0" w:space="0" w:color="auto"/>
        <w:right w:val="none" w:sz="0" w:space="0" w:color="auto"/>
      </w:divBdr>
    </w:div>
    <w:div w:id="1379475885">
      <w:bodyDiv w:val="1"/>
      <w:marLeft w:val="0"/>
      <w:marRight w:val="0"/>
      <w:marTop w:val="0"/>
      <w:marBottom w:val="0"/>
      <w:divBdr>
        <w:top w:val="none" w:sz="0" w:space="0" w:color="auto"/>
        <w:left w:val="none" w:sz="0" w:space="0" w:color="auto"/>
        <w:bottom w:val="none" w:sz="0" w:space="0" w:color="auto"/>
        <w:right w:val="none" w:sz="0" w:space="0" w:color="auto"/>
      </w:divBdr>
      <w:divsChild>
        <w:div w:id="126242031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ointerpro.com/blog/questionnaire-pros-and-c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10718</TotalTime>
  <Pages>13</Pages>
  <Words>4603</Words>
  <Characters>26242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Williams (2103520)</dc:creator>
  <cp:keywords/>
  <dc:description/>
  <cp:lastModifiedBy>Osian Williams (2103520)</cp:lastModifiedBy>
  <cp:revision>5</cp:revision>
  <dcterms:created xsi:type="dcterms:W3CDTF">2024-01-11T10:24:00Z</dcterms:created>
  <dcterms:modified xsi:type="dcterms:W3CDTF">2024-02-19T23:10:00Z</dcterms:modified>
</cp:coreProperties>
</file>