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EA0AC" w14:textId="7134737B" w:rsidR="00B13B80" w:rsidRDefault="00957775">
      <w:r>
        <w:t>A Critical Examination of the Sky in relation to Material Culture</w:t>
      </w:r>
    </w:p>
    <w:p w14:paraId="043F3C8F" w14:textId="72941749" w:rsidR="00FC4F6C" w:rsidRDefault="00FC4F6C">
      <w:r>
        <w:t>Introduction</w:t>
      </w:r>
    </w:p>
    <w:p w14:paraId="05DA8E86" w14:textId="0D132CCB" w:rsidR="00F540C1" w:rsidRDefault="00387271">
      <w:r>
        <w:t xml:space="preserve">Neolithic people invested </w:t>
      </w:r>
      <w:r w:rsidR="004A0092">
        <w:t xml:space="preserve">time, </w:t>
      </w:r>
      <w:r>
        <w:t>resources</w:t>
      </w:r>
      <w:r w:rsidR="00E62279">
        <w:t xml:space="preserve"> and</w:t>
      </w:r>
      <w:r>
        <w:t xml:space="preserve"> effort into erecting a wide variety of megalithic structures</w:t>
      </w:r>
      <w:r w:rsidR="00E417B0">
        <w:t xml:space="preserve"> over the British Isles and Ireland</w:t>
      </w:r>
      <w:r w:rsidR="004A0092">
        <w:t xml:space="preserve">, </w:t>
      </w:r>
      <w:r w:rsidR="00E62279">
        <w:t xml:space="preserve">and </w:t>
      </w:r>
      <w:r w:rsidR="00E17A1A">
        <w:t>the relationship</w:t>
      </w:r>
      <w:r w:rsidR="00A0689D">
        <w:t>s</w:t>
      </w:r>
      <w:r w:rsidR="00E17A1A">
        <w:t xml:space="preserve"> between sites and the landscapes in which they are situated</w:t>
      </w:r>
      <w:r w:rsidR="000130E5">
        <w:t xml:space="preserve"> </w:t>
      </w:r>
      <w:r w:rsidR="004A0092">
        <w:t>ha</w:t>
      </w:r>
      <w:r w:rsidR="00A0689D">
        <w:t>s</w:t>
      </w:r>
      <w:r w:rsidR="004A0092">
        <w:t xml:space="preserve"> been explored by landscape archaeologists </w:t>
      </w:r>
      <w:r w:rsidR="000130E5">
        <w:t xml:space="preserve">in what is </w:t>
      </w:r>
      <w:r w:rsidR="00C45C44">
        <w:t>known as a phenomenological approach</w:t>
      </w:r>
      <w:r w:rsidR="00E17A1A">
        <w:t>.</w:t>
      </w:r>
      <w:r w:rsidR="00214505">
        <w:rPr>
          <w:rStyle w:val="FootnoteReference"/>
        </w:rPr>
        <w:footnoteReference w:id="1"/>
      </w:r>
      <w:r w:rsidR="00E17A1A">
        <w:t xml:space="preserve"> In </w:t>
      </w:r>
      <w:r w:rsidR="00467643">
        <w:t xml:space="preserve">addition, many of </w:t>
      </w:r>
      <w:r w:rsidR="00E17A1A">
        <w:t>these stone</w:t>
      </w:r>
      <w:r w:rsidR="00B27CEC">
        <w:t xml:space="preserve"> megalith</w:t>
      </w:r>
      <w:r w:rsidR="00E17A1A">
        <w:t xml:space="preserve">ic structures displayed a clear orientation to </w:t>
      </w:r>
      <w:r w:rsidR="00F261FD">
        <w:t xml:space="preserve">astronomical events </w:t>
      </w:r>
      <w:r w:rsidR="00C27482">
        <w:t>involving the movements of the sun, moon or stars</w:t>
      </w:r>
      <w:r w:rsidR="005814F2">
        <w:t xml:space="preserve">, </w:t>
      </w:r>
      <w:r w:rsidR="007777F5">
        <w:t>and archaeoastronomers</w:t>
      </w:r>
      <w:r w:rsidR="00E62279">
        <w:t xml:space="preserve"> measure these alignments</w:t>
      </w:r>
      <w:r w:rsidR="007777F5">
        <w:t xml:space="preserve">. </w:t>
      </w:r>
      <w:r w:rsidR="000F315D">
        <w:t xml:space="preserve">However, according to </w:t>
      </w:r>
      <w:r w:rsidR="00E62279">
        <w:t xml:space="preserve">Fabio </w:t>
      </w:r>
      <w:r w:rsidR="000F315D">
        <w:t>Silva, the target and purpose of these alignments, let alone the reasons they were incorporated in the first place, was seldom explored.</w:t>
      </w:r>
      <w:r w:rsidR="00214505">
        <w:rPr>
          <w:rStyle w:val="FootnoteReference"/>
        </w:rPr>
        <w:footnoteReference w:id="2"/>
      </w:r>
      <w:r w:rsidR="000F315D">
        <w:t xml:space="preserve"> </w:t>
      </w:r>
      <w:r w:rsidR="008147C7">
        <w:t>In response, h</w:t>
      </w:r>
      <w:r w:rsidR="00E62279">
        <w:t>e developed the concept of a ‘skyscape’</w:t>
      </w:r>
      <w:r w:rsidR="00FA17CC">
        <w:t xml:space="preserve">, </w:t>
      </w:r>
      <w:r w:rsidR="008147C7">
        <w:t>which</w:t>
      </w:r>
      <w:r w:rsidR="00FA17CC">
        <w:t xml:space="preserve"> attempt</w:t>
      </w:r>
      <w:r w:rsidR="008147C7">
        <w:t>s</w:t>
      </w:r>
      <w:r w:rsidR="00FA17CC">
        <w:t xml:space="preserve"> t</w:t>
      </w:r>
      <w:r w:rsidR="000F315D">
        <w:t xml:space="preserve">o </w:t>
      </w:r>
      <w:r w:rsidR="00FA17CC">
        <w:t>understand</w:t>
      </w:r>
      <w:r w:rsidR="000F315D">
        <w:t xml:space="preserve"> the</w:t>
      </w:r>
      <w:r w:rsidR="007777F5">
        <w:t xml:space="preserve"> importance of the sky in shaping worldviews</w:t>
      </w:r>
      <w:r w:rsidR="000F315D">
        <w:t xml:space="preserve">, and </w:t>
      </w:r>
      <w:r w:rsidR="00FA17CC">
        <w:t xml:space="preserve">therefore aid the interpretation of </w:t>
      </w:r>
      <w:r w:rsidR="007D68AF">
        <w:t>material remains</w:t>
      </w:r>
      <w:r w:rsidR="00D121BF">
        <w:t>.</w:t>
      </w:r>
      <w:r w:rsidR="005814F2">
        <w:t xml:space="preserve"> </w:t>
      </w:r>
      <w:r w:rsidR="00D378CC">
        <w:t>Cultural astronomy combines these approaches</w:t>
      </w:r>
      <w:r w:rsidR="00D121BF">
        <w:t xml:space="preserve"> by </w:t>
      </w:r>
      <w:r w:rsidR="00FA17CC">
        <w:t>looking at the interaction between structure, landscape and skyscape</w:t>
      </w:r>
      <w:r w:rsidR="008147C7">
        <w:t>,</w:t>
      </w:r>
      <w:r w:rsidR="00FA17CC">
        <w:t xml:space="preserve"> focussed round the panoramic horizon.</w:t>
      </w:r>
      <w:r w:rsidR="00C45C44">
        <w:t xml:space="preserve"> By taking into account </w:t>
      </w:r>
      <w:r w:rsidR="00D121BF">
        <w:t xml:space="preserve">the cultural context necessary for the interpretation of celestial alignments, and </w:t>
      </w:r>
      <w:r w:rsidR="00C45C44">
        <w:t xml:space="preserve">perceiving </w:t>
      </w:r>
      <w:r w:rsidR="00D121BF">
        <w:t xml:space="preserve">how this is encoded in material culture, </w:t>
      </w:r>
      <w:r w:rsidR="009E0F7D">
        <w:t xml:space="preserve">insights into the cosmologies and beliefs of the </w:t>
      </w:r>
      <w:r w:rsidR="00D121BF">
        <w:t>monument builders</w:t>
      </w:r>
      <w:r w:rsidR="00C45C44">
        <w:t xml:space="preserve"> arise</w:t>
      </w:r>
      <w:r w:rsidR="00D121BF">
        <w:t>.</w:t>
      </w:r>
      <w:r w:rsidR="00214505">
        <w:rPr>
          <w:rStyle w:val="FootnoteReference"/>
        </w:rPr>
        <w:footnoteReference w:id="3"/>
      </w:r>
      <w:r w:rsidR="00D121BF">
        <w:t xml:space="preserve"> </w:t>
      </w:r>
      <w:r w:rsidR="007D68AF">
        <w:t xml:space="preserve">Combining a phenomenological approach with cultural astronomy, </w:t>
      </w:r>
      <w:r w:rsidR="002D1DB5">
        <w:t>this essay will explore the Neolithic monument of Bryn Celli Ddu, Anglesey, Wales</w:t>
      </w:r>
      <w:r w:rsidR="000130E5">
        <w:t xml:space="preserve">. The monument will be </w:t>
      </w:r>
      <w:r w:rsidR="00BA459E">
        <w:t xml:space="preserve">introduced and placed in its historic setting, the methodology </w:t>
      </w:r>
      <w:r w:rsidR="00454A22">
        <w:t>i</w:t>
      </w:r>
      <w:r w:rsidR="00BA459E">
        <w:t xml:space="preserve">ntroduced, and the landscape setting described. The results of the field survey will be presented, </w:t>
      </w:r>
      <w:r w:rsidR="00496320">
        <w:t xml:space="preserve">an overview of material remains given, and the identity of the builders, and therefore cultural context, discussed. </w:t>
      </w:r>
      <w:r w:rsidR="00557E8E">
        <w:t xml:space="preserve">This will be pulled together to flesh out a cosmology, and drawing on evidence from the </w:t>
      </w:r>
      <w:r w:rsidR="00214505">
        <w:t>cultural record,</w:t>
      </w:r>
      <w:r w:rsidR="00454A22">
        <w:t xml:space="preserve"> it will </w:t>
      </w:r>
      <w:r w:rsidR="009F2E7D">
        <w:t>attempt to answer the question ‘Is the positioning of Bryn Celli Ddu of cultural astronomical significance?’</w:t>
      </w:r>
    </w:p>
    <w:p w14:paraId="2B2ED618" w14:textId="6B084B9C" w:rsidR="00DC2056" w:rsidRDefault="00DC2056" w:rsidP="00DC081B">
      <w:r>
        <w:t>Historical context</w:t>
      </w:r>
    </w:p>
    <w:p w14:paraId="70663BDF" w14:textId="7C4B3FBF" w:rsidR="00FC4F6C" w:rsidRDefault="00B13B80" w:rsidP="00DC081B">
      <w:r>
        <w:t xml:space="preserve">Bryn Celli Ddu is </w:t>
      </w:r>
      <w:r w:rsidR="00D53A5D">
        <w:t xml:space="preserve">one of </w:t>
      </w:r>
      <w:r w:rsidR="004B37EF">
        <w:t xml:space="preserve">eight </w:t>
      </w:r>
      <w:r w:rsidR="008C6E80">
        <w:t>excavated Neolithic monuments in Anglesey</w:t>
      </w:r>
      <w:r w:rsidR="008147C7">
        <w:t xml:space="preserve"> and </w:t>
      </w:r>
      <w:r w:rsidR="00824B49">
        <w:t>considered to be one of the most visually impressive Neolithic monuments in Wales</w:t>
      </w:r>
      <w:r w:rsidR="008147C7">
        <w:t>.</w:t>
      </w:r>
      <w:r w:rsidR="00214505">
        <w:rPr>
          <w:rStyle w:val="FootnoteReference"/>
        </w:rPr>
        <w:footnoteReference w:id="4"/>
      </w:r>
      <w:r w:rsidR="00824B49">
        <w:t xml:space="preserve"> </w:t>
      </w:r>
      <w:r w:rsidR="00D536B2">
        <w:t xml:space="preserve">It is </w:t>
      </w:r>
      <w:r w:rsidR="00B21C91">
        <w:t xml:space="preserve">of the </w:t>
      </w:r>
      <w:r>
        <w:t>developed passage grave</w:t>
      </w:r>
      <w:r w:rsidR="002A3161">
        <w:t xml:space="preserve"> </w:t>
      </w:r>
      <w:r w:rsidR="00B21C91">
        <w:t xml:space="preserve">tradition </w:t>
      </w:r>
      <w:r w:rsidR="00E62823">
        <w:t>that arose in the Neolithic along the Atlantic Seabo</w:t>
      </w:r>
      <w:r w:rsidR="00214505">
        <w:t>a</w:t>
      </w:r>
      <w:r w:rsidR="00E62823">
        <w:t>rd, w</w:t>
      </w:r>
      <w:r w:rsidR="00D23120">
        <w:t>hich includes the Irish Sea zone</w:t>
      </w:r>
      <w:r w:rsidR="008147C7">
        <w:t>.</w:t>
      </w:r>
      <w:r w:rsidR="00214505">
        <w:rPr>
          <w:rStyle w:val="FootnoteReference"/>
        </w:rPr>
        <w:footnoteReference w:id="5"/>
      </w:r>
      <w:r w:rsidR="00D23120">
        <w:t xml:space="preserve"> </w:t>
      </w:r>
      <w:r w:rsidR="00E62823">
        <w:t xml:space="preserve"> It</w:t>
      </w:r>
      <w:r w:rsidR="00B21C91">
        <w:t xml:space="preserve"> </w:t>
      </w:r>
      <w:r w:rsidR="002D61A5">
        <w:t xml:space="preserve">consists of a stone-built </w:t>
      </w:r>
      <w:r w:rsidR="009B6A1F">
        <w:t>polygonal chamber</w:t>
      </w:r>
      <w:r w:rsidR="00AC5F1F">
        <w:t xml:space="preserve"> and passage set within a round cairn and surrounded by a ditch</w:t>
      </w:r>
      <w:r w:rsidR="00D46AC0">
        <w:t xml:space="preserve">, a bank and </w:t>
      </w:r>
      <w:r w:rsidR="00F52F90">
        <w:t>a henge</w:t>
      </w:r>
      <w:r w:rsidR="00363DB6">
        <w:t>, bounded by a kerb of stones</w:t>
      </w:r>
      <w:r w:rsidR="00214505">
        <w:t xml:space="preserve">. </w:t>
      </w:r>
      <w:r w:rsidR="00214505">
        <w:rPr>
          <w:rStyle w:val="FootnoteReference"/>
        </w:rPr>
        <w:footnoteReference w:id="6"/>
      </w:r>
      <w:r w:rsidR="00E96690">
        <w:t xml:space="preserve"> </w:t>
      </w:r>
      <w:r w:rsidR="000106C5">
        <w:t>According to the archaeologists who first excavated the site (Hemp, 1930), post</w:t>
      </w:r>
      <w:r>
        <w:t xml:space="preserve"> holes at the entrance of the tomb date back to the Mesolithic (5990 – 5730 BCE)</w:t>
      </w:r>
      <w:r w:rsidR="008C596B">
        <w:t>.</w:t>
      </w:r>
      <w:r w:rsidR="00214505">
        <w:rPr>
          <w:rStyle w:val="FootnoteReference"/>
        </w:rPr>
        <w:footnoteReference w:id="7"/>
      </w:r>
      <w:r w:rsidR="00A86BA4">
        <w:t xml:space="preserve"> </w:t>
      </w:r>
      <w:r w:rsidR="00D23120">
        <w:t>At a later stage the henge was built and surrounded by a stone circle, centred round a central pit</w:t>
      </w:r>
      <w:r w:rsidR="00904CC0">
        <w:t>, in which a</w:t>
      </w:r>
      <w:r w:rsidR="00D23120">
        <w:t xml:space="preserve"> decorated stone (Pattern Stone) was found lying face </w:t>
      </w:r>
      <w:r w:rsidR="00904CC0">
        <w:t>during</w:t>
      </w:r>
      <w:r w:rsidR="00D23120">
        <w:t xml:space="preserve"> Hemp excavation</w:t>
      </w:r>
      <w:r w:rsidR="0073065E">
        <w:t>.</w:t>
      </w:r>
      <w:r w:rsidR="001D0B23">
        <w:rPr>
          <w:rStyle w:val="FootnoteReference"/>
        </w:rPr>
        <w:footnoteReference w:id="8"/>
      </w:r>
      <w:r w:rsidR="0073065E">
        <w:t xml:space="preserve"> </w:t>
      </w:r>
      <w:r w:rsidR="009C61E5">
        <w:t>The Neolithic phase, when the chamber, passageway, ditch and mound were constructed has been radio</w:t>
      </w:r>
      <w:r w:rsidR="009D7D99">
        <w:t>carbon dated using charcoal remains to between 3045 – 2978 cal BC</w:t>
      </w:r>
      <w:r w:rsidR="005E7A14">
        <w:t>E</w:t>
      </w:r>
      <w:r w:rsidR="001D0B23">
        <w:t xml:space="preserve"> and l</w:t>
      </w:r>
      <w:r w:rsidR="005E7A14">
        <w:t>imited human remains have been found in the tomb dat</w:t>
      </w:r>
      <w:r w:rsidR="00904CC0">
        <w:t>ing</w:t>
      </w:r>
      <w:r w:rsidR="005E7A14">
        <w:t xml:space="preserve"> to 3310 – 2900 cal BCE. </w:t>
      </w:r>
      <w:r w:rsidR="001D0B23">
        <w:rPr>
          <w:rStyle w:val="FootnoteReference"/>
        </w:rPr>
        <w:footnoteReference w:id="9"/>
      </w:r>
      <w:r w:rsidR="001D0B23">
        <w:t xml:space="preserve"> The construction process could have take</w:t>
      </w:r>
      <w:r w:rsidR="00904CC0">
        <w:t>n just</w:t>
      </w:r>
      <w:r w:rsidR="001D0B23">
        <w:t xml:space="preserve"> two years, and Baysi</w:t>
      </w:r>
      <w:r w:rsidR="00904CC0">
        <w:t>a</w:t>
      </w:r>
      <w:r w:rsidR="001D0B23">
        <w:t>n modelling suggests that Bryn Celli Ddu was used as a burial site for between 5 – 182 years</w:t>
      </w:r>
      <w:r w:rsidR="001D0B23">
        <w:rPr>
          <w:rStyle w:val="FootnoteReference"/>
        </w:rPr>
        <w:footnoteReference w:id="10"/>
      </w:r>
      <w:r w:rsidR="001D0B23">
        <w:t xml:space="preserve"> . </w:t>
      </w:r>
      <w:r w:rsidR="005E7A14">
        <w:t xml:space="preserve">It should be </w:t>
      </w:r>
      <w:r w:rsidR="00E62823">
        <w:t xml:space="preserve">noted that the mound seen </w:t>
      </w:r>
      <w:r w:rsidR="00E62823">
        <w:lastRenderedPageBreak/>
        <w:t>today is smaller than the original mound which would have enclosed the Pattern Stone and the central pit</w:t>
      </w:r>
      <w:r w:rsidR="00904CC0">
        <w:t>, both visible today (Figure 1).</w:t>
      </w:r>
      <w:r w:rsidR="005E7A14">
        <w:t xml:space="preserve"> </w:t>
      </w:r>
      <w:r w:rsidR="00A271CB">
        <w:t xml:space="preserve">Lockyer was the first to suggest that the tomb was aligned to midsummer sunrise, though his ideas were not well received at the time. Lomas and </w:t>
      </w:r>
      <w:r w:rsidR="004836EB">
        <w:t>Knight conducted an</w:t>
      </w:r>
      <w:r w:rsidR="00A271CB">
        <w:t xml:space="preserve"> investigation in the </w:t>
      </w:r>
      <w:r w:rsidR="004836EB">
        <w:t>1990s</w:t>
      </w:r>
      <w:r w:rsidR="00A271CB">
        <w:t xml:space="preserve"> and </w:t>
      </w:r>
      <w:r w:rsidR="00FF4B9A">
        <w:t>since then</w:t>
      </w:r>
      <w:r w:rsidR="00904CC0">
        <w:t xml:space="preserve"> several</w:t>
      </w:r>
      <w:r w:rsidR="005E7A14">
        <w:t xml:space="preserve"> people have </w:t>
      </w:r>
      <w:r w:rsidR="00A271CB">
        <w:t xml:space="preserve">demonstrated </w:t>
      </w:r>
      <w:r w:rsidR="00A45C3B">
        <w:t xml:space="preserve">a midsummer </w:t>
      </w:r>
      <w:r w:rsidR="00904CC0">
        <w:t>sunrise alignment</w:t>
      </w:r>
      <w:r w:rsidR="001D0B23">
        <w:t xml:space="preserve">, including Burrows on </w:t>
      </w:r>
      <w:r w:rsidR="00A271CB">
        <w:t>23</w:t>
      </w:r>
      <w:r w:rsidR="00A271CB" w:rsidRPr="00495693">
        <w:rPr>
          <w:vertAlign w:val="superscript"/>
        </w:rPr>
        <w:t>rd</w:t>
      </w:r>
      <w:r w:rsidR="00A271CB">
        <w:t xml:space="preserve"> June 2005</w:t>
      </w:r>
      <w:r w:rsidR="005E7A14">
        <w:t>.</w:t>
      </w:r>
      <w:r w:rsidR="001D0B23">
        <w:rPr>
          <w:rStyle w:val="FootnoteReference"/>
        </w:rPr>
        <w:footnoteReference w:id="11"/>
      </w:r>
    </w:p>
    <w:p w14:paraId="03479534" w14:textId="79B78B75" w:rsidR="002177A4" w:rsidRDefault="002177A4">
      <w:bookmarkStart w:id="1" w:name="_Hlk102139350"/>
      <w:r>
        <w:t xml:space="preserve">There are </w:t>
      </w:r>
      <w:r w:rsidR="00426C8F">
        <w:t>nine excavated</w:t>
      </w:r>
      <w:r>
        <w:t xml:space="preserve"> </w:t>
      </w:r>
      <w:r w:rsidR="0093193C">
        <w:t>Neolithic sites in Anglesey</w:t>
      </w:r>
      <w:r w:rsidR="005860BD">
        <w:t>, as</w:t>
      </w:r>
      <w:r w:rsidR="00DC2056">
        <w:t xml:space="preserve"> </w:t>
      </w:r>
      <w:r w:rsidR="005860BD">
        <w:t>well as several cairns and standing stones</w:t>
      </w:r>
      <w:r w:rsidR="0093193C">
        <w:t xml:space="preserve">. </w:t>
      </w:r>
      <w:r w:rsidR="005E7A14">
        <w:t>Some</w:t>
      </w:r>
      <w:r w:rsidR="00DC2056">
        <w:t xml:space="preserve"> are older</w:t>
      </w:r>
      <w:r w:rsidR="005E7A14">
        <w:t xml:space="preserve">, for example </w:t>
      </w:r>
      <w:r w:rsidR="0093193C">
        <w:t>Trefignath</w:t>
      </w:r>
      <w:r w:rsidR="00E60AAC">
        <w:t xml:space="preserve">, </w:t>
      </w:r>
      <w:r w:rsidR="005E7A14">
        <w:t xml:space="preserve">a </w:t>
      </w:r>
      <w:r w:rsidR="00E60AAC">
        <w:t xml:space="preserve">multi-stage cairn </w:t>
      </w:r>
      <w:r w:rsidR="00FF4B9A">
        <w:t>d</w:t>
      </w:r>
      <w:r w:rsidR="00E60AAC">
        <w:t>ating back to 3980 – 3690 BC</w:t>
      </w:r>
      <w:r w:rsidR="005E7A14">
        <w:t>E</w:t>
      </w:r>
      <w:r w:rsidR="00DC2056">
        <w:t>,</w:t>
      </w:r>
      <w:r w:rsidR="005E7A14">
        <w:t xml:space="preserve"> </w:t>
      </w:r>
      <w:r w:rsidR="00EC0FA8">
        <w:t>and later chamber deposits have been found in three other sites dating to more recent Beaker times.</w:t>
      </w:r>
      <w:r w:rsidR="001D0B23">
        <w:rPr>
          <w:rStyle w:val="FootnoteReference"/>
        </w:rPr>
        <w:footnoteReference w:id="12"/>
      </w:r>
      <w:r w:rsidR="002D4436">
        <w:t xml:space="preserve"> Within close vicinity to Bryn Celli Ddu are two more </w:t>
      </w:r>
      <w:r w:rsidR="00DA5A1E">
        <w:t xml:space="preserve">cairn and mound shaped monuments, </w:t>
      </w:r>
      <w:r w:rsidR="00F61A5E">
        <w:t xml:space="preserve">Bryn yr Hen Bobl, </w:t>
      </w:r>
      <w:r w:rsidR="00FF4B9A">
        <w:t>situated</w:t>
      </w:r>
      <w:r w:rsidR="00BE01A1">
        <w:t xml:space="preserve"> on the Menai Straits</w:t>
      </w:r>
      <w:r w:rsidR="008771A3">
        <w:t xml:space="preserve"> </w:t>
      </w:r>
      <w:r w:rsidR="00DC2056">
        <w:t xml:space="preserve">and </w:t>
      </w:r>
      <w:r w:rsidR="008771A3">
        <w:t>radio</w:t>
      </w:r>
      <w:r w:rsidR="00C8695A">
        <w:t>c</w:t>
      </w:r>
      <w:r w:rsidR="008771A3">
        <w:t>arbon dated to 3300 – 2920 BC</w:t>
      </w:r>
      <w:r w:rsidR="001B7DC5">
        <w:t>E</w:t>
      </w:r>
      <w:r w:rsidR="00BE01A1">
        <w:t>, and Bryn Celli Wen</w:t>
      </w:r>
      <w:r w:rsidR="001B7DC5">
        <w:t>,</w:t>
      </w:r>
      <w:r w:rsidR="004F5DFC">
        <w:t xml:space="preserve"> a possible cause</w:t>
      </w:r>
      <w:r w:rsidR="00063FC0">
        <w:t xml:space="preserve">wayed enclosure </w:t>
      </w:r>
      <w:r w:rsidR="00FF4B9A">
        <w:t>350 m NE of</w:t>
      </w:r>
      <w:r w:rsidR="001A3C2F">
        <w:t xml:space="preserve"> </w:t>
      </w:r>
      <w:r w:rsidR="00DC2056">
        <w:t>Bryn Celli Ddu</w:t>
      </w:r>
      <w:r w:rsidR="001B7DC5">
        <w:t xml:space="preserve">. </w:t>
      </w:r>
      <w:r w:rsidR="001A3C2F">
        <w:t>Peterborough pottery found at the site could indicate a contemporary, or even earlier, date for this site.</w:t>
      </w:r>
      <w:r w:rsidR="00694BA5">
        <w:rPr>
          <w:rStyle w:val="FootnoteReference"/>
        </w:rPr>
        <w:footnoteReference w:id="13"/>
      </w:r>
      <w:r w:rsidR="001A3C2F">
        <w:t xml:space="preserve"> </w:t>
      </w:r>
      <w:r w:rsidR="00141891">
        <w:t>Slightly further away, on the West coast, is Barclodiad y Gawres</w:t>
      </w:r>
      <w:r w:rsidR="0063650F">
        <w:t xml:space="preserve">, a stone-built cruciform chamber </w:t>
      </w:r>
      <w:r w:rsidR="000B0E5C">
        <w:t>and passage set within a round cairn</w:t>
      </w:r>
      <w:r w:rsidR="00F746F2">
        <w:t>.</w:t>
      </w:r>
      <w:r w:rsidR="00694BA5">
        <w:rPr>
          <w:rStyle w:val="FootnoteReference"/>
        </w:rPr>
        <w:footnoteReference w:id="14"/>
      </w:r>
      <w:r w:rsidR="00ED4ECC">
        <w:t xml:space="preserve"> This tomb </w:t>
      </w:r>
      <w:r w:rsidR="00DC2056">
        <w:t xml:space="preserve">is the only other advanced passage grave tomb in Wales, and also has (six) </w:t>
      </w:r>
      <w:r w:rsidR="00BD0ACB">
        <w:t>decorated stones within the central chamber.</w:t>
      </w:r>
    </w:p>
    <w:bookmarkEnd w:id="1"/>
    <w:p w14:paraId="39584CA4" w14:textId="59BFEB25" w:rsidR="00454A22" w:rsidRDefault="00454A22" w:rsidP="00454A22">
      <w:r>
        <w:t>Methodology</w:t>
      </w:r>
    </w:p>
    <w:p w14:paraId="5CDB6EED" w14:textId="329CE28E" w:rsidR="009617AC" w:rsidRDefault="00454A22" w:rsidP="009617AC">
      <w:r>
        <w:t>Phenomenology can be described as a way of exploring and understanding the world through attempting to study phenomena, on their own terms.</w:t>
      </w:r>
      <w:r w:rsidR="00694BA5">
        <w:rPr>
          <w:rStyle w:val="FootnoteReference"/>
        </w:rPr>
        <w:footnoteReference w:id="15"/>
      </w:r>
      <w:r>
        <w:t xml:space="preserve"> When related to landscapes, Tilley developed the notion that the human body provides the fundamental mediation point between thought and world, so a landscape should be experienced by the researcher in order to extract true meaning. </w:t>
      </w:r>
      <w:r w:rsidR="00694BA5">
        <w:rPr>
          <w:rStyle w:val="FootnoteReference"/>
        </w:rPr>
        <w:footnoteReference w:id="16"/>
      </w:r>
      <w:r>
        <w:t xml:space="preserve"> </w:t>
      </w:r>
      <w:r w:rsidR="009617AC">
        <w:t>Looking at the view from the passage grave is a phenomenological approach, both from the window of visibility of the tomb itself and also, examining the landscape in which the site is set and noting in particular the nature of the horizon formed by the most distant topographic features form.</w:t>
      </w:r>
      <w:r w:rsidR="00694BA5">
        <w:rPr>
          <w:rStyle w:val="FootnoteReference"/>
        </w:rPr>
        <w:footnoteReference w:id="17"/>
      </w:r>
    </w:p>
    <w:p w14:paraId="397460FB" w14:textId="4E5F4050" w:rsidR="004C497E" w:rsidRDefault="009617AC" w:rsidP="000508F9">
      <w:pPr>
        <w:autoSpaceDE w:val="0"/>
        <w:autoSpaceDN w:val="0"/>
        <w:adjustRightInd w:val="0"/>
        <w:spacing w:after="0" w:line="240" w:lineRule="auto"/>
        <w:rPr>
          <w:rFonts w:cstheme="minorHAnsi"/>
        </w:rPr>
      </w:pPr>
      <w:r w:rsidRPr="004C497E">
        <w:t>Phenomenol</w:t>
      </w:r>
      <w:r w:rsidR="00477A2D">
        <w:t>o</w:t>
      </w:r>
      <w:r w:rsidRPr="004C497E">
        <w:t>gy</w:t>
      </w:r>
      <w:r w:rsidR="000E7FEE" w:rsidRPr="004C497E">
        <w:t xml:space="preserve"> has been heavily critiqued, not least because, as Tilley himself said, there can be no methodology that provides a clear guide to empirical research</w:t>
      </w:r>
      <w:r w:rsidR="00477A2D">
        <w:t xml:space="preserve"> arising from this approach</w:t>
      </w:r>
      <w:r w:rsidR="000E7FEE" w:rsidRPr="004C497E">
        <w:t>.</w:t>
      </w:r>
      <w:r w:rsidR="00694BA5" w:rsidRPr="004C497E">
        <w:rPr>
          <w:rStyle w:val="FootnoteReference"/>
        </w:rPr>
        <w:footnoteReference w:id="18"/>
      </w:r>
      <w:r w:rsidR="000E7FEE" w:rsidRPr="004C497E">
        <w:t xml:space="preserve"> A</w:t>
      </w:r>
      <w:r w:rsidR="00477A2D">
        <w:t>lso,</w:t>
      </w:r>
      <w:r w:rsidR="000E7FEE" w:rsidRPr="004C497E">
        <w:t xml:space="preserve"> </w:t>
      </w:r>
      <w:r w:rsidR="00477A2D">
        <w:t xml:space="preserve">a </w:t>
      </w:r>
      <w:r w:rsidR="004C497E">
        <w:t>p</w:t>
      </w:r>
      <w:r w:rsidR="000E7FEE" w:rsidRPr="004C497E">
        <w:t>hen</w:t>
      </w:r>
      <w:r w:rsidR="00477A2D">
        <w:t>o</w:t>
      </w:r>
      <w:r w:rsidR="00694BA5" w:rsidRPr="004C497E">
        <w:t>m</w:t>
      </w:r>
      <w:r w:rsidR="00477A2D">
        <w:t>en</w:t>
      </w:r>
      <w:r w:rsidR="00694BA5" w:rsidRPr="004C497E">
        <w:t xml:space="preserve">ological </w:t>
      </w:r>
      <w:r w:rsidR="000E7FEE" w:rsidRPr="004C497E">
        <w:t xml:space="preserve">representation of the landscape can appear subjective, and landscapes also need to be represented </w:t>
      </w:r>
      <w:r w:rsidR="00477A2D">
        <w:t xml:space="preserve">in some way </w:t>
      </w:r>
      <w:r w:rsidR="000E7FEE" w:rsidRPr="004C497E">
        <w:t>if they are to be used for scholarship</w:t>
      </w:r>
      <w:r w:rsidR="000E7FEE" w:rsidRPr="004C497E">
        <w:rPr>
          <w:rFonts w:cstheme="minorHAnsi"/>
        </w:rPr>
        <w:t>.</w:t>
      </w:r>
      <w:r w:rsidR="004C497E" w:rsidRPr="004C497E">
        <w:rPr>
          <w:rFonts w:cstheme="minorHAnsi"/>
        </w:rPr>
        <w:t xml:space="preserve"> Other criticisms include a lack of self</w:t>
      </w:r>
      <w:r w:rsidR="00477A2D">
        <w:rPr>
          <w:rFonts w:cstheme="minorHAnsi"/>
        </w:rPr>
        <w:t>-</w:t>
      </w:r>
      <w:r w:rsidR="004C497E" w:rsidRPr="004C497E">
        <w:rPr>
          <w:rFonts w:cstheme="minorHAnsi"/>
        </w:rPr>
        <w:t xml:space="preserve">reflection on the part of the researcher, that sometimes interpretation is not matched by evidence and </w:t>
      </w:r>
      <w:r w:rsidR="00477A2D">
        <w:rPr>
          <w:rFonts w:cstheme="minorHAnsi"/>
        </w:rPr>
        <w:t>that</w:t>
      </w:r>
      <w:r w:rsidR="004C497E" w:rsidRPr="004C497E">
        <w:rPr>
          <w:rFonts w:cstheme="minorHAnsi"/>
        </w:rPr>
        <w:t xml:space="preserve"> ambiguity that can lead to multiple meanings.</w:t>
      </w:r>
      <w:r w:rsidR="004C497E">
        <w:rPr>
          <w:rStyle w:val="FootnoteReference"/>
          <w:rFonts w:cstheme="minorHAnsi"/>
        </w:rPr>
        <w:footnoteReference w:id="19"/>
      </w:r>
      <w:r w:rsidR="004C497E" w:rsidRPr="004C497E">
        <w:rPr>
          <w:rFonts w:cstheme="minorHAnsi"/>
        </w:rPr>
        <w:t xml:space="preserve"> </w:t>
      </w:r>
      <w:r w:rsidR="000508F9" w:rsidRPr="004C497E">
        <w:rPr>
          <w:rFonts w:cstheme="minorHAnsi"/>
        </w:rPr>
        <w:t xml:space="preserve">Therefore, as </w:t>
      </w:r>
      <w:r w:rsidR="00477A2D">
        <w:rPr>
          <w:rFonts w:cstheme="minorHAnsi"/>
        </w:rPr>
        <w:t>suggested by</w:t>
      </w:r>
      <w:r w:rsidR="000508F9" w:rsidRPr="004C497E">
        <w:rPr>
          <w:rFonts w:cstheme="minorHAnsi"/>
        </w:rPr>
        <w:t xml:space="preserve"> Cummings and Whittle</w:t>
      </w:r>
      <w:r w:rsidR="004C497E">
        <w:rPr>
          <w:rFonts w:cstheme="minorHAnsi"/>
        </w:rPr>
        <w:t>,</w:t>
      </w:r>
      <w:r w:rsidR="000508F9" w:rsidRPr="004C497E">
        <w:rPr>
          <w:rFonts w:cstheme="minorHAnsi"/>
        </w:rPr>
        <w:t xml:space="preserve"> I chose a methodology that is capable of capturing the important elements of a phenomenological perspective while also representing </w:t>
      </w:r>
      <w:r w:rsidR="00477A2D">
        <w:rPr>
          <w:rFonts w:cstheme="minorHAnsi"/>
        </w:rPr>
        <w:t xml:space="preserve">findings </w:t>
      </w:r>
      <w:r w:rsidR="000508F9" w:rsidRPr="004C497E">
        <w:rPr>
          <w:rFonts w:cstheme="minorHAnsi"/>
        </w:rPr>
        <w:t>in a coherent and reproducible format.</w:t>
      </w:r>
      <w:r w:rsidR="004C497E">
        <w:rPr>
          <w:rStyle w:val="FootnoteReference"/>
          <w:rFonts w:cstheme="minorHAnsi"/>
        </w:rPr>
        <w:footnoteReference w:id="20"/>
      </w:r>
      <w:r w:rsidR="000508F9" w:rsidRPr="004C497E">
        <w:rPr>
          <w:rFonts w:cstheme="minorHAnsi"/>
        </w:rPr>
        <w:t xml:space="preserve"> By visiting the site myself, and taking my own measurements</w:t>
      </w:r>
      <w:r w:rsidR="00477A2D">
        <w:rPr>
          <w:rFonts w:cstheme="minorHAnsi"/>
        </w:rPr>
        <w:t xml:space="preserve">, placing these in a </w:t>
      </w:r>
      <w:r w:rsidR="000508F9" w:rsidRPr="004C497E">
        <w:rPr>
          <w:rFonts w:cstheme="minorHAnsi"/>
        </w:rPr>
        <w:t xml:space="preserve">landscape setting, </w:t>
      </w:r>
      <w:r w:rsidR="00477A2D">
        <w:rPr>
          <w:rFonts w:cstheme="minorHAnsi"/>
        </w:rPr>
        <w:t xml:space="preserve">and </w:t>
      </w:r>
      <w:r w:rsidR="000508F9" w:rsidRPr="004C497E">
        <w:rPr>
          <w:rFonts w:cstheme="minorHAnsi"/>
        </w:rPr>
        <w:t>using my senses and intuition, I am taking a phenomenological approach</w:t>
      </w:r>
      <w:r w:rsidR="00477A2D">
        <w:rPr>
          <w:rFonts w:cstheme="minorHAnsi"/>
        </w:rPr>
        <w:t>. By</w:t>
      </w:r>
      <w:r w:rsidR="000508F9" w:rsidRPr="004C497E">
        <w:rPr>
          <w:rFonts w:cstheme="minorHAnsi"/>
        </w:rPr>
        <w:t xml:space="preserve"> using scientific instruments and measurements, and existing maps and plans, my </w:t>
      </w:r>
      <w:r w:rsidR="00477A2D">
        <w:rPr>
          <w:rFonts w:cstheme="minorHAnsi"/>
        </w:rPr>
        <w:t>results</w:t>
      </w:r>
      <w:r w:rsidR="000508F9" w:rsidRPr="004C497E">
        <w:rPr>
          <w:rFonts w:cstheme="minorHAnsi"/>
        </w:rPr>
        <w:t xml:space="preserve"> can also be reproduced and verified as per the scientific method.</w:t>
      </w:r>
      <w:r w:rsidR="00F16E77" w:rsidRPr="004C497E">
        <w:rPr>
          <w:rFonts w:cstheme="minorHAnsi"/>
        </w:rPr>
        <w:t xml:space="preserve"> </w:t>
      </w:r>
    </w:p>
    <w:p w14:paraId="7CE77BBB" w14:textId="6CEC1F29" w:rsidR="009617AC" w:rsidRPr="004C497E" w:rsidRDefault="00A216CF" w:rsidP="000508F9">
      <w:pPr>
        <w:autoSpaceDE w:val="0"/>
        <w:autoSpaceDN w:val="0"/>
        <w:adjustRightInd w:val="0"/>
        <w:spacing w:after="0" w:line="240" w:lineRule="auto"/>
        <w:rPr>
          <w:rFonts w:cstheme="minorHAnsi"/>
        </w:rPr>
      </w:pPr>
      <w:r w:rsidRPr="004C497E">
        <w:rPr>
          <w:rFonts w:cstheme="minorHAnsi"/>
        </w:rPr>
        <w:t xml:space="preserve"> </w:t>
      </w:r>
    </w:p>
    <w:p w14:paraId="0B810E4A" w14:textId="4C993F25" w:rsidR="00454A22" w:rsidRDefault="00454A22" w:rsidP="00454A22">
      <w:r>
        <w:lastRenderedPageBreak/>
        <w:t>Reflexivity is</w:t>
      </w:r>
      <w:r w:rsidR="009617AC">
        <w:t xml:space="preserve"> also important</w:t>
      </w:r>
      <w:r>
        <w:t>. This means that self</w:t>
      </w:r>
      <w:r w:rsidR="009E6FFC">
        <w:t>-</w:t>
      </w:r>
      <w:r>
        <w:t>awareness in relation to personal, social and cultural context of the researcher in conditioning response to scholarship must be demonstrated</w:t>
      </w:r>
      <w:r w:rsidR="004C497E">
        <w:t>.</w:t>
      </w:r>
      <w:r w:rsidR="004C497E">
        <w:rPr>
          <w:rStyle w:val="FootnoteReference"/>
        </w:rPr>
        <w:footnoteReference w:id="21"/>
      </w:r>
      <w:r w:rsidR="004C497E">
        <w:t xml:space="preserve"> </w:t>
      </w:r>
      <w:r>
        <w:t>The aim of both reflexivity and phenomenology is to attempt an understanding of tradition or a belief system from the standpoint of that tradition</w:t>
      </w:r>
      <w:r w:rsidR="00F16E77">
        <w:t xml:space="preserve"> without being either too subjective or too objective.</w:t>
      </w:r>
      <w:r w:rsidR="00A216CF">
        <w:t xml:space="preserve">  I aim to describe what Ingold called ‘</w:t>
      </w:r>
      <w:r w:rsidR="00A915FE">
        <w:t>a</w:t>
      </w:r>
      <w:r w:rsidR="00A216CF">
        <w:t xml:space="preserve"> way of being in the landscape.’</w:t>
      </w:r>
      <w:r w:rsidR="004C497E">
        <w:rPr>
          <w:rStyle w:val="FootnoteReference"/>
        </w:rPr>
        <w:footnoteReference w:id="22"/>
      </w:r>
      <w:r w:rsidR="00A216CF">
        <w:t xml:space="preserve"> </w:t>
      </w:r>
    </w:p>
    <w:p w14:paraId="63FE999F" w14:textId="253D0247" w:rsidR="00454A22" w:rsidRDefault="00454A22">
      <w:r>
        <w:t>By combining both field techniques and an analytical approach, which includes a virtual horizon reconstruction and local azimuth, altitude and GPS measurements, a ‘time-space action approach’ can be used</w:t>
      </w:r>
      <w:r w:rsidR="004C497E">
        <w:t>.</w:t>
      </w:r>
      <w:r w:rsidR="004C497E">
        <w:rPr>
          <w:rStyle w:val="FootnoteReference"/>
        </w:rPr>
        <w:footnoteReference w:id="23"/>
      </w:r>
      <w:r w:rsidR="009617AC">
        <w:t xml:space="preserve"> </w:t>
      </w:r>
      <w:r w:rsidR="009E6FFC">
        <w:t>I</w:t>
      </w:r>
      <w:r w:rsidR="009617AC">
        <w:t xml:space="preserve"> will measure </w:t>
      </w:r>
      <w:r w:rsidR="009E6FFC">
        <w:t xml:space="preserve">using a Suunto KB-20 compass </w:t>
      </w:r>
      <w:r w:rsidR="009617AC">
        <w:t>the</w:t>
      </w:r>
      <w:r>
        <w:t xml:space="preserve"> ‘window of visibility’ described by the range of horizon azimuths visible from within a chamber</w:t>
      </w:r>
      <w:r w:rsidR="009E6FFC">
        <w:t xml:space="preserve"> and</w:t>
      </w:r>
      <w:r w:rsidR="001A115D">
        <w:t xml:space="preserve"> correct </w:t>
      </w:r>
      <w:r w:rsidR="009E6FFC">
        <w:t xml:space="preserve">these values </w:t>
      </w:r>
      <w:r w:rsidR="001A115D">
        <w:t>for magnetic declination</w:t>
      </w:r>
      <w:r>
        <w:t>.</w:t>
      </w:r>
      <w:r w:rsidR="004C497E">
        <w:rPr>
          <w:rStyle w:val="FootnoteReference"/>
        </w:rPr>
        <w:footnoteReference w:id="24"/>
      </w:r>
      <w:r>
        <w:t xml:space="preserve"> </w:t>
      </w:r>
      <w:r w:rsidR="003371F4">
        <w:t xml:space="preserve">I will  measure horizon altitude from the opening of the tomb using a Suunto KB 14 tandem clinometer, </w:t>
      </w:r>
      <w:r w:rsidR="009E6FFC">
        <w:t xml:space="preserve">check the altitude in </w:t>
      </w:r>
      <w:r w:rsidR="003371F4">
        <w:t xml:space="preserve">HeyWhatsThat </w:t>
      </w:r>
      <w:r w:rsidR="009E6FFC">
        <w:t xml:space="preserve">and use it to </w:t>
      </w:r>
      <w:r w:rsidR="003371F4">
        <w:t xml:space="preserve">reconstruct a 360 degrees horizon panorama. </w:t>
      </w:r>
      <w:r w:rsidR="004E2EF3">
        <w:t>I will also take a site survey</w:t>
      </w:r>
      <w:r>
        <w:t>, making use of existing archaeological maps, noting key landscape features and their orientation and taking panoramic ph</w:t>
      </w:r>
      <w:r w:rsidR="009E6FFC">
        <w:t>o</w:t>
      </w:r>
      <w:r>
        <w:t xml:space="preserve">tos of the horizon </w:t>
      </w:r>
      <w:r w:rsidR="004E2EF3">
        <w:t xml:space="preserve">to </w:t>
      </w:r>
      <w:r w:rsidR="009E6FFC">
        <w:t xml:space="preserve">allow a reflexive and </w:t>
      </w:r>
      <w:r w:rsidR="004E2EF3">
        <w:t>phenomenological</w:t>
      </w:r>
      <w:r w:rsidR="009E6FFC">
        <w:t xml:space="preserve"> approach</w:t>
      </w:r>
      <w:r w:rsidR="004E2EF3">
        <w:t>.</w:t>
      </w:r>
      <w:r w:rsidR="003371F4">
        <w:rPr>
          <w:rStyle w:val="FootnoteReference"/>
        </w:rPr>
        <w:footnoteReference w:id="25"/>
      </w:r>
      <w:r w:rsidR="004E2EF3">
        <w:t xml:space="preserve"> </w:t>
      </w:r>
    </w:p>
    <w:p w14:paraId="02666E5B" w14:textId="5EFED4BE" w:rsidR="00FC4F6C" w:rsidRDefault="00FC4F6C">
      <w:r>
        <w:t>Landscape setting</w:t>
      </w:r>
    </w:p>
    <w:p w14:paraId="5D3ED809" w14:textId="632BB87C" w:rsidR="00561485" w:rsidRDefault="00E60AAC">
      <w:r>
        <w:t xml:space="preserve">The tomb is situated in the Afon Braint valley, which flows past the site to the east. </w:t>
      </w:r>
      <w:r w:rsidR="00630C3B">
        <w:t>It lies within the Blueschist Belt of the Composite Monian terrane and the kerbstones and passage stones are cut from this rare and intricately folded ‘blue tinged’ rock</w:t>
      </w:r>
      <w:r w:rsidR="00A4473A">
        <w:t>.</w:t>
      </w:r>
      <w:r w:rsidR="00A4473A">
        <w:rPr>
          <w:rStyle w:val="FootnoteReference"/>
        </w:rPr>
        <w:footnoteReference w:id="26"/>
      </w:r>
      <w:r w:rsidR="00630C3B">
        <w:t xml:space="preserve"> </w:t>
      </w:r>
      <w:r>
        <w:t>The mountains of Snowdonia are visible approx. 15 km to the SE and there is a</w:t>
      </w:r>
      <w:r w:rsidR="009F6328">
        <w:t xml:space="preserve"> large and significant rock outcrop </w:t>
      </w:r>
      <w:r>
        <w:t>140 m to the NW</w:t>
      </w:r>
      <w:r w:rsidR="00FC4F6C">
        <w:t xml:space="preserve"> (called Gorsedd)</w:t>
      </w:r>
      <w:r>
        <w:t>.</w:t>
      </w:r>
      <w:r w:rsidR="00A4473A">
        <w:rPr>
          <w:rStyle w:val="FootnoteReference"/>
        </w:rPr>
        <w:footnoteReference w:id="27"/>
      </w:r>
      <w:r>
        <w:t xml:space="preserve"> The panorama consists of low lying hills, </w:t>
      </w:r>
      <w:r w:rsidR="00F83D5B">
        <w:t xml:space="preserve">and </w:t>
      </w:r>
      <w:r w:rsidR="00697A3F">
        <w:t>there is a 360 degrees un</w:t>
      </w:r>
      <w:r w:rsidR="00524953">
        <w:t>restricted</w:t>
      </w:r>
      <w:r w:rsidR="00697A3F">
        <w:t xml:space="preserve"> view from the top of the mound</w:t>
      </w:r>
      <w:r w:rsidR="00524953">
        <w:t>, what Cummings refers to as a circular landscape</w:t>
      </w:r>
      <w:r w:rsidR="00A4473A">
        <w:t>.</w:t>
      </w:r>
      <w:r w:rsidR="00A4473A">
        <w:rPr>
          <w:rStyle w:val="FootnoteReference"/>
        </w:rPr>
        <w:footnoteReference w:id="28"/>
      </w:r>
      <w:r w:rsidR="00697A3F">
        <w:t xml:space="preserve">. The </w:t>
      </w:r>
      <w:r w:rsidR="00A4473A">
        <w:t>Irish S</w:t>
      </w:r>
      <w:r>
        <w:t xml:space="preserve">ea is just visible in the SW </w:t>
      </w:r>
      <w:r w:rsidR="00EC0FA8">
        <w:t>and a low line of trees frame most of the horizon today.</w:t>
      </w:r>
      <w:r w:rsidR="00341A97">
        <w:t xml:space="preserve"> It is likely in the middle Neoli</w:t>
      </w:r>
      <w:r w:rsidR="006C2AD1">
        <w:t>thic</w:t>
      </w:r>
      <w:r w:rsidR="00341A97">
        <w:t xml:space="preserve"> that the sight was also surrounded by ‘light woodland.</w:t>
      </w:r>
      <w:r w:rsidR="00A4473A">
        <w:t>’</w:t>
      </w:r>
      <w:r w:rsidR="00A4473A">
        <w:rPr>
          <w:rStyle w:val="FootnoteReference"/>
        </w:rPr>
        <w:footnoteReference w:id="29"/>
      </w:r>
      <w:r w:rsidR="009E229D">
        <w:t xml:space="preserve"> As well as Bryn Celli Wen</w:t>
      </w:r>
      <w:r w:rsidR="00FF4B9A">
        <w:t>,</w:t>
      </w:r>
      <w:r w:rsidR="009E229D">
        <w:t xml:space="preserve"> two standing stones (not visible today) stood near the site, but the most significant feature on the west side of the site is the rock outcrop (Gorsedd) which has 32 cup marks carved into the surface (Figure 1)</w:t>
      </w:r>
      <w:r>
        <w:t>.</w:t>
      </w:r>
      <w:r w:rsidR="00A4473A">
        <w:rPr>
          <w:rStyle w:val="FootnoteReference"/>
        </w:rPr>
        <w:footnoteReference w:id="30"/>
      </w:r>
      <w:r w:rsidR="002F523C">
        <w:t>.</w:t>
      </w:r>
      <w:r w:rsidR="00341A97">
        <w:t xml:space="preserve"> To summarise, rivers, mountains and a natural rock outcrop </w:t>
      </w:r>
      <w:r w:rsidR="006C2AD1">
        <w:t xml:space="preserve">are all significant features of the landscape around </w:t>
      </w:r>
      <w:r w:rsidR="00341A97">
        <w:t>Bryn Celli Ddu</w:t>
      </w:r>
      <w:r w:rsidR="006C2AD1">
        <w:t>, as is the sky, which can be viewed from a 360 degree unrestricted horizon.</w:t>
      </w:r>
      <w:r w:rsidR="00341A97">
        <w:t xml:space="preserve"> </w:t>
      </w:r>
    </w:p>
    <w:p w14:paraId="05D68F01" w14:textId="58F56B9E" w:rsidR="00C10FA8" w:rsidRDefault="00C10FA8">
      <w:r w:rsidRPr="000B264A">
        <w:rPr>
          <w:noProof/>
        </w:rPr>
        <w:lastRenderedPageBreak/>
        <w:drawing>
          <wp:inline distT="0" distB="0" distL="0" distR="0" wp14:anchorId="030BFD52" wp14:editId="07730AA0">
            <wp:extent cx="4044954"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85290" cy="2231836"/>
                    </a:xfrm>
                    <a:prstGeom prst="rect">
                      <a:avLst/>
                    </a:prstGeom>
                    <a:noFill/>
                    <a:ln>
                      <a:noFill/>
                    </a:ln>
                  </pic:spPr>
                </pic:pic>
              </a:graphicData>
            </a:graphic>
          </wp:inline>
        </w:drawing>
      </w:r>
    </w:p>
    <w:p w14:paraId="5A2E791E" w14:textId="3B5A7279" w:rsidR="001A115D" w:rsidRDefault="001A115D">
      <w:r>
        <w:t xml:space="preserve">Figure 1: Landscape setting of Bryn Celli Ddu with other prehistoric sites shown. Image: </w:t>
      </w:r>
      <w:r w:rsidR="00A4473A">
        <w:t xml:space="preserve">Steve </w:t>
      </w:r>
      <w:r>
        <w:t>Burrows</w:t>
      </w:r>
    </w:p>
    <w:p w14:paraId="717AAED0" w14:textId="7CC5B139" w:rsidR="008A14F4" w:rsidRDefault="006C2AD1">
      <w:r>
        <w:t>Field survey results</w:t>
      </w:r>
    </w:p>
    <w:p w14:paraId="5D8053A5" w14:textId="2EE7BC35" w:rsidR="00F46856" w:rsidRDefault="00D9522E">
      <w:r>
        <w:t xml:space="preserve">Using Google Earth, I established a </w:t>
      </w:r>
      <w:r w:rsidR="00B575CB">
        <w:t>l</w:t>
      </w:r>
      <w:r w:rsidR="00FA3DB5">
        <w:t xml:space="preserve">atitude reading of </w:t>
      </w:r>
      <w:r w:rsidR="00BD0744">
        <w:t>53.2</w:t>
      </w:r>
      <w:r w:rsidR="00454A7C">
        <w:t>07713 N and longitude of -4.236142 W</w:t>
      </w:r>
      <w:r w:rsidR="00A53B29">
        <w:t xml:space="preserve"> for the middle of the mound</w:t>
      </w:r>
      <w:r w:rsidR="00F46856">
        <w:t xml:space="preserve">, as shown in </w:t>
      </w:r>
      <w:r w:rsidR="005C257F">
        <w:t>Fig</w:t>
      </w:r>
      <w:r w:rsidR="001A115D">
        <w:t>ure</w:t>
      </w:r>
      <w:r w:rsidR="005C257F">
        <w:t xml:space="preserve"> </w:t>
      </w:r>
      <w:r w:rsidR="001A115D">
        <w:t>2</w:t>
      </w:r>
      <w:r w:rsidR="00F46856">
        <w:t xml:space="preserve">, and </w:t>
      </w:r>
      <w:r w:rsidR="001768A5">
        <w:t xml:space="preserve">a tomb azimuth of 52.54 degrees as a frame of </w:t>
      </w:r>
      <w:r w:rsidR="00F46856">
        <w:t>reference.</w:t>
      </w:r>
    </w:p>
    <w:p w14:paraId="0E888375" w14:textId="64C5F286" w:rsidR="001768A5" w:rsidRDefault="005467E2">
      <w:r>
        <w:t xml:space="preserve"> </w:t>
      </w:r>
      <w:r w:rsidR="001768A5">
        <w:rPr>
          <w:noProof/>
        </w:rPr>
        <w:drawing>
          <wp:inline distT="0" distB="0" distL="0" distR="0" wp14:anchorId="4E9D2F7D" wp14:editId="602CFECE">
            <wp:extent cx="3810000" cy="2552523"/>
            <wp:effectExtent l="0" t="0" r="0" b="635"/>
            <wp:docPr id="2" name="Picture 2"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8920" cy="2565198"/>
                    </a:xfrm>
                    <a:prstGeom prst="rect">
                      <a:avLst/>
                    </a:prstGeom>
                    <a:noFill/>
                    <a:ln>
                      <a:noFill/>
                    </a:ln>
                  </pic:spPr>
                </pic:pic>
              </a:graphicData>
            </a:graphic>
          </wp:inline>
        </w:drawing>
      </w:r>
    </w:p>
    <w:p w14:paraId="340CA634" w14:textId="44C08C85" w:rsidR="00220F1D" w:rsidRDefault="00220F1D">
      <w:r>
        <w:t xml:space="preserve">Figure 2: </w:t>
      </w:r>
      <w:r w:rsidR="00F46856">
        <w:t>Bryn Celli Ddu as seen from Google Earth</w:t>
      </w:r>
    </w:p>
    <w:p w14:paraId="6474781A" w14:textId="425B1C88" w:rsidR="00BA2DE7" w:rsidRDefault="00FF4B9A" w:rsidP="00BA2DE7">
      <w:r>
        <w:t>I obtained m</w:t>
      </w:r>
      <w:r w:rsidR="001A115D">
        <w:t>aximum and minimum azimuth values using</w:t>
      </w:r>
      <w:r w:rsidR="00716F9E">
        <w:t xml:space="preserve"> </w:t>
      </w:r>
      <w:r w:rsidR="001768A5">
        <w:t xml:space="preserve">the window of visibility approach </w:t>
      </w:r>
      <w:r>
        <w:t>at</w:t>
      </w:r>
      <w:r w:rsidR="001768A5">
        <w:t xml:space="preserve"> 54.</w:t>
      </w:r>
      <w:r>
        <w:t>5</w:t>
      </w:r>
      <w:r w:rsidR="001768A5">
        <w:t xml:space="preserve"> (max) and 50.5 (min). </w:t>
      </w:r>
      <w:r w:rsidR="00AF6A37">
        <w:t>According to NOA, the difference in magnetic and true declination fo</w:t>
      </w:r>
      <w:r w:rsidR="001768A5">
        <w:t>r t</w:t>
      </w:r>
      <w:r w:rsidR="00AF6A37">
        <w:t>his location on 14</w:t>
      </w:r>
      <w:r w:rsidR="00AF6A37" w:rsidRPr="00AF6A37">
        <w:rPr>
          <w:vertAlign w:val="superscript"/>
        </w:rPr>
        <w:t>th</w:t>
      </w:r>
      <w:r w:rsidR="00AF6A37">
        <w:t xml:space="preserve"> April was 1.2</w:t>
      </w:r>
      <w:r w:rsidR="005C6403">
        <w:t xml:space="preserve"> W</w:t>
      </w:r>
      <w:r w:rsidR="0001098D">
        <w:t xml:space="preserve">, so I </w:t>
      </w:r>
      <w:r w:rsidR="005C6403">
        <w:t>subtracted this</w:t>
      </w:r>
      <w:r w:rsidR="0001098D">
        <w:t xml:space="preserve"> </w:t>
      </w:r>
      <w:r w:rsidR="00F46856">
        <w:t xml:space="preserve">value from </w:t>
      </w:r>
      <w:r w:rsidR="0001098D">
        <w:t xml:space="preserve">my readings to </w:t>
      </w:r>
      <w:r w:rsidR="007C584A">
        <w:t xml:space="preserve">get </w:t>
      </w:r>
      <w:r w:rsidR="00C93675">
        <w:t>53.3 and 49.2</w:t>
      </w:r>
      <w:r w:rsidR="00F46856">
        <w:t xml:space="preserve"> degrees</w:t>
      </w:r>
      <w:r w:rsidR="001617BD">
        <w:t>.</w:t>
      </w:r>
      <w:r w:rsidR="00A551FA">
        <w:rPr>
          <w:rStyle w:val="FootnoteReference"/>
        </w:rPr>
        <w:footnoteReference w:id="31"/>
      </w:r>
      <w:r w:rsidR="001617BD">
        <w:t xml:space="preserve"> </w:t>
      </w:r>
      <w:r w:rsidR="008423A3">
        <w:t xml:space="preserve"> I took a</w:t>
      </w:r>
      <w:r w:rsidR="00A3627C">
        <w:t>n altitude reading of 2.53 degrees of the horizon</w:t>
      </w:r>
      <w:r w:rsidR="00F46856">
        <w:t xml:space="preserve"> from the tomb opening</w:t>
      </w:r>
      <w:r w:rsidR="00A3627C">
        <w:t>. However</w:t>
      </w:r>
      <w:r w:rsidR="00F46856">
        <w:t>,</w:t>
      </w:r>
      <w:r w:rsidR="00A3627C">
        <w:t xml:space="preserve"> visibility was obscured by a building, so I used HeyWhatsThat to obtain a more accurate</w:t>
      </w:r>
      <w:r w:rsidR="005C257F">
        <w:t xml:space="preserve"> altitude reading for the two azimuths</w:t>
      </w:r>
      <w:r w:rsidR="00632D2C">
        <w:t xml:space="preserve"> (see </w:t>
      </w:r>
      <w:r w:rsidR="001768A5">
        <w:t>Figures</w:t>
      </w:r>
      <w:r w:rsidR="00220F1D">
        <w:t xml:space="preserve"> 3</w:t>
      </w:r>
      <w:r w:rsidR="00632D2C">
        <w:t xml:space="preserve"> and </w:t>
      </w:r>
      <w:r w:rsidR="00220F1D">
        <w:t>4</w:t>
      </w:r>
      <w:r w:rsidR="00632D2C">
        <w:t>)</w:t>
      </w:r>
      <w:r w:rsidR="00466AFE">
        <w:t>, then</w:t>
      </w:r>
      <w:r w:rsidR="00322D74">
        <w:t xml:space="preserve"> </w:t>
      </w:r>
      <w:r w:rsidR="00F46856">
        <w:t xml:space="preserve">calculated </w:t>
      </w:r>
      <w:r w:rsidR="00B667F4">
        <w:t xml:space="preserve">declination values as </w:t>
      </w:r>
      <w:r w:rsidR="00BA2DE7">
        <w:t xml:space="preserve">below. </w:t>
      </w:r>
    </w:p>
    <w:p w14:paraId="7391BB4B" w14:textId="63306EE3" w:rsidR="00A74F4A" w:rsidRDefault="00A74F4A"/>
    <w:tbl>
      <w:tblPr>
        <w:tblStyle w:val="TableGrid"/>
        <w:tblW w:w="0" w:type="auto"/>
        <w:tblLook w:val="04A0" w:firstRow="1" w:lastRow="0" w:firstColumn="1" w:lastColumn="0" w:noHBand="0" w:noVBand="1"/>
      </w:tblPr>
      <w:tblGrid>
        <w:gridCol w:w="2254"/>
        <w:gridCol w:w="2254"/>
        <w:gridCol w:w="2254"/>
        <w:gridCol w:w="2254"/>
      </w:tblGrid>
      <w:tr w:rsidR="00A74F4A" w14:paraId="0665033D" w14:textId="77777777" w:rsidTr="00A74F4A">
        <w:tc>
          <w:tcPr>
            <w:tcW w:w="2254" w:type="dxa"/>
          </w:tcPr>
          <w:p w14:paraId="6E1B6102" w14:textId="14B794C0" w:rsidR="00A74F4A" w:rsidRDefault="008B5C7A">
            <w:r>
              <w:lastRenderedPageBreak/>
              <w:t>Azimuth</w:t>
            </w:r>
            <w:r w:rsidR="001A115D">
              <w:t xml:space="preserve"> </w:t>
            </w:r>
          </w:p>
        </w:tc>
        <w:tc>
          <w:tcPr>
            <w:tcW w:w="2254" w:type="dxa"/>
          </w:tcPr>
          <w:p w14:paraId="2B65886F" w14:textId="4BE7E899" w:rsidR="00A74F4A" w:rsidRDefault="008B5C7A">
            <w:r>
              <w:t>Altitude</w:t>
            </w:r>
          </w:p>
        </w:tc>
        <w:tc>
          <w:tcPr>
            <w:tcW w:w="2254" w:type="dxa"/>
          </w:tcPr>
          <w:p w14:paraId="712FC3CB" w14:textId="28209874" w:rsidR="00A74F4A" w:rsidRDefault="00BA63AC">
            <w:r>
              <w:t>Latitude</w:t>
            </w:r>
          </w:p>
        </w:tc>
        <w:tc>
          <w:tcPr>
            <w:tcW w:w="2254" w:type="dxa"/>
          </w:tcPr>
          <w:p w14:paraId="507728CC" w14:textId="2F1BF9A1" w:rsidR="00A74F4A" w:rsidRDefault="00965548">
            <w:r>
              <w:t>Declination</w:t>
            </w:r>
          </w:p>
        </w:tc>
      </w:tr>
      <w:tr w:rsidR="00A74F4A" w14:paraId="0DE5FBC7" w14:textId="77777777" w:rsidTr="00A74F4A">
        <w:tc>
          <w:tcPr>
            <w:tcW w:w="2254" w:type="dxa"/>
          </w:tcPr>
          <w:p w14:paraId="6C39E890" w14:textId="3A4BF3A6" w:rsidR="00A74F4A" w:rsidRDefault="00965548">
            <w:r>
              <w:t>49</w:t>
            </w:r>
            <w:r w:rsidR="006E475A">
              <w:t>.0</w:t>
            </w:r>
            <w:r w:rsidR="001A115D">
              <w:t xml:space="preserve"> (min)</w:t>
            </w:r>
          </w:p>
        </w:tc>
        <w:tc>
          <w:tcPr>
            <w:tcW w:w="2254" w:type="dxa"/>
          </w:tcPr>
          <w:p w14:paraId="049BDF5E" w14:textId="229EFE41" w:rsidR="00A74F4A" w:rsidRDefault="001D105F">
            <w:r>
              <w:t>1.17</w:t>
            </w:r>
          </w:p>
        </w:tc>
        <w:tc>
          <w:tcPr>
            <w:tcW w:w="2254" w:type="dxa"/>
          </w:tcPr>
          <w:p w14:paraId="6AD4C0C9" w14:textId="48CA48A6" w:rsidR="00A74F4A" w:rsidRDefault="00595722">
            <w:r>
              <w:t>53.207713</w:t>
            </w:r>
          </w:p>
        </w:tc>
        <w:tc>
          <w:tcPr>
            <w:tcW w:w="2254" w:type="dxa"/>
          </w:tcPr>
          <w:p w14:paraId="7EF4BC3A" w14:textId="1395CE32" w:rsidR="00A74F4A" w:rsidRDefault="00595722">
            <w:r>
              <w:t>24.15420851</w:t>
            </w:r>
          </w:p>
        </w:tc>
      </w:tr>
      <w:tr w:rsidR="001D105F" w14:paraId="7EB3BDB4" w14:textId="77777777" w:rsidTr="00A74F4A">
        <w:tc>
          <w:tcPr>
            <w:tcW w:w="2254" w:type="dxa"/>
          </w:tcPr>
          <w:p w14:paraId="44A2BEC3" w14:textId="5221EE0D" w:rsidR="001D105F" w:rsidRDefault="001D105F">
            <w:r>
              <w:t>53</w:t>
            </w:r>
            <w:r w:rsidR="006E475A">
              <w:t>.0</w:t>
            </w:r>
            <w:r w:rsidR="001A115D">
              <w:t xml:space="preserve"> (max)</w:t>
            </w:r>
          </w:p>
        </w:tc>
        <w:tc>
          <w:tcPr>
            <w:tcW w:w="2254" w:type="dxa"/>
          </w:tcPr>
          <w:p w14:paraId="327D2112" w14:textId="0B65A445" w:rsidR="001D105F" w:rsidRDefault="001D105F">
            <w:r>
              <w:t>1.31</w:t>
            </w:r>
          </w:p>
        </w:tc>
        <w:tc>
          <w:tcPr>
            <w:tcW w:w="2254" w:type="dxa"/>
          </w:tcPr>
          <w:p w14:paraId="056A8E67" w14:textId="5998E0BE" w:rsidR="001D105F" w:rsidRDefault="00057C80">
            <w:r>
              <w:t>53.207713</w:t>
            </w:r>
          </w:p>
        </w:tc>
        <w:tc>
          <w:tcPr>
            <w:tcW w:w="2254" w:type="dxa"/>
          </w:tcPr>
          <w:p w14:paraId="63E5B73E" w14:textId="7E9843ED" w:rsidR="001D105F" w:rsidRDefault="00057C80">
            <w:r>
              <w:t>22.</w:t>
            </w:r>
            <w:r w:rsidR="00915945">
              <w:t>2</w:t>
            </w:r>
            <w:r>
              <w:t>5010675</w:t>
            </w:r>
          </w:p>
        </w:tc>
      </w:tr>
      <w:tr w:rsidR="00632D2C" w14:paraId="40C75B1C" w14:textId="77777777" w:rsidTr="00A74F4A">
        <w:tc>
          <w:tcPr>
            <w:tcW w:w="2254" w:type="dxa"/>
          </w:tcPr>
          <w:p w14:paraId="5396F214" w14:textId="77777777" w:rsidR="00632D2C" w:rsidRDefault="00632D2C"/>
        </w:tc>
        <w:tc>
          <w:tcPr>
            <w:tcW w:w="2254" w:type="dxa"/>
          </w:tcPr>
          <w:p w14:paraId="60D1DDB4" w14:textId="77777777" w:rsidR="00632D2C" w:rsidRDefault="00632D2C"/>
        </w:tc>
        <w:tc>
          <w:tcPr>
            <w:tcW w:w="2254" w:type="dxa"/>
          </w:tcPr>
          <w:p w14:paraId="6E332691" w14:textId="77777777" w:rsidR="00632D2C" w:rsidRDefault="00632D2C"/>
        </w:tc>
        <w:tc>
          <w:tcPr>
            <w:tcW w:w="2254" w:type="dxa"/>
          </w:tcPr>
          <w:p w14:paraId="3B5B8342" w14:textId="77777777" w:rsidR="00632D2C" w:rsidRDefault="00632D2C"/>
        </w:tc>
      </w:tr>
      <w:tr w:rsidR="00EF43D4" w14:paraId="445F39AD" w14:textId="77777777" w:rsidTr="00A74F4A">
        <w:tc>
          <w:tcPr>
            <w:tcW w:w="2254" w:type="dxa"/>
          </w:tcPr>
          <w:p w14:paraId="720BA86D" w14:textId="77777777" w:rsidR="00EF43D4" w:rsidRDefault="00EF43D4"/>
        </w:tc>
        <w:tc>
          <w:tcPr>
            <w:tcW w:w="2254" w:type="dxa"/>
          </w:tcPr>
          <w:p w14:paraId="444961C6" w14:textId="77777777" w:rsidR="00EF43D4" w:rsidRDefault="00EF43D4"/>
        </w:tc>
        <w:tc>
          <w:tcPr>
            <w:tcW w:w="2254" w:type="dxa"/>
          </w:tcPr>
          <w:p w14:paraId="4E38C35E" w14:textId="77777777" w:rsidR="00EF43D4" w:rsidRDefault="00EF43D4"/>
        </w:tc>
        <w:tc>
          <w:tcPr>
            <w:tcW w:w="2254" w:type="dxa"/>
          </w:tcPr>
          <w:p w14:paraId="72ABD033" w14:textId="77777777" w:rsidR="00EF43D4" w:rsidRDefault="00EF43D4"/>
        </w:tc>
      </w:tr>
    </w:tbl>
    <w:p w14:paraId="20DDEBAF" w14:textId="77777777" w:rsidR="00EF43D4" w:rsidRDefault="00EF43D4" w:rsidP="00EF43D4"/>
    <w:p w14:paraId="0F4F7287" w14:textId="17513153" w:rsidR="00EF43D4" w:rsidRDefault="00EF43D4" w:rsidP="00EF43D4">
      <w:r>
        <w:t>Using reference tables, I looked up solar declination values. Today the solar declination value for 21</w:t>
      </w:r>
      <w:r w:rsidRPr="00226EE2">
        <w:rPr>
          <w:vertAlign w:val="superscript"/>
        </w:rPr>
        <w:t>st</w:t>
      </w:r>
      <w:r>
        <w:t xml:space="preserve"> June is 23.44 degrees, and according to Silva, in 3000 BC when the monument was likely constructed, solar declination was 24.02 degrees, reducing to 23.98 in in 2500 BC and 23.92 in 2000 BC. </w:t>
      </w:r>
      <w:r>
        <w:rPr>
          <w:rStyle w:val="FootnoteReference"/>
        </w:rPr>
        <w:footnoteReference w:id="32"/>
      </w:r>
      <w:r w:rsidRPr="00EF43D4">
        <w:t xml:space="preserve"> </w:t>
      </w:r>
      <w:r>
        <w:t>In terms of fixed stars, in 3000 BCE Regulus had a declination of 23.89 degrees, which also falls within the measured window of visibility.</w:t>
      </w:r>
    </w:p>
    <w:p w14:paraId="3B322F5A" w14:textId="77777777" w:rsidR="00EF43D4" w:rsidRDefault="00EF43D4"/>
    <w:p w14:paraId="7672322F" w14:textId="14347326" w:rsidR="00220F1D" w:rsidRDefault="00220F1D">
      <w:r>
        <w:rPr>
          <w:noProof/>
        </w:rPr>
        <w:drawing>
          <wp:inline distT="0" distB="0" distL="0" distR="0" wp14:anchorId="0F0F8FB9" wp14:editId="44A23658">
            <wp:extent cx="5181600" cy="2299744"/>
            <wp:effectExtent l="0" t="0" r="0" b="5715"/>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1966" cy="2304345"/>
                    </a:xfrm>
                    <a:prstGeom prst="rect">
                      <a:avLst/>
                    </a:prstGeom>
                    <a:noFill/>
                    <a:ln>
                      <a:noFill/>
                    </a:ln>
                  </pic:spPr>
                </pic:pic>
              </a:graphicData>
            </a:graphic>
          </wp:inline>
        </w:drawing>
      </w:r>
    </w:p>
    <w:p w14:paraId="413CD5D8" w14:textId="00C7DFF1" w:rsidR="00220F1D" w:rsidRDefault="00220F1D">
      <w:r>
        <w:t>Figure 3: Screen Shot of reading from HeyWhatsThat showing an altitude of 1.17 degrees at azimuth 49 degrees.</w:t>
      </w:r>
    </w:p>
    <w:p w14:paraId="0EE6D8AD" w14:textId="32E4974A" w:rsidR="00220F1D" w:rsidRDefault="00220F1D">
      <w:r>
        <w:rPr>
          <w:noProof/>
        </w:rPr>
        <w:drawing>
          <wp:inline distT="0" distB="0" distL="0" distR="0" wp14:anchorId="10A45098" wp14:editId="0470B432">
            <wp:extent cx="5731510" cy="2602865"/>
            <wp:effectExtent l="0" t="0" r="2540" b="6985"/>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02865"/>
                    </a:xfrm>
                    <a:prstGeom prst="rect">
                      <a:avLst/>
                    </a:prstGeom>
                    <a:noFill/>
                    <a:ln>
                      <a:noFill/>
                    </a:ln>
                  </pic:spPr>
                </pic:pic>
              </a:graphicData>
            </a:graphic>
          </wp:inline>
        </w:drawing>
      </w:r>
    </w:p>
    <w:p w14:paraId="068CB8EB" w14:textId="315A331C" w:rsidR="007259D3" w:rsidRDefault="007259D3">
      <w:r>
        <w:lastRenderedPageBreak/>
        <w:t>Figure 4: Scree shot from HeyWhatsthat showing an azimuth of 53 degrees and an altitude of 1.31 degrees.</w:t>
      </w:r>
    </w:p>
    <w:p w14:paraId="7A36245D" w14:textId="04DFDEF0" w:rsidR="004F6AC1" w:rsidRDefault="00040E42">
      <w:r>
        <w:t xml:space="preserve">I took panorama photos round the site </w:t>
      </w:r>
      <w:r w:rsidR="00134F1B">
        <w:t>and surveyed the horizon, noting that the mountains of Snowdonia were clearly visible to the SE.</w:t>
      </w:r>
      <w:r w:rsidR="00367DEB">
        <w:t xml:space="preserve"> </w:t>
      </w:r>
      <w:r w:rsidR="00BF6CBE">
        <w:t>As can be seen in Fi</w:t>
      </w:r>
      <w:r w:rsidR="007259D3">
        <w:t xml:space="preserve">gures 3 </w:t>
      </w:r>
      <w:r w:rsidR="00BF6CBE">
        <w:t xml:space="preserve">and </w:t>
      </w:r>
      <w:r w:rsidR="007259D3">
        <w:t>4</w:t>
      </w:r>
      <w:r w:rsidR="00BF6CBE">
        <w:t xml:space="preserve">, </w:t>
      </w:r>
      <w:r w:rsidR="007465D0">
        <w:t>there is a gap in the mountains (the Llanberis pass)</w:t>
      </w:r>
      <w:r w:rsidR="00B61854">
        <w:t xml:space="preserve">, </w:t>
      </w:r>
      <w:r w:rsidR="00E27142">
        <w:t xml:space="preserve">so I took </w:t>
      </w:r>
      <w:r w:rsidR="007259D3">
        <w:t xml:space="preserve">azimuth and altitude measurements using </w:t>
      </w:r>
      <w:r w:rsidR="00A773B5">
        <w:t>HeyWhatsThat (see also Fig</w:t>
      </w:r>
      <w:r w:rsidR="007259D3">
        <w:t>ure 5 below</w:t>
      </w:r>
      <w:r w:rsidR="00A773B5">
        <w:t>)</w:t>
      </w:r>
      <w:r w:rsidR="007457C7">
        <w:t xml:space="preserve">. </w:t>
      </w:r>
    </w:p>
    <w:tbl>
      <w:tblPr>
        <w:tblStyle w:val="TableGrid"/>
        <w:tblW w:w="0" w:type="auto"/>
        <w:tblLook w:val="04A0" w:firstRow="1" w:lastRow="0" w:firstColumn="1" w:lastColumn="0" w:noHBand="0" w:noVBand="1"/>
      </w:tblPr>
      <w:tblGrid>
        <w:gridCol w:w="2254"/>
        <w:gridCol w:w="2254"/>
        <w:gridCol w:w="2254"/>
        <w:gridCol w:w="2254"/>
      </w:tblGrid>
      <w:tr w:rsidR="00B61854" w14:paraId="15BEA3C3" w14:textId="77777777" w:rsidTr="00B61854">
        <w:tc>
          <w:tcPr>
            <w:tcW w:w="2254" w:type="dxa"/>
          </w:tcPr>
          <w:p w14:paraId="26FCD0A4" w14:textId="05CC4139" w:rsidR="00B61854" w:rsidRDefault="00B61854">
            <w:r>
              <w:t>Azimuth</w:t>
            </w:r>
            <w:r w:rsidR="007457C7">
              <w:t xml:space="preserve"> </w:t>
            </w:r>
          </w:p>
        </w:tc>
        <w:tc>
          <w:tcPr>
            <w:tcW w:w="2254" w:type="dxa"/>
          </w:tcPr>
          <w:p w14:paraId="4BDCDEC5" w14:textId="26441969" w:rsidR="00B61854" w:rsidRDefault="00B61854">
            <w:r>
              <w:t>Altitude</w:t>
            </w:r>
          </w:p>
        </w:tc>
        <w:tc>
          <w:tcPr>
            <w:tcW w:w="2254" w:type="dxa"/>
          </w:tcPr>
          <w:p w14:paraId="735B186F" w14:textId="14B07F75" w:rsidR="00B61854" w:rsidRDefault="00B61854">
            <w:r>
              <w:t>Latitude</w:t>
            </w:r>
          </w:p>
        </w:tc>
        <w:tc>
          <w:tcPr>
            <w:tcW w:w="2254" w:type="dxa"/>
          </w:tcPr>
          <w:p w14:paraId="08C5579C" w14:textId="12A6B71D" w:rsidR="00B61854" w:rsidRDefault="00151B59">
            <w:r>
              <w:t>Declination</w:t>
            </w:r>
          </w:p>
        </w:tc>
      </w:tr>
      <w:tr w:rsidR="00B61854" w14:paraId="3CA04968" w14:textId="77777777" w:rsidTr="00B61854">
        <w:tc>
          <w:tcPr>
            <w:tcW w:w="2254" w:type="dxa"/>
          </w:tcPr>
          <w:p w14:paraId="4D9D2A22" w14:textId="3101F0FC" w:rsidR="00B61854" w:rsidRDefault="00C21611">
            <w:r>
              <w:t>136</w:t>
            </w:r>
            <w:r w:rsidR="00EF43D4">
              <w:t xml:space="preserve"> (min)</w:t>
            </w:r>
          </w:p>
        </w:tc>
        <w:tc>
          <w:tcPr>
            <w:tcW w:w="2254" w:type="dxa"/>
          </w:tcPr>
          <w:p w14:paraId="21664055" w14:textId="10955927" w:rsidR="00B61854" w:rsidRDefault="00C21611">
            <w:r>
              <w:t>2.48</w:t>
            </w:r>
          </w:p>
        </w:tc>
        <w:tc>
          <w:tcPr>
            <w:tcW w:w="2254" w:type="dxa"/>
          </w:tcPr>
          <w:p w14:paraId="6ABEB885" w14:textId="1C513358" w:rsidR="00B61854" w:rsidRDefault="00C21611">
            <w:r>
              <w:t>53.207713</w:t>
            </w:r>
          </w:p>
        </w:tc>
        <w:tc>
          <w:tcPr>
            <w:tcW w:w="2254" w:type="dxa"/>
          </w:tcPr>
          <w:p w14:paraId="31B9B6A3" w14:textId="68028010" w:rsidR="00B61854" w:rsidRDefault="007B0583">
            <w:r>
              <w:t>-23.3139308</w:t>
            </w:r>
          </w:p>
        </w:tc>
      </w:tr>
      <w:tr w:rsidR="00B61854" w14:paraId="2A2D5A7E" w14:textId="77777777" w:rsidTr="00B61854">
        <w:tc>
          <w:tcPr>
            <w:tcW w:w="2254" w:type="dxa"/>
          </w:tcPr>
          <w:p w14:paraId="6C2CEB7A" w14:textId="6E6312E8" w:rsidR="00B61854" w:rsidRDefault="00C21611">
            <w:r>
              <w:t>139</w:t>
            </w:r>
            <w:r w:rsidR="00EF43D4">
              <w:t xml:space="preserve"> (max)</w:t>
            </w:r>
          </w:p>
        </w:tc>
        <w:tc>
          <w:tcPr>
            <w:tcW w:w="2254" w:type="dxa"/>
          </w:tcPr>
          <w:p w14:paraId="12529937" w14:textId="57113C5A" w:rsidR="00B61854" w:rsidRDefault="00C21611">
            <w:r>
              <w:t>2.48</w:t>
            </w:r>
          </w:p>
        </w:tc>
        <w:tc>
          <w:tcPr>
            <w:tcW w:w="2254" w:type="dxa"/>
          </w:tcPr>
          <w:p w14:paraId="05CC8A0F" w14:textId="1DE4A4CF" w:rsidR="00B61854" w:rsidRDefault="00C21611">
            <w:r>
              <w:t>53.207713</w:t>
            </w:r>
          </w:p>
        </w:tc>
        <w:tc>
          <w:tcPr>
            <w:tcW w:w="2254" w:type="dxa"/>
          </w:tcPr>
          <w:p w14:paraId="12D901F9" w14:textId="4B500A4C" w:rsidR="00B61854" w:rsidRDefault="00710832">
            <w:r>
              <w:t>-24.64107302</w:t>
            </w:r>
          </w:p>
        </w:tc>
      </w:tr>
    </w:tbl>
    <w:p w14:paraId="0468CF00" w14:textId="7FC5CCA4" w:rsidR="007259D3" w:rsidRDefault="007259D3"/>
    <w:p w14:paraId="62489CE6" w14:textId="0B928754" w:rsidR="007259D3" w:rsidRDefault="007259D3">
      <w:r>
        <w:rPr>
          <w:noProof/>
        </w:rPr>
        <w:drawing>
          <wp:inline distT="0" distB="0" distL="0" distR="0" wp14:anchorId="365D9832" wp14:editId="36378914">
            <wp:extent cx="5731510" cy="2657475"/>
            <wp:effectExtent l="0" t="0" r="2540" b="9525"/>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inline>
        </w:drawing>
      </w:r>
    </w:p>
    <w:p w14:paraId="18A830CA" w14:textId="55DB2EAB" w:rsidR="007259D3" w:rsidRDefault="007259D3">
      <w:r>
        <w:t>Figure 5: Screen shot from HeyWhatsThat showing an altitude o</w:t>
      </w:r>
      <w:r w:rsidR="007457C7">
        <w:t>f 2.48 at an azimuth of 136 degrees in the gap between the mountains (Llanberis pass)</w:t>
      </w:r>
    </w:p>
    <w:p w14:paraId="2188FA18" w14:textId="2BE73C0D" w:rsidR="006A7406" w:rsidRDefault="00047AA5">
      <w:r>
        <w:t xml:space="preserve">The results show a clear correlation with a </w:t>
      </w:r>
      <w:r w:rsidR="006F4B20">
        <w:t>winter solstice sunrise declination</w:t>
      </w:r>
      <w:r>
        <w:t>,</w:t>
      </w:r>
      <w:r w:rsidR="00A931A8">
        <w:t xml:space="preserve"> </w:t>
      </w:r>
      <w:r w:rsidR="001C6F78">
        <w:t xml:space="preserve">which </w:t>
      </w:r>
      <w:r>
        <w:t xml:space="preserve">is </w:t>
      </w:r>
      <w:r w:rsidR="001C6F78">
        <w:t xml:space="preserve"> -2</w:t>
      </w:r>
      <w:r w:rsidR="00DE29D3">
        <w:t xml:space="preserve">3.44 degrees today </w:t>
      </w:r>
      <w:r>
        <w:t>and would have been</w:t>
      </w:r>
      <w:r w:rsidR="00DE29D3">
        <w:t xml:space="preserve"> – 24.02 degrees in the year 3000 BC.</w:t>
      </w:r>
      <w:r w:rsidR="00C10CDE">
        <w:t xml:space="preserve"> </w:t>
      </w:r>
      <w:r w:rsidR="00EC2479">
        <w:t xml:space="preserve">If the summer and winter solstice sunrise could be mapped from the tomb, it follows that the </w:t>
      </w:r>
      <w:r w:rsidR="00FF7AEF">
        <w:t>summer and winter solstice</w:t>
      </w:r>
      <w:r>
        <w:t xml:space="preserve"> sunsets could also be calculated, as</w:t>
      </w:r>
      <w:r w:rsidR="00FF7AEF">
        <w:t xml:space="preserve"> they would be exactly 180 degrees in the other direction</w:t>
      </w:r>
      <w:r>
        <w:t xml:space="preserve"> (i.e. opposite)</w:t>
      </w:r>
      <w:r w:rsidR="00FF7AEF">
        <w:t xml:space="preserve">. Indeed, a prominent dip in the landscape corresponds exactly to </w:t>
      </w:r>
      <w:r w:rsidR="00BA3BD0">
        <w:t xml:space="preserve">the direction of </w:t>
      </w:r>
      <w:r>
        <w:t>winter solstice</w:t>
      </w:r>
      <w:r w:rsidR="00BA3BD0">
        <w:t xml:space="preserve"> </w:t>
      </w:r>
      <w:r w:rsidR="00FF7AEF">
        <w:t>sunset</w:t>
      </w:r>
      <w:r w:rsidR="007270EC">
        <w:t xml:space="preserve"> (</w:t>
      </w:r>
      <w:r w:rsidR="00BA2DE7">
        <w:t>see Figure 6</w:t>
      </w:r>
      <w:r w:rsidR="007270EC">
        <w:t>)</w:t>
      </w:r>
      <w:r>
        <w:t xml:space="preserve">, </w:t>
      </w:r>
      <w:r w:rsidR="00134F1B">
        <w:t xml:space="preserve">and the direction of </w:t>
      </w:r>
      <w:r>
        <w:t>summer</w:t>
      </w:r>
      <w:r w:rsidR="00A551FA">
        <w:t xml:space="preserve"> solstice sunset</w:t>
      </w:r>
      <w:r w:rsidR="007270EC">
        <w:t xml:space="preserve"> </w:t>
      </w:r>
      <w:r w:rsidR="00134F1B">
        <w:t xml:space="preserve">lines up with </w:t>
      </w:r>
      <w:r w:rsidR="007270EC">
        <w:t>Gorsedd</w:t>
      </w:r>
      <w:r>
        <w:t>, in the NW.</w:t>
      </w:r>
    </w:p>
    <w:p w14:paraId="3530C963" w14:textId="59B0DCC4" w:rsidR="00BA2DE7" w:rsidRDefault="00BA2DE7">
      <w:r>
        <w:rPr>
          <w:noProof/>
        </w:rPr>
        <w:lastRenderedPageBreak/>
        <w:drawing>
          <wp:inline distT="0" distB="0" distL="0" distR="0" wp14:anchorId="769053F8" wp14:editId="228AA1B3">
            <wp:extent cx="5731510" cy="2446655"/>
            <wp:effectExtent l="0" t="0" r="2540" b="0"/>
            <wp:docPr id="6" name="Picture 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46655"/>
                    </a:xfrm>
                    <a:prstGeom prst="rect">
                      <a:avLst/>
                    </a:prstGeom>
                    <a:noFill/>
                    <a:ln>
                      <a:noFill/>
                    </a:ln>
                  </pic:spPr>
                </pic:pic>
              </a:graphicData>
            </a:graphic>
          </wp:inline>
        </w:drawing>
      </w:r>
    </w:p>
    <w:p w14:paraId="20D70787" w14:textId="1A3376D5" w:rsidR="0015364F" w:rsidRDefault="00BA2DE7">
      <w:r>
        <w:t xml:space="preserve">Figure 6: HeyWhatsThat screen shot at azimuth 229 showing an altitude of 0.36 degrees </w:t>
      </w:r>
    </w:p>
    <w:p w14:paraId="52DD4876" w14:textId="574ACF3C" w:rsidR="00B51F4E" w:rsidRDefault="00BA2DE7">
      <w:r>
        <w:t xml:space="preserve">To summarise, </w:t>
      </w:r>
      <w:r w:rsidR="00B51F4E">
        <w:t xml:space="preserve">within </w:t>
      </w:r>
      <w:r w:rsidR="00134F1B">
        <w:t>one</w:t>
      </w:r>
      <w:r w:rsidR="00B51F4E">
        <w:t xml:space="preserve"> </w:t>
      </w:r>
      <w:r>
        <w:t xml:space="preserve">degree of accuracy, a </w:t>
      </w:r>
      <w:r w:rsidR="00E171B1">
        <w:t xml:space="preserve">view of the </w:t>
      </w:r>
      <w:r w:rsidR="00B51F4E">
        <w:t>summer solstice sunrise</w:t>
      </w:r>
      <w:r w:rsidR="00E171B1">
        <w:t xml:space="preserve"> (NE)</w:t>
      </w:r>
      <w:r w:rsidR="00B51F4E">
        <w:t xml:space="preserve"> </w:t>
      </w:r>
      <w:r>
        <w:t xml:space="preserve">from the window of visibility of the tomb during the </w:t>
      </w:r>
      <w:r w:rsidR="00B51F4E">
        <w:t>Neolithic when the tomb was in use</w:t>
      </w:r>
      <w:r w:rsidR="00E171B1">
        <w:t xml:space="preserve"> has been demonstrated. F</w:t>
      </w:r>
      <w:r w:rsidR="00B51F4E">
        <w:t xml:space="preserve">urthermore, </w:t>
      </w:r>
      <w:r w:rsidR="00E171B1">
        <w:t>a</w:t>
      </w:r>
      <w:r w:rsidR="00B51F4E">
        <w:t xml:space="preserve"> winter solstice </w:t>
      </w:r>
      <w:r w:rsidR="00E432B1">
        <w:t xml:space="preserve">sunrise </w:t>
      </w:r>
      <w:r w:rsidR="00B51F4E">
        <w:t xml:space="preserve">alignment </w:t>
      </w:r>
      <w:r w:rsidR="00E171B1">
        <w:t xml:space="preserve">(SE) </w:t>
      </w:r>
      <w:r w:rsidR="00B51F4E">
        <w:t xml:space="preserve">would </w:t>
      </w:r>
      <w:r w:rsidR="00C40739">
        <w:t xml:space="preserve">have </w:t>
      </w:r>
      <w:r>
        <w:t>been framed in a gap in the mountains as seen from the top of the site</w:t>
      </w:r>
      <w:r w:rsidR="00E171B1">
        <w:t xml:space="preserve">, and in the opposite direction, SW, </w:t>
      </w:r>
      <w:r w:rsidR="005D7B9F">
        <w:t>winter solstice</w:t>
      </w:r>
      <w:r w:rsidR="00923EAC">
        <w:t xml:space="preserve"> sunset would have been framed by a prominent gap in the hills</w:t>
      </w:r>
      <w:r w:rsidR="00E171B1">
        <w:t>.</w:t>
      </w:r>
      <w:r w:rsidR="00B51F4E">
        <w:t xml:space="preserve"> The star Regulus in Leo would also have been visible from the doorway of the passage tomb</w:t>
      </w:r>
      <w:r w:rsidR="00E171B1">
        <w:t xml:space="preserve"> at the summer solstice.</w:t>
      </w:r>
    </w:p>
    <w:p w14:paraId="14644EAC" w14:textId="77777777" w:rsidR="008374EE" w:rsidRDefault="008D6EB6" w:rsidP="008D6EB6">
      <w:r>
        <w:t>Who built the tomb?</w:t>
      </w:r>
    </w:p>
    <w:p w14:paraId="4345710C" w14:textId="5E36B816" w:rsidR="008374EE" w:rsidRDefault="00E171B1" w:rsidP="008374EE">
      <w:r>
        <w:t xml:space="preserve">In order to establish a cultural context, it is necessary to ascertain who built the tomb. Several scholars, including </w:t>
      </w:r>
      <w:r w:rsidR="008D6EB6">
        <w:t>Nash</w:t>
      </w:r>
      <w:r>
        <w:t>,</w:t>
      </w:r>
      <w:r w:rsidR="008D6EB6">
        <w:t xml:space="preserve"> suggest there w</w:t>
      </w:r>
      <w:r>
        <w:t>ere</w:t>
      </w:r>
      <w:r w:rsidR="008D6EB6">
        <w:t xml:space="preserve"> exchange networks between Anglesey and Ireland </w:t>
      </w:r>
      <w:r>
        <w:t xml:space="preserve">in the middle Neolithic, as demonstrated by </w:t>
      </w:r>
      <w:r w:rsidR="008D6EB6">
        <w:t>architectural similarities with</w:t>
      </w:r>
      <w:r>
        <w:t>in</w:t>
      </w:r>
      <w:r w:rsidR="008D6EB6">
        <w:t xml:space="preserve"> passage graves </w:t>
      </w:r>
      <w:r w:rsidR="00134F1B">
        <w:t>along</w:t>
      </w:r>
      <w:r w:rsidR="008D6EB6">
        <w:t xml:space="preserve"> the Irish Sea zone</w:t>
      </w:r>
      <w:r w:rsidR="00E01083">
        <w:t xml:space="preserve">. </w:t>
      </w:r>
      <w:r w:rsidR="00E01083">
        <w:rPr>
          <w:rStyle w:val="FootnoteReference"/>
        </w:rPr>
        <w:footnoteReference w:id="33"/>
      </w:r>
      <w:r w:rsidR="008374EE">
        <w:t xml:space="preserve"> </w:t>
      </w:r>
      <w:r w:rsidR="00F82FD2">
        <w:t>On Anglesey, o</w:t>
      </w:r>
      <w:r w:rsidR="008374EE">
        <w:t>ther portal dolmens and cairns in the area that are older than the site, but none contemporary with it</w:t>
      </w:r>
      <w:r w:rsidR="00A551FA">
        <w:t>, and no</w:t>
      </w:r>
      <w:r w:rsidR="008374EE">
        <w:t xml:space="preserve"> other similar monuments later in the record either.</w:t>
      </w:r>
      <w:r w:rsidR="007D1CE8">
        <w:rPr>
          <w:rStyle w:val="FootnoteReference"/>
        </w:rPr>
        <w:footnoteReference w:id="34"/>
      </w:r>
      <w:r w:rsidR="008374EE">
        <w:t xml:space="preserve"> A possible connection with the Boyne Valley tombs is not unlikely as the distance across the sea is only 100 miles and Barclodiad y Gawres is situated near a harbour at Porth Trescastle used for boats travelling to and from Ireland</w:t>
      </w:r>
      <w:r w:rsidR="007D1CE8">
        <w:t>. According</w:t>
      </w:r>
      <w:r w:rsidR="00995C3F">
        <w:t xml:space="preserve"> to Susan Grearney, there </w:t>
      </w:r>
      <w:r w:rsidR="008374EE">
        <w:t>is plenty of evidence of the sharing of material culture between Britain and Ireland, particularly in coastal areas</w:t>
      </w:r>
      <w:r w:rsidR="00A551FA">
        <w:t>.</w:t>
      </w:r>
      <w:r w:rsidR="008374EE">
        <w:t xml:space="preserve"> </w:t>
      </w:r>
      <w:r w:rsidR="00A551FA">
        <w:rPr>
          <w:rStyle w:val="FootnoteReference"/>
        </w:rPr>
        <w:footnoteReference w:id="35"/>
      </w:r>
    </w:p>
    <w:p w14:paraId="348A9667" w14:textId="11669280" w:rsidR="008D6EB6" w:rsidRDefault="008D6EB6">
      <w:r>
        <w:t>Climate records in Ireland indicate a period of climatic instability around the year 3000 BC when the moist warm Atlantic period gave way to the warm but dry sub-boreal period.</w:t>
      </w:r>
      <w:r w:rsidR="00071735">
        <w:t xml:space="preserve"> </w:t>
      </w:r>
      <w:r w:rsidR="00A551FA">
        <w:rPr>
          <w:rStyle w:val="FootnoteReference"/>
        </w:rPr>
        <w:footnoteReference w:id="36"/>
      </w:r>
      <w:r w:rsidR="007D1CE8">
        <w:t xml:space="preserve">During this time the size of passage tombs </w:t>
      </w:r>
      <w:r w:rsidR="003F3C66">
        <w:t xml:space="preserve">in Ireland </w:t>
      </w:r>
      <w:r w:rsidR="007D1CE8">
        <w:t>increased, indicating a response to these changes, and it is also possible that some people could have crossed the Irish Sea in search of new territory, bringing with them their tomb building knowledge.</w:t>
      </w:r>
    </w:p>
    <w:p w14:paraId="0CAB576C" w14:textId="66B478C9" w:rsidR="00DD5F68" w:rsidRDefault="00DD5F68">
      <w:r>
        <w:t>Material remains</w:t>
      </w:r>
    </w:p>
    <w:p w14:paraId="2863864F" w14:textId="62EE542E" w:rsidR="00DD5F68" w:rsidRDefault="00553C6D">
      <w:r>
        <w:t>There are two types of material remains found at Bryn Celli Ddu – bones and charcoaled remains, and th</w:t>
      </w:r>
      <w:r w:rsidR="00F82FD2">
        <w:t>e orthostats themselves and the peck marks on them.</w:t>
      </w:r>
      <w:r>
        <w:t xml:space="preserve">  </w:t>
      </w:r>
      <w:r w:rsidR="00F82FD2">
        <w:t>Burnt</w:t>
      </w:r>
      <w:r w:rsidR="001545AD">
        <w:t xml:space="preserve"> remains found </w:t>
      </w:r>
      <w:r w:rsidR="00F82FD2">
        <w:t>during excavation</w:t>
      </w:r>
      <w:r w:rsidR="001545AD">
        <w:t xml:space="preserve"> probably only represent a small fragment of what was once there</w:t>
      </w:r>
      <w:r w:rsidR="00234BF9">
        <w:t xml:space="preserve">, but </w:t>
      </w:r>
      <w:r w:rsidR="00F82FD2">
        <w:t>some</w:t>
      </w:r>
      <w:r w:rsidR="00234BF9">
        <w:t xml:space="preserve"> </w:t>
      </w:r>
      <w:r w:rsidR="002E4457">
        <w:t xml:space="preserve">human remains, animal </w:t>
      </w:r>
      <w:r w:rsidR="002E4457">
        <w:lastRenderedPageBreak/>
        <w:t xml:space="preserve">bone and </w:t>
      </w:r>
      <w:r w:rsidR="00425CFE">
        <w:t xml:space="preserve">antler bone fragments </w:t>
      </w:r>
      <w:r w:rsidR="00AA43E6">
        <w:t>were found</w:t>
      </w:r>
      <w:r w:rsidR="00F82FD2">
        <w:t>.</w:t>
      </w:r>
      <w:r w:rsidR="00007216">
        <w:rPr>
          <w:rStyle w:val="FootnoteReference"/>
        </w:rPr>
        <w:footnoteReference w:id="37"/>
      </w:r>
      <w:r w:rsidR="00A64CCE">
        <w:t xml:space="preserve"> </w:t>
      </w:r>
      <w:r w:rsidR="00BE4F1E">
        <w:t xml:space="preserve">The fact that the bone assemblages were fragmented and burnt suggests that rituals using fire accompanied their deposition, and that the human remains did not enter the chamber intact. </w:t>
      </w:r>
      <w:r w:rsidR="004D12D1">
        <w:t>The pit w</w:t>
      </w:r>
      <w:r w:rsidR="00765344">
        <w:t xml:space="preserve">here the </w:t>
      </w:r>
      <w:r w:rsidR="003F3C66">
        <w:t>P</w:t>
      </w:r>
      <w:r w:rsidR="00765344">
        <w:t xml:space="preserve">attern </w:t>
      </w:r>
      <w:r w:rsidR="003F3C66">
        <w:t>S</w:t>
      </w:r>
      <w:r w:rsidR="00765344">
        <w:t xml:space="preserve">tone was found was </w:t>
      </w:r>
      <w:r w:rsidR="00111AAC">
        <w:t xml:space="preserve">the centre of the monument and </w:t>
      </w:r>
      <w:r w:rsidR="003F3C66">
        <w:t>cremated bones were placed beneath it</w:t>
      </w:r>
      <w:r w:rsidR="001C0B59">
        <w:t>.</w:t>
      </w:r>
      <w:r w:rsidR="00007216">
        <w:rPr>
          <w:rStyle w:val="FootnoteReference"/>
        </w:rPr>
        <w:footnoteReference w:id="38"/>
      </w:r>
      <w:r w:rsidR="009F5915">
        <w:t xml:space="preserve"> </w:t>
      </w:r>
    </w:p>
    <w:p w14:paraId="5DEB3767" w14:textId="513201BF" w:rsidR="00E67C7E" w:rsidRDefault="007608B2" w:rsidP="004D5A10">
      <w:r>
        <w:t>Inside the chamber, a free-standing blue schist stone pillar</w:t>
      </w:r>
      <w:r w:rsidR="00371EC3">
        <w:t xml:space="preserve"> </w:t>
      </w:r>
      <w:r w:rsidR="00007216">
        <w:t>fac</w:t>
      </w:r>
      <w:r w:rsidR="00F82FD2">
        <w:t>es</w:t>
      </w:r>
      <w:r w:rsidR="00007216">
        <w:t xml:space="preserve"> the illuminated wall, </w:t>
      </w:r>
      <w:r w:rsidR="00B43660">
        <w:t>but as it stands in the north, it would never have been illuminated itself</w:t>
      </w:r>
      <w:r w:rsidR="00007216">
        <w:t xml:space="preserve"> (see Figure 7). Several scholars, for example Nash, have interpreted this pillar as a guardian stone, </w:t>
      </w:r>
      <w:r w:rsidR="00720C21">
        <w:t xml:space="preserve">either ‘bearing witness’ to the solstice illumination of the back wall, or standing guard over the bones of the dead. </w:t>
      </w:r>
      <w:r w:rsidR="00720C21">
        <w:rPr>
          <w:rStyle w:val="FootnoteReference"/>
        </w:rPr>
        <w:footnoteReference w:id="39"/>
      </w:r>
      <w:r w:rsidR="00B43660">
        <w:t xml:space="preserve"> </w:t>
      </w:r>
      <w:r w:rsidR="00E12F7F">
        <w:t xml:space="preserve">There is also a faint spiral on one of the large </w:t>
      </w:r>
      <w:r w:rsidR="00007216">
        <w:t xml:space="preserve">orthostats </w:t>
      </w:r>
      <w:r w:rsidR="00E12F7F">
        <w:t>stones</w:t>
      </w:r>
      <w:r w:rsidR="00007216">
        <w:t xml:space="preserve"> in the chamber</w:t>
      </w:r>
      <w:r w:rsidR="00E12F7F">
        <w:t xml:space="preserve">, but this has been dismissed as a more recent addition by most scholars. </w:t>
      </w:r>
      <w:r w:rsidR="00BE4F1E">
        <w:t>The Pattern Stone, a gritstone with spirals and serpentine lines engraved on it</w:t>
      </w:r>
      <w:r w:rsidR="008C61B0">
        <w:t xml:space="preserve"> was found face down in the pit behind the chamber. Burrow </w:t>
      </w:r>
      <w:r w:rsidR="003F3C66">
        <w:t xml:space="preserve">has </w:t>
      </w:r>
      <w:r w:rsidR="008C61B0">
        <w:t xml:space="preserve">suggested it </w:t>
      </w:r>
      <w:r w:rsidR="003F3C66">
        <w:t xml:space="preserve">was </w:t>
      </w:r>
      <w:r w:rsidR="00FB5796">
        <w:t>deliberately left facing the groun</w:t>
      </w:r>
      <w:r w:rsidR="004F3C50">
        <w:t>d</w:t>
      </w:r>
      <w:r w:rsidR="001848E3">
        <w:t xml:space="preserve">, its carvings hidden from </w:t>
      </w:r>
      <w:r w:rsidR="008C61B0">
        <w:t>the site of the living but there to guide the dead on their chtonic (?) journey.</w:t>
      </w:r>
      <w:r w:rsidR="00D85989">
        <w:rPr>
          <w:rStyle w:val="FootnoteReference"/>
        </w:rPr>
        <w:footnoteReference w:id="40"/>
      </w:r>
      <w:r w:rsidR="008C61B0">
        <w:t xml:space="preserve"> </w:t>
      </w:r>
      <w:r w:rsidR="006048D7">
        <w:t xml:space="preserve">In support of this argument at Barclodiad y Grawes, there are six </w:t>
      </w:r>
      <w:r w:rsidR="003F6DC3">
        <w:t>stones</w:t>
      </w:r>
      <w:r w:rsidR="009D3787">
        <w:t xml:space="preserve"> </w:t>
      </w:r>
      <w:r w:rsidR="00F82FD2">
        <w:t xml:space="preserve">decorated with </w:t>
      </w:r>
      <w:r w:rsidR="007D5092">
        <w:t>chevrons, lozenges, zig zags and spirals,</w:t>
      </w:r>
      <w:r w:rsidR="003F6DC3">
        <w:t xml:space="preserve"> </w:t>
      </w:r>
      <w:r w:rsidR="00705773">
        <w:t xml:space="preserve">and </w:t>
      </w:r>
      <w:r w:rsidR="003F6DC3">
        <w:t>all of them face in towards the cruciform chamber</w:t>
      </w:r>
      <w:r w:rsidR="008C61B0">
        <w:t xml:space="preserve"> </w:t>
      </w:r>
      <w:r w:rsidR="00705773">
        <w:t>making them only visible when illuminated from within.</w:t>
      </w:r>
      <w:r w:rsidR="002D5EB7">
        <w:t xml:space="preserve"> </w:t>
      </w:r>
    </w:p>
    <w:p w14:paraId="26DD4490" w14:textId="64E97E73" w:rsidR="00B84F7E" w:rsidRDefault="004D5A10">
      <w:r>
        <w:t xml:space="preserve">The </w:t>
      </w:r>
      <w:r w:rsidR="00720C21">
        <w:t>cultural context of the</w:t>
      </w:r>
      <w:r w:rsidR="003F3C66">
        <w:t>se designs have been</w:t>
      </w:r>
      <w:r w:rsidR="00720C21">
        <w:t xml:space="preserve"> much debated</w:t>
      </w:r>
      <w:r w:rsidR="003F3C66">
        <w:t xml:space="preserve">, but </w:t>
      </w:r>
      <w:r w:rsidR="00720C21">
        <w:t xml:space="preserve">most scholars </w:t>
      </w:r>
      <w:r w:rsidR="003F3C66">
        <w:t xml:space="preserve">agree on similarities with </w:t>
      </w:r>
      <w:r w:rsidR="00720C21">
        <w:t xml:space="preserve">engravings on orthostats at Newgrange, Dowth and Knowth, </w:t>
      </w:r>
      <w:r w:rsidR="003F3C66">
        <w:t xml:space="preserve">or Iberia on the Atlantic </w:t>
      </w:r>
      <w:r w:rsidR="006C44B0">
        <w:t>S</w:t>
      </w:r>
      <w:r w:rsidR="003F3C66">
        <w:t>eabo</w:t>
      </w:r>
      <w:r w:rsidR="00705773">
        <w:t>a</w:t>
      </w:r>
      <w:r w:rsidR="003F3C66">
        <w:t>rd</w:t>
      </w:r>
      <w:r w:rsidR="00705773">
        <w:t>. But there are also marked</w:t>
      </w:r>
      <w:r>
        <w:t xml:space="preserve"> differences. Taking a</w:t>
      </w:r>
      <w:r w:rsidR="00D85989">
        <w:t xml:space="preserve">n emetic approach, defined as ? </w:t>
      </w:r>
      <w:r>
        <w:t xml:space="preserve">this would be expected, as regardless of the origin of the original idea, </w:t>
      </w:r>
      <w:r w:rsidR="006C44B0">
        <w:t xml:space="preserve">once </w:t>
      </w:r>
      <w:r w:rsidR="00705773">
        <w:t xml:space="preserve">exported to a different place, </w:t>
      </w:r>
      <w:r w:rsidR="006C44B0">
        <w:t xml:space="preserve">variations in both design and use would have arisen in response to </w:t>
      </w:r>
      <w:r>
        <w:t xml:space="preserve">local </w:t>
      </w:r>
      <w:r w:rsidR="00356B2D">
        <w:t>topography</w:t>
      </w:r>
      <w:r w:rsidR="006C44B0">
        <w:t xml:space="preserve"> and </w:t>
      </w:r>
      <w:r>
        <w:t>culture</w:t>
      </w:r>
      <w:r w:rsidR="006C44B0">
        <w:t>.</w:t>
      </w:r>
      <w:r w:rsidR="00D85989">
        <w:rPr>
          <w:rStyle w:val="FootnoteReference"/>
        </w:rPr>
        <w:footnoteReference w:id="41"/>
      </w:r>
      <w:r w:rsidR="00F05821">
        <w:t xml:space="preserve"> </w:t>
      </w:r>
      <w:r w:rsidR="00714B78">
        <w:t>For example,</w:t>
      </w:r>
      <w:r w:rsidR="00545E7C">
        <w:t xml:space="preserve"> the chevron style patterns found on some of the stones were imitating the folding in the schist, and thereby drawing in the fabric of the rock to the </w:t>
      </w:r>
      <w:r w:rsidR="00705773">
        <w:t>symbolism</w:t>
      </w:r>
      <w:r w:rsidR="00545E7C">
        <w:t xml:space="preserve">. </w:t>
      </w:r>
      <w:r w:rsidR="006073BD">
        <w:t xml:space="preserve">The Pattern Stone at Bryn Celli Ddu </w:t>
      </w:r>
      <w:r w:rsidR="00705773">
        <w:t xml:space="preserve">shares </w:t>
      </w:r>
      <w:r w:rsidR="00D85989">
        <w:t xml:space="preserve">similarities with </w:t>
      </w:r>
      <w:r w:rsidR="00CE7444">
        <w:t xml:space="preserve">Stone 22 at Barclodiad, which </w:t>
      </w:r>
      <w:r w:rsidR="00705773">
        <w:t xml:space="preserve">could indicated a shared cultural context, not surprising </w:t>
      </w:r>
      <w:r w:rsidR="006C44B0">
        <w:t>considering their geographic proximity</w:t>
      </w:r>
      <w:r w:rsidR="00A92385">
        <w:t xml:space="preserve"> </w:t>
      </w:r>
      <w:r w:rsidR="008C61B0">
        <w:t xml:space="preserve">(See Figure </w:t>
      </w:r>
      <w:r w:rsidR="00A92385">
        <w:t>8</w:t>
      </w:r>
      <w:r w:rsidR="00443E15">
        <w:t xml:space="preserve"> below for comparison).</w:t>
      </w:r>
    </w:p>
    <w:p w14:paraId="2D465C70" w14:textId="18CAA59D" w:rsidR="00126CC4" w:rsidRDefault="006C44B0">
      <w:r>
        <w:t>It has been suggested by Nash that the</w:t>
      </w:r>
      <w:r w:rsidR="00AC367D">
        <w:t xml:space="preserve"> </w:t>
      </w:r>
      <w:r w:rsidR="00A92385">
        <w:t xml:space="preserve">serpentine </w:t>
      </w:r>
      <w:r>
        <w:t xml:space="preserve">meanderings </w:t>
      </w:r>
      <w:r w:rsidR="00A92385">
        <w:t xml:space="preserve">and spirals on the Pattern Stone </w:t>
      </w:r>
      <w:r>
        <w:t xml:space="preserve">evoke the </w:t>
      </w:r>
      <w:r w:rsidR="00487E0C">
        <w:t>flow of water.</w:t>
      </w:r>
      <w:r>
        <w:rPr>
          <w:rStyle w:val="FootnoteReference"/>
        </w:rPr>
        <w:footnoteReference w:id="42"/>
      </w:r>
      <w:r w:rsidR="00A92385">
        <w:t xml:space="preserve"> </w:t>
      </w:r>
      <w:r w:rsidR="00BC29DB">
        <w:t xml:space="preserve">Furthermore, though all the </w:t>
      </w:r>
      <w:r w:rsidR="00A92385">
        <w:t xml:space="preserve">orthostats </w:t>
      </w:r>
      <w:r w:rsidR="00BC29DB">
        <w:t>from the tomb were quarried from the blueschist belt, the Pattern Stone</w:t>
      </w:r>
      <w:r w:rsidR="00A92385">
        <w:t xml:space="preserve"> gritstone </w:t>
      </w:r>
      <w:r w:rsidR="00BC29DB">
        <w:t xml:space="preserve">was quarried from the Menai straits, perhaps in keeping with the water theme. </w:t>
      </w:r>
      <w:r w:rsidR="00A92385">
        <w:t>Water features in the Bryn Celli Ddu landscape</w:t>
      </w:r>
      <w:r>
        <w:t xml:space="preserve"> with the Afron Braint stream</w:t>
      </w:r>
      <w:r w:rsidR="00E05FF8">
        <w:t xml:space="preserve"> providing a boundary on one side </w:t>
      </w:r>
      <w:r w:rsidR="00A92385">
        <w:t xml:space="preserve">of the monument, and </w:t>
      </w:r>
      <w:r w:rsidR="00705773">
        <w:t>flowing down towards other N</w:t>
      </w:r>
      <w:r w:rsidR="006D157E">
        <w:t xml:space="preserve">eolithic monuments such as the chambered cairn at Brodogor, therefore potentially </w:t>
      </w:r>
      <w:r w:rsidR="000B6BDA">
        <w:t>forming part of an even wider landscape.</w:t>
      </w:r>
      <w:r w:rsidR="001C3298">
        <w:t xml:space="preserve"> </w:t>
      </w:r>
    </w:p>
    <w:p w14:paraId="4607A5C0" w14:textId="5DF2D502" w:rsidR="00443E15" w:rsidRDefault="006D157E">
      <w:r>
        <w:t xml:space="preserve">The </w:t>
      </w:r>
      <w:r w:rsidR="00443E15">
        <w:t>rock outcrop (Gorsedd) is a striking example of blue schist</w:t>
      </w:r>
      <w:r w:rsidR="005B667F">
        <w:t xml:space="preserve"> </w:t>
      </w:r>
      <w:r>
        <w:t>and is the most prominent landscape feature round the tomb</w:t>
      </w:r>
      <w:r w:rsidR="005B667F">
        <w:t xml:space="preserve"> (see Figure 9)</w:t>
      </w:r>
      <w:r>
        <w:t xml:space="preserve">. It also has a </w:t>
      </w:r>
      <w:r w:rsidR="00443E15">
        <w:t xml:space="preserve">series of </w:t>
      </w:r>
      <w:r w:rsidR="000B6BDA">
        <w:t xml:space="preserve">engraved </w:t>
      </w:r>
      <w:r w:rsidR="00443E15">
        <w:t>cup marks which Nash suggests could have been carved when the earliest monuments were erected, or at the peak of monument use around 3000 BCE.</w:t>
      </w:r>
      <w:r>
        <w:rPr>
          <w:rStyle w:val="FootnoteReference"/>
        </w:rPr>
        <w:footnoteReference w:id="43"/>
      </w:r>
      <w:r w:rsidR="00443E15">
        <w:t xml:space="preserve"> </w:t>
      </w:r>
      <w:r w:rsidR="000B6BDA">
        <w:t xml:space="preserve">The </w:t>
      </w:r>
      <w:r w:rsidR="00443E15">
        <w:t xml:space="preserve">32 cup marks as arranged in clear patterns, some in groups forming crescents and </w:t>
      </w:r>
      <w:r>
        <w:t xml:space="preserve">as they are in the open, and upward facing, </w:t>
      </w:r>
      <w:r w:rsidR="005B667F">
        <w:t>they</w:t>
      </w:r>
      <w:r w:rsidR="00443E15">
        <w:t xml:space="preserve"> suggest a possible relationship with the sky. It is even possible that the rock outcrop was used</w:t>
      </w:r>
      <w:r w:rsidR="005B667F">
        <w:t xml:space="preserve"> as an </w:t>
      </w:r>
      <w:r w:rsidR="00443E15">
        <w:t>excarnation</w:t>
      </w:r>
      <w:r w:rsidR="005B667F">
        <w:t xml:space="preserve"> </w:t>
      </w:r>
      <w:r w:rsidR="005B667F">
        <w:lastRenderedPageBreak/>
        <w:t xml:space="preserve">platform for the bodies before burial, as Harding suggested was the case at </w:t>
      </w:r>
      <w:r w:rsidR="00443E15">
        <w:t>Thornbourgh Henge</w:t>
      </w:r>
      <w:r w:rsidR="005B667F">
        <w:t xml:space="preserve"> in Yorkshire</w:t>
      </w:r>
      <w:r w:rsidR="00443E15">
        <w:t>.</w:t>
      </w:r>
      <w:r w:rsidR="005B667F">
        <w:rPr>
          <w:rStyle w:val="FootnoteReference"/>
        </w:rPr>
        <w:footnoteReference w:id="44"/>
      </w:r>
      <w:r w:rsidR="00443E15">
        <w:t xml:space="preserve"> </w:t>
      </w:r>
    </w:p>
    <w:p w14:paraId="1545A416" w14:textId="5AEA7C55" w:rsidR="00E60048" w:rsidRDefault="005B667F" w:rsidP="00E60048">
      <w:r>
        <w:t xml:space="preserve">According to Cummings, the involvement of all the senses should be considered as part of the embodied experience of </w:t>
      </w:r>
      <w:r w:rsidR="000B6BDA">
        <w:t xml:space="preserve">a </w:t>
      </w:r>
      <w:r>
        <w:t>monument because</w:t>
      </w:r>
      <w:r w:rsidR="00705773">
        <w:t>,</w:t>
      </w:r>
      <w:r>
        <w:t xml:space="preserve">  ‘lived-in landscapes can only be understood by attention to all the senses.’ </w:t>
      </w:r>
      <w:r w:rsidR="000E010B">
        <w:rPr>
          <w:rStyle w:val="FootnoteReference"/>
        </w:rPr>
        <w:footnoteReference w:id="45"/>
      </w:r>
      <w:r w:rsidR="00E60048">
        <w:t>The art, along with the architecture, could have played a role in how the dead transitioned from one space to another</w:t>
      </w:r>
      <w:r w:rsidR="000E010B">
        <w:t>, starting possibly with the transformation from body to skeleton on Gorsedd, then the collection and transportation of the remains from the outside to the interior of the tomb, passing through the ‘liminal space’ of the passageway and finally coming to rest in the chamber.</w:t>
      </w:r>
      <w:r w:rsidR="000E010B">
        <w:rPr>
          <w:rStyle w:val="FootnoteReference"/>
        </w:rPr>
        <w:footnoteReference w:id="46"/>
      </w:r>
      <w:r w:rsidR="00E60048">
        <w:t xml:space="preserve"> Sensory changes would then take place</w:t>
      </w:r>
      <w:r w:rsidR="0030313F">
        <w:t xml:space="preserve"> at every stage, an interplay of light, sound and smell. Offerings were left to accompany the dead, </w:t>
      </w:r>
      <w:r w:rsidR="00E7147F">
        <w:t>and in this case the Pattern Stone</w:t>
      </w:r>
      <w:r w:rsidR="0030313F">
        <w:t>, giving ‘</w:t>
      </w:r>
      <w:r w:rsidR="00E60048">
        <w:t xml:space="preserve">generations of ancestors a prescribed way of moving </w:t>
      </w:r>
      <w:r w:rsidR="0030313F">
        <w:t>from the realm of the living to the realm of the dead.’</w:t>
      </w:r>
      <w:r w:rsidR="0030313F">
        <w:rPr>
          <w:rStyle w:val="FootnoteReference"/>
        </w:rPr>
        <w:footnoteReference w:id="47"/>
      </w:r>
      <w:r w:rsidR="00E60048">
        <w:t xml:space="preserve"> </w:t>
      </w:r>
    </w:p>
    <w:p w14:paraId="57F2F844" w14:textId="2AE4777E" w:rsidR="00671EDD" w:rsidRDefault="0030313F" w:rsidP="00671EDD">
      <w:r>
        <w:t>U</w:t>
      </w:r>
      <w:r w:rsidR="00671EDD">
        <w:t>nique material remain</w:t>
      </w:r>
      <w:r>
        <w:t>s</w:t>
      </w:r>
      <w:r w:rsidR="00671EDD">
        <w:t xml:space="preserve"> found at Barclodiad could </w:t>
      </w:r>
      <w:r>
        <w:t>also</w:t>
      </w:r>
      <w:r w:rsidR="00671EDD">
        <w:t xml:space="preserve"> help shed light on the cosmology at Bryn Celli Ddu – a brew used the quench </w:t>
      </w:r>
      <w:r w:rsidR="00E7147F">
        <w:t xml:space="preserve">a fire in the centre of </w:t>
      </w:r>
      <w:r w:rsidR="00671EDD">
        <w:t xml:space="preserve">the chamber consisting of wrasse, eel, frog, toad, grass snake, mouse, shrew and hare, </w:t>
      </w:r>
      <w:r w:rsidR="00E7147F">
        <w:t>then</w:t>
      </w:r>
      <w:r w:rsidR="00671EDD">
        <w:t xml:space="preserve"> deliberately covered with limpet shells and pebbles.</w:t>
      </w:r>
      <w:r>
        <w:rPr>
          <w:rStyle w:val="FootnoteReference"/>
        </w:rPr>
        <w:footnoteReference w:id="48"/>
      </w:r>
      <w:r w:rsidR="00671EDD">
        <w:t xml:space="preserve"> </w:t>
      </w:r>
      <w:r w:rsidR="00E7147F">
        <w:t>As this stew was not eaten, it was clearly imbued with symbolic and meaning and a function that involved marine, amphibious and field dwelling creatures.</w:t>
      </w:r>
      <w:r>
        <w:t xml:space="preserve"> </w:t>
      </w:r>
      <w:r w:rsidR="00A869B9">
        <w:t>T</w:t>
      </w:r>
      <w:r w:rsidR="00671EDD">
        <w:t>here is also a potential deliberate use of clay at both sites, which could have been used to enhance fire rituals.</w:t>
      </w:r>
      <w:r w:rsidR="00A869B9">
        <w:rPr>
          <w:rStyle w:val="FootnoteReference"/>
        </w:rPr>
        <w:footnoteReference w:id="49"/>
      </w:r>
      <w:r w:rsidR="00671EDD">
        <w:t xml:space="preserve"> </w:t>
      </w:r>
    </w:p>
    <w:p w14:paraId="1D07A30F" w14:textId="3A68A9F6" w:rsidR="004F1D7C" w:rsidRDefault="00A869B9">
      <w:r>
        <w:t xml:space="preserve">To summarise, the material remains of Bryn Celli Ddu are both physical and symbolic, and </w:t>
      </w:r>
      <w:r w:rsidR="005406C3">
        <w:t xml:space="preserve">when </w:t>
      </w:r>
      <w:r>
        <w:t xml:space="preserve">seen in the context of landscape, </w:t>
      </w:r>
      <w:r w:rsidR="004F6F2C">
        <w:t>imply a vibrant and embodied cosmology link</w:t>
      </w:r>
      <w:r w:rsidR="00E7147F">
        <w:t>ing</w:t>
      </w:r>
      <w:r w:rsidR="004F6F2C">
        <w:t xml:space="preserve"> the living to the dead</w:t>
      </w:r>
      <w:r w:rsidR="000E6C84">
        <w:t xml:space="preserve">, the skyscape with the landscape, and </w:t>
      </w:r>
      <w:r w:rsidR="002860BA">
        <w:t>use</w:t>
      </w:r>
      <w:r w:rsidR="00E7147F">
        <w:t>d</w:t>
      </w:r>
      <w:r w:rsidR="002860BA">
        <w:t xml:space="preserve"> fire, water, rock and symbolism to </w:t>
      </w:r>
      <w:r w:rsidR="0019560D">
        <w:t>energise these aspects into</w:t>
      </w:r>
      <w:r w:rsidR="002D5C67">
        <w:t xml:space="preserve"> a cohesive whole.</w:t>
      </w:r>
      <w:r w:rsidR="0086285D">
        <w:t xml:space="preserve"> </w:t>
      </w:r>
    </w:p>
    <w:p w14:paraId="5548F6BB" w14:textId="70D9E7D8" w:rsidR="00EA19CB" w:rsidRDefault="00E60048">
      <w:r>
        <w:t>Cosmology</w:t>
      </w:r>
    </w:p>
    <w:p w14:paraId="4BD620AF" w14:textId="62BECE6D" w:rsidR="00601C15" w:rsidRDefault="00533066">
      <w:r>
        <w:t xml:space="preserve">The summer solstice sunrise </w:t>
      </w:r>
      <w:r w:rsidR="00817E0A">
        <w:t xml:space="preserve">light was deliberately funnelled into the tomb, </w:t>
      </w:r>
      <w:r w:rsidR="00C07EE3">
        <w:t>focusing the light so that it</w:t>
      </w:r>
      <w:r w:rsidR="00BF363F">
        <w:t xml:space="preserve"> hit the back wall of the chamber, </w:t>
      </w:r>
      <w:r w:rsidR="00A869B9">
        <w:t>which had been chose</w:t>
      </w:r>
      <w:r w:rsidR="00601C15">
        <w:t>n</w:t>
      </w:r>
      <w:r w:rsidR="00A869B9">
        <w:t xml:space="preserve"> on account of numerous </w:t>
      </w:r>
      <w:r w:rsidR="00BF363F">
        <w:t>quartz veins</w:t>
      </w:r>
      <w:r w:rsidR="00A869B9">
        <w:t xml:space="preserve"> that refract light and cause it to </w:t>
      </w:r>
      <w:r w:rsidR="00BF363F">
        <w:t>bounc</w:t>
      </w:r>
      <w:r w:rsidR="00A869B9">
        <w:t>e back up the c</w:t>
      </w:r>
      <w:r w:rsidR="00BF363F">
        <w:t xml:space="preserve">hamber </w:t>
      </w:r>
      <w:r w:rsidR="00E7147F">
        <w:t>(</w:t>
      </w:r>
      <w:r w:rsidR="00A869B9">
        <w:t>Figure 10</w:t>
      </w:r>
      <w:r w:rsidR="00BF363F">
        <w:t>.</w:t>
      </w:r>
      <w:r w:rsidR="00E7147F">
        <w:t>)</w:t>
      </w:r>
      <w:r w:rsidR="00BF363F">
        <w:t xml:space="preserve"> </w:t>
      </w:r>
      <w:r w:rsidR="00601C15">
        <w:t xml:space="preserve">From outside the tomb, </w:t>
      </w:r>
      <w:r w:rsidR="003664F2">
        <w:t xml:space="preserve">field measurements have demonstrated that </w:t>
      </w:r>
      <w:r w:rsidR="00601C15">
        <w:t xml:space="preserve">the winter solstice rising sun would have been framed between the two mountains that comprise the Llanberis pass. Furthermore, in the opposite direction, the summer solstice sunset would have been observable and framed in a prominent gap in the hills. According to Bradley, the summer solstice sunrise and winter solstice sunset alignment was of particular significance in the late Neolithic, whereas in the Bronze Age, after 2400 BCE fewer structures were related to the sunrise and more to the setting sun indicating a change in cosmology at this time. </w:t>
      </w:r>
      <w:r w:rsidR="00EE472D">
        <w:rPr>
          <w:rStyle w:val="FootnoteReference"/>
        </w:rPr>
        <w:footnoteReference w:id="50"/>
      </w:r>
      <w:r w:rsidR="00601C15">
        <w:t xml:space="preserve">Greaney also plotted the alignment of long barrows across Britain and found that all of them demonstrated a NE-SE alignment, favouring the rising sun at the solstices, though a southern lunar standstill marker cannot be also ruled out. </w:t>
      </w:r>
      <w:r w:rsidR="00EE472D">
        <w:rPr>
          <w:rStyle w:val="FootnoteReference"/>
        </w:rPr>
        <w:footnoteReference w:id="51"/>
      </w:r>
    </w:p>
    <w:p w14:paraId="66F94FFC" w14:textId="079416D7" w:rsidR="00EA5022" w:rsidRDefault="003664F2">
      <w:r>
        <w:t xml:space="preserve">Clearly, the rising sun at the solstices was an important part of the cosmology of the builders of the tomb. </w:t>
      </w:r>
      <w:r w:rsidR="00BF363F">
        <w:t xml:space="preserve">Lynch suggested that the tomb was deliberately blocked up sometime after it was used as a </w:t>
      </w:r>
      <w:r w:rsidR="00BF363F">
        <w:lastRenderedPageBreak/>
        <w:t>bur</w:t>
      </w:r>
      <w:r w:rsidR="002833AC">
        <w:t>ia</w:t>
      </w:r>
      <w:r w:rsidR="005D41AE">
        <w:t>l</w:t>
      </w:r>
      <w:r w:rsidR="00A869B9">
        <w:t>, though sunlight would have still been able to penetrate the tomb</w:t>
      </w:r>
      <w:r w:rsidR="002833AC">
        <w:t>.</w:t>
      </w:r>
      <w:r w:rsidR="00A869B9">
        <w:rPr>
          <w:rStyle w:val="FootnoteReference"/>
        </w:rPr>
        <w:footnoteReference w:id="52"/>
      </w:r>
      <w:r w:rsidR="002833AC">
        <w:t>Th</w:t>
      </w:r>
      <w:r w:rsidR="005D5CB6">
        <w:t xml:space="preserve">is </w:t>
      </w:r>
      <w:r w:rsidR="004A4105">
        <w:t>suggest</w:t>
      </w:r>
      <w:r w:rsidR="005D5CB6">
        <w:t>s</w:t>
      </w:r>
      <w:r w:rsidR="00FC4EC0">
        <w:t xml:space="preserve"> that </w:t>
      </w:r>
      <w:r w:rsidR="00EA5022">
        <w:t>the light was</w:t>
      </w:r>
      <w:r w:rsidR="00FC4EC0">
        <w:t xml:space="preserve"> meant for the dead not the living</w:t>
      </w:r>
      <w:r w:rsidR="005D0154">
        <w:t xml:space="preserve">, associated with a regeneration ritual that could reactivate the bones. </w:t>
      </w:r>
      <w:r w:rsidR="00EA5022">
        <w:t xml:space="preserve">There is no evidence of large community gatherings having taken place at Bryn Celli Ddu that have survived in the archaeological record, neither is there evidence of feasting. The stew left at Barclodiad appears to be more suited to ritual than group feasting, and both monuments with their use of internal patterning would have only been seen from within. The focus appears to be on transmitting a cosmology that </w:t>
      </w:r>
      <w:r w:rsidR="00F03F84">
        <w:t xml:space="preserve">enabled access to the transformative powers of the </w:t>
      </w:r>
      <w:r w:rsidR="00EA5022">
        <w:t>Otherworld</w:t>
      </w:r>
      <w:r w:rsidR="00F03F84">
        <w:t xml:space="preserve"> (the Pattern Stone) and maybe watched over by the ancestors (the guardian stone)</w:t>
      </w:r>
      <w:r w:rsidR="00EA5022">
        <w:t>.</w:t>
      </w:r>
    </w:p>
    <w:p w14:paraId="3FB8DFE5" w14:textId="6DBDCEAB" w:rsidR="0048119F" w:rsidRDefault="00EE472D">
      <w:r>
        <w:t>The precise alignment of Bryn Celli Ddu, suggests that ‘</w:t>
      </w:r>
      <w:r w:rsidR="0048119F">
        <w:t xml:space="preserve">relationships with the Sun were entangled with social relationships in the past, and </w:t>
      </w:r>
      <w:r>
        <w:t>‘</w:t>
      </w:r>
      <w:r w:rsidR="00994652">
        <w:t>that a group of people were using position of power to align heaven and earth</w:t>
      </w:r>
      <w:r w:rsidR="00F03F84">
        <w:t>,</w:t>
      </w:r>
      <w:r>
        <w:t>’</w:t>
      </w:r>
      <w:r w:rsidR="00994652">
        <w:t xml:space="preserve"> </w:t>
      </w:r>
      <w:r w:rsidR="00F03F84">
        <w:t xml:space="preserve">maybe using </w:t>
      </w:r>
      <w:r w:rsidR="00127A67">
        <w:t xml:space="preserve">this knowledge to </w:t>
      </w:r>
      <w:r w:rsidR="00994652">
        <w:t>exercise power within the community</w:t>
      </w:r>
      <w:r w:rsidR="00F937B1">
        <w:t>.</w:t>
      </w:r>
      <w:r w:rsidR="00127A67">
        <w:rPr>
          <w:rStyle w:val="FootnoteReference"/>
        </w:rPr>
        <w:footnoteReference w:id="53"/>
      </w:r>
      <w:r w:rsidR="00F937B1">
        <w:t xml:space="preserve"> The decline in the </w:t>
      </w:r>
      <w:r w:rsidR="00127A67">
        <w:t xml:space="preserve">construction of the </w:t>
      </w:r>
      <w:r w:rsidR="00F937B1">
        <w:t>precise</w:t>
      </w:r>
      <w:r w:rsidR="00127A67">
        <w:t>ly aligned</w:t>
      </w:r>
      <w:r w:rsidR="00F937B1">
        <w:t xml:space="preserve"> passage tombs</w:t>
      </w:r>
      <w:r w:rsidR="00127A67">
        <w:t xml:space="preserve"> </w:t>
      </w:r>
      <w:r w:rsidR="00F937B1">
        <w:t xml:space="preserve">and shift in orientation after 2400 BCE suggests changes in social and therefore cultural conditions, possibly as people adapted to </w:t>
      </w:r>
      <w:r w:rsidR="00F03F84">
        <w:t xml:space="preserve">changing climatic </w:t>
      </w:r>
      <w:r w:rsidR="00F937B1">
        <w:t>conditions</w:t>
      </w:r>
      <w:r w:rsidR="00F03F84">
        <w:t xml:space="preserve">. This was also a time when the </w:t>
      </w:r>
      <w:r w:rsidR="00660373">
        <w:t xml:space="preserve">Bell </w:t>
      </w:r>
      <w:r w:rsidR="00437FD7">
        <w:t xml:space="preserve">Beaker people </w:t>
      </w:r>
      <w:r w:rsidR="00F03F84">
        <w:t xml:space="preserve">began to arrive, bringing with them a cosmology that was represented in the material culture by solar symbolism in the form of metalwork and jewellry, emphasising the power of the individual rather than a belonging to a </w:t>
      </w:r>
      <w:r w:rsidR="00127A67">
        <w:t>collective lineage.</w:t>
      </w:r>
      <w:r w:rsidR="00127A67">
        <w:rPr>
          <w:rStyle w:val="FootnoteReference"/>
        </w:rPr>
        <w:footnoteReference w:id="54"/>
      </w:r>
    </w:p>
    <w:p w14:paraId="682A45CF" w14:textId="123FB7B6" w:rsidR="00880646" w:rsidRDefault="00880646" w:rsidP="00880646">
      <w:r>
        <w:t xml:space="preserve">The mound with its kerbstones and ditch </w:t>
      </w:r>
      <w:r w:rsidR="003664F2">
        <w:t>was</w:t>
      </w:r>
      <w:r>
        <w:t xml:space="preserve"> carefully delineated to imply a sacred space, and lined up to within 2 degrees of precision to the declination of the sun, yet the circular aspect of the site implies ‘it is a place that has a centre but no boundary’</w:t>
      </w:r>
      <w:r>
        <w:rPr>
          <w:rStyle w:val="FootnoteReference"/>
        </w:rPr>
        <w:footnoteReference w:id="55"/>
      </w:r>
      <w:r>
        <w:t xml:space="preserve"> The inner workings of the tomb are hidden </w:t>
      </w:r>
      <w:r w:rsidR="003664F2">
        <w:t>but</w:t>
      </w:r>
      <w:r>
        <w:t xml:space="preserve"> align with and draw in aspects of the cosmos to enliven and regenerate. In this way, the landscape become more than just a passive backdrop to the tomb, or even as a container form action, it </w:t>
      </w:r>
      <w:r w:rsidR="003664F2">
        <w:t>was</w:t>
      </w:r>
      <w:r>
        <w:t xml:space="preserve"> actually a</w:t>
      </w:r>
      <w:r w:rsidR="003664F2">
        <w:t>n</w:t>
      </w:r>
      <w:r>
        <w:t xml:space="preserve"> integral part of how people lived their lives, and therefore cultural.</w:t>
      </w:r>
      <w:r>
        <w:rPr>
          <w:rStyle w:val="FootnoteReference"/>
        </w:rPr>
        <w:footnoteReference w:id="56"/>
      </w:r>
      <w:r>
        <w:t xml:space="preserve"> </w:t>
      </w:r>
      <w:r w:rsidR="00075BEF">
        <w:t xml:space="preserve">It also, by definition, extends outwards </w:t>
      </w:r>
      <w:r w:rsidR="003664F2">
        <w:t xml:space="preserve">and upwards </w:t>
      </w:r>
      <w:r w:rsidR="00075BEF">
        <w:t>to include the skies.</w:t>
      </w:r>
    </w:p>
    <w:p w14:paraId="62CF67CB" w14:textId="146AD43F" w:rsidR="00671EDD" w:rsidRDefault="00075BEF">
      <w:r>
        <w:t>The unrestricted view of both the horizon</w:t>
      </w:r>
      <w:r w:rsidR="009270C9">
        <w:t xml:space="preserve"> and </w:t>
      </w:r>
      <w:r>
        <w:t xml:space="preserve">therefore the sky at Bryn Celli Ddu along with the </w:t>
      </w:r>
      <w:r w:rsidR="009270C9">
        <w:t xml:space="preserve">harmony of </w:t>
      </w:r>
      <w:r>
        <w:t xml:space="preserve">solstice alignments </w:t>
      </w:r>
      <w:r w:rsidR="009270C9">
        <w:t>and</w:t>
      </w:r>
      <w:r>
        <w:t xml:space="preserve"> landscape would have enabled the builders to track not just the movements of the sun, but also the movements of the moon and fixed stars</w:t>
      </w:r>
      <w:r w:rsidR="003664F2">
        <w:t>.</w:t>
      </w:r>
      <w:r>
        <w:t xml:space="preserve"> Field measurements indicate that the declination of Regulus in Leo in 3000 BC </w:t>
      </w:r>
      <w:r w:rsidR="003664F2">
        <w:t xml:space="preserve">made it </w:t>
      </w:r>
      <w:r w:rsidR="00671EDD">
        <w:t xml:space="preserve">visible </w:t>
      </w:r>
      <w:r>
        <w:t xml:space="preserve">at the solstice, and though there is no </w:t>
      </w:r>
      <w:r w:rsidR="00671EDD">
        <w:t>evidence for its significance in Neolithic Wales</w:t>
      </w:r>
      <w:r w:rsidR="0009623A">
        <w:t xml:space="preserve">, it is possible that </w:t>
      </w:r>
      <w:r w:rsidR="009270C9">
        <w:t>a</w:t>
      </w:r>
      <w:r w:rsidR="0009623A">
        <w:t xml:space="preserve"> long term association of the star with the summer solstice </w:t>
      </w:r>
      <w:r w:rsidR="009270C9">
        <w:t xml:space="preserve">became </w:t>
      </w:r>
      <w:r w:rsidR="0009623A">
        <w:t>significant in later ages</w:t>
      </w:r>
      <w:r w:rsidR="00671EDD">
        <w:t>. However, according to Stellarium, in 3000 BCE to the south, the Milky Way is seen diving into the sea just before sunrise at the time of the Winter Solstice</w:t>
      </w:r>
      <w:r w:rsidR="0086725F">
        <w:t xml:space="preserve"> and in the north, </w:t>
      </w:r>
      <w:r w:rsidR="009B5BB7">
        <w:t>t</w:t>
      </w:r>
      <w:r w:rsidR="0086725F">
        <w:t xml:space="preserve">he constellation Cygnus swoops down onto the horizon. Due to the migration of the whooper swans in the winter at Knowth and Newgrange, the swan has occupied a central place in the mythology of the </w:t>
      </w:r>
      <w:r w:rsidR="009B5BB7">
        <w:t>Irish tomb builders that could have been imported to Wales</w:t>
      </w:r>
      <w:r w:rsidR="004125D1">
        <w:t xml:space="preserve">. </w:t>
      </w:r>
      <w:r w:rsidR="0009623A">
        <w:t xml:space="preserve">Stellarium also shows </w:t>
      </w:r>
      <w:r w:rsidR="00886128">
        <w:t xml:space="preserve">Orion </w:t>
      </w:r>
      <w:r w:rsidR="0009623A">
        <w:t>setting just as the sun rises in 3000 BC, with the upstretched arm crossing the path of the Milky Way</w:t>
      </w:r>
      <w:r w:rsidR="00D91C3F">
        <w:t xml:space="preserve">, and will be explored </w:t>
      </w:r>
      <w:r w:rsidR="00875E94">
        <w:t>in the next section</w:t>
      </w:r>
    </w:p>
    <w:p w14:paraId="7A04B012" w14:textId="175AA7E0" w:rsidR="00875E94" w:rsidRDefault="007919F7">
      <w:r>
        <w:t>Therefore, the movements of the sun</w:t>
      </w:r>
      <w:r w:rsidR="00E46855">
        <w:t xml:space="preserve">, with a particular focus on its most powerful times, was integrated with the landscape and the natural surroundings, including water and mountains. </w:t>
      </w:r>
      <w:r w:rsidR="0044534F">
        <w:t>There is no concrete evidence of an interest in the moon</w:t>
      </w:r>
      <w:r w:rsidR="00875E94">
        <w:t>, or any constellations</w:t>
      </w:r>
      <w:r w:rsidR="0044534F">
        <w:t xml:space="preserve"> at Bryn Celli Ddu, but the </w:t>
      </w:r>
      <w:r w:rsidR="0044534F">
        <w:lastRenderedPageBreak/>
        <w:t xml:space="preserve">alignments mentioned thus far could have also enabled them to track </w:t>
      </w:r>
      <w:r w:rsidR="00875E94">
        <w:t>or observe any celestial movements that arouse out of the cultural context.</w:t>
      </w:r>
    </w:p>
    <w:p w14:paraId="37684D30" w14:textId="44B16AA5" w:rsidR="00191A8E" w:rsidRDefault="00F874A5">
      <w:r>
        <w:t>Evidence from mythology</w:t>
      </w:r>
    </w:p>
    <w:p w14:paraId="65551687" w14:textId="387CAAC5" w:rsidR="00F874A5" w:rsidRDefault="00AD35D6">
      <w:r>
        <w:t>The mythologies of both Ireland and Wales are intertwined</w:t>
      </w:r>
      <w:r w:rsidR="00911D3A">
        <w:t xml:space="preserve">, suggesting a level of cultural exchange </w:t>
      </w:r>
      <w:r w:rsidR="009B5BB7">
        <w:t xml:space="preserve">that </w:t>
      </w:r>
      <w:r w:rsidR="00911D3A">
        <w:t xml:space="preserve">is </w:t>
      </w:r>
      <w:r w:rsidR="00A163FA">
        <w:t>not fully documented in the historical records.</w:t>
      </w:r>
      <w:r w:rsidR="00911D3A">
        <w:t xml:space="preserve"> </w:t>
      </w:r>
      <w:r w:rsidR="00CE0634">
        <w:t>In the Triads of the Island of Britain</w:t>
      </w:r>
      <w:r w:rsidR="00EA3792">
        <w:t>, a key character called Gwydion ap Don, known as the ‘master of the movements of heaven’</w:t>
      </w:r>
      <w:r w:rsidR="00E855B1">
        <w:t xml:space="preserve"> was buried under something called the stone of enigmas.</w:t>
      </w:r>
      <w:r w:rsidR="00875E94">
        <w:rPr>
          <w:rStyle w:val="FootnoteReference"/>
        </w:rPr>
        <w:footnoteReference w:id="57"/>
      </w:r>
      <w:r w:rsidR="00E855B1">
        <w:t xml:space="preserve"> His mother, Don, daughter of Mathonwy, married Beli ap Manogan</w:t>
      </w:r>
      <w:r w:rsidR="00DA65DE">
        <w:t xml:space="preserve"> and together they </w:t>
      </w:r>
      <w:r w:rsidR="009B5BB7">
        <w:t xml:space="preserve">gave birth to the </w:t>
      </w:r>
      <w:r w:rsidR="00D97784">
        <w:t>Children of Light. Don is sometimes seen as the equ</w:t>
      </w:r>
      <w:r w:rsidR="0071758F">
        <w:t>i</w:t>
      </w:r>
      <w:r w:rsidR="00D97784">
        <w:t>valent of the Irish matriarch, Danu, who</w:t>
      </w:r>
      <w:r w:rsidR="00FD100A">
        <w:t xml:space="preserve"> with the Dadga, </w:t>
      </w:r>
      <w:r w:rsidR="009B5BB7">
        <w:t xml:space="preserve">also had offspring called </w:t>
      </w:r>
      <w:r w:rsidR="00FD100A">
        <w:t>the Sons/Daugh</w:t>
      </w:r>
      <w:r w:rsidR="009B5BB7">
        <w:t>t</w:t>
      </w:r>
      <w:r w:rsidR="00FD100A">
        <w:t xml:space="preserve">ers of Light, otherwise known as the Tuatha de Danaan. </w:t>
      </w:r>
      <w:r w:rsidR="00F71EB4">
        <w:t xml:space="preserve">The Dadga is linked with Newgrange, which is </w:t>
      </w:r>
      <w:r w:rsidR="0071758F">
        <w:t xml:space="preserve">also known as </w:t>
      </w:r>
      <w:r w:rsidR="00F71EB4">
        <w:t xml:space="preserve">Sid in Broga, the ‘fairy mound.’ </w:t>
      </w:r>
      <w:r w:rsidR="009E4A3C">
        <w:t xml:space="preserve">According to the Dindenchads (?) mounds were considered to be access points through which the Tuatha could pass between worlds, </w:t>
      </w:r>
      <w:r w:rsidR="00913358">
        <w:t>entangling</w:t>
      </w:r>
      <w:r w:rsidR="009E4A3C">
        <w:t xml:space="preserve"> heaven, earth and the Otherworld.</w:t>
      </w:r>
      <w:r w:rsidR="0071758F">
        <w:rPr>
          <w:rStyle w:val="FootnoteReference"/>
        </w:rPr>
        <w:footnoteReference w:id="58"/>
      </w:r>
      <w:r w:rsidR="009E4A3C">
        <w:t xml:space="preserve"> </w:t>
      </w:r>
      <w:r w:rsidR="009B5BB7">
        <w:t xml:space="preserve">And in </w:t>
      </w:r>
      <w:r w:rsidR="0071758F">
        <w:t>the</w:t>
      </w:r>
      <w:r w:rsidR="00913358">
        <w:t xml:space="preserve"> </w:t>
      </w:r>
      <w:r w:rsidR="0071758F">
        <w:t xml:space="preserve">Mabinogion, </w:t>
      </w:r>
      <w:r w:rsidR="001F0EB6">
        <w:t xml:space="preserve">mounds are frequently associated with mists, </w:t>
      </w:r>
      <w:r w:rsidR="00913358">
        <w:t>ruptures in time</w:t>
      </w:r>
      <w:r w:rsidR="00A4612A">
        <w:t xml:space="preserve"> and the supernatural</w:t>
      </w:r>
      <w:r w:rsidR="004412B9">
        <w:t>, as for example when Rhiannon meets Pwylli in the First Branch</w:t>
      </w:r>
      <w:r w:rsidR="0057239B">
        <w:t>.</w:t>
      </w:r>
      <w:r w:rsidR="0071758F">
        <w:rPr>
          <w:rStyle w:val="FootnoteReference"/>
        </w:rPr>
        <w:footnoteReference w:id="59"/>
      </w:r>
    </w:p>
    <w:p w14:paraId="130E6990" w14:textId="10E4770B" w:rsidR="00D91C3F" w:rsidRDefault="00D91C3F" w:rsidP="00D91C3F">
      <w:r>
        <w:t>The Dadga in particular was linked with light, the heavens and the Otherworld. Quote. In 3000 BCE, as Orion rises at the Winter Solstice, the hand of the Orion seems to cut across the Milky Way. This could have led symbolically to Orion, and therefore the Dadda, being linked to the light of the sun as this time</w:t>
      </w:r>
      <w:r w:rsidR="005D0860">
        <w:t xml:space="preserve">. So as suggested by Murphy, ‘so symbolically the god of light has the sun in his hand.’ </w:t>
      </w:r>
      <w:r w:rsidR="005D0860">
        <w:rPr>
          <w:rStyle w:val="FootnoteReference"/>
        </w:rPr>
        <w:footnoteReference w:id="60"/>
      </w:r>
      <w:r>
        <w:t xml:space="preserve"> This is speculation, but could also warrant further investigation as it does add a potential stellar dimension to the cosmology of the builders of not just New Grange, but </w:t>
      </w:r>
      <w:r w:rsidR="005649D7">
        <w:t xml:space="preserve">also </w:t>
      </w:r>
      <w:r>
        <w:t>Bryn Celli Ddu</w:t>
      </w:r>
      <w:r w:rsidR="005649D7">
        <w:t>.</w:t>
      </w:r>
    </w:p>
    <w:p w14:paraId="6A636022" w14:textId="02662000" w:rsidR="00875E94" w:rsidRDefault="00F62BD4" w:rsidP="00875E94">
      <w:r>
        <w:t>In both Irish and Welsh mythology, mounds are therefore linked to powerful elites who knew how to control nature in such a way as to evoke a feeling of magic and awe in those who witnessed it.</w:t>
      </w:r>
      <w:r w:rsidR="00612424">
        <w:t xml:space="preserve"> </w:t>
      </w:r>
      <w:r w:rsidR="00791313">
        <w:t xml:space="preserve">Though these mythologies are recorded thousands of years after the building of the Irish passage tomb monuments, </w:t>
      </w:r>
      <w:r w:rsidR="00C11326">
        <w:t xml:space="preserve">using the definition of myths as ‘timeless universal stories suitable for telling and retelling’ that ‘don’t separate the imaginal from the cultural or spiritual,’ </w:t>
      </w:r>
      <w:r w:rsidR="00FB653D">
        <w:t>the</w:t>
      </w:r>
      <w:r w:rsidR="00C11326">
        <w:t xml:space="preserve">se stories can hold </w:t>
      </w:r>
      <w:r w:rsidR="00FB653D">
        <w:t xml:space="preserve"> fragments of long held beliefs</w:t>
      </w:r>
      <w:r w:rsidR="00913358">
        <w:t>,</w:t>
      </w:r>
      <w:r w:rsidR="00FB653D">
        <w:t xml:space="preserve"> deeply rooted in the c</w:t>
      </w:r>
      <w:r w:rsidR="00AE2872">
        <w:t>ycles of heaven and Earth.</w:t>
      </w:r>
      <w:r w:rsidR="005D0860">
        <w:rPr>
          <w:rStyle w:val="FootnoteReference"/>
        </w:rPr>
        <w:footnoteReference w:id="61"/>
      </w:r>
      <w:r w:rsidR="00AE2872">
        <w:t xml:space="preserve"> </w:t>
      </w:r>
      <w:r w:rsidR="00FD6C81">
        <w:t xml:space="preserve">The people who built the </w:t>
      </w:r>
      <w:r w:rsidR="0053733D">
        <w:t xml:space="preserve">tombs, </w:t>
      </w:r>
      <w:r w:rsidR="0076685C">
        <w:t>using knowledge passed over the seas between Ireland and Anglesey</w:t>
      </w:r>
      <w:r w:rsidR="008C432B">
        <w:t xml:space="preserve">, could have been an elite who </w:t>
      </w:r>
      <w:r w:rsidR="0043609D">
        <w:t xml:space="preserve">knew how to control sunlight and therefore wielded power in this way. </w:t>
      </w:r>
      <w:r w:rsidR="00952EA1">
        <w:t xml:space="preserve">Though at Bryn Celli Ddy, the summer solstice rising sun is key, </w:t>
      </w:r>
      <w:r w:rsidR="00817E0A">
        <w:t xml:space="preserve">New Grange has a demonstrated </w:t>
      </w:r>
      <w:r w:rsidR="00952EA1">
        <w:t>W</w:t>
      </w:r>
      <w:r w:rsidR="00817E0A">
        <w:t xml:space="preserve">inter </w:t>
      </w:r>
      <w:r w:rsidR="00952EA1">
        <w:t>S</w:t>
      </w:r>
      <w:r w:rsidR="00817E0A">
        <w:t xml:space="preserve">olstice </w:t>
      </w:r>
      <w:r w:rsidR="00952EA1">
        <w:t xml:space="preserve">rising sun </w:t>
      </w:r>
      <w:r w:rsidR="00817E0A">
        <w:t xml:space="preserve">alignment. </w:t>
      </w:r>
      <w:r w:rsidR="00952EA1">
        <w:t>As Newgrange</w:t>
      </w:r>
      <w:r w:rsidR="00913358">
        <w:t xml:space="preserve">, in the </w:t>
      </w:r>
      <w:r w:rsidR="00952EA1">
        <w:t>west</w:t>
      </w:r>
      <w:r w:rsidR="00913358">
        <w:t xml:space="preserve"> </w:t>
      </w:r>
      <w:r w:rsidR="00952EA1">
        <w:t>could be suggestive of the ancestral realms of Welsh mytho</w:t>
      </w:r>
      <w:r w:rsidR="009B70E3">
        <w:t>logy, the place where the dead and the ancestors dwell.</w:t>
      </w:r>
      <w:r w:rsidR="00875E94">
        <w:t xml:space="preserve"> </w:t>
      </w:r>
      <w:r w:rsidR="0089017E">
        <w:t xml:space="preserve">O’Brien also suggested that in Neolithic mythology, the dead travel to the </w:t>
      </w:r>
      <w:r w:rsidR="00875E94">
        <w:t>SW to enter the Otherworld, usually in a direction of an island, which in this case, is the island of Ireland itself.</w:t>
      </w:r>
      <w:r w:rsidR="005D0860">
        <w:rPr>
          <w:rStyle w:val="FootnoteReference"/>
        </w:rPr>
        <w:footnoteReference w:id="62"/>
      </w:r>
    </w:p>
    <w:p w14:paraId="43503581" w14:textId="016BDCC2" w:rsidR="00533066" w:rsidRDefault="00533066"/>
    <w:p w14:paraId="2EAC3C8A" w14:textId="04ED8EDE" w:rsidR="00386ADF" w:rsidRDefault="00386ADF">
      <w:r>
        <w:t>Conclusion</w:t>
      </w:r>
    </w:p>
    <w:p w14:paraId="77B8E9BE" w14:textId="1C0E88F6" w:rsidR="005C7362" w:rsidRDefault="00454A22" w:rsidP="00BB2430">
      <w:pPr>
        <w:rPr>
          <w:color w:val="FF0000"/>
        </w:rPr>
      </w:pPr>
      <w:r>
        <w:t>This essay set out to answer the question ‘Is the positioning of Bryn Celli Ddu of cultural astronomical significance?’</w:t>
      </w:r>
      <w:r w:rsidR="009E2B17">
        <w:t xml:space="preserve"> Using a phenomenological approach that combined landscape </w:t>
      </w:r>
      <w:r w:rsidR="009E2B17">
        <w:lastRenderedPageBreak/>
        <w:t>archaeology with cultural astronomy, I was able to bring together a site and landscape survey with an exploration of cultural remains and mythology to start to piece together a worldview of the people who built and used Bryn Celli Ddu</w:t>
      </w:r>
      <w:r w:rsidR="00A915FE">
        <w:t>. By finding, as Ingold says, a ‘way of being in the landscape</w:t>
      </w:r>
      <w:r w:rsidR="000C2925">
        <w:t>,</w:t>
      </w:r>
      <w:r w:rsidR="00A915FE">
        <w:t xml:space="preserve">’ I am able to </w:t>
      </w:r>
      <w:r w:rsidR="000C2925">
        <w:t xml:space="preserve">conclude that the positioning of </w:t>
      </w:r>
      <w:r w:rsidR="00B45992">
        <w:t>the site is of cultural astronomical significance.</w:t>
      </w:r>
      <w:r w:rsidR="009E2B17">
        <w:t xml:space="preserve"> It has been demonstrated that the monument builders shared a cultural heritage with the </w:t>
      </w:r>
      <w:r w:rsidR="00176AFA">
        <w:t xml:space="preserve">Boyne Valley monument of Ireland, and therefore could have shared a cosmology that </w:t>
      </w:r>
      <w:r w:rsidR="00C7343C">
        <w:t>incorporated materials such as stone, fire and water, landscape features and the positioning and orientation that were all aligned to the wider principles of the cosmos in an embodied and holistic way</w:t>
      </w:r>
      <w:r w:rsidR="000C2925">
        <w:t>, as suggested by Cummings and Whittle</w:t>
      </w:r>
      <w:r w:rsidR="00C7343C">
        <w:t xml:space="preserve">. The results of the field survey clearly show that the opening of the tomb was aligned to summer solstice sunrise, </w:t>
      </w:r>
      <w:r w:rsidR="000C2925">
        <w:t xml:space="preserve">as </w:t>
      </w:r>
      <w:r w:rsidR="00B45992">
        <w:t xml:space="preserve">already demonstrated by Burrows, </w:t>
      </w:r>
      <w:r w:rsidR="000C2925">
        <w:t>but that,</w:t>
      </w:r>
      <w:r w:rsidR="00C7343C">
        <w:t xml:space="preserve"> furthermore, landscape features such as gaps in mountains and hills on the horizon were also orientated in a more general way to the winter solstice sunrise and winter solstice sunset . These alignments suggest that the </w:t>
      </w:r>
      <w:r w:rsidR="00B45992">
        <w:t xml:space="preserve">movement of the </w:t>
      </w:r>
      <w:r w:rsidR="00C7343C">
        <w:t xml:space="preserve">sun was </w:t>
      </w:r>
      <w:r w:rsidR="00B45992">
        <w:t xml:space="preserve">of cultural astronomical significance to the builders, and when taken together with material remains such as the Pattern Stone and guardian stone, along with the cupmarks and the prominent rock outcrop known as Gorsedd, indicate that they played a prominent role in death and regeneration rituals at the site. </w:t>
      </w:r>
      <w:r w:rsidR="005C7362">
        <w:t xml:space="preserve">The symbolic importance of the </w:t>
      </w:r>
      <w:r w:rsidR="00DF4B18">
        <w:t>rising sun at the summer solstice</w:t>
      </w:r>
      <w:r w:rsidR="005C7362">
        <w:t xml:space="preserve"> in middle Neolithic cosmology has also been confirmed by </w:t>
      </w:r>
      <w:r w:rsidR="000C2925">
        <w:t>Bradley</w:t>
      </w:r>
      <w:r w:rsidR="005C7362">
        <w:t>, and Grearney associates this knowledge with powerful and controlling elites</w:t>
      </w:r>
      <w:r w:rsidR="00DF4B18">
        <w:t xml:space="preserve">. </w:t>
      </w:r>
      <w:r w:rsidR="00582F78">
        <w:t xml:space="preserve">The mythology of both </w:t>
      </w:r>
      <w:r w:rsidR="000C2925">
        <w:t>W</w:t>
      </w:r>
      <w:r w:rsidR="00582F78">
        <w:t>ales and Ireland describes how powerful Otherworld</w:t>
      </w:r>
      <w:r w:rsidR="005649D7">
        <w:t>l</w:t>
      </w:r>
      <w:r w:rsidR="00582F78">
        <w:t xml:space="preserve">y beings connected with mounds had powers over both time and light, and therefore knew how to manipulate the power of the sun. </w:t>
      </w:r>
      <w:r w:rsidR="000C2925">
        <w:t xml:space="preserve">Finally, </w:t>
      </w:r>
      <w:r w:rsidR="00A915FE">
        <w:t xml:space="preserve">from a phenomenological perspective, </w:t>
      </w:r>
      <w:r w:rsidR="000C2925">
        <w:t>the</w:t>
      </w:r>
      <w:r w:rsidR="005C7362">
        <w:t xml:space="preserve"> unrestricted view of both horizon and skies, together with </w:t>
      </w:r>
      <w:r w:rsidR="00937ED5">
        <w:t xml:space="preserve">the demonstrated solsticial orientations of the site with horizon features, implies that Bryn Celli Ddu could also be used to observe or track constellations of cultural astronomical importance such as Orion or Cygnus, </w:t>
      </w:r>
      <w:r w:rsidR="00676351">
        <w:t>or the movements of the moon.</w:t>
      </w:r>
      <w:r w:rsidR="005649D7">
        <w:t xml:space="preserve"> </w:t>
      </w:r>
    </w:p>
    <w:p w14:paraId="7A0BC2F0" w14:textId="77777777" w:rsidR="005C7362" w:rsidRDefault="005C7362" w:rsidP="00BB2430">
      <w:pPr>
        <w:rPr>
          <w:color w:val="FF0000"/>
        </w:rPr>
      </w:pPr>
    </w:p>
    <w:p w14:paraId="17278952" w14:textId="3BC9FEA1" w:rsidR="00C7343C" w:rsidRDefault="00C7343C" w:rsidP="00C7343C"/>
    <w:p w14:paraId="30A0D962" w14:textId="62CBC1E3" w:rsidR="00C7343C" w:rsidRDefault="00C7343C" w:rsidP="00454A22"/>
    <w:p w14:paraId="3E8F1460" w14:textId="77777777" w:rsidR="0086285D" w:rsidRDefault="0086285D"/>
    <w:p w14:paraId="18693E4F" w14:textId="4897CC51" w:rsidR="00381D3C" w:rsidRDefault="00381D3C" w:rsidP="0068153D">
      <w:r>
        <w:t>Bibliography</w:t>
      </w:r>
    </w:p>
    <w:p w14:paraId="0D467F87" w14:textId="6BB4622D" w:rsidR="00A163FA" w:rsidRPr="00A163FA" w:rsidRDefault="00A163FA" w:rsidP="00A163FA">
      <w:pPr>
        <w:autoSpaceDE w:val="0"/>
        <w:autoSpaceDN w:val="0"/>
        <w:adjustRightInd w:val="0"/>
        <w:spacing w:after="0" w:line="240" w:lineRule="auto"/>
        <w:rPr>
          <w:rFonts w:cstheme="minorHAnsi"/>
        </w:rPr>
      </w:pPr>
      <w:r w:rsidRPr="00A163FA">
        <w:rPr>
          <w:rFonts w:cstheme="minorHAnsi"/>
        </w:rPr>
        <w:t>Steve Burrow, Proceedings of the Prehistoric Society 76, 2010, pp. 249–270</w:t>
      </w:r>
    </w:p>
    <w:p w14:paraId="649718F0" w14:textId="77777777" w:rsidR="00A163FA" w:rsidRPr="00A163FA" w:rsidRDefault="00A163FA" w:rsidP="00A163FA">
      <w:pPr>
        <w:autoSpaceDE w:val="0"/>
        <w:autoSpaceDN w:val="0"/>
        <w:adjustRightInd w:val="0"/>
        <w:spacing w:after="0" w:line="240" w:lineRule="auto"/>
        <w:rPr>
          <w:rFonts w:cstheme="minorHAnsi"/>
        </w:rPr>
      </w:pPr>
      <w:r w:rsidRPr="00A163FA">
        <w:rPr>
          <w:rFonts w:cstheme="minorHAnsi"/>
        </w:rPr>
        <w:t>Bryn Celli Ddu Passage Tomb, Anglesey: Alignment,</w:t>
      </w:r>
    </w:p>
    <w:p w14:paraId="3200B23F" w14:textId="53DA5E68" w:rsidR="00A163FA" w:rsidRPr="00A163FA" w:rsidRDefault="00A163FA" w:rsidP="00A163FA">
      <w:pPr>
        <w:rPr>
          <w:rFonts w:cstheme="minorHAnsi"/>
        </w:rPr>
      </w:pPr>
      <w:r w:rsidRPr="00A163FA">
        <w:rPr>
          <w:rFonts w:cstheme="minorHAnsi"/>
        </w:rPr>
        <w:t>Construction, Date, and Ritua</w:t>
      </w:r>
      <w:r>
        <w:rPr>
          <w:rFonts w:cstheme="minorHAnsi"/>
        </w:rPr>
        <w:t>l</w:t>
      </w:r>
    </w:p>
    <w:p w14:paraId="5FC2DD7F" w14:textId="77777777" w:rsidR="00A163FA" w:rsidRP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 xml:space="preserve">Chapter Title: The years around 3000 BC </w:t>
      </w:r>
    </w:p>
    <w:p w14:paraId="51B83D55" w14:textId="77777777" w:rsidR="00A163FA" w:rsidRP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Book Title: Shadowland</w:t>
      </w:r>
    </w:p>
    <w:p w14:paraId="2415CACF" w14:textId="77777777" w:rsidR="00A163FA" w:rsidRP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Book Subtitle: Wales 3000-1500 BC</w:t>
      </w:r>
    </w:p>
    <w:p w14:paraId="7312345F" w14:textId="77777777" w:rsidR="00A163FA" w:rsidRP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Book Author(s): Steve Burrow</w:t>
      </w:r>
    </w:p>
    <w:p w14:paraId="1C70242A" w14:textId="77777777" w:rsidR="00A163FA" w:rsidRP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Published by: Oxbow Books. (2011)</w:t>
      </w:r>
    </w:p>
    <w:p w14:paraId="15281848" w14:textId="03780974" w:rsidR="00A163FA" w:rsidRDefault="00A163FA" w:rsidP="00A163FA">
      <w:pPr>
        <w:autoSpaceDE w:val="0"/>
        <w:autoSpaceDN w:val="0"/>
        <w:adjustRightInd w:val="0"/>
        <w:spacing w:after="0" w:line="240" w:lineRule="auto"/>
        <w:rPr>
          <w:rFonts w:ascii="Code" w:hAnsi="Code" w:cs="Code"/>
          <w:color w:val="000000"/>
          <w:sz w:val="23"/>
          <w:szCs w:val="23"/>
        </w:rPr>
      </w:pPr>
      <w:r w:rsidRPr="00A163FA">
        <w:rPr>
          <w:rFonts w:ascii="Code" w:hAnsi="Code" w:cs="Code"/>
          <w:color w:val="000000"/>
          <w:sz w:val="23"/>
          <w:szCs w:val="23"/>
        </w:rPr>
        <w:t xml:space="preserve">Stable URL: https://www.jstor.org/stable/j.ctvh1dn65.5 </w:t>
      </w:r>
    </w:p>
    <w:p w14:paraId="2F0F4CE8" w14:textId="77777777" w:rsidR="002738AA" w:rsidRPr="00A163FA" w:rsidRDefault="002738AA" w:rsidP="00A163FA">
      <w:pPr>
        <w:autoSpaceDE w:val="0"/>
        <w:autoSpaceDN w:val="0"/>
        <w:adjustRightInd w:val="0"/>
        <w:spacing w:after="0" w:line="240" w:lineRule="auto"/>
        <w:rPr>
          <w:rFonts w:ascii="Code" w:hAnsi="Code" w:cs="Code"/>
          <w:color w:val="000000"/>
          <w:sz w:val="23"/>
          <w:szCs w:val="23"/>
        </w:rPr>
      </w:pPr>
    </w:p>
    <w:p w14:paraId="15492687"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Chapter Title: The Formative Henge: Speculations Drawn from the Circular Traditions</w:t>
      </w:r>
    </w:p>
    <w:p w14:paraId="3257C5E3"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of Wales and Adjacent Counties</w:t>
      </w:r>
    </w:p>
    <w:p w14:paraId="6C4F5BD2"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Chapter Author(s): Steve Burrow</w:t>
      </w:r>
    </w:p>
    <w:p w14:paraId="3B8276A2"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Book Title: Round Mounds and Monumentality in the British Neolithic and Beyond</w:t>
      </w:r>
    </w:p>
    <w:p w14:paraId="170DFBB2"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Book Editor(s): Jim Leary, Timothy Darvill and David Field</w:t>
      </w:r>
    </w:p>
    <w:p w14:paraId="0E7DA326" w14:textId="77777777" w:rsidR="002738AA" w:rsidRPr="002738AA" w:rsidRDefault="002738AA" w:rsidP="002738AA">
      <w:pPr>
        <w:autoSpaceDE w:val="0"/>
        <w:autoSpaceDN w:val="0"/>
        <w:adjustRightInd w:val="0"/>
        <w:spacing w:after="0" w:line="240" w:lineRule="auto"/>
        <w:rPr>
          <w:rFonts w:eastAsia="Code2000" w:cstheme="minorHAnsi"/>
        </w:rPr>
      </w:pPr>
      <w:r w:rsidRPr="002738AA">
        <w:rPr>
          <w:rFonts w:eastAsia="Code2000" w:cstheme="minorHAnsi"/>
        </w:rPr>
        <w:t>Published by: Oxbow Books</w:t>
      </w:r>
    </w:p>
    <w:p w14:paraId="388B8E1F" w14:textId="04E8A739" w:rsidR="00A163FA" w:rsidRPr="002738AA" w:rsidRDefault="002738AA" w:rsidP="002738AA">
      <w:pPr>
        <w:rPr>
          <w:rFonts w:cstheme="minorHAnsi"/>
        </w:rPr>
      </w:pPr>
      <w:r w:rsidRPr="002738AA">
        <w:rPr>
          <w:rFonts w:eastAsia="Code2000" w:cstheme="minorHAnsi"/>
        </w:rPr>
        <w:lastRenderedPageBreak/>
        <w:t>Stable URL: https://www.jstor.org/stable/j.ctt1cd0pjb.16</w:t>
      </w:r>
    </w:p>
    <w:p w14:paraId="55AFFF98" w14:textId="3C5423B2" w:rsidR="00AC3DA0" w:rsidRDefault="00AC3DA0" w:rsidP="0068153D">
      <w:pPr>
        <w:rPr>
          <w:sz w:val="23"/>
          <w:szCs w:val="23"/>
        </w:rPr>
      </w:pPr>
      <w:r>
        <w:rPr>
          <w:sz w:val="23"/>
          <w:szCs w:val="23"/>
        </w:rPr>
        <w:t xml:space="preserve">Phenomenological Approaches in Landscape Archaeology Author(s): Matthew H. Johnson Source: Annual Review of Anthropology , 2012, Vol. 41 (2012), pp. 269-284 Published by: Annual Reviews Stable URL: </w:t>
      </w:r>
      <w:hyperlink r:id="rId13" w:history="1">
        <w:r w:rsidRPr="00F14FE2">
          <w:rPr>
            <w:rStyle w:val="Hyperlink"/>
            <w:sz w:val="23"/>
            <w:szCs w:val="23"/>
          </w:rPr>
          <w:t>http://www.jstor.com/stable/23270711</w:t>
        </w:r>
      </w:hyperlink>
    </w:p>
    <w:p w14:paraId="6B5AF254" w14:textId="33AF3EE4" w:rsidR="00AC3DA0" w:rsidRDefault="0033726F" w:rsidP="0033726F">
      <w:pPr>
        <w:rPr>
          <w:rFonts w:cstheme="minorHAnsi"/>
        </w:rPr>
      </w:pPr>
      <w:r w:rsidRPr="0033726F">
        <w:rPr>
          <w:rFonts w:cstheme="minorHAnsi"/>
        </w:rPr>
        <w:t>Vicki Cummings, Andrew Jones &amp; Aaron Watson</w:t>
      </w:r>
      <w:r>
        <w:rPr>
          <w:rFonts w:cstheme="minorHAnsi"/>
        </w:rPr>
        <w:t xml:space="preserve">, </w:t>
      </w:r>
      <w:r w:rsidR="00AC3DA0" w:rsidRPr="0033726F">
        <w:rPr>
          <w:rFonts w:cstheme="minorHAnsi"/>
        </w:rPr>
        <w:t>Divided Places: Phenomenology and Asymmetry in the Monuments of the Black Mountains, Southeast Wales</w:t>
      </w:r>
    </w:p>
    <w:p w14:paraId="4DD41B13"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Chapter Title: The monuments of north-west Wales and their landscape settings</w:t>
      </w:r>
    </w:p>
    <w:p w14:paraId="5D1F7766"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Chapter Author(s): Vicki Cummings</w:t>
      </w:r>
    </w:p>
    <w:p w14:paraId="1B34798B"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Title: Places of Special Virtue</w:t>
      </w:r>
    </w:p>
    <w:p w14:paraId="47279C24"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Subtitle: Megaliths in the Neolithic landscapes of Wales</w:t>
      </w:r>
    </w:p>
    <w:p w14:paraId="559DF854"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Author(s): Vicki Cummings and Alasdair Whittle</w:t>
      </w:r>
    </w:p>
    <w:p w14:paraId="284C93E5"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Published by: Oxbow Books</w:t>
      </w:r>
    </w:p>
    <w:p w14:paraId="1CD288D1"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Stable URL: https://www.jstor.org/stable/j.ctvh1djh5.11</w:t>
      </w:r>
    </w:p>
    <w:p w14:paraId="650C7935" w14:textId="0D1C3C9B" w:rsidR="00C87437" w:rsidRDefault="00C87437" w:rsidP="00C87437">
      <w:pPr>
        <w:rPr>
          <w:rFonts w:ascii="Code2000" w:eastAsia="Code2000" w:cs="Code2000"/>
          <w:sz w:val="18"/>
          <w:szCs w:val="18"/>
        </w:rPr>
      </w:pPr>
      <w:r>
        <w:rPr>
          <w:rFonts w:ascii="Code2000" w:eastAsia="Code2000" w:cs="Code2000"/>
          <w:sz w:val="18"/>
          <w:szCs w:val="18"/>
        </w:rPr>
        <w:t>JSTOR</w:t>
      </w:r>
    </w:p>
    <w:p w14:paraId="3CBB347C"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Chapter Title: Places, monuments and landscapes: ways of seeing</w:t>
      </w:r>
    </w:p>
    <w:p w14:paraId="74D94492"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Chapter Author(s): Vicki Cummings and Alasdair Whittle</w:t>
      </w:r>
    </w:p>
    <w:p w14:paraId="4E2898D6"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Title: Places of Special Virtue</w:t>
      </w:r>
    </w:p>
    <w:p w14:paraId="067C3711"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Subtitle: Megaliths in the Neolithic landscapes of Wales</w:t>
      </w:r>
    </w:p>
    <w:p w14:paraId="66593B2D"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Author(s): Vicki Cummings and Alasdair Whittle</w:t>
      </w:r>
    </w:p>
    <w:p w14:paraId="08400970" w14:textId="77777777" w:rsidR="00C87437" w:rsidRDefault="00C87437" w:rsidP="00C8743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Published by: Oxbow Books</w:t>
      </w:r>
    </w:p>
    <w:p w14:paraId="0F4DCCD2" w14:textId="7C2262B4" w:rsidR="00C87437" w:rsidRDefault="00C87437" w:rsidP="00C87437">
      <w:pPr>
        <w:rPr>
          <w:rFonts w:ascii="Code2000" w:eastAsia="Code2000" w:cs="Code2000"/>
          <w:sz w:val="24"/>
          <w:szCs w:val="24"/>
        </w:rPr>
      </w:pPr>
      <w:r>
        <w:rPr>
          <w:rFonts w:ascii="Code2000" w:eastAsia="Code2000" w:cs="Code2000"/>
          <w:sz w:val="24"/>
          <w:szCs w:val="24"/>
        </w:rPr>
        <w:t xml:space="preserve">Stable URL: </w:t>
      </w:r>
      <w:hyperlink r:id="rId14" w:history="1">
        <w:r w:rsidR="00B778BD" w:rsidRPr="005E4F4D">
          <w:rPr>
            <w:rStyle w:val="Hyperlink"/>
            <w:rFonts w:ascii="Code2000" w:eastAsia="Code2000" w:cs="Code2000"/>
            <w:sz w:val="24"/>
            <w:szCs w:val="24"/>
          </w:rPr>
          <w:t>https://www.jstor.org/stable/j.ctvh1djh5.8</w:t>
        </w:r>
      </w:hyperlink>
    </w:p>
    <w:p w14:paraId="5666D8B6" w14:textId="77777777" w:rsidR="00B6256D" w:rsidRDefault="00B6256D" w:rsidP="00B6256D">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b/>
          <w:bCs/>
          <w:sz w:val="24"/>
          <w:szCs w:val="24"/>
        </w:rPr>
        <w:t>Tombs with a view: Landscape, monuments and trees</w:t>
      </w:r>
    </w:p>
    <w:p w14:paraId="42949DA7" w14:textId="77777777" w:rsidR="00B6256D" w:rsidRDefault="00B6256D" w:rsidP="00B6256D">
      <w:pPr>
        <w:autoSpaceDE w:val="0"/>
        <w:autoSpaceDN w:val="0"/>
        <w:adjustRightInd w:val="0"/>
        <w:spacing w:after="0" w:line="240" w:lineRule="auto"/>
        <w:rPr>
          <w:rFonts w:ascii="Times New Roman" w:hAnsi="Times New Roman" w:cs="Times New Roman"/>
          <w:sz w:val="20"/>
          <w:szCs w:val="20"/>
        </w:rPr>
      </w:pPr>
      <w:r>
        <w:rPr>
          <w:rFonts w:ascii="Times New Roman" w:hAnsi="Times New Roman" w:cs="Times New Roman"/>
          <w:sz w:val="20"/>
          <w:szCs w:val="20"/>
        </w:rPr>
        <w:t>Cummings, Vicki;Whittle, Alasdair</w:t>
      </w:r>
    </w:p>
    <w:p w14:paraId="5A70D9D8" w14:textId="77777777" w:rsidR="00B6256D" w:rsidRDefault="00B6256D" w:rsidP="00B6256D">
      <w:pPr>
        <w:autoSpaceDE w:val="0"/>
        <w:autoSpaceDN w:val="0"/>
        <w:adjustRightInd w:val="0"/>
        <w:spacing w:after="0" w:line="240" w:lineRule="auto"/>
        <w:rPr>
          <w:rFonts w:ascii="Times New Roman" w:hAnsi="Times New Roman" w:cs="Times New Roman"/>
          <w:sz w:val="20"/>
          <w:szCs w:val="20"/>
        </w:rPr>
      </w:pPr>
      <w:r>
        <w:rPr>
          <w:rFonts w:ascii="Times New Roman" w:hAnsi="Times New Roman" w:cs="Times New Roman"/>
          <w:i/>
          <w:iCs/>
          <w:sz w:val="20"/>
          <w:szCs w:val="20"/>
        </w:rPr>
        <w:t xml:space="preserve">Antiquity; </w:t>
      </w:r>
      <w:r>
        <w:rPr>
          <w:rFonts w:ascii="Times New Roman" w:hAnsi="Times New Roman" w:cs="Times New Roman"/>
          <w:sz w:val="20"/>
          <w:szCs w:val="20"/>
        </w:rPr>
        <w:t>Jun 2003; 77, 296; ProQuest Central</w:t>
      </w:r>
    </w:p>
    <w:p w14:paraId="4E3192FE" w14:textId="2041DAC8" w:rsidR="00B6256D" w:rsidRDefault="00B6256D" w:rsidP="00B6256D">
      <w:pPr>
        <w:rPr>
          <w:rFonts w:ascii="Code2000" w:eastAsia="Code2000" w:cs="Code2000"/>
          <w:sz w:val="24"/>
          <w:szCs w:val="24"/>
        </w:rPr>
      </w:pPr>
      <w:r>
        <w:rPr>
          <w:rFonts w:ascii="Times New Roman" w:hAnsi="Times New Roman" w:cs="Times New Roman"/>
          <w:sz w:val="20"/>
          <w:szCs w:val="20"/>
        </w:rPr>
        <w:t>pg. 255</w:t>
      </w:r>
    </w:p>
    <w:p w14:paraId="1B9A0479" w14:textId="77777777" w:rsidR="00B778BD" w:rsidRPr="00B778BD" w:rsidRDefault="00B778BD" w:rsidP="00B778BD">
      <w:pPr>
        <w:autoSpaceDE w:val="0"/>
        <w:autoSpaceDN w:val="0"/>
        <w:adjustRightInd w:val="0"/>
        <w:spacing w:after="0" w:line="240" w:lineRule="auto"/>
        <w:rPr>
          <w:rFonts w:ascii="Code" w:hAnsi="Code" w:cs="Code"/>
          <w:color w:val="000000"/>
          <w:sz w:val="24"/>
          <w:szCs w:val="24"/>
        </w:rPr>
      </w:pPr>
    </w:p>
    <w:p w14:paraId="7EAA659A" w14:textId="77777777" w:rsidR="00B778BD" w:rsidRPr="00B778BD" w:rsidRDefault="00B778BD" w:rsidP="00B778BD">
      <w:pPr>
        <w:autoSpaceDE w:val="0"/>
        <w:autoSpaceDN w:val="0"/>
        <w:adjustRightInd w:val="0"/>
        <w:spacing w:before="400" w:after="0" w:line="240" w:lineRule="auto"/>
        <w:rPr>
          <w:rFonts w:ascii="Code" w:hAnsi="Code" w:cs="Code"/>
          <w:color w:val="000000"/>
          <w:sz w:val="24"/>
          <w:szCs w:val="24"/>
        </w:rPr>
      </w:pPr>
      <w:r w:rsidRPr="00B778BD">
        <w:rPr>
          <w:rFonts w:ascii="Code" w:hAnsi="Code" w:cs="Code"/>
          <w:color w:val="000000"/>
          <w:sz w:val="24"/>
          <w:szCs w:val="24"/>
        </w:rPr>
        <w:t xml:space="preserve"> </w:t>
      </w:r>
    </w:p>
    <w:p w14:paraId="6A08C85E"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Chapter Title: Methodology</w:t>
      </w:r>
    </w:p>
    <w:p w14:paraId="6DFBAF10"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 xml:space="preserve">Chapter Author(s): Vicki Cummings </w:t>
      </w:r>
    </w:p>
    <w:p w14:paraId="6B77EEBF"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Book Title: Places of Special Virtue</w:t>
      </w:r>
    </w:p>
    <w:p w14:paraId="730F11FD"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Book Subtitle: Megaliths in the Neolithic landscapes of Wales</w:t>
      </w:r>
    </w:p>
    <w:p w14:paraId="243219D0"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Book Author(s): Vicki Cummings and Alasdair Whittle</w:t>
      </w:r>
    </w:p>
    <w:p w14:paraId="311500A1"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Published by: Oxbow Books. (2004)</w:t>
      </w:r>
    </w:p>
    <w:p w14:paraId="0DC5DF95" w14:textId="77777777" w:rsidR="00B778BD" w:rsidRPr="00B778BD" w:rsidRDefault="00B778BD" w:rsidP="00B778BD">
      <w:pPr>
        <w:autoSpaceDE w:val="0"/>
        <w:autoSpaceDN w:val="0"/>
        <w:adjustRightInd w:val="0"/>
        <w:spacing w:after="0" w:line="240" w:lineRule="auto"/>
        <w:rPr>
          <w:rFonts w:ascii="Code" w:hAnsi="Code" w:cs="Code"/>
          <w:color w:val="000000"/>
          <w:sz w:val="23"/>
          <w:szCs w:val="23"/>
        </w:rPr>
      </w:pPr>
      <w:r w:rsidRPr="00B778BD">
        <w:rPr>
          <w:rFonts w:ascii="Code" w:hAnsi="Code" w:cs="Code"/>
          <w:color w:val="000000"/>
          <w:sz w:val="23"/>
          <w:szCs w:val="23"/>
        </w:rPr>
        <w:t xml:space="preserve">Stable URL: https://www.jstor.org/stable/j.ctvh1djh5.9 </w:t>
      </w:r>
    </w:p>
    <w:p w14:paraId="0E8630B5" w14:textId="4B5877B2" w:rsidR="00B778BD" w:rsidRDefault="00B778BD" w:rsidP="00B778BD">
      <w:pPr>
        <w:rPr>
          <w:rFonts w:ascii="Code" w:hAnsi="Code" w:cs="Code"/>
          <w:color w:val="000000"/>
          <w:sz w:val="18"/>
          <w:szCs w:val="18"/>
        </w:rPr>
      </w:pPr>
      <w:r w:rsidRPr="00B778BD">
        <w:rPr>
          <w:rFonts w:ascii="Code" w:hAnsi="Code" w:cs="Code"/>
          <w:color w:val="000000"/>
          <w:sz w:val="18"/>
          <w:szCs w:val="18"/>
        </w:rPr>
        <w:t>JSTOR</w:t>
      </w:r>
    </w:p>
    <w:p w14:paraId="65E5496B"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Chapter Title: Stones that float to the sky: seeing place, myth and history</w:t>
      </w:r>
    </w:p>
    <w:p w14:paraId="283E6B4F"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lastRenderedPageBreak/>
        <w:t>Chapter Author(s): Vicki Cummings and Alasdair Whittle</w:t>
      </w:r>
    </w:p>
    <w:p w14:paraId="7DA77C94"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Title: Places of Special Virtue</w:t>
      </w:r>
    </w:p>
    <w:p w14:paraId="1D633387"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Subtitle: Megaliths in the Neolithic landscapes of Wales</w:t>
      </w:r>
    </w:p>
    <w:p w14:paraId="01BC7BF7"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Book Author(s): Vicki Cummings and Alasdair Whittle</w:t>
      </w:r>
    </w:p>
    <w:p w14:paraId="36EC75DE"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Published by: Oxbow Books</w:t>
      </w:r>
    </w:p>
    <w:p w14:paraId="287295E7" w14:textId="77777777" w:rsidR="00341A97" w:rsidRDefault="00341A97" w:rsidP="00341A97">
      <w:pPr>
        <w:autoSpaceDE w:val="0"/>
        <w:autoSpaceDN w:val="0"/>
        <w:adjustRightInd w:val="0"/>
        <w:spacing w:after="0" w:line="240" w:lineRule="auto"/>
        <w:rPr>
          <w:rFonts w:ascii="Code2000" w:eastAsia="Code2000" w:cs="Code2000"/>
          <w:sz w:val="24"/>
          <w:szCs w:val="24"/>
        </w:rPr>
      </w:pPr>
      <w:r>
        <w:rPr>
          <w:rFonts w:ascii="Code2000" w:eastAsia="Code2000" w:cs="Code2000"/>
          <w:sz w:val="24"/>
          <w:szCs w:val="24"/>
        </w:rPr>
        <w:t>Stable URL: https://www.jstor.org/stable/j.ctvh1djh5.13</w:t>
      </w:r>
    </w:p>
    <w:p w14:paraId="1BF4D48A" w14:textId="4EED77A3" w:rsidR="00341A97" w:rsidRPr="0033726F" w:rsidRDefault="00341A97" w:rsidP="00341A97">
      <w:pPr>
        <w:rPr>
          <w:rFonts w:cstheme="minorHAnsi"/>
        </w:rPr>
      </w:pPr>
      <w:r>
        <w:rPr>
          <w:rFonts w:ascii="Code2000" w:eastAsia="Code2000" w:cs="Code2000"/>
          <w:sz w:val="18"/>
          <w:szCs w:val="18"/>
        </w:rPr>
        <w:t>JSTOR</w:t>
      </w:r>
    </w:p>
    <w:p w14:paraId="089FA80F" w14:textId="3BEB41A9" w:rsidR="001C5499" w:rsidRDefault="001C5499" w:rsidP="0033726F">
      <w:pPr>
        <w:autoSpaceDE w:val="0"/>
        <w:autoSpaceDN w:val="0"/>
        <w:adjustRightInd w:val="0"/>
        <w:spacing w:after="0" w:line="240" w:lineRule="auto"/>
        <w:rPr>
          <w:rFonts w:cstheme="minorHAnsi"/>
        </w:rPr>
      </w:pPr>
      <w:r w:rsidRPr="0033726F">
        <w:rPr>
          <w:rFonts w:cstheme="minorHAnsi"/>
        </w:rPr>
        <w:t>Skyscape Archaeology: an emerging interdiscipline for</w:t>
      </w:r>
      <w:r w:rsidR="0033726F">
        <w:rPr>
          <w:rFonts w:cstheme="minorHAnsi"/>
        </w:rPr>
        <w:t xml:space="preserve"> </w:t>
      </w:r>
      <w:r w:rsidRPr="0033726F">
        <w:rPr>
          <w:rFonts w:cstheme="minorHAnsi"/>
        </w:rPr>
        <w:t>archaeoastronomers and archaeologists Liz Henty</w:t>
      </w:r>
    </w:p>
    <w:p w14:paraId="4B42BE05" w14:textId="77777777" w:rsidR="0033726F" w:rsidRPr="0033726F" w:rsidRDefault="0033726F" w:rsidP="0033726F">
      <w:pPr>
        <w:autoSpaceDE w:val="0"/>
        <w:autoSpaceDN w:val="0"/>
        <w:adjustRightInd w:val="0"/>
        <w:spacing w:after="0" w:line="240" w:lineRule="auto"/>
        <w:rPr>
          <w:rFonts w:cstheme="minorHAnsi"/>
        </w:rPr>
      </w:pPr>
    </w:p>
    <w:p w14:paraId="7C1CF5A0" w14:textId="68E1E5ED" w:rsidR="00831B51" w:rsidRDefault="00831B51" w:rsidP="0068153D">
      <w:r>
        <w:t xml:space="preserve">The cupmark conundrum: A Welsh Neolithic Perspective. George Nash, 2019. </w:t>
      </w:r>
      <w:r w:rsidR="00441EC6">
        <w:t>Adoranten.</w:t>
      </w:r>
    </w:p>
    <w:p w14:paraId="03ED6C4F" w14:textId="16ED79FE" w:rsidR="00CD5DED" w:rsidRPr="00CD5DED" w:rsidRDefault="00CD5DED" w:rsidP="00CD5DED">
      <w:pPr>
        <w:autoSpaceDE w:val="0"/>
        <w:autoSpaceDN w:val="0"/>
        <w:adjustRightInd w:val="0"/>
        <w:spacing w:after="0" w:line="240" w:lineRule="auto"/>
        <w:rPr>
          <w:rFonts w:cstheme="minorHAnsi"/>
          <w:color w:val="231F20"/>
        </w:rPr>
      </w:pPr>
      <w:r w:rsidRPr="00CD5DED">
        <w:rPr>
          <w:rFonts w:cstheme="minorHAnsi"/>
          <w:color w:val="231F20"/>
        </w:rPr>
        <w:t>George Nash and Adam Stanford, New megalithic art within the Neolithic passage grave of Barclodiad y Gawes, Anglesey, North Wales</w:t>
      </w:r>
    </w:p>
    <w:p w14:paraId="3D3EA497" w14:textId="638374FE" w:rsidR="00CD5DED" w:rsidRPr="00CD5DED" w:rsidRDefault="00CD5DED" w:rsidP="00CD5DED">
      <w:pPr>
        <w:rPr>
          <w:rFonts w:cstheme="minorHAnsi"/>
        </w:rPr>
      </w:pPr>
    </w:p>
    <w:p w14:paraId="68CD39A5" w14:textId="1B9E45E6" w:rsidR="00063D66" w:rsidRPr="0033726F" w:rsidRDefault="0033726F" w:rsidP="00063D66">
      <w:pPr>
        <w:autoSpaceDE w:val="0"/>
        <w:autoSpaceDN w:val="0"/>
        <w:adjustRightInd w:val="0"/>
        <w:spacing w:after="0" w:line="240" w:lineRule="auto"/>
        <w:rPr>
          <w:rFonts w:eastAsia="Code2000" w:cstheme="minorHAnsi"/>
        </w:rPr>
      </w:pPr>
      <w:r w:rsidRPr="0033726F">
        <w:rPr>
          <w:rFonts w:eastAsia="Code2000" w:cstheme="minorHAnsi"/>
        </w:rPr>
        <w:t xml:space="preserve">Richard Bradley </w:t>
      </w:r>
      <w:r w:rsidR="00063D66" w:rsidRPr="0033726F">
        <w:rPr>
          <w:rFonts w:eastAsia="Code2000" w:cstheme="minorHAnsi"/>
        </w:rPr>
        <w:t>The dark side of the sky: the orientations of earlier prehistoric</w:t>
      </w:r>
    </w:p>
    <w:p w14:paraId="0D2911B3" w14:textId="675F0091" w:rsidR="00063D66" w:rsidRPr="0033726F" w:rsidRDefault="00063D66" w:rsidP="00063D66">
      <w:pPr>
        <w:autoSpaceDE w:val="0"/>
        <w:autoSpaceDN w:val="0"/>
        <w:adjustRightInd w:val="0"/>
        <w:spacing w:after="0" w:line="240" w:lineRule="auto"/>
        <w:rPr>
          <w:rFonts w:eastAsia="Code2000" w:cstheme="minorHAnsi"/>
        </w:rPr>
      </w:pPr>
      <w:r w:rsidRPr="0033726F">
        <w:rPr>
          <w:rFonts w:eastAsia="Code2000" w:cstheme="minorHAnsi"/>
        </w:rPr>
        <w:t>monuments in Ireland and Britain</w:t>
      </w:r>
      <w:r w:rsidR="0033726F" w:rsidRPr="0033726F">
        <w:rPr>
          <w:rFonts w:eastAsia="Code2000" w:cstheme="minorHAnsi"/>
        </w:rPr>
        <w:t xml:space="preserve">, </w:t>
      </w:r>
      <w:r w:rsidRPr="0033726F">
        <w:rPr>
          <w:rFonts w:eastAsia="Code2000" w:cstheme="minorHAnsi"/>
        </w:rPr>
        <w:t>The Archaeology of Darkness</w:t>
      </w:r>
      <w:r w:rsidR="0033726F" w:rsidRPr="0033726F">
        <w:rPr>
          <w:rFonts w:eastAsia="Code2000" w:cstheme="minorHAnsi"/>
        </w:rPr>
        <w:t>, Oxbow Books</w:t>
      </w:r>
    </w:p>
    <w:p w14:paraId="2D6A3F2E" w14:textId="53ADD625" w:rsidR="00063D66" w:rsidRPr="0033726F" w:rsidRDefault="00063D66" w:rsidP="00063D66">
      <w:pPr>
        <w:autoSpaceDE w:val="0"/>
        <w:autoSpaceDN w:val="0"/>
        <w:adjustRightInd w:val="0"/>
        <w:spacing w:after="0" w:line="240" w:lineRule="auto"/>
        <w:rPr>
          <w:rFonts w:eastAsia="Code2000" w:cstheme="minorHAnsi"/>
        </w:rPr>
      </w:pPr>
      <w:r w:rsidRPr="0033726F">
        <w:rPr>
          <w:rFonts w:eastAsia="Code2000" w:cstheme="minorHAnsi"/>
        </w:rPr>
        <w:t>Book Editor(s): Marion Dowd and Robert Hensey</w:t>
      </w:r>
    </w:p>
    <w:p w14:paraId="6006A419" w14:textId="3D06664F" w:rsidR="00063D66" w:rsidRDefault="00063D66" w:rsidP="00063D66">
      <w:pPr>
        <w:autoSpaceDE w:val="0"/>
        <w:autoSpaceDN w:val="0"/>
        <w:adjustRightInd w:val="0"/>
        <w:spacing w:after="0" w:line="240" w:lineRule="auto"/>
        <w:rPr>
          <w:rFonts w:eastAsia="Code2000" w:cstheme="minorHAnsi"/>
        </w:rPr>
      </w:pPr>
      <w:r w:rsidRPr="0033726F">
        <w:rPr>
          <w:rFonts w:eastAsia="Code2000" w:cstheme="minorHAnsi"/>
        </w:rPr>
        <w:t xml:space="preserve">Stable URL: </w:t>
      </w:r>
      <w:hyperlink r:id="rId15" w:history="1">
        <w:r w:rsidR="00071735" w:rsidRPr="005E4F4D">
          <w:rPr>
            <w:rStyle w:val="Hyperlink"/>
            <w:rFonts w:eastAsia="Code2000" w:cstheme="minorHAnsi"/>
          </w:rPr>
          <w:t>https://www.jstor.org/stable/j.ctvh1dng1.12</w:t>
        </w:r>
      </w:hyperlink>
    </w:p>
    <w:p w14:paraId="503DBEF2" w14:textId="77777777" w:rsidR="00071735" w:rsidRDefault="00071735" w:rsidP="00063D66">
      <w:pPr>
        <w:autoSpaceDE w:val="0"/>
        <w:autoSpaceDN w:val="0"/>
        <w:adjustRightInd w:val="0"/>
        <w:spacing w:after="0" w:line="240" w:lineRule="auto"/>
        <w:rPr>
          <w:rFonts w:eastAsia="Code2000" w:cstheme="minorHAnsi"/>
        </w:rPr>
      </w:pPr>
    </w:p>
    <w:p w14:paraId="7E1B6E32" w14:textId="6E045847" w:rsidR="00071735" w:rsidRPr="0033726F" w:rsidRDefault="00071735" w:rsidP="00063D66">
      <w:pPr>
        <w:autoSpaceDE w:val="0"/>
        <w:autoSpaceDN w:val="0"/>
        <w:adjustRightInd w:val="0"/>
        <w:spacing w:after="0" w:line="240" w:lineRule="auto"/>
        <w:rPr>
          <w:rFonts w:eastAsia="Code2000" w:cstheme="minorHAnsi"/>
        </w:rPr>
      </w:pPr>
      <w:r>
        <w:rPr>
          <w:rFonts w:eastAsia="Code2000" w:cstheme="minorHAnsi"/>
        </w:rPr>
        <w:t>Brooks, Climate of Prehistoric Britain</w:t>
      </w:r>
    </w:p>
    <w:p w14:paraId="1D5DD2C3" w14:textId="329FA312" w:rsidR="00063D66" w:rsidRPr="0033726F" w:rsidRDefault="00063D66" w:rsidP="00063D66">
      <w:pPr>
        <w:rPr>
          <w:rFonts w:eastAsia="Code2000" w:cstheme="minorHAnsi"/>
        </w:rPr>
      </w:pPr>
    </w:p>
    <w:p w14:paraId="4F30F51D" w14:textId="77777777" w:rsidR="003C48D3" w:rsidRPr="0033726F" w:rsidRDefault="003C48D3" w:rsidP="003C48D3">
      <w:pPr>
        <w:autoSpaceDE w:val="0"/>
        <w:autoSpaceDN w:val="0"/>
        <w:adjustRightInd w:val="0"/>
        <w:spacing w:after="0" w:line="240" w:lineRule="auto"/>
        <w:rPr>
          <w:rFonts w:eastAsia="ScalaSans" w:cstheme="minorHAnsi"/>
        </w:rPr>
      </w:pPr>
      <w:r w:rsidRPr="0033726F">
        <w:rPr>
          <w:rFonts w:eastAsia="ScalaSans" w:cstheme="minorHAnsi"/>
        </w:rPr>
        <w:t>UDK 903'1(44)''633\6343''&gt;291.37</w:t>
      </w:r>
    </w:p>
    <w:p w14:paraId="2438352D" w14:textId="77777777" w:rsidR="003C48D3" w:rsidRPr="0033726F" w:rsidRDefault="003C48D3" w:rsidP="003C48D3">
      <w:pPr>
        <w:autoSpaceDE w:val="0"/>
        <w:autoSpaceDN w:val="0"/>
        <w:adjustRightInd w:val="0"/>
        <w:spacing w:after="0" w:line="240" w:lineRule="auto"/>
        <w:rPr>
          <w:rFonts w:eastAsia="ScalaSans" w:cstheme="minorHAnsi"/>
        </w:rPr>
      </w:pPr>
      <w:r w:rsidRPr="0033726F">
        <w:rPr>
          <w:rFonts w:eastAsia="ScalaSans" w:cstheme="minorHAnsi"/>
        </w:rPr>
        <w:t>Documenta Praehistorica XXXIII (2006)</w:t>
      </w:r>
    </w:p>
    <w:p w14:paraId="50D47CD6" w14:textId="067E98E2" w:rsidR="003C48D3" w:rsidRPr="0033726F" w:rsidRDefault="003C48D3" w:rsidP="003C48D3">
      <w:pPr>
        <w:autoSpaceDE w:val="0"/>
        <w:autoSpaceDN w:val="0"/>
        <w:adjustRightInd w:val="0"/>
        <w:spacing w:after="0" w:line="240" w:lineRule="auto"/>
        <w:rPr>
          <w:rFonts w:eastAsia="ScalaSans" w:cstheme="minorHAnsi"/>
        </w:rPr>
      </w:pPr>
      <w:r w:rsidRPr="0033726F">
        <w:rPr>
          <w:rFonts w:eastAsia="ScalaSans" w:cstheme="minorHAnsi"/>
        </w:rPr>
        <w:t>Light at the end of the tunnel</w:t>
      </w:r>
      <w:r w:rsidR="0033726F" w:rsidRPr="0033726F">
        <w:rPr>
          <w:rFonts w:eastAsia="ScalaSans" w:cstheme="minorHAnsi"/>
        </w:rPr>
        <w:t>:</w:t>
      </w:r>
      <w:r w:rsidRPr="0033726F">
        <w:rPr>
          <w:rFonts w:eastAsia="ScalaSans" w:cstheme="minorHAnsi"/>
        </w:rPr>
        <w:t>the way megalithic art was viewed and experienced</w:t>
      </w:r>
    </w:p>
    <w:p w14:paraId="0E95DFD0" w14:textId="18AF52BD" w:rsidR="003C48D3" w:rsidRDefault="003C48D3" w:rsidP="0033726F">
      <w:pPr>
        <w:autoSpaceDE w:val="0"/>
        <w:autoSpaceDN w:val="0"/>
        <w:adjustRightInd w:val="0"/>
        <w:spacing w:after="0" w:line="240" w:lineRule="auto"/>
        <w:rPr>
          <w:rFonts w:eastAsia="ScalaSans" w:cstheme="minorHAnsi"/>
        </w:rPr>
      </w:pPr>
      <w:r w:rsidRPr="0033726F">
        <w:rPr>
          <w:rFonts w:eastAsia="ScalaSans" w:cstheme="minorHAnsi"/>
        </w:rPr>
        <w:t>George Nash</w:t>
      </w:r>
      <w:r w:rsidR="0033726F" w:rsidRPr="0033726F">
        <w:rPr>
          <w:rFonts w:eastAsia="ScalaSans" w:cstheme="minorHAnsi"/>
          <w:b/>
          <w:bCs/>
        </w:rPr>
        <w:t xml:space="preserve">, </w:t>
      </w:r>
      <w:r w:rsidRPr="0033726F">
        <w:rPr>
          <w:rFonts w:eastAsia="ScalaSans" w:cstheme="minorHAnsi"/>
        </w:rPr>
        <w:t>Department of Archaeology and Anthropology, University of Bristol, UK</w:t>
      </w:r>
    </w:p>
    <w:p w14:paraId="1905EB56" w14:textId="13221172" w:rsidR="00415473" w:rsidRDefault="00415473" w:rsidP="0033726F">
      <w:pPr>
        <w:autoSpaceDE w:val="0"/>
        <w:autoSpaceDN w:val="0"/>
        <w:adjustRightInd w:val="0"/>
        <w:spacing w:after="0" w:line="240" w:lineRule="auto"/>
        <w:rPr>
          <w:rFonts w:eastAsia="ScalaSans" w:cstheme="minorHAnsi"/>
        </w:rPr>
      </w:pPr>
    </w:p>
    <w:p w14:paraId="4E5F405D" w14:textId="77777777" w:rsidR="00415473" w:rsidRPr="00415473" w:rsidRDefault="00415473" w:rsidP="00415473">
      <w:pPr>
        <w:autoSpaceDE w:val="0"/>
        <w:autoSpaceDN w:val="0"/>
        <w:adjustRightInd w:val="0"/>
        <w:spacing w:after="0" w:line="240" w:lineRule="auto"/>
        <w:rPr>
          <w:rFonts w:cstheme="minorHAnsi"/>
        </w:rPr>
      </w:pPr>
      <w:r w:rsidRPr="00415473">
        <w:rPr>
          <w:rFonts w:cstheme="minorHAnsi"/>
        </w:rPr>
        <w:t>Spatial Structures and Symbolic Systems in Irish and</w:t>
      </w:r>
    </w:p>
    <w:p w14:paraId="37350B0C" w14:textId="77777777" w:rsidR="00415473" w:rsidRPr="00415473" w:rsidRDefault="00415473" w:rsidP="00415473">
      <w:pPr>
        <w:autoSpaceDE w:val="0"/>
        <w:autoSpaceDN w:val="0"/>
        <w:adjustRightInd w:val="0"/>
        <w:spacing w:after="0" w:line="240" w:lineRule="auto"/>
        <w:rPr>
          <w:rFonts w:cstheme="minorHAnsi"/>
        </w:rPr>
      </w:pPr>
      <w:r w:rsidRPr="00415473">
        <w:rPr>
          <w:rFonts w:cstheme="minorHAnsi"/>
        </w:rPr>
        <w:t>British Passage Tombs: the Organization of Architectural</w:t>
      </w:r>
    </w:p>
    <w:p w14:paraId="08F5AE58" w14:textId="77777777" w:rsidR="00415473" w:rsidRPr="00415473" w:rsidRDefault="00415473" w:rsidP="00415473">
      <w:pPr>
        <w:autoSpaceDE w:val="0"/>
        <w:autoSpaceDN w:val="0"/>
        <w:adjustRightInd w:val="0"/>
        <w:spacing w:after="0" w:line="240" w:lineRule="auto"/>
        <w:rPr>
          <w:rFonts w:cstheme="minorHAnsi"/>
        </w:rPr>
      </w:pPr>
      <w:r w:rsidRPr="00415473">
        <w:rPr>
          <w:rFonts w:cstheme="minorHAnsi"/>
        </w:rPr>
        <w:t>Elements, Parietal Carved Signs and Funerary Deposits</w:t>
      </w:r>
    </w:p>
    <w:p w14:paraId="1D03F5AB" w14:textId="542E176C" w:rsidR="00415473" w:rsidRPr="00415473" w:rsidRDefault="00415473" w:rsidP="00415473">
      <w:pPr>
        <w:autoSpaceDE w:val="0"/>
        <w:autoSpaceDN w:val="0"/>
        <w:adjustRightInd w:val="0"/>
        <w:spacing w:after="0" w:line="240" w:lineRule="auto"/>
        <w:rPr>
          <w:rFonts w:eastAsia="ScalaSans" w:cstheme="minorHAnsi"/>
        </w:rPr>
      </w:pPr>
      <w:r w:rsidRPr="00415473">
        <w:rPr>
          <w:rFonts w:cstheme="minorHAnsi"/>
        </w:rPr>
        <w:t>Guillaume Robin</w:t>
      </w:r>
    </w:p>
    <w:p w14:paraId="4FDBF91D" w14:textId="77777777" w:rsidR="0033726F" w:rsidRPr="0033726F" w:rsidRDefault="0033726F" w:rsidP="0033726F">
      <w:pPr>
        <w:autoSpaceDE w:val="0"/>
        <w:autoSpaceDN w:val="0"/>
        <w:adjustRightInd w:val="0"/>
        <w:spacing w:after="0" w:line="240" w:lineRule="auto"/>
        <w:rPr>
          <w:rFonts w:eastAsia="ScalaSans" w:cstheme="minorHAnsi"/>
          <w:b/>
          <w:bCs/>
        </w:rPr>
      </w:pPr>
    </w:p>
    <w:p w14:paraId="26B7EAE2" w14:textId="77777777" w:rsidR="003C48D3" w:rsidRPr="003C48D3" w:rsidRDefault="003C48D3" w:rsidP="007B66DD">
      <w:pPr>
        <w:autoSpaceDE w:val="0"/>
        <w:autoSpaceDN w:val="0"/>
        <w:adjustRightInd w:val="0"/>
        <w:spacing w:after="0" w:line="240" w:lineRule="auto"/>
        <w:ind w:left="720"/>
        <w:rPr>
          <w:rFonts w:ascii="Code" w:hAnsi="Code" w:cs="Code"/>
          <w:color w:val="000000"/>
          <w:sz w:val="23"/>
          <w:szCs w:val="23"/>
        </w:rPr>
      </w:pPr>
      <w:r w:rsidRPr="003C48D3">
        <w:rPr>
          <w:rFonts w:ascii="Code" w:hAnsi="Code" w:cs="Code"/>
          <w:color w:val="000000"/>
          <w:sz w:val="23"/>
          <w:szCs w:val="23"/>
        </w:rPr>
        <w:t xml:space="preserve">Chapter Title: Hunters and Farmers: Early Prehistory </w:t>
      </w:r>
    </w:p>
    <w:p w14:paraId="78BA9C0B" w14:textId="77777777" w:rsidR="003C48D3" w:rsidRPr="003C48D3" w:rsidRDefault="003C48D3" w:rsidP="007B66DD">
      <w:pPr>
        <w:autoSpaceDE w:val="0"/>
        <w:autoSpaceDN w:val="0"/>
        <w:adjustRightInd w:val="0"/>
        <w:spacing w:after="0" w:line="240" w:lineRule="auto"/>
        <w:ind w:left="720"/>
        <w:rPr>
          <w:rFonts w:ascii="Code" w:hAnsi="Code" w:cs="Code"/>
          <w:color w:val="000000"/>
          <w:sz w:val="23"/>
          <w:szCs w:val="23"/>
        </w:rPr>
      </w:pPr>
      <w:r w:rsidRPr="003C48D3">
        <w:rPr>
          <w:rFonts w:ascii="Code" w:hAnsi="Code" w:cs="Code"/>
          <w:color w:val="000000"/>
          <w:sz w:val="23"/>
          <w:szCs w:val="23"/>
        </w:rPr>
        <w:t>Book Title: Anglesey</w:t>
      </w:r>
    </w:p>
    <w:p w14:paraId="2A0137D3" w14:textId="77777777" w:rsidR="003C48D3" w:rsidRPr="003C48D3" w:rsidRDefault="003C48D3" w:rsidP="003C48D3">
      <w:pPr>
        <w:autoSpaceDE w:val="0"/>
        <w:autoSpaceDN w:val="0"/>
        <w:adjustRightInd w:val="0"/>
        <w:spacing w:after="0" w:line="240" w:lineRule="auto"/>
        <w:rPr>
          <w:rFonts w:ascii="Code" w:hAnsi="Code" w:cs="Code"/>
          <w:color w:val="000000"/>
          <w:sz w:val="23"/>
          <w:szCs w:val="23"/>
        </w:rPr>
      </w:pPr>
      <w:r w:rsidRPr="003C48D3">
        <w:rPr>
          <w:rFonts w:ascii="Code" w:hAnsi="Code" w:cs="Code"/>
          <w:color w:val="000000"/>
          <w:sz w:val="23"/>
          <w:szCs w:val="23"/>
        </w:rPr>
        <w:t>Book Subtitle: Past Landscapes of the Coast</w:t>
      </w:r>
    </w:p>
    <w:p w14:paraId="0BC76DCD" w14:textId="77777777" w:rsidR="003C48D3" w:rsidRPr="003C48D3" w:rsidRDefault="003C48D3" w:rsidP="003C48D3">
      <w:pPr>
        <w:autoSpaceDE w:val="0"/>
        <w:autoSpaceDN w:val="0"/>
        <w:adjustRightInd w:val="0"/>
        <w:spacing w:after="0" w:line="240" w:lineRule="auto"/>
        <w:rPr>
          <w:rFonts w:ascii="Code" w:hAnsi="Code" w:cs="Code"/>
          <w:color w:val="000000"/>
          <w:sz w:val="23"/>
          <w:szCs w:val="23"/>
        </w:rPr>
      </w:pPr>
      <w:r w:rsidRPr="003C48D3">
        <w:rPr>
          <w:rFonts w:ascii="Code" w:hAnsi="Code" w:cs="Code"/>
          <w:color w:val="000000"/>
          <w:sz w:val="23"/>
          <w:szCs w:val="23"/>
        </w:rPr>
        <w:t>Published by: Oxbow Books, Windgather Press. (2009)</w:t>
      </w:r>
    </w:p>
    <w:p w14:paraId="208BBFBB" w14:textId="7CCC0445" w:rsidR="003C48D3" w:rsidRDefault="003C48D3" w:rsidP="003C48D3">
      <w:r w:rsidRPr="003C48D3">
        <w:rPr>
          <w:rFonts w:ascii="Code" w:hAnsi="Code" w:cs="Code"/>
          <w:color w:val="000000"/>
          <w:sz w:val="23"/>
          <w:szCs w:val="23"/>
        </w:rPr>
        <w:t>Stable URL: https://www.jstor.org/stable/j.ctv13gvg73.5</w:t>
      </w:r>
    </w:p>
    <w:p w14:paraId="5E600913" w14:textId="156F9B19" w:rsidR="00B76AB7" w:rsidRDefault="00B76AB7" w:rsidP="00B76AB7">
      <w:pPr>
        <w:autoSpaceDE w:val="0"/>
        <w:autoSpaceDN w:val="0"/>
        <w:adjustRightInd w:val="0"/>
        <w:spacing w:after="0" w:line="240" w:lineRule="auto"/>
        <w:rPr>
          <w:rFonts w:cstheme="minorHAnsi"/>
          <w:color w:val="000000"/>
        </w:rPr>
      </w:pPr>
      <w:r w:rsidRPr="0033726F">
        <w:rPr>
          <w:rFonts w:cstheme="minorHAnsi"/>
          <w:color w:val="999999"/>
        </w:rPr>
        <w:t>Boyne Valley Tombs ,</w:t>
      </w:r>
      <w:r w:rsidRPr="0033726F">
        <w:rPr>
          <w:rFonts w:cstheme="minorHAnsi"/>
          <w:color w:val="000000"/>
        </w:rPr>
        <w:t>Frank Prendergast</w:t>
      </w:r>
      <w:r w:rsidR="0033726F">
        <w:rPr>
          <w:rFonts w:cstheme="minorHAnsi"/>
          <w:color w:val="000000"/>
        </w:rPr>
        <w:t xml:space="preserve"> (in Ruggles)</w:t>
      </w:r>
    </w:p>
    <w:p w14:paraId="3F0928C7" w14:textId="2476E6C5" w:rsidR="00CD5DED" w:rsidRPr="00CD5DED" w:rsidRDefault="00CD5DED" w:rsidP="00CD5DED">
      <w:pPr>
        <w:autoSpaceDE w:val="0"/>
        <w:autoSpaceDN w:val="0"/>
        <w:adjustRightInd w:val="0"/>
        <w:spacing w:after="0" w:line="240" w:lineRule="auto"/>
        <w:rPr>
          <w:rFonts w:cstheme="minorHAnsi"/>
          <w:color w:val="999999"/>
        </w:rPr>
      </w:pPr>
      <w:r w:rsidRPr="00CD5DED">
        <w:rPr>
          <w:rFonts w:cstheme="minorHAnsi"/>
          <w:color w:val="999999"/>
        </w:rPr>
        <w:t xml:space="preserve">Frank Prendergast, Techniques of Field Survey </w:t>
      </w:r>
    </w:p>
    <w:p w14:paraId="5D6E376D" w14:textId="74288E8D" w:rsidR="00CD5DED" w:rsidRDefault="00CD5DED" w:rsidP="00CD5DED">
      <w:pPr>
        <w:pStyle w:val="Default"/>
        <w:rPr>
          <w:rFonts w:cstheme="minorBidi"/>
          <w:color w:val="auto"/>
        </w:rPr>
      </w:pPr>
    </w:p>
    <w:p w14:paraId="759DBA83" w14:textId="77777777" w:rsidR="00CD5DED" w:rsidRPr="0033726F" w:rsidRDefault="00CD5DED" w:rsidP="00B76AB7">
      <w:pPr>
        <w:autoSpaceDE w:val="0"/>
        <w:autoSpaceDN w:val="0"/>
        <w:adjustRightInd w:val="0"/>
        <w:spacing w:after="0" w:line="240" w:lineRule="auto"/>
        <w:rPr>
          <w:rFonts w:cstheme="minorHAnsi"/>
          <w:color w:val="999999"/>
        </w:rPr>
      </w:pPr>
    </w:p>
    <w:p w14:paraId="435309B1" w14:textId="77777777" w:rsidR="0033726F" w:rsidRDefault="0033726F" w:rsidP="003A09D2">
      <w:pPr>
        <w:autoSpaceDE w:val="0"/>
        <w:autoSpaceDN w:val="0"/>
        <w:adjustRightInd w:val="0"/>
        <w:spacing w:after="0" w:line="240" w:lineRule="auto"/>
        <w:rPr>
          <w:rFonts w:ascii="Code2000" w:eastAsia="Code2000" w:cs="Code2000"/>
          <w:sz w:val="24"/>
          <w:szCs w:val="24"/>
        </w:rPr>
      </w:pPr>
    </w:p>
    <w:p w14:paraId="5784F705" w14:textId="62EB720C" w:rsidR="003A09D2" w:rsidRPr="0033726F" w:rsidRDefault="0033726F" w:rsidP="003A09D2">
      <w:pPr>
        <w:autoSpaceDE w:val="0"/>
        <w:autoSpaceDN w:val="0"/>
        <w:adjustRightInd w:val="0"/>
        <w:spacing w:after="0" w:line="240" w:lineRule="auto"/>
        <w:rPr>
          <w:rFonts w:eastAsia="Code2000" w:cstheme="minorHAnsi"/>
        </w:rPr>
      </w:pPr>
      <w:r w:rsidRPr="0033726F">
        <w:rPr>
          <w:rFonts w:eastAsia="Code2000" w:cstheme="minorHAnsi"/>
        </w:rPr>
        <w:t>Fabio Silva, ’</w:t>
      </w:r>
      <w:r w:rsidR="003A09D2" w:rsidRPr="0033726F">
        <w:rPr>
          <w:rFonts w:eastAsia="Code2000" w:cstheme="minorHAnsi"/>
        </w:rPr>
        <w:t>The View from Within: a ‘Time-Space-Action’ Approach to Megalithism</w:t>
      </w:r>
      <w:r w:rsidRPr="0033726F">
        <w:rPr>
          <w:rFonts w:eastAsia="Code2000" w:cstheme="minorHAnsi"/>
        </w:rPr>
        <w:t xml:space="preserve"> </w:t>
      </w:r>
      <w:r w:rsidR="003A09D2" w:rsidRPr="0033726F">
        <w:rPr>
          <w:rFonts w:eastAsia="Code2000" w:cstheme="minorHAnsi"/>
        </w:rPr>
        <w:t>in Central Portugal</w:t>
      </w:r>
      <w:r w:rsidRPr="0033726F">
        <w:rPr>
          <w:rFonts w:eastAsia="Code2000" w:cstheme="minorHAnsi"/>
        </w:rPr>
        <w:t>’ Skyscapes: The Role and Importance of the Sky in Archaeology</w:t>
      </w:r>
    </w:p>
    <w:p w14:paraId="23055003" w14:textId="77777777" w:rsidR="003A09D2" w:rsidRPr="0033726F" w:rsidRDefault="003A09D2" w:rsidP="003A09D2">
      <w:pPr>
        <w:autoSpaceDE w:val="0"/>
        <w:autoSpaceDN w:val="0"/>
        <w:adjustRightInd w:val="0"/>
        <w:spacing w:after="0" w:line="240" w:lineRule="auto"/>
        <w:rPr>
          <w:rFonts w:eastAsia="Code2000" w:cstheme="minorHAnsi"/>
        </w:rPr>
      </w:pPr>
      <w:r w:rsidRPr="0033726F">
        <w:rPr>
          <w:rFonts w:eastAsia="Code2000" w:cstheme="minorHAnsi"/>
        </w:rPr>
        <w:t>Book Editor(s): Fabio Silva and Nicholas Campion</w:t>
      </w:r>
    </w:p>
    <w:p w14:paraId="1DDB4AB9" w14:textId="77777777" w:rsidR="003A09D2" w:rsidRPr="0033726F" w:rsidRDefault="003A09D2" w:rsidP="003A09D2">
      <w:pPr>
        <w:autoSpaceDE w:val="0"/>
        <w:autoSpaceDN w:val="0"/>
        <w:adjustRightInd w:val="0"/>
        <w:spacing w:after="0" w:line="240" w:lineRule="auto"/>
        <w:rPr>
          <w:rFonts w:eastAsia="Code2000" w:cstheme="minorHAnsi"/>
        </w:rPr>
      </w:pPr>
      <w:r w:rsidRPr="0033726F">
        <w:rPr>
          <w:rFonts w:eastAsia="Code2000" w:cstheme="minorHAnsi"/>
        </w:rPr>
        <w:lastRenderedPageBreak/>
        <w:t>Published by: Oxbow Books</w:t>
      </w:r>
    </w:p>
    <w:p w14:paraId="6D4FB678" w14:textId="54A0A257" w:rsidR="003A09D2" w:rsidRPr="0033726F" w:rsidRDefault="003A09D2" w:rsidP="003A09D2">
      <w:pPr>
        <w:rPr>
          <w:rFonts w:eastAsia="Code2000" w:cstheme="minorHAnsi"/>
        </w:rPr>
      </w:pPr>
      <w:r w:rsidRPr="0033726F">
        <w:rPr>
          <w:rFonts w:eastAsia="Code2000" w:cstheme="minorHAnsi"/>
        </w:rPr>
        <w:t xml:space="preserve">Stable URL: </w:t>
      </w:r>
      <w:hyperlink r:id="rId16" w:history="1">
        <w:r w:rsidR="00B76AB7" w:rsidRPr="0033726F">
          <w:rPr>
            <w:rStyle w:val="Hyperlink"/>
            <w:rFonts w:eastAsia="Code2000" w:cstheme="minorHAnsi"/>
          </w:rPr>
          <w:t>https://www.jstor.org/stable/j.ctvh1dksg.14</w:t>
        </w:r>
      </w:hyperlink>
    </w:p>
    <w:p w14:paraId="7EB1C301" w14:textId="77777777" w:rsidR="00B76AB7" w:rsidRDefault="00B76AB7" w:rsidP="00B76AB7">
      <w:pPr>
        <w:pStyle w:val="Default"/>
      </w:pPr>
    </w:p>
    <w:p w14:paraId="10BB4EB5" w14:textId="2B720FC0" w:rsidR="00B76AB7" w:rsidRPr="00CD5DED" w:rsidRDefault="00B76AB7" w:rsidP="00CD5DED">
      <w:pPr>
        <w:pStyle w:val="Default"/>
        <w:spacing w:before="360" w:line="721" w:lineRule="atLeast"/>
        <w:rPr>
          <w:rFonts w:asciiTheme="minorHAnsi" w:hAnsiTheme="minorHAnsi" w:cstheme="minorHAnsi"/>
          <w:color w:val="auto"/>
          <w:sz w:val="22"/>
          <w:szCs w:val="22"/>
        </w:rPr>
      </w:pPr>
      <w:r w:rsidRPr="00CD5DED">
        <w:rPr>
          <w:rFonts w:asciiTheme="minorHAnsi" w:hAnsiTheme="minorHAnsi" w:cstheme="minorHAnsi"/>
          <w:color w:val="auto"/>
          <w:sz w:val="22"/>
          <w:szCs w:val="22"/>
        </w:rPr>
        <w:t>A Tomb with a View</w:t>
      </w:r>
      <w:r w:rsidR="00CD5DED" w:rsidRPr="00CD5DED">
        <w:rPr>
          <w:rFonts w:asciiTheme="minorHAnsi" w:hAnsiTheme="minorHAnsi" w:cstheme="minorHAnsi"/>
          <w:color w:val="auto"/>
          <w:sz w:val="22"/>
          <w:szCs w:val="22"/>
        </w:rPr>
        <w:t>:</w:t>
      </w:r>
      <w:r w:rsidRPr="00CD5DED">
        <w:rPr>
          <w:rFonts w:asciiTheme="minorHAnsi" w:hAnsiTheme="minorHAnsi" w:cstheme="minorHAnsi"/>
          <w:color w:val="auto"/>
          <w:sz w:val="22"/>
          <w:szCs w:val="22"/>
        </w:rPr>
        <w:t>New Methods for Bridging the Gap Between Land and Sky in Megalithi</w:t>
      </w:r>
      <w:r w:rsidR="00CD5DED" w:rsidRPr="00CD5DED">
        <w:rPr>
          <w:rFonts w:asciiTheme="minorHAnsi" w:hAnsiTheme="minorHAnsi" w:cstheme="minorHAnsi"/>
          <w:color w:val="auto"/>
          <w:sz w:val="22"/>
          <w:szCs w:val="22"/>
        </w:rPr>
        <w:t xml:space="preserve">c </w:t>
      </w:r>
      <w:r w:rsidRPr="00CD5DED">
        <w:rPr>
          <w:rFonts w:asciiTheme="minorHAnsi" w:hAnsiTheme="minorHAnsi" w:cstheme="minorHAnsi"/>
          <w:color w:val="auto"/>
          <w:sz w:val="22"/>
          <w:szCs w:val="22"/>
        </w:rPr>
        <w:t>Archaeol</w:t>
      </w:r>
      <w:r w:rsidRPr="00CD5DED">
        <w:rPr>
          <w:rFonts w:asciiTheme="minorHAnsi" w:hAnsiTheme="minorHAnsi" w:cstheme="minorHAnsi"/>
          <w:sz w:val="22"/>
          <w:szCs w:val="22"/>
        </w:rPr>
        <w:t>ogy, Fabio Silva, Advances in Archaeological Practice: A Journal of the Society for American Archaeology © 2014</w:t>
      </w:r>
    </w:p>
    <w:p w14:paraId="39148EAD" w14:textId="77777777" w:rsidR="00B76AB7" w:rsidRPr="00B76AB7" w:rsidRDefault="00B76AB7" w:rsidP="00B76AB7">
      <w:pPr>
        <w:rPr>
          <w:rFonts w:asciiTheme="majorHAnsi" w:hAnsiTheme="majorHAnsi" w:cstheme="majorHAnsi"/>
          <w:sz w:val="24"/>
          <w:szCs w:val="24"/>
        </w:rPr>
      </w:pPr>
    </w:p>
    <w:p w14:paraId="5CC250E0" w14:textId="77777777" w:rsidR="0068153D" w:rsidRPr="00B76AB7" w:rsidRDefault="0068153D">
      <w:pPr>
        <w:rPr>
          <w:rFonts w:asciiTheme="majorHAnsi" w:hAnsiTheme="majorHAnsi" w:cstheme="majorHAnsi"/>
          <w:sz w:val="24"/>
          <w:szCs w:val="24"/>
        </w:rPr>
      </w:pPr>
    </w:p>
    <w:sectPr w:rsidR="0068153D" w:rsidRPr="00B76A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56AF0" w14:textId="77777777" w:rsidR="00B97B7D" w:rsidRDefault="00B97B7D" w:rsidP="00214505">
      <w:pPr>
        <w:spacing w:after="0" w:line="240" w:lineRule="auto"/>
      </w:pPr>
      <w:r>
        <w:separator/>
      </w:r>
    </w:p>
  </w:endnote>
  <w:endnote w:type="continuationSeparator" w:id="0">
    <w:p w14:paraId="746D18DF" w14:textId="77777777" w:rsidR="00B97B7D" w:rsidRDefault="00B97B7D" w:rsidP="00214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55 Roman">
    <w:altName w:val="Calibri"/>
    <w:panose1 w:val="00000000000000000000"/>
    <w:charset w:val="00"/>
    <w:family w:val="swiss"/>
    <w:notTrueType/>
    <w:pitch w:val="default"/>
    <w:sig w:usb0="00000003" w:usb1="00000000" w:usb2="00000000" w:usb3="00000000" w:csb0="00000001" w:csb1="00000000"/>
  </w:font>
  <w:font w:name="Code">
    <w:altName w:val="Calibri"/>
    <w:panose1 w:val="00000000000000000000"/>
    <w:charset w:val="00"/>
    <w:family w:val="swiss"/>
    <w:notTrueType/>
    <w:pitch w:val="default"/>
    <w:sig w:usb0="00000003" w:usb1="00000000" w:usb2="00000000" w:usb3="00000000" w:csb0="00000001" w:csb1="00000000"/>
  </w:font>
  <w:font w:name="Code2000">
    <w:altName w:val="Malgun Gothic"/>
    <w:panose1 w:val="00000000000000000000"/>
    <w:charset w:val="81"/>
    <w:family w:val="auto"/>
    <w:notTrueType/>
    <w:pitch w:val="default"/>
    <w:sig w:usb0="00000001" w:usb1="09060000" w:usb2="00000010" w:usb3="00000000" w:csb0="00080000" w:csb1="00000000"/>
  </w:font>
  <w:font w:name="ScalaSans">
    <w:altName w:val="Malgun Gothic"/>
    <w:panose1 w:val="00000000000000000000"/>
    <w:charset w:val="81"/>
    <w:family w:val="auto"/>
    <w:notTrueType/>
    <w:pitch w:val="default"/>
    <w:sig w:usb0="00000001" w:usb1="09060000" w:usb2="00000010" w:usb3="00000000" w:csb0="0008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C6817" w14:textId="77777777" w:rsidR="00B97B7D" w:rsidRDefault="00B97B7D" w:rsidP="00214505">
      <w:pPr>
        <w:spacing w:after="0" w:line="240" w:lineRule="auto"/>
      </w:pPr>
      <w:r>
        <w:separator/>
      </w:r>
    </w:p>
  </w:footnote>
  <w:footnote w:type="continuationSeparator" w:id="0">
    <w:p w14:paraId="5CA34306" w14:textId="77777777" w:rsidR="00B97B7D" w:rsidRDefault="00B97B7D" w:rsidP="00214505">
      <w:pPr>
        <w:spacing w:after="0" w:line="240" w:lineRule="auto"/>
      </w:pPr>
      <w:r>
        <w:continuationSeparator/>
      </w:r>
    </w:p>
  </w:footnote>
  <w:footnote w:id="1">
    <w:p w14:paraId="51A89869" w14:textId="33F8E3CD" w:rsidR="00214505" w:rsidRDefault="00214505">
      <w:pPr>
        <w:pStyle w:val="FootnoteText"/>
      </w:pPr>
      <w:r>
        <w:rPr>
          <w:rStyle w:val="FootnoteReference"/>
        </w:rPr>
        <w:footnoteRef/>
      </w:r>
      <w:r>
        <w:t xml:space="preserve"> </w:t>
      </w:r>
    </w:p>
  </w:footnote>
  <w:footnote w:id="2">
    <w:p w14:paraId="5B2FE407" w14:textId="28FCBB07" w:rsidR="00214505" w:rsidRDefault="00214505">
      <w:pPr>
        <w:pStyle w:val="FootnoteText"/>
      </w:pPr>
      <w:r>
        <w:rPr>
          <w:rStyle w:val="FootnoteReference"/>
        </w:rPr>
        <w:footnoteRef/>
      </w:r>
      <w:r>
        <w:t xml:space="preserve"> Silva</w:t>
      </w:r>
    </w:p>
  </w:footnote>
  <w:footnote w:id="3">
    <w:p w14:paraId="1306CE48" w14:textId="194FCC84" w:rsidR="00214505" w:rsidRDefault="00214505">
      <w:pPr>
        <w:pStyle w:val="FootnoteText"/>
      </w:pPr>
      <w:r>
        <w:rPr>
          <w:rStyle w:val="FootnoteReference"/>
        </w:rPr>
        <w:footnoteRef/>
      </w:r>
      <w:r>
        <w:t xml:space="preserve"> </w:t>
      </w:r>
    </w:p>
  </w:footnote>
  <w:footnote w:id="4">
    <w:p w14:paraId="5AC97D11" w14:textId="6771AC32" w:rsidR="00214505" w:rsidRDefault="00214505">
      <w:pPr>
        <w:pStyle w:val="FootnoteText"/>
      </w:pPr>
      <w:r>
        <w:rPr>
          <w:rStyle w:val="FootnoteReference"/>
        </w:rPr>
        <w:footnoteRef/>
      </w:r>
      <w:r>
        <w:t xml:space="preserve"> Cummings</w:t>
      </w:r>
    </w:p>
  </w:footnote>
  <w:footnote w:id="5">
    <w:p w14:paraId="5A2E3823" w14:textId="1DE3EB57" w:rsidR="00214505" w:rsidRDefault="00214505">
      <w:pPr>
        <w:pStyle w:val="FootnoteText"/>
      </w:pPr>
      <w:r>
        <w:rPr>
          <w:rStyle w:val="FootnoteReference"/>
        </w:rPr>
        <w:footnoteRef/>
      </w:r>
      <w:r>
        <w:t xml:space="preserve"> Burrows, p. 249</w:t>
      </w:r>
    </w:p>
  </w:footnote>
  <w:footnote w:id="6">
    <w:p w14:paraId="644DF5D8" w14:textId="2A536FC6" w:rsidR="00214505" w:rsidRDefault="00214505">
      <w:pPr>
        <w:pStyle w:val="FootnoteText"/>
      </w:pPr>
      <w:r>
        <w:rPr>
          <w:rStyle w:val="FootnoteReference"/>
        </w:rPr>
        <w:footnoteRef/>
      </w:r>
      <w:r>
        <w:t xml:space="preserve"> (Cummings, p.42, </w:t>
      </w:r>
      <w:ins w:id="0" w:author="Ms Bisby">
        <w:r>
          <w:t>Mon of NW Wales and their landscape settings</w:t>
        </w:r>
      </w:ins>
    </w:p>
  </w:footnote>
  <w:footnote w:id="7">
    <w:p w14:paraId="1CE92D55" w14:textId="42C6FD3B" w:rsidR="00214505" w:rsidRDefault="00214505">
      <w:pPr>
        <w:pStyle w:val="FootnoteText"/>
      </w:pPr>
      <w:r>
        <w:rPr>
          <w:rStyle w:val="FootnoteReference"/>
        </w:rPr>
        <w:footnoteRef/>
      </w:r>
      <w:r>
        <w:t xml:space="preserve"> Hemp cited in Burrows</w:t>
      </w:r>
    </w:p>
  </w:footnote>
  <w:footnote w:id="8">
    <w:p w14:paraId="1B1CCB9E" w14:textId="6F853845" w:rsidR="001D0B23" w:rsidRDefault="001D0B23">
      <w:pPr>
        <w:pStyle w:val="FootnoteText"/>
      </w:pPr>
      <w:r>
        <w:rPr>
          <w:rStyle w:val="FootnoteReference"/>
        </w:rPr>
        <w:footnoteRef/>
      </w:r>
      <w:r>
        <w:t xml:space="preserve">.O Kelly cited in Burrows p. 251 Burrows </w:t>
      </w:r>
    </w:p>
  </w:footnote>
  <w:footnote w:id="9">
    <w:p w14:paraId="14FEAB9D" w14:textId="45A96413" w:rsidR="001D0B23" w:rsidRDefault="001D0B23">
      <w:pPr>
        <w:pStyle w:val="FootnoteText"/>
      </w:pPr>
      <w:r>
        <w:rPr>
          <w:rStyle w:val="FootnoteReference"/>
        </w:rPr>
        <w:footnoteRef/>
      </w:r>
      <w:r>
        <w:t xml:space="preserve"> Burrows</w:t>
      </w:r>
    </w:p>
  </w:footnote>
  <w:footnote w:id="10">
    <w:p w14:paraId="183E53B5" w14:textId="1600CCE2" w:rsidR="001D0B23" w:rsidRDefault="001D0B23">
      <w:pPr>
        <w:pStyle w:val="FootnoteText"/>
      </w:pPr>
      <w:r>
        <w:rPr>
          <w:rStyle w:val="FootnoteReference"/>
        </w:rPr>
        <w:footnoteRef/>
      </w:r>
      <w:r>
        <w:t xml:space="preserve"> Burrows</w:t>
      </w:r>
    </w:p>
  </w:footnote>
  <w:footnote w:id="11">
    <w:p w14:paraId="15157726" w14:textId="6C4D2626" w:rsidR="001D0B23" w:rsidRDefault="001D0B23">
      <w:pPr>
        <w:pStyle w:val="FootnoteText"/>
      </w:pPr>
      <w:r>
        <w:rPr>
          <w:rStyle w:val="FootnoteReference"/>
        </w:rPr>
        <w:footnoteRef/>
      </w:r>
      <w:r>
        <w:t xml:space="preserve"> Burrows</w:t>
      </w:r>
    </w:p>
  </w:footnote>
  <w:footnote w:id="12">
    <w:p w14:paraId="2BCE640D" w14:textId="04B4A54A" w:rsidR="001D0B23" w:rsidRDefault="001D0B23">
      <w:pPr>
        <w:pStyle w:val="FootnoteText"/>
      </w:pPr>
      <w:r>
        <w:rPr>
          <w:rStyle w:val="FootnoteReference"/>
        </w:rPr>
        <w:footnoteRef/>
      </w:r>
      <w:r>
        <w:t xml:space="preserve"> Cummings, NE Wales, page 42</w:t>
      </w:r>
    </w:p>
  </w:footnote>
  <w:footnote w:id="13">
    <w:p w14:paraId="43CC17EF" w14:textId="69853B79" w:rsidR="00694BA5" w:rsidRDefault="00694BA5">
      <w:pPr>
        <w:pStyle w:val="FootnoteText"/>
      </w:pPr>
      <w:r>
        <w:rPr>
          <w:rStyle w:val="FootnoteReference"/>
        </w:rPr>
        <w:footnoteRef/>
      </w:r>
      <w:r>
        <w:t xml:space="preserve"> Burrows</w:t>
      </w:r>
    </w:p>
  </w:footnote>
  <w:footnote w:id="14">
    <w:p w14:paraId="7AA23AEA" w14:textId="47D34B9A" w:rsidR="00694BA5" w:rsidRDefault="00694BA5">
      <w:pPr>
        <w:pStyle w:val="FootnoteText"/>
      </w:pPr>
      <w:r>
        <w:rPr>
          <w:rStyle w:val="FootnoteReference"/>
        </w:rPr>
        <w:footnoteRef/>
      </w:r>
      <w:r>
        <w:t xml:space="preserve"> Powell and Daniel, 1956 – Cummings, p. 59</w:t>
      </w:r>
    </w:p>
  </w:footnote>
  <w:footnote w:id="15">
    <w:p w14:paraId="265FD909" w14:textId="3F554D36" w:rsidR="00694BA5" w:rsidRDefault="00694BA5">
      <w:pPr>
        <w:pStyle w:val="FootnoteText"/>
      </w:pPr>
      <w:r>
        <w:rPr>
          <w:rStyle w:val="FootnoteReference"/>
        </w:rPr>
        <w:footnoteRef/>
      </w:r>
      <w:r>
        <w:t xml:space="preserve"> Johnson</w:t>
      </w:r>
    </w:p>
  </w:footnote>
  <w:footnote w:id="16">
    <w:p w14:paraId="351B9320" w14:textId="780C235B" w:rsidR="00694BA5" w:rsidRDefault="00694BA5">
      <w:pPr>
        <w:pStyle w:val="FootnoteText"/>
      </w:pPr>
      <w:r>
        <w:rPr>
          <w:rStyle w:val="FootnoteReference"/>
        </w:rPr>
        <w:footnoteRef/>
      </w:r>
      <w:r>
        <w:t xml:space="preserve"> Tilley – Nicks notes</w:t>
      </w:r>
    </w:p>
  </w:footnote>
  <w:footnote w:id="17">
    <w:p w14:paraId="6211C603" w14:textId="5986C3D9" w:rsidR="00694BA5" w:rsidRDefault="00694BA5">
      <w:pPr>
        <w:pStyle w:val="FootnoteText"/>
      </w:pPr>
      <w:r>
        <w:rPr>
          <w:rStyle w:val="FootnoteReference"/>
        </w:rPr>
        <w:footnoteRef/>
      </w:r>
      <w:r>
        <w:t xml:space="preserve"> Silva p. 123 above</w:t>
      </w:r>
    </w:p>
  </w:footnote>
  <w:footnote w:id="18">
    <w:p w14:paraId="000AAEBE" w14:textId="750BFBFE" w:rsidR="00694BA5" w:rsidRDefault="00694BA5">
      <w:pPr>
        <w:pStyle w:val="FootnoteText"/>
      </w:pPr>
      <w:r>
        <w:rPr>
          <w:rStyle w:val="FootnoteReference"/>
        </w:rPr>
        <w:footnoteRef/>
      </w:r>
      <w:r>
        <w:t xml:space="preserve"> Cummings, </w:t>
      </w:r>
    </w:p>
  </w:footnote>
  <w:footnote w:id="19">
    <w:p w14:paraId="11B6FFE1" w14:textId="24286C90" w:rsidR="004C497E" w:rsidRDefault="004C497E">
      <w:pPr>
        <w:pStyle w:val="FootnoteText"/>
      </w:pPr>
      <w:r>
        <w:rPr>
          <w:rStyle w:val="FootnoteReference"/>
        </w:rPr>
        <w:footnoteRef/>
      </w:r>
      <w:r>
        <w:t xml:space="preserve"> </w:t>
      </w:r>
      <w:r w:rsidRPr="004C497E">
        <w:rPr>
          <w:rFonts w:cstheme="minorHAnsi"/>
          <w:sz w:val="22"/>
          <w:szCs w:val="22"/>
        </w:rPr>
        <w:t>Fleming page 277. Johnson.</w:t>
      </w:r>
    </w:p>
  </w:footnote>
  <w:footnote w:id="20">
    <w:p w14:paraId="723E6FA8" w14:textId="6936C0A5" w:rsidR="004C497E" w:rsidRDefault="004C497E">
      <w:pPr>
        <w:pStyle w:val="FootnoteText"/>
      </w:pPr>
      <w:r>
        <w:rPr>
          <w:rStyle w:val="FootnoteReference"/>
        </w:rPr>
        <w:footnoteRef/>
      </w:r>
      <w:r>
        <w:t xml:space="preserve"> Cummings and Wittle, Phenom p. 58</w:t>
      </w:r>
    </w:p>
  </w:footnote>
  <w:footnote w:id="21">
    <w:p w14:paraId="1E9A71E4" w14:textId="66292473" w:rsidR="004C497E" w:rsidRDefault="004C497E">
      <w:pPr>
        <w:pStyle w:val="FootnoteText"/>
      </w:pPr>
      <w:r>
        <w:rPr>
          <w:rStyle w:val="FootnoteReference"/>
        </w:rPr>
        <w:footnoteRef/>
      </w:r>
      <w:r>
        <w:t xml:space="preserve"> Liz Henty</w:t>
      </w:r>
    </w:p>
  </w:footnote>
  <w:footnote w:id="22">
    <w:p w14:paraId="48D70315" w14:textId="29313C77" w:rsidR="004C497E" w:rsidRDefault="004C497E">
      <w:pPr>
        <w:pStyle w:val="FootnoteText"/>
      </w:pPr>
      <w:r>
        <w:rPr>
          <w:rStyle w:val="FootnoteReference"/>
        </w:rPr>
        <w:footnoteRef/>
      </w:r>
      <w:r>
        <w:t xml:space="preserve"> Ingold, nicks notes</w:t>
      </w:r>
    </w:p>
  </w:footnote>
  <w:footnote w:id="23">
    <w:p w14:paraId="16DEE679" w14:textId="59B8AD59" w:rsidR="004C497E" w:rsidRDefault="004C497E">
      <w:pPr>
        <w:pStyle w:val="FootnoteText"/>
      </w:pPr>
      <w:r>
        <w:rPr>
          <w:rStyle w:val="FootnoteReference"/>
        </w:rPr>
        <w:footnoteRef/>
      </w:r>
      <w:r>
        <w:t xml:space="preserve"> Silva 2014</w:t>
      </w:r>
    </w:p>
  </w:footnote>
  <w:footnote w:id="24">
    <w:p w14:paraId="69845FD2" w14:textId="67EB78FD" w:rsidR="004C497E" w:rsidRDefault="004C497E">
      <w:pPr>
        <w:pStyle w:val="FootnoteText"/>
      </w:pPr>
      <w:r>
        <w:rPr>
          <w:rStyle w:val="FootnoteReference"/>
        </w:rPr>
        <w:footnoteRef/>
      </w:r>
      <w:r>
        <w:t xml:space="preserve"> Silva, p. 25</w:t>
      </w:r>
    </w:p>
  </w:footnote>
  <w:footnote w:id="25">
    <w:p w14:paraId="4CAD967B" w14:textId="5BC1034A" w:rsidR="003371F4" w:rsidRDefault="003371F4">
      <w:pPr>
        <w:pStyle w:val="FootnoteText"/>
      </w:pPr>
      <w:r>
        <w:rPr>
          <w:rStyle w:val="FootnoteReference"/>
        </w:rPr>
        <w:footnoteRef/>
      </w:r>
      <w:r>
        <w:t xml:space="preserve"> Cummings 2001</w:t>
      </w:r>
    </w:p>
  </w:footnote>
  <w:footnote w:id="26">
    <w:p w14:paraId="1D590B08" w14:textId="3446E935" w:rsidR="00A4473A" w:rsidRDefault="00A4473A">
      <w:pPr>
        <w:pStyle w:val="FootnoteText"/>
      </w:pPr>
      <w:r>
        <w:rPr>
          <w:rStyle w:val="FootnoteReference"/>
        </w:rPr>
        <w:footnoteRef/>
      </w:r>
      <w:r>
        <w:t xml:space="preserve"> See brun Celli Ddu archaeology</w:t>
      </w:r>
    </w:p>
  </w:footnote>
  <w:footnote w:id="27">
    <w:p w14:paraId="4264120F" w14:textId="6393BA88" w:rsidR="00A4473A" w:rsidRDefault="00A4473A">
      <w:pPr>
        <w:pStyle w:val="FootnoteText"/>
      </w:pPr>
      <w:r>
        <w:rPr>
          <w:rStyle w:val="FootnoteReference"/>
        </w:rPr>
        <w:footnoteRef/>
      </w:r>
      <w:r>
        <w:t xml:space="preserve"> Burrows p. 214??</w:t>
      </w:r>
    </w:p>
  </w:footnote>
  <w:footnote w:id="28">
    <w:p w14:paraId="49B0FFA3" w14:textId="734FA6B5" w:rsidR="00A4473A" w:rsidRDefault="00A4473A">
      <w:pPr>
        <w:pStyle w:val="FootnoteText"/>
      </w:pPr>
      <w:r>
        <w:rPr>
          <w:rStyle w:val="FootnoteReference"/>
        </w:rPr>
        <w:footnoteRef/>
      </w:r>
      <w:r>
        <w:t xml:space="preserve"> Cummmings (cummings, landscapes of NW wales</w:t>
      </w:r>
    </w:p>
  </w:footnote>
  <w:footnote w:id="29">
    <w:p w14:paraId="2BD64E43" w14:textId="5C0228F5" w:rsidR="00A4473A" w:rsidRDefault="00A4473A">
      <w:pPr>
        <w:pStyle w:val="FootnoteText"/>
      </w:pPr>
      <w:r>
        <w:rPr>
          <w:rStyle w:val="FootnoteReference"/>
        </w:rPr>
        <w:footnoteRef/>
      </w:r>
      <w:r>
        <w:t xml:space="preserve"> ’ Powell and Daniel, 1956 in Cummings stones that float to the sky page 81</w:t>
      </w:r>
    </w:p>
  </w:footnote>
  <w:footnote w:id="30">
    <w:p w14:paraId="0620D8A0" w14:textId="2B27EDE6" w:rsidR="00A4473A" w:rsidRDefault="00A4473A">
      <w:pPr>
        <w:pStyle w:val="FootnoteText"/>
      </w:pPr>
      <w:r>
        <w:rPr>
          <w:rStyle w:val="FootnoteReference"/>
        </w:rPr>
        <w:footnoteRef/>
      </w:r>
      <w:r>
        <w:t xml:space="preserve"> Nash, 2019. P. 103</w:t>
      </w:r>
    </w:p>
  </w:footnote>
  <w:footnote w:id="31">
    <w:p w14:paraId="3CA501E3" w14:textId="7EA8D217" w:rsidR="00A551FA" w:rsidRDefault="00A551FA">
      <w:pPr>
        <w:pStyle w:val="FootnoteText"/>
      </w:pPr>
      <w:r>
        <w:rPr>
          <w:rStyle w:val="FootnoteReference"/>
        </w:rPr>
        <w:footnoteRef/>
      </w:r>
      <w:r>
        <w:t xml:space="preserve"> NOA</w:t>
      </w:r>
    </w:p>
  </w:footnote>
  <w:footnote w:id="32">
    <w:p w14:paraId="75E96EEB" w14:textId="77777777" w:rsidR="00EF43D4" w:rsidRDefault="00EF43D4" w:rsidP="00EF43D4">
      <w:pPr>
        <w:pStyle w:val="FootnoteText"/>
      </w:pPr>
      <w:r>
        <w:rPr>
          <w:rStyle w:val="FootnoteReference"/>
        </w:rPr>
        <w:footnoteRef/>
      </w:r>
      <w:r>
        <w:t xml:space="preserve"> Fabio Silva</w:t>
      </w:r>
    </w:p>
  </w:footnote>
  <w:footnote w:id="33">
    <w:p w14:paraId="761E1920" w14:textId="70EB9EEA" w:rsidR="00E01083" w:rsidRDefault="00E01083">
      <w:pPr>
        <w:pStyle w:val="FootnoteText"/>
      </w:pPr>
      <w:r>
        <w:rPr>
          <w:rStyle w:val="FootnoteReference"/>
        </w:rPr>
        <w:footnoteRef/>
      </w:r>
      <w:r>
        <w:t xml:space="preserve"> </w:t>
      </w:r>
      <w:r>
        <w:rPr>
          <w:rStyle w:val="FootnoteReference"/>
        </w:rPr>
        <w:footnoteRef/>
      </w:r>
      <w:r>
        <w:t xml:space="preserve"> (Nash, p. 216, light at the end of the tunnel).</w:t>
      </w:r>
    </w:p>
  </w:footnote>
  <w:footnote w:id="34">
    <w:p w14:paraId="38B18E74" w14:textId="41787BB1" w:rsidR="007D1CE8" w:rsidRDefault="007D1CE8">
      <w:pPr>
        <w:pStyle w:val="FootnoteText"/>
      </w:pPr>
      <w:r>
        <w:rPr>
          <w:rStyle w:val="FootnoteReference"/>
        </w:rPr>
        <w:footnoteRef/>
      </w:r>
      <w:r>
        <w:t xml:space="preserve"> Burrows</w:t>
      </w:r>
    </w:p>
  </w:footnote>
  <w:footnote w:id="35">
    <w:p w14:paraId="2E1B93B4" w14:textId="7D82EE4F" w:rsidR="00A551FA" w:rsidRDefault="00A551FA">
      <w:pPr>
        <w:pStyle w:val="FootnoteText"/>
      </w:pPr>
      <w:r>
        <w:rPr>
          <w:rStyle w:val="FootnoteReference"/>
        </w:rPr>
        <w:footnoteRef/>
      </w:r>
      <w:r>
        <w:t xml:space="preserve"> Grearney</w:t>
      </w:r>
    </w:p>
  </w:footnote>
  <w:footnote w:id="36">
    <w:p w14:paraId="4DDB1ACD" w14:textId="7CB3E151" w:rsidR="00A551FA" w:rsidRDefault="00A551FA">
      <w:pPr>
        <w:pStyle w:val="FootnoteText"/>
      </w:pPr>
      <w:r>
        <w:rPr>
          <w:rStyle w:val="FootnoteReference"/>
        </w:rPr>
        <w:footnoteRef/>
      </w:r>
      <w:r>
        <w:t xml:space="preserve"> Brooks</w:t>
      </w:r>
    </w:p>
  </w:footnote>
  <w:footnote w:id="37">
    <w:p w14:paraId="4EBCCF1D" w14:textId="08DBF442" w:rsidR="00007216" w:rsidRDefault="00007216">
      <w:pPr>
        <w:pStyle w:val="FootnoteText"/>
      </w:pPr>
      <w:r>
        <w:rPr>
          <w:rStyle w:val="FootnoteReference"/>
        </w:rPr>
        <w:footnoteRef/>
      </w:r>
      <w:r>
        <w:t xml:space="preserve"> kemp</w:t>
      </w:r>
    </w:p>
  </w:footnote>
  <w:footnote w:id="38">
    <w:p w14:paraId="107B177D" w14:textId="1E9B49F0" w:rsidR="00007216" w:rsidRDefault="00007216">
      <w:pPr>
        <w:pStyle w:val="FootnoteText"/>
      </w:pPr>
      <w:r>
        <w:rPr>
          <w:rStyle w:val="FootnoteReference"/>
        </w:rPr>
        <w:footnoteRef/>
      </w:r>
      <w:r>
        <w:t xml:space="preserve"> Kemp</w:t>
      </w:r>
    </w:p>
  </w:footnote>
  <w:footnote w:id="39">
    <w:p w14:paraId="03AAADB3" w14:textId="31E2A46D" w:rsidR="00720C21" w:rsidRDefault="00720C21">
      <w:pPr>
        <w:pStyle w:val="FootnoteText"/>
      </w:pPr>
      <w:r>
        <w:rPr>
          <w:rStyle w:val="FootnoteReference"/>
        </w:rPr>
        <w:footnoteRef/>
      </w:r>
      <w:r>
        <w:t xml:space="preserve"> Nash, p. 264</w:t>
      </w:r>
    </w:p>
    <w:p w14:paraId="5ECAA790" w14:textId="77777777" w:rsidR="00720C21" w:rsidRDefault="00720C21">
      <w:pPr>
        <w:pStyle w:val="FootnoteText"/>
      </w:pPr>
    </w:p>
  </w:footnote>
  <w:footnote w:id="40">
    <w:p w14:paraId="7DCE6F49" w14:textId="6BCCDEDE" w:rsidR="00D85989" w:rsidRDefault="00D85989">
      <w:pPr>
        <w:pStyle w:val="FootnoteText"/>
      </w:pPr>
      <w:r>
        <w:rPr>
          <w:rStyle w:val="FootnoteReference"/>
        </w:rPr>
        <w:footnoteRef/>
      </w:r>
      <w:r>
        <w:t xml:space="preserve"> Burrows</w:t>
      </w:r>
    </w:p>
  </w:footnote>
  <w:footnote w:id="41">
    <w:p w14:paraId="32DB2DDC" w14:textId="35F7D811" w:rsidR="00D85989" w:rsidRDefault="00D85989">
      <w:pPr>
        <w:pStyle w:val="FootnoteText"/>
      </w:pPr>
      <w:r>
        <w:rPr>
          <w:rStyle w:val="FootnoteReference"/>
        </w:rPr>
        <w:footnoteRef/>
      </w:r>
      <w:r>
        <w:t xml:space="preserve"> Emic/etic</w:t>
      </w:r>
    </w:p>
  </w:footnote>
  <w:footnote w:id="42">
    <w:p w14:paraId="355CF7B5" w14:textId="79719CF5" w:rsidR="006C44B0" w:rsidRDefault="006C44B0">
      <w:pPr>
        <w:pStyle w:val="FootnoteText"/>
      </w:pPr>
      <w:r>
        <w:rPr>
          <w:rStyle w:val="FootnoteReference"/>
        </w:rPr>
        <w:footnoteRef/>
      </w:r>
      <w:r>
        <w:t xml:space="preserve"> Nash</w:t>
      </w:r>
    </w:p>
  </w:footnote>
  <w:footnote w:id="43">
    <w:p w14:paraId="294E55C1" w14:textId="59C72EFB" w:rsidR="006D157E" w:rsidRDefault="006D157E">
      <w:pPr>
        <w:pStyle w:val="FootnoteText"/>
      </w:pPr>
      <w:r>
        <w:rPr>
          <w:rStyle w:val="FootnoteReference"/>
        </w:rPr>
        <w:footnoteRef/>
      </w:r>
      <w:r>
        <w:t xml:space="preserve"> Nash</w:t>
      </w:r>
    </w:p>
  </w:footnote>
  <w:footnote w:id="44">
    <w:p w14:paraId="7CA7E21B" w14:textId="6E728AE2" w:rsidR="005B667F" w:rsidRDefault="005B667F">
      <w:pPr>
        <w:pStyle w:val="FootnoteText"/>
      </w:pPr>
      <w:r>
        <w:rPr>
          <w:rStyle w:val="FootnoteReference"/>
        </w:rPr>
        <w:footnoteRef/>
      </w:r>
      <w:r>
        <w:t xml:space="preserve"> Harding, Thornbourough Henge</w:t>
      </w:r>
    </w:p>
  </w:footnote>
  <w:footnote w:id="45">
    <w:p w14:paraId="051A204B" w14:textId="31003D5B" w:rsidR="000E010B" w:rsidRDefault="000E010B">
      <w:pPr>
        <w:pStyle w:val="FootnoteText"/>
      </w:pPr>
      <w:r>
        <w:rPr>
          <w:rStyle w:val="FootnoteReference"/>
        </w:rPr>
        <w:footnoteRef/>
      </w:r>
      <w:r>
        <w:t xml:space="preserve"> Ways of seeing page 9.</w:t>
      </w:r>
    </w:p>
  </w:footnote>
  <w:footnote w:id="46">
    <w:p w14:paraId="0D9BD854" w14:textId="5CF6B8EE" w:rsidR="000E010B" w:rsidRDefault="000E010B">
      <w:pPr>
        <w:pStyle w:val="FootnoteText"/>
      </w:pPr>
      <w:r>
        <w:rPr>
          <w:rStyle w:val="FootnoteReference"/>
        </w:rPr>
        <w:footnoteRef/>
      </w:r>
      <w:r>
        <w:t xml:space="preserve"> Nash p. 218</w:t>
      </w:r>
      <w:r w:rsidR="0030313F">
        <w:t xml:space="preserve"> (Tilly, 1991, page 75).</w:t>
      </w:r>
    </w:p>
  </w:footnote>
  <w:footnote w:id="47">
    <w:p w14:paraId="7E87B697" w14:textId="72BCA834" w:rsidR="0030313F" w:rsidRDefault="0030313F">
      <w:pPr>
        <w:pStyle w:val="FootnoteText"/>
      </w:pPr>
      <w:r>
        <w:rPr>
          <w:rStyle w:val="FootnoteReference"/>
        </w:rPr>
        <w:footnoteRef/>
      </w:r>
      <w:r>
        <w:t xml:space="preserve"> Nash, p. 220</w:t>
      </w:r>
    </w:p>
  </w:footnote>
  <w:footnote w:id="48">
    <w:p w14:paraId="572FD064" w14:textId="23D81449" w:rsidR="0030313F" w:rsidRDefault="0030313F">
      <w:pPr>
        <w:pStyle w:val="FootnoteText"/>
      </w:pPr>
      <w:r>
        <w:rPr>
          <w:rStyle w:val="FootnoteReference"/>
        </w:rPr>
        <w:footnoteRef/>
      </w:r>
      <w:r>
        <w:t xml:space="preserve"> Powell and </w:t>
      </w:r>
      <w:r w:rsidR="00A869B9">
        <w:t>?</w:t>
      </w:r>
    </w:p>
  </w:footnote>
  <w:footnote w:id="49">
    <w:p w14:paraId="18A60C04" w14:textId="55513E85" w:rsidR="00A869B9" w:rsidRDefault="00A869B9">
      <w:pPr>
        <w:pStyle w:val="FootnoteText"/>
      </w:pPr>
      <w:r>
        <w:rPr>
          <w:rStyle w:val="FootnoteReference"/>
        </w:rPr>
        <w:footnoteRef/>
      </w:r>
      <w:r>
        <w:t xml:space="preserve"> Nash</w:t>
      </w:r>
    </w:p>
  </w:footnote>
  <w:footnote w:id="50">
    <w:p w14:paraId="3EF51132" w14:textId="1B95817C" w:rsidR="00EE472D" w:rsidRDefault="00EE472D">
      <w:pPr>
        <w:pStyle w:val="FootnoteText"/>
      </w:pPr>
      <w:r>
        <w:rPr>
          <w:rStyle w:val="FootnoteReference"/>
        </w:rPr>
        <w:footnoteRef/>
      </w:r>
      <w:r>
        <w:t xml:space="preserve"> Bradley p. 57</w:t>
      </w:r>
    </w:p>
  </w:footnote>
  <w:footnote w:id="51">
    <w:p w14:paraId="749A6615" w14:textId="52CD90C0" w:rsidR="00EE472D" w:rsidRDefault="00EE472D">
      <w:pPr>
        <w:pStyle w:val="FootnoteText"/>
      </w:pPr>
      <w:r>
        <w:rPr>
          <w:rStyle w:val="FootnoteReference"/>
        </w:rPr>
        <w:footnoteRef/>
      </w:r>
      <w:r>
        <w:t xml:space="preserve"> Grearney</w:t>
      </w:r>
    </w:p>
  </w:footnote>
  <w:footnote w:id="52">
    <w:p w14:paraId="4C39248A" w14:textId="11F4BF06" w:rsidR="00A869B9" w:rsidRDefault="00A869B9">
      <w:pPr>
        <w:pStyle w:val="FootnoteText"/>
      </w:pPr>
      <w:r>
        <w:rPr>
          <w:rStyle w:val="FootnoteReference"/>
        </w:rPr>
        <w:footnoteRef/>
      </w:r>
      <w:r>
        <w:t xml:space="preserve"> Lynch</w:t>
      </w:r>
    </w:p>
  </w:footnote>
  <w:footnote w:id="53">
    <w:p w14:paraId="285166D5" w14:textId="5089CB91" w:rsidR="00127A67" w:rsidRDefault="00127A67">
      <w:pPr>
        <w:pStyle w:val="FootnoteText"/>
      </w:pPr>
      <w:r>
        <w:rPr>
          <w:rStyle w:val="FootnoteReference"/>
        </w:rPr>
        <w:footnoteRef/>
      </w:r>
      <w:r>
        <w:t xml:space="preserve"> Grearney</w:t>
      </w:r>
    </w:p>
  </w:footnote>
  <w:footnote w:id="54">
    <w:p w14:paraId="060251C2" w14:textId="5D5CABA3" w:rsidR="00127A67" w:rsidRDefault="00127A67">
      <w:pPr>
        <w:pStyle w:val="FootnoteText"/>
      </w:pPr>
      <w:r>
        <w:rPr>
          <w:rStyle w:val="FootnoteReference"/>
        </w:rPr>
        <w:footnoteRef/>
      </w:r>
      <w:r>
        <w:t xml:space="preserve"> Darvill</w:t>
      </w:r>
    </w:p>
  </w:footnote>
  <w:footnote w:id="55">
    <w:p w14:paraId="11F65DA1" w14:textId="31548853" w:rsidR="00880646" w:rsidRDefault="00880646">
      <w:pPr>
        <w:pStyle w:val="FootnoteText"/>
      </w:pPr>
      <w:r>
        <w:rPr>
          <w:rStyle w:val="FootnoteReference"/>
        </w:rPr>
        <w:footnoteRef/>
      </w:r>
      <w:r>
        <w:t xml:space="preserve"> Ingold 1993 quoted in Cumminds and Whittle – Places, monuments and landscapes, page 9.</w:t>
      </w:r>
    </w:p>
  </w:footnote>
  <w:footnote w:id="56">
    <w:p w14:paraId="5AAED50C" w14:textId="7E298F31" w:rsidR="00880646" w:rsidRDefault="00880646">
      <w:pPr>
        <w:pStyle w:val="FootnoteText"/>
      </w:pPr>
      <w:r>
        <w:rPr>
          <w:rStyle w:val="FootnoteReference"/>
        </w:rPr>
        <w:footnoteRef/>
      </w:r>
      <w:r>
        <w:t xml:space="preserve"> Cummings p. 12</w:t>
      </w:r>
    </w:p>
  </w:footnote>
  <w:footnote w:id="57">
    <w:p w14:paraId="120214EF" w14:textId="4203D3EE" w:rsidR="00875E94" w:rsidRDefault="00875E94">
      <w:pPr>
        <w:pStyle w:val="FootnoteText"/>
      </w:pPr>
      <w:r>
        <w:rPr>
          <w:rStyle w:val="FootnoteReference"/>
        </w:rPr>
        <w:footnoteRef/>
      </w:r>
      <w:r>
        <w:t xml:space="preserve"> Rachel Bromwich</w:t>
      </w:r>
    </w:p>
  </w:footnote>
  <w:footnote w:id="58">
    <w:p w14:paraId="513123D7" w14:textId="4F8A31B0" w:rsidR="0071758F" w:rsidRDefault="0071758F">
      <w:pPr>
        <w:pStyle w:val="FootnoteText"/>
      </w:pPr>
      <w:r>
        <w:rPr>
          <w:rStyle w:val="FootnoteReference"/>
        </w:rPr>
        <w:footnoteRef/>
      </w:r>
      <w:r>
        <w:t xml:space="preserve"> </w:t>
      </w:r>
    </w:p>
  </w:footnote>
  <w:footnote w:id="59">
    <w:p w14:paraId="50CA00C5" w14:textId="5700AA40" w:rsidR="0071758F" w:rsidRDefault="0071758F">
      <w:pPr>
        <w:pStyle w:val="FootnoteText"/>
      </w:pPr>
      <w:r>
        <w:rPr>
          <w:rStyle w:val="FootnoteReference"/>
        </w:rPr>
        <w:footnoteRef/>
      </w:r>
      <w:r>
        <w:t xml:space="preserve"> </w:t>
      </w:r>
    </w:p>
  </w:footnote>
  <w:footnote w:id="60">
    <w:p w14:paraId="6F5FB9CA" w14:textId="2D6E3BA4" w:rsidR="005D0860" w:rsidRDefault="005D0860">
      <w:pPr>
        <w:pStyle w:val="FootnoteText"/>
      </w:pPr>
      <w:r>
        <w:rPr>
          <w:rStyle w:val="FootnoteReference"/>
        </w:rPr>
        <w:footnoteRef/>
      </w:r>
      <w:r>
        <w:t xml:space="preserve"> Murphy, page 288</w:t>
      </w:r>
    </w:p>
  </w:footnote>
  <w:footnote w:id="61">
    <w:p w14:paraId="7ADA4116" w14:textId="6F7CED89" w:rsidR="005D0860" w:rsidRDefault="005D0860">
      <w:pPr>
        <w:pStyle w:val="FootnoteText"/>
      </w:pPr>
      <w:r>
        <w:rPr>
          <w:rStyle w:val="FootnoteReference"/>
        </w:rPr>
        <w:footnoteRef/>
      </w:r>
      <w:r>
        <w:t xml:space="preserve"> </w:t>
      </w:r>
    </w:p>
  </w:footnote>
  <w:footnote w:id="62">
    <w:p w14:paraId="04A20301" w14:textId="70745D9D" w:rsidR="005D0860" w:rsidRDefault="005D0860">
      <w:pPr>
        <w:pStyle w:val="FootnoteText"/>
      </w:pPr>
      <w:r>
        <w:rPr>
          <w:rStyle w:val="FootnoteReference"/>
        </w:rPr>
        <w:footnoteRef/>
      </w:r>
      <w:r>
        <w:t xml:space="preserve"> O’brien</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s Bisby">
    <w15:presenceInfo w15:providerId="AD" w15:userId="S::SBisby@tgs.kent.sch.uk::f74655d2-6d87-4d73-a214-fb9dc1e8d2b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B80"/>
    <w:rsid w:val="000002CC"/>
    <w:rsid w:val="000055FF"/>
    <w:rsid w:val="00007216"/>
    <w:rsid w:val="000106C5"/>
    <w:rsid w:val="0001098D"/>
    <w:rsid w:val="000130E5"/>
    <w:rsid w:val="0001728E"/>
    <w:rsid w:val="000349F8"/>
    <w:rsid w:val="00040E42"/>
    <w:rsid w:val="00044A74"/>
    <w:rsid w:val="00045623"/>
    <w:rsid w:val="00047A4C"/>
    <w:rsid w:val="00047AA5"/>
    <w:rsid w:val="000508F9"/>
    <w:rsid w:val="00052C61"/>
    <w:rsid w:val="00057C80"/>
    <w:rsid w:val="00063D66"/>
    <w:rsid w:val="00063FC0"/>
    <w:rsid w:val="00071735"/>
    <w:rsid w:val="00075BEF"/>
    <w:rsid w:val="000776C8"/>
    <w:rsid w:val="00080AA2"/>
    <w:rsid w:val="000815AA"/>
    <w:rsid w:val="00083155"/>
    <w:rsid w:val="000908AF"/>
    <w:rsid w:val="00093CA7"/>
    <w:rsid w:val="0009623A"/>
    <w:rsid w:val="000A7A13"/>
    <w:rsid w:val="000B0E5C"/>
    <w:rsid w:val="000B6BDA"/>
    <w:rsid w:val="000C2925"/>
    <w:rsid w:val="000C2D57"/>
    <w:rsid w:val="000C7A09"/>
    <w:rsid w:val="000E010B"/>
    <w:rsid w:val="000E197A"/>
    <w:rsid w:val="000E1AA2"/>
    <w:rsid w:val="000E1F45"/>
    <w:rsid w:val="000E5A1D"/>
    <w:rsid w:val="000E6C84"/>
    <w:rsid w:val="000E7FEE"/>
    <w:rsid w:val="000F1E3F"/>
    <w:rsid w:val="000F315D"/>
    <w:rsid w:val="00101EEB"/>
    <w:rsid w:val="001027A6"/>
    <w:rsid w:val="00111AAC"/>
    <w:rsid w:val="0012253C"/>
    <w:rsid w:val="00125470"/>
    <w:rsid w:val="00126CC4"/>
    <w:rsid w:val="00127A67"/>
    <w:rsid w:val="00134F1B"/>
    <w:rsid w:val="0013535E"/>
    <w:rsid w:val="001374A3"/>
    <w:rsid w:val="00141891"/>
    <w:rsid w:val="00142532"/>
    <w:rsid w:val="00151B59"/>
    <w:rsid w:val="0015364F"/>
    <w:rsid w:val="00153D1A"/>
    <w:rsid w:val="001545AD"/>
    <w:rsid w:val="00157622"/>
    <w:rsid w:val="00157745"/>
    <w:rsid w:val="001617BD"/>
    <w:rsid w:val="001743E6"/>
    <w:rsid w:val="001768A5"/>
    <w:rsid w:val="00176AFA"/>
    <w:rsid w:val="0018447E"/>
    <w:rsid w:val="001848E3"/>
    <w:rsid w:val="00191A8E"/>
    <w:rsid w:val="0019560D"/>
    <w:rsid w:val="001A115D"/>
    <w:rsid w:val="001A3C2F"/>
    <w:rsid w:val="001A7E11"/>
    <w:rsid w:val="001B0E08"/>
    <w:rsid w:val="001B3567"/>
    <w:rsid w:val="001B7D4F"/>
    <w:rsid w:val="001B7DC5"/>
    <w:rsid w:val="001C0B59"/>
    <w:rsid w:val="001C1987"/>
    <w:rsid w:val="001C3298"/>
    <w:rsid w:val="001C3B20"/>
    <w:rsid w:val="001C5499"/>
    <w:rsid w:val="001C6F78"/>
    <w:rsid w:val="001D0B23"/>
    <w:rsid w:val="001D105F"/>
    <w:rsid w:val="001F0EB6"/>
    <w:rsid w:val="001F7DAE"/>
    <w:rsid w:val="00200C54"/>
    <w:rsid w:val="0020385A"/>
    <w:rsid w:val="00205AF9"/>
    <w:rsid w:val="002144A3"/>
    <w:rsid w:val="00214505"/>
    <w:rsid w:val="002177A4"/>
    <w:rsid w:val="00220528"/>
    <w:rsid w:val="00220F1D"/>
    <w:rsid w:val="00223CC7"/>
    <w:rsid w:val="00224343"/>
    <w:rsid w:val="00226EE2"/>
    <w:rsid w:val="0023011B"/>
    <w:rsid w:val="00234BF9"/>
    <w:rsid w:val="00252326"/>
    <w:rsid w:val="00254BA6"/>
    <w:rsid w:val="0026447F"/>
    <w:rsid w:val="002738AA"/>
    <w:rsid w:val="00275918"/>
    <w:rsid w:val="002833AC"/>
    <w:rsid w:val="002860BA"/>
    <w:rsid w:val="00287A2C"/>
    <w:rsid w:val="002A3161"/>
    <w:rsid w:val="002B1B53"/>
    <w:rsid w:val="002B6346"/>
    <w:rsid w:val="002C00D2"/>
    <w:rsid w:val="002C6288"/>
    <w:rsid w:val="002D1DB5"/>
    <w:rsid w:val="002D4436"/>
    <w:rsid w:val="002D5C67"/>
    <w:rsid w:val="002D5EB7"/>
    <w:rsid w:val="002D61A5"/>
    <w:rsid w:val="002E2FFB"/>
    <w:rsid w:val="002E4457"/>
    <w:rsid w:val="002E7D18"/>
    <w:rsid w:val="002E7FEF"/>
    <w:rsid w:val="002F21B6"/>
    <w:rsid w:val="002F523C"/>
    <w:rsid w:val="002F7A7A"/>
    <w:rsid w:val="0030105E"/>
    <w:rsid w:val="003018CD"/>
    <w:rsid w:val="0030313F"/>
    <w:rsid w:val="00305B25"/>
    <w:rsid w:val="00311A35"/>
    <w:rsid w:val="00316876"/>
    <w:rsid w:val="003175BF"/>
    <w:rsid w:val="00322D74"/>
    <w:rsid w:val="003244BF"/>
    <w:rsid w:val="00334EA9"/>
    <w:rsid w:val="003371F4"/>
    <w:rsid w:val="0033726F"/>
    <w:rsid w:val="00341A97"/>
    <w:rsid w:val="00350633"/>
    <w:rsid w:val="00356B2D"/>
    <w:rsid w:val="00363DB6"/>
    <w:rsid w:val="003664F2"/>
    <w:rsid w:val="003672B3"/>
    <w:rsid w:val="00367DEB"/>
    <w:rsid w:val="00371EC3"/>
    <w:rsid w:val="00372205"/>
    <w:rsid w:val="003733C0"/>
    <w:rsid w:val="003800CD"/>
    <w:rsid w:val="003803C2"/>
    <w:rsid w:val="00381D3C"/>
    <w:rsid w:val="00386ADF"/>
    <w:rsid w:val="00387271"/>
    <w:rsid w:val="00387E84"/>
    <w:rsid w:val="0039253F"/>
    <w:rsid w:val="003959AC"/>
    <w:rsid w:val="003A09D2"/>
    <w:rsid w:val="003A27AC"/>
    <w:rsid w:val="003A4371"/>
    <w:rsid w:val="003B2708"/>
    <w:rsid w:val="003B3B94"/>
    <w:rsid w:val="003C48D3"/>
    <w:rsid w:val="003E50A6"/>
    <w:rsid w:val="003F3C66"/>
    <w:rsid w:val="003F6DC3"/>
    <w:rsid w:val="004061DF"/>
    <w:rsid w:val="00412157"/>
    <w:rsid w:val="004124BA"/>
    <w:rsid w:val="004125D1"/>
    <w:rsid w:val="00415473"/>
    <w:rsid w:val="004231AD"/>
    <w:rsid w:val="00425CFE"/>
    <w:rsid w:val="00426682"/>
    <w:rsid w:val="00426BF9"/>
    <w:rsid w:val="00426C8F"/>
    <w:rsid w:val="0042745E"/>
    <w:rsid w:val="004316A3"/>
    <w:rsid w:val="0043609D"/>
    <w:rsid w:val="00437A19"/>
    <w:rsid w:val="00437FD7"/>
    <w:rsid w:val="004412B9"/>
    <w:rsid w:val="00441EC6"/>
    <w:rsid w:val="004437E6"/>
    <w:rsid w:val="00443E15"/>
    <w:rsid w:val="0044534F"/>
    <w:rsid w:val="0045149D"/>
    <w:rsid w:val="00454A22"/>
    <w:rsid w:val="00454A7C"/>
    <w:rsid w:val="00466448"/>
    <w:rsid w:val="0046675A"/>
    <w:rsid w:val="00466AFE"/>
    <w:rsid w:val="00467643"/>
    <w:rsid w:val="00471E54"/>
    <w:rsid w:val="00472FDA"/>
    <w:rsid w:val="00477A2D"/>
    <w:rsid w:val="0048119F"/>
    <w:rsid w:val="004811F1"/>
    <w:rsid w:val="004836EB"/>
    <w:rsid w:val="00486190"/>
    <w:rsid w:val="00487864"/>
    <w:rsid w:val="00487E0C"/>
    <w:rsid w:val="004915D5"/>
    <w:rsid w:val="00492FCC"/>
    <w:rsid w:val="00495448"/>
    <w:rsid w:val="00495693"/>
    <w:rsid w:val="00496320"/>
    <w:rsid w:val="00497091"/>
    <w:rsid w:val="004A0092"/>
    <w:rsid w:val="004A3789"/>
    <w:rsid w:val="004A4105"/>
    <w:rsid w:val="004B0AD6"/>
    <w:rsid w:val="004B37EF"/>
    <w:rsid w:val="004B3E3F"/>
    <w:rsid w:val="004B4E02"/>
    <w:rsid w:val="004B7C98"/>
    <w:rsid w:val="004C0F91"/>
    <w:rsid w:val="004C380D"/>
    <w:rsid w:val="004C497E"/>
    <w:rsid w:val="004C7057"/>
    <w:rsid w:val="004D12D1"/>
    <w:rsid w:val="004D19B2"/>
    <w:rsid w:val="004D2F08"/>
    <w:rsid w:val="004D3A45"/>
    <w:rsid w:val="004D5A10"/>
    <w:rsid w:val="004E00A6"/>
    <w:rsid w:val="004E2EF3"/>
    <w:rsid w:val="004E774A"/>
    <w:rsid w:val="004F1D7C"/>
    <w:rsid w:val="004F3C50"/>
    <w:rsid w:val="004F5AE4"/>
    <w:rsid w:val="004F5DD0"/>
    <w:rsid w:val="004F5DFC"/>
    <w:rsid w:val="004F6AC1"/>
    <w:rsid w:val="004F6F2C"/>
    <w:rsid w:val="00501ECC"/>
    <w:rsid w:val="005048E7"/>
    <w:rsid w:val="005105F9"/>
    <w:rsid w:val="00512395"/>
    <w:rsid w:val="00513CB3"/>
    <w:rsid w:val="005175CE"/>
    <w:rsid w:val="00522B0A"/>
    <w:rsid w:val="00522FF0"/>
    <w:rsid w:val="00524953"/>
    <w:rsid w:val="00533066"/>
    <w:rsid w:val="00534000"/>
    <w:rsid w:val="00536FD5"/>
    <w:rsid w:val="0053733D"/>
    <w:rsid w:val="005406C3"/>
    <w:rsid w:val="00543605"/>
    <w:rsid w:val="00545E7C"/>
    <w:rsid w:val="005467E2"/>
    <w:rsid w:val="00553C6D"/>
    <w:rsid w:val="00556731"/>
    <w:rsid w:val="00557E8E"/>
    <w:rsid w:val="00560900"/>
    <w:rsid w:val="00561485"/>
    <w:rsid w:val="00563D01"/>
    <w:rsid w:val="005649D7"/>
    <w:rsid w:val="00566551"/>
    <w:rsid w:val="005666FE"/>
    <w:rsid w:val="0057239B"/>
    <w:rsid w:val="0057439A"/>
    <w:rsid w:val="005814F2"/>
    <w:rsid w:val="005823D6"/>
    <w:rsid w:val="00582F78"/>
    <w:rsid w:val="005860BD"/>
    <w:rsid w:val="00591CAB"/>
    <w:rsid w:val="005948CC"/>
    <w:rsid w:val="0059506B"/>
    <w:rsid w:val="00595722"/>
    <w:rsid w:val="005963C5"/>
    <w:rsid w:val="0059739B"/>
    <w:rsid w:val="005A2D86"/>
    <w:rsid w:val="005A4B34"/>
    <w:rsid w:val="005B667F"/>
    <w:rsid w:val="005C0215"/>
    <w:rsid w:val="005C257F"/>
    <w:rsid w:val="005C3F11"/>
    <w:rsid w:val="005C614B"/>
    <w:rsid w:val="005C6403"/>
    <w:rsid w:val="005C7362"/>
    <w:rsid w:val="005D00C1"/>
    <w:rsid w:val="005D0154"/>
    <w:rsid w:val="005D0860"/>
    <w:rsid w:val="005D41AE"/>
    <w:rsid w:val="005D5CB6"/>
    <w:rsid w:val="005D7B9F"/>
    <w:rsid w:val="005E1A6F"/>
    <w:rsid w:val="005E62C7"/>
    <w:rsid w:val="005E708B"/>
    <w:rsid w:val="005E7A14"/>
    <w:rsid w:val="005F4ABB"/>
    <w:rsid w:val="005F7C0B"/>
    <w:rsid w:val="00601856"/>
    <w:rsid w:val="00601C15"/>
    <w:rsid w:val="006048D7"/>
    <w:rsid w:val="006073A8"/>
    <w:rsid w:val="006073BD"/>
    <w:rsid w:val="00612424"/>
    <w:rsid w:val="00612E86"/>
    <w:rsid w:val="0061526E"/>
    <w:rsid w:val="006169C4"/>
    <w:rsid w:val="00622421"/>
    <w:rsid w:val="00630C3B"/>
    <w:rsid w:val="00632D2C"/>
    <w:rsid w:val="006346E2"/>
    <w:rsid w:val="0063650F"/>
    <w:rsid w:val="00645872"/>
    <w:rsid w:val="00660373"/>
    <w:rsid w:val="006621CD"/>
    <w:rsid w:val="006650DC"/>
    <w:rsid w:val="006651AD"/>
    <w:rsid w:val="00665D0F"/>
    <w:rsid w:val="006672CA"/>
    <w:rsid w:val="00671EDD"/>
    <w:rsid w:val="006757C6"/>
    <w:rsid w:val="00676351"/>
    <w:rsid w:val="00676ADC"/>
    <w:rsid w:val="0068153D"/>
    <w:rsid w:val="00687D95"/>
    <w:rsid w:val="00694BA5"/>
    <w:rsid w:val="00697A3F"/>
    <w:rsid w:val="006A1D57"/>
    <w:rsid w:val="006A3D02"/>
    <w:rsid w:val="006A4122"/>
    <w:rsid w:val="006A7406"/>
    <w:rsid w:val="006B676A"/>
    <w:rsid w:val="006C1B00"/>
    <w:rsid w:val="006C2AD1"/>
    <w:rsid w:val="006C44B0"/>
    <w:rsid w:val="006C4CBF"/>
    <w:rsid w:val="006C7716"/>
    <w:rsid w:val="006D157E"/>
    <w:rsid w:val="006D1BFB"/>
    <w:rsid w:val="006D3839"/>
    <w:rsid w:val="006D4CEE"/>
    <w:rsid w:val="006E01EA"/>
    <w:rsid w:val="006E1992"/>
    <w:rsid w:val="006E475A"/>
    <w:rsid w:val="006F11DC"/>
    <w:rsid w:val="006F3E10"/>
    <w:rsid w:val="006F4B20"/>
    <w:rsid w:val="006F6E40"/>
    <w:rsid w:val="00702E6E"/>
    <w:rsid w:val="00705773"/>
    <w:rsid w:val="00710832"/>
    <w:rsid w:val="00714B78"/>
    <w:rsid w:val="00716F9E"/>
    <w:rsid w:val="0071758F"/>
    <w:rsid w:val="00720C21"/>
    <w:rsid w:val="0072341F"/>
    <w:rsid w:val="007259AE"/>
    <w:rsid w:val="007259D3"/>
    <w:rsid w:val="007270EC"/>
    <w:rsid w:val="0073065E"/>
    <w:rsid w:val="00730DB8"/>
    <w:rsid w:val="00731903"/>
    <w:rsid w:val="00732F70"/>
    <w:rsid w:val="0073731E"/>
    <w:rsid w:val="0073739C"/>
    <w:rsid w:val="00737A91"/>
    <w:rsid w:val="0074224E"/>
    <w:rsid w:val="00743B3D"/>
    <w:rsid w:val="007457C7"/>
    <w:rsid w:val="007465D0"/>
    <w:rsid w:val="00753C98"/>
    <w:rsid w:val="0075513A"/>
    <w:rsid w:val="007608B2"/>
    <w:rsid w:val="00765344"/>
    <w:rsid w:val="0076685C"/>
    <w:rsid w:val="00771D2E"/>
    <w:rsid w:val="007763E6"/>
    <w:rsid w:val="00776F7B"/>
    <w:rsid w:val="007777F5"/>
    <w:rsid w:val="007868D9"/>
    <w:rsid w:val="007874F5"/>
    <w:rsid w:val="00791313"/>
    <w:rsid w:val="007919F7"/>
    <w:rsid w:val="00792E7C"/>
    <w:rsid w:val="00793C79"/>
    <w:rsid w:val="00797141"/>
    <w:rsid w:val="007A133E"/>
    <w:rsid w:val="007A38E4"/>
    <w:rsid w:val="007A39EC"/>
    <w:rsid w:val="007B0583"/>
    <w:rsid w:val="007B0D5D"/>
    <w:rsid w:val="007B66DD"/>
    <w:rsid w:val="007C34F7"/>
    <w:rsid w:val="007C4365"/>
    <w:rsid w:val="007C584A"/>
    <w:rsid w:val="007D1CE8"/>
    <w:rsid w:val="007D1FCF"/>
    <w:rsid w:val="007D4B21"/>
    <w:rsid w:val="007D5092"/>
    <w:rsid w:val="007D53A0"/>
    <w:rsid w:val="007D68AF"/>
    <w:rsid w:val="007E5F2B"/>
    <w:rsid w:val="007E7E6D"/>
    <w:rsid w:val="007F1720"/>
    <w:rsid w:val="007F3668"/>
    <w:rsid w:val="007F60DF"/>
    <w:rsid w:val="007F6219"/>
    <w:rsid w:val="007F63BE"/>
    <w:rsid w:val="007F66CD"/>
    <w:rsid w:val="008147C7"/>
    <w:rsid w:val="008160F1"/>
    <w:rsid w:val="00817E0A"/>
    <w:rsid w:val="00822951"/>
    <w:rsid w:val="00824B49"/>
    <w:rsid w:val="00831B51"/>
    <w:rsid w:val="008374EE"/>
    <w:rsid w:val="008417DC"/>
    <w:rsid w:val="008423A3"/>
    <w:rsid w:val="00854C45"/>
    <w:rsid w:val="008604D6"/>
    <w:rsid w:val="00861B75"/>
    <w:rsid w:val="0086285D"/>
    <w:rsid w:val="00866B97"/>
    <w:rsid w:val="0086725F"/>
    <w:rsid w:val="0087327C"/>
    <w:rsid w:val="00875E94"/>
    <w:rsid w:val="008771A3"/>
    <w:rsid w:val="00880646"/>
    <w:rsid w:val="0088242B"/>
    <w:rsid w:val="00886128"/>
    <w:rsid w:val="0089017E"/>
    <w:rsid w:val="008A14F4"/>
    <w:rsid w:val="008B5C7A"/>
    <w:rsid w:val="008C005E"/>
    <w:rsid w:val="008C432B"/>
    <w:rsid w:val="008C596B"/>
    <w:rsid w:val="008C61B0"/>
    <w:rsid w:val="008C6E80"/>
    <w:rsid w:val="008D6EB6"/>
    <w:rsid w:val="008E54A6"/>
    <w:rsid w:val="008F2E02"/>
    <w:rsid w:val="0090167C"/>
    <w:rsid w:val="00904CC0"/>
    <w:rsid w:val="00911D3A"/>
    <w:rsid w:val="00913358"/>
    <w:rsid w:val="00915945"/>
    <w:rsid w:val="00917D21"/>
    <w:rsid w:val="00923EAC"/>
    <w:rsid w:val="00924567"/>
    <w:rsid w:val="009270C9"/>
    <w:rsid w:val="0093193C"/>
    <w:rsid w:val="00937ED5"/>
    <w:rsid w:val="00950526"/>
    <w:rsid w:val="0095231D"/>
    <w:rsid w:val="00952EA1"/>
    <w:rsid w:val="00953F65"/>
    <w:rsid w:val="00954D7A"/>
    <w:rsid w:val="00957775"/>
    <w:rsid w:val="009617AC"/>
    <w:rsid w:val="0096424C"/>
    <w:rsid w:val="00965548"/>
    <w:rsid w:val="00965615"/>
    <w:rsid w:val="00965B0B"/>
    <w:rsid w:val="00966C3B"/>
    <w:rsid w:val="00970BF3"/>
    <w:rsid w:val="009710BC"/>
    <w:rsid w:val="009711F9"/>
    <w:rsid w:val="009741A0"/>
    <w:rsid w:val="00994652"/>
    <w:rsid w:val="00995C3F"/>
    <w:rsid w:val="009A6A6B"/>
    <w:rsid w:val="009B388E"/>
    <w:rsid w:val="009B5BB7"/>
    <w:rsid w:val="009B6A1F"/>
    <w:rsid w:val="009B70E3"/>
    <w:rsid w:val="009C61E5"/>
    <w:rsid w:val="009C7A11"/>
    <w:rsid w:val="009D1C5D"/>
    <w:rsid w:val="009D236E"/>
    <w:rsid w:val="009D3787"/>
    <w:rsid w:val="009D7D99"/>
    <w:rsid w:val="009E0F7D"/>
    <w:rsid w:val="009E229D"/>
    <w:rsid w:val="009E2B17"/>
    <w:rsid w:val="009E4A3C"/>
    <w:rsid w:val="009E6FFC"/>
    <w:rsid w:val="009E7BBD"/>
    <w:rsid w:val="009F0424"/>
    <w:rsid w:val="009F0AC9"/>
    <w:rsid w:val="009F2E7D"/>
    <w:rsid w:val="009F5915"/>
    <w:rsid w:val="009F6328"/>
    <w:rsid w:val="00A0689D"/>
    <w:rsid w:val="00A07075"/>
    <w:rsid w:val="00A15361"/>
    <w:rsid w:val="00A163FA"/>
    <w:rsid w:val="00A216CF"/>
    <w:rsid w:val="00A271CB"/>
    <w:rsid w:val="00A31618"/>
    <w:rsid w:val="00A32512"/>
    <w:rsid w:val="00A339BD"/>
    <w:rsid w:val="00A3414C"/>
    <w:rsid w:val="00A3627C"/>
    <w:rsid w:val="00A41793"/>
    <w:rsid w:val="00A41B44"/>
    <w:rsid w:val="00A41DDA"/>
    <w:rsid w:val="00A4473A"/>
    <w:rsid w:val="00A45036"/>
    <w:rsid w:val="00A451D4"/>
    <w:rsid w:val="00A45C3B"/>
    <w:rsid w:val="00A4612A"/>
    <w:rsid w:val="00A50B44"/>
    <w:rsid w:val="00A53484"/>
    <w:rsid w:val="00A53B29"/>
    <w:rsid w:val="00A551FA"/>
    <w:rsid w:val="00A620D9"/>
    <w:rsid w:val="00A64CCE"/>
    <w:rsid w:val="00A65D83"/>
    <w:rsid w:val="00A70267"/>
    <w:rsid w:val="00A74F4A"/>
    <w:rsid w:val="00A773B5"/>
    <w:rsid w:val="00A77BE8"/>
    <w:rsid w:val="00A8604C"/>
    <w:rsid w:val="00A869B9"/>
    <w:rsid w:val="00A86BA4"/>
    <w:rsid w:val="00A915FE"/>
    <w:rsid w:val="00A92385"/>
    <w:rsid w:val="00A931A8"/>
    <w:rsid w:val="00AA43E6"/>
    <w:rsid w:val="00AA4701"/>
    <w:rsid w:val="00AB0775"/>
    <w:rsid w:val="00AB34C2"/>
    <w:rsid w:val="00AC31CC"/>
    <w:rsid w:val="00AC367D"/>
    <w:rsid w:val="00AC3DA0"/>
    <w:rsid w:val="00AC5F1F"/>
    <w:rsid w:val="00AD35D6"/>
    <w:rsid w:val="00AD65BA"/>
    <w:rsid w:val="00AD79C8"/>
    <w:rsid w:val="00AE2872"/>
    <w:rsid w:val="00AE3D14"/>
    <w:rsid w:val="00AE4280"/>
    <w:rsid w:val="00AF62F6"/>
    <w:rsid w:val="00AF6A37"/>
    <w:rsid w:val="00B019B5"/>
    <w:rsid w:val="00B065DA"/>
    <w:rsid w:val="00B06CF6"/>
    <w:rsid w:val="00B13B80"/>
    <w:rsid w:val="00B157F2"/>
    <w:rsid w:val="00B21C91"/>
    <w:rsid w:val="00B22B98"/>
    <w:rsid w:val="00B27CEC"/>
    <w:rsid w:val="00B30C85"/>
    <w:rsid w:val="00B30F61"/>
    <w:rsid w:val="00B3621B"/>
    <w:rsid w:val="00B43660"/>
    <w:rsid w:val="00B45992"/>
    <w:rsid w:val="00B51F4B"/>
    <w:rsid w:val="00B51F4E"/>
    <w:rsid w:val="00B575CB"/>
    <w:rsid w:val="00B61854"/>
    <w:rsid w:val="00B6256D"/>
    <w:rsid w:val="00B64E60"/>
    <w:rsid w:val="00B656BE"/>
    <w:rsid w:val="00B667F4"/>
    <w:rsid w:val="00B72241"/>
    <w:rsid w:val="00B76AB7"/>
    <w:rsid w:val="00B7785F"/>
    <w:rsid w:val="00B778BD"/>
    <w:rsid w:val="00B829C6"/>
    <w:rsid w:val="00B842BC"/>
    <w:rsid w:val="00B84F7E"/>
    <w:rsid w:val="00B852F6"/>
    <w:rsid w:val="00B91985"/>
    <w:rsid w:val="00B959CF"/>
    <w:rsid w:val="00B97833"/>
    <w:rsid w:val="00B97B7D"/>
    <w:rsid w:val="00BA2DE7"/>
    <w:rsid w:val="00BA3BD0"/>
    <w:rsid w:val="00BA459E"/>
    <w:rsid w:val="00BA62AC"/>
    <w:rsid w:val="00BA63AC"/>
    <w:rsid w:val="00BB2430"/>
    <w:rsid w:val="00BB6034"/>
    <w:rsid w:val="00BC29DB"/>
    <w:rsid w:val="00BC5779"/>
    <w:rsid w:val="00BD0744"/>
    <w:rsid w:val="00BD0ACB"/>
    <w:rsid w:val="00BD64EC"/>
    <w:rsid w:val="00BE01A1"/>
    <w:rsid w:val="00BE0365"/>
    <w:rsid w:val="00BE2CD8"/>
    <w:rsid w:val="00BE4F1E"/>
    <w:rsid w:val="00BF363F"/>
    <w:rsid w:val="00BF388F"/>
    <w:rsid w:val="00BF6CBE"/>
    <w:rsid w:val="00C0162A"/>
    <w:rsid w:val="00C07EE3"/>
    <w:rsid w:val="00C10CDE"/>
    <w:rsid w:val="00C10FA8"/>
    <w:rsid w:val="00C11326"/>
    <w:rsid w:val="00C12B0C"/>
    <w:rsid w:val="00C20B8C"/>
    <w:rsid w:val="00C21611"/>
    <w:rsid w:val="00C27482"/>
    <w:rsid w:val="00C40739"/>
    <w:rsid w:val="00C40ADF"/>
    <w:rsid w:val="00C4121B"/>
    <w:rsid w:val="00C45C44"/>
    <w:rsid w:val="00C54182"/>
    <w:rsid w:val="00C565C0"/>
    <w:rsid w:val="00C609FF"/>
    <w:rsid w:val="00C67312"/>
    <w:rsid w:val="00C72630"/>
    <w:rsid w:val="00C7343C"/>
    <w:rsid w:val="00C76D5A"/>
    <w:rsid w:val="00C77FBD"/>
    <w:rsid w:val="00C83E04"/>
    <w:rsid w:val="00C85D6A"/>
    <w:rsid w:val="00C8695A"/>
    <w:rsid w:val="00C87437"/>
    <w:rsid w:val="00C93675"/>
    <w:rsid w:val="00C96827"/>
    <w:rsid w:val="00CA1773"/>
    <w:rsid w:val="00CA288C"/>
    <w:rsid w:val="00CA7397"/>
    <w:rsid w:val="00CA79D3"/>
    <w:rsid w:val="00CB27AF"/>
    <w:rsid w:val="00CB2B24"/>
    <w:rsid w:val="00CB6B52"/>
    <w:rsid w:val="00CB6BB0"/>
    <w:rsid w:val="00CC411B"/>
    <w:rsid w:val="00CC5108"/>
    <w:rsid w:val="00CC5831"/>
    <w:rsid w:val="00CD5DED"/>
    <w:rsid w:val="00CE0634"/>
    <w:rsid w:val="00CE7444"/>
    <w:rsid w:val="00D0011D"/>
    <w:rsid w:val="00D121BF"/>
    <w:rsid w:val="00D1345E"/>
    <w:rsid w:val="00D22271"/>
    <w:rsid w:val="00D23120"/>
    <w:rsid w:val="00D378CC"/>
    <w:rsid w:val="00D37D99"/>
    <w:rsid w:val="00D44C9F"/>
    <w:rsid w:val="00D46AC0"/>
    <w:rsid w:val="00D50D3A"/>
    <w:rsid w:val="00D51F4C"/>
    <w:rsid w:val="00D536B2"/>
    <w:rsid w:val="00D53A5D"/>
    <w:rsid w:val="00D57152"/>
    <w:rsid w:val="00D61605"/>
    <w:rsid w:val="00D66458"/>
    <w:rsid w:val="00D77F98"/>
    <w:rsid w:val="00D83223"/>
    <w:rsid w:val="00D8332D"/>
    <w:rsid w:val="00D84446"/>
    <w:rsid w:val="00D85989"/>
    <w:rsid w:val="00D91C3F"/>
    <w:rsid w:val="00D9522E"/>
    <w:rsid w:val="00D96D2D"/>
    <w:rsid w:val="00D97784"/>
    <w:rsid w:val="00DA591F"/>
    <w:rsid w:val="00DA5A1E"/>
    <w:rsid w:val="00DA65DE"/>
    <w:rsid w:val="00DA7116"/>
    <w:rsid w:val="00DB5CA5"/>
    <w:rsid w:val="00DC081B"/>
    <w:rsid w:val="00DC1E66"/>
    <w:rsid w:val="00DC2056"/>
    <w:rsid w:val="00DC4426"/>
    <w:rsid w:val="00DC6143"/>
    <w:rsid w:val="00DD5BD7"/>
    <w:rsid w:val="00DD5F68"/>
    <w:rsid w:val="00DE29D3"/>
    <w:rsid w:val="00DE5020"/>
    <w:rsid w:val="00DE7682"/>
    <w:rsid w:val="00DF1737"/>
    <w:rsid w:val="00DF4B18"/>
    <w:rsid w:val="00DF670A"/>
    <w:rsid w:val="00E01083"/>
    <w:rsid w:val="00E05FF8"/>
    <w:rsid w:val="00E11358"/>
    <w:rsid w:val="00E12F7F"/>
    <w:rsid w:val="00E15F0E"/>
    <w:rsid w:val="00E171B1"/>
    <w:rsid w:val="00E17A1A"/>
    <w:rsid w:val="00E17C79"/>
    <w:rsid w:val="00E21D97"/>
    <w:rsid w:val="00E22A13"/>
    <w:rsid w:val="00E26CC6"/>
    <w:rsid w:val="00E27142"/>
    <w:rsid w:val="00E31F9D"/>
    <w:rsid w:val="00E365C4"/>
    <w:rsid w:val="00E40C77"/>
    <w:rsid w:val="00E417B0"/>
    <w:rsid w:val="00E42018"/>
    <w:rsid w:val="00E432B1"/>
    <w:rsid w:val="00E46855"/>
    <w:rsid w:val="00E5012F"/>
    <w:rsid w:val="00E5175D"/>
    <w:rsid w:val="00E5362D"/>
    <w:rsid w:val="00E557F8"/>
    <w:rsid w:val="00E60048"/>
    <w:rsid w:val="00E60AAC"/>
    <w:rsid w:val="00E62279"/>
    <w:rsid w:val="00E62823"/>
    <w:rsid w:val="00E67C7E"/>
    <w:rsid w:val="00E7147F"/>
    <w:rsid w:val="00E76B5E"/>
    <w:rsid w:val="00E805CA"/>
    <w:rsid w:val="00E8369C"/>
    <w:rsid w:val="00E855B1"/>
    <w:rsid w:val="00E85D1F"/>
    <w:rsid w:val="00E91097"/>
    <w:rsid w:val="00E91A52"/>
    <w:rsid w:val="00E954EB"/>
    <w:rsid w:val="00E96690"/>
    <w:rsid w:val="00E97681"/>
    <w:rsid w:val="00EA00FB"/>
    <w:rsid w:val="00EA0BCE"/>
    <w:rsid w:val="00EA19CB"/>
    <w:rsid w:val="00EA3792"/>
    <w:rsid w:val="00EA5022"/>
    <w:rsid w:val="00EB0133"/>
    <w:rsid w:val="00EC01EA"/>
    <w:rsid w:val="00EC0FA8"/>
    <w:rsid w:val="00EC2479"/>
    <w:rsid w:val="00ED4DC2"/>
    <w:rsid w:val="00ED4ECC"/>
    <w:rsid w:val="00EE472D"/>
    <w:rsid w:val="00EE5034"/>
    <w:rsid w:val="00EE7409"/>
    <w:rsid w:val="00EF43D4"/>
    <w:rsid w:val="00F03F84"/>
    <w:rsid w:val="00F05821"/>
    <w:rsid w:val="00F10BF6"/>
    <w:rsid w:val="00F14068"/>
    <w:rsid w:val="00F16E77"/>
    <w:rsid w:val="00F21D67"/>
    <w:rsid w:val="00F261FD"/>
    <w:rsid w:val="00F31D7F"/>
    <w:rsid w:val="00F340C3"/>
    <w:rsid w:val="00F37EE8"/>
    <w:rsid w:val="00F4051E"/>
    <w:rsid w:val="00F46856"/>
    <w:rsid w:val="00F5109E"/>
    <w:rsid w:val="00F5132E"/>
    <w:rsid w:val="00F52F90"/>
    <w:rsid w:val="00F53FE2"/>
    <w:rsid w:val="00F540C1"/>
    <w:rsid w:val="00F552E5"/>
    <w:rsid w:val="00F561EF"/>
    <w:rsid w:val="00F56666"/>
    <w:rsid w:val="00F57ACC"/>
    <w:rsid w:val="00F61A5E"/>
    <w:rsid w:val="00F62BD4"/>
    <w:rsid w:val="00F67901"/>
    <w:rsid w:val="00F719A5"/>
    <w:rsid w:val="00F719C9"/>
    <w:rsid w:val="00F71EB4"/>
    <w:rsid w:val="00F746F2"/>
    <w:rsid w:val="00F810B2"/>
    <w:rsid w:val="00F82FD2"/>
    <w:rsid w:val="00F83D5B"/>
    <w:rsid w:val="00F874A5"/>
    <w:rsid w:val="00F937B1"/>
    <w:rsid w:val="00F96E91"/>
    <w:rsid w:val="00FA0AFE"/>
    <w:rsid w:val="00FA17CC"/>
    <w:rsid w:val="00FA1ED4"/>
    <w:rsid w:val="00FA3DB5"/>
    <w:rsid w:val="00FA422C"/>
    <w:rsid w:val="00FA5E58"/>
    <w:rsid w:val="00FB0609"/>
    <w:rsid w:val="00FB1FF4"/>
    <w:rsid w:val="00FB4B09"/>
    <w:rsid w:val="00FB5796"/>
    <w:rsid w:val="00FB653D"/>
    <w:rsid w:val="00FC0DCB"/>
    <w:rsid w:val="00FC4EC0"/>
    <w:rsid w:val="00FC4F6C"/>
    <w:rsid w:val="00FC679C"/>
    <w:rsid w:val="00FC6FED"/>
    <w:rsid w:val="00FD100A"/>
    <w:rsid w:val="00FD5A03"/>
    <w:rsid w:val="00FD6C81"/>
    <w:rsid w:val="00FE685F"/>
    <w:rsid w:val="00FE7E8A"/>
    <w:rsid w:val="00FF4B9A"/>
    <w:rsid w:val="00FF7467"/>
    <w:rsid w:val="00FF7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1E848"/>
  <w15:chartTrackingRefBased/>
  <w15:docId w15:val="{71D58FAD-9E41-4202-89D5-BA9069E09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254BA6"/>
    <w:pPr>
      <w:spacing w:after="0" w:line="240" w:lineRule="auto"/>
    </w:pPr>
  </w:style>
  <w:style w:type="paragraph" w:styleId="BalloonText">
    <w:name w:val="Balloon Text"/>
    <w:basedOn w:val="Normal"/>
    <w:link w:val="BalloonTextChar"/>
    <w:uiPriority w:val="99"/>
    <w:semiHidden/>
    <w:unhideWhenUsed/>
    <w:rsid w:val="00254B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4BA6"/>
    <w:rPr>
      <w:rFonts w:ascii="Segoe UI" w:hAnsi="Segoe UI" w:cs="Segoe UI"/>
      <w:sz w:val="18"/>
      <w:szCs w:val="18"/>
    </w:rPr>
  </w:style>
  <w:style w:type="table" w:styleId="TableGrid">
    <w:name w:val="Table Grid"/>
    <w:basedOn w:val="TableNormal"/>
    <w:uiPriority w:val="39"/>
    <w:rsid w:val="00A74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3DA0"/>
    <w:rPr>
      <w:color w:val="0563C1" w:themeColor="hyperlink"/>
      <w:u w:val="single"/>
    </w:rPr>
  </w:style>
  <w:style w:type="character" w:styleId="UnresolvedMention">
    <w:name w:val="Unresolved Mention"/>
    <w:basedOn w:val="DefaultParagraphFont"/>
    <w:uiPriority w:val="99"/>
    <w:semiHidden/>
    <w:unhideWhenUsed/>
    <w:rsid w:val="00AC3DA0"/>
    <w:rPr>
      <w:color w:val="605E5C"/>
      <w:shd w:val="clear" w:color="auto" w:fill="E1DFDD"/>
    </w:rPr>
  </w:style>
  <w:style w:type="paragraph" w:customStyle="1" w:styleId="Default">
    <w:name w:val="Default"/>
    <w:rsid w:val="00B76AB7"/>
    <w:pPr>
      <w:autoSpaceDE w:val="0"/>
      <w:autoSpaceDN w:val="0"/>
      <w:adjustRightInd w:val="0"/>
      <w:spacing w:after="0" w:line="240" w:lineRule="auto"/>
    </w:pPr>
    <w:rPr>
      <w:rFonts w:ascii="Avenir 55 Roman" w:hAnsi="Avenir 55 Roman" w:cs="Avenir 55 Roman"/>
      <w:color w:val="000000"/>
      <w:sz w:val="24"/>
      <w:szCs w:val="24"/>
    </w:rPr>
  </w:style>
  <w:style w:type="paragraph" w:styleId="FootnoteText">
    <w:name w:val="footnote text"/>
    <w:basedOn w:val="Normal"/>
    <w:link w:val="FootnoteTextChar"/>
    <w:uiPriority w:val="99"/>
    <w:semiHidden/>
    <w:unhideWhenUsed/>
    <w:rsid w:val="002145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4505"/>
    <w:rPr>
      <w:sz w:val="20"/>
      <w:szCs w:val="20"/>
    </w:rPr>
  </w:style>
  <w:style w:type="character" w:styleId="FootnoteReference">
    <w:name w:val="footnote reference"/>
    <w:basedOn w:val="DefaultParagraphFont"/>
    <w:uiPriority w:val="99"/>
    <w:semiHidden/>
    <w:unhideWhenUsed/>
    <w:rsid w:val="0021450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jstor.com/stable/23270711" TargetMode="Externa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stable/j.ctvh1dksg.1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jstor.org/stable/j.ctvh1dng1.1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stor.org/stable/j.ctvh1djh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1E2BE-D44A-41C5-9DDF-F8D150E76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1549</TotalTime>
  <Pages>15</Pages>
  <Words>5225</Words>
  <Characters>29789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Tonbridge Grammar School</Company>
  <LinksUpToDate>false</LinksUpToDate>
  <CharactersWithSpaces>34945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Bisby</dc:creator>
  <cp:keywords/>
  <dc:description/>
  <cp:lastModifiedBy>Sarah Bisby</cp:lastModifiedBy>
  <cp:revision>51</cp:revision>
  <dcterms:created xsi:type="dcterms:W3CDTF">2022-04-26T06:35:00Z</dcterms:created>
  <dcterms:modified xsi:type="dcterms:W3CDTF">2022-05-01T15:42:00Z</dcterms:modified>
</cp:coreProperties>
</file>