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E8E7B" w14:textId="75E2EB31" w:rsidR="00915867" w:rsidRPr="00E56470" w:rsidRDefault="00BD397F" w:rsidP="00915867">
      <w:pPr>
        <w:spacing w:line="480" w:lineRule="auto"/>
        <w:rPr>
          <w:rFonts w:ascii="Arial" w:hAnsi="Arial" w:cs="Arial"/>
          <w:sz w:val="24"/>
          <w:szCs w:val="24"/>
          <w:u w:val="single"/>
        </w:rPr>
      </w:pPr>
      <w:r>
        <w:rPr>
          <w:rFonts w:ascii="Arial" w:hAnsi="Arial" w:cs="Arial"/>
          <w:b/>
          <w:bCs/>
          <w:sz w:val="24"/>
          <w:szCs w:val="24"/>
          <w:u w:val="single"/>
        </w:rPr>
        <w:t>Part o</w:t>
      </w:r>
      <w:r w:rsidR="00915867" w:rsidRPr="00E56470">
        <w:rPr>
          <w:rFonts w:ascii="Arial" w:hAnsi="Arial" w:cs="Arial"/>
          <w:b/>
          <w:bCs/>
          <w:sz w:val="24"/>
          <w:szCs w:val="24"/>
          <w:u w:val="single"/>
        </w:rPr>
        <w:t>ne</w:t>
      </w:r>
    </w:p>
    <w:p w14:paraId="6B5CDFCB" w14:textId="77777777" w:rsidR="00915867" w:rsidRPr="00E56470" w:rsidRDefault="00915867" w:rsidP="00915867">
      <w:pPr>
        <w:spacing w:line="480" w:lineRule="auto"/>
        <w:rPr>
          <w:rFonts w:ascii="Arial" w:hAnsi="Arial" w:cs="Arial"/>
          <w:sz w:val="24"/>
          <w:szCs w:val="24"/>
        </w:rPr>
      </w:pPr>
      <w:r w:rsidRPr="00E56470">
        <w:rPr>
          <w:rFonts w:ascii="Arial" w:hAnsi="Arial" w:cs="Arial"/>
          <w:sz w:val="24"/>
          <w:szCs w:val="24"/>
        </w:rPr>
        <w:t>This essay examines the case of Amira, an eight-year-old girl whose school attendance has raised significant concerns. Amira disclosed to her teachers that she spends extended periods alone at home, and her interactions with peers have become increasingly withdrawn. A visit by social services, unannounced, revealed troubling conditions at the home she shares with her mother, including poor cleanliness, a lack of basic necessities, and her mother’s admission to consuming a bottle of vodka daily. As a result, Amira was placed into the care of her grandmother.</w:t>
      </w:r>
    </w:p>
    <w:p w14:paraId="65026A27" w14:textId="77777777" w:rsidR="00915867" w:rsidRPr="00E56470" w:rsidRDefault="00915867" w:rsidP="00915867">
      <w:pPr>
        <w:spacing w:line="480" w:lineRule="auto"/>
        <w:rPr>
          <w:rFonts w:ascii="Arial" w:hAnsi="Arial" w:cs="Arial"/>
          <w:sz w:val="24"/>
          <w:szCs w:val="24"/>
        </w:rPr>
      </w:pPr>
      <w:r w:rsidRPr="00E56470">
        <w:rPr>
          <w:rFonts w:ascii="Arial" w:hAnsi="Arial" w:cs="Arial"/>
          <w:sz w:val="24"/>
          <w:szCs w:val="24"/>
        </w:rPr>
        <w:t>Amira’s situation is further compounded by the effects of poverty, which likely contribute to the neglect she has experienced. Poverty can hinder a caregiver’s ability to meet a child's basic needs, such as maintaining safe living conditions, providing enough food, and ensuring proper clothing or bedding.</w:t>
      </w:r>
      <w:r w:rsidRPr="00FC624D">
        <w:rPr>
          <w:rFonts w:ascii="Arial" w:hAnsi="Arial" w:cs="Arial"/>
          <w:sz w:val="24"/>
          <w:szCs w:val="24"/>
        </w:rPr>
        <w:t>(ref)</w:t>
      </w:r>
      <w:r w:rsidRPr="00E56470">
        <w:rPr>
          <w:rFonts w:ascii="Arial" w:hAnsi="Arial" w:cs="Arial"/>
          <w:sz w:val="24"/>
          <w:szCs w:val="24"/>
        </w:rPr>
        <w:t xml:space="preserve"> Combined with her mother’s struggles with alcohol abuse, these factors highlight the complexity of Amira’s circumstances, which have the potential to significantly impact her health and development. Clearly, Amira is facing multiple Adverse Childhood Experiences (ACEs), including neglect, emotional deprivation, and exposure to household dysfunction.</w:t>
      </w:r>
    </w:p>
    <w:p w14:paraId="28AF3A4D" w14:textId="77777777" w:rsidR="00915867" w:rsidRPr="00E56470" w:rsidRDefault="00915867" w:rsidP="00915867">
      <w:pPr>
        <w:spacing w:line="480" w:lineRule="auto"/>
        <w:rPr>
          <w:rFonts w:ascii="Arial" w:hAnsi="Arial" w:cs="Arial"/>
          <w:sz w:val="24"/>
          <w:szCs w:val="24"/>
        </w:rPr>
      </w:pPr>
      <w:r w:rsidRPr="00E56470">
        <w:rPr>
          <w:rFonts w:ascii="Arial" w:hAnsi="Arial" w:cs="Arial"/>
          <w:sz w:val="24"/>
          <w:szCs w:val="24"/>
        </w:rPr>
        <w:t xml:space="preserve">According to the Department for Education (2018), neglect is the continuous failure to </w:t>
      </w:r>
      <w:r w:rsidRPr="00FC624D">
        <w:rPr>
          <w:rFonts w:ascii="Arial" w:hAnsi="Arial" w:cs="Arial"/>
          <w:sz w:val="24"/>
          <w:szCs w:val="24"/>
        </w:rPr>
        <w:t>fulfil</w:t>
      </w:r>
      <w:r w:rsidRPr="00E56470">
        <w:rPr>
          <w:rFonts w:ascii="Arial" w:hAnsi="Arial" w:cs="Arial"/>
          <w:sz w:val="24"/>
          <w:szCs w:val="24"/>
        </w:rPr>
        <w:t xml:space="preserve"> a child’s basic physical and emotional needs, which can result in severe harm to their health and development. Amira’s case </w:t>
      </w:r>
      <w:r w:rsidRPr="00FC624D">
        <w:rPr>
          <w:rFonts w:ascii="Arial" w:hAnsi="Arial" w:cs="Arial"/>
          <w:sz w:val="24"/>
          <w:szCs w:val="24"/>
        </w:rPr>
        <w:t xml:space="preserve">clearly illustrates </w:t>
      </w:r>
      <w:r w:rsidRPr="00E56470">
        <w:rPr>
          <w:rFonts w:ascii="Arial" w:hAnsi="Arial" w:cs="Arial"/>
          <w:sz w:val="24"/>
          <w:szCs w:val="24"/>
        </w:rPr>
        <w:t>these concerns, as her mother’s struggles with substance abuse and inability to create a safe home environment are indicative of neglectful parenting.</w:t>
      </w:r>
    </w:p>
    <w:p w14:paraId="655C7788" w14:textId="77777777" w:rsidR="00915867" w:rsidRPr="00E56470" w:rsidRDefault="00915867" w:rsidP="00915867">
      <w:pPr>
        <w:spacing w:line="480" w:lineRule="auto"/>
        <w:rPr>
          <w:rFonts w:ascii="Arial" w:hAnsi="Arial" w:cs="Arial"/>
          <w:sz w:val="24"/>
          <w:szCs w:val="24"/>
        </w:rPr>
      </w:pPr>
      <w:r w:rsidRPr="00E56470">
        <w:rPr>
          <w:rFonts w:ascii="Arial" w:hAnsi="Arial" w:cs="Arial"/>
          <w:sz w:val="24"/>
          <w:szCs w:val="24"/>
        </w:rPr>
        <w:t xml:space="preserve">The first part of this essay explores the potential use of play therapy and mindfulness interventions in the context of ACEs to help Amira understand her trauma, build </w:t>
      </w:r>
      <w:r w:rsidRPr="00E56470">
        <w:rPr>
          <w:rFonts w:ascii="Arial" w:hAnsi="Arial" w:cs="Arial"/>
          <w:sz w:val="24"/>
          <w:szCs w:val="24"/>
        </w:rPr>
        <w:lastRenderedPageBreak/>
        <w:t>resilience, and avoid significant harm to her future development. Play therapy will focus on addressing the direct effects of Amira’s neglect and trauma, emphasizing the need for a secure and supportive environment for her healing. Additionally, age-appropriate mindfulness techniques will assist Amira in developing emotional regulation, resilience, and self-awareness as she adjusts to her new living situation.</w:t>
      </w:r>
    </w:p>
    <w:p w14:paraId="27629B43" w14:textId="77777777" w:rsidR="00915867" w:rsidRDefault="00915867" w:rsidP="00915867">
      <w:pPr>
        <w:spacing w:line="480" w:lineRule="auto"/>
        <w:rPr>
          <w:rFonts w:ascii="Arial" w:hAnsi="Arial" w:cs="Arial"/>
          <w:sz w:val="24"/>
          <w:szCs w:val="24"/>
        </w:rPr>
      </w:pPr>
      <w:r w:rsidRPr="00E56470">
        <w:rPr>
          <w:rFonts w:ascii="Arial" w:hAnsi="Arial" w:cs="Arial"/>
          <w:sz w:val="24"/>
          <w:szCs w:val="24"/>
        </w:rPr>
        <w:t xml:space="preserve">Adverse Childhood Experiences (ACEs) </w:t>
      </w:r>
      <w:r w:rsidRPr="00FC624D">
        <w:rPr>
          <w:rFonts w:ascii="Arial" w:hAnsi="Arial" w:cs="Arial"/>
          <w:sz w:val="24"/>
          <w:szCs w:val="24"/>
        </w:rPr>
        <w:t>are</w:t>
      </w:r>
      <w:r w:rsidRPr="00E56470">
        <w:rPr>
          <w:rFonts w:ascii="Arial" w:hAnsi="Arial" w:cs="Arial"/>
          <w:sz w:val="24"/>
          <w:szCs w:val="24"/>
        </w:rPr>
        <w:t xml:space="preserve"> a range of traumatic events such as neglect, abuse, and household dysfunction, all of which are known to increase the risk of developmental, </w:t>
      </w:r>
      <w:r w:rsidRPr="00FC624D">
        <w:rPr>
          <w:rFonts w:ascii="Arial" w:hAnsi="Arial" w:cs="Arial"/>
          <w:sz w:val="24"/>
          <w:szCs w:val="24"/>
        </w:rPr>
        <w:t>behavioural</w:t>
      </w:r>
      <w:r w:rsidRPr="00E56470">
        <w:rPr>
          <w:rFonts w:ascii="Arial" w:hAnsi="Arial" w:cs="Arial"/>
          <w:sz w:val="24"/>
          <w:szCs w:val="24"/>
        </w:rPr>
        <w:t>, and health challenges (</w:t>
      </w:r>
      <w:proofErr w:type="spellStart"/>
      <w:r w:rsidRPr="00E56470">
        <w:rPr>
          <w:rFonts w:ascii="Arial" w:hAnsi="Arial" w:cs="Arial"/>
          <w:sz w:val="24"/>
          <w:szCs w:val="24"/>
        </w:rPr>
        <w:t>Felitti</w:t>
      </w:r>
      <w:proofErr w:type="spellEnd"/>
      <w:r w:rsidRPr="00E56470">
        <w:rPr>
          <w:rFonts w:ascii="Arial" w:hAnsi="Arial" w:cs="Arial"/>
          <w:sz w:val="24"/>
          <w:szCs w:val="24"/>
        </w:rPr>
        <w:t xml:space="preserve"> et al., 1998).</w:t>
      </w:r>
      <w:r w:rsidRPr="00FC624D">
        <w:rPr>
          <w:rFonts w:ascii="Arial" w:hAnsi="Arial" w:cs="Arial"/>
          <w:sz w:val="24"/>
          <w:szCs w:val="24"/>
        </w:rPr>
        <w:t xml:space="preserve"> The neglect, emotional deprivation, and potential food insecurity that Amira has faced serve as strong indications of ACEs that may severely affect her developmental progress.</w:t>
      </w:r>
      <w:r w:rsidRPr="00E56470">
        <w:rPr>
          <w:rFonts w:ascii="Arial" w:hAnsi="Arial" w:cs="Arial"/>
          <w:sz w:val="24"/>
          <w:szCs w:val="24"/>
        </w:rPr>
        <w:t>. Children exposed to ACEs frequently struggle with emotional regulation, social interaction, and academic achievement (Bethell et al., 2017). If left unaddressed, these adversities can disrupt neural development, leading to long-term impairments in cognitive functioning, emotional stability, and social relationships. Timely intervention is essential to mitigate the potential harm to Amira’s overall development</w:t>
      </w:r>
      <w:r w:rsidRPr="00FC624D">
        <w:rPr>
          <w:rFonts w:ascii="Arial" w:hAnsi="Arial" w:cs="Arial"/>
          <w:sz w:val="24"/>
          <w:szCs w:val="24"/>
        </w:rPr>
        <w:t xml:space="preserve">. </w:t>
      </w:r>
    </w:p>
    <w:p w14:paraId="0CEB20AD" w14:textId="77777777" w:rsidR="00915867" w:rsidRDefault="00915867" w:rsidP="00915867">
      <w:pPr>
        <w:spacing w:line="480" w:lineRule="auto"/>
        <w:rPr>
          <w:rFonts w:ascii="Arial" w:hAnsi="Arial" w:cs="Arial"/>
          <w:sz w:val="24"/>
          <w:szCs w:val="24"/>
        </w:rPr>
      </w:pPr>
      <w:r>
        <w:rPr>
          <w:rFonts w:ascii="Arial" w:hAnsi="Arial" w:cs="Arial"/>
          <w:sz w:val="24"/>
          <w:szCs w:val="24"/>
        </w:rPr>
        <w:t xml:space="preserve">Play therapy is widely recognised as an intervention for children that have lived with trauma </w:t>
      </w:r>
      <w:r w:rsidRPr="0064033A">
        <w:rPr>
          <w:rFonts w:ascii="Arial" w:hAnsi="Arial" w:cs="Arial"/>
          <w:sz w:val="24"/>
          <w:szCs w:val="24"/>
        </w:rPr>
        <w:t>(Landreth, 2012).</w:t>
      </w:r>
      <w:r>
        <w:rPr>
          <w:rFonts w:ascii="Arial" w:hAnsi="Arial" w:cs="Arial"/>
          <w:sz w:val="24"/>
          <w:szCs w:val="24"/>
        </w:rPr>
        <w:t xml:space="preserve"> Play therapy provides ways for children to process their emotions, build resilience and process experiences. </w:t>
      </w:r>
      <w:r w:rsidRPr="007654CC">
        <w:rPr>
          <w:rFonts w:ascii="Arial" w:hAnsi="Arial" w:cs="Arial"/>
          <w:sz w:val="24"/>
          <w:szCs w:val="24"/>
        </w:rPr>
        <w:t>For Amira,</w:t>
      </w:r>
      <w:r>
        <w:rPr>
          <w:rFonts w:ascii="Arial" w:hAnsi="Arial" w:cs="Arial"/>
          <w:sz w:val="24"/>
          <w:szCs w:val="24"/>
        </w:rPr>
        <w:t xml:space="preserve"> whose experienced </w:t>
      </w:r>
      <w:r w:rsidRPr="007654CC">
        <w:rPr>
          <w:rFonts w:ascii="Arial" w:hAnsi="Arial" w:cs="Arial"/>
          <w:sz w:val="24"/>
          <w:szCs w:val="24"/>
        </w:rPr>
        <w:t>multiple Adverse Childhood Experiences (ACEs), play therapy could offer a safe and supportive environment to address her emotional needs and foster healing. Research indicates that play therapy allows children to communicate through symbolic play, bypassing verbal expression, which is often limited in young children dealing with trauma (Landreth, 2012)</w:t>
      </w:r>
      <w:r>
        <w:rPr>
          <w:rFonts w:ascii="Arial" w:hAnsi="Arial" w:cs="Arial"/>
          <w:sz w:val="24"/>
          <w:szCs w:val="24"/>
        </w:rPr>
        <w:t xml:space="preserve"> for example, using dolls, or teddy bears allow Amira to create experiences that are true to her own, allowing her to express fear, </w:t>
      </w:r>
      <w:r>
        <w:rPr>
          <w:rFonts w:ascii="Arial" w:hAnsi="Arial" w:cs="Arial"/>
          <w:sz w:val="24"/>
          <w:szCs w:val="24"/>
        </w:rPr>
        <w:lastRenderedPageBreak/>
        <w:t xml:space="preserve">anger and confusion, whilst the therapist provides guidance and support which will help the therapist and Amira form a trusting relationship and a safe environment for Amira, </w:t>
      </w:r>
      <w:r w:rsidRPr="00147664">
        <w:rPr>
          <w:rFonts w:ascii="Arial" w:hAnsi="Arial" w:cs="Arial"/>
          <w:sz w:val="24"/>
          <w:szCs w:val="24"/>
        </w:rPr>
        <w:t>an essential step in overcoming the attachment difficulties commonly associated with neglect (Homeyer &amp; Morrison, 2020)</w:t>
      </w:r>
      <w:r>
        <w:rPr>
          <w:rFonts w:ascii="Arial" w:hAnsi="Arial" w:cs="Arial"/>
          <w:sz w:val="24"/>
          <w:szCs w:val="24"/>
        </w:rPr>
        <w:t xml:space="preserve">. </w:t>
      </w:r>
    </w:p>
    <w:p w14:paraId="33513D54" w14:textId="77777777" w:rsidR="00915867" w:rsidRPr="001F1933" w:rsidRDefault="00915867" w:rsidP="00915867">
      <w:pPr>
        <w:spacing w:line="480" w:lineRule="auto"/>
        <w:rPr>
          <w:rFonts w:ascii="Arial" w:hAnsi="Arial" w:cs="Arial"/>
          <w:sz w:val="24"/>
          <w:szCs w:val="24"/>
        </w:rPr>
      </w:pPr>
      <w:r w:rsidRPr="00C73275">
        <w:rPr>
          <w:rFonts w:ascii="Arial" w:hAnsi="Arial" w:cs="Arial"/>
          <w:sz w:val="24"/>
          <w:szCs w:val="24"/>
        </w:rPr>
        <w:t>Amira’s withdrawal from social interactions and difficulty engaging with peers highlight significant social development issues that play therapy can target</w:t>
      </w:r>
      <w:r>
        <w:rPr>
          <w:rFonts w:ascii="Arial" w:hAnsi="Arial" w:cs="Arial"/>
          <w:sz w:val="24"/>
          <w:szCs w:val="24"/>
        </w:rPr>
        <w:t xml:space="preserve">. </w:t>
      </w:r>
      <w:r w:rsidRPr="00B74B90">
        <w:rPr>
          <w:rFonts w:ascii="Arial" w:hAnsi="Arial" w:cs="Arial"/>
          <w:sz w:val="24"/>
          <w:szCs w:val="24"/>
        </w:rPr>
        <w:t>Activities such as role-playing or group games provide opportunities to practice social interactions, increase emotional understanding, and nurture her capacity to form positive relationships (Drewes, 2011)</w:t>
      </w:r>
      <w:r>
        <w:rPr>
          <w:rFonts w:ascii="Arial" w:hAnsi="Arial" w:cs="Arial"/>
          <w:sz w:val="24"/>
          <w:szCs w:val="24"/>
        </w:rPr>
        <w:t xml:space="preserve">. </w:t>
      </w:r>
      <w:r w:rsidRPr="002D48CD">
        <w:rPr>
          <w:rFonts w:ascii="Arial" w:hAnsi="Arial" w:cs="Arial"/>
          <w:sz w:val="24"/>
          <w:szCs w:val="24"/>
        </w:rPr>
        <w:t>Evidence from Bratton et al. (2005) shows that play therapy effectively reduces anxiety, depression, and behavioural difficulties in traumatized children, suggesting it could help Amira build resilience and emotional regulation as she navigates her new circumstances with her grandmother.</w:t>
      </w:r>
      <w:r>
        <w:rPr>
          <w:rFonts w:ascii="Arial" w:hAnsi="Arial" w:cs="Arial"/>
          <w:sz w:val="24"/>
          <w:szCs w:val="24"/>
        </w:rPr>
        <w:t xml:space="preserve"> </w:t>
      </w:r>
      <w:r w:rsidRPr="008246B2">
        <w:rPr>
          <w:rFonts w:ascii="Arial" w:hAnsi="Arial" w:cs="Arial"/>
          <w:sz w:val="24"/>
          <w:szCs w:val="24"/>
        </w:rPr>
        <w:t xml:space="preserve">By focusing on consistency and care, play therapy can provide Amira with a nurturing environment that contrasts the instability and unpredictability of her home life, fostering a sense of safety and stability (Axline, 1947). Activities such as sensory play with kinetic sand or water trays can offer her a calming outlet, helping her </w:t>
      </w:r>
      <w:r w:rsidRPr="001F1933">
        <w:rPr>
          <w:rFonts w:ascii="Arial" w:hAnsi="Arial" w:cs="Arial"/>
          <w:sz w:val="24"/>
          <w:szCs w:val="24"/>
        </w:rPr>
        <w:t xml:space="preserve">manage overwhelming emotions and develop mindfulness skills. </w:t>
      </w:r>
    </w:p>
    <w:p w14:paraId="4EAA86FF" w14:textId="77777777" w:rsidR="00915867" w:rsidRDefault="00915867" w:rsidP="00915867">
      <w:pPr>
        <w:spacing w:line="480" w:lineRule="auto"/>
        <w:rPr>
          <w:rFonts w:ascii="Arial" w:hAnsi="Arial" w:cs="Arial"/>
          <w:sz w:val="24"/>
          <w:szCs w:val="24"/>
        </w:rPr>
      </w:pPr>
      <w:r w:rsidRPr="00EF2344">
        <w:rPr>
          <w:rFonts w:ascii="Arial" w:hAnsi="Arial" w:cs="Arial"/>
          <w:sz w:val="24"/>
          <w:szCs w:val="24"/>
        </w:rPr>
        <w:t xml:space="preserve">Critics of play therapy argue that its success depends largely on the therapist’s skills and how willing and able the child is to participate. These factors can vary depending on the child’s personality and how severe their trauma is (Reddy et al., 2013). A </w:t>
      </w:r>
      <w:r w:rsidRPr="001F1933">
        <w:rPr>
          <w:rFonts w:ascii="Arial" w:hAnsi="Arial" w:cs="Arial"/>
          <w:sz w:val="24"/>
          <w:szCs w:val="24"/>
        </w:rPr>
        <w:t>skilled</w:t>
      </w:r>
      <w:r w:rsidRPr="00EF2344">
        <w:rPr>
          <w:rFonts w:ascii="Arial" w:hAnsi="Arial" w:cs="Arial"/>
          <w:sz w:val="24"/>
          <w:szCs w:val="24"/>
        </w:rPr>
        <w:t xml:space="preserve"> therapist needs to build trust, choose the right activities, and adjust their approach to fit the child’s needs and age.</w:t>
      </w:r>
      <w:r w:rsidRPr="001F1933">
        <w:rPr>
          <w:rFonts w:ascii="Arial" w:hAnsi="Arial" w:cs="Arial"/>
          <w:sz w:val="24"/>
          <w:szCs w:val="24"/>
        </w:rPr>
        <w:t xml:space="preserve"> In Amira’s case, her withdrawn behaviour and possible mistrust of adults caused by neglect could make it harder for her to fully participate in therapy, which might reduce its immediate effects. While play therapy can help with her emotional needs, it may not be enough on its own if bigger issues </w:t>
      </w:r>
      <w:r w:rsidRPr="001F1933">
        <w:rPr>
          <w:rFonts w:ascii="Arial" w:hAnsi="Arial" w:cs="Arial"/>
          <w:sz w:val="24"/>
          <w:szCs w:val="24"/>
        </w:rPr>
        <w:lastRenderedPageBreak/>
        <w:t>like poverty and her mother’s alcohol abuse aren’t addressed. These problems heavily affect her environment and overall well-being, creating ongoing stress that could slow down her progress. For example, her mother’s alcohol use and the lack of basic necessities in her home show the need for other support to improve her living situation and help her caregivers.</w:t>
      </w:r>
      <w:r>
        <w:rPr>
          <w:rFonts w:ascii="Arial" w:hAnsi="Arial" w:cs="Arial"/>
          <w:sz w:val="24"/>
          <w:szCs w:val="24"/>
        </w:rPr>
        <w:t xml:space="preserve"> </w:t>
      </w:r>
      <w:r w:rsidRPr="001744C6">
        <w:rPr>
          <w:rFonts w:ascii="Arial" w:hAnsi="Arial" w:cs="Arial"/>
          <w:sz w:val="24"/>
          <w:szCs w:val="24"/>
        </w:rPr>
        <w:t xml:space="preserve">To ensure that Amira’s progress is long-term, play therapy must be part of a well-rounded care plan that incorporates family counselling, social support, and interventions to address systemic challenges. Family counselling can play a key role in repairing relationships and creating healthier family dynamics, especially during her transition to her grandmother’s care. Social support services can provide necessary resources and alleviate the effects of poverty. Without these additional interventions, the positive impact of play therapy might not last, as persistent environmental stressors could continue to disrupt her </w:t>
      </w:r>
      <w:r>
        <w:rPr>
          <w:rFonts w:ascii="Arial" w:hAnsi="Arial" w:cs="Arial"/>
          <w:sz w:val="24"/>
          <w:szCs w:val="24"/>
        </w:rPr>
        <w:t xml:space="preserve">progress. </w:t>
      </w:r>
    </w:p>
    <w:p w14:paraId="7F09C969" w14:textId="77777777" w:rsidR="00915867" w:rsidRDefault="00915867" w:rsidP="00915867">
      <w:pPr>
        <w:spacing w:line="480" w:lineRule="auto"/>
        <w:rPr>
          <w:rFonts w:ascii="Arial" w:hAnsi="Arial" w:cs="Arial"/>
          <w:sz w:val="24"/>
          <w:szCs w:val="24"/>
        </w:rPr>
      </w:pPr>
      <w:r w:rsidRPr="009A3961">
        <w:rPr>
          <w:rFonts w:ascii="Arial" w:hAnsi="Arial" w:cs="Arial"/>
          <w:sz w:val="24"/>
          <w:szCs w:val="24"/>
        </w:rPr>
        <w:t>Mindfulness-based interventions tailored to children, such as age-appropriate mindfulness, have gained attention as valuable tools for supporting emotional regulation and resilience in children exposed to trauma, including Adverse Childhood Experiences (ACEs). For Amira, mindfulness techniques like guided breathing exercises or body scans could help her manage the overwhelming emotions resulting from neglect and instability. These practices promote self-awareness, enhance emotional regulation, and reduce anxiety (</w:t>
      </w:r>
      <w:proofErr w:type="spellStart"/>
      <w:r w:rsidRPr="009A3961">
        <w:rPr>
          <w:rFonts w:ascii="Arial" w:hAnsi="Arial" w:cs="Arial"/>
          <w:sz w:val="24"/>
          <w:szCs w:val="24"/>
        </w:rPr>
        <w:t>Zoogman</w:t>
      </w:r>
      <w:proofErr w:type="spellEnd"/>
      <w:r w:rsidRPr="009A3961">
        <w:rPr>
          <w:rFonts w:ascii="Arial" w:hAnsi="Arial" w:cs="Arial"/>
          <w:sz w:val="24"/>
          <w:szCs w:val="24"/>
        </w:rPr>
        <w:t xml:space="preserve"> et al., 2015)</w:t>
      </w:r>
      <w:r>
        <w:rPr>
          <w:rFonts w:ascii="Arial" w:hAnsi="Arial" w:cs="Arial"/>
          <w:sz w:val="24"/>
          <w:szCs w:val="24"/>
        </w:rPr>
        <w:t xml:space="preserve"> </w:t>
      </w:r>
      <w:r w:rsidRPr="00127504">
        <w:rPr>
          <w:rFonts w:ascii="Arial" w:hAnsi="Arial" w:cs="Arial"/>
          <w:sz w:val="24"/>
          <w:szCs w:val="24"/>
        </w:rPr>
        <w:t xml:space="preserve">Mindfulness can also help Amira manage her emotions by making her more aware of her feelings and reactions, which is an important part of developing emotional intelligence. Studies show that mindfulness can improve self-awareness, helping children recognize their emotions before they get out of control and take steps to manage them (Zelazo &amp; Lyons, 2012). By building this awareness, mindfulness can help Amira understand what triggers her emotions and use coping strategies when </w:t>
      </w:r>
      <w:r w:rsidRPr="00127504">
        <w:rPr>
          <w:rFonts w:ascii="Arial" w:hAnsi="Arial" w:cs="Arial"/>
          <w:sz w:val="24"/>
          <w:szCs w:val="24"/>
        </w:rPr>
        <w:lastRenderedPageBreak/>
        <w:t>she feels overwhelmed, instead of reacting with behaviours like withdrawal or aggression</w:t>
      </w:r>
      <w:r w:rsidRPr="009A3961">
        <w:rPr>
          <w:rFonts w:ascii="Arial" w:hAnsi="Arial" w:cs="Arial"/>
          <w:sz w:val="24"/>
          <w:szCs w:val="24"/>
        </w:rPr>
        <w:t>.</w:t>
      </w:r>
      <w:r>
        <w:rPr>
          <w:rFonts w:ascii="Arial" w:hAnsi="Arial" w:cs="Arial"/>
          <w:sz w:val="24"/>
          <w:szCs w:val="24"/>
        </w:rPr>
        <w:t xml:space="preserve"> </w:t>
      </w:r>
      <w:r w:rsidRPr="00692713">
        <w:rPr>
          <w:rFonts w:ascii="Arial" w:hAnsi="Arial" w:cs="Arial"/>
          <w:sz w:val="24"/>
          <w:szCs w:val="24"/>
        </w:rPr>
        <w:t>A key advantage of mindfulness is its adaptability to different age groups. For an eight-year-old like Amira, mindfulness exercises must be playful and engaging to maintain her attention. Activities such as focusing on her breath while holding a stuffed animal or using sensory objects like stress balls can help her stay present and calm during moments of distress.</w:t>
      </w:r>
      <w:r>
        <w:rPr>
          <w:rFonts w:ascii="Arial" w:hAnsi="Arial" w:cs="Arial"/>
          <w:sz w:val="24"/>
          <w:szCs w:val="24"/>
        </w:rPr>
        <w:t xml:space="preserve"> </w:t>
      </w:r>
      <w:r w:rsidRPr="0083761B">
        <w:rPr>
          <w:rFonts w:ascii="Arial" w:hAnsi="Arial" w:cs="Arial"/>
          <w:sz w:val="24"/>
          <w:szCs w:val="24"/>
        </w:rPr>
        <w:t>Mindfulness can play a significant role in helping children manage the physical impacts of trauma. Those who have experienced ACEs, like Amira, often suffer from intensified stress responses, including quickened heartbeat, difficulty breathing, and tense muscles. Strategies such as progressive muscle relaxation, yoga, or body scans allow children to connect with their bodily sensations and release stress (Van der Kolk, 2014). These exercises support emotional and physical well-being by promoting a sense of calm and presence.</w:t>
      </w:r>
      <w:r>
        <w:rPr>
          <w:rFonts w:ascii="Arial" w:hAnsi="Arial" w:cs="Arial"/>
          <w:sz w:val="24"/>
          <w:szCs w:val="24"/>
        </w:rPr>
        <w:t xml:space="preserve"> </w:t>
      </w:r>
      <w:r w:rsidRPr="00741179">
        <w:rPr>
          <w:rFonts w:ascii="Arial" w:hAnsi="Arial" w:cs="Arial"/>
          <w:sz w:val="24"/>
          <w:szCs w:val="24"/>
        </w:rPr>
        <w:t>Mindfulness also supports social skills and relationships by teaching children to notice their thoughts and emotions without reacting impulsively. This helps foster empathy and improve communication with others. For Amira, who has been withdrawing from her peers, mindfulness activities like guided breathing during group interactions could help her feel more present and connected. Over time, this practice could enhance her social abilities, reduce her sense of isolation, and build stronger, healthier relationships</w:t>
      </w:r>
      <w:r>
        <w:rPr>
          <w:rFonts w:ascii="Arial" w:hAnsi="Arial" w:cs="Arial"/>
          <w:sz w:val="24"/>
          <w:szCs w:val="24"/>
        </w:rPr>
        <w:t xml:space="preserve">. </w:t>
      </w:r>
    </w:p>
    <w:p w14:paraId="3580CD1D" w14:textId="77777777" w:rsidR="00915867" w:rsidRDefault="00915867" w:rsidP="00915867">
      <w:pPr>
        <w:spacing w:line="480" w:lineRule="auto"/>
        <w:rPr>
          <w:rFonts w:ascii="Arial" w:hAnsi="Arial" w:cs="Arial"/>
          <w:sz w:val="24"/>
          <w:szCs w:val="24"/>
        </w:rPr>
      </w:pPr>
      <w:r w:rsidRPr="00C053F2">
        <w:rPr>
          <w:rFonts w:ascii="Arial" w:hAnsi="Arial" w:cs="Arial"/>
          <w:sz w:val="24"/>
          <w:szCs w:val="24"/>
        </w:rPr>
        <w:t xml:space="preserve">One drawback of mindfulness is that children often find it hard to grasp abstract concepts like non-judgment or self-awareness. For Amira, whose trust in adults may be fragile, creating a safe, supportive environment will be necessary before she can fully benefit. Her unstable history may also make it challenging for her to practice mindfulness consistently. Although her grandmother’s care might provide a stable setting, research shows that caregiver involvement is crucial for mindfulness to be </w:t>
      </w:r>
      <w:r w:rsidRPr="00C053F2">
        <w:rPr>
          <w:rFonts w:ascii="Arial" w:hAnsi="Arial" w:cs="Arial"/>
          <w:sz w:val="24"/>
          <w:szCs w:val="24"/>
        </w:rPr>
        <w:lastRenderedPageBreak/>
        <w:t>effective (Kabat-Zinn &amp; Kabat-Zinn, 2014). If her grandmother lacks resources, the intervention’s impact could be reduced. Critics also warn that mindfulness can oversimplify trauma, as certain exercises may unintentionally trigger distressing memories (Baer, 2003). For Amira, blending mindfulness with therapies like play or cognitive-behavioural therapy may offer a safer and more effective path forward.</w:t>
      </w:r>
    </w:p>
    <w:p w14:paraId="58A2DF10" w14:textId="77777777" w:rsidR="004818C4" w:rsidRDefault="004818C4" w:rsidP="00915867">
      <w:pPr>
        <w:spacing w:line="480" w:lineRule="auto"/>
        <w:rPr>
          <w:rFonts w:ascii="Arial" w:hAnsi="Arial" w:cs="Arial"/>
          <w:sz w:val="24"/>
          <w:szCs w:val="24"/>
        </w:rPr>
      </w:pPr>
    </w:p>
    <w:p w14:paraId="294990B4" w14:textId="5F1F8E4C" w:rsidR="00915867" w:rsidRDefault="00915867" w:rsidP="00915867">
      <w:pPr>
        <w:spacing w:line="480" w:lineRule="auto"/>
        <w:rPr>
          <w:rFonts w:ascii="Arial" w:hAnsi="Arial" w:cs="Arial"/>
          <w:sz w:val="24"/>
          <w:szCs w:val="24"/>
        </w:rPr>
      </w:pPr>
      <w:r w:rsidRPr="001B782F">
        <w:rPr>
          <w:rFonts w:ascii="Arial" w:hAnsi="Arial" w:cs="Arial"/>
          <w:sz w:val="24"/>
          <w:szCs w:val="24"/>
        </w:rPr>
        <w:t>Amira’s situation highlights the importance of implementing strategies</w:t>
      </w:r>
      <w:r>
        <w:rPr>
          <w:rFonts w:ascii="Arial" w:hAnsi="Arial" w:cs="Arial"/>
          <w:sz w:val="24"/>
          <w:szCs w:val="24"/>
        </w:rPr>
        <w:t xml:space="preserve"> to</w:t>
      </w:r>
      <w:r w:rsidRPr="001B782F">
        <w:rPr>
          <w:rFonts w:ascii="Arial" w:hAnsi="Arial" w:cs="Arial"/>
          <w:sz w:val="24"/>
          <w:szCs w:val="24"/>
        </w:rPr>
        <w:t xml:space="preserve"> </w:t>
      </w:r>
      <w:r>
        <w:rPr>
          <w:rFonts w:ascii="Arial" w:hAnsi="Arial" w:cs="Arial"/>
          <w:sz w:val="24"/>
          <w:szCs w:val="24"/>
        </w:rPr>
        <w:t>reduce</w:t>
      </w:r>
      <w:r w:rsidRPr="001B782F">
        <w:rPr>
          <w:rFonts w:ascii="Arial" w:hAnsi="Arial" w:cs="Arial"/>
          <w:sz w:val="24"/>
          <w:szCs w:val="24"/>
        </w:rPr>
        <w:t xml:space="preserve"> the effects of neglect, trauma, and Adverse Childhood Experiences (ACEs) on her growth. While play therapy and mindfulness provide effective methods for enhancing her emotional regulation, resilience, and well-being, their success relies on integration into a holistic care plan for lasting progress.</w:t>
      </w:r>
      <w:r>
        <w:rPr>
          <w:rFonts w:ascii="Arial" w:hAnsi="Arial" w:cs="Arial"/>
          <w:sz w:val="24"/>
          <w:szCs w:val="24"/>
        </w:rPr>
        <w:t xml:space="preserve"> </w:t>
      </w:r>
      <w:r w:rsidRPr="006E5D52">
        <w:rPr>
          <w:rFonts w:ascii="Arial" w:hAnsi="Arial" w:cs="Arial"/>
          <w:sz w:val="24"/>
          <w:szCs w:val="24"/>
        </w:rPr>
        <w:t>Play therapy provides a child-centred approach to help Amira process her trauma in a safe and supportive environment.</w:t>
      </w:r>
      <w:r>
        <w:rPr>
          <w:rFonts w:ascii="Arial" w:hAnsi="Arial" w:cs="Arial"/>
          <w:sz w:val="24"/>
          <w:szCs w:val="24"/>
        </w:rPr>
        <w:t xml:space="preserve"> </w:t>
      </w:r>
      <w:r w:rsidRPr="0064208D">
        <w:rPr>
          <w:rFonts w:ascii="Arial" w:hAnsi="Arial" w:cs="Arial"/>
          <w:sz w:val="24"/>
          <w:szCs w:val="24"/>
        </w:rPr>
        <w:t>Similarly, mindfulness offers practical techniques to help Amira manage overwhelming emotions and reduce the physical impacts of trauma.</w:t>
      </w:r>
      <w:r>
        <w:rPr>
          <w:rFonts w:ascii="Arial" w:hAnsi="Arial" w:cs="Arial"/>
          <w:sz w:val="24"/>
          <w:szCs w:val="24"/>
        </w:rPr>
        <w:t xml:space="preserve"> </w:t>
      </w:r>
      <w:r w:rsidRPr="00023C4F">
        <w:rPr>
          <w:rFonts w:ascii="Arial" w:hAnsi="Arial" w:cs="Arial"/>
          <w:sz w:val="24"/>
          <w:szCs w:val="24"/>
        </w:rPr>
        <w:t>Although play therapy and mindfulness are effective tools</w:t>
      </w:r>
      <w:r>
        <w:rPr>
          <w:rFonts w:ascii="Arial" w:hAnsi="Arial" w:cs="Arial"/>
          <w:sz w:val="24"/>
          <w:szCs w:val="24"/>
        </w:rPr>
        <w:t>, practitioners must address the issues of poverty, Amiras mothers alcohol abuse and the family dynamics to ensure Amiras progress is lasting and creates a stable caring environment for her healthy development</w:t>
      </w:r>
      <w:r w:rsidR="005D1BDF" w:rsidRPr="005D1BDF">
        <w:rPr>
          <w:rFonts w:ascii="Arial" w:hAnsi="Arial" w:cs="Arial"/>
          <w:sz w:val="24"/>
          <w:szCs w:val="24"/>
        </w:rPr>
        <w:t>. One of the most significant factors in her ongoing development and recovery will be the stability and nurturing environment provided by her grandmother, who now has custody of her. Although this shift represents a safer and more stable living situation for Amira compared to her previous home, it is important to acknowledge that the legacy of trauma and neglect she has experienced will require continued support. It is vital that Amira’s new caregivers are provided with the tools and resources necessary to create a supportive home environment conducive to healing.</w:t>
      </w:r>
    </w:p>
    <w:p w14:paraId="271163A8" w14:textId="77777777" w:rsidR="00915867" w:rsidRDefault="00915867" w:rsidP="00915867">
      <w:pPr>
        <w:spacing w:line="480" w:lineRule="auto"/>
        <w:rPr>
          <w:rFonts w:ascii="Arial" w:hAnsi="Arial" w:cs="Arial"/>
          <w:b/>
          <w:bCs/>
          <w:sz w:val="24"/>
          <w:szCs w:val="24"/>
          <w:u w:val="single"/>
        </w:rPr>
      </w:pPr>
      <w:r w:rsidRPr="00780913">
        <w:rPr>
          <w:rFonts w:ascii="Arial" w:hAnsi="Arial" w:cs="Arial"/>
          <w:b/>
          <w:bCs/>
          <w:sz w:val="24"/>
          <w:szCs w:val="24"/>
          <w:u w:val="single"/>
        </w:rPr>
        <w:lastRenderedPageBreak/>
        <w:t>Part two</w:t>
      </w:r>
    </w:p>
    <w:p w14:paraId="6128FBC5" w14:textId="77777777" w:rsidR="00915867" w:rsidRPr="009B343C" w:rsidRDefault="00915867" w:rsidP="00915867">
      <w:pPr>
        <w:spacing w:line="480" w:lineRule="auto"/>
        <w:rPr>
          <w:rFonts w:ascii="Arial" w:hAnsi="Arial" w:cs="Arial"/>
          <w:sz w:val="24"/>
          <w:szCs w:val="24"/>
        </w:rPr>
      </w:pPr>
      <w:r w:rsidRPr="00B6326D">
        <w:rPr>
          <w:rFonts w:ascii="Arial" w:hAnsi="Arial" w:cs="Arial"/>
          <w:sz w:val="24"/>
          <w:szCs w:val="24"/>
        </w:rPr>
        <w:t xml:space="preserve">Supporting vulnerable children like Amira, who has faced neglect, requires both professional skills and emotional strength, along with effective self-care. Working with children in difficult situations can be emotionally draining for professionals, so it’s important not only to help the child but also to take care of one’s own mental and physical health. If these emotional demands aren’t handled well, it can lead to burnout and secondary trauma. Using resilience strategies helps professionals stay healthy and continue to provide quality care. </w:t>
      </w:r>
      <w:r>
        <w:rPr>
          <w:rFonts w:ascii="Arial" w:hAnsi="Arial" w:cs="Arial"/>
          <w:sz w:val="24"/>
          <w:szCs w:val="24"/>
        </w:rPr>
        <w:t>In part two of this essay</w:t>
      </w:r>
      <w:r w:rsidRPr="00B6326D">
        <w:rPr>
          <w:rFonts w:ascii="Arial" w:hAnsi="Arial" w:cs="Arial"/>
          <w:sz w:val="24"/>
          <w:szCs w:val="24"/>
        </w:rPr>
        <w:t xml:space="preserve"> Amira’s case will be used to explore how professionals can build resilience, using Gibbs' Reflective Cycle to guide the discussion</w:t>
      </w:r>
      <w:r>
        <w:rPr>
          <w:rFonts w:ascii="Arial" w:hAnsi="Arial" w:cs="Arial"/>
          <w:sz w:val="24"/>
          <w:szCs w:val="24"/>
        </w:rPr>
        <w:t>.</w:t>
      </w:r>
    </w:p>
    <w:p w14:paraId="7C4FA94D" w14:textId="77777777" w:rsidR="00915867" w:rsidRDefault="00915867" w:rsidP="00915867">
      <w:pPr>
        <w:spacing w:line="480" w:lineRule="auto"/>
        <w:rPr>
          <w:rFonts w:ascii="Arial" w:hAnsi="Arial" w:cs="Arial"/>
          <w:sz w:val="24"/>
          <w:szCs w:val="24"/>
        </w:rPr>
      </w:pPr>
      <w:r w:rsidRPr="009B343C">
        <w:rPr>
          <w:rFonts w:ascii="Arial" w:hAnsi="Arial" w:cs="Arial"/>
          <w:sz w:val="24"/>
          <w:szCs w:val="24"/>
        </w:rPr>
        <w:t>When a professional hears about a child like Amira, it’s normal to feel a mix of emotions. Learning about a child’s traumatic experiences, like neglect and not having basic needs such as food and shelter, can be very overwhelming. Amira’s story of being left alone for long periods and going without food, along with the poor conditions of her home, would likely make someone feel angry, sad, and empathetic. These emotions are a natural reaction to such a tough case, but they also show the emotional challenges that come with this type of work. For professionals, it’s important to recogni</w:t>
      </w:r>
      <w:r>
        <w:rPr>
          <w:rFonts w:ascii="Arial" w:hAnsi="Arial" w:cs="Arial"/>
          <w:sz w:val="24"/>
          <w:szCs w:val="24"/>
        </w:rPr>
        <w:t>s</w:t>
      </w:r>
      <w:r w:rsidRPr="009B343C">
        <w:rPr>
          <w:rFonts w:ascii="Arial" w:hAnsi="Arial" w:cs="Arial"/>
          <w:sz w:val="24"/>
          <w:szCs w:val="24"/>
        </w:rPr>
        <w:t>e and manage these feelings, as they can affect both their emotional well-being and their ability to do their job effectively.</w:t>
      </w:r>
      <w:r>
        <w:rPr>
          <w:rFonts w:ascii="Arial" w:hAnsi="Arial" w:cs="Arial"/>
          <w:sz w:val="24"/>
          <w:szCs w:val="24"/>
        </w:rPr>
        <w:t xml:space="preserve"> </w:t>
      </w:r>
    </w:p>
    <w:p w14:paraId="171EEF07" w14:textId="77777777" w:rsidR="00915867" w:rsidRPr="00DD6FA5" w:rsidRDefault="00915867" w:rsidP="00915867">
      <w:pPr>
        <w:spacing w:line="480" w:lineRule="auto"/>
        <w:rPr>
          <w:rFonts w:ascii="Arial" w:hAnsi="Arial" w:cs="Arial"/>
          <w:sz w:val="24"/>
          <w:szCs w:val="24"/>
        </w:rPr>
      </w:pPr>
      <w:r w:rsidRPr="00DD6FA5">
        <w:rPr>
          <w:rFonts w:ascii="Arial" w:hAnsi="Arial" w:cs="Arial"/>
          <w:sz w:val="24"/>
          <w:szCs w:val="24"/>
        </w:rPr>
        <w:t xml:space="preserve">Using Gibbs' Reflective Cycle (1988), the first step in dealing with such a situation is to describe what happened. Amira’s case is a serious safeguarding issue, which means immediate action is needed to protect her well-being. The professional’s job is to act quickly to help, while also managing their own emotional reactions to the severity of the case. Balancing the responsibility of keeping Amira safe and </w:t>
      </w:r>
      <w:r w:rsidRPr="00DD6FA5">
        <w:rPr>
          <w:rFonts w:ascii="Arial" w:hAnsi="Arial" w:cs="Arial"/>
          <w:sz w:val="24"/>
          <w:szCs w:val="24"/>
        </w:rPr>
        <w:lastRenderedPageBreak/>
        <w:t>managing personal emotions can be overwhelming. It’s important for the professional not to get too caught up in their feelings, as doing so could affect their ability to provide the best support.</w:t>
      </w:r>
    </w:p>
    <w:p w14:paraId="18C4A35B" w14:textId="77777777" w:rsidR="00915867" w:rsidRDefault="00915867" w:rsidP="00915867">
      <w:pPr>
        <w:spacing w:line="480" w:lineRule="auto"/>
        <w:rPr>
          <w:rFonts w:ascii="Arial" w:hAnsi="Arial" w:cs="Arial"/>
          <w:sz w:val="24"/>
          <w:szCs w:val="24"/>
        </w:rPr>
      </w:pPr>
      <w:r w:rsidRPr="00DD6FA5">
        <w:rPr>
          <w:rFonts w:ascii="Arial" w:hAnsi="Arial" w:cs="Arial"/>
          <w:sz w:val="24"/>
          <w:szCs w:val="24"/>
        </w:rPr>
        <w:t>The next step in Gibbs’ model is reflecting on the feelings that come up during the experience. As mentioned, the professional may feel strong emotions like empathy and sadness for Amira. However, if these emotions aren’t managed properly, they could lead to secondary trauma. Secondary trauma, or compassion fatigue, happens when a professional takes on the emotional burden of the traumatic experiences of others. Figley (1995) suggests that professionals in caregiving roles can experience vicarious trauma, which can lead to burnout, emotional exhaustion, and a reduced ability to empathize. The professional needs to recognize and deal with these feelings to avoid burnout and keep providing effective support for vulnerable children.</w:t>
      </w:r>
    </w:p>
    <w:p w14:paraId="4ABB9C4B" w14:textId="77777777" w:rsidR="00915867" w:rsidRPr="00CF24CC" w:rsidRDefault="00915867" w:rsidP="00915867">
      <w:pPr>
        <w:spacing w:line="480" w:lineRule="auto"/>
        <w:rPr>
          <w:rFonts w:ascii="Arial" w:hAnsi="Arial" w:cs="Arial"/>
          <w:sz w:val="24"/>
          <w:szCs w:val="24"/>
        </w:rPr>
      </w:pPr>
      <w:r w:rsidRPr="00CF24CC">
        <w:rPr>
          <w:rFonts w:ascii="Arial" w:hAnsi="Arial" w:cs="Arial"/>
          <w:sz w:val="24"/>
          <w:szCs w:val="24"/>
        </w:rPr>
        <w:t>When evaluating this situation, it’s important to think about what worked well and what could be improved. The professional’s quick response, like notifying social services and ensuring Amira was placed with her grandparents, was the right thing to do and shows their ability to handle the safeguarding concern. However, when it comes to managing emotions, the professional may not have had a chance to process their own feelings right away. As a result, they might have felt overwhelmed or alone in dealing with their emotional reactions. This highlights the need for resilience strategies to help professionals manage the emotional challenges of these cases.</w:t>
      </w:r>
    </w:p>
    <w:p w14:paraId="1A67D8F7" w14:textId="77777777" w:rsidR="00915867" w:rsidRDefault="00915867" w:rsidP="00915867">
      <w:pPr>
        <w:spacing w:line="480" w:lineRule="auto"/>
        <w:rPr>
          <w:rFonts w:ascii="Arial" w:hAnsi="Arial" w:cs="Arial"/>
          <w:sz w:val="24"/>
          <w:szCs w:val="24"/>
        </w:rPr>
      </w:pPr>
      <w:r w:rsidRPr="00CF24CC">
        <w:rPr>
          <w:rFonts w:ascii="Arial" w:hAnsi="Arial" w:cs="Arial"/>
          <w:sz w:val="24"/>
          <w:szCs w:val="24"/>
        </w:rPr>
        <w:t xml:space="preserve">Resilience strategies are key to handling the emotional impact of working with vulnerable children. One important strategy is emotional regulation, which helps </w:t>
      </w:r>
      <w:r w:rsidRPr="00CF24CC">
        <w:rPr>
          <w:rFonts w:ascii="Arial" w:hAnsi="Arial" w:cs="Arial"/>
          <w:sz w:val="24"/>
          <w:szCs w:val="24"/>
        </w:rPr>
        <w:lastRenderedPageBreak/>
        <w:t>professionals manage their immediate emotional reactions to traumatic situations. Mindfulness techniques, such as deep breathing or grounding exercises, can help professionals regain focus and calm down. For example, after hearing Amira’s story, the professional could have used mindfulness to cent</w:t>
      </w:r>
      <w:r>
        <w:rPr>
          <w:rFonts w:ascii="Arial" w:hAnsi="Arial" w:cs="Arial"/>
          <w:sz w:val="24"/>
          <w:szCs w:val="24"/>
        </w:rPr>
        <w:t>re</w:t>
      </w:r>
      <w:r w:rsidRPr="00CF24CC">
        <w:rPr>
          <w:rFonts w:ascii="Arial" w:hAnsi="Arial" w:cs="Arial"/>
          <w:sz w:val="24"/>
          <w:szCs w:val="24"/>
        </w:rPr>
        <w:t xml:space="preserve"> themselves before moving forward. Research has shown that mindfulness can reduce stress and improve emotional regulation (</w:t>
      </w:r>
      <w:proofErr w:type="spellStart"/>
      <w:r w:rsidRPr="00CF24CC">
        <w:rPr>
          <w:rFonts w:ascii="Arial" w:hAnsi="Arial" w:cs="Arial"/>
          <w:sz w:val="24"/>
          <w:szCs w:val="24"/>
        </w:rPr>
        <w:t>Zoogman</w:t>
      </w:r>
      <w:proofErr w:type="spellEnd"/>
      <w:r w:rsidRPr="00CF24CC">
        <w:rPr>
          <w:rFonts w:ascii="Arial" w:hAnsi="Arial" w:cs="Arial"/>
          <w:sz w:val="24"/>
          <w:szCs w:val="24"/>
        </w:rPr>
        <w:t xml:space="preserve"> et al., 2015). These techniques not only help manage emotions but also help professionals stay grounded and focused on their role in providing care.</w:t>
      </w:r>
    </w:p>
    <w:p w14:paraId="1CFB4EE7" w14:textId="77777777" w:rsidR="00915867" w:rsidRPr="00187F76" w:rsidRDefault="00915867" w:rsidP="00915867">
      <w:pPr>
        <w:spacing w:line="480" w:lineRule="auto"/>
        <w:rPr>
          <w:rFonts w:ascii="Arial" w:hAnsi="Arial" w:cs="Arial"/>
          <w:sz w:val="24"/>
          <w:szCs w:val="24"/>
        </w:rPr>
      </w:pPr>
      <w:r w:rsidRPr="00187F76">
        <w:rPr>
          <w:rFonts w:ascii="Arial" w:hAnsi="Arial" w:cs="Arial"/>
          <w:sz w:val="24"/>
          <w:szCs w:val="24"/>
        </w:rPr>
        <w:t xml:space="preserve">Another important strategy for building resilience is </w:t>
      </w:r>
      <w:r>
        <w:rPr>
          <w:rFonts w:ascii="Arial" w:hAnsi="Arial" w:cs="Arial"/>
          <w:sz w:val="24"/>
          <w:szCs w:val="24"/>
        </w:rPr>
        <w:t>receiving</w:t>
      </w:r>
      <w:r w:rsidRPr="00187F76">
        <w:rPr>
          <w:rFonts w:ascii="Arial" w:hAnsi="Arial" w:cs="Arial"/>
          <w:sz w:val="24"/>
          <w:szCs w:val="24"/>
        </w:rPr>
        <w:t xml:space="preserve"> support from colleagues and supervisors. Regular supervision sessions give professionals a chance to talk about tough cases, share their feelings, and get advice. It’s a space where they can process difficult emotions and make sure they’re taking care of their own mental health. In Amira’s case, discussing how her situation affected the professional’s emotions and actions with a supervisor or colleagues could have helped them manage their feelings and get support. This approach prevents isolation and gives professionals a place to share concerns or frustrations, which helps them stay well.</w:t>
      </w:r>
    </w:p>
    <w:p w14:paraId="700EBF38" w14:textId="77777777" w:rsidR="00915867" w:rsidRDefault="00915867" w:rsidP="00915867">
      <w:pPr>
        <w:spacing w:line="480" w:lineRule="auto"/>
        <w:rPr>
          <w:rFonts w:ascii="Arial" w:hAnsi="Arial" w:cs="Arial"/>
          <w:sz w:val="24"/>
          <w:szCs w:val="24"/>
        </w:rPr>
      </w:pPr>
      <w:r w:rsidRPr="00187F76">
        <w:rPr>
          <w:rFonts w:ascii="Arial" w:hAnsi="Arial" w:cs="Arial"/>
          <w:sz w:val="24"/>
          <w:szCs w:val="24"/>
        </w:rPr>
        <w:t xml:space="preserve">Along with emotional regulation and supervision, keeping professional boundaries is another key strategy. Professionals working with vulnerable children need to find a balance between showing compassion and not getting too personally involved with the child’s experience. It’s important to care, but also to set limits so the professional doesn’t get overwhelmed by the child’s trauma. Knight (2015) explains that keeping clear boundaries helps professionals provide care without losing their own emotional stability. In Amira’s case, the professional could have managed their emotional response by remembering to maintain these boundaries while still being empathetic </w:t>
      </w:r>
      <w:r w:rsidRPr="00187F76">
        <w:rPr>
          <w:rFonts w:ascii="Arial" w:hAnsi="Arial" w:cs="Arial"/>
          <w:sz w:val="24"/>
          <w:szCs w:val="24"/>
        </w:rPr>
        <w:lastRenderedPageBreak/>
        <w:t>and supportive.</w:t>
      </w:r>
      <w:r>
        <w:rPr>
          <w:rFonts w:ascii="Arial" w:hAnsi="Arial" w:cs="Arial"/>
          <w:sz w:val="24"/>
          <w:szCs w:val="24"/>
        </w:rPr>
        <w:t xml:space="preserve"> </w:t>
      </w:r>
      <w:r w:rsidRPr="00AD00A8">
        <w:rPr>
          <w:rFonts w:ascii="Arial" w:hAnsi="Arial" w:cs="Arial"/>
          <w:sz w:val="24"/>
          <w:szCs w:val="24"/>
        </w:rPr>
        <w:t>For example, the professional might feel a strong urge to check in on Amira constantly or take on responsibilities outside their role, like providing her with personal support beyond work hours. While this shows care, it can blur boundaries and lead to emotional exhaustion. Instead, the professional could focus on ensuring Amira has access to the right services, such as therapy or social support, and trust that these systems will help her. By setting these boundaries, the professional can still show empathy during their interactions with Amira while maintaining a healthy emotional distance to protect their own well-being.</w:t>
      </w:r>
    </w:p>
    <w:p w14:paraId="00CAB63E" w14:textId="77777777" w:rsidR="00915867" w:rsidRPr="00E662E4" w:rsidRDefault="00915867" w:rsidP="00915867">
      <w:pPr>
        <w:spacing w:line="480" w:lineRule="auto"/>
        <w:rPr>
          <w:rFonts w:ascii="Arial" w:hAnsi="Arial" w:cs="Arial"/>
          <w:sz w:val="24"/>
          <w:szCs w:val="24"/>
        </w:rPr>
      </w:pPr>
      <w:r w:rsidRPr="00E662E4">
        <w:rPr>
          <w:rFonts w:ascii="Arial" w:hAnsi="Arial" w:cs="Arial"/>
          <w:sz w:val="24"/>
          <w:szCs w:val="24"/>
        </w:rPr>
        <w:t>Along with emotional regulation, supervision, and keeping boundaries, regular exercise can boost resilience and well-being. Exercise is a great stress reliever because it lowers cortisol (the stress hormone) and releases endorphins, which improve mood (Ratey, 2008). For professionals working with children like Amira, exercise offers a way to manage emotions and ease the impact of secondary trauma. Activities like yoga, running, or short walks can help clear the mind, increase energy, and lift mood.</w:t>
      </w:r>
    </w:p>
    <w:p w14:paraId="7BBE1567" w14:textId="77777777" w:rsidR="00915867" w:rsidRDefault="00915867" w:rsidP="00915867">
      <w:pPr>
        <w:spacing w:line="480" w:lineRule="auto"/>
        <w:rPr>
          <w:rFonts w:ascii="Arial" w:hAnsi="Arial" w:cs="Arial"/>
          <w:sz w:val="24"/>
          <w:szCs w:val="24"/>
        </w:rPr>
      </w:pPr>
      <w:r w:rsidRPr="00E662E4">
        <w:rPr>
          <w:rFonts w:ascii="Arial" w:hAnsi="Arial" w:cs="Arial"/>
          <w:sz w:val="24"/>
          <w:szCs w:val="24"/>
        </w:rPr>
        <w:t>Exercise also improves sleep, which is important for staying calm and thinking clearly. Poor sleep can lead to burnout and make it harder to make good decisions or show empathy (Pilcher et al., 1997). By making exercise part of their routine, professionals can build strength both physically and emotionally to handle their work better. For example, they could attend yoga to relax after work or take a morning walk to focus their mind. These habits improve personal well-being and allow professionals to give better support to children like Amira.</w:t>
      </w:r>
    </w:p>
    <w:p w14:paraId="020C0A65" w14:textId="787BC91D" w:rsidR="00AD13C4" w:rsidRPr="00AD13C4" w:rsidRDefault="00AD13C4" w:rsidP="00AD13C4">
      <w:pPr>
        <w:spacing w:line="480" w:lineRule="auto"/>
        <w:rPr>
          <w:rFonts w:ascii="Arial" w:hAnsi="Arial" w:cs="Arial"/>
          <w:sz w:val="24"/>
          <w:szCs w:val="24"/>
        </w:rPr>
      </w:pPr>
      <w:r w:rsidRPr="00AD13C4">
        <w:rPr>
          <w:rFonts w:ascii="Arial" w:hAnsi="Arial" w:cs="Arial"/>
          <w:sz w:val="24"/>
          <w:szCs w:val="24"/>
        </w:rPr>
        <w:t xml:space="preserve">In addition to the strategies already discussed, it is also important to foster a sense of purpose and </w:t>
      </w:r>
      <w:r w:rsidRPr="00AD13C4">
        <w:rPr>
          <w:rFonts w:ascii="Arial" w:hAnsi="Arial" w:cs="Arial"/>
          <w:sz w:val="24"/>
          <w:szCs w:val="24"/>
        </w:rPr>
        <w:t>fulfilment</w:t>
      </w:r>
      <w:r w:rsidRPr="00AD13C4">
        <w:rPr>
          <w:rFonts w:ascii="Arial" w:hAnsi="Arial" w:cs="Arial"/>
          <w:sz w:val="24"/>
          <w:szCs w:val="24"/>
        </w:rPr>
        <w:t xml:space="preserve"> in the work that professionals do. Working with vulnerable </w:t>
      </w:r>
      <w:r w:rsidRPr="00AD13C4">
        <w:rPr>
          <w:rFonts w:ascii="Arial" w:hAnsi="Arial" w:cs="Arial"/>
          <w:sz w:val="24"/>
          <w:szCs w:val="24"/>
        </w:rPr>
        <w:lastRenderedPageBreak/>
        <w:t>children can sometimes feel overwhelming, especially when faced with complex trauma cases like Amira’s. However, maintaining a sense of meaning and purpose can help professionals stay motivated and resilient. For example, professionals might find comfort in knowing they are part of a larger support system for the child, working collaboratively with other services such as social workers, therapists, and community organizations. This collaborative approach provides a sense of shared responsibility and helps professionals feel less isolated in their work.</w:t>
      </w:r>
    </w:p>
    <w:p w14:paraId="22F76942" w14:textId="77777777" w:rsidR="00AD13C4" w:rsidRPr="00AD13C4" w:rsidRDefault="00AD13C4" w:rsidP="00AD13C4">
      <w:pPr>
        <w:spacing w:line="480" w:lineRule="auto"/>
        <w:rPr>
          <w:rFonts w:ascii="Arial" w:hAnsi="Arial" w:cs="Arial"/>
          <w:sz w:val="24"/>
          <w:szCs w:val="24"/>
        </w:rPr>
      </w:pPr>
      <w:r w:rsidRPr="00AD13C4">
        <w:rPr>
          <w:rFonts w:ascii="Arial" w:hAnsi="Arial" w:cs="Arial"/>
          <w:sz w:val="24"/>
          <w:szCs w:val="24"/>
        </w:rPr>
        <w:t>Another valuable strategy for building resilience is engaging in professional development and training. By attending workshops, seminars, and training sessions on trauma-informed care, professionals can deepen their knowledge and enhance their skills. Continuous learning empowers professionals to approach cases with a fresh perspective and provides them with new tools to manage the emotional and psychological demands of the work. This can be particularly beneficial in challenging cases like Amira’s, where new approaches or perspectives may be needed to best support the child’s healing process. Ultimately, combining self-care practices with a commitment to ongoing professional development can help ensure that professionals are equipped to provide the best care for vulnerable children while protecting their own emotional well-being.</w:t>
      </w:r>
    </w:p>
    <w:p w14:paraId="74D5F3F4" w14:textId="77777777" w:rsidR="00AD13C4" w:rsidRDefault="00AD13C4" w:rsidP="00915867">
      <w:pPr>
        <w:spacing w:line="480" w:lineRule="auto"/>
        <w:rPr>
          <w:rFonts w:ascii="Arial" w:hAnsi="Arial" w:cs="Arial"/>
          <w:sz w:val="24"/>
          <w:szCs w:val="24"/>
        </w:rPr>
      </w:pPr>
    </w:p>
    <w:p w14:paraId="4648090E" w14:textId="77777777" w:rsidR="00915867" w:rsidRDefault="00915867" w:rsidP="00915867">
      <w:pPr>
        <w:spacing w:line="480" w:lineRule="auto"/>
        <w:rPr>
          <w:rFonts w:ascii="Arial" w:hAnsi="Arial" w:cs="Arial"/>
          <w:sz w:val="24"/>
          <w:szCs w:val="24"/>
        </w:rPr>
      </w:pPr>
      <w:r w:rsidRPr="00F302F5">
        <w:rPr>
          <w:rFonts w:ascii="Arial" w:hAnsi="Arial" w:cs="Arial"/>
          <w:sz w:val="24"/>
          <w:szCs w:val="24"/>
        </w:rPr>
        <w:t>While resilience strategies, such as emotional regulation, supervision, maintaining professional boundaries, and exercise, are valuable in preventing burnout and supporting professionals in difficult cases, these methods have limitations and may not fully address the complex emotional demands faced by caregivers and mental health professionals.</w:t>
      </w:r>
      <w:r>
        <w:rPr>
          <w:rFonts w:ascii="Arial" w:hAnsi="Arial" w:cs="Arial"/>
          <w:sz w:val="24"/>
          <w:szCs w:val="24"/>
        </w:rPr>
        <w:t xml:space="preserve"> </w:t>
      </w:r>
      <w:r w:rsidRPr="00906BA0">
        <w:rPr>
          <w:rFonts w:ascii="Arial" w:hAnsi="Arial" w:cs="Arial"/>
          <w:sz w:val="24"/>
          <w:szCs w:val="24"/>
        </w:rPr>
        <w:t xml:space="preserve">While supervision and support from colleagues or supervisors </w:t>
      </w:r>
      <w:r w:rsidRPr="00906BA0">
        <w:rPr>
          <w:rFonts w:ascii="Arial" w:hAnsi="Arial" w:cs="Arial"/>
          <w:sz w:val="24"/>
          <w:szCs w:val="24"/>
        </w:rPr>
        <w:lastRenderedPageBreak/>
        <w:t>are important components of resilience, these systems can sometimes fail to provide adequate relief. Supervision sessions, if not structured properly, can become routine and fail to address the deep emotional exhaustion that professionals may experience. Additionally, if supervisors are not equipped with the tools to manage vicarious trauma or the emotional complexities of the case, the supervision process might not be effective in offering real emotional relief.</w:t>
      </w:r>
      <w:r>
        <w:rPr>
          <w:rFonts w:ascii="Arial" w:hAnsi="Arial" w:cs="Arial"/>
          <w:sz w:val="24"/>
          <w:szCs w:val="24"/>
        </w:rPr>
        <w:t xml:space="preserve"> In addition </w:t>
      </w:r>
      <w:r w:rsidRPr="00354765">
        <w:rPr>
          <w:rFonts w:ascii="Arial" w:hAnsi="Arial" w:cs="Arial"/>
          <w:sz w:val="24"/>
          <w:szCs w:val="24"/>
        </w:rPr>
        <w:t>While exercise is widely acknowledged for its benefits in reducing stress and promoting physical health, it may not be enough to counteract the deep emotional toll of working with vulnerable children. For professionals dealing with complex trauma, physical activities alone cannot address the psychological burden or the emotional fatigue that accumulates over time</w:t>
      </w:r>
    </w:p>
    <w:p w14:paraId="54902E09" w14:textId="77777777" w:rsidR="00915867" w:rsidRPr="00E662E4" w:rsidRDefault="00915867" w:rsidP="00915867">
      <w:pPr>
        <w:spacing w:line="480" w:lineRule="auto"/>
        <w:rPr>
          <w:rFonts w:ascii="Arial" w:hAnsi="Arial" w:cs="Arial"/>
          <w:sz w:val="24"/>
          <w:szCs w:val="24"/>
        </w:rPr>
      </w:pPr>
      <w:r w:rsidRPr="00365D75">
        <w:rPr>
          <w:rFonts w:ascii="Arial" w:hAnsi="Arial" w:cs="Arial"/>
          <w:sz w:val="24"/>
          <w:szCs w:val="24"/>
        </w:rPr>
        <w:t>Amira’s case illustrates the complex needs of vulnerable children and the demands placed on professionals supporting them. Play therapy and mindfulness offer essential tools to help Amira heal and develop resilience, but a holistic care plan must also address larger systemic challenges like poverty and her mother’s alcohol use. Professionals supporting children like Amira must prioritize their own well-being through strategies such as emotional regulation, supervision, maintaining boundaries, and engaging in physical exercise. Exercise is particularly valuable for reducing stress and maintaining emotional and physical health.</w:t>
      </w:r>
      <w:r>
        <w:rPr>
          <w:rFonts w:ascii="Arial" w:hAnsi="Arial" w:cs="Arial"/>
          <w:sz w:val="24"/>
          <w:szCs w:val="24"/>
        </w:rPr>
        <w:t xml:space="preserve"> </w:t>
      </w:r>
      <w:r w:rsidRPr="004E3B35">
        <w:rPr>
          <w:rFonts w:ascii="Arial" w:hAnsi="Arial" w:cs="Arial"/>
          <w:sz w:val="24"/>
          <w:szCs w:val="24"/>
        </w:rPr>
        <w:t>Combining targeted interventions for Amira with resilience-building strategies for professionals creates an environment that supports both the child’s recovery and the well-being of her caregivers. This approach emphasizes the need to tackle individual and systemic challenges, ensuring Amira receives the resources for her development while enabling professionals to maintain their ability to provide effective care.</w:t>
      </w:r>
    </w:p>
    <w:p w14:paraId="75EA2D44" w14:textId="77777777" w:rsidR="00F76ECF" w:rsidRPr="00F76ECF" w:rsidRDefault="00F76ECF" w:rsidP="009A3961">
      <w:pPr>
        <w:spacing w:line="480" w:lineRule="auto"/>
        <w:rPr>
          <w:rFonts w:ascii="Arial" w:hAnsi="Arial" w:cs="Arial"/>
          <w:sz w:val="24"/>
          <w:szCs w:val="24"/>
        </w:rPr>
      </w:pPr>
    </w:p>
    <w:p w14:paraId="4A42F35D" w14:textId="77777777" w:rsidR="00DD229F" w:rsidRPr="00FE17A6" w:rsidRDefault="00DD229F" w:rsidP="00DD229F">
      <w:pPr>
        <w:rPr>
          <w:rFonts w:ascii="Arial" w:hAnsi="Arial" w:cs="Arial"/>
          <w:b/>
          <w:bCs/>
          <w:u w:val="single"/>
        </w:rPr>
      </w:pPr>
      <w:r w:rsidRPr="00FE17A6">
        <w:rPr>
          <w:rFonts w:ascii="Arial" w:hAnsi="Arial" w:cs="Arial"/>
          <w:b/>
          <w:bCs/>
          <w:u w:val="single"/>
        </w:rPr>
        <w:lastRenderedPageBreak/>
        <w:t xml:space="preserve">Reference List </w:t>
      </w:r>
    </w:p>
    <w:p w14:paraId="057F1114"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Axline, V. M. (1947). </w:t>
      </w:r>
      <w:r w:rsidRPr="00FE17A6">
        <w:rPr>
          <w:rFonts w:ascii="Arial" w:hAnsi="Arial" w:cs="Arial"/>
          <w:i/>
          <w:iCs/>
          <w:sz w:val="24"/>
          <w:szCs w:val="24"/>
        </w:rPr>
        <w:t>Play therapy</w:t>
      </w:r>
      <w:r w:rsidRPr="00FE17A6">
        <w:rPr>
          <w:rFonts w:ascii="Arial" w:hAnsi="Arial" w:cs="Arial"/>
          <w:sz w:val="24"/>
          <w:szCs w:val="24"/>
        </w:rPr>
        <w:t>. Houghton Mifflin.</w:t>
      </w:r>
    </w:p>
    <w:p w14:paraId="76BEDB05"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Baer, R. A. (2003). Mindfulness training as a clinical intervention: A conceptual and empirical review. </w:t>
      </w:r>
      <w:r w:rsidRPr="00FE17A6">
        <w:rPr>
          <w:rFonts w:ascii="Arial" w:hAnsi="Arial" w:cs="Arial"/>
          <w:i/>
          <w:iCs/>
          <w:sz w:val="24"/>
          <w:szCs w:val="24"/>
        </w:rPr>
        <w:t>Clinical Psychology: Science and Practice</w:t>
      </w:r>
      <w:r w:rsidRPr="00FE17A6">
        <w:rPr>
          <w:rFonts w:ascii="Arial" w:hAnsi="Arial" w:cs="Arial"/>
          <w:sz w:val="24"/>
          <w:szCs w:val="24"/>
        </w:rPr>
        <w:t>, 10(2), 125–143. https://doi.org/10.1093/clipsy/bpg015</w:t>
      </w:r>
    </w:p>
    <w:p w14:paraId="12E535D9"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Bethell, C., </w:t>
      </w:r>
      <w:proofErr w:type="spellStart"/>
      <w:r w:rsidRPr="00FE17A6">
        <w:rPr>
          <w:rFonts w:ascii="Arial" w:hAnsi="Arial" w:cs="Arial"/>
          <w:sz w:val="24"/>
          <w:szCs w:val="24"/>
        </w:rPr>
        <w:t>Newacheck</w:t>
      </w:r>
      <w:proofErr w:type="spellEnd"/>
      <w:r w:rsidRPr="00FE17A6">
        <w:rPr>
          <w:rFonts w:ascii="Arial" w:hAnsi="Arial" w:cs="Arial"/>
          <w:sz w:val="24"/>
          <w:szCs w:val="24"/>
        </w:rPr>
        <w:t xml:space="preserve">, P., Nysse-Carris, K., &amp; Gottfried, M. (2017). Adverse childhood experiences: Assessing the impact on health and development. </w:t>
      </w:r>
      <w:r w:rsidRPr="00FE17A6">
        <w:rPr>
          <w:rFonts w:ascii="Arial" w:hAnsi="Arial" w:cs="Arial"/>
          <w:i/>
          <w:iCs/>
          <w:sz w:val="24"/>
          <w:szCs w:val="24"/>
        </w:rPr>
        <w:t>American Journal of Preventive Medicine</w:t>
      </w:r>
      <w:r w:rsidRPr="00FE17A6">
        <w:rPr>
          <w:rFonts w:ascii="Arial" w:hAnsi="Arial" w:cs="Arial"/>
          <w:sz w:val="24"/>
          <w:szCs w:val="24"/>
        </w:rPr>
        <w:t>, 52(3), 1-8. https://doi.org/10.1016/j.amepre.2016.06.005</w:t>
      </w:r>
    </w:p>
    <w:p w14:paraId="7E4F7003"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Bratton, S. C., Ray, D., Rhine, T., &amp; Jones, L. (2005). The efficacy of play therapy with children: A meta-analytic review. </w:t>
      </w:r>
      <w:r w:rsidRPr="00FE17A6">
        <w:rPr>
          <w:rFonts w:ascii="Arial" w:hAnsi="Arial" w:cs="Arial"/>
          <w:i/>
          <w:iCs/>
          <w:sz w:val="24"/>
          <w:szCs w:val="24"/>
        </w:rPr>
        <w:t>Professional Psychology: Research and Practice</w:t>
      </w:r>
      <w:r w:rsidRPr="00FE17A6">
        <w:rPr>
          <w:rFonts w:ascii="Arial" w:hAnsi="Arial" w:cs="Arial"/>
          <w:sz w:val="24"/>
          <w:szCs w:val="24"/>
        </w:rPr>
        <w:t>, 36(4), 376–390. https://doi.org/10.1037/0735-7028.36.4.376</w:t>
      </w:r>
    </w:p>
    <w:p w14:paraId="48892D68"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Department for Education. (2018). </w:t>
      </w:r>
      <w:r w:rsidRPr="00FE17A6">
        <w:rPr>
          <w:rFonts w:ascii="Arial" w:hAnsi="Arial" w:cs="Arial"/>
          <w:i/>
          <w:iCs/>
          <w:sz w:val="24"/>
          <w:szCs w:val="24"/>
        </w:rPr>
        <w:t>Working together to safeguard children</w:t>
      </w:r>
      <w:r w:rsidRPr="00FE17A6">
        <w:rPr>
          <w:rFonts w:ascii="Arial" w:hAnsi="Arial" w:cs="Arial"/>
          <w:sz w:val="24"/>
          <w:szCs w:val="24"/>
        </w:rPr>
        <w:t>. https://www.gov.uk/government/publications/working-together-to-safeguard-children--2</w:t>
      </w:r>
    </w:p>
    <w:p w14:paraId="519FD49C"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Drewes, A. A. (2011). </w:t>
      </w:r>
      <w:r w:rsidRPr="00FE17A6">
        <w:rPr>
          <w:rFonts w:ascii="Arial" w:hAnsi="Arial" w:cs="Arial"/>
          <w:i/>
          <w:iCs/>
          <w:sz w:val="24"/>
          <w:szCs w:val="24"/>
        </w:rPr>
        <w:t>Integrative play therapy</w:t>
      </w:r>
      <w:r w:rsidRPr="00FE17A6">
        <w:rPr>
          <w:rFonts w:ascii="Arial" w:hAnsi="Arial" w:cs="Arial"/>
          <w:sz w:val="24"/>
          <w:szCs w:val="24"/>
        </w:rPr>
        <w:t>. Wiley.</w:t>
      </w:r>
    </w:p>
    <w:p w14:paraId="7BAC38BD" w14:textId="77777777" w:rsidR="00DD229F" w:rsidRPr="00FE17A6" w:rsidRDefault="00DD229F" w:rsidP="00DD229F">
      <w:pPr>
        <w:rPr>
          <w:rFonts w:ascii="Arial" w:hAnsi="Arial" w:cs="Arial"/>
          <w:sz w:val="24"/>
          <w:szCs w:val="24"/>
        </w:rPr>
      </w:pPr>
      <w:proofErr w:type="spellStart"/>
      <w:r w:rsidRPr="00FE17A6">
        <w:rPr>
          <w:rFonts w:ascii="Arial" w:hAnsi="Arial" w:cs="Arial"/>
          <w:sz w:val="24"/>
          <w:szCs w:val="24"/>
        </w:rPr>
        <w:t>Felitti</w:t>
      </w:r>
      <w:proofErr w:type="spellEnd"/>
      <w:r w:rsidRPr="00FE17A6">
        <w:rPr>
          <w:rFonts w:ascii="Arial" w:hAnsi="Arial" w:cs="Arial"/>
          <w:sz w:val="24"/>
          <w:szCs w:val="24"/>
        </w:rPr>
        <w:t xml:space="preserve">, V. J., Anda, R. F., Nordenberg, D., Williamson, D. F., Spitz, A. M., Edwards, V., Koss, M. P., &amp; Marks, J. S. (1998). Relationship of childhood abuse and household dysfunction to many of the leading causes of death in adults. </w:t>
      </w:r>
      <w:r w:rsidRPr="00FE17A6">
        <w:rPr>
          <w:rFonts w:ascii="Arial" w:hAnsi="Arial" w:cs="Arial"/>
          <w:i/>
          <w:iCs/>
          <w:sz w:val="24"/>
          <w:szCs w:val="24"/>
        </w:rPr>
        <w:t>The Adverse Childhood Experiences (ACE) Study</w:t>
      </w:r>
      <w:r w:rsidRPr="00FE17A6">
        <w:rPr>
          <w:rFonts w:ascii="Arial" w:hAnsi="Arial" w:cs="Arial"/>
          <w:sz w:val="24"/>
          <w:szCs w:val="24"/>
        </w:rPr>
        <w:t xml:space="preserve">. </w:t>
      </w:r>
      <w:r w:rsidRPr="00FE17A6">
        <w:rPr>
          <w:rFonts w:ascii="Arial" w:hAnsi="Arial" w:cs="Arial"/>
          <w:i/>
          <w:iCs/>
          <w:sz w:val="24"/>
          <w:szCs w:val="24"/>
        </w:rPr>
        <w:t>American Journal of Preventive Medicine</w:t>
      </w:r>
      <w:r w:rsidRPr="00FE17A6">
        <w:rPr>
          <w:rFonts w:ascii="Arial" w:hAnsi="Arial" w:cs="Arial"/>
          <w:sz w:val="24"/>
          <w:szCs w:val="24"/>
        </w:rPr>
        <w:t>, 14(4), 245–258. https://doi.org/10.1016/S0749-3797(98)00017-8</w:t>
      </w:r>
    </w:p>
    <w:p w14:paraId="1909A339"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Figley, C. R. (1995). </w:t>
      </w:r>
      <w:r w:rsidRPr="00FE17A6">
        <w:rPr>
          <w:rFonts w:ascii="Arial" w:hAnsi="Arial" w:cs="Arial"/>
          <w:i/>
          <w:iCs/>
          <w:sz w:val="24"/>
          <w:szCs w:val="24"/>
        </w:rPr>
        <w:t>Compassion fatigue: Coping with secondary traumatic stress disorder in those who treat the traumatized</w:t>
      </w:r>
      <w:r w:rsidRPr="00FE17A6">
        <w:rPr>
          <w:rFonts w:ascii="Arial" w:hAnsi="Arial" w:cs="Arial"/>
          <w:sz w:val="24"/>
          <w:szCs w:val="24"/>
        </w:rPr>
        <w:t>. Brunner/Mazel.</w:t>
      </w:r>
    </w:p>
    <w:p w14:paraId="21C77F3A"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Homeyer, L. E., &amp; Morrison, M. O. (2020). </w:t>
      </w:r>
      <w:r w:rsidRPr="00FE17A6">
        <w:rPr>
          <w:rFonts w:ascii="Arial" w:hAnsi="Arial" w:cs="Arial"/>
          <w:i/>
          <w:iCs/>
          <w:sz w:val="24"/>
          <w:szCs w:val="24"/>
        </w:rPr>
        <w:t>Play therapy: The art of the relationship</w:t>
      </w:r>
      <w:r w:rsidRPr="00FE17A6">
        <w:rPr>
          <w:rFonts w:ascii="Arial" w:hAnsi="Arial" w:cs="Arial"/>
          <w:sz w:val="24"/>
          <w:szCs w:val="24"/>
        </w:rPr>
        <w:t xml:space="preserve"> (3rd ed.). Routledge.</w:t>
      </w:r>
    </w:p>
    <w:p w14:paraId="7D688C6A"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Kabat-Zinn, J., &amp; Kabat-Zinn, M. (2014). </w:t>
      </w:r>
      <w:r w:rsidRPr="00FE17A6">
        <w:rPr>
          <w:rFonts w:ascii="Arial" w:hAnsi="Arial" w:cs="Arial"/>
          <w:i/>
          <w:iCs/>
          <w:sz w:val="24"/>
          <w:szCs w:val="24"/>
        </w:rPr>
        <w:t>Everyday blessings: The inner work of mindful parenting</w:t>
      </w:r>
      <w:r w:rsidRPr="00FE17A6">
        <w:rPr>
          <w:rFonts w:ascii="Arial" w:hAnsi="Arial" w:cs="Arial"/>
          <w:sz w:val="24"/>
          <w:szCs w:val="24"/>
        </w:rPr>
        <w:t>. Hachette.</w:t>
      </w:r>
    </w:p>
    <w:p w14:paraId="2EDFAF20"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Knight, C. (2015). </w:t>
      </w:r>
      <w:r w:rsidRPr="00FE17A6">
        <w:rPr>
          <w:rFonts w:ascii="Arial" w:hAnsi="Arial" w:cs="Arial"/>
          <w:i/>
          <w:iCs/>
          <w:sz w:val="24"/>
          <w:szCs w:val="24"/>
        </w:rPr>
        <w:t>Compassion fatigue: The cost of caring</w:t>
      </w:r>
      <w:r w:rsidRPr="00FE17A6">
        <w:rPr>
          <w:rFonts w:ascii="Arial" w:hAnsi="Arial" w:cs="Arial"/>
          <w:sz w:val="24"/>
          <w:szCs w:val="24"/>
        </w:rPr>
        <w:t>. Routledge.</w:t>
      </w:r>
    </w:p>
    <w:p w14:paraId="564E38C3"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Landreth, G. L. (2012). </w:t>
      </w:r>
      <w:r w:rsidRPr="00FE17A6">
        <w:rPr>
          <w:rFonts w:ascii="Arial" w:hAnsi="Arial" w:cs="Arial"/>
          <w:i/>
          <w:iCs/>
          <w:sz w:val="24"/>
          <w:szCs w:val="24"/>
        </w:rPr>
        <w:t>Play therapy: The art of the relationship</w:t>
      </w:r>
      <w:r w:rsidRPr="00FE17A6">
        <w:rPr>
          <w:rFonts w:ascii="Arial" w:hAnsi="Arial" w:cs="Arial"/>
          <w:sz w:val="24"/>
          <w:szCs w:val="24"/>
        </w:rPr>
        <w:t xml:space="preserve"> (3rd ed.). Routledge.</w:t>
      </w:r>
    </w:p>
    <w:p w14:paraId="11E47E63"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Pilcher, J. J., Ginter, D. R., &amp; Sadowsky, B. (1997). Sleep and academic performance in college students. </w:t>
      </w:r>
      <w:r w:rsidRPr="00FE17A6">
        <w:rPr>
          <w:rFonts w:ascii="Arial" w:hAnsi="Arial" w:cs="Arial"/>
          <w:i/>
          <w:iCs/>
          <w:sz w:val="24"/>
          <w:szCs w:val="24"/>
        </w:rPr>
        <w:t>Journal of Sleep Research</w:t>
      </w:r>
      <w:r w:rsidRPr="00FE17A6">
        <w:rPr>
          <w:rFonts w:ascii="Arial" w:hAnsi="Arial" w:cs="Arial"/>
          <w:sz w:val="24"/>
          <w:szCs w:val="24"/>
        </w:rPr>
        <w:t>, 6(2), 105–110. https://doi.org/10.1046/j.1365-2869.1997.00024.x</w:t>
      </w:r>
    </w:p>
    <w:p w14:paraId="05D164E0"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Ratey, J. J. (2008). </w:t>
      </w:r>
      <w:r w:rsidRPr="00FE17A6">
        <w:rPr>
          <w:rFonts w:ascii="Arial" w:hAnsi="Arial" w:cs="Arial"/>
          <w:i/>
          <w:iCs/>
          <w:sz w:val="24"/>
          <w:szCs w:val="24"/>
        </w:rPr>
        <w:t>Spark: The revolutionary new science of exercise and the brain</w:t>
      </w:r>
      <w:r w:rsidRPr="00FE17A6">
        <w:rPr>
          <w:rFonts w:ascii="Arial" w:hAnsi="Arial" w:cs="Arial"/>
          <w:sz w:val="24"/>
          <w:szCs w:val="24"/>
        </w:rPr>
        <w:t>. Little, Brown, and Company.</w:t>
      </w:r>
    </w:p>
    <w:p w14:paraId="4D178EBC" w14:textId="77777777" w:rsidR="00DD229F" w:rsidRPr="00FE17A6" w:rsidRDefault="00DD229F" w:rsidP="00DD229F">
      <w:pPr>
        <w:rPr>
          <w:rFonts w:ascii="Arial" w:hAnsi="Arial" w:cs="Arial"/>
          <w:sz w:val="24"/>
          <w:szCs w:val="24"/>
        </w:rPr>
      </w:pPr>
      <w:r w:rsidRPr="00FE17A6">
        <w:rPr>
          <w:rFonts w:ascii="Arial" w:hAnsi="Arial" w:cs="Arial"/>
          <w:sz w:val="24"/>
          <w:szCs w:val="24"/>
        </w:rPr>
        <w:t xml:space="preserve">Reddy, L. A., Files-Hall, M., &amp; Schaefer, C. E. (2013). </w:t>
      </w:r>
      <w:r w:rsidRPr="00FE17A6">
        <w:rPr>
          <w:rFonts w:ascii="Arial" w:hAnsi="Arial" w:cs="Arial"/>
          <w:i/>
          <w:iCs/>
          <w:sz w:val="24"/>
          <w:szCs w:val="24"/>
        </w:rPr>
        <w:t>The handbook of play therapy</w:t>
      </w:r>
      <w:r w:rsidRPr="00FE17A6">
        <w:rPr>
          <w:rFonts w:ascii="Arial" w:hAnsi="Arial" w:cs="Arial"/>
          <w:sz w:val="24"/>
          <w:szCs w:val="24"/>
        </w:rPr>
        <w:t xml:space="preserve"> (2nd ed.). Wiley.</w:t>
      </w:r>
    </w:p>
    <w:p w14:paraId="33D78EB4" w14:textId="4B593AFC" w:rsidR="00EF2344" w:rsidRPr="00EF2344" w:rsidRDefault="00DD229F" w:rsidP="00DD229F">
      <w:pPr>
        <w:rPr>
          <w:rFonts w:ascii="Arial" w:hAnsi="Arial" w:cs="Arial"/>
          <w:sz w:val="24"/>
          <w:szCs w:val="24"/>
        </w:rPr>
      </w:pPr>
      <w:r w:rsidRPr="00FE17A6">
        <w:rPr>
          <w:rFonts w:ascii="Arial" w:hAnsi="Arial" w:cs="Arial"/>
          <w:sz w:val="24"/>
          <w:szCs w:val="24"/>
        </w:rPr>
        <w:t xml:space="preserve">Van der Kolk, B. A. (2014). </w:t>
      </w:r>
      <w:r w:rsidRPr="00FE17A6">
        <w:rPr>
          <w:rFonts w:ascii="Arial" w:hAnsi="Arial" w:cs="Arial"/>
          <w:i/>
          <w:iCs/>
          <w:sz w:val="24"/>
          <w:szCs w:val="24"/>
        </w:rPr>
        <w:t>The body keeps the score: Brain, mind, and body in the healing of trauma</w:t>
      </w:r>
      <w:r w:rsidRPr="00FE17A6">
        <w:rPr>
          <w:rFonts w:ascii="Arial" w:hAnsi="Arial" w:cs="Arial"/>
          <w:sz w:val="24"/>
          <w:szCs w:val="24"/>
        </w:rPr>
        <w:t>. Penguin Books.</w:t>
      </w:r>
    </w:p>
    <w:p w14:paraId="6F8A52C0" w14:textId="77777777" w:rsidR="00EF2344" w:rsidRPr="00EF2344" w:rsidRDefault="00EF2344" w:rsidP="00EF2344">
      <w:pPr>
        <w:spacing w:line="480" w:lineRule="auto"/>
        <w:rPr>
          <w:rFonts w:ascii="Arial" w:hAnsi="Arial" w:cs="Arial"/>
          <w:sz w:val="24"/>
          <w:szCs w:val="24"/>
        </w:rPr>
      </w:pPr>
    </w:p>
    <w:p w14:paraId="289574E8" w14:textId="77777777" w:rsidR="00EF2344" w:rsidRPr="00E56470" w:rsidRDefault="00EF2344" w:rsidP="00FC624D">
      <w:pPr>
        <w:spacing w:line="480" w:lineRule="auto"/>
        <w:rPr>
          <w:rFonts w:ascii="Arial" w:hAnsi="Arial" w:cs="Arial"/>
          <w:sz w:val="24"/>
          <w:szCs w:val="24"/>
        </w:rPr>
      </w:pPr>
    </w:p>
    <w:p w14:paraId="08B2A427" w14:textId="77777777" w:rsidR="00985A5F" w:rsidRPr="00B63073" w:rsidRDefault="00985A5F" w:rsidP="00E05410">
      <w:pPr>
        <w:spacing w:line="360" w:lineRule="auto"/>
        <w:rPr>
          <w:rFonts w:ascii="Arial" w:hAnsi="Arial" w:cs="Arial"/>
        </w:rPr>
      </w:pPr>
    </w:p>
    <w:p w14:paraId="485024AA" w14:textId="77777777" w:rsidR="003937CA" w:rsidRPr="00B63073" w:rsidRDefault="003937CA" w:rsidP="00E05410">
      <w:pPr>
        <w:spacing w:line="360" w:lineRule="auto"/>
        <w:rPr>
          <w:rFonts w:ascii="Arial" w:hAnsi="Arial" w:cs="Arial"/>
        </w:rPr>
      </w:pPr>
    </w:p>
    <w:p w14:paraId="459B65F3" w14:textId="77777777" w:rsidR="004B47CE" w:rsidRDefault="004B47CE" w:rsidP="00E05410">
      <w:pPr>
        <w:spacing w:line="360" w:lineRule="auto"/>
      </w:pPr>
    </w:p>
    <w:p w14:paraId="75A2ED19" w14:textId="77777777" w:rsidR="00416105" w:rsidRDefault="00416105" w:rsidP="00E05410">
      <w:pPr>
        <w:spacing w:line="360" w:lineRule="auto"/>
      </w:pPr>
    </w:p>
    <w:p w14:paraId="066EBF69" w14:textId="77777777" w:rsidR="00E5126C" w:rsidRPr="002014E3" w:rsidRDefault="00E5126C" w:rsidP="00E05410">
      <w:pPr>
        <w:spacing w:line="360" w:lineRule="auto"/>
      </w:pPr>
    </w:p>
    <w:sectPr w:rsidR="00E5126C" w:rsidRPr="002014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E3"/>
    <w:rsid w:val="0002714A"/>
    <w:rsid w:val="00086BB9"/>
    <w:rsid w:val="000A6436"/>
    <w:rsid w:val="000F4F92"/>
    <w:rsid w:val="00114F0B"/>
    <w:rsid w:val="00127504"/>
    <w:rsid w:val="00134A7A"/>
    <w:rsid w:val="00147664"/>
    <w:rsid w:val="001608C5"/>
    <w:rsid w:val="00161807"/>
    <w:rsid w:val="001744C6"/>
    <w:rsid w:val="001A56AE"/>
    <w:rsid w:val="001B3BDC"/>
    <w:rsid w:val="001E7118"/>
    <w:rsid w:val="001F1933"/>
    <w:rsid w:val="001F60F8"/>
    <w:rsid w:val="001F7B4B"/>
    <w:rsid w:val="002014E3"/>
    <w:rsid w:val="0020614A"/>
    <w:rsid w:val="00207655"/>
    <w:rsid w:val="0021697E"/>
    <w:rsid w:val="002549B1"/>
    <w:rsid w:val="0026360F"/>
    <w:rsid w:val="00272DA7"/>
    <w:rsid w:val="00284EEB"/>
    <w:rsid w:val="00286E85"/>
    <w:rsid w:val="002B266F"/>
    <w:rsid w:val="002D48CD"/>
    <w:rsid w:val="00310841"/>
    <w:rsid w:val="003937CA"/>
    <w:rsid w:val="003B70D6"/>
    <w:rsid w:val="003C5859"/>
    <w:rsid w:val="003C5B0F"/>
    <w:rsid w:val="00416105"/>
    <w:rsid w:val="00453BCE"/>
    <w:rsid w:val="004818C4"/>
    <w:rsid w:val="004B47CE"/>
    <w:rsid w:val="004B5A80"/>
    <w:rsid w:val="004F1D54"/>
    <w:rsid w:val="00500D68"/>
    <w:rsid w:val="00522B10"/>
    <w:rsid w:val="0052367F"/>
    <w:rsid w:val="00532764"/>
    <w:rsid w:val="005D1BDF"/>
    <w:rsid w:val="005D3DB3"/>
    <w:rsid w:val="00602361"/>
    <w:rsid w:val="00642F2E"/>
    <w:rsid w:val="00651269"/>
    <w:rsid w:val="006860D0"/>
    <w:rsid w:val="00692713"/>
    <w:rsid w:val="006B261C"/>
    <w:rsid w:val="006C45FD"/>
    <w:rsid w:val="00720C4E"/>
    <w:rsid w:val="00725F2C"/>
    <w:rsid w:val="00726108"/>
    <w:rsid w:val="00735905"/>
    <w:rsid w:val="00742C2C"/>
    <w:rsid w:val="007654CC"/>
    <w:rsid w:val="007A6756"/>
    <w:rsid w:val="007B752F"/>
    <w:rsid w:val="00802D1B"/>
    <w:rsid w:val="00802DF2"/>
    <w:rsid w:val="008246B2"/>
    <w:rsid w:val="0088037D"/>
    <w:rsid w:val="00885762"/>
    <w:rsid w:val="00895943"/>
    <w:rsid w:val="00915867"/>
    <w:rsid w:val="00952415"/>
    <w:rsid w:val="009834B9"/>
    <w:rsid w:val="00985A5F"/>
    <w:rsid w:val="0099358C"/>
    <w:rsid w:val="009A3961"/>
    <w:rsid w:val="00A0334E"/>
    <w:rsid w:val="00A0341C"/>
    <w:rsid w:val="00A3078A"/>
    <w:rsid w:val="00A44056"/>
    <w:rsid w:val="00A66BA7"/>
    <w:rsid w:val="00A72C1A"/>
    <w:rsid w:val="00AB521E"/>
    <w:rsid w:val="00AD13C4"/>
    <w:rsid w:val="00AE6C98"/>
    <w:rsid w:val="00AF345C"/>
    <w:rsid w:val="00B46C63"/>
    <w:rsid w:val="00B606FB"/>
    <w:rsid w:val="00B63073"/>
    <w:rsid w:val="00B638AE"/>
    <w:rsid w:val="00B74592"/>
    <w:rsid w:val="00B74B90"/>
    <w:rsid w:val="00BD214E"/>
    <w:rsid w:val="00BD397F"/>
    <w:rsid w:val="00C051CE"/>
    <w:rsid w:val="00C73275"/>
    <w:rsid w:val="00C83D04"/>
    <w:rsid w:val="00C90A5F"/>
    <w:rsid w:val="00C954A4"/>
    <w:rsid w:val="00CB4E00"/>
    <w:rsid w:val="00D369DE"/>
    <w:rsid w:val="00D60B05"/>
    <w:rsid w:val="00D764AC"/>
    <w:rsid w:val="00D86F91"/>
    <w:rsid w:val="00DB5218"/>
    <w:rsid w:val="00DD229F"/>
    <w:rsid w:val="00E05410"/>
    <w:rsid w:val="00E5126C"/>
    <w:rsid w:val="00E52DFA"/>
    <w:rsid w:val="00E56470"/>
    <w:rsid w:val="00E56B89"/>
    <w:rsid w:val="00E92B56"/>
    <w:rsid w:val="00EF2344"/>
    <w:rsid w:val="00F21485"/>
    <w:rsid w:val="00F40723"/>
    <w:rsid w:val="00F679C5"/>
    <w:rsid w:val="00F76ECF"/>
    <w:rsid w:val="00FC1D41"/>
    <w:rsid w:val="00FC624D"/>
    <w:rsid w:val="00FE3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E399"/>
  <w15:chartTrackingRefBased/>
  <w15:docId w15:val="{8B3B3D6B-FCAF-4146-9456-DA78C4150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867"/>
  </w:style>
  <w:style w:type="paragraph" w:styleId="Heading1">
    <w:name w:val="heading 1"/>
    <w:basedOn w:val="Normal"/>
    <w:next w:val="Normal"/>
    <w:link w:val="Heading1Char"/>
    <w:uiPriority w:val="9"/>
    <w:qFormat/>
    <w:rsid w:val="002014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4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4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4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4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4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4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4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4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4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4E3"/>
    <w:rPr>
      <w:rFonts w:eastAsiaTheme="majorEastAsia" w:cstheme="majorBidi"/>
      <w:color w:val="272727" w:themeColor="text1" w:themeTint="D8"/>
    </w:rPr>
  </w:style>
  <w:style w:type="paragraph" w:styleId="Title">
    <w:name w:val="Title"/>
    <w:basedOn w:val="Normal"/>
    <w:next w:val="Normal"/>
    <w:link w:val="TitleChar"/>
    <w:uiPriority w:val="10"/>
    <w:qFormat/>
    <w:rsid w:val="00201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4E3"/>
    <w:pPr>
      <w:spacing w:before="160"/>
      <w:jc w:val="center"/>
    </w:pPr>
    <w:rPr>
      <w:i/>
      <w:iCs/>
      <w:color w:val="404040" w:themeColor="text1" w:themeTint="BF"/>
    </w:rPr>
  </w:style>
  <w:style w:type="character" w:customStyle="1" w:styleId="QuoteChar">
    <w:name w:val="Quote Char"/>
    <w:basedOn w:val="DefaultParagraphFont"/>
    <w:link w:val="Quote"/>
    <w:uiPriority w:val="29"/>
    <w:rsid w:val="002014E3"/>
    <w:rPr>
      <w:i/>
      <w:iCs/>
      <w:color w:val="404040" w:themeColor="text1" w:themeTint="BF"/>
    </w:rPr>
  </w:style>
  <w:style w:type="paragraph" w:styleId="ListParagraph">
    <w:name w:val="List Paragraph"/>
    <w:basedOn w:val="Normal"/>
    <w:uiPriority w:val="34"/>
    <w:qFormat/>
    <w:rsid w:val="002014E3"/>
    <w:pPr>
      <w:ind w:left="720"/>
      <w:contextualSpacing/>
    </w:pPr>
  </w:style>
  <w:style w:type="character" w:styleId="IntenseEmphasis">
    <w:name w:val="Intense Emphasis"/>
    <w:basedOn w:val="DefaultParagraphFont"/>
    <w:uiPriority w:val="21"/>
    <w:qFormat/>
    <w:rsid w:val="002014E3"/>
    <w:rPr>
      <w:i/>
      <w:iCs/>
      <w:color w:val="0F4761" w:themeColor="accent1" w:themeShade="BF"/>
    </w:rPr>
  </w:style>
  <w:style w:type="paragraph" w:styleId="IntenseQuote">
    <w:name w:val="Intense Quote"/>
    <w:basedOn w:val="Normal"/>
    <w:next w:val="Normal"/>
    <w:link w:val="IntenseQuoteChar"/>
    <w:uiPriority w:val="30"/>
    <w:qFormat/>
    <w:rsid w:val="002014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4E3"/>
    <w:rPr>
      <w:i/>
      <w:iCs/>
      <w:color w:val="0F4761" w:themeColor="accent1" w:themeShade="BF"/>
    </w:rPr>
  </w:style>
  <w:style w:type="character" w:styleId="IntenseReference">
    <w:name w:val="Intense Reference"/>
    <w:basedOn w:val="DefaultParagraphFont"/>
    <w:uiPriority w:val="32"/>
    <w:qFormat/>
    <w:rsid w:val="002014E3"/>
    <w:rPr>
      <w:b/>
      <w:bCs/>
      <w:smallCaps/>
      <w:color w:val="0F4761" w:themeColor="accent1" w:themeShade="BF"/>
      <w:spacing w:val="5"/>
    </w:rPr>
  </w:style>
  <w:style w:type="paragraph" w:styleId="NormalWeb">
    <w:name w:val="Normal (Web)"/>
    <w:basedOn w:val="Normal"/>
    <w:uiPriority w:val="99"/>
    <w:semiHidden/>
    <w:unhideWhenUsed/>
    <w:rsid w:val="00E56B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85253">
      <w:bodyDiv w:val="1"/>
      <w:marLeft w:val="0"/>
      <w:marRight w:val="0"/>
      <w:marTop w:val="0"/>
      <w:marBottom w:val="0"/>
      <w:divBdr>
        <w:top w:val="none" w:sz="0" w:space="0" w:color="auto"/>
        <w:left w:val="none" w:sz="0" w:space="0" w:color="auto"/>
        <w:bottom w:val="none" w:sz="0" w:space="0" w:color="auto"/>
        <w:right w:val="none" w:sz="0" w:space="0" w:color="auto"/>
      </w:divBdr>
    </w:div>
    <w:div w:id="215316980">
      <w:bodyDiv w:val="1"/>
      <w:marLeft w:val="0"/>
      <w:marRight w:val="0"/>
      <w:marTop w:val="0"/>
      <w:marBottom w:val="0"/>
      <w:divBdr>
        <w:top w:val="none" w:sz="0" w:space="0" w:color="auto"/>
        <w:left w:val="none" w:sz="0" w:space="0" w:color="auto"/>
        <w:bottom w:val="none" w:sz="0" w:space="0" w:color="auto"/>
        <w:right w:val="none" w:sz="0" w:space="0" w:color="auto"/>
      </w:divBdr>
      <w:divsChild>
        <w:div w:id="964121415">
          <w:marLeft w:val="0"/>
          <w:marRight w:val="0"/>
          <w:marTop w:val="0"/>
          <w:marBottom w:val="0"/>
          <w:divBdr>
            <w:top w:val="none" w:sz="0" w:space="0" w:color="auto"/>
            <w:left w:val="none" w:sz="0" w:space="0" w:color="auto"/>
            <w:bottom w:val="none" w:sz="0" w:space="0" w:color="auto"/>
            <w:right w:val="none" w:sz="0" w:space="0" w:color="auto"/>
          </w:divBdr>
          <w:divsChild>
            <w:div w:id="37171615">
              <w:marLeft w:val="0"/>
              <w:marRight w:val="0"/>
              <w:marTop w:val="0"/>
              <w:marBottom w:val="0"/>
              <w:divBdr>
                <w:top w:val="none" w:sz="0" w:space="0" w:color="auto"/>
                <w:left w:val="none" w:sz="0" w:space="0" w:color="auto"/>
                <w:bottom w:val="none" w:sz="0" w:space="0" w:color="auto"/>
                <w:right w:val="none" w:sz="0" w:space="0" w:color="auto"/>
              </w:divBdr>
              <w:divsChild>
                <w:div w:id="225337814">
                  <w:marLeft w:val="0"/>
                  <w:marRight w:val="0"/>
                  <w:marTop w:val="0"/>
                  <w:marBottom w:val="0"/>
                  <w:divBdr>
                    <w:top w:val="none" w:sz="0" w:space="0" w:color="auto"/>
                    <w:left w:val="none" w:sz="0" w:space="0" w:color="auto"/>
                    <w:bottom w:val="none" w:sz="0" w:space="0" w:color="auto"/>
                    <w:right w:val="none" w:sz="0" w:space="0" w:color="auto"/>
                  </w:divBdr>
                  <w:divsChild>
                    <w:div w:id="106066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569027">
          <w:marLeft w:val="0"/>
          <w:marRight w:val="0"/>
          <w:marTop w:val="0"/>
          <w:marBottom w:val="0"/>
          <w:divBdr>
            <w:top w:val="none" w:sz="0" w:space="0" w:color="auto"/>
            <w:left w:val="none" w:sz="0" w:space="0" w:color="auto"/>
            <w:bottom w:val="none" w:sz="0" w:space="0" w:color="auto"/>
            <w:right w:val="none" w:sz="0" w:space="0" w:color="auto"/>
          </w:divBdr>
          <w:divsChild>
            <w:div w:id="320892554">
              <w:marLeft w:val="0"/>
              <w:marRight w:val="0"/>
              <w:marTop w:val="0"/>
              <w:marBottom w:val="0"/>
              <w:divBdr>
                <w:top w:val="none" w:sz="0" w:space="0" w:color="auto"/>
                <w:left w:val="none" w:sz="0" w:space="0" w:color="auto"/>
                <w:bottom w:val="none" w:sz="0" w:space="0" w:color="auto"/>
                <w:right w:val="none" w:sz="0" w:space="0" w:color="auto"/>
              </w:divBdr>
              <w:divsChild>
                <w:div w:id="400442360">
                  <w:marLeft w:val="0"/>
                  <w:marRight w:val="0"/>
                  <w:marTop w:val="0"/>
                  <w:marBottom w:val="0"/>
                  <w:divBdr>
                    <w:top w:val="none" w:sz="0" w:space="0" w:color="auto"/>
                    <w:left w:val="none" w:sz="0" w:space="0" w:color="auto"/>
                    <w:bottom w:val="none" w:sz="0" w:space="0" w:color="auto"/>
                    <w:right w:val="none" w:sz="0" w:space="0" w:color="auto"/>
                  </w:divBdr>
                  <w:divsChild>
                    <w:div w:id="19219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495149">
      <w:bodyDiv w:val="1"/>
      <w:marLeft w:val="0"/>
      <w:marRight w:val="0"/>
      <w:marTop w:val="0"/>
      <w:marBottom w:val="0"/>
      <w:divBdr>
        <w:top w:val="none" w:sz="0" w:space="0" w:color="auto"/>
        <w:left w:val="none" w:sz="0" w:space="0" w:color="auto"/>
        <w:bottom w:val="none" w:sz="0" w:space="0" w:color="auto"/>
        <w:right w:val="none" w:sz="0" w:space="0" w:color="auto"/>
      </w:divBdr>
    </w:div>
    <w:div w:id="534317069">
      <w:bodyDiv w:val="1"/>
      <w:marLeft w:val="0"/>
      <w:marRight w:val="0"/>
      <w:marTop w:val="0"/>
      <w:marBottom w:val="0"/>
      <w:divBdr>
        <w:top w:val="none" w:sz="0" w:space="0" w:color="auto"/>
        <w:left w:val="none" w:sz="0" w:space="0" w:color="auto"/>
        <w:bottom w:val="none" w:sz="0" w:space="0" w:color="auto"/>
        <w:right w:val="none" w:sz="0" w:space="0" w:color="auto"/>
      </w:divBdr>
    </w:div>
    <w:div w:id="701905544">
      <w:bodyDiv w:val="1"/>
      <w:marLeft w:val="0"/>
      <w:marRight w:val="0"/>
      <w:marTop w:val="0"/>
      <w:marBottom w:val="0"/>
      <w:divBdr>
        <w:top w:val="none" w:sz="0" w:space="0" w:color="auto"/>
        <w:left w:val="none" w:sz="0" w:space="0" w:color="auto"/>
        <w:bottom w:val="none" w:sz="0" w:space="0" w:color="auto"/>
        <w:right w:val="none" w:sz="0" w:space="0" w:color="auto"/>
      </w:divBdr>
      <w:divsChild>
        <w:div w:id="788355754">
          <w:marLeft w:val="0"/>
          <w:marRight w:val="0"/>
          <w:marTop w:val="0"/>
          <w:marBottom w:val="0"/>
          <w:divBdr>
            <w:top w:val="none" w:sz="0" w:space="0" w:color="auto"/>
            <w:left w:val="none" w:sz="0" w:space="0" w:color="auto"/>
            <w:bottom w:val="none" w:sz="0" w:space="0" w:color="auto"/>
            <w:right w:val="none" w:sz="0" w:space="0" w:color="auto"/>
          </w:divBdr>
          <w:divsChild>
            <w:div w:id="1399549394">
              <w:marLeft w:val="0"/>
              <w:marRight w:val="0"/>
              <w:marTop w:val="0"/>
              <w:marBottom w:val="0"/>
              <w:divBdr>
                <w:top w:val="none" w:sz="0" w:space="0" w:color="auto"/>
                <w:left w:val="none" w:sz="0" w:space="0" w:color="auto"/>
                <w:bottom w:val="none" w:sz="0" w:space="0" w:color="auto"/>
                <w:right w:val="none" w:sz="0" w:space="0" w:color="auto"/>
              </w:divBdr>
              <w:divsChild>
                <w:div w:id="604001104">
                  <w:marLeft w:val="0"/>
                  <w:marRight w:val="0"/>
                  <w:marTop w:val="0"/>
                  <w:marBottom w:val="0"/>
                  <w:divBdr>
                    <w:top w:val="none" w:sz="0" w:space="0" w:color="auto"/>
                    <w:left w:val="none" w:sz="0" w:space="0" w:color="auto"/>
                    <w:bottom w:val="none" w:sz="0" w:space="0" w:color="auto"/>
                    <w:right w:val="none" w:sz="0" w:space="0" w:color="auto"/>
                  </w:divBdr>
                  <w:divsChild>
                    <w:div w:id="197166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64308">
          <w:marLeft w:val="0"/>
          <w:marRight w:val="0"/>
          <w:marTop w:val="0"/>
          <w:marBottom w:val="0"/>
          <w:divBdr>
            <w:top w:val="none" w:sz="0" w:space="0" w:color="auto"/>
            <w:left w:val="none" w:sz="0" w:space="0" w:color="auto"/>
            <w:bottom w:val="none" w:sz="0" w:space="0" w:color="auto"/>
            <w:right w:val="none" w:sz="0" w:space="0" w:color="auto"/>
          </w:divBdr>
          <w:divsChild>
            <w:div w:id="26108401">
              <w:marLeft w:val="0"/>
              <w:marRight w:val="0"/>
              <w:marTop w:val="0"/>
              <w:marBottom w:val="0"/>
              <w:divBdr>
                <w:top w:val="none" w:sz="0" w:space="0" w:color="auto"/>
                <w:left w:val="none" w:sz="0" w:space="0" w:color="auto"/>
                <w:bottom w:val="none" w:sz="0" w:space="0" w:color="auto"/>
                <w:right w:val="none" w:sz="0" w:space="0" w:color="auto"/>
              </w:divBdr>
              <w:divsChild>
                <w:div w:id="1904214613">
                  <w:marLeft w:val="0"/>
                  <w:marRight w:val="0"/>
                  <w:marTop w:val="0"/>
                  <w:marBottom w:val="0"/>
                  <w:divBdr>
                    <w:top w:val="none" w:sz="0" w:space="0" w:color="auto"/>
                    <w:left w:val="none" w:sz="0" w:space="0" w:color="auto"/>
                    <w:bottom w:val="none" w:sz="0" w:space="0" w:color="auto"/>
                    <w:right w:val="none" w:sz="0" w:space="0" w:color="auto"/>
                  </w:divBdr>
                  <w:divsChild>
                    <w:div w:id="148520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87376">
      <w:bodyDiv w:val="1"/>
      <w:marLeft w:val="0"/>
      <w:marRight w:val="0"/>
      <w:marTop w:val="0"/>
      <w:marBottom w:val="0"/>
      <w:divBdr>
        <w:top w:val="none" w:sz="0" w:space="0" w:color="auto"/>
        <w:left w:val="none" w:sz="0" w:space="0" w:color="auto"/>
        <w:bottom w:val="none" w:sz="0" w:space="0" w:color="auto"/>
        <w:right w:val="none" w:sz="0" w:space="0" w:color="auto"/>
      </w:divBdr>
    </w:div>
    <w:div w:id="1161698257">
      <w:bodyDiv w:val="1"/>
      <w:marLeft w:val="0"/>
      <w:marRight w:val="0"/>
      <w:marTop w:val="0"/>
      <w:marBottom w:val="0"/>
      <w:divBdr>
        <w:top w:val="none" w:sz="0" w:space="0" w:color="auto"/>
        <w:left w:val="none" w:sz="0" w:space="0" w:color="auto"/>
        <w:bottom w:val="none" w:sz="0" w:space="0" w:color="auto"/>
        <w:right w:val="none" w:sz="0" w:space="0" w:color="auto"/>
      </w:divBdr>
    </w:div>
    <w:div w:id="1268344781">
      <w:bodyDiv w:val="1"/>
      <w:marLeft w:val="0"/>
      <w:marRight w:val="0"/>
      <w:marTop w:val="0"/>
      <w:marBottom w:val="0"/>
      <w:divBdr>
        <w:top w:val="none" w:sz="0" w:space="0" w:color="auto"/>
        <w:left w:val="none" w:sz="0" w:space="0" w:color="auto"/>
        <w:bottom w:val="none" w:sz="0" w:space="0" w:color="auto"/>
        <w:right w:val="none" w:sz="0" w:space="0" w:color="auto"/>
      </w:divBdr>
    </w:div>
    <w:div w:id="1478568358">
      <w:bodyDiv w:val="1"/>
      <w:marLeft w:val="0"/>
      <w:marRight w:val="0"/>
      <w:marTop w:val="0"/>
      <w:marBottom w:val="0"/>
      <w:divBdr>
        <w:top w:val="none" w:sz="0" w:space="0" w:color="auto"/>
        <w:left w:val="none" w:sz="0" w:space="0" w:color="auto"/>
        <w:bottom w:val="none" w:sz="0" w:space="0" w:color="auto"/>
        <w:right w:val="none" w:sz="0" w:space="0" w:color="auto"/>
      </w:divBdr>
      <w:divsChild>
        <w:div w:id="1232231259">
          <w:marLeft w:val="0"/>
          <w:marRight w:val="0"/>
          <w:marTop w:val="0"/>
          <w:marBottom w:val="0"/>
          <w:divBdr>
            <w:top w:val="none" w:sz="0" w:space="0" w:color="auto"/>
            <w:left w:val="none" w:sz="0" w:space="0" w:color="auto"/>
            <w:bottom w:val="none" w:sz="0" w:space="0" w:color="auto"/>
            <w:right w:val="none" w:sz="0" w:space="0" w:color="auto"/>
          </w:divBdr>
          <w:divsChild>
            <w:div w:id="1161118500">
              <w:marLeft w:val="0"/>
              <w:marRight w:val="0"/>
              <w:marTop w:val="0"/>
              <w:marBottom w:val="0"/>
              <w:divBdr>
                <w:top w:val="none" w:sz="0" w:space="0" w:color="auto"/>
                <w:left w:val="none" w:sz="0" w:space="0" w:color="auto"/>
                <w:bottom w:val="none" w:sz="0" w:space="0" w:color="auto"/>
                <w:right w:val="none" w:sz="0" w:space="0" w:color="auto"/>
              </w:divBdr>
              <w:divsChild>
                <w:div w:id="1188712639">
                  <w:marLeft w:val="0"/>
                  <w:marRight w:val="0"/>
                  <w:marTop w:val="0"/>
                  <w:marBottom w:val="0"/>
                  <w:divBdr>
                    <w:top w:val="none" w:sz="0" w:space="0" w:color="auto"/>
                    <w:left w:val="none" w:sz="0" w:space="0" w:color="auto"/>
                    <w:bottom w:val="none" w:sz="0" w:space="0" w:color="auto"/>
                    <w:right w:val="none" w:sz="0" w:space="0" w:color="auto"/>
                  </w:divBdr>
                  <w:divsChild>
                    <w:div w:id="8177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5721">
          <w:marLeft w:val="0"/>
          <w:marRight w:val="0"/>
          <w:marTop w:val="0"/>
          <w:marBottom w:val="0"/>
          <w:divBdr>
            <w:top w:val="none" w:sz="0" w:space="0" w:color="auto"/>
            <w:left w:val="none" w:sz="0" w:space="0" w:color="auto"/>
            <w:bottom w:val="none" w:sz="0" w:space="0" w:color="auto"/>
            <w:right w:val="none" w:sz="0" w:space="0" w:color="auto"/>
          </w:divBdr>
          <w:divsChild>
            <w:div w:id="308561910">
              <w:marLeft w:val="0"/>
              <w:marRight w:val="0"/>
              <w:marTop w:val="0"/>
              <w:marBottom w:val="0"/>
              <w:divBdr>
                <w:top w:val="none" w:sz="0" w:space="0" w:color="auto"/>
                <w:left w:val="none" w:sz="0" w:space="0" w:color="auto"/>
                <w:bottom w:val="none" w:sz="0" w:space="0" w:color="auto"/>
                <w:right w:val="none" w:sz="0" w:space="0" w:color="auto"/>
              </w:divBdr>
              <w:divsChild>
                <w:div w:id="1607617255">
                  <w:marLeft w:val="0"/>
                  <w:marRight w:val="0"/>
                  <w:marTop w:val="0"/>
                  <w:marBottom w:val="0"/>
                  <w:divBdr>
                    <w:top w:val="none" w:sz="0" w:space="0" w:color="auto"/>
                    <w:left w:val="none" w:sz="0" w:space="0" w:color="auto"/>
                    <w:bottom w:val="none" w:sz="0" w:space="0" w:color="auto"/>
                    <w:right w:val="none" w:sz="0" w:space="0" w:color="auto"/>
                  </w:divBdr>
                  <w:divsChild>
                    <w:div w:id="15798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047834">
      <w:bodyDiv w:val="1"/>
      <w:marLeft w:val="0"/>
      <w:marRight w:val="0"/>
      <w:marTop w:val="0"/>
      <w:marBottom w:val="0"/>
      <w:divBdr>
        <w:top w:val="none" w:sz="0" w:space="0" w:color="auto"/>
        <w:left w:val="none" w:sz="0" w:space="0" w:color="auto"/>
        <w:bottom w:val="none" w:sz="0" w:space="0" w:color="auto"/>
        <w:right w:val="none" w:sz="0" w:space="0" w:color="auto"/>
      </w:divBdr>
    </w:div>
    <w:div w:id="1669627720">
      <w:bodyDiv w:val="1"/>
      <w:marLeft w:val="0"/>
      <w:marRight w:val="0"/>
      <w:marTop w:val="0"/>
      <w:marBottom w:val="0"/>
      <w:divBdr>
        <w:top w:val="none" w:sz="0" w:space="0" w:color="auto"/>
        <w:left w:val="none" w:sz="0" w:space="0" w:color="auto"/>
        <w:bottom w:val="none" w:sz="0" w:space="0" w:color="auto"/>
        <w:right w:val="none" w:sz="0" w:space="0" w:color="auto"/>
      </w:divBdr>
    </w:div>
    <w:div w:id="1773696470">
      <w:bodyDiv w:val="1"/>
      <w:marLeft w:val="0"/>
      <w:marRight w:val="0"/>
      <w:marTop w:val="0"/>
      <w:marBottom w:val="0"/>
      <w:divBdr>
        <w:top w:val="none" w:sz="0" w:space="0" w:color="auto"/>
        <w:left w:val="none" w:sz="0" w:space="0" w:color="auto"/>
        <w:bottom w:val="none" w:sz="0" w:space="0" w:color="auto"/>
        <w:right w:val="none" w:sz="0" w:space="0" w:color="auto"/>
      </w:divBdr>
    </w:div>
    <w:div w:id="2048138111">
      <w:bodyDiv w:val="1"/>
      <w:marLeft w:val="0"/>
      <w:marRight w:val="0"/>
      <w:marTop w:val="0"/>
      <w:marBottom w:val="0"/>
      <w:divBdr>
        <w:top w:val="none" w:sz="0" w:space="0" w:color="auto"/>
        <w:left w:val="none" w:sz="0" w:space="0" w:color="auto"/>
        <w:bottom w:val="none" w:sz="0" w:space="0" w:color="auto"/>
        <w:right w:val="none" w:sz="0" w:space="0" w:color="auto"/>
      </w:divBdr>
      <w:divsChild>
        <w:div w:id="1411931123">
          <w:marLeft w:val="0"/>
          <w:marRight w:val="0"/>
          <w:marTop w:val="0"/>
          <w:marBottom w:val="0"/>
          <w:divBdr>
            <w:top w:val="none" w:sz="0" w:space="0" w:color="auto"/>
            <w:left w:val="none" w:sz="0" w:space="0" w:color="auto"/>
            <w:bottom w:val="none" w:sz="0" w:space="0" w:color="auto"/>
            <w:right w:val="none" w:sz="0" w:space="0" w:color="auto"/>
          </w:divBdr>
          <w:divsChild>
            <w:div w:id="1563636358">
              <w:marLeft w:val="0"/>
              <w:marRight w:val="0"/>
              <w:marTop w:val="0"/>
              <w:marBottom w:val="0"/>
              <w:divBdr>
                <w:top w:val="none" w:sz="0" w:space="0" w:color="auto"/>
                <w:left w:val="none" w:sz="0" w:space="0" w:color="auto"/>
                <w:bottom w:val="none" w:sz="0" w:space="0" w:color="auto"/>
                <w:right w:val="none" w:sz="0" w:space="0" w:color="auto"/>
              </w:divBdr>
              <w:divsChild>
                <w:div w:id="776944319">
                  <w:marLeft w:val="0"/>
                  <w:marRight w:val="0"/>
                  <w:marTop w:val="0"/>
                  <w:marBottom w:val="0"/>
                  <w:divBdr>
                    <w:top w:val="none" w:sz="0" w:space="0" w:color="auto"/>
                    <w:left w:val="none" w:sz="0" w:space="0" w:color="auto"/>
                    <w:bottom w:val="none" w:sz="0" w:space="0" w:color="auto"/>
                    <w:right w:val="none" w:sz="0" w:space="0" w:color="auto"/>
                  </w:divBdr>
                  <w:divsChild>
                    <w:div w:id="87543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95997">
          <w:marLeft w:val="0"/>
          <w:marRight w:val="0"/>
          <w:marTop w:val="0"/>
          <w:marBottom w:val="0"/>
          <w:divBdr>
            <w:top w:val="none" w:sz="0" w:space="0" w:color="auto"/>
            <w:left w:val="none" w:sz="0" w:space="0" w:color="auto"/>
            <w:bottom w:val="none" w:sz="0" w:space="0" w:color="auto"/>
            <w:right w:val="none" w:sz="0" w:space="0" w:color="auto"/>
          </w:divBdr>
          <w:divsChild>
            <w:div w:id="1754662203">
              <w:marLeft w:val="0"/>
              <w:marRight w:val="0"/>
              <w:marTop w:val="0"/>
              <w:marBottom w:val="0"/>
              <w:divBdr>
                <w:top w:val="none" w:sz="0" w:space="0" w:color="auto"/>
                <w:left w:val="none" w:sz="0" w:space="0" w:color="auto"/>
                <w:bottom w:val="none" w:sz="0" w:space="0" w:color="auto"/>
                <w:right w:val="none" w:sz="0" w:space="0" w:color="auto"/>
              </w:divBdr>
              <w:divsChild>
                <w:div w:id="1996839341">
                  <w:marLeft w:val="0"/>
                  <w:marRight w:val="0"/>
                  <w:marTop w:val="0"/>
                  <w:marBottom w:val="0"/>
                  <w:divBdr>
                    <w:top w:val="none" w:sz="0" w:space="0" w:color="auto"/>
                    <w:left w:val="none" w:sz="0" w:space="0" w:color="auto"/>
                    <w:bottom w:val="none" w:sz="0" w:space="0" w:color="auto"/>
                    <w:right w:val="none" w:sz="0" w:space="0" w:color="auto"/>
                  </w:divBdr>
                  <w:divsChild>
                    <w:div w:id="29421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66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91f75b185dcb8166a549b3fb743088f">
  <xsd:schema xmlns:xsd="http://www.w3.org/2001/XMLSchema" xmlns:xs="http://www.w3.org/2001/XMLSchema" xmlns:p="http://schemas.microsoft.com/office/2006/metadata/properties" xmlns:ns3="0085e1a2-9cbf-4b92-866b-21f3c89040b6" targetNamespace="http://schemas.microsoft.com/office/2006/metadata/properties" ma:root="true" ma:fieldsID="36568894ac07e2f96327dad867fe2b6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9320105-7FB7-4801-8CCD-86A40ED5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1A926A-3246-46C5-88E3-CE480747BC01}">
  <ds:schemaRefs>
    <ds:schemaRef ds:uri="http://schemas.microsoft.com/sharepoint/v3/contenttype/forms"/>
  </ds:schemaRefs>
</ds:datastoreItem>
</file>

<file path=customXml/itemProps3.xml><?xml version="1.0" encoding="utf-8"?>
<ds:datastoreItem xmlns:ds="http://schemas.openxmlformats.org/officeDocument/2006/customXml" ds:itemID="{F1A74DD7-CD13-4CB7-805D-64BB0563B9F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3686</Words>
  <Characters>21532</Characters>
  <Application>Microsoft Office Word</Application>
  <DocSecurity>0</DocSecurity>
  <Lines>341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pointon</dc:creator>
  <cp:keywords/>
  <dc:description/>
  <cp:lastModifiedBy>Hannah Pointon (1707735)</cp:lastModifiedBy>
  <cp:revision>10</cp:revision>
  <dcterms:created xsi:type="dcterms:W3CDTF">2025-01-05T16:07:00Z</dcterms:created>
  <dcterms:modified xsi:type="dcterms:W3CDTF">2025-01-05T22:53:00Z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