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2"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3"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4"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5"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6"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7"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00000008" w14:textId="77777777" w:rsidR="00093FBE" w:rsidRDefault="00093FBE">
      <w:pPr>
        <w:pStyle w:val="Normal1"/>
        <w:spacing w:line="360" w:lineRule="auto"/>
        <w:jc w:val="center"/>
        <w:rPr>
          <w:rFonts w:ascii="Times New Roman" w:eastAsia="Times New Roman" w:hAnsi="Times New Roman" w:cs="Times New Roman"/>
          <w:b/>
          <w:sz w:val="48"/>
          <w:szCs w:val="48"/>
        </w:rPr>
      </w:pPr>
    </w:p>
    <w:p w14:paraId="209B2405" w14:textId="77777777" w:rsidR="006F19C9" w:rsidRDefault="00000000" w:rsidP="006F19C9">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International Financial Management</w:t>
      </w:r>
    </w:p>
    <w:p w14:paraId="59FEB71E" w14:textId="77777777" w:rsidR="006F19C9" w:rsidRDefault="006F19C9" w:rsidP="006F19C9">
      <w:pPr>
        <w:pStyle w:val="Normal1"/>
        <w:spacing w:line="360" w:lineRule="auto"/>
        <w:jc w:val="center"/>
        <w:rPr>
          <w:rFonts w:ascii="Times New Roman" w:eastAsia="Times New Roman" w:hAnsi="Times New Roman" w:cs="Times New Roman"/>
          <w:b/>
          <w:sz w:val="48"/>
          <w:szCs w:val="48"/>
        </w:rPr>
      </w:pPr>
    </w:p>
    <w:p w14:paraId="697D5BCC" w14:textId="77777777" w:rsidR="006F19C9" w:rsidRDefault="006F19C9">
      <w:pPr>
        <w:pStyle w:val="Normal1"/>
        <w:spacing w:line="360" w:lineRule="auto"/>
        <w:jc w:val="center"/>
        <w:rPr>
          <w:rFonts w:ascii="Times New Roman" w:eastAsia="Times New Roman" w:hAnsi="Times New Roman" w:cs="Times New Roman"/>
          <w:b/>
          <w:sz w:val="48"/>
          <w:szCs w:val="48"/>
        </w:rPr>
      </w:pPr>
    </w:p>
    <w:p w14:paraId="62A027DB" w14:textId="77777777" w:rsidR="006F19C9" w:rsidRDefault="006F19C9" w:rsidP="006F19C9">
      <w:pPr>
        <w:pStyle w:val="Normal1"/>
        <w:spacing w:line="360" w:lineRule="auto"/>
        <w:jc w:val="right"/>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Name: Alexandru Cretu</w:t>
      </w:r>
    </w:p>
    <w:p w14:paraId="00000009" w14:textId="73743DB6" w:rsidR="00093FBE" w:rsidRDefault="006F19C9" w:rsidP="006F19C9">
      <w:pPr>
        <w:pStyle w:val="Normal1"/>
        <w:spacing w:line="360" w:lineRule="auto"/>
        <w:jc w:val="right"/>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 2113196</w:t>
      </w:r>
      <w:r w:rsidR="00000000">
        <w:br w:type="page"/>
      </w:r>
    </w:p>
    <w:p w14:paraId="0000000A" w14:textId="77777777" w:rsidR="00093FBE"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id w:val="1460744070"/>
        <w:docPartObj>
          <w:docPartGallery w:val="Table of Contents"/>
          <w:docPartUnique/>
        </w:docPartObj>
      </w:sdtPr>
      <w:sdtContent>
        <w:p w14:paraId="0000000B" w14:textId="77777777" w:rsidR="00093FBE"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1vxwn6evnqme">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_1vxwn6evnqme \h </w:instrText>
          </w:r>
          <w:r>
            <w:fldChar w:fldCharType="separate"/>
          </w:r>
          <w:r>
            <w:rPr>
              <w:rFonts w:ascii="Times New Roman" w:eastAsia="Times New Roman" w:hAnsi="Times New Roman" w:cs="Times New Roman"/>
              <w:sz w:val="24"/>
              <w:szCs w:val="24"/>
            </w:rPr>
            <w:t>3</w:t>
          </w:r>
          <w:r>
            <w:fldChar w:fldCharType="end"/>
          </w:r>
        </w:p>
        <w:p w14:paraId="0000000C" w14:textId="77777777" w:rsidR="00093FBE"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xaazv244ouh8">
            <w:r>
              <w:rPr>
                <w:rFonts w:ascii="Times New Roman" w:eastAsia="Times New Roman" w:hAnsi="Times New Roman" w:cs="Times New Roman"/>
                <w:color w:val="000000"/>
                <w:sz w:val="24"/>
                <w:szCs w:val="24"/>
              </w:rPr>
              <w:t>International financial management:</w:t>
            </w:r>
            <w:r>
              <w:rPr>
                <w:rFonts w:ascii="Times New Roman" w:eastAsia="Times New Roman" w:hAnsi="Times New Roman" w:cs="Times New Roman"/>
                <w:color w:val="000000"/>
                <w:sz w:val="24"/>
                <w:szCs w:val="24"/>
              </w:rPr>
              <w:tab/>
            </w:r>
          </w:hyperlink>
          <w:r>
            <w:fldChar w:fldCharType="begin"/>
          </w:r>
          <w:r>
            <w:instrText xml:space="preserve"> PAGEREF _xaazv244ouh8 \h </w:instrText>
          </w:r>
          <w:r>
            <w:fldChar w:fldCharType="separate"/>
          </w:r>
          <w:r>
            <w:rPr>
              <w:rFonts w:ascii="Times New Roman" w:eastAsia="Times New Roman" w:hAnsi="Times New Roman" w:cs="Times New Roman"/>
              <w:sz w:val="24"/>
              <w:szCs w:val="24"/>
            </w:rPr>
            <w:t>3</w:t>
          </w:r>
          <w:r>
            <w:fldChar w:fldCharType="end"/>
          </w:r>
        </w:p>
        <w:p w14:paraId="0000000D" w14:textId="77777777" w:rsidR="00093FBE"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yyef3jko4l32">
            <w:r>
              <w:rPr>
                <w:rFonts w:ascii="Times New Roman" w:eastAsia="Times New Roman" w:hAnsi="Times New Roman" w:cs="Times New Roman"/>
                <w:color w:val="000000"/>
                <w:sz w:val="24"/>
                <w:szCs w:val="24"/>
              </w:rPr>
              <w:t>Foreign exchange risks for a multinational business:</w:t>
            </w:r>
            <w:r>
              <w:rPr>
                <w:rFonts w:ascii="Times New Roman" w:eastAsia="Times New Roman" w:hAnsi="Times New Roman" w:cs="Times New Roman"/>
                <w:color w:val="000000"/>
                <w:sz w:val="24"/>
                <w:szCs w:val="24"/>
              </w:rPr>
              <w:tab/>
            </w:r>
          </w:hyperlink>
          <w:r>
            <w:fldChar w:fldCharType="begin"/>
          </w:r>
          <w:r>
            <w:instrText xml:space="preserve"> PAGEREF _yyef3jko4l32 \h </w:instrText>
          </w:r>
          <w:r>
            <w:fldChar w:fldCharType="separate"/>
          </w:r>
          <w:r>
            <w:rPr>
              <w:rFonts w:ascii="Times New Roman" w:eastAsia="Times New Roman" w:hAnsi="Times New Roman" w:cs="Times New Roman"/>
              <w:sz w:val="24"/>
              <w:szCs w:val="24"/>
            </w:rPr>
            <w:t>3</w:t>
          </w:r>
          <w:r>
            <w:fldChar w:fldCharType="end"/>
          </w:r>
        </w:p>
        <w:p w14:paraId="0000000E" w14:textId="77777777" w:rsidR="00093FBE"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zffem623ch0j">
            <w:r>
              <w:rPr>
                <w:rFonts w:ascii="Times New Roman" w:eastAsia="Times New Roman" w:hAnsi="Times New Roman" w:cs="Times New Roman"/>
                <w:color w:val="000000"/>
                <w:sz w:val="24"/>
                <w:szCs w:val="24"/>
              </w:rPr>
              <w:t>Discuss various strategies of multinational business organisations for managing the risks regarding foreign exchange:</w:t>
            </w:r>
            <w:r>
              <w:rPr>
                <w:rFonts w:ascii="Times New Roman" w:eastAsia="Times New Roman" w:hAnsi="Times New Roman" w:cs="Times New Roman"/>
                <w:color w:val="000000"/>
                <w:sz w:val="24"/>
                <w:szCs w:val="24"/>
              </w:rPr>
              <w:tab/>
            </w:r>
          </w:hyperlink>
          <w:r>
            <w:fldChar w:fldCharType="begin"/>
          </w:r>
          <w:r>
            <w:instrText xml:space="preserve"> PAGEREF _zffem623ch0j \h </w:instrText>
          </w:r>
          <w:r>
            <w:fldChar w:fldCharType="separate"/>
          </w:r>
          <w:r>
            <w:rPr>
              <w:rFonts w:ascii="Times New Roman" w:eastAsia="Times New Roman" w:hAnsi="Times New Roman" w:cs="Times New Roman"/>
              <w:sz w:val="24"/>
              <w:szCs w:val="24"/>
            </w:rPr>
            <w:t>3</w:t>
          </w:r>
          <w:r>
            <w:fldChar w:fldCharType="end"/>
          </w:r>
        </w:p>
        <w:p w14:paraId="0000000F" w14:textId="77777777" w:rsidR="00093FBE" w:rsidRDefault="00000000">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8wzp9sf1o3wf">
            <w:r>
              <w:rPr>
                <w:rFonts w:ascii="Times New Roman" w:eastAsia="Times New Roman" w:hAnsi="Times New Roman" w:cs="Times New Roman"/>
                <w:color w:val="000000"/>
                <w:sz w:val="24"/>
                <w:szCs w:val="24"/>
              </w:rPr>
              <w:t>Diversification:</w:t>
            </w:r>
            <w:r>
              <w:rPr>
                <w:rFonts w:ascii="Times New Roman" w:eastAsia="Times New Roman" w:hAnsi="Times New Roman" w:cs="Times New Roman"/>
                <w:color w:val="000000"/>
                <w:sz w:val="24"/>
                <w:szCs w:val="24"/>
              </w:rPr>
              <w:tab/>
            </w:r>
          </w:hyperlink>
          <w:r>
            <w:fldChar w:fldCharType="begin"/>
          </w:r>
          <w:r>
            <w:instrText xml:space="preserve"> PAGEREF _8wzp9sf1o3wf \h </w:instrText>
          </w:r>
          <w:r>
            <w:fldChar w:fldCharType="separate"/>
          </w:r>
          <w:r>
            <w:rPr>
              <w:rFonts w:ascii="Times New Roman" w:eastAsia="Times New Roman" w:hAnsi="Times New Roman" w:cs="Times New Roman"/>
              <w:sz w:val="24"/>
              <w:szCs w:val="24"/>
            </w:rPr>
            <w:t>4</w:t>
          </w:r>
          <w:r>
            <w:fldChar w:fldCharType="end"/>
          </w:r>
        </w:p>
        <w:p w14:paraId="00000010" w14:textId="77777777" w:rsidR="00093FBE" w:rsidRDefault="00000000">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qytuainc7sbp">
            <w:r>
              <w:rPr>
                <w:rFonts w:ascii="Times New Roman" w:eastAsia="Times New Roman" w:hAnsi="Times New Roman" w:cs="Times New Roman"/>
                <w:color w:val="000000"/>
                <w:sz w:val="24"/>
                <w:szCs w:val="24"/>
              </w:rPr>
              <w:t>Operational hedging and hedging:</w:t>
            </w:r>
            <w:r>
              <w:rPr>
                <w:rFonts w:ascii="Times New Roman" w:eastAsia="Times New Roman" w:hAnsi="Times New Roman" w:cs="Times New Roman"/>
                <w:color w:val="000000"/>
                <w:sz w:val="24"/>
                <w:szCs w:val="24"/>
              </w:rPr>
              <w:tab/>
            </w:r>
          </w:hyperlink>
          <w:r>
            <w:fldChar w:fldCharType="begin"/>
          </w:r>
          <w:r>
            <w:instrText xml:space="preserve"> PAGEREF _qytuainc7sbp \h </w:instrText>
          </w:r>
          <w:r>
            <w:fldChar w:fldCharType="separate"/>
          </w:r>
          <w:r>
            <w:rPr>
              <w:rFonts w:ascii="Times New Roman" w:eastAsia="Times New Roman" w:hAnsi="Times New Roman" w:cs="Times New Roman"/>
              <w:sz w:val="24"/>
              <w:szCs w:val="24"/>
            </w:rPr>
            <w:t>4</w:t>
          </w:r>
          <w:r>
            <w:fldChar w:fldCharType="end"/>
          </w:r>
        </w:p>
        <w:p w14:paraId="00000011" w14:textId="77777777" w:rsidR="00093FBE" w:rsidRDefault="00000000">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lqtqqkmfp8kj">
            <w:r>
              <w:rPr>
                <w:rFonts w:ascii="Times New Roman" w:eastAsia="Times New Roman" w:hAnsi="Times New Roman" w:cs="Times New Roman"/>
                <w:color w:val="000000"/>
                <w:sz w:val="24"/>
                <w:szCs w:val="24"/>
              </w:rPr>
              <w:t>Netting:</w:t>
            </w:r>
            <w:r>
              <w:rPr>
                <w:rFonts w:ascii="Times New Roman" w:eastAsia="Times New Roman" w:hAnsi="Times New Roman" w:cs="Times New Roman"/>
                <w:color w:val="000000"/>
                <w:sz w:val="24"/>
                <w:szCs w:val="24"/>
              </w:rPr>
              <w:tab/>
            </w:r>
          </w:hyperlink>
          <w:r>
            <w:fldChar w:fldCharType="begin"/>
          </w:r>
          <w:r>
            <w:instrText xml:space="preserve"> PAGEREF _lqtqqkmfp8kj \h </w:instrText>
          </w:r>
          <w:r>
            <w:fldChar w:fldCharType="separate"/>
          </w:r>
          <w:r>
            <w:rPr>
              <w:rFonts w:ascii="Times New Roman" w:eastAsia="Times New Roman" w:hAnsi="Times New Roman" w:cs="Times New Roman"/>
              <w:sz w:val="24"/>
              <w:szCs w:val="24"/>
            </w:rPr>
            <w:t>5</w:t>
          </w:r>
          <w:r>
            <w:fldChar w:fldCharType="end"/>
          </w:r>
        </w:p>
        <w:p w14:paraId="00000012" w14:textId="77777777" w:rsidR="00093FBE" w:rsidRDefault="00000000">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xm4kka4n3vic">
            <w:r>
              <w:rPr>
                <w:rFonts w:ascii="Times New Roman" w:eastAsia="Times New Roman" w:hAnsi="Times New Roman" w:cs="Times New Roman"/>
                <w:color w:val="000000"/>
                <w:sz w:val="24"/>
                <w:szCs w:val="24"/>
              </w:rPr>
              <w:t>Lagging and leading:</w:t>
            </w:r>
            <w:r>
              <w:rPr>
                <w:rFonts w:ascii="Times New Roman" w:eastAsia="Times New Roman" w:hAnsi="Times New Roman" w:cs="Times New Roman"/>
                <w:color w:val="000000"/>
                <w:sz w:val="24"/>
                <w:szCs w:val="24"/>
              </w:rPr>
              <w:tab/>
            </w:r>
          </w:hyperlink>
          <w:r>
            <w:fldChar w:fldCharType="begin"/>
          </w:r>
          <w:r>
            <w:instrText xml:space="preserve"> PAGEREF _xm4kka4n3vic \h </w:instrText>
          </w:r>
          <w:r>
            <w:fldChar w:fldCharType="separate"/>
          </w:r>
          <w:r>
            <w:rPr>
              <w:rFonts w:ascii="Times New Roman" w:eastAsia="Times New Roman" w:hAnsi="Times New Roman" w:cs="Times New Roman"/>
              <w:sz w:val="24"/>
              <w:szCs w:val="24"/>
            </w:rPr>
            <w:t>5</w:t>
          </w:r>
          <w:r>
            <w:fldChar w:fldCharType="end"/>
          </w:r>
        </w:p>
        <w:p w14:paraId="00000013" w14:textId="77777777" w:rsidR="00093FBE" w:rsidRDefault="00000000">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uxkolcz3bdif">
            <w:r>
              <w:rPr>
                <w:rFonts w:ascii="Times New Roman" w:eastAsia="Times New Roman" w:hAnsi="Times New Roman" w:cs="Times New Roman"/>
                <w:color w:val="000000"/>
                <w:sz w:val="24"/>
                <w:szCs w:val="24"/>
              </w:rPr>
              <w:t>Forward contractors:</w:t>
            </w:r>
            <w:r>
              <w:rPr>
                <w:rFonts w:ascii="Times New Roman" w:eastAsia="Times New Roman" w:hAnsi="Times New Roman" w:cs="Times New Roman"/>
                <w:color w:val="000000"/>
                <w:sz w:val="24"/>
                <w:szCs w:val="24"/>
              </w:rPr>
              <w:tab/>
            </w:r>
          </w:hyperlink>
          <w:r>
            <w:fldChar w:fldCharType="begin"/>
          </w:r>
          <w:r>
            <w:instrText xml:space="preserve"> PAGEREF _uxkolcz3bdif \h </w:instrText>
          </w:r>
          <w:r>
            <w:fldChar w:fldCharType="separate"/>
          </w:r>
          <w:r>
            <w:rPr>
              <w:rFonts w:ascii="Times New Roman" w:eastAsia="Times New Roman" w:hAnsi="Times New Roman" w:cs="Times New Roman"/>
              <w:sz w:val="24"/>
              <w:szCs w:val="24"/>
            </w:rPr>
            <w:t>6</w:t>
          </w:r>
          <w:r>
            <w:fldChar w:fldCharType="end"/>
          </w:r>
        </w:p>
        <w:p w14:paraId="00000014" w14:textId="77777777" w:rsidR="00093FBE" w:rsidRDefault="00000000">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elr1wswx5gjw">
            <w:r>
              <w:rPr>
                <w:rFonts w:ascii="Times New Roman" w:eastAsia="Times New Roman" w:hAnsi="Times New Roman" w:cs="Times New Roman"/>
                <w:color w:val="000000"/>
                <w:sz w:val="24"/>
                <w:szCs w:val="24"/>
              </w:rPr>
              <w:t>Translation risk management:</w:t>
            </w:r>
            <w:r>
              <w:rPr>
                <w:rFonts w:ascii="Times New Roman" w:eastAsia="Times New Roman" w:hAnsi="Times New Roman" w:cs="Times New Roman"/>
                <w:color w:val="000000"/>
                <w:sz w:val="24"/>
                <w:szCs w:val="24"/>
              </w:rPr>
              <w:tab/>
            </w:r>
          </w:hyperlink>
          <w:r>
            <w:fldChar w:fldCharType="begin"/>
          </w:r>
          <w:r>
            <w:instrText xml:space="preserve"> PAGEREF _elr1wswx5gjw \h </w:instrText>
          </w:r>
          <w:r>
            <w:fldChar w:fldCharType="separate"/>
          </w:r>
          <w:r>
            <w:rPr>
              <w:rFonts w:ascii="Times New Roman" w:eastAsia="Times New Roman" w:hAnsi="Times New Roman" w:cs="Times New Roman"/>
              <w:sz w:val="24"/>
              <w:szCs w:val="24"/>
            </w:rPr>
            <w:t>6</w:t>
          </w:r>
          <w:r>
            <w:fldChar w:fldCharType="end"/>
          </w:r>
        </w:p>
        <w:p w14:paraId="00000015" w14:textId="77777777" w:rsidR="00093FBE"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4z4iqsomcey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_4z4iqsomcey1 \h </w:instrText>
          </w:r>
          <w:r>
            <w:fldChar w:fldCharType="separate"/>
          </w:r>
          <w:r>
            <w:rPr>
              <w:rFonts w:ascii="Times New Roman" w:eastAsia="Times New Roman" w:hAnsi="Times New Roman" w:cs="Times New Roman"/>
              <w:sz w:val="24"/>
              <w:szCs w:val="24"/>
            </w:rPr>
            <w:t>6</w:t>
          </w:r>
          <w:r>
            <w:fldChar w:fldCharType="end"/>
          </w:r>
          <w:r>
            <w:fldChar w:fldCharType="end"/>
          </w:r>
        </w:p>
      </w:sdtContent>
    </w:sdt>
    <w:p w14:paraId="00000016" w14:textId="77777777" w:rsidR="00093FBE" w:rsidRDefault="00000000">
      <w:pPr>
        <w:pStyle w:val="Normal1"/>
        <w:spacing w:line="360" w:lineRule="auto"/>
        <w:jc w:val="center"/>
        <w:rPr>
          <w:rFonts w:ascii="Times New Roman" w:eastAsia="Times New Roman" w:hAnsi="Times New Roman" w:cs="Times New Roman"/>
          <w:b/>
          <w:sz w:val="24"/>
          <w:szCs w:val="24"/>
        </w:rPr>
      </w:pPr>
      <w:r>
        <w:br w:type="page"/>
      </w:r>
    </w:p>
    <w:p w14:paraId="00000017" w14:textId="0B4AE15B" w:rsidR="00093FBE" w:rsidRDefault="006F19C9" w:rsidP="006F19C9">
      <w:pPr>
        <w:pStyle w:val="Heading1"/>
        <w:spacing w:line="360" w:lineRule="auto"/>
        <w:jc w:val="center"/>
        <w:rPr>
          <w:rFonts w:ascii="Times New Roman" w:eastAsia="Times New Roman" w:hAnsi="Times New Roman" w:cs="Times New Roman"/>
          <w:b/>
          <w:sz w:val="24"/>
          <w:szCs w:val="24"/>
        </w:rPr>
      </w:pPr>
      <w:bookmarkStart w:id="0" w:name="_1vxwn6evnqme" w:colFirst="0" w:colLast="0"/>
      <w:bookmarkEnd w:id="0"/>
      <w:r>
        <w:rPr>
          <w:rFonts w:ascii="Times New Roman" w:eastAsia="Times New Roman" w:hAnsi="Times New Roman" w:cs="Times New Roman"/>
          <w:b/>
          <w:sz w:val="24"/>
          <w:szCs w:val="24"/>
        </w:rPr>
        <w:lastRenderedPageBreak/>
        <w:t xml:space="preserve">INTRODUCTION: </w:t>
      </w:r>
    </w:p>
    <w:p w14:paraId="38DF46C2" w14:textId="77777777" w:rsidR="006F19C9" w:rsidRPr="006F19C9" w:rsidRDefault="006F19C9" w:rsidP="006F19C9">
      <w:pPr>
        <w:pStyle w:val="Normal1"/>
      </w:pPr>
    </w:p>
    <w:p w14:paraId="00000018"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through making a report is going to discuss the theories based on various kinds of international financial management. With that, this study is going to evaluate international financial management and the foreign exchange risks of any kind of multinational business organisation. Along with that, this report has the purpose of highlighting various kinds of strategies that many multinational business organisations could adopt in their business organisation for the exposure to the risks related to foreign exchange. </w:t>
      </w:r>
    </w:p>
    <w:p w14:paraId="00000019" w14:textId="77777777" w:rsidR="00093FBE" w:rsidRDefault="00000000" w:rsidP="006F19C9">
      <w:pPr>
        <w:pStyle w:val="Heading1"/>
        <w:spacing w:line="360" w:lineRule="auto"/>
        <w:jc w:val="center"/>
        <w:rPr>
          <w:rFonts w:ascii="Times New Roman" w:eastAsia="Times New Roman" w:hAnsi="Times New Roman" w:cs="Times New Roman"/>
          <w:b/>
          <w:sz w:val="24"/>
          <w:szCs w:val="24"/>
        </w:rPr>
      </w:pPr>
      <w:bookmarkStart w:id="1" w:name="_xaazv244ouh8" w:colFirst="0" w:colLast="0"/>
      <w:bookmarkEnd w:id="1"/>
      <w:r>
        <w:rPr>
          <w:rFonts w:ascii="Times New Roman" w:eastAsia="Times New Roman" w:hAnsi="Times New Roman" w:cs="Times New Roman"/>
          <w:b/>
          <w:sz w:val="24"/>
          <w:szCs w:val="24"/>
        </w:rPr>
        <w:t>International financial management:</w:t>
      </w:r>
    </w:p>
    <w:p w14:paraId="5D796FDB" w14:textId="77777777" w:rsidR="006F19C9" w:rsidRPr="006F19C9" w:rsidRDefault="006F19C9" w:rsidP="006F19C9">
      <w:pPr>
        <w:pStyle w:val="Normal1"/>
      </w:pPr>
    </w:p>
    <w:p w14:paraId="0000001A"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financial management is the style of management which involves the key and main goal of maximising the value of any kind of business organisation. Along with that, it is one of the growing importance for any kind of business. Other than that, international financial management helps any kind of business to make proper decisions (</w:t>
      </w:r>
      <w:r>
        <w:rPr>
          <w:rFonts w:ascii="Times New Roman" w:eastAsia="Times New Roman" w:hAnsi="Times New Roman" w:cs="Times New Roman"/>
          <w:color w:val="222222"/>
          <w:sz w:val="24"/>
          <w:szCs w:val="24"/>
          <w:highlight w:val="white"/>
        </w:rPr>
        <w:t xml:space="preserve">Madura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p>
    <w:p w14:paraId="0000001B" w14:textId="77777777" w:rsidR="00093FBE" w:rsidRDefault="00000000" w:rsidP="006F19C9">
      <w:pPr>
        <w:pStyle w:val="Heading1"/>
        <w:spacing w:line="360" w:lineRule="auto"/>
        <w:jc w:val="center"/>
        <w:rPr>
          <w:rFonts w:ascii="Times New Roman" w:eastAsia="Times New Roman" w:hAnsi="Times New Roman" w:cs="Times New Roman"/>
          <w:b/>
          <w:sz w:val="24"/>
          <w:szCs w:val="24"/>
        </w:rPr>
      </w:pPr>
      <w:bookmarkStart w:id="2" w:name="_yyef3jko4l32" w:colFirst="0" w:colLast="0"/>
      <w:bookmarkEnd w:id="2"/>
      <w:r>
        <w:rPr>
          <w:rFonts w:ascii="Times New Roman" w:eastAsia="Times New Roman" w:hAnsi="Times New Roman" w:cs="Times New Roman"/>
          <w:b/>
          <w:sz w:val="24"/>
          <w:szCs w:val="24"/>
        </w:rPr>
        <w:t>Foreign exchange risks for a multinational business:</w:t>
      </w:r>
    </w:p>
    <w:p w14:paraId="03B188E8" w14:textId="77777777" w:rsidR="006F19C9" w:rsidRPr="006F19C9" w:rsidRDefault="006F19C9" w:rsidP="006F19C9">
      <w:pPr>
        <w:pStyle w:val="Normal1"/>
      </w:pPr>
    </w:p>
    <w:p w14:paraId="0000001C" w14:textId="77777777" w:rsidR="00093FBE" w:rsidRDefault="00000000" w:rsidP="006F19C9">
      <w:pPr>
        <w:pStyle w:val="Normal1"/>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Foreign exchange risks are the unsystematic risks for any kind of multinational business. It happens mainly because of the fluctuation of the exchange rates. With that, there are various kinds of risks related to foreign exchange, a multinational business organisation faces in the whole business organisation. Other than that, foreign exchange risks for a multinational business are translation risks, competitive risks, strategic risks, transaction risks, economic risks, and political risks (</w:t>
      </w:r>
      <w:r>
        <w:rPr>
          <w:rFonts w:ascii="Times New Roman" w:eastAsia="Times New Roman" w:hAnsi="Times New Roman" w:cs="Times New Roman"/>
          <w:color w:val="222222"/>
          <w:sz w:val="24"/>
          <w:szCs w:val="24"/>
          <w:highlight w:val="white"/>
        </w:rPr>
        <w:t>Corporate Finance Institute, 2023)</w:t>
      </w:r>
      <w:r>
        <w:rPr>
          <w:rFonts w:ascii="Times New Roman" w:eastAsia="Times New Roman" w:hAnsi="Times New Roman" w:cs="Times New Roman"/>
          <w:sz w:val="24"/>
          <w:szCs w:val="24"/>
        </w:rPr>
        <w:t xml:space="preserve">.    </w:t>
      </w:r>
    </w:p>
    <w:p w14:paraId="0000001D" w14:textId="77777777" w:rsidR="00093FBE" w:rsidRDefault="00000000" w:rsidP="006F19C9">
      <w:pPr>
        <w:pStyle w:val="Heading1"/>
        <w:spacing w:line="360" w:lineRule="auto"/>
        <w:ind w:firstLine="720"/>
        <w:jc w:val="center"/>
        <w:rPr>
          <w:rFonts w:ascii="Times New Roman" w:eastAsia="Times New Roman" w:hAnsi="Times New Roman" w:cs="Times New Roman"/>
          <w:b/>
          <w:sz w:val="24"/>
          <w:szCs w:val="24"/>
        </w:rPr>
      </w:pPr>
      <w:bookmarkStart w:id="3" w:name="_zffem623ch0j" w:colFirst="0" w:colLast="0"/>
      <w:bookmarkEnd w:id="3"/>
      <w:r>
        <w:rPr>
          <w:rFonts w:ascii="Times New Roman" w:eastAsia="Times New Roman" w:hAnsi="Times New Roman" w:cs="Times New Roman"/>
          <w:b/>
          <w:sz w:val="24"/>
          <w:szCs w:val="24"/>
        </w:rPr>
        <w:t>Discuss various strategies of multinational business organisations for managing the risks regarding foreign exchange:</w:t>
      </w:r>
    </w:p>
    <w:p w14:paraId="687E7DD8" w14:textId="77777777" w:rsidR="006F19C9" w:rsidRPr="006F19C9" w:rsidRDefault="006F19C9" w:rsidP="006F19C9">
      <w:pPr>
        <w:pStyle w:val="Normal1"/>
      </w:pPr>
    </w:p>
    <w:p w14:paraId="0000001E"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kind of multinational business organisation for exposing to various foreign exchanges faces a lot of risks related to foreign exchange. Therefore, managing any type of foreign exchange risks in the business organisation is one of the important and key tasks for any kind of multinational </w:t>
      </w:r>
      <w:r>
        <w:rPr>
          <w:rFonts w:ascii="Times New Roman" w:eastAsia="Times New Roman" w:hAnsi="Times New Roman" w:cs="Times New Roman"/>
          <w:sz w:val="24"/>
          <w:szCs w:val="24"/>
        </w:rPr>
        <w:lastRenderedPageBreak/>
        <w:t>business organisation. Not only that, it is one of the key aspects in the area of international financial management. Therefore, any type of multinational business organisation for managing those risks related to foreign exchanges adopts various kinds of strategies in their whale business organisation. Along with that, these various kinds of strategies of the business organisations are influenced by different kinds of international financial management theories such as purchasing power parity, interest rate parity, international fisher effect, capital asset pricing model, and many other kinds of theories (</w:t>
      </w:r>
      <w:r>
        <w:rPr>
          <w:rFonts w:ascii="Times New Roman" w:eastAsia="Times New Roman" w:hAnsi="Times New Roman" w:cs="Times New Roman"/>
          <w:color w:val="222222"/>
          <w:sz w:val="24"/>
          <w:szCs w:val="24"/>
          <w:highlight w:val="white"/>
        </w:rPr>
        <w:t>Tipalti, 2023)</w:t>
      </w:r>
      <w:r>
        <w:rPr>
          <w:rFonts w:ascii="Times New Roman" w:eastAsia="Times New Roman" w:hAnsi="Times New Roman" w:cs="Times New Roman"/>
          <w:sz w:val="24"/>
          <w:szCs w:val="24"/>
        </w:rPr>
        <w:t xml:space="preserve">. With that, any type of multinational business organisation adopts various kinds of strategies in the business to mitigate the foreign exchange risks such as hedging and operational hedging, diversification, netting, lagging as well as leading, translation exposure management, invoicing in local currency, forward contractors, and political risk insurance.     </w:t>
      </w:r>
    </w:p>
    <w:p w14:paraId="0000001F" w14:textId="77777777" w:rsidR="00093FBE" w:rsidRDefault="00000000" w:rsidP="006F19C9">
      <w:pPr>
        <w:pStyle w:val="Heading2"/>
        <w:spacing w:line="360" w:lineRule="auto"/>
        <w:jc w:val="center"/>
        <w:rPr>
          <w:rFonts w:ascii="Times New Roman" w:eastAsia="Times New Roman" w:hAnsi="Times New Roman" w:cs="Times New Roman"/>
          <w:b/>
          <w:sz w:val="24"/>
          <w:szCs w:val="24"/>
        </w:rPr>
      </w:pPr>
      <w:bookmarkStart w:id="4" w:name="_8wzp9sf1o3wf" w:colFirst="0" w:colLast="0"/>
      <w:bookmarkEnd w:id="4"/>
      <w:r>
        <w:rPr>
          <w:rFonts w:ascii="Times New Roman" w:eastAsia="Times New Roman" w:hAnsi="Times New Roman" w:cs="Times New Roman"/>
          <w:b/>
          <w:sz w:val="24"/>
          <w:szCs w:val="24"/>
        </w:rPr>
        <w:t>Diversification:</w:t>
      </w:r>
    </w:p>
    <w:p w14:paraId="4C30482E" w14:textId="77777777" w:rsidR="006F19C9" w:rsidRPr="006F19C9" w:rsidRDefault="006F19C9" w:rsidP="006F19C9">
      <w:pPr>
        <w:pStyle w:val="Normal1"/>
      </w:pPr>
    </w:p>
    <w:p w14:paraId="00000020"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 is one of the key strategies for any type of multinational business to mitigate the risks related to foreign exchange. Diversification is a strategy which comes from the theory of competitive advantage. Other than that, competitive advantage theory is a sustainable as well as effective strategy for mitigating the foreign exchange risks (</w:t>
      </w:r>
      <w:r>
        <w:rPr>
          <w:rFonts w:ascii="Times New Roman" w:eastAsia="Times New Roman" w:hAnsi="Times New Roman" w:cs="Times New Roman"/>
          <w:color w:val="222222"/>
          <w:sz w:val="24"/>
          <w:szCs w:val="24"/>
          <w:highlight w:val="white"/>
        </w:rPr>
        <w:t>Karanja, 2017)</w:t>
      </w:r>
      <w:r>
        <w:rPr>
          <w:rFonts w:ascii="Times New Roman" w:eastAsia="Times New Roman" w:hAnsi="Times New Roman" w:cs="Times New Roman"/>
          <w:sz w:val="24"/>
          <w:szCs w:val="24"/>
        </w:rPr>
        <w:t>. Along with that, through diversification, any multinational business is able to make an effective and proper diversification of all types of operational activities of the business organisation across different kinds of countries as well as foreign currencies. Not only that, through this diversification, any multinational business is able to reduce the exposure to the fluctuation in any kind of currency by spreading the risks as well as building a stable financial portfolio (</w:t>
      </w:r>
      <w:r>
        <w:rPr>
          <w:rFonts w:ascii="Times New Roman" w:eastAsia="Times New Roman" w:hAnsi="Times New Roman" w:cs="Times New Roman"/>
          <w:color w:val="222222"/>
          <w:sz w:val="24"/>
          <w:szCs w:val="24"/>
          <w:highlight w:val="white"/>
        </w:rPr>
        <w:t>Tipalti, 2023)</w:t>
      </w:r>
      <w:r>
        <w:rPr>
          <w:rFonts w:ascii="Times New Roman" w:eastAsia="Times New Roman" w:hAnsi="Times New Roman" w:cs="Times New Roman"/>
          <w:sz w:val="24"/>
          <w:szCs w:val="24"/>
        </w:rPr>
        <w:t>. For example, the business organisation of Toyota Motor Corporation with the help of the diversification strategy, is able to operate in all the sales offices as well as manufacturing plants in multiple countries in an effective and efficient manner. Therefore, the company spread their operational activities across various currencies to diversify the foreign exchange risks (</w:t>
      </w:r>
      <w:r>
        <w:rPr>
          <w:rFonts w:ascii="Times New Roman" w:eastAsia="Times New Roman" w:hAnsi="Times New Roman" w:cs="Times New Roman"/>
          <w:color w:val="222222"/>
          <w:sz w:val="24"/>
          <w:szCs w:val="24"/>
          <w:highlight w:val="white"/>
        </w:rPr>
        <w:t>Researchgate, 2022)</w:t>
      </w:r>
      <w:r>
        <w:rPr>
          <w:rFonts w:ascii="Times New Roman" w:eastAsia="Times New Roman" w:hAnsi="Times New Roman" w:cs="Times New Roman"/>
          <w:sz w:val="24"/>
          <w:szCs w:val="24"/>
        </w:rPr>
        <w:t xml:space="preserve">.            </w:t>
      </w:r>
    </w:p>
    <w:p w14:paraId="00000021" w14:textId="77777777" w:rsidR="00093FBE" w:rsidRDefault="00000000" w:rsidP="006F19C9">
      <w:pPr>
        <w:pStyle w:val="Heading2"/>
        <w:spacing w:line="360" w:lineRule="auto"/>
        <w:jc w:val="center"/>
        <w:rPr>
          <w:rFonts w:ascii="Times New Roman" w:eastAsia="Times New Roman" w:hAnsi="Times New Roman" w:cs="Times New Roman"/>
          <w:b/>
          <w:sz w:val="24"/>
          <w:szCs w:val="24"/>
        </w:rPr>
      </w:pPr>
      <w:bookmarkStart w:id="5" w:name="_qytuainc7sbp" w:colFirst="0" w:colLast="0"/>
      <w:bookmarkEnd w:id="5"/>
      <w:r>
        <w:rPr>
          <w:rFonts w:ascii="Times New Roman" w:eastAsia="Times New Roman" w:hAnsi="Times New Roman" w:cs="Times New Roman"/>
          <w:b/>
          <w:sz w:val="24"/>
          <w:szCs w:val="24"/>
        </w:rPr>
        <w:t>Operational hedging and hedging:</w:t>
      </w:r>
    </w:p>
    <w:p w14:paraId="0D4ACFA4" w14:textId="77777777" w:rsidR="006F19C9" w:rsidRPr="006F19C9" w:rsidRDefault="006F19C9" w:rsidP="006F19C9">
      <w:pPr>
        <w:pStyle w:val="Normal1"/>
      </w:pPr>
    </w:p>
    <w:p w14:paraId="00000022"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Operational hedging as we as hedging is another important strategy that any multinational business organisation adopts in their business organisation to mitigate the exposure of the business </w:t>
      </w:r>
      <w:r>
        <w:rPr>
          <w:rFonts w:ascii="Times New Roman" w:eastAsia="Times New Roman" w:hAnsi="Times New Roman" w:cs="Times New Roman"/>
          <w:sz w:val="24"/>
          <w:szCs w:val="24"/>
        </w:rPr>
        <w:lastRenderedPageBreak/>
        <w:t>to foreign exchange risks. Along with that, operations hedging and hedging is the strategy which comes from the theory of purchasing power parity and real options theory. Other than that, purchasing power parity is the theory which is an essential value for the overshooting of the exchange rates to improve the estimation (</w:t>
      </w:r>
      <w:r>
        <w:rPr>
          <w:rFonts w:ascii="Times New Roman" w:eastAsia="Times New Roman" w:hAnsi="Times New Roman" w:cs="Times New Roman"/>
          <w:color w:val="222222"/>
          <w:sz w:val="24"/>
          <w:szCs w:val="24"/>
          <w:highlight w:val="white"/>
        </w:rPr>
        <w:t>Taylor and Taylor, 2022)</w:t>
      </w:r>
      <w:r>
        <w:rPr>
          <w:rFonts w:ascii="Times New Roman" w:eastAsia="Times New Roman" w:hAnsi="Times New Roman" w:cs="Times New Roman"/>
          <w:sz w:val="24"/>
          <w:szCs w:val="24"/>
        </w:rPr>
        <w:t>. Real options theory is the theory which helps any kind of business organisation to get a theoretical explanation for the regionalisation phenomenon using all the real options (</w:t>
      </w:r>
      <w:r>
        <w:rPr>
          <w:rFonts w:ascii="Times New Roman" w:eastAsia="Times New Roman" w:hAnsi="Times New Roman" w:cs="Times New Roman"/>
          <w:color w:val="222222"/>
          <w:sz w:val="24"/>
          <w:szCs w:val="24"/>
          <w:highlight w:val="white"/>
        </w:rPr>
        <w:t>Li and Rugman, 2017)</w:t>
      </w:r>
      <w:r>
        <w:rPr>
          <w:rFonts w:ascii="Times New Roman" w:eastAsia="Times New Roman" w:hAnsi="Times New Roman" w:cs="Times New Roman"/>
          <w:sz w:val="24"/>
          <w:szCs w:val="24"/>
        </w:rPr>
        <w:t>. Along with that, through hedging, a multinational business is able to make a protection against any kind of adverse movement in the exchange rates by locking on a predetermined price rate. With that, through operational hedging, any multinational business organisation is able to adapt to any kind of changes by minimising the currency risks as well as souring all kinds of inputs in a local manner (</w:t>
      </w:r>
      <w:r>
        <w:rPr>
          <w:rFonts w:ascii="Times New Roman" w:eastAsia="Times New Roman" w:hAnsi="Times New Roman" w:cs="Times New Roman"/>
          <w:color w:val="222222"/>
          <w:sz w:val="24"/>
          <w:szCs w:val="24"/>
          <w:highlight w:val="white"/>
        </w:rPr>
        <w:t>Tipalti, 2023)</w:t>
      </w:r>
      <w:r>
        <w:rPr>
          <w:rFonts w:ascii="Times New Roman" w:eastAsia="Times New Roman" w:hAnsi="Times New Roman" w:cs="Times New Roman"/>
          <w:sz w:val="24"/>
          <w:szCs w:val="24"/>
        </w:rPr>
        <w:t>. For example, the business organisation of Nike uses a hedging strategy in the organisation to mitigate all types of risks related to foreign exchange. Not only that, the company uses a hedging strategy to manage the fluctuations of the foreign currencies in a careful and effective manner for protecting the profit margin of the company (</w:t>
      </w:r>
      <w:r>
        <w:rPr>
          <w:rFonts w:ascii="Times New Roman" w:eastAsia="Times New Roman" w:hAnsi="Times New Roman" w:cs="Times New Roman"/>
          <w:color w:val="222222"/>
          <w:sz w:val="24"/>
          <w:szCs w:val="24"/>
          <w:highlight w:val="white"/>
        </w:rPr>
        <w:t>Sec Gov, 2022)</w:t>
      </w:r>
      <w:r>
        <w:rPr>
          <w:rFonts w:ascii="Times New Roman" w:eastAsia="Times New Roman" w:hAnsi="Times New Roman" w:cs="Times New Roman"/>
          <w:sz w:val="24"/>
          <w:szCs w:val="24"/>
        </w:rPr>
        <w:t xml:space="preserve">.                  </w:t>
      </w:r>
    </w:p>
    <w:p w14:paraId="00000023" w14:textId="77777777" w:rsidR="00093FBE" w:rsidRDefault="00000000" w:rsidP="006F19C9">
      <w:pPr>
        <w:pStyle w:val="Heading2"/>
        <w:spacing w:line="360" w:lineRule="auto"/>
        <w:jc w:val="center"/>
        <w:rPr>
          <w:rFonts w:ascii="Times New Roman" w:eastAsia="Times New Roman" w:hAnsi="Times New Roman" w:cs="Times New Roman"/>
          <w:b/>
          <w:sz w:val="24"/>
          <w:szCs w:val="24"/>
        </w:rPr>
      </w:pPr>
      <w:bookmarkStart w:id="6" w:name="_lqtqqkmfp8kj" w:colFirst="0" w:colLast="0"/>
      <w:bookmarkEnd w:id="6"/>
      <w:r>
        <w:rPr>
          <w:rFonts w:ascii="Times New Roman" w:eastAsia="Times New Roman" w:hAnsi="Times New Roman" w:cs="Times New Roman"/>
          <w:b/>
          <w:sz w:val="24"/>
          <w:szCs w:val="24"/>
        </w:rPr>
        <w:t>Netting:</w:t>
      </w:r>
    </w:p>
    <w:p w14:paraId="1D0C2D3E" w14:textId="77777777" w:rsidR="006F19C9" w:rsidRPr="006F19C9" w:rsidRDefault="006F19C9" w:rsidP="006F19C9">
      <w:pPr>
        <w:pStyle w:val="Normal1"/>
      </w:pPr>
    </w:p>
    <w:p w14:paraId="00000024"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Netting is one of the important strategies for a multinational business organisation to adopt for mitigating the foreign exchange risks in the whole organisation. Netting is the strategy which comes from the theory of translation exposure theory. With that, transaction exposure theory is the theory also known as foreign exchange exposure theory. This theory helps any multinational business in the time of having a lag between any kind of financial obligation (</w:t>
      </w:r>
      <w:r>
        <w:rPr>
          <w:rFonts w:ascii="Times New Roman" w:eastAsia="Times New Roman" w:hAnsi="Times New Roman" w:cs="Times New Roman"/>
          <w:color w:val="222222"/>
          <w:sz w:val="24"/>
          <w:szCs w:val="24"/>
          <w:highlight w:val="white"/>
        </w:rPr>
        <w:t xml:space="preserve">Arcelus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Along with that, through netting strategy, any type of multinational business organisation is able to involve any kind of offsetting receivable as well as payables in various kinds of currencies for reducing the overall exposure of the business to the fluctuations of the exchange rates. Other than that, this netting strategy helps any multinational organisation to be consistent with the impact of any certain international transaction on the cash flow of the company (</w:t>
      </w:r>
      <w:r>
        <w:rPr>
          <w:rFonts w:ascii="Times New Roman" w:eastAsia="Times New Roman" w:hAnsi="Times New Roman" w:cs="Times New Roman"/>
          <w:color w:val="222222"/>
          <w:sz w:val="24"/>
          <w:szCs w:val="24"/>
          <w:highlight w:val="white"/>
        </w:rPr>
        <w:t>Tipalti, 2023)</w:t>
      </w:r>
      <w:r>
        <w:rPr>
          <w:rFonts w:ascii="Times New Roman" w:eastAsia="Times New Roman" w:hAnsi="Times New Roman" w:cs="Times New Roman"/>
          <w:sz w:val="24"/>
          <w:szCs w:val="24"/>
        </w:rPr>
        <w:t xml:space="preserve">.     </w:t>
      </w:r>
    </w:p>
    <w:p w14:paraId="15162635" w14:textId="0DC48A69" w:rsidR="006F19C9" w:rsidRPr="006F19C9" w:rsidRDefault="00000000" w:rsidP="006F19C9">
      <w:pPr>
        <w:pStyle w:val="Heading2"/>
        <w:spacing w:line="360" w:lineRule="auto"/>
        <w:jc w:val="center"/>
        <w:rPr>
          <w:rFonts w:ascii="Times New Roman" w:eastAsia="Times New Roman" w:hAnsi="Times New Roman" w:cs="Times New Roman"/>
          <w:b/>
          <w:sz w:val="24"/>
          <w:szCs w:val="24"/>
        </w:rPr>
      </w:pPr>
      <w:bookmarkStart w:id="7" w:name="_xm4kka4n3vic" w:colFirst="0" w:colLast="0"/>
      <w:bookmarkEnd w:id="7"/>
      <w:r>
        <w:rPr>
          <w:rFonts w:ascii="Times New Roman" w:eastAsia="Times New Roman" w:hAnsi="Times New Roman" w:cs="Times New Roman"/>
          <w:b/>
          <w:sz w:val="24"/>
          <w:szCs w:val="24"/>
        </w:rPr>
        <w:t>Lagging and leading:</w:t>
      </w:r>
    </w:p>
    <w:p w14:paraId="00000026" w14:textId="77777777" w:rsidR="00093FBE" w:rsidRDefault="00000000" w:rsidP="006F19C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Lagging as well as leading is another strategy which any kind of multinational business organisation adopts in their whole organisation for mitigating the risks related to foreign exchange. </w:t>
      </w:r>
      <w:r>
        <w:rPr>
          <w:rFonts w:ascii="Times New Roman" w:eastAsia="Times New Roman" w:hAnsi="Times New Roman" w:cs="Times New Roman"/>
          <w:sz w:val="24"/>
          <w:szCs w:val="24"/>
        </w:rPr>
        <w:lastRenderedPageBreak/>
        <w:t>Along with that, lagging and leading is the strategy that any kind of multinational business organisation uses in the time of making any kind of payment. Therefore, the multinational business organisation is able to take an advantage of any kind of expected movement in the area of exchange rate. Therefore, any multinational business organisation with the help of a lagging and leading strategy, delays the payment of the foreign suppliers if the suppliers expect the currency to depreciate (</w:t>
      </w:r>
      <w:r>
        <w:rPr>
          <w:rFonts w:ascii="Times New Roman" w:eastAsia="Times New Roman" w:hAnsi="Times New Roman" w:cs="Times New Roman"/>
          <w:color w:val="222222"/>
          <w:sz w:val="24"/>
          <w:szCs w:val="24"/>
          <w:highlight w:val="white"/>
        </w:rPr>
        <w:t>Monex USA, 2022)</w:t>
      </w:r>
      <w:r>
        <w:rPr>
          <w:rFonts w:ascii="Times New Roman" w:eastAsia="Times New Roman" w:hAnsi="Times New Roman" w:cs="Times New Roman"/>
          <w:sz w:val="24"/>
          <w:szCs w:val="24"/>
        </w:rPr>
        <w:t xml:space="preserve">.          </w:t>
      </w:r>
    </w:p>
    <w:p w14:paraId="00000027" w14:textId="77777777" w:rsidR="00093FBE" w:rsidRDefault="00000000" w:rsidP="006F19C9">
      <w:pPr>
        <w:pStyle w:val="Heading2"/>
        <w:spacing w:line="360" w:lineRule="auto"/>
        <w:jc w:val="center"/>
        <w:rPr>
          <w:rFonts w:ascii="Times New Roman" w:eastAsia="Times New Roman" w:hAnsi="Times New Roman" w:cs="Times New Roman"/>
          <w:b/>
          <w:sz w:val="24"/>
          <w:szCs w:val="24"/>
        </w:rPr>
      </w:pPr>
      <w:bookmarkStart w:id="8" w:name="_uxkolcz3bdif" w:colFirst="0" w:colLast="0"/>
      <w:bookmarkEnd w:id="8"/>
      <w:r>
        <w:rPr>
          <w:rFonts w:ascii="Times New Roman" w:eastAsia="Times New Roman" w:hAnsi="Times New Roman" w:cs="Times New Roman"/>
          <w:b/>
          <w:sz w:val="24"/>
          <w:szCs w:val="24"/>
        </w:rPr>
        <w:t>Forward contractors:</w:t>
      </w:r>
    </w:p>
    <w:p w14:paraId="2E013D30" w14:textId="77777777" w:rsidR="006F19C9" w:rsidRPr="006F19C9" w:rsidRDefault="006F19C9" w:rsidP="006F19C9">
      <w:pPr>
        <w:pStyle w:val="Normal1"/>
      </w:pPr>
    </w:p>
    <w:p w14:paraId="00000028"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Forward contractors are another strategy through which any type of multinational business organisation mitigates the risks related to foreign exchange rates. Forward contractors is the strategy, where any kind of organisation locks the foreign exchange agreement today in the exchange rate for a future payment. With the help of this strategy, the multinational organisation is able to make a protection for themselves from the movement in the exchange rates by entering into an enter in the agreement or contract with any kind of third party (</w:t>
      </w:r>
      <w:r>
        <w:rPr>
          <w:rFonts w:ascii="Times New Roman" w:eastAsia="Times New Roman" w:hAnsi="Times New Roman" w:cs="Times New Roman"/>
          <w:color w:val="222222"/>
          <w:sz w:val="24"/>
          <w:szCs w:val="24"/>
          <w:highlight w:val="white"/>
        </w:rPr>
        <w:t>Clear Treasury, 2022)</w:t>
      </w:r>
      <w:r>
        <w:rPr>
          <w:rFonts w:ascii="Times New Roman" w:eastAsia="Times New Roman" w:hAnsi="Times New Roman" w:cs="Times New Roman"/>
          <w:sz w:val="24"/>
          <w:szCs w:val="24"/>
        </w:rPr>
        <w:t xml:space="preserve">. By using the forward contact strategy, any type of multinational business organisation makes a proper calculation of the benefits and costs of buying forward at the time of making any purchase. Therefore, the business organisation is able to check the outweighs in the payment at the time of signing any kind of contract.   </w:t>
      </w:r>
    </w:p>
    <w:p w14:paraId="00000029" w14:textId="77777777" w:rsidR="00093FBE" w:rsidRDefault="00000000" w:rsidP="006F19C9">
      <w:pPr>
        <w:pStyle w:val="Heading2"/>
        <w:spacing w:line="360" w:lineRule="auto"/>
        <w:jc w:val="center"/>
        <w:rPr>
          <w:rFonts w:ascii="Times New Roman" w:eastAsia="Times New Roman" w:hAnsi="Times New Roman" w:cs="Times New Roman"/>
          <w:b/>
          <w:sz w:val="24"/>
          <w:szCs w:val="24"/>
        </w:rPr>
      </w:pPr>
      <w:bookmarkStart w:id="9" w:name="_elr1wswx5gjw" w:colFirst="0" w:colLast="0"/>
      <w:bookmarkEnd w:id="9"/>
      <w:r>
        <w:rPr>
          <w:rFonts w:ascii="Times New Roman" w:eastAsia="Times New Roman" w:hAnsi="Times New Roman" w:cs="Times New Roman"/>
          <w:b/>
          <w:sz w:val="24"/>
          <w:szCs w:val="24"/>
        </w:rPr>
        <w:t>Translation risk management:</w:t>
      </w:r>
    </w:p>
    <w:p w14:paraId="72EE06FE" w14:textId="77777777" w:rsidR="006F19C9" w:rsidRPr="006F19C9" w:rsidRDefault="006F19C9" w:rsidP="006F19C9">
      <w:pPr>
        <w:pStyle w:val="Normal1"/>
      </w:pPr>
    </w:p>
    <w:p w14:paraId="0000002A" w14:textId="77777777" w:rsidR="00093FBE" w:rsidRDefault="00000000" w:rsidP="006F19C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Translation risk management is one of the key and important strategies for any type of multinational business organisation to mitigate any kind of risks related to foreign exchange rates. Translation exposure management is the practice of any multinational business organisation to make an adjustment in the accounting practices of the business organisation in an effective as well as efficient manner. Therefore, the multinational business organisation is able to make a proper and effective alignment between the expectations of the future exchange rates as well as accounting practices (Corporate Finance Institute, 2023b). Therefore, the multinational business organisation can handle efficiently and effectively any kind of dealing with the exposure of translation in the financial statements. Any kind of multinational business organisation, by using the translation </w:t>
      </w:r>
      <w:r>
        <w:rPr>
          <w:rFonts w:ascii="Times New Roman" w:eastAsia="Times New Roman" w:hAnsi="Times New Roman" w:cs="Times New Roman"/>
          <w:sz w:val="24"/>
          <w:szCs w:val="24"/>
        </w:rPr>
        <w:lastRenderedPageBreak/>
        <w:t xml:space="preserve">exposure management strategy, chooses any different kinds of methods for translation which depend on the outlook for any kind of currency movements.                      </w:t>
      </w:r>
    </w:p>
    <w:p w14:paraId="0000002B" w14:textId="6D6A15D1" w:rsidR="00093FBE" w:rsidRDefault="00000000" w:rsidP="006F19C9">
      <w:pPr>
        <w:pStyle w:val="Heading1"/>
        <w:spacing w:line="360" w:lineRule="auto"/>
        <w:jc w:val="center"/>
        <w:rPr>
          <w:rFonts w:ascii="Times New Roman" w:eastAsia="Times New Roman" w:hAnsi="Times New Roman" w:cs="Times New Roman"/>
          <w:b/>
          <w:sz w:val="24"/>
          <w:szCs w:val="24"/>
        </w:rPr>
      </w:pPr>
      <w:bookmarkStart w:id="10" w:name="_4z4iqsomcey1" w:colFirst="0" w:colLast="0"/>
      <w:bookmarkEnd w:id="10"/>
      <w:r>
        <w:rPr>
          <w:rFonts w:ascii="Times New Roman" w:eastAsia="Times New Roman" w:hAnsi="Times New Roman" w:cs="Times New Roman"/>
          <w:b/>
          <w:sz w:val="24"/>
          <w:szCs w:val="24"/>
        </w:rPr>
        <w:t>Conclusion:</w:t>
      </w:r>
    </w:p>
    <w:p w14:paraId="4E937E3E" w14:textId="77777777" w:rsidR="006F19C9" w:rsidRPr="006F19C9" w:rsidRDefault="006F19C9" w:rsidP="006F19C9">
      <w:pPr>
        <w:pStyle w:val="Normal1"/>
      </w:pPr>
    </w:p>
    <w:p w14:paraId="0000002C" w14:textId="77777777" w:rsidR="00093FBE" w:rsidRDefault="00000000" w:rsidP="006F19C9">
      <w:pPr>
        <w:pStyle w:val="Normal1"/>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International financial management is a key concept for any kind of business organisation including multinational business organisations. Along with that, any kind of multinational business organisation faces various types of risks related to foreign exchange rates such as competitive risks, strategic risks, translation risks, transaction risks, economic risks, etc. Therefore, any type of multinational business organisation uses various kinds of strategies for mitigating the above risks related to foreign exchange rates such as diversification, forward contractors, netting, lagging as well as leading, political risk insurance, translation exposure management, etc. For example, Toyota Motor Corporation uses the diversification strategy in their business organisation to mitigate the risks related to foreign exchange rates in an effective and proper manner. </w:t>
      </w:r>
      <w:r>
        <w:br w:type="page"/>
      </w:r>
    </w:p>
    <w:p w14:paraId="0000002D" w14:textId="77777777" w:rsidR="00093FBE" w:rsidRDefault="00000000" w:rsidP="006F19C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3BFC06D9" w14:textId="77777777" w:rsidR="006F19C9" w:rsidRDefault="006F19C9" w:rsidP="006F19C9">
      <w:pPr>
        <w:pStyle w:val="Normal1"/>
        <w:spacing w:line="360" w:lineRule="auto"/>
        <w:jc w:val="center"/>
        <w:rPr>
          <w:rFonts w:ascii="Times New Roman" w:eastAsia="Times New Roman" w:hAnsi="Times New Roman" w:cs="Times New Roman"/>
          <w:b/>
          <w:sz w:val="24"/>
          <w:szCs w:val="24"/>
        </w:rPr>
      </w:pPr>
    </w:p>
    <w:p w14:paraId="66C5B970" w14:textId="77777777" w:rsidR="00C06397" w:rsidRDefault="00C06397">
      <w:pPr>
        <w:pStyle w:val="Normal1"/>
        <w:spacing w:before="240" w:after="240" w:line="297"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Arcelus, F.J., Gor, R. and Srinivasan, G., (2018). Foreign exchange transaction exposure in a newsvendor setting. </w:t>
      </w:r>
      <w:r>
        <w:rPr>
          <w:rFonts w:ascii="Times New Roman" w:eastAsia="Times New Roman" w:hAnsi="Times New Roman" w:cs="Times New Roman"/>
          <w:i/>
          <w:color w:val="222222"/>
          <w:sz w:val="24"/>
          <w:szCs w:val="24"/>
          <w:highlight w:val="white"/>
        </w:rPr>
        <w:t>European Journal of Operational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227</w:t>
      </w:r>
      <w:r>
        <w:rPr>
          <w:rFonts w:ascii="Times New Roman" w:eastAsia="Times New Roman" w:hAnsi="Times New Roman" w:cs="Times New Roman"/>
          <w:color w:val="222222"/>
          <w:sz w:val="24"/>
          <w:szCs w:val="24"/>
          <w:highlight w:val="white"/>
        </w:rPr>
        <w:t xml:space="preserve">(3), pp.552-557. </w:t>
      </w:r>
      <w:hyperlink r:id="rId6">
        <w:r>
          <w:rPr>
            <w:rFonts w:ascii="Times New Roman" w:eastAsia="Times New Roman" w:hAnsi="Times New Roman" w:cs="Times New Roman"/>
            <w:color w:val="1155CC"/>
            <w:sz w:val="24"/>
            <w:szCs w:val="24"/>
            <w:highlight w:val="white"/>
            <w:u w:val="single"/>
          </w:rPr>
          <w:t>https://www.sciencedirect.com/science/article/abs/pii/S0377221712007606</w:t>
        </w:r>
      </w:hyperlink>
      <w:r>
        <w:rPr>
          <w:rFonts w:ascii="Times New Roman" w:eastAsia="Times New Roman" w:hAnsi="Times New Roman" w:cs="Times New Roman"/>
          <w:color w:val="222222"/>
          <w:sz w:val="24"/>
          <w:szCs w:val="24"/>
          <w:highlight w:val="white"/>
        </w:rPr>
        <w:t xml:space="preserve"> </w:t>
      </w:r>
    </w:p>
    <w:p w14:paraId="4A67E7DC" w14:textId="77777777" w:rsidR="00C06397" w:rsidRDefault="00C06397">
      <w:pPr>
        <w:pStyle w:val="Normal1"/>
        <w:spacing w:before="240" w:after="240" w:line="297"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Clear Treasury (2022) </w:t>
      </w:r>
      <w:r>
        <w:rPr>
          <w:rFonts w:ascii="Times New Roman" w:eastAsia="Times New Roman" w:hAnsi="Times New Roman" w:cs="Times New Roman"/>
          <w:i/>
          <w:color w:val="222222"/>
          <w:sz w:val="24"/>
          <w:szCs w:val="24"/>
          <w:highlight w:val="white"/>
        </w:rPr>
        <w:t>Foreign Exchange Risk Management &amp; Risk Mitigation Techniques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clear treasury</w:t>
      </w:r>
      <w:r>
        <w:rPr>
          <w:rFonts w:ascii="Times New Roman" w:eastAsia="Times New Roman" w:hAnsi="Times New Roman" w:cs="Times New Roman"/>
          <w:color w:val="222222"/>
          <w:sz w:val="24"/>
          <w:szCs w:val="24"/>
          <w:highlight w:val="white"/>
        </w:rPr>
        <w:t xml:space="preserve">. Available at: https://www.cleartreasury.co.uk/insight/foreign-exchange-risk-management (Accessed: 04 November 2023). </w:t>
      </w:r>
    </w:p>
    <w:p w14:paraId="0F36CB86" w14:textId="77777777" w:rsidR="00C06397" w:rsidRDefault="00C06397">
      <w:pPr>
        <w:pStyle w:val="Normal1"/>
        <w:spacing w:before="240" w:after="240" w:line="297"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Corporate Finance Institute (2023) </w:t>
      </w:r>
      <w:r>
        <w:rPr>
          <w:rFonts w:ascii="Times New Roman" w:eastAsia="Times New Roman" w:hAnsi="Times New Roman" w:cs="Times New Roman"/>
          <w:i/>
          <w:color w:val="222222"/>
          <w:sz w:val="24"/>
          <w:szCs w:val="24"/>
          <w:highlight w:val="white"/>
        </w:rPr>
        <w:t>Foreign Exchange Risk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Corporate Finance Institute</w:t>
      </w:r>
      <w:r>
        <w:rPr>
          <w:rFonts w:ascii="Times New Roman" w:eastAsia="Times New Roman" w:hAnsi="Times New Roman" w:cs="Times New Roman"/>
          <w:color w:val="222222"/>
          <w:sz w:val="24"/>
          <w:szCs w:val="24"/>
          <w:highlight w:val="white"/>
        </w:rPr>
        <w:t xml:space="preserve">. Available at: https://corporatefinanceinstitute.com/resources/foreign-exchange/foreign-exchange-risk/#:~:text. (Accessed: 04 November 2023). </w:t>
      </w:r>
    </w:p>
    <w:p w14:paraId="442A9D09" w14:textId="77777777" w:rsidR="00C06397" w:rsidRDefault="00C06397">
      <w:pPr>
        <w:pStyle w:val="Normal1"/>
        <w:spacing w:before="240" w:after="240" w:line="297"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Corporate Finance Institute (2023b) </w:t>
      </w:r>
      <w:r>
        <w:rPr>
          <w:rFonts w:ascii="Times New Roman" w:eastAsia="Times New Roman" w:hAnsi="Times New Roman" w:cs="Times New Roman"/>
          <w:i/>
          <w:color w:val="222222"/>
          <w:sz w:val="24"/>
          <w:szCs w:val="24"/>
          <w:highlight w:val="white"/>
        </w:rPr>
        <w:t>Translation exposure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Corporate Finance Institute</w:t>
      </w:r>
      <w:r>
        <w:rPr>
          <w:rFonts w:ascii="Times New Roman" w:eastAsia="Times New Roman" w:hAnsi="Times New Roman" w:cs="Times New Roman"/>
          <w:color w:val="222222"/>
          <w:sz w:val="24"/>
          <w:szCs w:val="24"/>
          <w:highlight w:val="white"/>
        </w:rPr>
        <w:t xml:space="preserve">. Available at: https://corporatefinanceinstitute.com/resources/accounting/translation-exposure/ (Accessed: 04 November 2023). </w:t>
      </w:r>
    </w:p>
    <w:p w14:paraId="31D73571" w14:textId="77777777" w:rsidR="00C06397" w:rsidRDefault="00C06397" w:rsidP="006F19C9">
      <w:pPr>
        <w:pStyle w:val="Normal1"/>
        <w:spacing w:before="240" w:after="240" w:line="297"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Karanja, M.M., (2017). </w:t>
      </w:r>
      <w:r>
        <w:rPr>
          <w:rFonts w:ascii="Times New Roman" w:eastAsia="Times New Roman" w:hAnsi="Times New Roman" w:cs="Times New Roman"/>
          <w:i/>
          <w:color w:val="222222"/>
          <w:sz w:val="24"/>
          <w:szCs w:val="24"/>
          <w:highlight w:val="white"/>
        </w:rPr>
        <w:t>The Effect of Risk Management Strategies on The Sustainable Competitive Advantage of Commercial Banks in Kenya</w:t>
      </w:r>
      <w:r>
        <w:rPr>
          <w:rFonts w:ascii="Times New Roman" w:eastAsia="Times New Roman" w:hAnsi="Times New Roman" w:cs="Times New Roman"/>
          <w:color w:val="222222"/>
          <w:sz w:val="24"/>
          <w:szCs w:val="24"/>
          <w:highlight w:val="white"/>
        </w:rPr>
        <w:t xml:space="preserve"> (Doctoral dissertation, University of Nairobi). </w:t>
      </w:r>
      <w:hyperlink r:id="rId7">
        <w:r>
          <w:rPr>
            <w:rFonts w:ascii="Times New Roman" w:eastAsia="Times New Roman" w:hAnsi="Times New Roman" w:cs="Times New Roman"/>
            <w:color w:val="1155CC"/>
            <w:sz w:val="24"/>
            <w:szCs w:val="24"/>
            <w:highlight w:val="white"/>
            <w:u w:val="single"/>
          </w:rPr>
          <w:t>http://erepository.uonbi.ac.ke/handle/11295/103291</w:t>
        </w:r>
      </w:hyperlink>
      <w:r>
        <w:rPr>
          <w:rFonts w:ascii="Times New Roman" w:eastAsia="Times New Roman" w:hAnsi="Times New Roman" w:cs="Times New Roman"/>
          <w:color w:val="222222"/>
          <w:sz w:val="24"/>
          <w:szCs w:val="24"/>
          <w:highlight w:val="white"/>
        </w:rPr>
        <w:t xml:space="preserve"> </w:t>
      </w:r>
    </w:p>
    <w:p w14:paraId="2829FB5B" w14:textId="6D14679A" w:rsidR="00C06397" w:rsidRDefault="00C06397" w:rsidP="006F19C9">
      <w:pPr>
        <w:pStyle w:val="Normal1"/>
        <w:spacing w:before="240" w:after="240" w:line="297" w:lineRule="auto"/>
        <w:ind w:firstLine="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 J. and Rugman, A.M., (2017). Real options and the theory of foreign direct investment. </w:t>
      </w:r>
      <w:r>
        <w:rPr>
          <w:rFonts w:ascii="Times New Roman" w:eastAsia="Times New Roman" w:hAnsi="Times New Roman" w:cs="Times New Roman"/>
          <w:i/>
          <w:color w:val="222222"/>
          <w:sz w:val="24"/>
          <w:szCs w:val="24"/>
          <w:highlight w:val="white"/>
        </w:rPr>
        <w:t>International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(6), pp.687-712. </w:t>
      </w:r>
      <w:hyperlink r:id="rId8">
        <w:r>
          <w:rPr>
            <w:rFonts w:ascii="Times New Roman" w:eastAsia="Times New Roman" w:hAnsi="Times New Roman" w:cs="Times New Roman"/>
            <w:color w:val="1155CC"/>
            <w:sz w:val="24"/>
            <w:szCs w:val="24"/>
            <w:highlight w:val="white"/>
            <w:u w:val="single"/>
          </w:rPr>
          <w:t>https://www.sciencedirect.com/science/article/abs/pii/S0969593107001047</w:t>
        </w:r>
      </w:hyperlink>
    </w:p>
    <w:p w14:paraId="6D9C9A96" w14:textId="77777777" w:rsidR="00C06397" w:rsidRDefault="00C06397" w:rsidP="006F19C9">
      <w:pPr>
        <w:pStyle w:val="Normal1"/>
        <w:spacing w:line="297"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Madura, J., Hoque, A. and Krishnamrti, C., (2018). </w:t>
      </w:r>
      <w:r>
        <w:rPr>
          <w:rFonts w:ascii="Times New Roman" w:eastAsia="Times New Roman" w:hAnsi="Times New Roman" w:cs="Times New Roman"/>
          <w:i/>
          <w:color w:val="222222"/>
          <w:sz w:val="24"/>
          <w:szCs w:val="24"/>
          <w:highlight w:val="white"/>
        </w:rPr>
        <w:t>International financial management</w:t>
      </w:r>
      <w:r>
        <w:rPr>
          <w:rFonts w:ascii="Times New Roman" w:eastAsia="Times New Roman" w:hAnsi="Times New Roman" w:cs="Times New Roman"/>
          <w:color w:val="222222"/>
          <w:sz w:val="24"/>
          <w:szCs w:val="24"/>
          <w:highlight w:val="white"/>
        </w:rPr>
        <w:t xml:space="preserve">. Cengage AU. </w:t>
      </w:r>
      <w:hyperlink r:id="rId9" w:anchor="v=onepage&amp;q=what%20is%20international%20financial%20management&amp;f=false">
        <w:r>
          <w:rPr>
            <w:rFonts w:ascii="Times New Roman" w:eastAsia="Times New Roman" w:hAnsi="Times New Roman" w:cs="Times New Roman"/>
            <w:color w:val="1155CC"/>
            <w:sz w:val="24"/>
            <w:szCs w:val="24"/>
            <w:highlight w:val="white"/>
            <w:u w:val="single"/>
          </w:rPr>
          <w:t>https://books.google.com/books?hl=en&amp;lr=&amp;id=vkNMDwAAQBAJ&amp;oi=fnd&amp;pg=PR1&amp;dq=what+is+international+financial+management&amp;ots=xeWLdZX12G&amp;sig=nH4l72v6cu1lnta1HdSOzWoWggU&amp;redir_esc=y#v=onepage&amp;q=what%20is%20international%20financial%20management&amp;f=false</w:t>
        </w:r>
      </w:hyperlink>
      <w:r>
        <w:rPr>
          <w:rFonts w:ascii="Times New Roman" w:eastAsia="Times New Roman" w:hAnsi="Times New Roman" w:cs="Times New Roman"/>
          <w:color w:val="222222"/>
          <w:sz w:val="24"/>
          <w:szCs w:val="24"/>
          <w:highlight w:val="white"/>
        </w:rPr>
        <w:t xml:space="preserve"> </w:t>
      </w:r>
    </w:p>
    <w:p w14:paraId="2BE3661A" w14:textId="77777777" w:rsidR="00C06397" w:rsidRDefault="00C06397" w:rsidP="006F19C9">
      <w:pPr>
        <w:pStyle w:val="Normal1"/>
        <w:spacing w:before="240" w:after="240" w:line="297"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Monex USA. (2022) </w:t>
      </w:r>
      <w:r>
        <w:rPr>
          <w:rFonts w:ascii="Times New Roman" w:eastAsia="Times New Roman" w:hAnsi="Times New Roman" w:cs="Times New Roman"/>
          <w:i/>
          <w:color w:val="222222"/>
          <w:sz w:val="24"/>
          <w:szCs w:val="24"/>
          <w:highlight w:val="white"/>
        </w:rPr>
        <w:t>What are internal exchange rate risk management techniques?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Monex USA</w:t>
      </w:r>
      <w:r>
        <w:rPr>
          <w:rFonts w:ascii="Times New Roman" w:eastAsia="Times New Roman" w:hAnsi="Times New Roman" w:cs="Times New Roman"/>
          <w:color w:val="222222"/>
          <w:sz w:val="24"/>
          <w:szCs w:val="24"/>
          <w:highlight w:val="white"/>
        </w:rPr>
        <w:t xml:space="preserve">. Available at: https://monexusa.com/insight/what-are-internal-exchange-rate-risk-management-techniques/#:~:text. (Accessed: 04 November 2023). </w:t>
      </w:r>
    </w:p>
    <w:p w14:paraId="4DD0C5CA" w14:textId="77777777" w:rsidR="00C06397" w:rsidRDefault="00C06397" w:rsidP="006F19C9">
      <w:pPr>
        <w:pStyle w:val="Normal1"/>
        <w:spacing w:before="240" w:after="240" w:line="297" w:lineRule="auto"/>
        <w:ind w:firstLine="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Researchgate (2022) </w:t>
      </w:r>
      <w:r>
        <w:rPr>
          <w:rFonts w:ascii="Times New Roman" w:eastAsia="Times New Roman" w:hAnsi="Times New Roman" w:cs="Times New Roman"/>
          <w:i/>
          <w:color w:val="222222"/>
          <w:sz w:val="24"/>
          <w:szCs w:val="24"/>
          <w:highlight w:val="white"/>
        </w:rPr>
        <w:t>The impact of exchange rate fluctuation on Toyota Financial Performance ...</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researchgate</w:t>
      </w:r>
      <w:r>
        <w:rPr>
          <w:rFonts w:ascii="Times New Roman" w:eastAsia="Times New Roman" w:hAnsi="Times New Roman" w:cs="Times New Roman"/>
          <w:color w:val="222222"/>
          <w:sz w:val="24"/>
          <w:szCs w:val="24"/>
          <w:highlight w:val="white"/>
        </w:rPr>
        <w:t xml:space="preserve">. Available at: </w:t>
      </w:r>
      <w:r>
        <w:rPr>
          <w:rFonts w:ascii="Times New Roman" w:eastAsia="Times New Roman" w:hAnsi="Times New Roman" w:cs="Times New Roman"/>
          <w:color w:val="222222"/>
          <w:sz w:val="24"/>
          <w:szCs w:val="24"/>
          <w:highlight w:val="white"/>
        </w:rPr>
        <w:lastRenderedPageBreak/>
        <w:t xml:space="preserve">https://www.researchgate.net/publication/369525380_The_Impact_of_Exchange_Rate_Fluctuation_on_Toyota_Financial_Performance_and_Its_Hedging_Strategy (Accessed: 04 November 2023). </w:t>
      </w:r>
    </w:p>
    <w:p w14:paraId="5D40C81F" w14:textId="77777777" w:rsidR="00C06397" w:rsidRDefault="00C06397" w:rsidP="006F19C9">
      <w:pPr>
        <w:pStyle w:val="Normal1"/>
        <w:spacing w:before="240" w:after="240" w:line="297" w:lineRule="auto"/>
        <w:ind w:firstLine="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Sec Gov (2022) </w:t>
      </w:r>
      <w:r>
        <w:rPr>
          <w:rFonts w:ascii="Times New Roman" w:eastAsia="Times New Roman" w:hAnsi="Times New Roman" w:cs="Times New Roman"/>
          <w:i/>
          <w:color w:val="222222"/>
          <w:sz w:val="24"/>
          <w:szCs w:val="24"/>
          <w:highlight w:val="white"/>
        </w:rPr>
        <w:t>sec.gov</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Document</w:t>
      </w:r>
      <w:r>
        <w:rPr>
          <w:rFonts w:ascii="Times New Roman" w:eastAsia="Times New Roman" w:hAnsi="Times New Roman" w:cs="Times New Roman"/>
          <w:color w:val="222222"/>
          <w:sz w:val="24"/>
          <w:szCs w:val="24"/>
          <w:highlight w:val="white"/>
        </w:rPr>
        <w:t xml:space="preserve">. Available at: https://www.sec.gov/Archives/edgar/data/320187/000032018720000047/nke-531202010k.htm (Accessed: 04 November 2023). </w:t>
      </w:r>
    </w:p>
    <w:p w14:paraId="194A4320" w14:textId="77777777" w:rsidR="00C06397" w:rsidRDefault="00C06397" w:rsidP="006F19C9">
      <w:pPr>
        <w:pStyle w:val="Normal1"/>
        <w:spacing w:before="240" w:after="240" w:line="297" w:lineRule="auto"/>
        <w:ind w:firstLine="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Taylor, A.M. and Taylor, M.P., (2022). The purchasing power parity debate. </w:t>
      </w:r>
      <w:r>
        <w:rPr>
          <w:rFonts w:ascii="Times New Roman" w:eastAsia="Times New Roman" w:hAnsi="Times New Roman" w:cs="Times New Roman"/>
          <w:i/>
          <w:color w:val="222222"/>
          <w:sz w:val="24"/>
          <w:szCs w:val="24"/>
          <w:highlight w:val="white"/>
        </w:rPr>
        <w:t>Journal of economic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pp.135-158</w:t>
      </w:r>
      <w:r>
        <w:rPr>
          <w:color w:val="222222"/>
          <w:sz w:val="20"/>
          <w:szCs w:val="20"/>
          <w:highlight w:val="white"/>
        </w:rPr>
        <w:t xml:space="preserve">. </w:t>
      </w:r>
      <w:hyperlink r:id="rId10">
        <w:r>
          <w:rPr>
            <w:rFonts w:ascii="Times New Roman" w:eastAsia="Times New Roman" w:hAnsi="Times New Roman" w:cs="Times New Roman"/>
            <w:color w:val="1155CC"/>
            <w:sz w:val="24"/>
            <w:szCs w:val="24"/>
            <w:highlight w:val="white"/>
            <w:u w:val="single"/>
          </w:rPr>
          <w:t>https://www.aeaweb.org/articles?id=10.1257/0895330042632744</w:t>
        </w:r>
      </w:hyperlink>
    </w:p>
    <w:p w14:paraId="50FDF1C0" w14:textId="77777777" w:rsidR="00C06397" w:rsidRDefault="00C06397" w:rsidP="006F19C9">
      <w:pPr>
        <w:pStyle w:val="Normal1"/>
        <w:spacing w:before="240" w:after="240" w:line="297"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Tipalti (2023) </w:t>
      </w:r>
      <w:r>
        <w:rPr>
          <w:rFonts w:ascii="Times New Roman" w:eastAsia="Times New Roman" w:hAnsi="Times New Roman" w:cs="Times New Roman"/>
          <w:i/>
          <w:color w:val="222222"/>
          <w:sz w:val="24"/>
          <w:szCs w:val="24"/>
          <w:highlight w:val="white"/>
        </w:rPr>
        <w:t>Understanding foreign exchange risk and how to minimize it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Tipalti</w:t>
      </w:r>
      <w:r>
        <w:rPr>
          <w:rFonts w:ascii="Times New Roman" w:eastAsia="Times New Roman" w:hAnsi="Times New Roman" w:cs="Times New Roman"/>
          <w:color w:val="222222"/>
          <w:sz w:val="24"/>
          <w:szCs w:val="24"/>
          <w:highlight w:val="white"/>
        </w:rPr>
        <w:t xml:space="preserve">. Available at: https://tipalti.com/foreign-exchange-risk/ (Accessed: 04 November 2023). </w:t>
      </w:r>
    </w:p>
    <w:sectPr w:rsidR="00C06397" w:rsidSect="00C06397">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98744" w14:textId="77777777" w:rsidR="007E196D" w:rsidRDefault="007E196D">
      <w:pPr>
        <w:spacing w:line="240" w:lineRule="auto"/>
      </w:pPr>
      <w:r>
        <w:separator/>
      </w:r>
    </w:p>
  </w:endnote>
  <w:endnote w:type="continuationSeparator" w:id="0">
    <w:p w14:paraId="0E58D429" w14:textId="77777777" w:rsidR="007E196D" w:rsidRDefault="007E19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A" w14:textId="75CB66DF" w:rsidR="00093FBE" w:rsidRDefault="00000000">
    <w:pPr>
      <w:pStyle w:val="Normal1"/>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C06397">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0DB67" w14:textId="77777777" w:rsidR="007E196D" w:rsidRDefault="007E196D">
      <w:pPr>
        <w:spacing w:line="240" w:lineRule="auto"/>
      </w:pPr>
      <w:r>
        <w:separator/>
      </w:r>
    </w:p>
  </w:footnote>
  <w:footnote w:type="continuationSeparator" w:id="0">
    <w:p w14:paraId="3A076ABF" w14:textId="77777777" w:rsidR="007E196D" w:rsidRDefault="007E19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FBE"/>
    <w:rsid w:val="00093FBE"/>
    <w:rsid w:val="002D3E27"/>
    <w:rsid w:val="006F19C9"/>
    <w:rsid w:val="007E196D"/>
    <w:rsid w:val="00A82EFC"/>
    <w:rsid w:val="00C06397"/>
    <w:rsid w:val="00DB52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DD6C6"/>
  <w15:docId w15:val="{1F57CCA4-E02E-024A-B531-352C89D6F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969593107001047"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erepository.uonbi.ac.ke/handle/11295/10329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abs/pii/S0377221712007606"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aeaweb.org/articles?id=10.1257/0895330042632744" TargetMode="External"/><Relationship Id="rId4" Type="http://schemas.openxmlformats.org/officeDocument/2006/relationships/footnotes" Target="footnotes.xml"/><Relationship Id="rId9" Type="http://schemas.openxmlformats.org/officeDocument/2006/relationships/hyperlink" Target="https://books.google.co.in/books?hl=en&amp;lr=&amp;id=vkNMDwAAQBAJ&amp;oi=fnd&amp;pg=PR1&amp;dq=what+is+international+financial+management&amp;ots=xeWLdZX12G&amp;sig=nH4l72v6cu1lnta1HdSOzWoWggU&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2250</Words>
  <Characters>12831</Characters>
  <Application>Microsoft Office Word</Application>
  <DocSecurity>0</DocSecurity>
  <Lines>106</Lines>
  <Paragraphs>30</Paragraphs>
  <ScaleCrop>false</ScaleCrop>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Cretu (2113196)</cp:lastModifiedBy>
  <cp:revision>2</cp:revision>
  <dcterms:created xsi:type="dcterms:W3CDTF">2023-12-28T21:47:00Z</dcterms:created>
  <dcterms:modified xsi:type="dcterms:W3CDTF">2023-12-28T21:47:00Z</dcterms:modified>
</cp:coreProperties>
</file>