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D94944" w14:textId="77777777" w:rsidR="00FF7B1A" w:rsidRPr="0025777E" w:rsidRDefault="00FF7B1A" w:rsidP="00FF7B1A">
      <w:pPr>
        <w:spacing w:line="360" w:lineRule="auto"/>
        <w:jc w:val="center"/>
        <w:rPr>
          <w:rFonts w:ascii="Arial" w:hAnsi="Arial" w:cs="Arial"/>
          <w:b/>
          <w:sz w:val="36"/>
        </w:rPr>
      </w:pPr>
    </w:p>
    <w:p w14:paraId="7BDC7A8F" w14:textId="77777777" w:rsidR="00FF7B1A" w:rsidRPr="0025777E" w:rsidRDefault="00FF7B1A" w:rsidP="00FF7B1A">
      <w:pPr>
        <w:spacing w:line="360" w:lineRule="auto"/>
        <w:jc w:val="center"/>
        <w:rPr>
          <w:rFonts w:ascii="Arial" w:hAnsi="Arial" w:cs="Arial"/>
          <w:b/>
          <w:sz w:val="36"/>
        </w:rPr>
      </w:pPr>
    </w:p>
    <w:p w14:paraId="5456BD61" w14:textId="77777777" w:rsidR="00FF7B1A" w:rsidRPr="0025777E" w:rsidRDefault="00FF7B1A" w:rsidP="00FF7B1A">
      <w:pPr>
        <w:spacing w:line="360" w:lineRule="auto"/>
        <w:jc w:val="center"/>
        <w:rPr>
          <w:rFonts w:ascii="Arial" w:hAnsi="Arial" w:cs="Arial"/>
          <w:b/>
          <w:sz w:val="36"/>
        </w:rPr>
      </w:pPr>
    </w:p>
    <w:p w14:paraId="1EAC0EC7" w14:textId="77777777" w:rsidR="00FF7B1A" w:rsidRPr="0025777E" w:rsidRDefault="00FF7B1A" w:rsidP="00FF7B1A">
      <w:pPr>
        <w:spacing w:line="360" w:lineRule="auto"/>
        <w:jc w:val="center"/>
        <w:rPr>
          <w:rFonts w:ascii="Arial" w:hAnsi="Arial" w:cs="Arial"/>
          <w:b/>
          <w:sz w:val="36"/>
        </w:rPr>
      </w:pPr>
      <w:r w:rsidRPr="0025777E">
        <w:rPr>
          <w:rFonts w:ascii="Arial" w:hAnsi="Arial" w:cs="Arial"/>
          <w:b/>
          <w:sz w:val="36"/>
        </w:rPr>
        <w:t>WB</w:t>
      </w:r>
      <w:r w:rsidR="00BF2EA8" w:rsidRPr="0025777E">
        <w:rPr>
          <w:rFonts w:ascii="Arial" w:hAnsi="Arial" w:cs="Arial"/>
          <w:b/>
          <w:sz w:val="36"/>
        </w:rPr>
        <w:t>L</w:t>
      </w:r>
      <w:r w:rsidR="00CB03C5" w:rsidRPr="0025777E">
        <w:rPr>
          <w:rFonts w:ascii="Arial" w:hAnsi="Arial" w:cs="Arial"/>
          <w:b/>
          <w:sz w:val="36"/>
        </w:rPr>
        <w:t xml:space="preserve"> Research Project</w:t>
      </w:r>
    </w:p>
    <w:p w14:paraId="49BFA848" w14:textId="77777777" w:rsidR="00FF7B1A" w:rsidRPr="0025777E" w:rsidRDefault="00FF7B1A" w:rsidP="00FF7B1A">
      <w:pPr>
        <w:spacing w:line="360" w:lineRule="auto"/>
        <w:jc w:val="center"/>
        <w:rPr>
          <w:rFonts w:ascii="Arial" w:hAnsi="Arial" w:cs="Arial"/>
          <w:b/>
          <w:sz w:val="36"/>
        </w:rPr>
      </w:pPr>
      <w:r w:rsidRPr="0025777E">
        <w:rPr>
          <w:rFonts w:ascii="Arial" w:hAnsi="Arial" w:cs="Arial"/>
          <w:b/>
          <w:sz w:val="36"/>
        </w:rPr>
        <w:t>Matthew Stewart</w:t>
      </w:r>
    </w:p>
    <w:p w14:paraId="58A7B0A4" w14:textId="77777777" w:rsidR="00FF7B1A" w:rsidRPr="0025777E" w:rsidRDefault="00FF7B1A" w:rsidP="00FF7B1A">
      <w:pPr>
        <w:spacing w:line="360" w:lineRule="auto"/>
        <w:jc w:val="center"/>
        <w:rPr>
          <w:rFonts w:ascii="Arial" w:hAnsi="Arial" w:cs="Arial"/>
          <w:b/>
        </w:rPr>
      </w:pPr>
    </w:p>
    <w:p w14:paraId="34305F4B" w14:textId="77777777" w:rsidR="00FF7B1A" w:rsidRPr="0025777E" w:rsidRDefault="00FF7B1A" w:rsidP="00FF7B1A">
      <w:pPr>
        <w:spacing w:line="360" w:lineRule="auto"/>
        <w:jc w:val="center"/>
        <w:rPr>
          <w:rFonts w:ascii="Arial" w:hAnsi="Arial" w:cs="Arial"/>
        </w:rPr>
      </w:pPr>
      <w:r w:rsidRPr="0025777E">
        <w:rPr>
          <w:rFonts w:ascii="Arial" w:hAnsi="Arial" w:cs="Arial"/>
          <w:noProof/>
          <w:lang w:eastAsia="en-GB"/>
        </w:rPr>
        <w:drawing>
          <wp:inline distT="0" distB="0" distL="0" distR="0" wp14:anchorId="68503B9B" wp14:editId="690B88D7">
            <wp:extent cx="3409950" cy="32810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12870" cy="3283839"/>
                    </a:xfrm>
                    <a:prstGeom prst="rect">
                      <a:avLst/>
                    </a:prstGeom>
                  </pic:spPr>
                </pic:pic>
              </a:graphicData>
            </a:graphic>
          </wp:inline>
        </w:drawing>
      </w:r>
    </w:p>
    <w:p w14:paraId="3EC4804F" w14:textId="77777777" w:rsidR="00FF7B1A" w:rsidRPr="0025777E" w:rsidRDefault="00FF7B1A" w:rsidP="00FF7B1A">
      <w:pPr>
        <w:spacing w:line="360" w:lineRule="auto"/>
        <w:jc w:val="center"/>
        <w:rPr>
          <w:rFonts w:ascii="Arial" w:hAnsi="Arial" w:cs="Arial"/>
        </w:rPr>
      </w:pPr>
      <w:r w:rsidRPr="0025777E">
        <w:rPr>
          <w:rFonts w:ascii="Arial" w:hAnsi="Arial" w:cs="Arial"/>
          <w:noProof/>
          <w:lang w:eastAsia="en-GB"/>
        </w:rPr>
        <w:drawing>
          <wp:inline distT="0" distB="0" distL="0" distR="0" wp14:anchorId="7A8D90A5" wp14:editId="23F30367">
            <wp:extent cx="2952750" cy="1276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52750" cy="1276350"/>
                    </a:xfrm>
                    <a:prstGeom prst="rect">
                      <a:avLst/>
                    </a:prstGeom>
                  </pic:spPr>
                </pic:pic>
              </a:graphicData>
            </a:graphic>
          </wp:inline>
        </w:drawing>
      </w:r>
    </w:p>
    <w:p w14:paraId="137B3C28" w14:textId="77777777" w:rsidR="00FF7B1A" w:rsidRPr="0025777E" w:rsidRDefault="00FF7B1A" w:rsidP="00FF7B1A">
      <w:pPr>
        <w:spacing w:line="360" w:lineRule="auto"/>
        <w:jc w:val="center"/>
        <w:rPr>
          <w:rFonts w:ascii="Arial" w:hAnsi="Arial" w:cs="Arial"/>
          <w:bCs/>
        </w:rPr>
      </w:pPr>
    </w:p>
    <w:p w14:paraId="79BF7BC2" w14:textId="77777777" w:rsidR="00FF7B1A" w:rsidRPr="0025777E" w:rsidRDefault="00FF7B1A" w:rsidP="00FF7B1A">
      <w:pPr>
        <w:spacing w:line="360" w:lineRule="auto"/>
        <w:rPr>
          <w:rFonts w:ascii="Arial" w:hAnsi="Arial" w:cs="Arial"/>
          <w:bCs/>
        </w:rPr>
      </w:pPr>
    </w:p>
    <w:p w14:paraId="41FBA847" w14:textId="77777777" w:rsidR="00FF7B1A" w:rsidRPr="0025777E" w:rsidRDefault="00FF7B1A" w:rsidP="00FF7B1A">
      <w:pPr>
        <w:spacing w:line="360" w:lineRule="auto"/>
        <w:rPr>
          <w:rFonts w:ascii="Arial" w:hAnsi="Arial" w:cs="Arial"/>
          <w:bCs/>
        </w:rPr>
      </w:pPr>
    </w:p>
    <w:p w14:paraId="7C4A7E47" w14:textId="456E2B14" w:rsidR="00FF7B1A" w:rsidRPr="0025777E" w:rsidRDefault="00045A7C" w:rsidP="00FF7B1A">
      <w:pPr>
        <w:spacing w:line="360" w:lineRule="auto"/>
        <w:rPr>
          <w:rFonts w:ascii="Arial" w:hAnsi="Arial" w:cs="Arial"/>
          <w:bCs/>
        </w:rPr>
        <w:sectPr w:rsidR="00FF7B1A" w:rsidRPr="0025777E" w:rsidSect="0049047D">
          <w:headerReference w:type="default" r:id="rId12"/>
          <w:footerReference w:type="default" r:id="rId13"/>
          <w:pgSz w:w="11906" w:h="16838"/>
          <w:pgMar w:top="1134" w:right="1418" w:bottom="1134" w:left="1418" w:header="708" w:footer="708" w:gutter="0"/>
          <w:pgNumType w:fmt="lowerRoman" w:start="1"/>
          <w:cols w:space="708"/>
          <w:docGrid w:linePitch="360"/>
        </w:sectPr>
      </w:pPr>
      <w:r>
        <w:rPr>
          <w:rFonts w:ascii="Arial" w:hAnsi="Arial" w:cs="Arial"/>
          <w:bCs/>
        </w:rPr>
        <w:t>Word Count: 9693</w:t>
      </w:r>
      <w:bookmarkStart w:id="0" w:name="_GoBack"/>
      <w:bookmarkEnd w:id="0"/>
    </w:p>
    <w:sdt>
      <w:sdtPr>
        <w:rPr>
          <w:rFonts w:ascii="Arial" w:eastAsiaTheme="minorEastAsia" w:hAnsi="Arial" w:cs="Arial"/>
          <w:color w:val="auto"/>
          <w:sz w:val="22"/>
          <w:szCs w:val="22"/>
          <w:lang w:val="en-GB"/>
        </w:rPr>
        <w:id w:val="-962106835"/>
        <w:docPartObj>
          <w:docPartGallery w:val="Table of Contents"/>
          <w:docPartUnique/>
        </w:docPartObj>
      </w:sdtPr>
      <w:sdtEndPr>
        <w:rPr>
          <w:b/>
          <w:bCs/>
        </w:rPr>
      </w:sdtEndPr>
      <w:sdtContent>
        <w:p w14:paraId="50DB747C" w14:textId="77777777" w:rsidR="00FF7B1A" w:rsidRPr="0025777E" w:rsidRDefault="00FF7B1A" w:rsidP="00FF7B1A">
          <w:pPr>
            <w:pStyle w:val="TOCHeading"/>
            <w:spacing w:line="360" w:lineRule="auto"/>
            <w:rPr>
              <w:rFonts w:ascii="Arial" w:hAnsi="Arial" w:cs="Arial"/>
              <w:sz w:val="22"/>
              <w:szCs w:val="22"/>
            </w:rPr>
          </w:pPr>
          <w:r w:rsidRPr="0025777E">
            <w:rPr>
              <w:rFonts w:ascii="Arial" w:hAnsi="Arial" w:cs="Arial"/>
              <w:sz w:val="22"/>
              <w:szCs w:val="22"/>
            </w:rPr>
            <w:t>Contents</w:t>
          </w:r>
        </w:p>
        <w:p w14:paraId="55E690AE" w14:textId="3FB140FA" w:rsidR="00045A7C" w:rsidRDefault="00FF7B1A">
          <w:pPr>
            <w:pStyle w:val="TOC1"/>
            <w:tabs>
              <w:tab w:val="right" w:leader="dot" w:pos="9060"/>
            </w:tabs>
            <w:rPr>
              <w:rFonts w:eastAsiaTheme="minorEastAsia"/>
              <w:noProof/>
              <w:lang w:eastAsia="en-GB"/>
            </w:rPr>
          </w:pPr>
          <w:r w:rsidRPr="0025777E">
            <w:rPr>
              <w:rFonts w:ascii="Arial" w:hAnsi="Arial" w:cs="Arial"/>
            </w:rPr>
            <w:fldChar w:fldCharType="begin"/>
          </w:r>
          <w:r w:rsidRPr="0025777E">
            <w:rPr>
              <w:rFonts w:ascii="Arial" w:hAnsi="Arial" w:cs="Arial"/>
            </w:rPr>
            <w:instrText xml:space="preserve"> TOC \o "1-3" \h \z \u </w:instrText>
          </w:r>
          <w:r w:rsidRPr="0025777E">
            <w:rPr>
              <w:rFonts w:ascii="Arial" w:hAnsi="Arial" w:cs="Arial"/>
            </w:rPr>
            <w:fldChar w:fldCharType="separate"/>
          </w:r>
          <w:hyperlink w:anchor="_Toc214970240" w:history="1">
            <w:r w:rsidR="00045A7C" w:rsidRPr="005654CE">
              <w:rPr>
                <w:rStyle w:val="Hyperlink"/>
                <w:rFonts w:ascii="Arial" w:hAnsi="Arial" w:cs="Arial"/>
                <w:noProof/>
              </w:rPr>
              <w:t>1.0 Introduction</w:t>
            </w:r>
            <w:r w:rsidR="00045A7C">
              <w:rPr>
                <w:noProof/>
                <w:webHidden/>
              </w:rPr>
              <w:tab/>
            </w:r>
            <w:r w:rsidR="00045A7C">
              <w:rPr>
                <w:noProof/>
                <w:webHidden/>
              </w:rPr>
              <w:fldChar w:fldCharType="begin"/>
            </w:r>
            <w:r w:rsidR="00045A7C">
              <w:rPr>
                <w:noProof/>
                <w:webHidden/>
              </w:rPr>
              <w:instrText xml:space="preserve"> PAGEREF _Toc214970240 \h </w:instrText>
            </w:r>
            <w:r w:rsidR="00045A7C">
              <w:rPr>
                <w:noProof/>
                <w:webHidden/>
              </w:rPr>
            </w:r>
            <w:r w:rsidR="00045A7C">
              <w:rPr>
                <w:noProof/>
                <w:webHidden/>
              </w:rPr>
              <w:fldChar w:fldCharType="separate"/>
            </w:r>
            <w:r w:rsidR="00045A7C">
              <w:rPr>
                <w:noProof/>
                <w:webHidden/>
              </w:rPr>
              <w:t>2</w:t>
            </w:r>
            <w:r w:rsidR="00045A7C">
              <w:rPr>
                <w:noProof/>
                <w:webHidden/>
              </w:rPr>
              <w:fldChar w:fldCharType="end"/>
            </w:r>
          </w:hyperlink>
        </w:p>
        <w:p w14:paraId="09495328" w14:textId="386C05F6" w:rsidR="00045A7C" w:rsidRDefault="00045A7C">
          <w:pPr>
            <w:pStyle w:val="TOC1"/>
            <w:tabs>
              <w:tab w:val="right" w:leader="dot" w:pos="9060"/>
            </w:tabs>
            <w:rPr>
              <w:rFonts w:eastAsiaTheme="minorEastAsia"/>
              <w:noProof/>
              <w:lang w:eastAsia="en-GB"/>
            </w:rPr>
          </w:pPr>
          <w:hyperlink w:anchor="_Toc214970241" w:history="1">
            <w:r w:rsidRPr="005654CE">
              <w:rPr>
                <w:rStyle w:val="Hyperlink"/>
                <w:rFonts w:ascii="Arial" w:hAnsi="Arial" w:cs="Arial"/>
                <w:noProof/>
              </w:rPr>
              <w:t>2.0 Double-Loop Learning in Academic Development Literature Review</w:t>
            </w:r>
            <w:r>
              <w:rPr>
                <w:noProof/>
                <w:webHidden/>
              </w:rPr>
              <w:tab/>
            </w:r>
            <w:r>
              <w:rPr>
                <w:noProof/>
                <w:webHidden/>
              </w:rPr>
              <w:fldChar w:fldCharType="begin"/>
            </w:r>
            <w:r>
              <w:rPr>
                <w:noProof/>
                <w:webHidden/>
              </w:rPr>
              <w:instrText xml:space="preserve"> PAGEREF _Toc214970241 \h </w:instrText>
            </w:r>
            <w:r>
              <w:rPr>
                <w:noProof/>
                <w:webHidden/>
              </w:rPr>
            </w:r>
            <w:r>
              <w:rPr>
                <w:noProof/>
                <w:webHidden/>
              </w:rPr>
              <w:fldChar w:fldCharType="separate"/>
            </w:r>
            <w:r>
              <w:rPr>
                <w:noProof/>
                <w:webHidden/>
              </w:rPr>
              <w:t>4</w:t>
            </w:r>
            <w:r>
              <w:rPr>
                <w:noProof/>
                <w:webHidden/>
              </w:rPr>
              <w:fldChar w:fldCharType="end"/>
            </w:r>
          </w:hyperlink>
        </w:p>
        <w:p w14:paraId="5D07E73E" w14:textId="12D3F861" w:rsidR="00045A7C" w:rsidRDefault="00045A7C">
          <w:pPr>
            <w:pStyle w:val="TOC2"/>
            <w:tabs>
              <w:tab w:val="right" w:leader="dot" w:pos="9060"/>
            </w:tabs>
            <w:rPr>
              <w:rFonts w:eastAsiaTheme="minorEastAsia"/>
              <w:noProof/>
              <w:lang w:eastAsia="en-GB"/>
            </w:rPr>
          </w:pPr>
          <w:hyperlink w:anchor="_Toc214970242" w:history="1">
            <w:r w:rsidRPr="005654CE">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_Toc214970242 \h </w:instrText>
            </w:r>
            <w:r>
              <w:rPr>
                <w:noProof/>
                <w:webHidden/>
              </w:rPr>
            </w:r>
            <w:r>
              <w:rPr>
                <w:noProof/>
                <w:webHidden/>
              </w:rPr>
              <w:fldChar w:fldCharType="separate"/>
            </w:r>
            <w:r>
              <w:rPr>
                <w:noProof/>
                <w:webHidden/>
              </w:rPr>
              <w:t>4</w:t>
            </w:r>
            <w:r>
              <w:rPr>
                <w:noProof/>
                <w:webHidden/>
              </w:rPr>
              <w:fldChar w:fldCharType="end"/>
            </w:r>
          </w:hyperlink>
        </w:p>
        <w:p w14:paraId="133F1AD4" w14:textId="1940155C" w:rsidR="00045A7C" w:rsidRDefault="00045A7C">
          <w:pPr>
            <w:pStyle w:val="TOC2"/>
            <w:tabs>
              <w:tab w:val="right" w:leader="dot" w:pos="9060"/>
            </w:tabs>
            <w:rPr>
              <w:rFonts w:eastAsiaTheme="minorEastAsia"/>
              <w:noProof/>
              <w:lang w:eastAsia="en-GB"/>
            </w:rPr>
          </w:pPr>
          <w:hyperlink w:anchor="_Toc214970243" w:history="1">
            <w:r w:rsidRPr="005654CE">
              <w:rPr>
                <w:rStyle w:val="Hyperlink"/>
                <w:rFonts w:ascii="Arial" w:hAnsi="Arial" w:cs="Arial"/>
                <w:noProof/>
              </w:rPr>
              <w:t>2.2 Reflection, Professional Growth, and Imposter Syndrome</w:t>
            </w:r>
            <w:r>
              <w:rPr>
                <w:noProof/>
                <w:webHidden/>
              </w:rPr>
              <w:tab/>
            </w:r>
            <w:r>
              <w:rPr>
                <w:noProof/>
                <w:webHidden/>
              </w:rPr>
              <w:fldChar w:fldCharType="begin"/>
            </w:r>
            <w:r>
              <w:rPr>
                <w:noProof/>
                <w:webHidden/>
              </w:rPr>
              <w:instrText xml:space="preserve"> PAGEREF _Toc214970243 \h </w:instrText>
            </w:r>
            <w:r>
              <w:rPr>
                <w:noProof/>
                <w:webHidden/>
              </w:rPr>
            </w:r>
            <w:r>
              <w:rPr>
                <w:noProof/>
                <w:webHidden/>
              </w:rPr>
              <w:fldChar w:fldCharType="separate"/>
            </w:r>
            <w:r>
              <w:rPr>
                <w:noProof/>
                <w:webHidden/>
              </w:rPr>
              <w:t>5</w:t>
            </w:r>
            <w:r>
              <w:rPr>
                <w:noProof/>
                <w:webHidden/>
              </w:rPr>
              <w:fldChar w:fldCharType="end"/>
            </w:r>
          </w:hyperlink>
        </w:p>
        <w:p w14:paraId="76F500AB" w14:textId="2AF5B063" w:rsidR="00045A7C" w:rsidRDefault="00045A7C">
          <w:pPr>
            <w:pStyle w:val="TOC2"/>
            <w:tabs>
              <w:tab w:val="right" w:leader="dot" w:pos="9060"/>
            </w:tabs>
            <w:rPr>
              <w:rFonts w:eastAsiaTheme="minorEastAsia"/>
              <w:noProof/>
              <w:lang w:eastAsia="en-GB"/>
            </w:rPr>
          </w:pPr>
          <w:hyperlink w:anchor="_Toc214970244" w:history="1">
            <w:r w:rsidRPr="005654CE">
              <w:rPr>
                <w:rStyle w:val="Hyperlink"/>
                <w:rFonts w:ascii="Arial" w:hAnsi="Arial" w:cs="Arial"/>
                <w:noProof/>
              </w:rPr>
              <w:t>2.3 Theoretical Foundations and Pedagogical Landscape</w:t>
            </w:r>
            <w:r>
              <w:rPr>
                <w:noProof/>
                <w:webHidden/>
              </w:rPr>
              <w:tab/>
            </w:r>
            <w:r>
              <w:rPr>
                <w:noProof/>
                <w:webHidden/>
              </w:rPr>
              <w:fldChar w:fldCharType="begin"/>
            </w:r>
            <w:r>
              <w:rPr>
                <w:noProof/>
                <w:webHidden/>
              </w:rPr>
              <w:instrText xml:space="preserve"> PAGEREF _Toc214970244 \h </w:instrText>
            </w:r>
            <w:r>
              <w:rPr>
                <w:noProof/>
                <w:webHidden/>
              </w:rPr>
            </w:r>
            <w:r>
              <w:rPr>
                <w:noProof/>
                <w:webHidden/>
              </w:rPr>
              <w:fldChar w:fldCharType="separate"/>
            </w:r>
            <w:r>
              <w:rPr>
                <w:noProof/>
                <w:webHidden/>
              </w:rPr>
              <w:t>6</w:t>
            </w:r>
            <w:r>
              <w:rPr>
                <w:noProof/>
                <w:webHidden/>
              </w:rPr>
              <w:fldChar w:fldCharType="end"/>
            </w:r>
          </w:hyperlink>
        </w:p>
        <w:p w14:paraId="30278F2B" w14:textId="688FA732" w:rsidR="00045A7C" w:rsidRDefault="00045A7C">
          <w:pPr>
            <w:pStyle w:val="TOC2"/>
            <w:tabs>
              <w:tab w:val="right" w:leader="dot" w:pos="9060"/>
            </w:tabs>
            <w:rPr>
              <w:rFonts w:eastAsiaTheme="minorEastAsia"/>
              <w:noProof/>
              <w:lang w:eastAsia="en-GB"/>
            </w:rPr>
          </w:pPr>
          <w:hyperlink w:anchor="_Toc214970245" w:history="1">
            <w:r w:rsidRPr="005654CE">
              <w:rPr>
                <w:rStyle w:val="Hyperlink"/>
                <w:rFonts w:ascii="Arial" w:hAnsi="Arial" w:cs="Arial"/>
                <w:noProof/>
              </w:rPr>
              <w:t>2.4 Double-Loop Feedback in Practice</w:t>
            </w:r>
            <w:r>
              <w:rPr>
                <w:noProof/>
                <w:webHidden/>
              </w:rPr>
              <w:tab/>
            </w:r>
            <w:r>
              <w:rPr>
                <w:noProof/>
                <w:webHidden/>
              </w:rPr>
              <w:fldChar w:fldCharType="begin"/>
            </w:r>
            <w:r>
              <w:rPr>
                <w:noProof/>
                <w:webHidden/>
              </w:rPr>
              <w:instrText xml:space="preserve"> PAGEREF _Toc214970245 \h </w:instrText>
            </w:r>
            <w:r>
              <w:rPr>
                <w:noProof/>
                <w:webHidden/>
              </w:rPr>
            </w:r>
            <w:r>
              <w:rPr>
                <w:noProof/>
                <w:webHidden/>
              </w:rPr>
              <w:fldChar w:fldCharType="separate"/>
            </w:r>
            <w:r>
              <w:rPr>
                <w:noProof/>
                <w:webHidden/>
              </w:rPr>
              <w:t>6</w:t>
            </w:r>
            <w:r>
              <w:rPr>
                <w:noProof/>
                <w:webHidden/>
              </w:rPr>
              <w:fldChar w:fldCharType="end"/>
            </w:r>
          </w:hyperlink>
        </w:p>
        <w:p w14:paraId="78AC1F96" w14:textId="7A64C18C" w:rsidR="00045A7C" w:rsidRDefault="00045A7C">
          <w:pPr>
            <w:pStyle w:val="TOC2"/>
            <w:tabs>
              <w:tab w:val="right" w:leader="dot" w:pos="9060"/>
            </w:tabs>
            <w:rPr>
              <w:rFonts w:eastAsiaTheme="minorEastAsia"/>
              <w:noProof/>
              <w:lang w:eastAsia="en-GB"/>
            </w:rPr>
          </w:pPr>
          <w:hyperlink w:anchor="_Toc214970246" w:history="1">
            <w:r w:rsidRPr="005654CE">
              <w:rPr>
                <w:rStyle w:val="Hyperlink"/>
                <w:rFonts w:ascii="Arial" w:hAnsi="Arial" w:cs="Arial"/>
                <w:noProof/>
              </w:rPr>
              <w:t>2.5 Bridging the Academic–Vocational Gap</w:t>
            </w:r>
            <w:r>
              <w:rPr>
                <w:noProof/>
                <w:webHidden/>
              </w:rPr>
              <w:tab/>
            </w:r>
            <w:r>
              <w:rPr>
                <w:noProof/>
                <w:webHidden/>
              </w:rPr>
              <w:fldChar w:fldCharType="begin"/>
            </w:r>
            <w:r>
              <w:rPr>
                <w:noProof/>
                <w:webHidden/>
              </w:rPr>
              <w:instrText xml:space="preserve"> PAGEREF _Toc214970246 \h </w:instrText>
            </w:r>
            <w:r>
              <w:rPr>
                <w:noProof/>
                <w:webHidden/>
              </w:rPr>
            </w:r>
            <w:r>
              <w:rPr>
                <w:noProof/>
                <w:webHidden/>
              </w:rPr>
              <w:fldChar w:fldCharType="separate"/>
            </w:r>
            <w:r>
              <w:rPr>
                <w:noProof/>
                <w:webHidden/>
              </w:rPr>
              <w:t>7</w:t>
            </w:r>
            <w:r>
              <w:rPr>
                <w:noProof/>
                <w:webHidden/>
              </w:rPr>
              <w:fldChar w:fldCharType="end"/>
            </w:r>
          </w:hyperlink>
        </w:p>
        <w:p w14:paraId="7E44BBD1" w14:textId="532A63BF" w:rsidR="00045A7C" w:rsidRDefault="00045A7C">
          <w:pPr>
            <w:pStyle w:val="TOC2"/>
            <w:tabs>
              <w:tab w:val="right" w:leader="dot" w:pos="9060"/>
            </w:tabs>
            <w:rPr>
              <w:rFonts w:eastAsiaTheme="minorEastAsia"/>
              <w:noProof/>
              <w:lang w:eastAsia="en-GB"/>
            </w:rPr>
          </w:pPr>
          <w:hyperlink w:anchor="_Toc214970247" w:history="1">
            <w:r w:rsidRPr="005654CE">
              <w:rPr>
                <w:rStyle w:val="Hyperlink"/>
                <w:rFonts w:ascii="Arial" w:hAnsi="Arial" w:cs="Arial"/>
                <w:noProof/>
              </w:rPr>
              <w:t>2.6 Conclusion</w:t>
            </w:r>
            <w:r>
              <w:rPr>
                <w:noProof/>
                <w:webHidden/>
              </w:rPr>
              <w:tab/>
            </w:r>
            <w:r>
              <w:rPr>
                <w:noProof/>
                <w:webHidden/>
              </w:rPr>
              <w:fldChar w:fldCharType="begin"/>
            </w:r>
            <w:r>
              <w:rPr>
                <w:noProof/>
                <w:webHidden/>
              </w:rPr>
              <w:instrText xml:space="preserve"> PAGEREF _Toc214970247 \h </w:instrText>
            </w:r>
            <w:r>
              <w:rPr>
                <w:noProof/>
                <w:webHidden/>
              </w:rPr>
            </w:r>
            <w:r>
              <w:rPr>
                <w:noProof/>
                <w:webHidden/>
              </w:rPr>
              <w:fldChar w:fldCharType="separate"/>
            </w:r>
            <w:r>
              <w:rPr>
                <w:noProof/>
                <w:webHidden/>
              </w:rPr>
              <w:t>7</w:t>
            </w:r>
            <w:r>
              <w:rPr>
                <w:noProof/>
                <w:webHidden/>
              </w:rPr>
              <w:fldChar w:fldCharType="end"/>
            </w:r>
          </w:hyperlink>
        </w:p>
        <w:p w14:paraId="2DE64AB8" w14:textId="62C4AEB9" w:rsidR="00045A7C" w:rsidRDefault="00045A7C">
          <w:pPr>
            <w:pStyle w:val="TOC1"/>
            <w:tabs>
              <w:tab w:val="right" w:leader="dot" w:pos="9060"/>
            </w:tabs>
            <w:rPr>
              <w:rFonts w:eastAsiaTheme="minorEastAsia"/>
              <w:noProof/>
              <w:lang w:eastAsia="en-GB"/>
            </w:rPr>
          </w:pPr>
          <w:hyperlink w:anchor="_Toc214970248" w:history="1">
            <w:r w:rsidRPr="005654CE">
              <w:rPr>
                <w:rStyle w:val="Hyperlink"/>
                <w:rFonts w:ascii="Arial" w:hAnsi="Arial" w:cs="Arial"/>
                <w:noProof/>
              </w:rPr>
              <w:t>3.0 Methodology</w:t>
            </w:r>
            <w:r>
              <w:rPr>
                <w:noProof/>
                <w:webHidden/>
              </w:rPr>
              <w:tab/>
            </w:r>
            <w:r>
              <w:rPr>
                <w:noProof/>
                <w:webHidden/>
              </w:rPr>
              <w:fldChar w:fldCharType="begin"/>
            </w:r>
            <w:r>
              <w:rPr>
                <w:noProof/>
                <w:webHidden/>
              </w:rPr>
              <w:instrText xml:space="preserve"> PAGEREF _Toc214970248 \h </w:instrText>
            </w:r>
            <w:r>
              <w:rPr>
                <w:noProof/>
                <w:webHidden/>
              </w:rPr>
            </w:r>
            <w:r>
              <w:rPr>
                <w:noProof/>
                <w:webHidden/>
              </w:rPr>
              <w:fldChar w:fldCharType="separate"/>
            </w:r>
            <w:r>
              <w:rPr>
                <w:noProof/>
                <w:webHidden/>
              </w:rPr>
              <w:t>7</w:t>
            </w:r>
            <w:r>
              <w:rPr>
                <w:noProof/>
                <w:webHidden/>
              </w:rPr>
              <w:fldChar w:fldCharType="end"/>
            </w:r>
          </w:hyperlink>
        </w:p>
        <w:p w14:paraId="76CD502E" w14:textId="6FA5D58D" w:rsidR="00045A7C" w:rsidRDefault="00045A7C">
          <w:pPr>
            <w:pStyle w:val="TOC2"/>
            <w:tabs>
              <w:tab w:val="right" w:leader="dot" w:pos="9060"/>
            </w:tabs>
            <w:rPr>
              <w:rFonts w:eastAsiaTheme="minorEastAsia"/>
              <w:noProof/>
              <w:lang w:eastAsia="en-GB"/>
            </w:rPr>
          </w:pPr>
          <w:hyperlink w:anchor="_Toc214970249" w:history="1">
            <w:r w:rsidRPr="005654CE">
              <w:rPr>
                <w:rStyle w:val="Hyperlink"/>
                <w:rFonts w:ascii="Arial" w:hAnsi="Arial" w:cs="Arial"/>
                <w:noProof/>
              </w:rPr>
              <w:t>3.1 Research Design and Paradigm</w:t>
            </w:r>
            <w:r>
              <w:rPr>
                <w:noProof/>
                <w:webHidden/>
              </w:rPr>
              <w:tab/>
            </w:r>
            <w:r>
              <w:rPr>
                <w:noProof/>
                <w:webHidden/>
              </w:rPr>
              <w:fldChar w:fldCharType="begin"/>
            </w:r>
            <w:r>
              <w:rPr>
                <w:noProof/>
                <w:webHidden/>
              </w:rPr>
              <w:instrText xml:space="preserve"> PAGEREF _Toc214970249 \h </w:instrText>
            </w:r>
            <w:r>
              <w:rPr>
                <w:noProof/>
                <w:webHidden/>
              </w:rPr>
            </w:r>
            <w:r>
              <w:rPr>
                <w:noProof/>
                <w:webHidden/>
              </w:rPr>
              <w:fldChar w:fldCharType="separate"/>
            </w:r>
            <w:r>
              <w:rPr>
                <w:noProof/>
                <w:webHidden/>
              </w:rPr>
              <w:t>8</w:t>
            </w:r>
            <w:r>
              <w:rPr>
                <w:noProof/>
                <w:webHidden/>
              </w:rPr>
              <w:fldChar w:fldCharType="end"/>
            </w:r>
          </w:hyperlink>
        </w:p>
        <w:p w14:paraId="3D89DEA9" w14:textId="07908AB6" w:rsidR="00045A7C" w:rsidRDefault="00045A7C">
          <w:pPr>
            <w:pStyle w:val="TOC2"/>
            <w:tabs>
              <w:tab w:val="right" w:leader="dot" w:pos="9060"/>
            </w:tabs>
            <w:rPr>
              <w:rFonts w:eastAsiaTheme="minorEastAsia"/>
              <w:noProof/>
              <w:lang w:eastAsia="en-GB"/>
            </w:rPr>
          </w:pPr>
          <w:hyperlink w:anchor="_Toc214970250" w:history="1">
            <w:r w:rsidRPr="005654CE">
              <w:rPr>
                <w:rStyle w:val="Hyperlink"/>
                <w:rFonts w:ascii="Arial" w:hAnsi="Arial" w:cs="Arial"/>
                <w:noProof/>
              </w:rPr>
              <w:t>3.2 Action Research Cycle</w:t>
            </w:r>
            <w:r>
              <w:rPr>
                <w:noProof/>
                <w:webHidden/>
              </w:rPr>
              <w:tab/>
            </w:r>
            <w:r>
              <w:rPr>
                <w:noProof/>
                <w:webHidden/>
              </w:rPr>
              <w:fldChar w:fldCharType="begin"/>
            </w:r>
            <w:r>
              <w:rPr>
                <w:noProof/>
                <w:webHidden/>
              </w:rPr>
              <w:instrText xml:space="preserve"> PAGEREF _Toc214970250 \h </w:instrText>
            </w:r>
            <w:r>
              <w:rPr>
                <w:noProof/>
                <w:webHidden/>
              </w:rPr>
            </w:r>
            <w:r>
              <w:rPr>
                <w:noProof/>
                <w:webHidden/>
              </w:rPr>
              <w:fldChar w:fldCharType="separate"/>
            </w:r>
            <w:r>
              <w:rPr>
                <w:noProof/>
                <w:webHidden/>
              </w:rPr>
              <w:t>8</w:t>
            </w:r>
            <w:r>
              <w:rPr>
                <w:noProof/>
                <w:webHidden/>
              </w:rPr>
              <w:fldChar w:fldCharType="end"/>
            </w:r>
          </w:hyperlink>
        </w:p>
        <w:p w14:paraId="6D2FCD3D" w14:textId="2FDC0C8B" w:rsidR="00045A7C" w:rsidRDefault="00045A7C">
          <w:pPr>
            <w:pStyle w:val="TOC2"/>
            <w:tabs>
              <w:tab w:val="right" w:leader="dot" w:pos="9060"/>
            </w:tabs>
            <w:rPr>
              <w:rFonts w:eastAsiaTheme="minorEastAsia"/>
              <w:noProof/>
              <w:lang w:eastAsia="en-GB"/>
            </w:rPr>
          </w:pPr>
          <w:hyperlink w:anchor="_Toc214970251" w:history="1">
            <w:r w:rsidRPr="005654CE">
              <w:rPr>
                <w:rStyle w:val="Hyperlink"/>
                <w:rFonts w:ascii="Arial" w:hAnsi="Arial" w:cs="Arial"/>
                <w:noProof/>
              </w:rPr>
              <w:t>3.3 Data Collection Methods</w:t>
            </w:r>
            <w:r>
              <w:rPr>
                <w:noProof/>
                <w:webHidden/>
              </w:rPr>
              <w:tab/>
            </w:r>
            <w:r>
              <w:rPr>
                <w:noProof/>
                <w:webHidden/>
              </w:rPr>
              <w:fldChar w:fldCharType="begin"/>
            </w:r>
            <w:r>
              <w:rPr>
                <w:noProof/>
                <w:webHidden/>
              </w:rPr>
              <w:instrText xml:space="preserve"> PAGEREF _Toc214970251 \h </w:instrText>
            </w:r>
            <w:r>
              <w:rPr>
                <w:noProof/>
                <w:webHidden/>
              </w:rPr>
            </w:r>
            <w:r>
              <w:rPr>
                <w:noProof/>
                <w:webHidden/>
              </w:rPr>
              <w:fldChar w:fldCharType="separate"/>
            </w:r>
            <w:r>
              <w:rPr>
                <w:noProof/>
                <w:webHidden/>
              </w:rPr>
              <w:t>9</w:t>
            </w:r>
            <w:r>
              <w:rPr>
                <w:noProof/>
                <w:webHidden/>
              </w:rPr>
              <w:fldChar w:fldCharType="end"/>
            </w:r>
          </w:hyperlink>
        </w:p>
        <w:p w14:paraId="5DE180D0" w14:textId="77AF74D4" w:rsidR="00045A7C" w:rsidRDefault="00045A7C">
          <w:pPr>
            <w:pStyle w:val="TOC2"/>
            <w:tabs>
              <w:tab w:val="right" w:leader="dot" w:pos="9060"/>
            </w:tabs>
            <w:rPr>
              <w:rFonts w:eastAsiaTheme="minorEastAsia"/>
              <w:noProof/>
              <w:lang w:eastAsia="en-GB"/>
            </w:rPr>
          </w:pPr>
          <w:hyperlink w:anchor="_Toc214970252" w:history="1">
            <w:r w:rsidRPr="005654CE">
              <w:rPr>
                <w:rStyle w:val="Hyperlink"/>
                <w:rFonts w:ascii="Arial" w:hAnsi="Arial" w:cs="Arial"/>
                <w:noProof/>
              </w:rPr>
              <w:t>3.4 Methodological Justification</w:t>
            </w:r>
            <w:r>
              <w:rPr>
                <w:noProof/>
                <w:webHidden/>
              </w:rPr>
              <w:tab/>
            </w:r>
            <w:r>
              <w:rPr>
                <w:noProof/>
                <w:webHidden/>
              </w:rPr>
              <w:fldChar w:fldCharType="begin"/>
            </w:r>
            <w:r>
              <w:rPr>
                <w:noProof/>
                <w:webHidden/>
              </w:rPr>
              <w:instrText xml:space="preserve"> PAGEREF _Toc214970252 \h </w:instrText>
            </w:r>
            <w:r>
              <w:rPr>
                <w:noProof/>
                <w:webHidden/>
              </w:rPr>
            </w:r>
            <w:r>
              <w:rPr>
                <w:noProof/>
                <w:webHidden/>
              </w:rPr>
              <w:fldChar w:fldCharType="separate"/>
            </w:r>
            <w:r>
              <w:rPr>
                <w:noProof/>
                <w:webHidden/>
              </w:rPr>
              <w:t>9</w:t>
            </w:r>
            <w:r>
              <w:rPr>
                <w:noProof/>
                <w:webHidden/>
              </w:rPr>
              <w:fldChar w:fldCharType="end"/>
            </w:r>
          </w:hyperlink>
        </w:p>
        <w:p w14:paraId="2F179BE2" w14:textId="540585A4" w:rsidR="00045A7C" w:rsidRDefault="00045A7C">
          <w:pPr>
            <w:pStyle w:val="TOC2"/>
            <w:tabs>
              <w:tab w:val="right" w:leader="dot" w:pos="9060"/>
            </w:tabs>
            <w:rPr>
              <w:rFonts w:eastAsiaTheme="minorEastAsia"/>
              <w:noProof/>
              <w:lang w:eastAsia="en-GB"/>
            </w:rPr>
          </w:pPr>
          <w:hyperlink w:anchor="_Toc214970253" w:history="1">
            <w:r w:rsidRPr="005654CE">
              <w:rPr>
                <w:rStyle w:val="Hyperlink"/>
                <w:rFonts w:ascii="Arial" w:hAnsi="Arial" w:cs="Arial"/>
                <w:noProof/>
              </w:rPr>
              <w:t>3.5 Ethical Considerations</w:t>
            </w:r>
            <w:r>
              <w:rPr>
                <w:noProof/>
                <w:webHidden/>
              </w:rPr>
              <w:tab/>
            </w:r>
            <w:r>
              <w:rPr>
                <w:noProof/>
                <w:webHidden/>
              </w:rPr>
              <w:fldChar w:fldCharType="begin"/>
            </w:r>
            <w:r>
              <w:rPr>
                <w:noProof/>
                <w:webHidden/>
              </w:rPr>
              <w:instrText xml:space="preserve"> PAGEREF _Toc214970253 \h </w:instrText>
            </w:r>
            <w:r>
              <w:rPr>
                <w:noProof/>
                <w:webHidden/>
              </w:rPr>
            </w:r>
            <w:r>
              <w:rPr>
                <w:noProof/>
                <w:webHidden/>
              </w:rPr>
              <w:fldChar w:fldCharType="separate"/>
            </w:r>
            <w:r>
              <w:rPr>
                <w:noProof/>
                <w:webHidden/>
              </w:rPr>
              <w:t>10</w:t>
            </w:r>
            <w:r>
              <w:rPr>
                <w:noProof/>
                <w:webHidden/>
              </w:rPr>
              <w:fldChar w:fldCharType="end"/>
            </w:r>
          </w:hyperlink>
        </w:p>
        <w:p w14:paraId="37C3EB4B" w14:textId="508BB4E2" w:rsidR="00045A7C" w:rsidRDefault="00045A7C">
          <w:pPr>
            <w:pStyle w:val="TOC2"/>
            <w:tabs>
              <w:tab w:val="right" w:leader="dot" w:pos="9060"/>
            </w:tabs>
            <w:rPr>
              <w:rFonts w:eastAsiaTheme="minorEastAsia"/>
              <w:noProof/>
              <w:lang w:eastAsia="en-GB"/>
            </w:rPr>
          </w:pPr>
          <w:hyperlink w:anchor="_Toc214970254" w:history="1">
            <w:r w:rsidRPr="005654CE">
              <w:rPr>
                <w:rStyle w:val="Hyperlink"/>
                <w:rFonts w:ascii="Arial" w:hAnsi="Arial" w:cs="Arial"/>
                <w:noProof/>
              </w:rPr>
              <w:t>3.6 Data Analysis</w:t>
            </w:r>
            <w:r>
              <w:rPr>
                <w:noProof/>
                <w:webHidden/>
              </w:rPr>
              <w:tab/>
            </w:r>
            <w:r>
              <w:rPr>
                <w:noProof/>
                <w:webHidden/>
              </w:rPr>
              <w:fldChar w:fldCharType="begin"/>
            </w:r>
            <w:r>
              <w:rPr>
                <w:noProof/>
                <w:webHidden/>
              </w:rPr>
              <w:instrText xml:space="preserve"> PAGEREF _Toc214970254 \h </w:instrText>
            </w:r>
            <w:r>
              <w:rPr>
                <w:noProof/>
                <w:webHidden/>
              </w:rPr>
            </w:r>
            <w:r>
              <w:rPr>
                <w:noProof/>
                <w:webHidden/>
              </w:rPr>
              <w:fldChar w:fldCharType="separate"/>
            </w:r>
            <w:r>
              <w:rPr>
                <w:noProof/>
                <w:webHidden/>
              </w:rPr>
              <w:t>10</w:t>
            </w:r>
            <w:r>
              <w:rPr>
                <w:noProof/>
                <w:webHidden/>
              </w:rPr>
              <w:fldChar w:fldCharType="end"/>
            </w:r>
          </w:hyperlink>
        </w:p>
        <w:p w14:paraId="72266CF1" w14:textId="38D1C034" w:rsidR="00045A7C" w:rsidRDefault="00045A7C">
          <w:pPr>
            <w:pStyle w:val="TOC2"/>
            <w:tabs>
              <w:tab w:val="right" w:leader="dot" w:pos="9060"/>
            </w:tabs>
            <w:rPr>
              <w:rFonts w:eastAsiaTheme="minorEastAsia"/>
              <w:noProof/>
              <w:lang w:eastAsia="en-GB"/>
            </w:rPr>
          </w:pPr>
          <w:hyperlink w:anchor="_Toc214970255" w:history="1">
            <w:r w:rsidRPr="005654CE">
              <w:rPr>
                <w:rStyle w:val="Hyperlink"/>
                <w:rFonts w:ascii="Arial" w:hAnsi="Arial" w:cs="Arial"/>
                <w:noProof/>
              </w:rPr>
              <w:t>3.7 Validity and Limitations</w:t>
            </w:r>
            <w:r>
              <w:rPr>
                <w:noProof/>
                <w:webHidden/>
              </w:rPr>
              <w:tab/>
            </w:r>
            <w:r>
              <w:rPr>
                <w:noProof/>
                <w:webHidden/>
              </w:rPr>
              <w:fldChar w:fldCharType="begin"/>
            </w:r>
            <w:r>
              <w:rPr>
                <w:noProof/>
                <w:webHidden/>
              </w:rPr>
              <w:instrText xml:space="preserve"> PAGEREF _Toc214970255 \h </w:instrText>
            </w:r>
            <w:r>
              <w:rPr>
                <w:noProof/>
                <w:webHidden/>
              </w:rPr>
            </w:r>
            <w:r>
              <w:rPr>
                <w:noProof/>
                <w:webHidden/>
              </w:rPr>
              <w:fldChar w:fldCharType="separate"/>
            </w:r>
            <w:r>
              <w:rPr>
                <w:noProof/>
                <w:webHidden/>
              </w:rPr>
              <w:t>10</w:t>
            </w:r>
            <w:r>
              <w:rPr>
                <w:noProof/>
                <w:webHidden/>
              </w:rPr>
              <w:fldChar w:fldCharType="end"/>
            </w:r>
          </w:hyperlink>
        </w:p>
        <w:p w14:paraId="472E4B71" w14:textId="20F50596" w:rsidR="00045A7C" w:rsidRDefault="00045A7C">
          <w:pPr>
            <w:pStyle w:val="TOC2"/>
            <w:tabs>
              <w:tab w:val="right" w:leader="dot" w:pos="9060"/>
            </w:tabs>
            <w:rPr>
              <w:rFonts w:eastAsiaTheme="minorEastAsia"/>
              <w:noProof/>
              <w:lang w:eastAsia="en-GB"/>
            </w:rPr>
          </w:pPr>
          <w:hyperlink w:anchor="_Toc214970256" w:history="1">
            <w:r w:rsidRPr="005654CE">
              <w:rPr>
                <w:rStyle w:val="Hyperlink"/>
                <w:rFonts w:ascii="Arial" w:hAnsi="Arial" w:cs="Arial"/>
                <w:noProof/>
              </w:rPr>
              <w:t>3.8 Conclusion</w:t>
            </w:r>
            <w:r>
              <w:rPr>
                <w:noProof/>
                <w:webHidden/>
              </w:rPr>
              <w:tab/>
            </w:r>
            <w:r>
              <w:rPr>
                <w:noProof/>
                <w:webHidden/>
              </w:rPr>
              <w:fldChar w:fldCharType="begin"/>
            </w:r>
            <w:r>
              <w:rPr>
                <w:noProof/>
                <w:webHidden/>
              </w:rPr>
              <w:instrText xml:space="preserve"> PAGEREF _Toc214970256 \h </w:instrText>
            </w:r>
            <w:r>
              <w:rPr>
                <w:noProof/>
                <w:webHidden/>
              </w:rPr>
            </w:r>
            <w:r>
              <w:rPr>
                <w:noProof/>
                <w:webHidden/>
              </w:rPr>
              <w:fldChar w:fldCharType="separate"/>
            </w:r>
            <w:r>
              <w:rPr>
                <w:noProof/>
                <w:webHidden/>
              </w:rPr>
              <w:t>11</w:t>
            </w:r>
            <w:r>
              <w:rPr>
                <w:noProof/>
                <w:webHidden/>
              </w:rPr>
              <w:fldChar w:fldCharType="end"/>
            </w:r>
          </w:hyperlink>
        </w:p>
        <w:p w14:paraId="56110B7C" w14:textId="195C23FC" w:rsidR="00045A7C" w:rsidRDefault="00045A7C">
          <w:pPr>
            <w:pStyle w:val="TOC1"/>
            <w:tabs>
              <w:tab w:val="right" w:leader="dot" w:pos="9060"/>
            </w:tabs>
            <w:rPr>
              <w:rFonts w:eastAsiaTheme="minorEastAsia"/>
              <w:noProof/>
              <w:lang w:eastAsia="en-GB"/>
            </w:rPr>
          </w:pPr>
          <w:hyperlink w:anchor="_Toc214970257" w:history="1">
            <w:r w:rsidRPr="005654CE">
              <w:rPr>
                <w:rStyle w:val="Hyperlink"/>
                <w:rFonts w:ascii="Arial" w:hAnsi="Arial" w:cs="Arial"/>
                <w:noProof/>
              </w:rPr>
              <w:t>4.0 Findings – Implementation of Double-Loop Feedback</w:t>
            </w:r>
            <w:r>
              <w:rPr>
                <w:noProof/>
                <w:webHidden/>
              </w:rPr>
              <w:tab/>
            </w:r>
            <w:r>
              <w:rPr>
                <w:noProof/>
                <w:webHidden/>
              </w:rPr>
              <w:fldChar w:fldCharType="begin"/>
            </w:r>
            <w:r>
              <w:rPr>
                <w:noProof/>
                <w:webHidden/>
              </w:rPr>
              <w:instrText xml:space="preserve"> PAGEREF _Toc214970257 \h </w:instrText>
            </w:r>
            <w:r>
              <w:rPr>
                <w:noProof/>
                <w:webHidden/>
              </w:rPr>
            </w:r>
            <w:r>
              <w:rPr>
                <w:noProof/>
                <w:webHidden/>
              </w:rPr>
              <w:fldChar w:fldCharType="separate"/>
            </w:r>
            <w:r>
              <w:rPr>
                <w:noProof/>
                <w:webHidden/>
              </w:rPr>
              <w:t>11</w:t>
            </w:r>
            <w:r>
              <w:rPr>
                <w:noProof/>
                <w:webHidden/>
              </w:rPr>
              <w:fldChar w:fldCharType="end"/>
            </w:r>
          </w:hyperlink>
        </w:p>
        <w:p w14:paraId="66F2814A" w14:textId="163AAEBF" w:rsidR="00045A7C" w:rsidRDefault="00045A7C">
          <w:pPr>
            <w:pStyle w:val="TOC2"/>
            <w:tabs>
              <w:tab w:val="right" w:leader="dot" w:pos="9060"/>
            </w:tabs>
            <w:rPr>
              <w:rFonts w:eastAsiaTheme="minorEastAsia"/>
              <w:noProof/>
              <w:lang w:eastAsia="en-GB"/>
            </w:rPr>
          </w:pPr>
          <w:hyperlink w:anchor="_Toc214970258" w:history="1">
            <w:r w:rsidRPr="005654CE">
              <w:rPr>
                <w:rStyle w:val="Hyperlink"/>
                <w:rFonts w:ascii="Arial" w:hAnsi="Arial" w:cs="Arial"/>
                <w:noProof/>
              </w:rPr>
              <w:t>4.1 Feedback Strategies</w:t>
            </w:r>
            <w:r>
              <w:rPr>
                <w:noProof/>
                <w:webHidden/>
              </w:rPr>
              <w:tab/>
            </w:r>
            <w:r>
              <w:rPr>
                <w:noProof/>
                <w:webHidden/>
              </w:rPr>
              <w:fldChar w:fldCharType="begin"/>
            </w:r>
            <w:r>
              <w:rPr>
                <w:noProof/>
                <w:webHidden/>
              </w:rPr>
              <w:instrText xml:space="preserve"> PAGEREF _Toc214970258 \h </w:instrText>
            </w:r>
            <w:r>
              <w:rPr>
                <w:noProof/>
                <w:webHidden/>
              </w:rPr>
            </w:r>
            <w:r>
              <w:rPr>
                <w:noProof/>
                <w:webHidden/>
              </w:rPr>
              <w:fldChar w:fldCharType="separate"/>
            </w:r>
            <w:r>
              <w:rPr>
                <w:noProof/>
                <w:webHidden/>
              </w:rPr>
              <w:t>11</w:t>
            </w:r>
            <w:r>
              <w:rPr>
                <w:noProof/>
                <w:webHidden/>
              </w:rPr>
              <w:fldChar w:fldCharType="end"/>
            </w:r>
          </w:hyperlink>
        </w:p>
        <w:p w14:paraId="0056EDA5" w14:textId="0557FE5A" w:rsidR="00045A7C" w:rsidRDefault="00045A7C">
          <w:pPr>
            <w:pStyle w:val="TOC2"/>
            <w:tabs>
              <w:tab w:val="right" w:leader="dot" w:pos="9060"/>
            </w:tabs>
            <w:rPr>
              <w:rFonts w:eastAsiaTheme="minorEastAsia"/>
              <w:noProof/>
              <w:lang w:eastAsia="en-GB"/>
            </w:rPr>
          </w:pPr>
          <w:hyperlink w:anchor="_Toc214970259" w:history="1">
            <w:r w:rsidRPr="005654CE">
              <w:rPr>
                <w:rStyle w:val="Hyperlink"/>
                <w:rFonts w:ascii="Arial" w:hAnsi="Arial" w:cs="Arial"/>
                <w:noProof/>
              </w:rPr>
              <w:t>4.1.1 Formative Assessment Methods</w:t>
            </w:r>
            <w:r>
              <w:rPr>
                <w:noProof/>
                <w:webHidden/>
              </w:rPr>
              <w:tab/>
            </w:r>
            <w:r>
              <w:rPr>
                <w:noProof/>
                <w:webHidden/>
              </w:rPr>
              <w:fldChar w:fldCharType="begin"/>
            </w:r>
            <w:r>
              <w:rPr>
                <w:noProof/>
                <w:webHidden/>
              </w:rPr>
              <w:instrText xml:space="preserve"> PAGEREF _Toc214970259 \h </w:instrText>
            </w:r>
            <w:r>
              <w:rPr>
                <w:noProof/>
                <w:webHidden/>
              </w:rPr>
            </w:r>
            <w:r>
              <w:rPr>
                <w:noProof/>
                <w:webHidden/>
              </w:rPr>
              <w:fldChar w:fldCharType="separate"/>
            </w:r>
            <w:r>
              <w:rPr>
                <w:noProof/>
                <w:webHidden/>
              </w:rPr>
              <w:t>11</w:t>
            </w:r>
            <w:r>
              <w:rPr>
                <w:noProof/>
                <w:webHidden/>
              </w:rPr>
              <w:fldChar w:fldCharType="end"/>
            </w:r>
          </w:hyperlink>
        </w:p>
        <w:p w14:paraId="21E78CCA" w14:textId="06706F8E" w:rsidR="00045A7C" w:rsidRDefault="00045A7C">
          <w:pPr>
            <w:pStyle w:val="TOC2"/>
            <w:tabs>
              <w:tab w:val="right" w:leader="dot" w:pos="9060"/>
            </w:tabs>
            <w:rPr>
              <w:rFonts w:eastAsiaTheme="minorEastAsia"/>
              <w:noProof/>
              <w:lang w:eastAsia="en-GB"/>
            </w:rPr>
          </w:pPr>
          <w:hyperlink w:anchor="_Toc214970260" w:history="1">
            <w:r w:rsidRPr="005654CE">
              <w:rPr>
                <w:rStyle w:val="Hyperlink"/>
                <w:rFonts w:ascii="Arial" w:hAnsi="Arial" w:cs="Arial"/>
                <w:noProof/>
              </w:rPr>
              <w:t>4.1.2 Summative Assessment Approaches</w:t>
            </w:r>
            <w:r>
              <w:rPr>
                <w:noProof/>
                <w:webHidden/>
              </w:rPr>
              <w:tab/>
            </w:r>
            <w:r>
              <w:rPr>
                <w:noProof/>
                <w:webHidden/>
              </w:rPr>
              <w:fldChar w:fldCharType="begin"/>
            </w:r>
            <w:r>
              <w:rPr>
                <w:noProof/>
                <w:webHidden/>
              </w:rPr>
              <w:instrText xml:space="preserve"> PAGEREF _Toc214970260 \h </w:instrText>
            </w:r>
            <w:r>
              <w:rPr>
                <w:noProof/>
                <w:webHidden/>
              </w:rPr>
            </w:r>
            <w:r>
              <w:rPr>
                <w:noProof/>
                <w:webHidden/>
              </w:rPr>
              <w:fldChar w:fldCharType="separate"/>
            </w:r>
            <w:r>
              <w:rPr>
                <w:noProof/>
                <w:webHidden/>
              </w:rPr>
              <w:t>12</w:t>
            </w:r>
            <w:r>
              <w:rPr>
                <w:noProof/>
                <w:webHidden/>
              </w:rPr>
              <w:fldChar w:fldCharType="end"/>
            </w:r>
          </w:hyperlink>
        </w:p>
        <w:p w14:paraId="4B10DD8D" w14:textId="3EFAC20F" w:rsidR="00045A7C" w:rsidRDefault="00045A7C">
          <w:pPr>
            <w:pStyle w:val="TOC2"/>
            <w:tabs>
              <w:tab w:val="right" w:leader="dot" w:pos="9060"/>
            </w:tabs>
            <w:rPr>
              <w:rFonts w:eastAsiaTheme="minorEastAsia"/>
              <w:noProof/>
              <w:lang w:eastAsia="en-GB"/>
            </w:rPr>
          </w:pPr>
          <w:hyperlink w:anchor="_Toc214970261" w:history="1">
            <w:r w:rsidRPr="005654CE">
              <w:rPr>
                <w:rStyle w:val="Hyperlink"/>
                <w:rFonts w:ascii="Arial" w:hAnsi="Arial" w:cs="Arial"/>
                <w:noProof/>
              </w:rPr>
              <w:t>4.2 Metacognitive Development</w:t>
            </w:r>
            <w:r>
              <w:rPr>
                <w:noProof/>
                <w:webHidden/>
              </w:rPr>
              <w:tab/>
            </w:r>
            <w:r>
              <w:rPr>
                <w:noProof/>
                <w:webHidden/>
              </w:rPr>
              <w:fldChar w:fldCharType="begin"/>
            </w:r>
            <w:r>
              <w:rPr>
                <w:noProof/>
                <w:webHidden/>
              </w:rPr>
              <w:instrText xml:space="preserve"> PAGEREF _Toc214970261 \h </w:instrText>
            </w:r>
            <w:r>
              <w:rPr>
                <w:noProof/>
                <w:webHidden/>
              </w:rPr>
            </w:r>
            <w:r>
              <w:rPr>
                <w:noProof/>
                <w:webHidden/>
              </w:rPr>
              <w:fldChar w:fldCharType="separate"/>
            </w:r>
            <w:r>
              <w:rPr>
                <w:noProof/>
                <w:webHidden/>
              </w:rPr>
              <w:t>12</w:t>
            </w:r>
            <w:r>
              <w:rPr>
                <w:noProof/>
                <w:webHidden/>
              </w:rPr>
              <w:fldChar w:fldCharType="end"/>
            </w:r>
          </w:hyperlink>
        </w:p>
        <w:p w14:paraId="61104CFA" w14:textId="447D6BCD" w:rsidR="00045A7C" w:rsidRDefault="00045A7C">
          <w:pPr>
            <w:pStyle w:val="TOC1"/>
            <w:tabs>
              <w:tab w:val="right" w:leader="dot" w:pos="9060"/>
            </w:tabs>
            <w:rPr>
              <w:rFonts w:eastAsiaTheme="minorEastAsia"/>
              <w:noProof/>
              <w:lang w:eastAsia="en-GB"/>
            </w:rPr>
          </w:pPr>
          <w:hyperlink w:anchor="_Toc214970262" w:history="1">
            <w:r w:rsidRPr="005654CE">
              <w:rPr>
                <w:rStyle w:val="Hyperlink"/>
                <w:rFonts w:ascii="Arial" w:hAnsi="Arial" w:cs="Arial"/>
                <w:noProof/>
              </w:rPr>
              <w:t>5.0 Thematic Analysis</w:t>
            </w:r>
            <w:r>
              <w:rPr>
                <w:noProof/>
                <w:webHidden/>
              </w:rPr>
              <w:tab/>
            </w:r>
            <w:r>
              <w:rPr>
                <w:noProof/>
                <w:webHidden/>
              </w:rPr>
              <w:fldChar w:fldCharType="begin"/>
            </w:r>
            <w:r>
              <w:rPr>
                <w:noProof/>
                <w:webHidden/>
              </w:rPr>
              <w:instrText xml:space="preserve"> PAGEREF _Toc214970262 \h </w:instrText>
            </w:r>
            <w:r>
              <w:rPr>
                <w:noProof/>
                <w:webHidden/>
              </w:rPr>
            </w:r>
            <w:r>
              <w:rPr>
                <w:noProof/>
                <w:webHidden/>
              </w:rPr>
              <w:fldChar w:fldCharType="separate"/>
            </w:r>
            <w:r>
              <w:rPr>
                <w:noProof/>
                <w:webHidden/>
              </w:rPr>
              <w:t>13</w:t>
            </w:r>
            <w:r>
              <w:rPr>
                <w:noProof/>
                <w:webHidden/>
              </w:rPr>
              <w:fldChar w:fldCharType="end"/>
            </w:r>
          </w:hyperlink>
        </w:p>
        <w:p w14:paraId="4965FC18" w14:textId="2336CFD0" w:rsidR="00045A7C" w:rsidRDefault="00045A7C">
          <w:pPr>
            <w:pStyle w:val="TOC2"/>
            <w:tabs>
              <w:tab w:val="right" w:leader="dot" w:pos="9060"/>
            </w:tabs>
            <w:rPr>
              <w:rFonts w:eastAsiaTheme="minorEastAsia"/>
              <w:noProof/>
              <w:lang w:eastAsia="en-GB"/>
            </w:rPr>
          </w:pPr>
          <w:hyperlink w:anchor="_Toc214970263" w:history="1">
            <w:r w:rsidRPr="005654CE">
              <w:rPr>
                <w:rStyle w:val="Hyperlink"/>
                <w:rFonts w:ascii="Arial" w:hAnsi="Arial" w:cs="Arial"/>
                <w:noProof/>
              </w:rPr>
              <w:t>5.1 Phase 1: Familiarisation with the Data</w:t>
            </w:r>
            <w:r>
              <w:rPr>
                <w:noProof/>
                <w:webHidden/>
              </w:rPr>
              <w:tab/>
            </w:r>
            <w:r>
              <w:rPr>
                <w:noProof/>
                <w:webHidden/>
              </w:rPr>
              <w:fldChar w:fldCharType="begin"/>
            </w:r>
            <w:r>
              <w:rPr>
                <w:noProof/>
                <w:webHidden/>
              </w:rPr>
              <w:instrText xml:space="preserve"> PAGEREF _Toc214970263 \h </w:instrText>
            </w:r>
            <w:r>
              <w:rPr>
                <w:noProof/>
                <w:webHidden/>
              </w:rPr>
            </w:r>
            <w:r>
              <w:rPr>
                <w:noProof/>
                <w:webHidden/>
              </w:rPr>
              <w:fldChar w:fldCharType="separate"/>
            </w:r>
            <w:r>
              <w:rPr>
                <w:noProof/>
                <w:webHidden/>
              </w:rPr>
              <w:t>13</w:t>
            </w:r>
            <w:r>
              <w:rPr>
                <w:noProof/>
                <w:webHidden/>
              </w:rPr>
              <w:fldChar w:fldCharType="end"/>
            </w:r>
          </w:hyperlink>
        </w:p>
        <w:p w14:paraId="6885066C" w14:textId="60B8DF3D" w:rsidR="00045A7C" w:rsidRDefault="00045A7C">
          <w:pPr>
            <w:pStyle w:val="TOC3"/>
            <w:tabs>
              <w:tab w:val="right" w:leader="dot" w:pos="9060"/>
            </w:tabs>
            <w:rPr>
              <w:rFonts w:eastAsiaTheme="minorEastAsia"/>
              <w:noProof/>
              <w:lang w:eastAsia="en-GB"/>
            </w:rPr>
          </w:pPr>
          <w:hyperlink w:anchor="_Toc214970264" w:history="1">
            <w:r w:rsidRPr="005654CE">
              <w:rPr>
                <w:rStyle w:val="Hyperlink"/>
                <w:rFonts w:ascii="Arial" w:hAnsi="Arial" w:cs="Arial"/>
                <w:noProof/>
              </w:rPr>
              <w:t>5.1.1 Figure 1</w:t>
            </w:r>
            <w:r>
              <w:rPr>
                <w:noProof/>
                <w:webHidden/>
              </w:rPr>
              <w:tab/>
            </w:r>
            <w:r>
              <w:rPr>
                <w:noProof/>
                <w:webHidden/>
              </w:rPr>
              <w:fldChar w:fldCharType="begin"/>
            </w:r>
            <w:r>
              <w:rPr>
                <w:noProof/>
                <w:webHidden/>
              </w:rPr>
              <w:instrText xml:space="preserve"> PAGEREF _Toc214970264 \h </w:instrText>
            </w:r>
            <w:r>
              <w:rPr>
                <w:noProof/>
                <w:webHidden/>
              </w:rPr>
            </w:r>
            <w:r>
              <w:rPr>
                <w:noProof/>
                <w:webHidden/>
              </w:rPr>
              <w:fldChar w:fldCharType="separate"/>
            </w:r>
            <w:r>
              <w:rPr>
                <w:noProof/>
                <w:webHidden/>
              </w:rPr>
              <w:t>13</w:t>
            </w:r>
            <w:r>
              <w:rPr>
                <w:noProof/>
                <w:webHidden/>
              </w:rPr>
              <w:fldChar w:fldCharType="end"/>
            </w:r>
          </w:hyperlink>
        </w:p>
        <w:p w14:paraId="5254580B" w14:textId="38B7820E" w:rsidR="00045A7C" w:rsidRDefault="00045A7C">
          <w:pPr>
            <w:pStyle w:val="TOC3"/>
            <w:tabs>
              <w:tab w:val="right" w:leader="dot" w:pos="9060"/>
            </w:tabs>
            <w:rPr>
              <w:rFonts w:eastAsiaTheme="minorEastAsia"/>
              <w:noProof/>
              <w:lang w:eastAsia="en-GB"/>
            </w:rPr>
          </w:pPr>
          <w:hyperlink w:anchor="_Toc214970265" w:history="1">
            <w:r w:rsidRPr="005654CE">
              <w:rPr>
                <w:rStyle w:val="Hyperlink"/>
                <w:rFonts w:ascii="Arial" w:hAnsi="Arial" w:cs="Arial"/>
                <w:noProof/>
              </w:rPr>
              <w:t>5.1.2 Figure 2</w:t>
            </w:r>
            <w:r>
              <w:rPr>
                <w:noProof/>
                <w:webHidden/>
              </w:rPr>
              <w:tab/>
            </w:r>
            <w:r>
              <w:rPr>
                <w:noProof/>
                <w:webHidden/>
              </w:rPr>
              <w:fldChar w:fldCharType="begin"/>
            </w:r>
            <w:r>
              <w:rPr>
                <w:noProof/>
                <w:webHidden/>
              </w:rPr>
              <w:instrText xml:space="preserve"> PAGEREF _Toc214970265 \h </w:instrText>
            </w:r>
            <w:r>
              <w:rPr>
                <w:noProof/>
                <w:webHidden/>
              </w:rPr>
            </w:r>
            <w:r>
              <w:rPr>
                <w:noProof/>
                <w:webHidden/>
              </w:rPr>
              <w:fldChar w:fldCharType="separate"/>
            </w:r>
            <w:r>
              <w:rPr>
                <w:noProof/>
                <w:webHidden/>
              </w:rPr>
              <w:t>14</w:t>
            </w:r>
            <w:r>
              <w:rPr>
                <w:noProof/>
                <w:webHidden/>
              </w:rPr>
              <w:fldChar w:fldCharType="end"/>
            </w:r>
          </w:hyperlink>
        </w:p>
        <w:p w14:paraId="08C26CAD" w14:textId="4EA3BC1A" w:rsidR="00045A7C" w:rsidRDefault="00045A7C">
          <w:pPr>
            <w:pStyle w:val="TOC2"/>
            <w:tabs>
              <w:tab w:val="right" w:leader="dot" w:pos="9060"/>
            </w:tabs>
            <w:rPr>
              <w:rFonts w:eastAsiaTheme="minorEastAsia"/>
              <w:noProof/>
              <w:lang w:eastAsia="en-GB"/>
            </w:rPr>
          </w:pPr>
          <w:hyperlink w:anchor="_Toc214970266" w:history="1">
            <w:r w:rsidRPr="005654CE">
              <w:rPr>
                <w:rStyle w:val="Hyperlink"/>
                <w:rFonts w:ascii="Arial" w:hAnsi="Arial" w:cs="Arial"/>
                <w:noProof/>
              </w:rPr>
              <w:t>5.2 Phase 2: Generating Initial Codes</w:t>
            </w:r>
            <w:r>
              <w:rPr>
                <w:noProof/>
                <w:webHidden/>
              </w:rPr>
              <w:tab/>
            </w:r>
            <w:r>
              <w:rPr>
                <w:noProof/>
                <w:webHidden/>
              </w:rPr>
              <w:fldChar w:fldCharType="begin"/>
            </w:r>
            <w:r>
              <w:rPr>
                <w:noProof/>
                <w:webHidden/>
              </w:rPr>
              <w:instrText xml:space="preserve"> PAGEREF _Toc214970266 \h </w:instrText>
            </w:r>
            <w:r>
              <w:rPr>
                <w:noProof/>
                <w:webHidden/>
              </w:rPr>
            </w:r>
            <w:r>
              <w:rPr>
                <w:noProof/>
                <w:webHidden/>
              </w:rPr>
              <w:fldChar w:fldCharType="separate"/>
            </w:r>
            <w:r>
              <w:rPr>
                <w:noProof/>
                <w:webHidden/>
              </w:rPr>
              <w:t>14</w:t>
            </w:r>
            <w:r>
              <w:rPr>
                <w:noProof/>
                <w:webHidden/>
              </w:rPr>
              <w:fldChar w:fldCharType="end"/>
            </w:r>
          </w:hyperlink>
        </w:p>
        <w:p w14:paraId="25CFD1AF" w14:textId="6589F871" w:rsidR="00045A7C" w:rsidRDefault="00045A7C">
          <w:pPr>
            <w:pStyle w:val="TOC2"/>
            <w:tabs>
              <w:tab w:val="right" w:leader="dot" w:pos="9060"/>
            </w:tabs>
            <w:rPr>
              <w:rFonts w:eastAsiaTheme="minorEastAsia"/>
              <w:noProof/>
              <w:lang w:eastAsia="en-GB"/>
            </w:rPr>
          </w:pPr>
          <w:hyperlink w:anchor="_Toc214970267" w:history="1">
            <w:r w:rsidRPr="005654CE">
              <w:rPr>
                <w:rStyle w:val="Hyperlink"/>
                <w:rFonts w:ascii="Arial" w:hAnsi="Arial" w:cs="Arial"/>
                <w:noProof/>
              </w:rPr>
              <w:t>5.3 Phase 3: Searching for Themes</w:t>
            </w:r>
            <w:r>
              <w:rPr>
                <w:noProof/>
                <w:webHidden/>
              </w:rPr>
              <w:tab/>
            </w:r>
            <w:r>
              <w:rPr>
                <w:noProof/>
                <w:webHidden/>
              </w:rPr>
              <w:fldChar w:fldCharType="begin"/>
            </w:r>
            <w:r>
              <w:rPr>
                <w:noProof/>
                <w:webHidden/>
              </w:rPr>
              <w:instrText xml:space="preserve"> PAGEREF _Toc214970267 \h </w:instrText>
            </w:r>
            <w:r>
              <w:rPr>
                <w:noProof/>
                <w:webHidden/>
              </w:rPr>
            </w:r>
            <w:r>
              <w:rPr>
                <w:noProof/>
                <w:webHidden/>
              </w:rPr>
              <w:fldChar w:fldCharType="separate"/>
            </w:r>
            <w:r>
              <w:rPr>
                <w:noProof/>
                <w:webHidden/>
              </w:rPr>
              <w:t>14</w:t>
            </w:r>
            <w:r>
              <w:rPr>
                <w:noProof/>
                <w:webHidden/>
              </w:rPr>
              <w:fldChar w:fldCharType="end"/>
            </w:r>
          </w:hyperlink>
        </w:p>
        <w:p w14:paraId="30AC0031" w14:textId="17904817" w:rsidR="00045A7C" w:rsidRDefault="00045A7C">
          <w:pPr>
            <w:pStyle w:val="TOC2"/>
            <w:tabs>
              <w:tab w:val="right" w:leader="dot" w:pos="9060"/>
            </w:tabs>
            <w:rPr>
              <w:rFonts w:eastAsiaTheme="minorEastAsia"/>
              <w:noProof/>
              <w:lang w:eastAsia="en-GB"/>
            </w:rPr>
          </w:pPr>
          <w:hyperlink w:anchor="_Toc214970268" w:history="1">
            <w:r w:rsidRPr="005654CE">
              <w:rPr>
                <w:rStyle w:val="Hyperlink"/>
                <w:rFonts w:ascii="Arial" w:hAnsi="Arial" w:cs="Arial"/>
                <w:noProof/>
              </w:rPr>
              <w:t>5.4 Phase 4: Reviewing Themes</w:t>
            </w:r>
            <w:r>
              <w:rPr>
                <w:noProof/>
                <w:webHidden/>
              </w:rPr>
              <w:tab/>
            </w:r>
            <w:r>
              <w:rPr>
                <w:noProof/>
                <w:webHidden/>
              </w:rPr>
              <w:fldChar w:fldCharType="begin"/>
            </w:r>
            <w:r>
              <w:rPr>
                <w:noProof/>
                <w:webHidden/>
              </w:rPr>
              <w:instrText xml:space="preserve"> PAGEREF _Toc214970268 \h </w:instrText>
            </w:r>
            <w:r>
              <w:rPr>
                <w:noProof/>
                <w:webHidden/>
              </w:rPr>
            </w:r>
            <w:r>
              <w:rPr>
                <w:noProof/>
                <w:webHidden/>
              </w:rPr>
              <w:fldChar w:fldCharType="separate"/>
            </w:r>
            <w:r>
              <w:rPr>
                <w:noProof/>
                <w:webHidden/>
              </w:rPr>
              <w:t>15</w:t>
            </w:r>
            <w:r>
              <w:rPr>
                <w:noProof/>
                <w:webHidden/>
              </w:rPr>
              <w:fldChar w:fldCharType="end"/>
            </w:r>
          </w:hyperlink>
        </w:p>
        <w:p w14:paraId="51901491" w14:textId="069F5005" w:rsidR="00045A7C" w:rsidRDefault="00045A7C">
          <w:pPr>
            <w:pStyle w:val="TOC2"/>
            <w:tabs>
              <w:tab w:val="right" w:leader="dot" w:pos="9060"/>
            </w:tabs>
            <w:rPr>
              <w:rFonts w:eastAsiaTheme="minorEastAsia"/>
              <w:noProof/>
              <w:lang w:eastAsia="en-GB"/>
            </w:rPr>
          </w:pPr>
          <w:hyperlink w:anchor="_Toc214970269" w:history="1">
            <w:r w:rsidRPr="005654CE">
              <w:rPr>
                <w:rStyle w:val="Hyperlink"/>
                <w:rFonts w:ascii="Arial" w:hAnsi="Arial" w:cs="Arial"/>
                <w:noProof/>
              </w:rPr>
              <w:t>5.5 Phase 5: Defining and Naming Themes</w:t>
            </w:r>
            <w:r>
              <w:rPr>
                <w:noProof/>
                <w:webHidden/>
              </w:rPr>
              <w:tab/>
            </w:r>
            <w:r>
              <w:rPr>
                <w:noProof/>
                <w:webHidden/>
              </w:rPr>
              <w:fldChar w:fldCharType="begin"/>
            </w:r>
            <w:r>
              <w:rPr>
                <w:noProof/>
                <w:webHidden/>
              </w:rPr>
              <w:instrText xml:space="preserve"> PAGEREF _Toc214970269 \h </w:instrText>
            </w:r>
            <w:r>
              <w:rPr>
                <w:noProof/>
                <w:webHidden/>
              </w:rPr>
            </w:r>
            <w:r>
              <w:rPr>
                <w:noProof/>
                <w:webHidden/>
              </w:rPr>
              <w:fldChar w:fldCharType="separate"/>
            </w:r>
            <w:r>
              <w:rPr>
                <w:noProof/>
                <w:webHidden/>
              </w:rPr>
              <w:t>15</w:t>
            </w:r>
            <w:r>
              <w:rPr>
                <w:noProof/>
                <w:webHidden/>
              </w:rPr>
              <w:fldChar w:fldCharType="end"/>
            </w:r>
          </w:hyperlink>
        </w:p>
        <w:p w14:paraId="1F71E46E" w14:textId="39507B52" w:rsidR="00045A7C" w:rsidRDefault="00045A7C">
          <w:pPr>
            <w:pStyle w:val="TOC2"/>
            <w:tabs>
              <w:tab w:val="right" w:leader="dot" w:pos="9060"/>
            </w:tabs>
            <w:rPr>
              <w:rFonts w:eastAsiaTheme="minorEastAsia"/>
              <w:noProof/>
              <w:lang w:eastAsia="en-GB"/>
            </w:rPr>
          </w:pPr>
          <w:hyperlink w:anchor="_Toc214970270" w:history="1">
            <w:r w:rsidRPr="005654CE">
              <w:rPr>
                <w:rStyle w:val="Hyperlink"/>
                <w:rFonts w:ascii="Arial" w:hAnsi="Arial" w:cs="Arial"/>
                <w:noProof/>
              </w:rPr>
              <w:t>5.6 Phase 6: Producing the Report</w:t>
            </w:r>
            <w:r>
              <w:rPr>
                <w:noProof/>
                <w:webHidden/>
              </w:rPr>
              <w:tab/>
            </w:r>
            <w:r>
              <w:rPr>
                <w:noProof/>
                <w:webHidden/>
              </w:rPr>
              <w:fldChar w:fldCharType="begin"/>
            </w:r>
            <w:r>
              <w:rPr>
                <w:noProof/>
                <w:webHidden/>
              </w:rPr>
              <w:instrText xml:space="preserve"> PAGEREF _Toc214970270 \h </w:instrText>
            </w:r>
            <w:r>
              <w:rPr>
                <w:noProof/>
                <w:webHidden/>
              </w:rPr>
            </w:r>
            <w:r>
              <w:rPr>
                <w:noProof/>
                <w:webHidden/>
              </w:rPr>
              <w:fldChar w:fldCharType="separate"/>
            </w:r>
            <w:r>
              <w:rPr>
                <w:noProof/>
                <w:webHidden/>
              </w:rPr>
              <w:t>16</w:t>
            </w:r>
            <w:r>
              <w:rPr>
                <w:noProof/>
                <w:webHidden/>
              </w:rPr>
              <w:fldChar w:fldCharType="end"/>
            </w:r>
          </w:hyperlink>
        </w:p>
        <w:p w14:paraId="6F551D0F" w14:textId="73A2CD93" w:rsidR="00045A7C" w:rsidRDefault="00045A7C">
          <w:pPr>
            <w:pStyle w:val="TOC1"/>
            <w:tabs>
              <w:tab w:val="right" w:leader="dot" w:pos="9060"/>
            </w:tabs>
            <w:rPr>
              <w:rFonts w:eastAsiaTheme="minorEastAsia"/>
              <w:noProof/>
              <w:lang w:eastAsia="en-GB"/>
            </w:rPr>
          </w:pPr>
          <w:hyperlink w:anchor="_Toc214970271" w:history="1">
            <w:r w:rsidRPr="005654CE">
              <w:rPr>
                <w:rStyle w:val="Hyperlink"/>
                <w:rFonts w:ascii="Arial" w:hAnsi="Arial" w:cs="Arial"/>
                <w:noProof/>
              </w:rPr>
              <w:t>6.0 Impact on Academic Performance</w:t>
            </w:r>
            <w:r>
              <w:rPr>
                <w:noProof/>
                <w:webHidden/>
              </w:rPr>
              <w:tab/>
            </w:r>
            <w:r>
              <w:rPr>
                <w:noProof/>
                <w:webHidden/>
              </w:rPr>
              <w:fldChar w:fldCharType="begin"/>
            </w:r>
            <w:r>
              <w:rPr>
                <w:noProof/>
                <w:webHidden/>
              </w:rPr>
              <w:instrText xml:space="preserve"> PAGEREF _Toc214970271 \h </w:instrText>
            </w:r>
            <w:r>
              <w:rPr>
                <w:noProof/>
                <w:webHidden/>
              </w:rPr>
            </w:r>
            <w:r>
              <w:rPr>
                <w:noProof/>
                <w:webHidden/>
              </w:rPr>
              <w:fldChar w:fldCharType="separate"/>
            </w:r>
            <w:r>
              <w:rPr>
                <w:noProof/>
                <w:webHidden/>
              </w:rPr>
              <w:t>18</w:t>
            </w:r>
            <w:r>
              <w:rPr>
                <w:noProof/>
                <w:webHidden/>
              </w:rPr>
              <w:fldChar w:fldCharType="end"/>
            </w:r>
          </w:hyperlink>
        </w:p>
        <w:p w14:paraId="2F48C522" w14:textId="0EF752B3" w:rsidR="00045A7C" w:rsidRDefault="00045A7C">
          <w:pPr>
            <w:pStyle w:val="TOC1"/>
            <w:tabs>
              <w:tab w:val="right" w:leader="dot" w:pos="9060"/>
            </w:tabs>
            <w:rPr>
              <w:rFonts w:eastAsiaTheme="minorEastAsia"/>
              <w:noProof/>
              <w:lang w:eastAsia="en-GB"/>
            </w:rPr>
          </w:pPr>
          <w:hyperlink w:anchor="_Toc214970272" w:history="1">
            <w:r w:rsidRPr="005654CE">
              <w:rPr>
                <w:rStyle w:val="Hyperlink"/>
                <w:rFonts w:ascii="Arial" w:hAnsi="Arial" w:cs="Arial"/>
                <w:noProof/>
              </w:rPr>
              <w:t>6.1 Measurable Performance Data Demonstrating Improvement</w:t>
            </w:r>
            <w:r>
              <w:rPr>
                <w:noProof/>
                <w:webHidden/>
              </w:rPr>
              <w:tab/>
            </w:r>
            <w:r>
              <w:rPr>
                <w:noProof/>
                <w:webHidden/>
              </w:rPr>
              <w:fldChar w:fldCharType="begin"/>
            </w:r>
            <w:r>
              <w:rPr>
                <w:noProof/>
                <w:webHidden/>
              </w:rPr>
              <w:instrText xml:space="preserve"> PAGEREF _Toc214970272 \h </w:instrText>
            </w:r>
            <w:r>
              <w:rPr>
                <w:noProof/>
                <w:webHidden/>
              </w:rPr>
            </w:r>
            <w:r>
              <w:rPr>
                <w:noProof/>
                <w:webHidden/>
              </w:rPr>
              <w:fldChar w:fldCharType="separate"/>
            </w:r>
            <w:r>
              <w:rPr>
                <w:noProof/>
                <w:webHidden/>
              </w:rPr>
              <w:t>18</w:t>
            </w:r>
            <w:r>
              <w:rPr>
                <w:noProof/>
                <w:webHidden/>
              </w:rPr>
              <w:fldChar w:fldCharType="end"/>
            </w:r>
          </w:hyperlink>
        </w:p>
        <w:p w14:paraId="15BF666C" w14:textId="25AAD357" w:rsidR="00045A7C" w:rsidRDefault="00045A7C">
          <w:pPr>
            <w:pStyle w:val="TOC2"/>
            <w:tabs>
              <w:tab w:val="right" w:leader="dot" w:pos="9060"/>
            </w:tabs>
            <w:rPr>
              <w:rFonts w:eastAsiaTheme="minorEastAsia"/>
              <w:noProof/>
              <w:lang w:eastAsia="en-GB"/>
            </w:rPr>
          </w:pPr>
          <w:hyperlink w:anchor="_Toc214970273" w:history="1">
            <w:r w:rsidRPr="005654CE">
              <w:rPr>
                <w:rStyle w:val="Hyperlink"/>
                <w:rFonts w:ascii="Arial" w:hAnsi="Arial" w:cs="Arial"/>
                <w:noProof/>
              </w:rPr>
              <w:t>6.1.1 Before / After Rubric Comparison (Academic Performance Evidence)</w:t>
            </w:r>
            <w:r>
              <w:rPr>
                <w:noProof/>
                <w:webHidden/>
              </w:rPr>
              <w:tab/>
            </w:r>
            <w:r>
              <w:rPr>
                <w:noProof/>
                <w:webHidden/>
              </w:rPr>
              <w:fldChar w:fldCharType="begin"/>
            </w:r>
            <w:r>
              <w:rPr>
                <w:noProof/>
                <w:webHidden/>
              </w:rPr>
              <w:instrText xml:space="preserve"> PAGEREF _Toc214970273 \h </w:instrText>
            </w:r>
            <w:r>
              <w:rPr>
                <w:noProof/>
                <w:webHidden/>
              </w:rPr>
            </w:r>
            <w:r>
              <w:rPr>
                <w:noProof/>
                <w:webHidden/>
              </w:rPr>
              <w:fldChar w:fldCharType="separate"/>
            </w:r>
            <w:r>
              <w:rPr>
                <w:noProof/>
                <w:webHidden/>
              </w:rPr>
              <w:t>18</w:t>
            </w:r>
            <w:r>
              <w:rPr>
                <w:noProof/>
                <w:webHidden/>
              </w:rPr>
              <w:fldChar w:fldCharType="end"/>
            </w:r>
          </w:hyperlink>
        </w:p>
        <w:p w14:paraId="6AC8F222" w14:textId="5421C8D8" w:rsidR="00045A7C" w:rsidRDefault="00045A7C">
          <w:pPr>
            <w:pStyle w:val="TOC3"/>
            <w:tabs>
              <w:tab w:val="right" w:leader="dot" w:pos="9060"/>
            </w:tabs>
            <w:rPr>
              <w:rFonts w:eastAsiaTheme="minorEastAsia"/>
              <w:noProof/>
              <w:lang w:eastAsia="en-GB"/>
            </w:rPr>
          </w:pPr>
          <w:hyperlink w:anchor="_Toc214970274" w:history="1">
            <w:r w:rsidRPr="005654CE">
              <w:rPr>
                <w:rStyle w:val="Hyperlink"/>
                <w:rFonts w:ascii="Arial" w:hAnsi="Arial" w:cs="Arial"/>
                <w:noProof/>
              </w:rPr>
              <w:t>6.1.1.1 Figure 3</w:t>
            </w:r>
            <w:r>
              <w:rPr>
                <w:noProof/>
                <w:webHidden/>
              </w:rPr>
              <w:tab/>
            </w:r>
            <w:r>
              <w:rPr>
                <w:noProof/>
                <w:webHidden/>
              </w:rPr>
              <w:fldChar w:fldCharType="begin"/>
            </w:r>
            <w:r>
              <w:rPr>
                <w:noProof/>
                <w:webHidden/>
              </w:rPr>
              <w:instrText xml:space="preserve"> PAGEREF _Toc214970274 \h </w:instrText>
            </w:r>
            <w:r>
              <w:rPr>
                <w:noProof/>
                <w:webHidden/>
              </w:rPr>
            </w:r>
            <w:r>
              <w:rPr>
                <w:noProof/>
                <w:webHidden/>
              </w:rPr>
              <w:fldChar w:fldCharType="separate"/>
            </w:r>
            <w:r>
              <w:rPr>
                <w:noProof/>
                <w:webHidden/>
              </w:rPr>
              <w:t>19</w:t>
            </w:r>
            <w:r>
              <w:rPr>
                <w:noProof/>
                <w:webHidden/>
              </w:rPr>
              <w:fldChar w:fldCharType="end"/>
            </w:r>
          </w:hyperlink>
        </w:p>
        <w:p w14:paraId="39FDE555" w14:textId="618307FB" w:rsidR="00045A7C" w:rsidRDefault="00045A7C">
          <w:pPr>
            <w:pStyle w:val="TOC2"/>
            <w:tabs>
              <w:tab w:val="right" w:leader="dot" w:pos="9060"/>
            </w:tabs>
            <w:rPr>
              <w:rFonts w:eastAsiaTheme="minorEastAsia"/>
              <w:noProof/>
              <w:lang w:eastAsia="en-GB"/>
            </w:rPr>
          </w:pPr>
          <w:hyperlink w:anchor="_Toc214970275" w:history="1">
            <w:r w:rsidRPr="005654CE">
              <w:rPr>
                <w:rStyle w:val="Hyperlink"/>
                <w:rFonts w:ascii="Arial" w:hAnsi="Arial" w:cs="Arial"/>
                <w:noProof/>
              </w:rPr>
              <w:t>6.1.2 Quantitative Change: Cohort-Level Improvement</w:t>
            </w:r>
            <w:r>
              <w:rPr>
                <w:noProof/>
                <w:webHidden/>
              </w:rPr>
              <w:tab/>
            </w:r>
            <w:r>
              <w:rPr>
                <w:noProof/>
                <w:webHidden/>
              </w:rPr>
              <w:fldChar w:fldCharType="begin"/>
            </w:r>
            <w:r>
              <w:rPr>
                <w:noProof/>
                <w:webHidden/>
              </w:rPr>
              <w:instrText xml:space="preserve"> PAGEREF _Toc214970275 \h </w:instrText>
            </w:r>
            <w:r>
              <w:rPr>
                <w:noProof/>
                <w:webHidden/>
              </w:rPr>
            </w:r>
            <w:r>
              <w:rPr>
                <w:noProof/>
                <w:webHidden/>
              </w:rPr>
              <w:fldChar w:fldCharType="separate"/>
            </w:r>
            <w:r>
              <w:rPr>
                <w:noProof/>
                <w:webHidden/>
              </w:rPr>
              <w:t>19</w:t>
            </w:r>
            <w:r>
              <w:rPr>
                <w:noProof/>
                <w:webHidden/>
              </w:rPr>
              <w:fldChar w:fldCharType="end"/>
            </w:r>
          </w:hyperlink>
        </w:p>
        <w:p w14:paraId="5C53C5C5" w14:textId="25A039D5" w:rsidR="00045A7C" w:rsidRDefault="00045A7C">
          <w:pPr>
            <w:pStyle w:val="TOC2"/>
            <w:tabs>
              <w:tab w:val="right" w:leader="dot" w:pos="9060"/>
            </w:tabs>
            <w:rPr>
              <w:rFonts w:eastAsiaTheme="minorEastAsia"/>
              <w:noProof/>
              <w:lang w:eastAsia="en-GB"/>
            </w:rPr>
          </w:pPr>
          <w:hyperlink w:anchor="_Toc214970276" w:history="1">
            <w:r w:rsidRPr="005654CE">
              <w:rPr>
                <w:rStyle w:val="Hyperlink"/>
                <w:rFonts w:ascii="Arial" w:hAnsi="Arial" w:cs="Arial"/>
                <w:noProof/>
              </w:rPr>
              <w:t>6.1.3 Triangulation of Findings (Quantitative + Qualitative + Observation)</w:t>
            </w:r>
            <w:r>
              <w:rPr>
                <w:noProof/>
                <w:webHidden/>
              </w:rPr>
              <w:tab/>
            </w:r>
            <w:r>
              <w:rPr>
                <w:noProof/>
                <w:webHidden/>
              </w:rPr>
              <w:fldChar w:fldCharType="begin"/>
            </w:r>
            <w:r>
              <w:rPr>
                <w:noProof/>
                <w:webHidden/>
              </w:rPr>
              <w:instrText xml:space="preserve"> PAGEREF _Toc214970276 \h </w:instrText>
            </w:r>
            <w:r>
              <w:rPr>
                <w:noProof/>
                <w:webHidden/>
              </w:rPr>
            </w:r>
            <w:r>
              <w:rPr>
                <w:noProof/>
                <w:webHidden/>
              </w:rPr>
              <w:fldChar w:fldCharType="separate"/>
            </w:r>
            <w:r>
              <w:rPr>
                <w:noProof/>
                <w:webHidden/>
              </w:rPr>
              <w:t>19</w:t>
            </w:r>
            <w:r>
              <w:rPr>
                <w:noProof/>
                <w:webHidden/>
              </w:rPr>
              <w:fldChar w:fldCharType="end"/>
            </w:r>
          </w:hyperlink>
        </w:p>
        <w:p w14:paraId="14D6F2E2" w14:textId="4EA26556" w:rsidR="00045A7C" w:rsidRDefault="00045A7C">
          <w:pPr>
            <w:pStyle w:val="TOC3"/>
            <w:tabs>
              <w:tab w:val="right" w:leader="dot" w:pos="9060"/>
            </w:tabs>
            <w:rPr>
              <w:rFonts w:eastAsiaTheme="minorEastAsia"/>
              <w:noProof/>
              <w:lang w:eastAsia="en-GB"/>
            </w:rPr>
          </w:pPr>
          <w:hyperlink w:anchor="_Toc214970277" w:history="1">
            <w:r w:rsidRPr="005654CE">
              <w:rPr>
                <w:rStyle w:val="Hyperlink"/>
                <w:rFonts w:ascii="Arial" w:hAnsi="Arial" w:cs="Arial"/>
                <w:noProof/>
              </w:rPr>
              <w:t>6.1.3.1 Quantitative Survey Data</w:t>
            </w:r>
            <w:r>
              <w:rPr>
                <w:noProof/>
                <w:webHidden/>
              </w:rPr>
              <w:tab/>
            </w:r>
            <w:r>
              <w:rPr>
                <w:noProof/>
                <w:webHidden/>
              </w:rPr>
              <w:fldChar w:fldCharType="begin"/>
            </w:r>
            <w:r>
              <w:rPr>
                <w:noProof/>
                <w:webHidden/>
              </w:rPr>
              <w:instrText xml:space="preserve"> PAGEREF _Toc214970277 \h </w:instrText>
            </w:r>
            <w:r>
              <w:rPr>
                <w:noProof/>
                <w:webHidden/>
              </w:rPr>
            </w:r>
            <w:r>
              <w:rPr>
                <w:noProof/>
                <w:webHidden/>
              </w:rPr>
              <w:fldChar w:fldCharType="separate"/>
            </w:r>
            <w:r>
              <w:rPr>
                <w:noProof/>
                <w:webHidden/>
              </w:rPr>
              <w:t>19</w:t>
            </w:r>
            <w:r>
              <w:rPr>
                <w:noProof/>
                <w:webHidden/>
              </w:rPr>
              <w:fldChar w:fldCharType="end"/>
            </w:r>
          </w:hyperlink>
        </w:p>
        <w:p w14:paraId="15307330" w14:textId="633C1EB9" w:rsidR="00045A7C" w:rsidRDefault="00045A7C">
          <w:pPr>
            <w:pStyle w:val="TOC3"/>
            <w:tabs>
              <w:tab w:val="right" w:leader="dot" w:pos="9060"/>
            </w:tabs>
            <w:rPr>
              <w:rFonts w:eastAsiaTheme="minorEastAsia"/>
              <w:noProof/>
              <w:lang w:eastAsia="en-GB"/>
            </w:rPr>
          </w:pPr>
          <w:hyperlink w:anchor="_Toc214970278" w:history="1">
            <w:r w:rsidRPr="005654CE">
              <w:rPr>
                <w:rStyle w:val="Hyperlink"/>
                <w:rFonts w:ascii="Arial" w:hAnsi="Arial" w:cs="Arial"/>
                <w:noProof/>
              </w:rPr>
              <w:t>6.1.3.2 Rubric Performance Data</w:t>
            </w:r>
            <w:r>
              <w:rPr>
                <w:noProof/>
                <w:webHidden/>
              </w:rPr>
              <w:tab/>
            </w:r>
            <w:r>
              <w:rPr>
                <w:noProof/>
                <w:webHidden/>
              </w:rPr>
              <w:fldChar w:fldCharType="begin"/>
            </w:r>
            <w:r>
              <w:rPr>
                <w:noProof/>
                <w:webHidden/>
              </w:rPr>
              <w:instrText xml:space="preserve"> PAGEREF _Toc214970278 \h </w:instrText>
            </w:r>
            <w:r>
              <w:rPr>
                <w:noProof/>
                <w:webHidden/>
              </w:rPr>
            </w:r>
            <w:r>
              <w:rPr>
                <w:noProof/>
                <w:webHidden/>
              </w:rPr>
              <w:fldChar w:fldCharType="separate"/>
            </w:r>
            <w:r>
              <w:rPr>
                <w:noProof/>
                <w:webHidden/>
              </w:rPr>
              <w:t>20</w:t>
            </w:r>
            <w:r>
              <w:rPr>
                <w:noProof/>
                <w:webHidden/>
              </w:rPr>
              <w:fldChar w:fldCharType="end"/>
            </w:r>
          </w:hyperlink>
        </w:p>
        <w:p w14:paraId="7EBFBCEB" w14:textId="1831FA79" w:rsidR="00045A7C" w:rsidRDefault="00045A7C">
          <w:pPr>
            <w:pStyle w:val="TOC3"/>
            <w:tabs>
              <w:tab w:val="right" w:leader="dot" w:pos="9060"/>
            </w:tabs>
            <w:rPr>
              <w:rFonts w:eastAsiaTheme="minorEastAsia"/>
              <w:noProof/>
              <w:lang w:eastAsia="en-GB"/>
            </w:rPr>
          </w:pPr>
          <w:hyperlink w:anchor="_Toc214970279" w:history="1">
            <w:r w:rsidRPr="005654CE">
              <w:rPr>
                <w:rStyle w:val="Hyperlink"/>
                <w:rFonts w:ascii="Arial" w:hAnsi="Arial" w:cs="Arial"/>
                <w:noProof/>
              </w:rPr>
              <w:t>6.1.3.3 Qualitative Interview Evidence</w:t>
            </w:r>
            <w:r>
              <w:rPr>
                <w:noProof/>
                <w:webHidden/>
              </w:rPr>
              <w:tab/>
            </w:r>
            <w:r>
              <w:rPr>
                <w:noProof/>
                <w:webHidden/>
              </w:rPr>
              <w:fldChar w:fldCharType="begin"/>
            </w:r>
            <w:r>
              <w:rPr>
                <w:noProof/>
                <w:webHidden/>
              </w:rPr>
              <w:instrText xml:space="preserve"> PAGEREF _Toc214970279 \h </w:instrText>
            </w:r>
            <w:r>
              <w:rPr>
                <w:noProof/>
                <w:webHidden/>
              </w:rPr>
            </w:r>
            <w:r>
              <w:rPr>
                <w:noProof/>
                <w:webHidden/>
              </w:rPr>
              <w:fldChar w:fldCharType="separate"/>
            </w:r>
            <w:r>
              <w:rPr>
                <w:noProof/>
                <w:webHidden/>
              </w:rPr>
              <w:t>20</w:t>
            </w:r>
            <w:r>
              <w:rPr>
                <w:noProof/>
                <w:webHidden/>
              </w:rPr>
              <w:fldChar w:fldCharType="end"/>
            </w:r>
          </w:hyperlink>
        </w:p>
        <w:p w14:paraId="1CBF8453" w14:textId="05F38A41" w:rsidR="00045A7C" w:rsidRDefault="00045A7C">
          <w:pPr>
            <w:pStyle w:val="TOC2"/>
            <w:tabs>
              <w:tab w:val="right" w:leader="dot" w:pos="9060"/>
            </w:tabs>
            <w:rPr>
              <w:rFonts w:eastAsiaTheme="minorEastAsia"/>
              <w:noProof/>
              <w:lang w:eastAsia="en-GB"/>
            </w:rPr>
          </w:pPr>
          <w:hyperlink w:anchor="_Toc214970280" w:history="1">
            <w:r w:rsidRPr="005654CE">
              <w:rPr>
                <w:rStyle w:val="Hyperlink"/>
                <w:rFonts w:ascii="Arial" w:hAnsi="Arial" w:cs="Arial"/>
                <w:noProof/>
              </w:rPr>
              <w:t>6.1.4 Integrated Triangulation Summary</w:t>
            </w:r>
            <w:r>
              <w:rPr>
                <w:noProof/>
                <w:webHidden/>
              </w:rPr>
              <w:tab/>
            </w:r>
            <w:r>
              <w:rPr>
                <w:noProof/>
                <w:webHidden/>
              </w:rPr>
              <w:fldChar w:fldCharType="begin"/>
            </w:r>
            <w:r>
              <w:rPr>
                <w:noProof/>
                <w:webHidden/>
              </w:rPr>
              <w:instrText xml:space="preserve"> PAGEREF _Toc214970280 \h </w:instrText>
            </w:r>
            <w:r>
              <w:rPr>
                <w:noProof/>
                <w:webHidden/>
              </w:rPr>
            </w:r>
            <w:r>
              <w:rPr>
                <w:noProof/>
                <w:webHidden/>
              </w:rPr>
              <w:fldChar w:fldCharType="separate"/>
            </w:r>
            <w:r>
              <w:rPr>
                <w:noProof/>
                <w:webHidden/>
              </w:rPr>
              <w:t>20</w:t>
            </w:r>
            <w:r>
              <w:rPr>
                <w:noProof/>
                <w:webHidden/>
              </w:rPr>
              <w:fldChar w:fldCharType="end"/>
            </w:r>
          </w:hyperlink>
        </w:p>
        <w:p w14:paraId="7A442EDA" w14:textId="1432201D" w:rsidR="00045A7C" w:rsidRDefault="00045A7C">
          <w:pPr>
            <w:pStyle w:val="TOC2"/>
            <w:tabs>
              <w:tab w:val="right" w:leader="dot" w:pos="9060"/>
            </w:tabs>
            <w:rPr>
              <w:rFonts w:eastAsiaTheme="minorEastAsia"/>
              <w:noProof/>
              <w:lang w:eastAsia="en-GB"/>
            </w:rPr>
          </w:pPr>
          <w:hyperlink w:anchor="_Toc214970281" w:history="1">
            <w:r w:rsidRPr="005654CE">
              <w:rPr>
                <w:rStyle w:val="Hyperlink"/>
                <w:rFonts w:ascii="Arial" w:hAnsi="Arial" w:cs="Arial"/>
                <w:noProof/>
              </w:rPr>
              <w:t>6.2 Skill Development Outcomes</w:t>
            </w:r>
            <w:r>
              <w:rPr>
                <w:noProof/>
                <w:webHidden/>
              </w:rPr>
              <w:tab/>
            </w:r>
            <w:r>
              <w:rPr>
                <w:noProof/>
                <w:webHidden/>
              </w:rPr>
              <w:fldChar w:fldCharType="begin"/>
            </w:r>
            <w:r>
              <w:rPr>
                <w:noProof/>
                <w:webHidden/>
              </w:rPr>
              <w:instrText xml:space="preserve"> PAGEREF _Toc214970281 \h </w:instrText>
            </w:r>
            <w:r>
              <w:rPr>
                <w:noProof/>
                <w:webHidden/>
              </w:rPr>
            </w:r>
            <w:r>
              <w:rPr>
                <w:noProof/>
                <w:webHidden/>
              </w:rPr>
              <w:fldChar w:fldCharType="separate"/>
            </w:r>
            <w:r>
              <w:rPr>
                <w:noProof/>
                <w:webHidden/>
              </w:rPr>
              <w:t>21</w:t>
            </w:r>
            <w:r>
              <w:rPr>
                <w:noProof/>
                <w:webHidden/>
              </w:rPr>
              <w:fldChar w:fldCharType="end"/>
            </w:r>
          </w:hyperlink>
        </w:p>
        <w:p w14:paraId="24C66512" w14:textId="220A5F69" w:rsidR="00045A7C" w:rsidRDefault="00045A7C">
          <w:pPr>
            <w:pStyle w:val="TOC2"/>
            <w:tabs>
              <w:tab w:val="right" w:leader="dot" w:pos="9060"/>
            </w:tabs>
            <w:rPr>
              <w:rFonts w:eastAsiaTheme="minorEastAsia"/>
              <w:noProof/>
              <w:lang w:eastAsia="en-GB"/>
            </w:rPr>
          </w:pPr>
          <w:hyperlink w:anchor="_Toc214970282" w:history="1">
            <w:r w:rsidRPr="005654CE">
              <w:rPr>
                <w:rStyle w:val="Hyperlink"/>
                <w:rFonts w:ascii="Arial" w:hAnsi="Arial" w:cs="Arial"/>
                <w:noProof/>
              </w:rPr>
              <w:t>6.3 Professional Competency Growth</w:t>
            </w:r>
            <w:r>
              <w:rPr>
                <w:noProof/>
                <w:webHidden/>
              </w:rPr>
              <w:tab/>
            </w:r>
            <w:r>
              <w:rPr>
                <w:noProof/>
                <w:webHidden/>
              </w:rPr>
              <w:fldChar w:fldCharType="begin"/>
            </w:r>
            <w:r>
              <w:rPr>
                <w:noProof/>
                <w:webHidden/>
              </w:rPr>
              <w:instrText xml:space="preserve"> PAGEREF _Toc214970282 \h </w:instrText>
            </w:r>
            <w:r>
              <w:rPr>
                <w:noProof/>
                <w:webHidden/>
              </w:rPr>
            </w:r>
            <w:r>
              <w:rPr>
                <w:noProof/>
                <w:webHidden/>
              </w:rPr>
              <w:fldChar w:fldCharType="separate"/>
            </w:r>
            <w:r>
              <w:rPr>
                <w:noProof/>
                <w:webHidden/>
              </w:rPr>
              <w:t>22</w:t>
            </w:r>
            <w:r>
              <w:rPr>
                <w:noProof/>
                <w:webHidden/>
              </w:rPr>
              <w:fldChar w:fldCharType="end"/>
            </w:r>
          </w:hyperlink>
        </w:p>
        <w:p w14:paraId="6A203163" w14:textId="75D5E108" w:rsidR="00045A7C" w:rsidRDefault="00045A7C">
          <w:pPr>
            <w:pStyle w:val="TOC1"/>
            <w:tabs>
              <w:tab w:val="right" w:leader="dot" w:pos="9060"/>
            </w:tabs>
            <w:rPr>
              <w:rFonts w:eastAsiaTheme="minorEastAsia"/>
              <w:noProof/>
              <w:lang w:eastAsia="en-GB"/>
            </w:rPr>
          </w:pPr>
          <w:hyperlink w:anchor="_Toc214970283" w:history="1">
            <w:r w:rsidRPr="005654CE">
              <w:rPr>
                <w:rStyle w:val="Hyperlink"/>
                <w:rFonts w:ascii="Arial" w:hAnsi="Arial" w:cs="Arial"/>
                <w:noProof/>
              </w:rPr>
              <w:t>7.0 Conclusion</w:t>
            </w:r>
            <w:r>
              <w:rPr>
                <w:noProof/>
                <w:webHidden/>
              </w:rPr>
              <w:tab/>
            </w:r>
            <w:r>
              <w:rPr>
                <w:noProof/>
                <w:webHidden/>
              </w:rPr>
              <w:fldChar w:fldCharType="begin"/>
            </w:r>
            <w:r>
              <w:rPr>
                <w:noProof/>
                <w:webHidden/>
              </w:rPr>
              <w:instrText xml:space="preserve"> PAGEREF _Toc214970283 \h </w:instrText>
            </w:r>
            <w:r>
              <w:rPr>
                <w:noProof/>
                <w:webHidden/>
              </w:rPr>
            </w:r>
            <w:r>
              <w:rPr>
                <w:noProof/>
                <w:webHidden/>
              </w:rPr>
              <w:fldChar w:fldCharType="separate"/>
            </w:r>
            <w:r>
              <w:rPr>
                <w:noProof/>
                <w:webHidden/>
              </w:rPr>
              <w:t>24</w:t>
            </w:r>
            <w:r>
              <w:rPr>
                <w:noProof/>
                <w:webHidden/>
              </w:rPr>
              <w:fldChar w:fldCharType="end"/>
            </w:r>
          </w:hyperlink>
        </w:p>
        <w:p w14:paraId="7013989A" w14:textId="3227B06F" w:rsidR="00045A7C" w:rsidRDefault="00045A7C">
          <w:pPr>
            <w:pStyle w:val="TOC2"/>
            <w:tabs>
              <w:tab w:val="right" w:leader="dot" w:pos="9060"/>
            </w:tabs>
            <w:rPr>
              <w:rFonts w:eastAsiaTheme="minorEastAsia"/>
              <w:noProof/>
              <w:lang w:eastAsia="en-GB"/>
            </w:rPr>
          </w:pPr>
          <w:hyperlink w:anchor="_Toc214970284" w:history="1">
            <w:r w:rsidRPr="005654CE">
              <w:rPr>
                <w:rStyle w:val="Hyperlink"/>
                <w:rFonts w:ascii="Arial" w:hAnsi="Arial" w:cs="Arial"/>
                <w:noProof/>
              </w:rPr>
              <w:t>7.1 Study Project Aim</w:t>
            </w:r>
            <w:r>
              <w:rPr>
                <w:noProof/>
                <w:webHidden/>
              </w:rPr>
              <w:tab/>
            </w:r>
            <w:r>
              <w:rPr>
                <w:noProof/>
                <w:webHidden/>
              </w:rPr>
              <w:fldChar w:fldCharType="begin"/>
            </w:r>
            <w:r>
              <w:rPr>
                <w:noProof/>
                <w:webHidden/>
              </w:rPr>
              <w:instrText xml:space="preserve"> PAGEREF _Toc214970284 \h </w:instrText>
            </w:r>
            <w:r>
              <w:rPr>
                <w:noProof/>
                <w:webHidden/>
              </w:rPr>
            </w:r>
            <w:r>
              <w:rPr>
                <w:noProof/>
                <w:webHidden/>
              </w:rPr>
              <w:fldChar w:fldCharType="separate"/>
            </w:r>
            <w:r>
              <w:rPr>
                <w:noProof/>
                <w:webHidden/>
              </w:rPr>
              <w:t>24</w:t>
            </w:r>
            <w:r>
              <w:rPr>
                <w:noProof/>
                <w:webHidden/>
              </w:rPr>
              <w:fldChar w:fldCharType="end"/>
            </w:r>
          </w:hyperlink>
        </w:p>
        <w:p w14:paraId="3AD22C87" w14:textId="6F19A2E6" w:rsidR="00045A7C" w:rsidRDefault="00045A7C">
          <w:pPr>
            <w:pStyle w:val="TOC2"/>
            <w:tabs>
              <w:tab w:val="right" w:leader="dot" w:pos="9060"/>
            </w:tabs>
            <w:rPr>
              <w:rFonts w:eastAsiaTheme="minorEastAsia"/>
              <w:noProof/>
              <w:lang w:eastAsia="en-GB"/>
            </w:rPr>
          </w:pPr>
          <w:hyperlink w:anchor="_Toc214970285" w:history="1">
            <w:r w:rsidRPr="005654CE">
              <w:rPr>
                <w:rStyle w:val="Hyperlink"/>
                <w:rFonts w:ascii="Arial" w:hAnsi="Arial" w:cs="Arial"/>
                <w:noProof/>
              </w:rPr>
              <w:t>7.1.1 Research Objectives</w:t>
            </w:r>
            <w:r>
              <w:rPr>
                <w:noProof/>
                <w:webHidden/>
              </w:rPr>
              <w:tab/>
            </w:r>
            <w:r>
              <w:rPr>
                <w:noProof/>
                <w:webHidden/>
              </w:rPr>
              <w:fldChar w:fldCharType="begin"/>
            </w:r>
            <w:r>
              <w:rPr>
                <w:noProof/>
                <w:webHidden/>
              </w:rPr>
              <w:instrText xml:space="preserve"> PAGEREF _Toc214970285 \h </w:instrText>
            </w:r>
            <w:r>
              <w:rPr>
                <w:noProof/>
                <w:webHidden/>
              </w:rPr>
            </w:r>
            <w:r>
              <w:rPr>
                <w:noProof/>
                <w:webHidden/>
              </w:rPr>
              <w:fldChar w:fldCharType="separate"/>
            </w:r>
            <w:r>
              <w:rPr>
                <w:noProof/>
                <w:webHidden/>
              </w:rPr>
              <w:t>24</w:t>
            </w:r>
            <w:r>
              <w:rPr>
                <w:noProof/>
                <w:webHidden/>
              </w:rPr>
              <w:fldChar w:fldCharType="end"/>
            </w:r>
          </w:hyperlink>
        </w:p>
        <w:p w14:paraId="2C031621" w14:textId="36F94D54" w:rsidR="00045A7C" w:rsidRDefault="00045A7C">
          <w:pPr>
            <w:pStyle w:val="TOC2"/>
            <w:tabs>
              <w:tab w:val="right" w:leader="dot" w:pos="9060"/>
            </w:tabs>
            <w:rPr>
              <w:rFonts w:eastAsiaTheme="minorEastAsia"/>
              <w:noProof/>
              <w:lang w:eastAsia="en-GB"/>
            </w:rPr>
          </w:pPr>
          <w:hyperlink w:anchor="_Toc214970286" w:history="1">
            <w:r w:rsidRPr="005654CE">
              <w:rPr>
                <w:rStyle w:val="Hyperlink"/>
                <w:rFonts w:ascii="Arial" w:hAnsi="Arial" w:cs="Arial"/>
                <w:noProof/>
              </w:rPr>
              <w:t>7.2 Purpose</w:t>
            </w:r>
            <w:r>
              <w:rPr>
                <w:noProof/>
                <w:webHidden/>
              </w:rPr>
              <w:tab/>
            </w:r>
            <w:r>
              <w:rPr>
                <w:noProof/>
                <w:webHidden/>
              </w:rPr>
              <w:fldChar w:fldCharType="begin"/>
            </w:r>
            <w:r>
              <w:rPr>
                <w:noProof/>
                <w:webHidden/>
              </w:rPr>
              <w:instrText xml:space="preserve"> PAGEREF _Toc214970286 \h </w:instrText>
            </w:r>
            <w:r>
              <w:rPr>
                <w:noProof/>
                <w:webHidden/>
              </w:rPr>
            </w:r>
            <w:r>
              <w:rPr>
                <w:noProof/>
                <w:webHidden/>
              </w:rPr>
              <w:fldChar w:fldCharType="separate"/>
            </w:r>
            <w:r>
              <w:rPr>
                <w:noProof/>
                <w:webHidden/>
              </w:rPr>
              <w:t>24</w:t>
            </w:r>
            <w:r>
              <w:rPr>
                <w:noProof/>
                <w:webHidden/>
              </w:rPr>
              <w:fldChar w:fldCharType="end"/>
            </w:r>
          </w:hyperlink>
        </w:p>
        <w:p w14:paraId="0D74B6B9" w14:textId="636E8092" w:rsidR="00045A7C" w:rsidRDefault="00045A7C">
          <w:pPr>
            <w:pStyle w:val="TOC2"/>
            <w:tabs>
              <w:tab w:val="right" w:leader="dot" w:pos="9060"/>
            </w:tabs>
            <w:rPr>
              <w:rFonts w:eastAsiaTheme="minorEastAsia"/>
              <w:noProof/>
              <w:lang w:eastAsia="en-GB"/>
            </w:rPr>
          </w:pPr>
          <w:hyperlink w:anchor="_Toc214970287" w:history="1">
            <w:r w:rsidRPr="005654CE">
              <w:rPr>
                <w:rStyle w:val="Hyperlink"/>
                <w:rFonts w:ascii="Arial" w:hAnsi="Arial" w:cs="Arial"/>
                <w:noProof/>
              </w:rPr>
              <w:t>7.3 Final Conclusion</w:t>
            </w:r>
            <w:r>
              <w:rPr>
                <w:noProof/>
                <w:webHidden/>
              </w:rPr>
              <w:tab/>
            </w:r>
            <w:r>
              <w:rPr>
                <w:noProof/>
                <w:webHidden/>
              </w:rPr>
              <w:fldChar w:fldCharType="begin"/>
            </w:r>
            <w:r>
              <w:rPr>
                <w:noProof/>
                <w:webHidden/>
              </w:rPr>
              <w:instrText xml:space="preserve"> PAGEREF _Toc214970287 \h </w:instrText>
            </w:r>
            <w:r>
              <w:rPr>
                <w:noProof/>
                <w:webHidden/>
              </w:rPr>
            </w:r>
            <w:r>
              <w:rPr>
                <w:noProof/>
                <w:webHidden/>
              </w:rPr>
              <w:fldChar w:fldCharType="separate"/>
            </w:r>
            <w:r>
              <w:rPr>
                <w:noProof/>
                <w:webHidden/>
              </w:rPr>
              <w:t>26</w:t>
            </w:r>
            <w:r>
              <w:rPr>
                <w:noProof/>
                <w:webHidden/>
              </w:rPr>
              <w:fldChar w:fldCharType="end"/>
            </w:r>
          </w:hyperlink>
        </w:p>
        <w:p w14:paraId="51929CAA" w14:textId="1135088A" w:rsidR="00045A7C" w:rsidRDefault="00045A7C">
          <w:pPr>
            <w:pStyle w:val="TOC2"/>
            <w:tabs>
              <w:tab w:val="right" w:leader="dot" w:pos="9060"/>
            </w:tabs>
            <w:rPr>
              <w:rFonts w:eastAsiaTheme="minorEastAsia"/>
              <w:noProof/>
              <w:lang w:eastAsia="en-GB"/>
            </w:rPr>
          </w:pPr>
          <w:hyperlink w:anchor="_Toc214970288" w:history="1">
            <w:r w:rsidRPr="005654CE">
              <w:rPr>
                <w:rStyle w:val="Hyperlink"/>
                <w:rFonts w:ascii="Arial" w:hAnsi="Arial" w:cs="Arial"/>
                <w:noProof/>
              </w:rPr>
              <w:t>7.4 Limitations</w:t>
            </w:r>
            <w:r>
              <w:rPr>
                <w:noProof/>
                <w:webHidden/>
              </w:rPr>
              <w:tab/>
            </w:r>
            <w:r>
              <w:rPr>
                <w:noProof/>
                <w:webHidden/>
              </w:rPr>
              <w:fldChar w:fldCharType="begin"/>
            </w:r>
            <w:r>
              <w:rPr>
                <w:noProof/>
                <w:webHidden/>
              </w:rPr>
              <w:instrText xml:space="preserve"> PAGEREF _Toc214970288 \h </w:instrText>
            </w:r>
            <w:r>
              <w:rPr>
                <w:noProof/>
                <w:webHidden/>
              </w:rPr>
            </w:r>
            <w:r>
              <w:rPr>
                <w:noProof/>
                <w:webHidden/>
              </w:rPr>
              <w:fldChar w:fldCharType="separate"/>
            </w:r>
            <w:r>
              <w:rPr>
                <w:noProof/>
                <w:webHidden/>
              </w:rPr>
              <w:t>27</w:t>
            </w:r>
            <w:r>
              <w:rPr>
                <w:noProof/>
                <w:webHidden/>
              </w:rPr>
              <w:fldChar w:fldCharType="end"/>
            </w:r>
          </w:hyperlink>
        </w:p>
        <w:p w14:paraId="00910E36" w14:textId="5739DE08" w:rsidR="00045A7C" w:rsidRDefault="00045A7C">
          <w:pPr>
            <w:pStyle w:val="TOC2"/>
            <w:tabs>
              <w:tab w:val="right" w:leader="dot" w:pos="9060"/>
            </w:tabs>
            <w:rPr>
              <w:rFonts w:eastAsiaTheme="minorEastAsia"/>
              <w:noProof/>
              <w:lang w:eastAsia="en-GB"/>
            </w:rPr>
          </w:pPr>
          <w:hyperlink w:anchor="_Toc214970289" w:history="1">
            <w:r w:rsidRPr="005654CE">
              <w:rPr>
                <w:rStyle w:val="Hyperlink"/>
                <w:rFonts w:ascii="Arial" w:hAnsi="Arial" w:cs="Arial"/>
                <w:noProof/>
              </w:rPr>
              <w:t>7.5 Further Research</w:t>
            </w:r>
            <w:r>
              <w:rPr>
                <w:noProof/>
                <w:webHidden/>
              </w:rPr>
              <w:tab/>
            </w:r>
            <w:r>
              <w:rPr>
                <w:noProof/>
                <w:webHidden/>
              </w:rPr>
              <w:fldChar w:fldCharType="begin"/>
            </w:r>
            <w:r>
              <w:rPr>
                <w:noProof/>
                <w:webHidden/>
              </w:rPr>
              <w:instrText xml:space="preserve"> PAGEREF _Toc214970289 \h </w:instrText>
            </w:r>
            <w:r>
              <w:rPr>
                <w:noProof/>
                <w:webHidden/>
              </w:rPr>
            </w:r>
            <w:r>
              <w:rPr>
                <w:noProof/>
                <w:webHidden/>
              </w:rPr>
              <w:fldChar w:fldCharType="separate"/>
            </w:r>
            <w:r>
              <w:rPr>
                <w:noProof/>
                <w:webHidden/>
              </w:rPr>
              <w:t>28</w:t>
            </w:r>
            <w:r>
              <w:rPr>
                <w:noProof/>
                <w:webHidden/>
              </w:rPr>
              <w:fldChar w:fldCharType="end"/>
            </w:r>
          </w:hyperlink>
        </w:p>
        <w:p w14:paraId="57DAE909" w14:textId="78EAA3B7" w:rsidR="00045A7C" w:rsidRDefault="00045A7C">
          <w:pPr>
            <w:pStyle w:val="TOC2"/>
            <w:tabs>
              <w:tab w:val="right" w:leader="dot" w:pos="9060"/>
            </w:tabs>
            <w:rPr>
              <w:rFonts w:eastAsiaTheme="minorEastAsia"/>
              <w:noProof/>
              <w:lang w:eastAsia="en-GB"/>
            </w:rPr>
          </w:pPr>
          <w:hyperlink w:anchor="_Toc214970290" w:history="1">
            <w:r w:rsidRPr="005654CE">
              <w:rPr>
                <w:rStyle w:val="Hyperlink"/>
                <w:rFonts w:ascii="Arial" w:hAnsi="Arial" w:cs="Arial"/>
                <w:noProof/>
              </w:rPr>
              <w:t>7.6 Summary</w:t>
            </w:r>
            <w:r>
              <w:rPr>
                <w:noProof/>
                <w:webHidden/>
              </w:rPr>
              <w:tab/>
            </w:r>
            <w:r>
              <w:rPr>
                <w:noProof/>
                <w:webHidden/>
              </w:rPr>
              <w:fldChar w:fldCharType="begin"/>
            </w:r>
            <w:r>
              <w:rPr>
                <w:noProof/>
                <w:webHidden/>
              </w:rPr>
              <w:instrText xml:space="preserve"> PAGEREF _Toc214970290 \h </w:instrText>
            </w:r>
            <w:r>
              <w:rPr>
                <w:noProof/>
                <w:webHidden/>
              </w:rPr>
            </w:r>
            <w:r>
              <w:rPr>
                <w:noProof/>
                <w:webHidden/>
              </w:rPr>
              <w:fldChar w:fldCharType="separate"/>
            </w:r>
            <w:r>
              <w:rPr>
                <w:noProof/>
                <w:webHidden/>
              </w:rPr>
              <w:t>28</w:t>
            </w:r>
            <w:r>
              <w:rPr>
                <w:noProof/>
                <w:webHidden/>
              </w:rPr>
              <w:fldChar w:fldCharType="end"/>
            </w:r>
          </w:hyperlink>
        </w:p>
        <w:p w14:paraId="042AD9B0" w14:textId="39CDAABE" w:rsidR="00045A7C" w:rsidRDefault="00045A7C">
          <w:pPr>
            <w:pStyle w:val="TOC2"/>
            <w:tabs>
              <w:tab w:val="right" w:leader="dot" w:pos="9060"/>
            </w:tabs>
            <w:rPr>
              <w:rFonts w:eastAsiaTheme="minorEastAsia"/>
              <w:noProof/>
              <w:lang w:eastAsia="en-GB"/>
            </w:rPr>
          </w:pPr>
          <w:hyperlink w:anchor="_Toc214970291" w:history="1">
            <w:r w:rsidRPr="005654CE">
              <w:rPr>
                <w:rStyle w:val="Hyperlink"/>
                <w:rFonts w:ascii="Arial" w:hAnsi="Arial" w:cs="Arial"/>
                <w:noProof/>
              </w:rPr>
              <w:t>7.7 Final Thoughts</w:t>
            </w:r>
            <w:r>
              <w:rPr>
                <w:noProof/>
                <w:webHidden/>
              </w:rPr>
              <w:tab/>
            </w:r>
            <w:r>
              <w:rPr>
                <w:noProof/>
                <w:webHidden/>
              </w:rPr>
              <w:fldChar w:fldCharType="begin"/>
            </w:r>
            <w:r>
              <w:rPr>
                <w:noProof/>
                <w:webHidden/>
              </w:rPr>
              <w:instrText xml:space="preserve"> PAGEREF _Toc214970291 \h </w:instrText>
            </w:r>
            <w:r>
              <w:rPr>
                <w:noProof/>
                <w:webHidden/>
              </w:rPr>
            </w:r>
            <w:r>
              <w:rPr>
                <w:noProof/>
                <w:webHidden/>
              </w:rPr>
              <w:fldChar w:fldCharType="separate"/>
            </w:r>
            <w:r>
              <w:rPr>
                <w:noProof/>
                <w:webHidden/>
              </w:rPr>
              <w:t>29</w:t>
            </w:r>
            <w:r>
              <w:rPr>
                <w:noProof/>
                <w:webHidden/>
              </w:rPr>
              <w:fldChar w:fldCharType="end"/>
            </w:r>
          </w:hyperlink>
        </w:p>
        <w:p w14:paraId="7AEDE497" w14:textId="3DAE93E1" w:rsidR="00045A7C" w:rsidRDefault="00045A7C">
          <w:pPr>
            <w:pStyle w:val="TOC1"/>
            <w:tabs>
              <w:tab w:val="right" w:leader="dot" w:pos="9060"/>
            </w:tabs>
            <w:rPr>
              <w:rFonts w:eastAsiaTheme="minorEastAsia"/>
              <w:noProof/>
              <w:lang w:eastAsia="en-GB"/>
            </w:rPr>
          </w:pPr>
          <w:hyperlink w:anchor="_Toc214970292" w:history="1">
            <w:r w:rsidRPr="005654CE">
              <w:rPr>
                <w:rStyle w:val="Hyperlink"/>
                <w:rFonts w:ascii="Arial" w:hAnsi="Arial" w:cs="Arial"/>
                <w:noProof/>
              </w:rPr>
              <w:t>8.0 References</w:t>
            </w:r>
            <w:r>
              <w:rPr>
                <w:noProof/>
                <w:webHidden/>
              </w:rPr>
              <w:tab/>
            </w:r>
            <w:r>
              <w:rPr>
                <w:noProof/>
                <w:webHidden/>
              </w:rPr>
              <w:fldChar w:fldCharType="begin"/>
            </w:r>
            <w:r>
              <w:rPr>
                <w:noProof/>
                <w:webHidden/>
              </w:rPr>
              <w:instrText xml:space="preserve"> PAGEREF _Toc214970292 \h </w:instrText>
            </w:r>
            <w:r>
              <w:rPr>
                <w:noProof/>
                <w:webHidden/>
              </w:rPr>
            </w:r>
            <w:r>
              <w:rPr>
                <w:noProof/>
                <w:webHidden/>
              </w:rPr>
              <w:fldChar w:fldCharType="separate"/>
            </w:r>
            <w:r>
              <w:rPr>
                <w:noProof/>
                <w:webHidden/>
              </w:rPr>
              <w:t>30</w:t>
            </w:r>
            <w:r>
              <w:rPr>
                <w:noProof/>
                <w:webHidden/>
              </w:rPr>
              <w:fldChar w:fldCharType="end"/>
            </w:r>
          </w:hyperlink>
        </w:p>
        <w:p w14:paraId="136762C7" w14:textId="0F34316E" w:rsidR="00045A7C" w:rsidRDefault="00045A7C">
          <w:pPr>
            <w:pStyle w:val="TOC1"/>
            <w:tabs>
              <w:tab w:val="right" w:leader="dot" w:pos="9060"/>
            </w:tabs>
            <w:rPr>
              <w:rFonts w:eastAsiaTheme="minorEastAsia"/>
              <w:noProof/>
              <w:lang w:eastAsia="en-GB"/>
            </w:rPr>
          </w:pPr>
          <w:hyperlink w:anchor="_Toc214970293" w:history="1">
            <w:r w:rsidRPr="005654CE">
              <w:rPr>
                <w:rStyle w:val="Hyperlink"/>
                <w:rFonts w:ascii="Arial" w:eastAsia="MS Mincho" w:hAnsi="Arial" w:cs="Arial"/>
                <w:noProof/>
                <w:lang w:val="en-US"/>
              </w:rPr>
              <w:t>9.0 Appendix A</w:t>
            </w:r>
            <w:r>
              <w:rPr>
                <w:noProof/>
                <w:webHidden/>
              </w:rPr>
              <w:tab/>
            </w:r>
            <w:r>
              <w:rPr>
                <w:noProof/>
                <w:webHidden/>
              </w:rPr>
              <w:fldChar w:fldCharType="begin"/>
            </w:r>
            <w:r>
              <w:rPr>
                <w:noProof/>
                <w:webHidden/>
              </w:rPr>
              <w:instrText xml:space="preserve"> PAGEREF _Toc214970293 \h </w:instrText>
            </w:r>
            <w:r>
              <w:rPr>
                <w:noProof/>
                <w:webHidden/>
              </w:rPr>
            </w:r>
            <w:r>
              <w:rPr>
                <w:noProof/>
                <w:webHidden/>
              </w:rPr>
              <w:fldChar w:fldCharType="separate"/>
            </w:r>
            <w:r>
              <w:rPr>
                <w:noProof/>
                <w:webHidden/>
              </w:rPr>
              <w:t>35</w:t>
            </w:r>
            <w:r>
              <w:rPr>
                <w:noProof/>
                <w:webHidden/>
              </w:rPr>
              <w:fldChar w:fldCharType="end"/>
            </w:r>
          </w:hyperlink>
        </w:p>
        <w:p w14:paraId="004531C1" w14:textId="3D2A6EF9" w:rsidR="00045A7C" w:rsidRDefault="00045A7C">
          <w:pPr>
            <w:pStyle w:val="TOC1"/>
            <w:tabs>
              <w:tab w:val="right" w:leader="dot" w:pos="9060"/>
            </w:tabs>
            <w:rPr>
              <w:rFonts w:eastAsiaTheme="minorEastAsia"/>
              <w:noProof/>
              <w:lang w:eastAsia="en-GB"/>
            </w:rPr>
          </w:pPr>
          <w:hyperlink w:anchor="_Toc214970294" w:history="1">
            <w:r w:rsidRPr="005654CE">
              <w:rPr>
                <w:rStyle w:val="Hyperlink"/>
                <w:rFonts w:ascii="Arial" w:hAnsi="Arial" w:cs="Arial"/>
                <w:noProof/>
              </w:rPr>
              <w:t>10.0 Appendix B</w:t>
            </w:r>
            <w:r>
              <w:rPr>
                <w:noProof/>
                <w:webHidden/>
              </w:rPr>
              <w:tab/>
            </w:r>
            <w:r>
              <w:rPr>
                <w:noProof/>
                <w:webHidden/>
              </w:rPr>
              <w:fldChar w:fldCharType="begin"/>
            </w:r>
            <w:r>
              <w:rPr>
                <w:noProof/>
                <w:webHidden/>
              </w:rPr>
              <w:instrText xml:space="preserve"> PAGEREF _Toc214970294 \h </w:instrText>
            </w:r>
            <w:r>
              <w:rPr>
                <w:noProof/>
                <w:webHidden/>
              </w:rPr>
            </w:r>
            <w:r>
              <w:rPr>
                <w:noProof/>
                <w:webHidden/>
              </w:rPr>
              <w:fldChar w:fldCharType="separate"/>
            </w:r>
            <w:r>
              <w:rPr>
                <w:noProof/>
                <w:webHidden/>
              </w:rPr>
              <w:t>38</w:t>
            </w:r>
            <w:r>
              <w:rPr>
                <w:noProof/>
                <w:webHidden/>
              </w:rPr>
              <w:fldChar w:fldCharType="end"/>
            </w:r>
          </w:hyperlink>
        </w:p>
        <w:p w14:paraId="1EF4FCD9" w14:textId="2B5ACFE7" w:rsidR="00FF7B1A" w:rsidRPr="0025777E" w:rsidRDefault="00FF7B1A" w:rsidP="00FF7B1A">
          <w:pPr>
            <w:spacing w:line="360" w:lineRule="auto"/>
            <w:rPr>
              <w:rFonts w:ascii="Arial" w:hAnsi="Arial" w:cs="Arial"/>
            </w:rPr>
          </w:pPr>
          <w:r w:rsidRPr="0025777E">
            <w:rPr>
              <w:rFonts w:ascii="Arial" w:hAnsi="Arial" w:cs="Arial"/>
              <w:b/>
              <w:bCs/>
              <w:noProof/>
            </w:rPr>
            <w:fldChar w:fldCharType="end"/>
          </w:r>
        </w:p>
      </w:sdtContent>
    </w:sdt>
    <w:p w14:paraId="3794E19B" w14:textId="77777777" w:rsidR="003C0699" w:rsidRDefault="003C0699" w:rsidP="0025777E">
      <w:pPr>
        <w:pStyle w:val="Heading1"/>
        <w:rPr>
          <w:rFonts w:ascii="Arial" w:hAnsi="Arial" w:cs="Arial"/>
          <w:sz w:val="22"/>
          <w:szCs w:val="22"/>
        </w:rPr>
      </w:pPr>
    </w:p>
    <w:p w14:paraId="659FC9CD" w14:textId="4F332718" w:rsidR="00E00D7F" w:rsidRPr="00DD1E04" w:rsidRDefault="00E00D7F" w:rsidP="0025777E">
      <w:pPr>
        <w:pStyle w:val="Heading1"/>
        <w:rPr>
          <w:rFonts w:ascii="Arial" w:hAnsi="Arial" w:cs="Arial"/>
          <w:sz w:val="22"/>
          <w:szCs w:val="22"/>
        </w:rPr>
      </w:pPr>
      <w:bookmarkStart w:id="1" w:name="_Toc214970240"/>
      <w:r w:rsidRPr="00DD1E04">
        <w:rPr>
          <w:rFonts w:ascii="Arial" w:hAnsi="Arial" w:cs="Arial"/>
          <w:sz w:val="22"/>
          <w:szCs w:val="22"/>
        </w:rPr>
        <w:t>1.</w:t>
      </w:r>
      <w:r w:rsidR="0006320A">
        <w:rPr>
          <w:rFonts w:ascii="Arial" w:hAnsi="Arial" w:cs="Arial"/>
          <w:sz w:val="22"/>
          <w:szCs w:val="22"/>
        </w:rPr>
        <w:t>0</w:t>
      </w:r>
      <w:r w:rsidRPr="00DD1E04">
        <w:rPr>
          <w:rFonts w:ascii="Arial" w:hAnsi="Arial" w:cs="Arial"/>
          <w:sz w:val="22"/>
          <w:szCs w:val="22"/>
        </w:rPr>
        <w:t xml:space="preserve"> Introduction</w:t>
      </w:r>
      <w:bookmarkEnd w:id="1"/>
      <w:commentRangeStart w:id="2"/>
      <w:commentRangeEnd w:id="2"/>
    </w:p>
    <w:p w14:paraId="3E0DBD27"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Work-based learning (WBL) is broadly defined as an approach to education that integrates academic study with practical workplace experience, enabling students to apply theoretical knowledge in real-world contexts while simultaneously reflecting upon and developing their professional competencies (Boud &amp; Solomon, 2001). In the UK context, WBL is closely aligned with government and professional body agendas that emphasise employability, lifelong learning, and professional development within higher education (HEA, 2015). Within civil engineering and construction education, work-based learning is particularly significant because the sector demands not only the mastery of technical knowledge but also the cultivation of reflective, adaptive, and ethical practitioners capable of meeting regulatory standards and industry expectations. Professional accreditation bodies such as the Institution of Civil Engineers (ICE) and the Chartered Institute of Building (CIOB) explicitly require evidence of reflective practice, continuous professional development, and the ability to learn from experience as part of progression toward chartership. As such, any pedagogical framework adopted in this field must align with these institutional expectations, ensuring that learners are prepared not just academically but professionally.</w:t>
      </w:r>
    </w:p>
    <w:p w14:paraId="301E486D"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lastRenderedPageBreak/>
        <w:t>The theory of double-loop learning, developed by Argyris and Schön (1997), provides a valuable framework for understanding how individuals and organisations can adapt and learn from their experiences in ways that resonate strongly with the principles underpinning WBL. Whereas single-loop learning involves correcting actions within existing assumptions, double-loop learning emphasises questioning and revising the underlying values, beliefs, and mental models that shape behaviour. This level of critical reflection mirrors the professional expectations placed upon civil engineers in the UK, where reflective capacity, adherence to professional standards, and ethical reasoning are considered essential attributes of practice. For example, engineers working under the codes of conduct established by the ICE or CIOB are expected to interrogate not only technical decisions but also the professional values and wider societal implications underpinning their work. In this way, double-loop learning offers a theoretical lens that aligns with how the civil engineering profession conceptualises professional growth, accountability, and standards of competence.</w:t>
      </w:r>
    </w:p>
    <w:p w14:paraId="14CD4D79"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For students with extensive industry experience but limited academic exposure, this framework is particularly pertinent. Such students often struggle to navigate the expectations of higher education, finding it difficult to bridge the gap between tacit practical knowledge and abstract academic theory. Double-loop learning encourages these learners to question their own assumptions about what constitutes legitimate knowledge, thereby reframing workplace experience as a resource for academic inquiry rather than as a separate, disconnected domain. This process enables them to align their professional insights with academic discourse, developing critical and reflective skills that are essential not only for academic success but also for professional recognition within the UK civil engineering sector.</w:t>
      </w:r>
    </w:p>
    <w:p w14:paraId="2321E690"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Moreover, by encouraging students to reflect on the assumptions underpinning their thinking, double-loop learning contributes to addressing affective barriers such as imposter syndrome. Many students entering higher education from vocational backgrounds report feelings of inadequacy or illegitimacy within academic spaces (Clance &amp; Imes, 1978). Embedding double-loop reflection within learning activities normalises questioning and uncertainty, reframing them as valuable aspects of learning rather than as deficiencies. This can promote self-efficacy, foster resilience, and encourage more open contributions in collaborative learning environments. Such an approach mirrors industry expectations, where collaborative problem-solving and critical interrogation of assumptions are integral to project delivery, risk management, and regulatory compliance.</w:t>
      </w:r>
    </w:p>
    <w:p w14:paraId="6696E05A"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 xml:space="preserve">Nevertheless, there are limitations to adopting double-loop learning as a dominant pedagogical framework. Critics have argued that the model assumes a level of individual autonomy and institutional support that may not always be present (Fenwick, 2003). In practice, structural barriers such as rigid curricula, assessment-driven cultures, or hierarchical workplace environments may inhibit learners’ ability </w:t>
      </w:r>
      <w:r w:rsidR="009764E8">
        <w:rPr>
          <w:rFonts w:ascii="Arial" w:hAnsi="Arial" w:cs="Arial"/>
        </w:rPr>
        <w:t>to question underlying assumptions critically</w:t>
      </w:r>
      <w:r w:rsidRPr="0006320A">
        <w:rPr>
          <w:rFonts w:ascii="Arial" w:hAnsi="Arial" w:cs="Arial"/>
        </w:rPr>
        <w:t xml:space="preserve">. </w:t>
      </w:r>
      <w:r w:rsidRPr="0006320A">
        <w:rPr>
          <w:rFonts w:ascii="Arial" w:hAnsi="Arial" w:cs="Arial"/>
        </w:rPr>
        <w:lastRenderedPageBreak/>
        <w:t xml:space="preserve">Furthermore, double-loop learning can be cognitively and emotionally demanding, and not all students may be equally prepared or willing to engage in the deep levels of reflection it requires. Alternative perspectives, such as Kolb’s (1984) experiential learning cycle or Mezirow’s (2000) theory of transformative learning, may complement or, in some contexts, provide more accessible entry points into reflective practice. While double-loop learning focuses on challenging values and mental models, Kolb’s model emphasises iterative cycles of experience, reflection, conceptualisation, and experimentation, which may be more readily applied in practice-based engineering contexts. Similarly, transformative learning highlights the role of disorienting dilemmas in stimulating critical reflection, providing a </w:t>
      </w:r>
      <w:r w:rsidR="009764E8">
        <w:rPr>
          <w:rFonts w:ascii="Arial" w:hAnsi="Arial" w:cs="Arial"/>
        </w:rPr>
        <w:t>valuable</w:t>
      </w:r>
      <w:r w:rsidRPr="0006320A">
        <w:rPr>
          <w:rFonts w:ascii="Arial" w:hAnsi="Arial" w:cs="Arial"/>
        </w:rPr>
        <w:t xml:space="preserve"> framework for understanding how students adapt when confronted with the demands of higher education.</w:t>
      </w:r>
    </w:p>
    <w:p w14:paraId="4529C5D2"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By situating double-loop learning within the broader framework of work-based learning and aligning it with the professional and regulatory expectations of the civil engineering sector, this study seeks to advance the pedagogical discourse within engineering education. While acknowledging the limitations of the theory, the research positions double-loop feedback as a mechanism that can bridge the divide between professional practice and academic study, ultimately contributing to a more inclusive, reflective, and professionally relevant learning environment.</w:t>
      </w:r>
    </w:p>
    <w:p w14:paraId="6E96DD0E" w14:textId="77777777" w:rsidR="00E00D7F" w:rsidRPr="00DD1E04" w:rsidRDefault="00E00D7F" w:rsidP="0025777E">
      <w:pPr>
        <w:pStyle w:val="Heading1"/>
        <w:rPr>
          <w:rFonts w:ascii="Arial" w:hAnsi="Arial" w:cs="Arial"/>
          <w:sz w:val="22"/>
          <w:szCs w:val="22"/>
        </w:rPr>
      </w:pPr>
      <w:bookmarkStart w:id="3" w:name="_Toc214970241"/>
      <w:r w:rsidRPr="00DD1E04">
        <w:rPr>
          <w:rFonts w:ascii="Arial" w:hAnsi="Arial" w:cs="Arial"/>
          <w:sz w:val="22"/>
          <w:szCs w:val="22"/>
        </w:rPr>
        <w:t>2.</w:t>
      </w:r>
      <w:r w:rsidR="0006320A">
        <w:rPr>
          <w:rFonts w:ascii="Arial" w:hAnsi="Arial" w:cs="Arial"/>
          <w:sz w:val="22"/>
          <w:szCs w:val="22"/>
        </w:rPr>
        <w:t>0</w:t>
      </w:r>
      <w:r w:rsidRPr="00DD1E04">
        <w:rPr>
          <w:rFonts w:ascii="Arial" w:hAnsi="Arial" w:cs="Arial"/>
          <w:sz w:val="22"/>
          <w:szCs w:val="22"/>
        </w:rPr>
        <w:t xml:space="preserve"> Double-Loop Learning in Academic Development</w:t>
      </w:r>
      <w:r w:rsidR="0006320A">
        <w:rPr>
          <w:rFonts w:ascii="Arial" w:hAnsi="Arial" w:cs="Arial"/>
          <w:sz w:val="22"/>
          <w:szCs w:val="22"/>
        </w:rPr>
        <w:t xml:space="preserve"> Literature Review</w:t>
      </w:r>
      <w:bookmarkEnd w:id="3"/>
    </w:p>
    <w:p w14:paraId="2CAB6523" w14:textId="77777777" w:rsidR="0006320A" w:rsidRPr="0006320A" w:rsidRDefault="0006320A" w:rsidP="0006320A">
      <w:pPr>
        <w:pStyle w:val="Heading2"/>
        <w:rPr>
          <w:rFonts w:ascii="Arial" w:hAnsi="Arial" w:cs="Arial"/>
          <w:sz w:val="22"/>
          <w:szCs w:val="22"/>
        </w:rPr>
      </w:pPr>
      <w:bookmarkStart w:id="4" w:name="_Toc214970242"/>
      <w:r w:rsidRPr="0006320A">
        <w:rPr>
          <w:rFonts w:ascii="Arial" w:hAnsi="Arial" w:cs="Arial"/>
          <w:sz w:val="22"/>
          <w:szCs w:val="22"/>
        </w:rPr>
        <w:t>2.1 Introduction</w:t>
      </w:r>
      <w:bookmarkEnd w:id="4"/>
    </w:p>
    <w:p w14:paraId="4653BDB7"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Work-based learning (WBL) is an educational strategy that deliberately integrates academic study with practical work experience, merging theory with real-world practice (Boud &amp; Solomon, 2001). It acknowledges both explicit knowledge (formal theories and techniques) and tacit knowledge gained from workplace experiences (Eraut, 2004). In the UK context, higher education programmes – including civil engineering – increasingly incorporate WBL through degree apprenticeships and industry partnerships, aligning academic curricula with professional practice (Higher Education Academy, 2015). This approach reflects institutional and professional expectations that graduates not only possess technical competencies but can apply them in authentic settings while critically reflecting on their learning. For example, engineering institutions emphasise continuous professional development and reflective practice; the Institution of Mechanical Engineers (IMechE, 2020) explicitly links achieving learning outcomes to engaging in reflection as part of professional development. The present study is situated within this broader context of WBL in civil engineering education: it examines how the double-loop learning framework can support experienced industry practitioners transitioning into academia.</w:t>
      </w:r>
    </w:p>
    <w:p w14:paraId="15A1F2B2"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 xml:space="preserve">The theory of double-loop learning, developed by Argyris and Schön (1997), provides a powerful lens to understand how individuals and organisations adapt and learn from </w:t>
      </w:r>
      <w:r w:rsidRPr="0006320A">
        <w:rPr>
          <w:rFonts w:ascii="Arial" w:hAnsi="Arial" w:cs="Arial"/>
        </w:rPr>
        <w:lastRenderedPageBreak/>
        <w:t xml:space="preserve">experience. Unlike single-loop learning – where one reacts to errors by modifying actions within existing norms – double-loop learning involves questioning and revising the underlying values, assumptions, or “mental models” that drive those actions (Cartwright, 2002). Such deep learning can be particularly beneficial for civil engineering and construction students who enter academia with substantial sector experience but little formal training (Vathanophas et al., 2011). By applying double-loop learning principles, they are encouraged </w:t>
      </w:r>
      <w:r w:rsidR="009764E8">
        <w:rPr>
          <w:rFonts w:ascii="Arial" w:hAnsi="Arial" w:cs="Arial"/>
        </w:rPr>
        <w:t>to reflect on their established approaches critically</w:t>
      </w:r>
      <w:r w:rsidRPr="0006320A">
        <w:rPr>
          <w:rFonts w:ascii="Arial" w:hAnsi="Arial" w:cs="Arial"/>
        </w:rPr>
        <w:t xml:space="preserve"> and to realign their habits with academic expectations.</w:t>
      </w:r>
    </w:p>
    <w:p w14:paraId="00E848A5"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For students with extensive industry experience but limited academic exposure, this framework is particularly pertinent. Such students often struggle to navigate the expectations of higher education, finding it difficult to bridge the gap between tacit practical knowledge and abstract academic theory (Brockbank &amp; McGill, 1998). Double-loop learning encourages these learners to challenge their own assumptions about what constitutes legitimate knowledge, thereby reframing workplace experience as a resource for academic inquiry rather than as a disconnected domain. This process enables them to align their professional insights with academic discourse, developing reflective skills essential for both academic success and professional recognition within the UK civil engineering sector (Lucas, Spencer &amp; Claxton, 2012).</w:t>
      </w:r>
    </w:p>
    <w:p w14:paraId="6A379B56" w14:textId="77777777" w:rsidR="0006320A" w:rsidRPr="0006320A" w:rsidRDefault="0006320A" w:rsidP="0006320A">
      <w:pPr>
        <w:pStyle w:val="Heading2"/>
        <w:rPr>
          <w:rFonts w:ascii="Arial" w:hAnsi="Arial" w:cs="Arial"/>
          <w:sz w:val="22"/>
          <w:szCs w:val="22"/>
        </w:rPr>
      </w:pPr>
      <w:bookmarkStart w:id="5" w:name="_Toc214970243"/>
      <w:r w:rsidRPr="0006320A">
        <w:rPr>
          <w:rFonts w:ascii="Arial" w:hAnsi="Arial" w:cs="Arial"/>
          <w:sz w:val="22"/>
          <w:szCs w:val="22"/>
        </w:rPr>
        <w:t>2.2 Reflection, Professional Growth, and Imposter Syndrome</w:t>
      </w:r>
      <w:bookmarkEnd w:id="5"/>
    </w:p>
    <w:p w14:paraId="724F1153"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 xml:space="preserve">Reflective thought has long been recognised as a cornerstone of professional development in disciplines that demand adaptability and problem-solving (Schön, 1983). In construction and civil engineering, professionals must respond to evolving challenges such as design changes, environmental constraints, and health and safety considerations. When students engage in structured reflection aligned with double-loop principles, they </w:t>
      </w:r>
      <w:r w:rsidR="009764E8">
        <w:rPr>
          <w:rFonts w:ascii="Arial" w:hAnsi="Arial" w:cs="Arial"/>
        </w:rPr>
        <w:t>can</w:t>
      </w:r>
      <w:r w:rsidRPr="0006320A">
        <w:rPr>
          <w:rFonts w:ascii="Arial" w:hAnsi="Arial" w:cs="Arial"/>
        </w:rPr>
        <w:t xml:space="preserve"> critically analyse past experiences, identify weaknesses, and reframe their understanding of both professional and academic challenges (Mezirow, 1991). This process supports the development of academic literacies by encouraging students to perceive their practice not merely as tacit knowledge, but as a resource that can be systematically interrogated and refined in light of theoretical principles (Taylor, 2017).</w:t>
      </w:r>
    </w:p>
    <w:p w14:paraId="5E5895B6"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 xml:space="preserve">Double-loop learning also contributes to addressing affective barriers such as </w:t>
      </w:r>
      <w:r w:rsidRPr="0006320A">
        <w:rPr>
          <w:rFonts w:ascii="Arial" w:hAnsi="Arial" w:cs="Arial"/>
          <w:bCs/>
        </w:rPr>
        <w:t>imposter syndrome</w:t>
      </w:r>
      <w:r w:rsidRPr="0006320A">
        <w:rPr>
          <w:rFonts w:ascii="Arial" w:hAnsi="Arial" w:cs="Arial"/>
        </w:rPr>
        <w:t xml:space="preserve">, a persistent self-doubt that can inhibit learning. Many students entering higher education from vocational backgrounds report feelings of inadequacy or illegitimacy (Clance &amp; Imes, 1978; Hutchins &amp; Rainbolt, 2017). By fostering an environment in which questioning, reflection, and re-evaluation are normalised, students can reconceptualise uncertainty as integral to the learning process. Argyris (1991) suggests that professionals often fail to learn from failure because of defensive reasoning, which aligns closely with the self-doubt of imposter syndrome. Double-loop learning, by contrast, prompts individuals to interrogate their reasoning and assumptions, transforming uncertainty into an opportunity for growth. This can </w:t>
      </w:r>
      <w:r w:rsidRPr="0006320A">
        <w:rPr>
          <w:rFonts w:ascii="Arial" w:hAnsi="Arial" w:cs="Arial"/>
        </w:rPr>
        <w:lastRenderedPageBreak/>
        <w:t>promote resilience and encourage open contributions in collaborative learning environments, aligning with contemporary professional expectations for teamwork and adaptive thinking (IMechE, 2020).</w:t>
      </w:r>
    </w:p>
    <w:p w14:paraId="07744B00" w14:textId="77777777" w:rsidR="0006320A" w:rsidRPr="0006320A" w:rsidRDefault="0006320A" w:rsidP="0006320A">
      <w:pPr>
        <w:pStyle w:val="Heading2"/>
        <w:rPr>
          <w:rFonts w:ascii="Arial" w:hAnsi="Arial" w:cs="Arial"/>
          <w:sz w:val="22"/>
          <w:szCs w:val="22"/>
        </w:rPr>
      </w:pPr>
      <w:bookmarkStart w:id="6" w:name="_Toc214970244"/>
      <w:r w:rsidRPr="0006320A">
        <w:rPr>
          <w:rFonts w:ascii="Arial" w:hAnsi="Arial" w:cs="Arial"/>
          <w:sz w:val="22"/>
          <w:szCs w:val="22"/>
        </w:rPr>
        <w:t>2.3 Theoretical Foundations and Pedagogical Landscape</w:t>
      </w:r>
      <w:bookmarkEnd w:id="6"/>
    </w:p>
    <w:p w14:paraId="136DF759"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Double-loop learning occupies an important place in the landscape of educational theories. Kolb’s (1984) experiential learning cycle describes learning as a four-stage iterative process: concrete experience, reflective observation, abstract conceptualisation, and active experimentation. While highly influential in engineering education, Kolb’s cycle primarily focuses on improving actions within existing frames of reference, essentially asking, “How can I do this better next time?” (Kolb, 1984). Double-loop learning, however, prompts learners to also ask, “Am I doing the right thing?” and “Why am I doing it this way?” (Argyris &amp; Schön, 1997).</w:t>
      </w:r>
    </w:p>
    <w:p w14:paraId="7CB6DB95"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Similarly, Schön’s (1983</w:t>
      </w:r>
      <w:r w:rsidR="009764E8">
        <w:rPr>
          <w:rFonts w:ascii="Arial" w:hAnsi="Arial" w:cs="Arial"/>
        </w:rPr>
        <w:t xml:space="preserve">) reflective practitioner model, </w:t>
      </w:r>
      <w:r w:rsidRPr="0006320A">
        <w:rPr>
          <w:rFonts w:ascii="Arial" w:hAnsi="Arial" w:cs="Arial"/>
        </w:rPr>
        <w:t>reflection-in-action and reflection-on-action</w:t>
      </w:r>
      <w:r w:rsidR="009764E8">
        <w:rPr>
          <w:rFonts w:ascii="Arial" w:hAnsi="Arial" w:cs="Arial"/>
        </w:rPr>
        <w:t xml:space="preserve">, </w:t>
      </w:r>
      <w:r w:rsidRPr="0006320A">
        <w:rPr>
          <w:rFonts w:ascii="Arial" w:hAnsi="Arial" w:cs="Arial"/>
        </w:rPr>
        <w:t>has shaped professional education by highlighting how practitioners think about their work both during and after practice. While both Schön and Argyris emphasise reflection, Schön’s model is more concerned with tacit professional knowledge and real-time adjustment, whereas double-loop learning explicitly interrogates the values and assumptions guiding decisions (Schön, 1983). In engineering education, the distinction is significant: Schön’s model supports real-time problem solving, while double-loop learning equips students to reframe the very problems they encounter (Fortier, Shawcross &amp; Stewart, 2012).</w:t>
      </w:r>
    </w:p>
    <w:p w14:paraId="0E12E38F"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Mezirow’s (1991) transformative learning theory further complements this perspective. He argues that sustainable learning occurs when reflection leads to a change in one’s frames of reference. Double-loop learning can thus be viewed as a mechanism for transformative learning. Taylor (2017) reinforces this point, suggesting that higher levels of reflection can enhance performance and reduce mistakes. Yet, this assertion requires nuance: reflection is only effective when structured and targeted. Overemphasis on reflection without guidance risks cognitive overload or paralysing over-analysis (Mason &amp; Singh, 2016).</w:t>
      </w:r>
    </w:p>
    <w:p w14:paraId="05B0A551" w14:textId="77777777" w:rsidR="0006320A" w:rsidRPr="0006320A" w:rsidRDefault="0006320A" w:rsidP="0006320A">
      <w:pPr>
        <w:pStyle w:val="Heading2"/>
        <w:rPr>
          <w:rFonts w:ascii="Arial" w:hAnsi="Arial" w:cs="Arial"/>
          <w:sz w:val="22"/>
          <w:szCs w:val="22"/>
        </w:rPr>
      </w:pPr>
      <w:bookmarkStart w:id="7" w:name="_Toc214970245"/>
      <w:r w:rsidRPr="0006320A">
        <w:rPr>
          <w:rFonts w:ascii="Arial" w:hAnsi="Arial" w:cs="Arial"/>
          <w:sz w:val="22"/>
          <w:szCs w:val="22"/>
        </w:rPr>
        <w:t>2.4 Double-Loop Feedback in Practice</w:t>
      </w:r>
      <w:bookmarkEnd w:id="7"/>
    </w:p>
    <w:p w14:paraId="64C2C906"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Feedback is widely recognised as central to learning (Winstone &amp; Boud, 2021), yet in engineering education it often remains single-loop, addressing surface errors without probing underlying reasoning. Double-loop feedback, by contrast, challenges students to reconsider the assumptions underpinning their work. Fortier, Shawcross and Stewart (2012) found that assessment-based double-loop learning improved students’ design practice by encouraging reflection on both outcomes and decision criteria. Similarly, Doren (2013) argues that structured feedback cycles can shape not only student learning but also institutional policy.</w:t>
      </w:r>
    </w:p>
    <w:p w14:paraId="1FA6D8A7"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 xml:space="preserve">In practice, double-loop feedback can address both technical and academic gaps. Murray </w:t>
      </w:r>
      <w:r w:rsidRPr="0006320A">
        <w:rPr>
          <w:rFonts w:ascii="Arial" w:hAnsi="Arial" w:cs="Arial"/>
        </w:rPr>
        <w:lastRenderedPageBreak/>
        <w:t>(2006) observes that vocational students often adopt formulaic writing styles, inconsistent with the analytical demands of higher education. Double-loop feedback can prompt them to reconsider assumptions about academic writing, aligning their communication with professional standards. Mason and Singh (2016) further demonstrate that peer reflection combined with prompt feedback enhances problem-solving skills, showing that structured reflection need not be restricted to one-to-one tutor comments but can be embedded in peer and collaborative activities.</w:t>
      </w:r>
    </w:p>
    <w:p w14:paraId="5ED2409A"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 xml:space="preserve">However, scaling double-loop feedback is not without barriers. Dingsøyr (2022) highlights the challenges of delivering consistent, reflective feedback in large cohorts, where misaligned tutor guidance and limited follow-up often undermine its effectiveness. This points to the need for aligned rubrics, training for staff, and structured reflective activities to ensure feedback achieves its intended depth (Wheelahan, 2010). Additionally, for novices unfamiliar with reflective learning, double-loop feedback can lead to </w:t>
      </w:r>
      <w:r w:rsidRPr="0006320A">
        <w:rPr>
          <w:rFonts w:ascii="Arial" w:hAnsi="Arial" w:cs="Arial"/>
          <w:bCs/>
        </w:rPr>
        <w:t>cognitive overload</w:t>
      </w:r>
      <w:r w:rsidRPr="0006320A">
        <w:rPr>
          <w:rFonts w:ascii="Arial" w:hAnsi="Arial" w:cs="Arial"/>
        </w:rPr>
        <w:t xml:space="preserve"> unless scaffolded (Synnott, 2013).</w:t>
      </w:r>
    </w:p>
    <w:p w14:paraId="43054E27" w14:textId="77777777" w:rsidR="0006320A" w:rsidRPr="0006320A" w:rsidRDefault="0006320A" w:rsidP="0006320A">
      <w:pPr>
        <w:pStyle w:val="Heading2"/>
        <w:rPr>
          <w:rFonts w:ascii="Arial" w:hAnsi="Arial" w:cs="Arial"/>
          <w:sz w:val="22"/>
          <w:szCs w:val="22"/>
        </w:rPr>
      </w:pPr>
      <w:bookmarkStart w:id="8" w:name="_Toc214970246"/>
      <w:r w:rsidRPr="0006320A">
        <w:rPr>
          <w:rFonts w:ascii="Arial" w:hAnsi="Arial" w:cs="Arial"/>
          <w:sz w:val="22"/>
          <w:szCs w:val="22"/>
        </w:rPr>
        <w:t>2.5 Bridging the Academic–Vocational Gap</w:t>
      </w:r>
      <w:bookmarkEnd w:id="8"/>
    </w:p>
    <w:p w14:paraId="3D9411D3"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Civil engineering education is often critiqued for a disconnection between theory and practice (Lucas, Spencer &amp; Claxton, 2012; Melville, 2014). Traditional models that emphasise rote learning and assessment do not adequately prepare students for the ambiguity and complexity of real projects. Double-loop learning and feedback address this by encouraging students to bridge theoretical knowledge and workplace practices. Medema, Wals and Adamowski (2014) describe “multi-loop learning ecologies” as beneficial for fostering institutional adaptability and collaborative knowledge exchange, which is particularly crucial in sectors like engineering.</w:t>
      </w:r>
    </w:p>
    <w:p w14:paraId="747C9574"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Cartwright (2002) argues that double-loop learning requires students to challenge commonly accepted assumptions and methods. While valuable, this expectation assumes that students have both the confidence and institutional support to do so</w:t>
      </w:r>
      <w:r w:rsidR="009764E8">
        <w:rPr>
          <w:rFonts w:ascii="Arial" w:hAnsi="Arial" w:cs="Arial"/>
        </w:rPr>
        <w:t xml:space="preserve">, </w:t>
      </w:r>
      <w:r w:rsidRPr="0006320A">
        <w:rPr>
          <w:rFonts w:ascii="Arial" w:hAnsi="Arial" w:cs="Arial"/>
        </w:rPr>
        <w:t>an assumption that may not hold in hierarchical or assessment-driven environments. Thus, while double-loop learning provides a powerful framework, educators must remain mindful of its limitations and consider complementary models such as Kolb’s experiential learning or Schön’s reflective practice.</w:t>
      </w:r>
    </w:p>
    <w:p w14:paraId="6A7E801E" w14:textId="77777777" w:rsidR="0006320A" w:rsidRPr="0006320A" w:rsidRDefault="0006320A" w:rsidP="0006320A">
      <w:pPr>
        <w:pStyle w:val="Heading2"/>
        <w:rPr>
          <w:rFonts w:ascii="Arial" w:hAnsi="Arial" w:cs="Arial"/>
          <w:sz w:val="22"/>
          <w:szCs w:val="22"/>
        </w:rPr>
      </w:pPr>
      <w:bookmarkStart w:id="9" w:name="_Toc214970247"/>
      <w:r w:rsidRPr="0006320A">
        <w:rPr>
          <w:rFonts w:ascii="Arial" w:hAnsi="Arial" w:cs="Arial"/>
          <w:sz w:val="22"/>
          <w:szCs w:val="22"/>
        </w:rPr>
        <w:t>2.6 Conclusion</w:t>
      </w:r>
      <w:bookmarkEnd w:id="9"/>
    </w:p>
    <w:p w14:paraId="1205FE34"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Integrating double-loop learning and feedback into civil engineering education provides a clear pathway to bridging the academic–vocational divide. While challenges remain</w:t>
      </w:r>
      <w:r w:rsidR="009764E8">
        <w:rPr>
          <w:rFonts w:ascii="Arial" w:hAnsi="Arial" w:cs="Arial"/>
        </w:rPr>
        <w:t xml:space="preserve">, </w:t>
      </w:r>
      <w:r w:rsidRPr="0006320A">
        <w:rPr>
          <w:rFonts w:ascii="Arial" w:hAnsi="Arial" w:cs="Arial"/>
        </w:rPr>
        <w:t xml:space="preserve">particularly in scaling reflective practices </w:t>
      </w:r>
      <w:r w:rsidR="009764E8">
        <w:rPr>
          <w:rFonts w:ascii="Arial" w:hAnsi="Arial" w:cs="Arial"/>
        </w:rPr>
        <w:t xml:space="preserve">and avoiding cognitive overload, </w:t>
      </w:r>
      <w:r w:rsidRPr="0006320A">
        <w:rPr>
          <w:rFonts w:ascii="Arial" w:hAnsi="Arial" w:cs="Arial"/>
        </w:rPr>
        <w:t>its alignment with UK institutional and professional expectations suggests it is a valuable framework for cultivating reflective, adaptable engineers. The key lies in careful scaffolding, institutional support, and embedding reflection across curricula. Ultimately, double-loop learning equips students not only to master current challenges but to continually question, adapt, and grow in the face of future ones.</w:t>
      </w:r>
    </w:p>
    <w:p w14:paraId="0AF5DBAC" w14:textId="77777777" w:rsidR="0006320A" w:rsidRPr="0006320A" w:rsidRDefault="0006320A" w:rsidP="0006320A">
      <w:pPr>
        <w:pStyle w:val="Heading1"/>
        <w:rPr>
          <w:rFonts w:ascii="Arial" w:hAnsi="Arial" w:cs="Arial"/>
          <w:sz w:val="22"/>
          <w:szCs w:val="22"/>
        </w:rPr>
      </w:pPr>
      <w:bookmarkStart w:id="10" w:name="_Toc214970248"/>
      <w:r w:rsidRPr="0006320A">
        <w:rPr>
          <w:rFonts w:ascii="Arial" w:hAnsi="Arial" w:cs="Arial"/>
          <w:sz w:val="22"/>
          <w:szCs w:val="22"/>
        </w:rPr>
        <w:lastRenderedPageBreak/>
        <w:t>3.</w:t>
      </w:r>
      <w:r>
        <w:rPr>
          <w:rFonts w:ascii="Arial" w:hAnsi="Arial" w:cs="Arial"/>
          <w:sz w:val="22"/>
          <w:szCs w:val="22"/>
        </w:rPr>
        <w:t>0</w:t>
      </w:r>
      <w:r w:rsidRPr="0006320A">
        <w:rPr>
          <w:rFonts w:ascii="Arial" w:hAnsi="Arial" w:cs="Arial"/>
          <w:sz w:val="22"/>
          <w:szCs w:val="22"/>
        </w:rPr>
        <w:t xml:space="preserve"> Methodology</w:t>
      </w:r>
      <w:bookmarkEnd w:id="10"/>
    </w:p>
    <w:p w14:paraId="14F9139A"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This research project uses a qualitative action research approach to explore the influence of double-loop feedback on the academic development of HNC Civil Engineering and Construction students. Specifically, it aims to discover whether incorporating this feedback model into routine assessment practices can enhance learners' metacognitive skills, promote greater academic independence, and improve the overall standard of assessed work. Action research, by its nature, supports iterative development and immediate pedagogical reflection, making it particularly suitable for the educational setting where this study is conducted (McNiff, 2016; Norton, 2018). As noted in the theoretical framework, double-loop learning emphasises questioning assumptions and reframing problems (Argyris &amp; Schön, 1997), which aligns naturally with the cyclical, inquiry-driven ethos of action research. Nevertheless, while action research is often praised for its participatory nature, it has also been criticised for its potential to embed practitioner bias (Cochran-Smith &amp; Lytle, 2009). This tension mirrors debates highlighted earlier around the difficulty of translating reflective theories such as Schön’s (1983) into consistent classroom practice, underscoring the importance of reflexivity throughout this project.</w:t>
      </w:r>
    </w:p>
    <w:p w14:paraId="3271C4AD" w14:textId="77777777" w:rsidR="0006320A" w:rsidRPr="0006320A" w:rsidRDefault="0006320A" w:rsidP="0006320A">
      <w:pPr>
        <w:pStyle w:val="Heading2"/>
        <w:rPr>
          <w:rFonts w:ascii="Arial" w:hAnsi="Arial" w:cs="Arial"/>
          <w:sz w:val="22"/>
          <w:szCs w:val="22"/>
        </w:rPr>
      </w:pPr>
      <w:bookmarkStart w:id="11" w:name="_Toc214970249"/>
      <w:r w:rsidRPr="0006320A">
        <w:rPr>
          <w:rFonts w:ascii="Arial" w:hAnsi="Arial" w:cs="Arial"/>
          <w:sz w:val="22"/>
          <w:szCs w:val="22"/>
        </w:rPr>
        <w:t>3.1 Research Design and Paradigm</w:t>
      </w:r>
      <w:bookmarkEnd w:id="11"/>
    </w:p>
    <w:p w14:paraId="5192F07F"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This study is situated within an interpretivist paradigm, which emphasises the subjective and constructed nature of reality, especially relevant when exploring individual learning experiences and reflective practices (Creswell &amp; Poth, 2018). The research does not seek to generalise across populations but aims to generate in-depth, context-specific insights into how learners perceive and respond to feedback mechanisms within a specific academic environment. As argued in the literature review, feedback is not a neutral process but a socially constructed dialogue that can either reinforce or challenge student assumptions (Winstone &amp; Boud, 2021). The interpretivist stance therefore supports a deeper analysis of how double-loop feedback is experienced by learners, complementing the earlier theoretical claim that feedback can function as a vehicle for transformative learning (Mezirow, 1991).</w:t>
      </w:r>
    </w:p>
    <w:p w14:paraId="0D211533"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The insider-practitioner role of the researcher reflects the principles of practitioner inquiry, which positions educators as agents of pedagogical innovation (Cochran-Smith &amp; Lytle, 2009). However, this role also introduces potential bias: as discussed in Section 2, double-loop learning presupposes that students are willing to challenge their assumptions, yet researcher enthusiasm for this model could inadvertently overstate its effectiveness. Herr and Anderson (2015) caution that such dual-role dynamics can shape not only data collection but also interpretation. Acknowledging this limitation is essential, since the earlier review also identified counterarguments to double-loop feedback</w:t>
      </w:r>
      <w:r w:rsidR="009764E8">
        <w:rPr>
          <w:rFonts w:ascii="Arial" w:hAnsi="Arial" w:cs="Arial"/>
        </w:rPr>
        <w:t>, s</w:t>
      </w:r>
      <w:r w:rsidRPr="0006320A">
        <w:rPr>
          <w:rFonts w:ascii="Arial" w:hAnsi="Arial" w:cs="Arial"/>
        </w:rPr>
        <w:t>uch as the risks of cognitive overload for novice learners (Mason &amp; Singh, 2016)</w:t>
      </w:r>
      <w:r w:rsidR="009764E8">
        <w:rPr>
          <w:rFonts w:ascii="Arial" w:hAnsi="Arial" w:cs="Arial"/>
        </w:rPr>
        <w:t xml:space="preserve">, </w:t>
      </w:r>
      <w:r w:rsidRPr="0006320A">
        <w:rPr>
          <w:rFonts w:ascii="Arial" w:hAnsi="Arial" w:cs="Arial"/>
        </w:rPr>
        <w:t>which this study must remain open to detecting.</w:t>
      </w:r>
    </w:p>
    <w:p w14:paraId="49370FEE" w14:textId="77777777" w:rsidR="0006320A" w:rsidRPr="0006320A" w:rsidRDefault="0006320A" w:rsidP="0006320A">
      <w:pPr>
        <w:pStyle w:val="Heading2"/>
        <w:rPr>
          <w:rFonts w:ascii="Arial" w:hAnsi="Arial" w:cs="Arial"/>
          <w:sz w:val="22"/>
          <w:szCs w:val="22"/>
        </w:rPr>
      </w:pPr>
      <w:bookmarkStart w:id="12" w:name="_Toc214970250"/>
      <w:r w:rsidRPr="0006320A">
        <w:rPr>
          <w:rFonts w:ascii="Arial" w:hAnsi="Arial" w:cs="Arial"/>
          <w:sz w:val="22"/>
          <w:szCs w:val="22"/>
        </w:rPr>
        <w:t>3.2 Action Research Cycle</w:t>
      </w:r>
      <w:bookmarkEnd w:id="12"/>
    </w:p>
    <w:p w14:paraId="606B0576"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 xml:space="preserve">Following Sharp, Peters, and Howard (2017), the study will be organised around a clearly </w:t>
      </w:r>
      <w:r w:rsidRPr="0006320A">
        <w:rPr>
          <w:rFonts w:ascii="Arial" w:hAnsi="Arial" w:cs="Arial"/>
        </w:rPr>
        <w:lastRenderedPageBreak/>
        <w:t>defined research cycle. Weeks 1–2 will involve reviewing relevant literature and consolidating the research design. During Week 2, students will complete a pre-intervention survey to capture baseline attitudes, prior experiences with feedback, and their self-perceptions of learning autonomy and metacognitive awareness. The main intervention will run from Weeks 3 to 10, during which structured double-loop feedback will be applied at multiple assessment points. Post-intervention interviews and final reflections will take place in Weeks 10–11, with data analysis and report writing occurring in Weeks 11–12.</w:t>
      </w:r>
    </w:p>
    <w:p w14:paraId="04BD5E35"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This phased approach mirrors the recursive nature of double-loop learning outlined in Section 2. Just as double-loop feedback requires students to revisit and reframe assumptions (Fortier, Shawcross &amp; Stewart, 2012), action research cycles invite educators to reflect on and refine interventions in real time. Yet, as Somekh (2006) notes, the close integration of action and analysis can compromise critical distance, raising concerns about reliability. This echoes Medema, Wals and Adamowski’s (2014) observation that while “multi-loop learning ecologies” are aspirational, sustaining them institutionally can be difficult. By embedding reflexive documentation into each cycle, this project seeks to address these tensions and avoid collapsing into uncritical advocacy for the intervention.</w:t>
      </w:r>
    </w:p>
    <w:p w14:paraId="6FD3BEAA" w14:textId="77777777" w:rsidR="0006320A" w:rsidRPr="0006320A" w:rsidRDefault="0006320A" w:rsidP="0006320A">
      <w:pPr>
        <w:pStyle w:val="Heading2"/>
        <w:rPr>
          <w:rFonts w:ascii="Arial" w:hAnsi="Arial" w:cs="Arial"/>
          <w:sz w:val="22"/>
          <w:szCs w:val="22"/>
        </w:rPr>
      </w:pPr>
      <w:bookmarkStart w:id="13" w:name="_Toc214970251"/>
      <w:r w:rsidRPr="0006320A">
        <w:rPr>
          <w:rFonts w:ascii="Arial" w:hAnsi="Arial" w:cs="Arial"/>
          <w:sz w:val="22"/>
          <w:szCs w:val="22"/>
        </w:rPr>
        <w:t>3.3 Data Collection Methods</w:t>
      </w:r>
      <w:bookmarkEnd w:id="13"/>
    </w:p>
    <w:p w14:paraId="29466E6E"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A range of qualitative data collection tools will be used to triangulate findings and enhance the trustworthiness of the study (Denzin &amp; Lincoln, 2018). A pre-intervention survey will establish a baseline of student attitudes and feedback experiences.</w:t>
      </w:r>
    </w:p>
    <w:p w14:paraId="0E073061"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The main stage of the research involves ongoing double-loop feedback on coursework, delivered through annotated digital documents and face-to-face dialogue. Students will also keep weekly reflective journals. As highlighted earlier, reflection can be transformative (Mezirow, 1991; Taylor, 2017), yet reflective journals have been critiqued for uneven levels of engagement (Moon, 2006). Some students may adopt formulaic approaches, echoing Murray’s (2006) finding that vocational learners often treat reflective writing as a task rather than as genuine inquiry. This study therefore recognises that journals may vary in quality and will interpret them cautiously.</w:t>
      </w:r>
    </w:p>
    <w:p w14:paraId="44D7B87A"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Semi-structured interviews with students and a peer lecturer will probe deeper into emotional and cognitive dimensions of feedback. This responds directly to concerns raised in the literature review that feedback models may not transfer seamlessly between vocational and academic contexts (Hounsell, 2007). Document analysis of early and final drafts will provide another triangulation layer, connecting the theoretical promise of feedback with measurable academic development.</w:t>
      </w:r>
    </w:p>
    <w:p w14:paraId="22CD05DA" w14:textId="77777777" w:rsidR="0006320A" w:rsidRPr="0006320A" w:rsidRDefault="0006320A" w:rsidP="0006320A">
      <w:pPr>
        <w:pStyle w:val="Heading2"/>
        <w:rPr>
          <w:rFonts w:ascii="Arial" w:hAnsi="Arial" w:cs="Arial"/>
          <w:sz w:val="22"/>
          <w:szCs w:val="22"/>
        </w:rPr>
      </w:pPr>
      <w:bookmarkStart w:id="14" w:name="_Toc214970252"/>
      <w:r w:rsidRPr="0006320A">
        <w:rPr>
          <w:rFonts w:ascii="Arial" w:hAnsi="Arial" w:cs="Arial"/>
          <w:sz w:val="22"/>
          <w:szCs w:val="22"/>
        </w:rPr>
        <w:t>3.4 Methodological Justification</w:t>
      </w:r>
      <w:bookmarkEnd w:id="14"/>
    </w:p>
    <w:p w14:paraId="2E663465"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 xml:space="preserve">The selected methods align with the action research framework and support the study's </w:t>
      </w:r>
      <w:r w:rsidRPr="0006320A">
        <w:rPr>
          <w:rFonts w:ascii="Arial" w:hAnsi="Arial" w:cs="Arial"/>
        </w:rPr>
        <w:lastRenderedPageBreak/>
        <w:t>exploratory aims. By embedding feedback within classroom practice, the design operationalises the theoretical argument advanced in Section 2 that double-loop processes bridge vocational experience and academic learning (Lucas, Spencer &amp; Claxton, 2012). Qualitative approaches are well-suited for capturing these subtle shifts (Creswell &amp; Poth, 2018).</w:t>
      </w:r>
    </w:p>
    <w:p w14:paraId="21F4C303"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However, as critics of feedback research point out, qualitative approaches may risk over-emphasising student narratives while neglecting structural or institutional factors that shape learning (Hounsell, 2007). Similarly, Gitlin, Kolanowski, and Lyons (2020) note that multi-method approaches, while rich, can generate challenges in synthesis. By situating this study explicitly within vocational civil engineering education, the methodology acknowledges these tensions and frames findings as contextually rich but not universally generalisable.</w:t>
      </w:r>
    </w:p>
    <w:p w14:paraId="45EA0608" w14:textId="77777777" w:rsidR="0006320A" w:rsidRPr="0006320A" w:rsidRDefault="0006320A" w:rsidP="0006320A">
      <w:pPr>
        <w:pStyle w:val="Heading2"/>
        <w:rPr>
          <w:rFonts w:ascii="Arial" w:hAnsi="Arial" w:cs="Arial"/>
          <w:sz w:val="22"/>
          <w:szCs w:val="22"/>
        </w:rPr>
      </w:pPr>
      <w:bookmarkStart w:id="15" w:name="_Toc214970253"/>
      <w:r w:rsidRPr="0006320A">
        <w:rPr>
          <w:rFonts w:ascii="Arial" w:hAnsi="Arial" w:cs="Arial"/>
          <w:sz w:val="22"/>
          <w:szCs w:val="22"/>
        </w:rPr>
        <w:t>3.5 Ethical Considerations</w:t>
      </w:r>
      <w:bookmarkEnd w:id="15"/>
    </w:p>
    <w:p w14:paraId="3DF646BC"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Ethical approval will be secured from the institution’s ethics review board before commencing the study. All participants will be provided with detailed information sheets and consent forms explaining the voluntary nature of participation, the right to withdraw at any time, and assurances of confidentiality and data protection.</w:t>
      </w:r>
    </w:p>
    <w:p w14:paraId="2C046E5E"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Particular attention will be given to the dual role of researcher and practitioner. Section 2 identified how imposter syndrome can inhibit student openness; similarly, power dynamics in this study may discourage students from being candid. To counter this, voluntary participation will be stressed, and pseudonymised data handling will protect anonymity. Reflexive researcher journals and peer debriefing (Cousin, 2009) will help mitigate interpretive bias.</w:t>
      </w:r>
    </w:p>
    <w:p w14:paraId="410ADE58" w14:textId="77777777" w:rsidR="0006320A" w:rsidRPr="0006320A" w:rsidRDefault="0006320A" w:rsidP="0006320A">
      <w:pPr>
        <w:pStyle w:val="Heading2"/>
        <w:rPr>
          <w:rFonts w:ascii="Arial" w:hAnsi="Arial" w:cs="Arial"/>
          <w:sz w:val="22"/>
          <w:szCs w:val="22"/>
        </w:rPr>
      </w:pPr>
      <w:bookmarkStart w:id="16" w:name="_Toc214970254"/>
      <w:r w:rsidRPr="0006320A">
        <w:rPr>
          <w:rFonts w:ascii="Arial" w:hAnsi="Arial" w:cs="Arial"/>
          <w:sz w:val="22"/>
          <w:szCs w:val="22"/>
        </w:rPr>
        <w:t>3.6 Data Analysis</w:t>
      </w:r>
      <w:bookmarkEnd w:id="16"/>
    </w:p>
    <w:p w14:paraId="5900B9C6"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Data will be analysed thematically using Braun and Clarke’s (2006) six-phase framework. This aligns with the critical reflection processes central to double-loop learning, where emerging themes are interrogated for underlying assumptions (Argyris &amp; Schön, 1997). Yet, as Nowell et al. (2017) caution, thematic analysis can risk being overly descriptive or shaped by researcher preconceptions. Intercoder checking with a peer lecturer will provide a safeguard.</w:t>
      </w:r>
    </w:p>
    <w:p w14:paraId="0BE3B8AD" w14:textId="77777777" w:rsidR="0006320A" w:rsidRPr="0006320A" w:rsidRDefault="0006320A" w:rsidP="0006320A">
      <w:pPr>
        <w:pStyle w:val="Heading2"/>
        <w:rPr>
          <w:rFonts w:ascii="Arial" w:hAnsi="Arial" w:cs="Arial"/>
          <w:sz w:val="22"/>
          <w:szCs w:val="22"/>
        </w:rPr>
      </w:pPr>
      <w:bookmarkStart w:id="17" w:name="_Toc214970255"/>
      <w:r w:rsidRPr="0006320A">
        <w:rPr>
          <w:rFonts w:ascii="Arial" w:hAnsi="Arial" w:cs="Arial"/>
          <w:sz w:val="22"/>
          <w:szCs w:val="22"/>
        </w:rPr>
        <w:t>3.7 Validity and Limitations</w:t>
      </w:r>
      <w:bookmarkEnd w:id="17"/>
    </w:p>
    <w:p w14:paraId="3A306CDC" w14:textId="77777777" w:rsidR="0006320A" w:rsidRPr="0006320A"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The study employs triangulation, respondent validation, and reflexive documentation to strengthen validity. However, the insider-practitioner role remains a limitation (Herr &amp; Anderson, 2015). Engagement with reflective journals may be inconsistent, mirroring concerns noted earlier that reflective learning, while theoretically powerful, can be uneven in practice (Moon, 2006; Mason &amp; Singh, 2016). Furthermore, the scalability of double-loop feedback remains uncertain: as Dingsøyr (2022) notes in large-cohort contexts, alignment and consistency of feedback are significant challenges. These limitations reinforce the earlier conclusion that while double-loop learning is promising, it is not universally applicable and must be carefully adapted to context.</w:t>
      </w:r>
    </w:p>
    <w:p w14:paraId="6ECD0D9C" w14:textId="77777777" w:rsidR="0006320A" w:rsidRPr="0006320A" w:rsidRDefault="0006320A" w:rsidP="0006320A">
      <w:pPr>
        <w:pStyle w:val="Heading2"/>
        <w:rPr>
          <w:rFonts w:ascii="Arial" w:hAnsi="Arial" w:cs="Arial"/>
          <w:sz w:val="22"/>
          <w:szCs w:val="22"/>
        </w:rPr>
      </w:pPr>
      <w:bookmarkStart w:id="18" w:name="_Toc214970256"/>
      <w:r w:rsidRPr="0006320A">
        <w:rPr>
          <w:rFonts w:ascii="Arial" w:hAnsi="Arial" w:cs="Arial"/>
          <w:sz w:val="22"/>
          <w:szCs w:val="22"/>
        </w:rPr>
        <w:lastRenderedPageBreak/>
        <w:t>3.8 Conclusion</w:t>
      </w:r>
      <w:bookmarkEnd w:id="18"/>
    </w:p>
    <w:p w14:paraId="4B9003C5" w14:textId="77777777" w:rsidR="0006320A" w:rsidRPr="00D02836" w:rsidRDefault="0006320A" w:rsidP="0006320A">
      <w:pPr>
        <w:widowControl w:val="0"/>
        <w:pBdr>
          <w:top w:val="nil"/>
          <w:left w:val="nil"/>
          <w:bottom w:val="nil"/>
          <w:right w:val="nil"/>
          <w:between w:val="nil"/>
        </w:pBdr>
        <w:spacing w:line="360" w:lineRule="auto"/>
        <w:jc w:val="both"/>
        <w:rPr>
          <w:rFonts w:ascii="Arial" w:hAnsi="Arial" w:cs="Arial"/>
        </w:rPr>
      </w:pPr>
      <w:r w:rsidRPr="0006320A">
        <w:rPr>
          <w:rFonts w:ascii="Arial" w:hAnsi="Arial" w:cs="Arial"/>
        </w:rPr>
        <w:t xml:space="preserve">This methodology is rooted in the theoretical insights outlined in Section 2, particularly the argument that double-loop feedback can serve as a transformative bridge between vocational practice and academic learning (Medema, Wals &amp; Adamowski, 2014; Fortier, Shawcross &amp; Stewart, 2012). By critically acknowledging debates around practitioner bias, student engagement, and methodological limits, the design demonstrates both coherence with its theoretical foundation and openness to challenge. Through action research cycles and </w:t>
      </w:r>
      <w:r w:rsidRPr="00D02836">
        <w:rPr>
          <w:rFonts w:ascii="Arial" w:hAnsi="Arial" w:cs="Arial"/>
        </w:rPr>
        <w:t>triangulated data, this study seeks not to prove the universal efficacy of double-loop feedback, but to generate nuanced, context-sensitive insights into its role in vocational higher education.</w:t>
      </w:r>
    </w:p>
    <w:p w14:paraId="6EED7E32" w14:textId="6BD7430C" w:rsidR="00BE71E6" w:rsidRPr="00D02836" w:rsidRDefault="00BE71E6" w:rsidP="00D02836">
      <w:pPr>
        <w:pStyle w:val="Heading1"/>
        <w:rPr>
          <w:rFonts w:ascii="Arial" w:hAnsi="Arial" w:cs="Arial"/>
          <w:sz w:val="22"/>
          <w:szCs w:val="22"/>
        </w:rPr>
      </w:pPr>
      <w:bookmarkStart w:id="19" w:name="_Toc200884941"/>
      <w:bookmarkStart w:id="20" w:name="_Toc214970257"/>
      <w:r w:rsidRPr="00D02836">
        <w:rPr>
          <w:rFonts w:ascii="Arial" w:hAnsi="Arial" w:cs="Arial"/>
          <w:sz w:val="22"/>
          <w:szCs w:val="22"/>
        </w:rPr>
        <w:t>4.</w:t>
      </w:r>
      <w:r w:rsidR="0054680B">
        <w:rPr>
          <w:rFonts w:ascii="Arial" w:hAnsi="Arial" w:cs="Arial"/>
          <w:sz w:val="22"/>
          <w:szCs w:val="22"/>
        </w:rPr>
        <w:t>0</w:t>
      </w:r>
      <w:r w:rsidRPr="00D02836">
        <w:rPr>
          <w:rFonts w:ascii="Arial" w:hAnsi="Arial" w:cs="Arial"/>
          <w:sz w:val="22"/>
          <w:szCs w:val="22"/>
        </w:rPr>
        <w:t xml:space="preserve"> </w:t>
      </w:r>
      <w:r w:rsidR="009B560B">
        <w:rPr>
          <w:rFonts w:ascii="Arial" w:hAnsi="Arial" w:cs="Arial"/>
          <w:sz w:val="22"/>
          <w:szCs w:val="22"/>
        </w:rPr>
        <w:t>Findings – I</w:t>
      </w:r>
      <w:r w:rsidRPr="00D02836">
        <w:rPr>
          <w:rFonts w:ascii="Arial" w:hAnsi="Arial" w:cs="Arial"/>
          <w:sz w:val="22"/>
          <w:szCs w:val="22"/>
        </w:rPr>
        <w:t>mplementation of Double-Loop Feedback</w:t>
      </w:r>
      <w:bookmarkEnd w:id="20"/>
      <w:commentRangeStart w:id="21"/>
      <w:commentRangeEnd w:id="21"/>
    </w:p>
    <w:p w14:paraId="280F3801" w14:textId="77777777" w:rsidR="00BE71E6" w:rsidRPr="00D0283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The incorporation of double-loop feedback is vital for fostering transformative learning and ongoing improvement in HNC Civil Engineering and Construction programmes. This section discusses feedback strategies, metacognitive development, and supportive environments that promote reflection and enhance learner outcomes.</w:t>
      </w:r>
    </w:p>
    <w:p w14:paraId="6AE4514E" w14:textId="77777777" w:rsidR="00BE71E6" w:rsidRPr="00D02836" w:rsidRDefault="00BE71E6" w:rsidP="00D02836">
      <w:pPr>
        <w:pStyle w:val="Heading2"/>
        <w:rPr>
          <w:rFonts w:ascii="Arial" w:hAnsi="Arial" w:cs="Arial"/>
          <w:sz w:val="22"/>
          <w:szCs w:val="22"/>
        </w:rPr>
      </w:pPr>
      <w:bookmarkStart w:id="22" w:name="_Toc214970258"/>
      <w:r w:rsidRPr="00D02836">
        <w:rPr>
          <w:rFonts w:ascii="Arial" w:hAnsi="Arial" w:cs="Arial"/>
          <w:sz w:val="22"/>
          <w:szCs w:val="22"/>
        </w:rPr>
        <w:t>4.1 Feedback Strategies</w:t>
      </w:r>
      <w:bookmarkEnd w:id="22"/>
    </w:p>
    <w:p w14:paraId="54102076" w14:textId="77777777" w:rsidR="00BE71E6" w:rsidRPr="00D02836" w:rsidRDefault="00BE71E6" w:rsidP="00D02836">
      <w:pPr>
        <w:pStyle w:val="Heading2"/>
        <w:rPr>
          <w:rFonts w:ascii="Arial" w:hAnsi="Arial" w:cs="Arial"/>
          <w:sz w:val="22"/>
          <w:szCs w:val="22"/>
        </w:rPr>
      </w:pPr>
      <w:bookmarkStart w:id="23" w:name="_Toc214970259"/>
      <w:r w:rsidRPr="00D02836">
        <w:rPr>
          <w:rFonts w:ascii="Arial" w:hAnsi="Arial" w:cs="Arial"/>
          <w:sz w:val="22"/>
          <w:szCs w:val="22"/>
        </w:rPr>
        <w:t>4.1.1 Formative Assessment Methods</w:t>
      </w:r>
      <w:bookmarkEnd w:id="23"/>
    </w:p>
    <w:p w14:paraId="09BA23EA" w14:textId="77777777" w:rsidR="00BE71E6" w:rsidRPr="00D0283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Formative assessment within a double-loop framework supports iterative learning, metacognitive development, and industry-relevant skills. Suskie (2009) highlights the importance of direct evidence of learning to determine mastery. Iterative project briefs and scaffolded tasks provide such evidence, enabling timely intervention by both students and teachers. Scaffolding decreases cognitive load (Gravells, 2014), easing the transition for students with limited academic backgrounds, although its effectiveness relies on well-designed tasks and quality instruction. Double-loop feedback shifts the emphasis from correction to reflection, encouraging students to reassess their strategies (Argyris &amp; Schön, 1997; Brockbank &amp; McGill, 1998). Nonetheless, lecturers must model reflective practices and ensure consistency with awarding body standards for recognition.</w:t>
      </w:r>
    </w:p>
    <w:p w14:paraId="450081B4" w14:textId="77777777" w:rsidR="00BE71E6" w:rsidRPr="00D02836" w:rsidRDefault="00761D90" w:rsidP="00BE71E6">
      <w:pPr>
        <w:widowControl w:val="0"/>
        <w:pBdr>
          <w:top w:val="nil"/>
          <w:left w:val="nil"/>
          <w:bottom w:val="nil"/>
          <w:right w:val="nil"/>
          <w:between w:val="nil"/>
        </w:pBdr>
        <w:spacing w:line="360" w:lineRule="auto"/>
        <w:jc w:val="both"/>
        <w:rPr>
          <w:rFonts w:ascii="Arial" w:hAnsi="Arial" w:cs="Arial"/>
        </w:rPr>
      </w:pPr>
      <w:r>
        <w:rPr>
          <w:rFonts w:ascii="Arial" w:hAnsi="Arial" w:cs="Arial"/>
        </w:rPr>
        <w:t>Digital feedback tools can provide immediacy but often lack depth and dialogue (Laici &amp; Pentucci, 2019; Nicol &amp; Macfarlane-Dick, 2006). Without a reflective context, such tools fall short of fostering critical self-regulation. Effective formative feedback should therefore combine immediacy with opportunities for reflection and dialogue with peers or lecturers. Interventions such as reflective journals, peer teaching, and self-explanations promote metacognitive strategies and resilience (Matsuda et al., 2020). These techniques help diverse learners develop skills fairly, though poorly designed interventions may disadvantage those with lower academic confidence.</w:t>
      </w:r>
    </w:p>
    <w:p w14:paraId="3F7CAAFC" w14:textId="77777777" w:rsidR="00BE71E6" w:rsidRPr="00D02836" w:rsidRDefault="00761D90" w:rsidP="00BE71E6">
      <w:pPr>
        <w:widowControl w:val="0"/>
        <w:pBdr>
          <w:top w:val="nil"/>
          <w:left w:val="nil"/>
          <w:bottom w:val="nil"/>
          <w:right w:val="nil"/>
          <w:between w:val="nil"/>
        </w:pBdr>
        <w:spacing w:line="360" w:lineRule="auto"/>
        <w:jc w:val="both"/>
        <w:rPr>
          <w:rFonts w:ascii="Arial" w:hAnsi="Arial" w:cs="Arial"/>
        </w:rPr>
      </w:pPr>
      <w:r>
        <w:rPr>
          <w:rFonts w:ascii="Arial" w:hAnsi="Arial" w:cs="Arial"/>
        </w:rPr>
        <w:t>Reflective journals aid in making tacit knowledge explicit (Lai &amp; Biggs, 2003), while peer teaching benefits both the helper and the recipient, reflecting collaborative practices in industry (Goulding et al., 2005). Formative feedback should focus on both factual recall and higher-</w:t>
      </w:r>
      <w:r>
        <w:rPr>
          <w:rFonts w:ascii="Arial" w:hAnsi="Arial" w:cs="Arial"/>
        </w:rPr>
        <w:lastRenderedPageBreak/>
        <w:t>order skills to meet vocational standards (Gravells, 2014). Staff competence and ongoing development are crucial for consistent and meaningful delivery of formative assessment.</w:t>
      </w:r>
    </w:p>
    <w:p w14:paraId="2CB86229" w14:textId="77777777" w:rsidR="00BE71E6" w:rsidRPr="00D02836" w:rsidRDefault="00BE71E6" w:rsidP="00D02836">
      <w:pPr>
        <w:pStyle w:val="Heading2"/>
        <w:rPr>
          <w:rFonts w:ascii="Arial" w:hAnsi="Arial" w:cs="Arial"/>
          <w:sz w:val="22"/>
          <w:szCs w:val="22"/>
        </w:rPr>
      </w:pPr>
      <w:bookmarkStart w:id="24" w:name="_Toc214970260"/>
      <w:r w:rsidRPr="00D02836">
        <w:rPr>
          <w:rFonts w:ascii="Arial" w:hAnsi="Arial" w:cs="Arial"/>
          <w:sz w:val="22"/>
          <w:szCs w:val="22"/>
        </w:rPr>
        <w:t>4.1.2 Summative Assessment Approaches</w:t>
      </w:r>
      <w:bookmarkEnd w:id="24"/>
    </w:p>
    <w:p w14:paraId="389A85DA" w14:textId="77777777" w:rsidR="00BE71E6" w:rsidRPr="00D0283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Summative assessments can incorporate double-loop feedback by encouraging students to reflect on how and why they reached conclusions, not just on correctness (Brockbank &amp; McGill, 1998). This method reinforces the connection between academic work and real-world application (Doren, 2013) but demands careful design and student preparation. Reflective summative tasks promote metacognition and facilitate the integration of theory and practice, which is essential in vocational settings. Scaffolded reflections foster resilience and reveal the cognitive strategies behind decisions (Sharp, Peters, &amp; Howard, 2017), but lecturers must explicitly demonstrate these practices.</w:t>
      </w:r>
    </w:p>
    <w:p w14:paraId="1B0DD690" w14:textId="77777777" w:rsidR="00BE71E6" w:rsidRPr="00D0283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Direct and indirect assessment methods, including portfolios, projects, and self-assessments, provide a holistic understanding of learning (Suskie, 2009). Portfolios enable tracking skill development and improve employability, but their design must encourage genuine reflection, not just description. Authentic assessment artefacts, reflective journals, peer reviews, and feedback loops capture learning dimensions beyond grades and ensure relevance to industry practices. However, excessive demands can burden learners, so alignment with programme duration and resources is essential.</w:t>
      </w:r>
    </w:p>
    <w:p w14:paraId="7CED0808" w14:textId="77777777" w:rsidR="00BE71E6" w:rsidRPr="00D0283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Post-assessment reflections can generate feedback loops that support self-regulation and goal setting, reinforcing double-loop learning (Sharp, Peters, &amp; Howard, 2017). However, implementing this demands institutional commitment and lecturer training to guarantee consistency.</w:t>
      </w:r>
    </w:p>
    <w:p w14:paraId="2C5A242D" w14:textId="77777777" w:rsidR="00BE71E6" w:rsidRPr="00D02836" w:rsidRDefault="00BE71E6" w:rsidP="00D02836">
      <w:pPr>
        <w:pStyle w:val="Heading2"/>
        <w:rPr>
          <w:rFonts w:ascii="Arial" w:hAnsi="Arial" w:cs="Arial"/>
          <w:sz w:val="22"/>
          <w:szCs w:val="22"/>
        </w:rPr>
      </w:pPr>
      <w:bookmarkStart w:id="25" w:name="_Toc214970261"/>
      <w:r w:rsidRPr="00D02836">
        <w:rPr>
          <w:rFonts w:ascii="Arial" w:hAnsi="Arial" w:cs="Arial"/>
          <w:sz w:val="22"/>
          <w:szCs w:val="22"/>
        </w:rPr>
        <w:t>4.2 Metacognitive Development</w:t>
      </w:r>
      <w:bookmarkEnd w:id="25"/>
    </w:p>
    <w:p w14:paraId="192AA333" w14:textId="77777777" w:rsidR="00BE71E6" w:rsidRPr="00D02836" w:rsidRDefault="00761D90" w:rsidP="00BE71E6">
      <w:pPr>
        <w:widowControl w:val="0"/>
        <w:pBdr>
          <w:top w:val="nil"/>
          <w:left w:val="nil"/>
          <w:bottom w:val="nil"/>
          <w:right w:val="nil"/>
          <w:between w:val="nil"/>
        </w:pBdr>
        <w:spacing w:line="360" w:lineRule="auto"/>
        <w:jc w:val="both"/>
        <w:rPr>
          <w:rFonts w:ascii="Arial" w:hAnsi="Arial" w:cs="Arial"/>
        </w:rPr>
      </w:pPr>
      <w:r>
        <w:rPr>
          <w:rFonts w:ascii="Arial" w:hAnsi="Arial" w:cs="Arial"/>
        </w:rPr>
        <w:t>Double-loop feedback promotes deep learning by encouraging the reassessment of assumptions and learning methods (Argyris &amp; Schön, 1997). In HNC programmes, students often modify their approach after recognising recurring mistakes. This reflective process aids in developing adaptive expertise essential for complex, unpredictable industry settings. Non-traditional students may encounter emotional and cognitive barriers to reflection due to gaps in academic confidence. Dialogue-based feedback and structured reflection can support these learners by boosting self-efficacy (Brockbank &amp; McGill, 1998). Lecturers must deliberately address defensive routines, which prevent open inquiry (Clark, 2021), and instead foster a learning environment that views mistakes as opportunities for growth.</w:t>
      </w:r>
    </w:p>
    <w:p w14:paraId="13C38EA2" w14:textId="77777777" w:rsidR="00BE71E6" w:rsidRPr="00D02836" w:rsidRDefault="00761D90" w:rsidP="00BE71E6">
      <w:pPr>
        <w:widowControl w:val="0"/>
        <w:pBdr>
          <w:top w:val="nil"/>
          <w:left w:val="nil"/>
          <w:bottom w:val="nil"/>
          <w:right w:val="nil"/>
          <w:between w:val="nil"/>
        </w:pBdr>
        <w:spacing w:line="360" w:lineRule="auto"/>
        <w:jc w:val="both"/>
        <w:rPr>
          <w:rFonts w:ascii="Arial" w:hAnsi="Arial" w:cs="Arial"/>
        </w:rPr>
      </w:pPr>
      <w:r>
        <w:rPr>
          <w:rFonts w:ascii="Arial" w:hAnsi="Arial" w:cs="Arial"/>
        </w:rPr>
        <w:t xml:space="preserve">Metacognitive scaffolds, journals, peer discussions, and learning analytics (e.g., CLARA) support ongoing self-monitoring. These tools help identify learning needs and encourage goal setting. However, it is important to avoid over-reliance on technology without human support. Although they are useful, metacognitive strategies are often underutilised in higher education </w:t>
      </w:r>
      <w:r>
        <w:rPr>
          <w:rFonts w:ascii="Arial" w:hAnsi="Arial" w:cs="Arial"/>
        </w:rPr>
        <w:lastRenderedPageBreak/>
        <w:t>due to performance metrics and limited lecturer training (Prytula, 2008). To address this, institutions should promote effective teaching practices and train lecturers in reflective methods, especially when working with diverse cohorts.</w:t>
      </w:r>
    </w:p>
    <w:p w14:paraId="50438BAE" w14:textId="77777777" w:rsidR="00BE71E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Defensive learning routines, common among vocational learners, hinder honest reflection. To address this, lecturers should model open dialogue and feedback, involving peers and mentors in the process. This fosters a double-loop feedback culture, supporting adaptive expertise and critical thinking (Argyris &amp; Schön, 1997).</w:t>
      </w:r>
    </w:p>
    <w:p w14:paraId="4A528035" w14:textId="77777777" w:rsidR="00404D1C" w:rsidRPr="00404D1C" w:rsidRDefault="00404D1C" w:rsidP="00404D1C">
      <w:pPr>
        <w:pStyle w:val="Heading1"/>
        <w:rPr>
          <w:rFonts w:ascii="Arial" w:hAnsi="Arial" w:cs="Arial"/>
          <w:sz w:val="22"/>
          <w:szCs w:val="22"/>
        </w:rPr>
      </w:pPr>
      <w:bookmarkStart w:id="26" w:name="_Toc214970262"/>
      <w:r w:rsidRPr="00404D1C">
        <w:rPr>
          <w:rFonts w:ascii="Arial" w:hAnsi="Arial" w:cs="Arial"/>
          <w:sz w:val="22"/>
          <w:szCs w:val="22"/>
        </w:rPr>
        <w:t>5.0 Thematic Analysis</w:t>
      </w:r>
      <w:bookmarkEnd w:id="26"/>
    </w:p>
    <w:p w14:paraId="5A0D3D9B" w14:textId="77777777" w:rsidR="00404D1C" w:rsidRPr="00404D1C" w:rsidRDefault="00404D1C" w:rsidP="00404D1C">
      <w:pPr>
        <w:widowControl w:val="0"/>
        <w:pBdr>
          <w:top w:val="nil"/>
          <w:left w:val="nil"/>
          <w:bottom w:val="nil"/>
          <w:right w:val="nil"/>
          <w:between w:val="nil"/>
        </w:pBdr>
        <w:spacing w:line="360" w:lineRule="auto"/>
        <w:jc w:val="both"/>
        <w:rPr>
          <w:rFonts w:ascii="Arial" w:hAnsi="Arial" w:cs="Arial"/>
        </w:rPr>
      </w:pPr>
      <w:r w:rsidRPr="00404D1C">
        <w:rPr>
          <w:rFonts w:ascii="Arial" w:hAnsi="Arial" w:cs="Arial"/>
        </w:rPr>
        <w:t>This section presents a thematic analysis of the pre-intervention surveys and semi-structured interviews conducted with a cohort of twenty apprentice students and a peer lecturer. The analysis follows Braun and Clarke’s (2006) six-phase framework to explore students’ evolving perceptions of feedback, the emotional and cognitive dimensions underpinning their responses, and the impact of double-loop feedback on learning transfer between vocational and academic contexts.</w:t>
      </w:r>
    </w:p>
    <w:p w14:paraId="490140AB" w14:textId="77777777" w:rsidR="00404D1C" w:rsidRPr="00404D1C" w:rsidRDefault="00404D1C" w:rsidP="00404D1C">
      <w:pPr>
        <w:pStyle w:val="Heading2"/>
        <w:rPr>
          <w:rFonts w:ascii="Arial" w:hAnsi="Arial" w:cs="Arial"/>
          <w:sz w:val="22"/>
          <w:szCs w:val="22"/>
        </w:rPr>
      </w:pPr>
      <w:bookmarkStart w:id="27" w:name="_Toc214970263"/>
      <w:r>
        <w:rPr>
          <w:rFonts w:ascii="Arial" w:hAnsi="Arial" w:cs="Arial"/>
          <w:sz w:val="22"/>
          <w:szCs w:val="22"/>
        </w:rPr>
        <w:t>5</w:t>
      </w:r>
      <w:r w:rsidRPr="00404D1C">
        <w:rPr>
          <w:rFonts w:ascii="Arial" w:hAnsi="Arial" w:cs="Arial"/>
          <w:sz w:val="22"/>
          <w:szCs w:val="22"/>
        </w:rPr>
        <w:t>.1 Phase 1: Familiarisation with the Data</w:t>
      </w:r>
      <w:bookmarkEnd w:id="27"/>
    </w:p>
    <w:p w14:paraId="3F12EC6B" w14:textId="77777777" w:rsidR="00386FEE" w:rsidRDefault="00404D1C" w:rsidP="00386FEE">
      <w:pPr>
        <w:widowControl w:val="0"/>
        <w:pBdr>
          <w:top w:val="nil"/>
          <w:left w:val="nil"/>
          <w:bottom w:val="nil"/>
          <w:right w:val="nil"/>
          <w:between w:val="nil"/>
        </w:pBdr>
        <w:spacing w:line="360" w:lineRule="auto"/>
        <w:jc w:val="both"/>
        <w:rPr>
          <w:rFonts w:ascii="Arial" w:hAnsi="Arial" w:cs="Arial"/>
        </w:rPr>
      </w:pPr>
      <w:r w:rsidRPr="00404D1C">
        <w:rPr>
          <w:rFonts w:ascii="Arial" w:hAnsi="Arial" w:cs="Arial"/>
        </w:rPr>
        <w:t xml:space="preserve">The initial phase involved extensive immersion in the dataset, comprising quantitative survey responses and qualitative interview transcripts. The pre-intervention surveys provided a baseline understanding of learners’ prior experiences with feedback at school and during A-level study. </w:t>
      </w:r>
      <w:r w:rsidR="00D63BA1" w:rsidRPr="00D63BA1">
        <w:rPr>
          <w:rFonts w:ascii="Arial" w:hAnsi="Arial" w:cs="Arial"/>
        </w:rPr>
        <w:t xml:space="preserve">Participants consistently described </w:t>
      </w:r>
      <w:r w:rsidR="003145BC">
        <w:rPr>
          <w:rFonts w:ascii="Arial" w:hAnsi="Arial" w:cs="Arial"/>
        </w:rPr>
        <w:t xml:space="preserve">(Weaver, </w:t>
      </w:r>
      <w:r w:rsidR="00D63BA1">
        <w:rPr>
          <w:rFonts w:ascii="Arial" w:hAnsi="Arial" w:cs="Arial"/>
        </w:rPr>
        <w:t xml:space="preserve">2006), </w:t>
      </w:r>
      <w:r w:rsidR="00D63BA1" w:rsidRPr="00D63BA1">
        <w:rPr>
          <w:rFonts w:ascii="Arial" w:hAnsi="Arial" w:cs="Arial"/>
        </w:rPr>
        <w:t xml:space="preserve">the feedback they received prior to the intervention as </w:t>
      </w:r>
      <w:r w:rsidR="00D63BA1">
        <w:rPr>
          <w:rFonts w:ascii="Arial" w:hAnsi="Arial" w:cs="Arial"/>
        </w:rPr>
        <w:t>a</w:t>
      </w:r>
      <w:r w:rsidRPr="00404D1C">
        <w:rPr>
          <w:rFonts w:ascii="Arial" w:hAnsi="Arial" w:cs="Arial"/>
          <w:iCs/>
        </w:rPr>
        <w:t xml:space="preserve">verage, </w:t>
      </w:r>
      <w:r w:rsidRPr="00404D1C">
        <w:rPr>
          <w:rFonts w:ascii="Arial" w:hAnsi="Arial" w:cs="Arial"/>
        </w:rPr>
        <w:t>frequent but limited in depth, primarily summative, and focused on error correction rather than development</w:t>
      </w:r>
      <w:r w:rsidR="003145BC">
        <w:rPr>
          <w:rFonts w:ascii="Arial" w:hAnsi="Arial" w:cs="Arial"/>
        </w:rPr>
        <w:t xml:space="preserve"> (M</w:t>
      </w:r>
      <w:r w:rsidR="003145BC" w:rsidRPr="003145BC">
        <w:rPr>
          <w:rFonts w:ascii="Arial" w:hAnsi="Arial" w:cs="Arial"/>
        </w:rPr>
        <w:t>urphy</w:t>
      </w:r>
      <w:r w:rsidR="003145BC">
        <w:rPr>
          <w:rFonts w:ascii="Arial" w:hAnsi="Arial" w:cs="Arial"/>
        </w:rPr>
        <w:t xml:space="preserve"> &amp; Cornell, 2010)</w:t>
      </w:r>
      <w:r w:rsidRPr="00404D1C">
        <w:rPr>
          <w:rFonts w:ascii="Arial" w:hAnsi="Arial" w:cs="Arial"/>
        </w:rPr>
        <w:t>. These accounts reflected a unidirectional model of feedback transmission (Sadler, 1989), in which students were passive recipients with minimal opportunity for dialogue or reflection.</w:t>
      </w:r>
    </w:p>
    <w:p w14:paraId="685B6471" w14:textId="1147CABE" w:rsidR="00386FEE" w:rsidRPr="00314216" w:rsidRDefault="00314216" w:rsidP="00314216">
      <w:pPr>
        <w:pStyle w:val="Heading3"/>
        <w:rPr>
          <w:rFonts w:ascii="Arial" w:hAnsi="Arial" w:cs="Arial"/>
          <w:sz w:val="22"/>
          <w:szCs w:val="22"/>
        </w:rPr>
      </w:pPr>
      <w:bookmarkStart w:id="28" w:name="_Toc214970264"/>
      <w:r w:rsidRPr="00314216">
        <w:rPr>
          <w:rFonts w:ascii="Arial" w:hAnsi="Arial" w:cs="Arial"/>
          <w:sz w:val="22"/>
          <w:szCs w:val="22"/>
        </w:rPr>
        <w:t xml:space="preserve">5.1.1 </w:t>
      </w:r>
      <w:r w:rsidR="00E75E2D" w:rsidRPr="00314216">
        <w:rPr>
          <w:rFonts w:ascii="Arial" w:hAnsi="Arial" w:cs="Arial"/>
          <w:sz w:val="22"/>
          <w:szCs w:val="22"/>
        </w:rPr>
        <w:t xml:space="preserve">Figure </w:t>
      </w:r>
      <w:r w:rsidR="00386FEE" w:rsidRPr="00314216">
        <w:rPr>
          <w:rFonts w:ascii="Arial" w:hAnsi="Arial" w:cs="Arial"/>
          <w:sz w:val="22"/>
          <w:szCs w:val="22"/>
        </w:rPr>
        <w:t>1</w:t>
      </w:r>
      <w:bookmarkEnd w:id="28"/>
    </w:p>
    <w:p w14:paraId="52964499" w14:textId="30D4D887" w:rsidR="00C40A9C" w:rsidRDefault="00C40A9C" w:rsidP="00386FEE">
      <w:pPr>
        <w:widowControl w:val="0"/>
        <w:pBdr>
          <w:top w:val="nil"/>
          <w:left w:val="nil"/>
          <w:bottom w:val="nil"/>
          <w:right w:val="nil"/>
          <w:between w:val="nil"/>
        </w:pBdr>
        <w:spacing w:line="360" w:lineRule="auto"/>
        <w:jc w:val="both"/>
        <w:rPr>
          <w:rFonts w:ascii="Arial" w:hAnsi="Arial" w:cs="Arial"/>
        </w:rPr>
      </w:pPr>
      <w:r>
        <w:rPr>
          <w:noProof/>
          <w:lang w:eastAsia="en-GB"/>
        </w:rPr>
        <w:drawing>
          <wp:inline distT="0" distB="0" distL="0" distR="0" wp14:anchorId="39669B62" wp14:editId="24B67B16">
            <wp:extent cx="4769384" cy="2847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82603" cy="2855869"/>
                    </a:xfrm>
                    <a:prstGeom prst="rect">
                      <a:avLst/>
                    </a:prstGeom>
                  </pic:spPr>
                </pic:pic>
              </a:graphicData>
            </a:graphic>
          </wp:inline>
        </w:drawing>
      </w:r>
    </w:p>
    <w:p w14:paraId="5FD82A48" w14:textId="5A4374B8" w:rsidR="00386FEE" w:rsidRPr="00314216" w:rsidRDefault="00314216" w:rsidP="00314216">
      <w:pPr>
        <w:pStyle w:val="Heading3"/>
        <w:rPr>
          <w:rFonts w:ascii="Arial" w:hAnsi="Arial" w:cs="Arial"/>
          <w:sz w:val="22"/>
          <w:szCs w:val="22"/>
        </w:rPr>
      </w:pPr>
      <w:bookmarkStart w:id="29" w:name="_Toc214970265"/>
      <w:r w:rsidRPr="00314216">
        <w:rPr>
          <w:rFonts w:ascii="Arial" w:hAnsi="Arial" w:cs="Arial"/>
          <w:sz w:val="22"/>
          <w:szCs w:val="22"/>
        </w:rPr>
        <w:lastRenderedPageBreak/>
        <w:t xml:space="preserve">5.1.2 </w:t>
      </w:r>
      <w:r w:rsidR="00E75E2D" w:rsidRPr="00314216">
        <w:rPr>
          <w:rFonts w:ascii="Arial" w:hAnsi="Arial" w:cs="Arial"/>
          <w:sz w:val="22"/>
          <w:szCs w:val="22"/>
        </w:rPr>
        <w:t xml:space="preserve">Figure </w:t>
      </w:r>
      <w:r w:rsidR="00386FEE" w:rsidRPr="00314216">
        <w:rPr>
          <w:rFonts w:ascii="Arial" w:hAnsi="Arial" w:cs="Arial"/>
          <w:sz w:val="22"/>
          <w:szCs w:val="22"/>
        </w:rPr>
        <w:t>2</w:t>
      </w:r>
      <w:bookmarkEnd w:id="29"/>
    </w:p>
    <w:p w14:paraId="06EAE90F" w14:textId="2E5A78C7" w:rsidR="00C40A9C" w:rsidRDefault="00C40A9C" w:rsidP="00386FEE">
      <w:pPr>
        <w:widowControl w:val="0"/>
        <w:pBdr>
          <w:top w:val="nil"/>
          <w:left w:val="nil"/>
          <w:bottom w:val="nil"/>
          <w:right w:val="nil"/>
          <w:between w:val="nil"/>
        </w:pBdr>
        <w:spacing w:line="360" w:lineRule="auto"/>
        <w:jc w:val="both"/>
        <w:rPr>
          <w:rFonts w:ascii="Arial" w:hAnsi="Arial" w:cs="Arial"/>
        </w:rPr>
      </w:pPr>
      <w:r>
        <w:rPr>
          <w:noProof/>
          <w:lang w:eastAsia="en-GB"/>
        </w:rPr>
        <w:drawing>
          <wp:inline distT="0" distB="0" distL="0" distR="0" wp14:anchorId="7BF27D01" wp14:editId="43ECCFB5">
            <wp:extent cx="4371975" cy="35832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88598" cy="3596841"/>
                    </a:xfrm>
                    <a:prstGeom prst="rect">
                      <a:avLst/>
                    </a:prstGeom>
                  </pic:spPr>
                </pic:pic>
              </a:graphicData>
            </a:graphic>
          </wp:inline>
        </w:drawing>
      </w:r>
    </w:p>
    <w:p w14:paraId="2E3A0E93" w14:textId="6B4FC8FC" w:rsidR="00404D1C" w:rsidRPr="00404D1C" w:rsidRDefault="00404D1C" w:rsidP="00404D1C">
      <w:pPr>
        <w:widowControl w:val="0"/>
        <w:pBdr>
          <w:top w:val="nil"/>
          <w:left w:val="nil"/>
          <w:bottom w:val="nil"/>
          <w:right w:val="nil"/>
          <w:between w:val="nil"/>
        </w:pBdr>
        <w:spacing w:line="360" w:lineRule="auto"/>
        <w:jc w:val="both"/>
        <w:rPr>
          <w:rFonts w:ascii="Arial" w:hAnsi="Arial" w:cs="Arial"/>
        </w:rPr>
      </w:pPr>
      <w:r w:rsidRPr="00404D1C">
        <w:rPr>
          <w:rFonts w:ascii="Arial" w:hAnsi="Arial" w:cs="Arial"/>
        </w:rPr>
        <w:t>Conversely, the semi-structured interviews</w:t>
      </w:r>
      <w:r>
        <w:rPr>
          <w:rFonts w:ascii="Arial" w:hAnsi="Arial" w:cs="Arial"/>
        </w:rPr>
        <w:t xml:space="preserve">, </w:t>
      </w:r>
      <w:r w:rsidRPr="00404D1C">
        <w:rPr>
          <w:rFonts w:ascii="Arial" w:hAnsi="Arial" w:cs="Arial"/>
        </w:rPr>
        <w:t>conducted post-intervention</w:t>
      </w:r>
      <w:r>
        <w:rPr>
          <w:rFonts w:ascii="Arial" w:hAnsi="Arial" w:cs="Arial"/>
        </w:rPr>
        <w:t xml:space="preserve">, </w:t>
      </w:r>
      <w:r w:rsidRPr="00404D1C">
        <w:rPr>
          <w:rFonts w:ascii="Arial" w:hAnsi="Arial" w:cs="Arial"/>
        </w:rPr>
        <w:t>offered rich, reflective narratives that revealed deeper emotional engagement and metacognitive awareness</w:t>
      </w:r>
      <w:r w:rsidR="003145BC">
        <w:rPr>
          <w:rFonts w:ascii="Arial" w:hAnsi="Arial" w:cs="Arial"/>
        </w:rPr>
        <w:t xml:space="preserve"> (Thirtle, 2014; Hill &amp; West, 2022)</w:t>
      </w:r>
      <w:r w:rsidRPr="00404D1C">
        <w:rPr>
          <w:rFonts w:ascii="Arial" w:hAnsi="Arial" w:cs="Arial"/>
        </w:rPr>
        <w:t>. Both students and the peer lecturer noted a perceptible shift in attitudes following the implementation of double-loop feedback, characterised by increased dialogue, self-questioning, and ownership of the learning process</w:t>
      </w:r>
      <w:r w:rsidR="003145BC">
        <w:rPr>
          <w:rFonts w:ascii="Arial" w:hAnsi="Arial" w:cs="Arial"/>
        </w:rPr>
        <w:t xml:space="preserve"> (Panadero</w:t>
      </w:r>
      <w:r w:rsidR="003145BC" w:rsidRPr="003145BC">
        <w:rPr>
          <w:rFonts w:ascii="Arial" w:hAnsi="Arial" w:cs="Arial"/>
        </w:rPr>
        <w:t xml:space="preserve"> &amp; Lipnevich, 2022)</w:t>
      </w:r>
      <w:r w:rsidRPr="00404D1C">
        <w:rPr>
          <w:rFonts w:ascii="Arial" w:hAnsi="Arial" w:cs="Arial"/>
        </w:rPr>
        <w:t xml:space="preserve">. This phase facilitated a holistic understanding of the transition from surface engagement with feedback towards a more reflective and </w:t>
      </w:r>
      <w:r w:rsidR="00E636B1">
        <w:rPr>
          <w:rFonts w:ascii="Arial" w:hAnsi="Arial" w:cs="Arial"/>
        </w:rPr>
        <w:t xml:space="preserve">participatory model of learning (Türkmen et al., </w:t>
      </w:r>
      <w:r w:rsidR="00E636B1" w:rsidRPr="00E636B1">
        <w:rPr>
          <w:rFonts w:ascii="Arial" w:hAnsi="Arial" w:cs="Arial"/>
        </w:rPr>
        <w:t>2024)</w:t>
      </w:r>
      <w:r w:rsidR="00E636B1">
        <w:rPr>
          <w:rFonts w:ascii="Arial" w:hAnsi="Arial" w:cs="Arial"/>
        </w:rPr>
        <w:t>.</w:t>
      </w:r>
    </w:p>
    <w:p w14:paraId="044DD6E0" w14:textId="77777777" w:rsidR="00404D1C" w:rsidRPr="00404D1C" w:rsidRDefault="00404D1C" w:rsidP="00404D1C">
      <w:pPr>
        <w:pStyle w:val="Heading2"/>
        <w:rPr>
          <w:rFonts w:ascii="Arial" w:hAnsi="Arial" w:cs="Arial"/>
          <w:sz w:val="22"/>
          <w:szCs w:val="22"/>
        </w:rPr>
      </w:pPr>
      <w:bookmarkStart w:id="30" w:name="_Toc214970266"/>
      <w:r w:rsidRPr="00404D1C">
        <w:rPr>
          <w:rFonts w:ascii="Arial" w:hAnsi="Arial" w:cs="Arial"/>
          <w:sz w:val="22"/>
          <w:szCs w:val="22"/>
        </w:rPr>
        <w:t>5.2 Phase 2: Generating Initial Codes</w:t>
      </w:r>
      <w:bookmarkEnd w:id="30"/>
    </w:p>
    <w:p w14:paraId="39390F11" w14:textId="77777777" w:rsidR="00404D1C" w:rsidRPr="00404D1C" w:rsidRDefault="00761D90" w:rsidP="00404D1C">
      <w:pPr>
        <w:widowControl w:val="0"/>
        <w:pBdr>
          <w:top w:val="nil"/>
          <w:left w:val="nil"/>
          <w:bottom w:val="nil"/>
          <w:right w:val="nil"/>
          <w:between w:val="nil"/>
        </w:pBdr>
        <w:spacing w:line="360" w:lineRule="auto"/>
        <w:jc w:val="both"/>
        <w:rPr>
          <w:rFonts w:ascii="Arial" w:hAnsi="Arial" w:cs="Arial"/>
        </w:rPr>
      </w:pPr>
      <w:r>
        <w:rPr>
          <w:rFonts w:ascii="Arial" w:hAnsi="Arial" w:cs="Arial"/>
        </w:rPr>
        <w:t>Systematic coding was performed to identify recurring ideas and patterns across the datasets. Pre-intervention codes included superficial understanding of feedback, limited emotional involvement, and unclear purpose of feedback. These codes aligned with literature describing instrumental approaches to learning typical of assessment-driven contexts (Biggs, 2011).</w:t>
      </w:r>
    </w:p>
    <w:p w14:paraId="5D03C1C9" w14:textId="77777777" w:rsidR="00404D1C" w:rsidRPr="00404D1C" w:rsidRDefault="00761D90" w:rsidP="00404D1C">
      <w:pPr>
        <w:widowControl w:val="0"/>
        <w:pBdr>
          <w:top w:val="nil"/>
          <w:left w:val="nil"/>
          <w:bottom w:val="nil"/>
          <w:right w:val="nil"/>
          <w:between w:val="nil"/>
        </w:pBdr>
        <w:spacing w:line="360" w:lineRule="auto"/>
        <w:jc w:val="both"/>
        <w:rPr>
          <w:rFonts w:ascii="Arial" w:hAnsi="Arial" w:cs="Arial"/>
        </w:rPr>
      </w:pPr>
      <w:r>
        <w:rPr>
          <w:rFonts w:ascii="Arial" w:hAnsi="Arial" w:cs="Arial"/>
        </w:rPr>
        <w:t>Post-intervention data revealed contrasting concepts such as feedback as dialogue, ownership of learning, reflective thinking, and transfer of skills across contexts. The peer lecturer’s perspective introduced additional concepts, including learner autonomy and evidence of cognitive transformation. Collectively, these concepts signalled a developmental progression from dependence on tutor validation towards a capacity for self-regulated learning, in line with the principles of double-loop learning (Argyris and Schön, 1974).</w:t>
      </w:r>
    </w:p>
    <w:p w14:paraId="742E2837" w14:textId="77777777" w:rsidR="00404D1C" w:rsidRPr="004275D3" w:rsidRDefault="00404D1C" w:rsidP="004275D3">
      <w:pPr>
        <w:pStyle w:val="Heading2"/>
        <w:rPr>
          <w:rFonts w:ascii="Arial" w:hAnsi="Arial" w:cs="Arial"/>
          <w:sz w:val="22"/>
          <w:szCs w:val="22"/>
        </w:rPr>
      </w:pPr>
      <w:bookmarkStart w:id="31" w:name="_Toc214970267"/>
      <w:r w:rsidRPr="004275D3">
        <w:rPr>
          <w:rFonts w:ascii="Arial" w:hAnsi="Arial" w:cs="Arial"/>
          <w:sz w:val="22"/>
          <w:szCs w:val="22"/>
        </w:rPr>
        <w:t>5.3 Phase 3: Searching for Themes</w:t>
      </w:r>
      <w:bookmarkEnd w:id="31"/>
    </w:p>
    <w:p w14:paraId="29C9AAE9" w14:textId="77777777" w:rsidR="00404D1C" w:rsidRPr="00404D1C" w:rsidRDefault="00404D1C" w:rsidP="00404D1C">
      <w:pPr>
        <w:widowControl w:val="0"/>
        <w:pBdr>
          <w:top w:val="nil"/>
          <w:left w:val="nil"/>
          <w:bottom w:val="nil"/>
          <w:right w:val="nil"/>
          <w:between w:val="nil"/>
        </w:pBdr>
        <w:spacing w:line="360" w:lineRule="auto"/>
        <w:jc w:val="both"/>
        <w:rPr>
          <w:rFonts w:ascii="Arial" w:hAnsi="Arial" w:cs="Arial"/>
        </w:rPr>
      </w:pPr>
      <w:r w:rsidRPr="00404D1C">
        <w:rPr>
          <w:rFonts w:ascii="Arial" w:hAnsi="Arial" w:cs="Arial"/>
        </w:rPr>
        <w:t xml:space="preserve">Following the initial coding, related codes were clustered to identify overarching themes. Three </w:t>
      </w:r>
      <w:r w:rsidRPr="00404D1C">
        <w:rPr>
          <w:rFonts w:ascii="Arial" w:hAnsi="Arial" w:cs="Arial"/>
        </w:rPr>
        <w:lastRenderedPageBreak/>
        <w:t>preliminary themes emerged that encapsulated the transformation in students’ attitudes and experiences of feedback:</w:t>
      </w:r>
    </w:p>
    <w:p w14:paraId="38AE79E5" w14:textId="77777777" w:rsidR="00404D1C" w:rsidRPr="00404D1C" w:rsidRDefault="00404D1C" w:rsidP="00404D1C">
      <w:pPr>
        <w:widowControl w:val="0"/>
        <w:numPr>
          <w:ilvl w:val="0"/>
          <w:numId w:val="2"/>
        </w:numPr>
        <w:pBdr>
          <w:top w:val="nil"/>
          <w:left w:val="nil"/>
          <w:bottom w:val="nil"/>
          <w:right w:val="nil"/>
          <w:between w:val="nil"/>
        </w:pBdr>
        <w:spacing w:line="360" w:lineRule="auto"/>
        <w:jc w:val="both"/>
        <w:rPr>
          <w:rFonts w:ascii="Arial" w:hAnsi="Arial" w:cs="Arial"/>
        </w:rPr>
      </w:pPr>
      <w:r w:rsidRPr="00404D1C">
        <w:rPr>
          <w:rFonts w:ascii="Arial" w:hAnsi="Arial" w:cs="Arial"/>
          <w:bCs/>
        </w:rPr>
        <w:t>From Passive to Active Engagement with Feedback</w:t>
      </w:r>
      <w:r>
        <w:rPr>
          <w:rFonts w:ascii="Arial" w:hAnsi="Arial" w:cs="Arial"/>
        </w:rPr>
        <w:t xml:space="preserve">, </w:t>
      </w:r>
      <w:r w:rsidRPr="00404D1C">
        <w:rPr>
          <w:rFonts w:ascii="Arial" w:hAnsi="Arial" w:cs="Arial"/>
        </w:rPr>
        <w:t>illustrating the shift from teacher-led correction to learner-led interpretation and application.</w:t>
      </w:r>
    </w:p>
    <w:p w14:paraId="18872A73" w14:textId="77777777" w:rsidR="00404D1C" w:rsidRPr="00404D1C" w:rsidRDefault="00404D1C" w:rsidP="00404D1C">
      <w:pPr>
        <w:widowControl w:val="0"/>
        <w:numPr>
          <w:ilvl w:val="0"/>
          <w:numId w:val="2"/>
        </w:numPr>
        <w:pBdr>
          <w:top w:val="nil"/>
          <w:left w:val="nil"/>
          <w:bottom w:val="nil"/>
          <w:right w:val="nil"/>
          <w:between w:val="nil"/>
        </w:pBdr>
        <w:spacing w:line="360" w:lineRule="auto"/>
        <w:jc w:val="both"/>
        <w:rPr>
          <w:rFonts w:ascii="Arial" w:hAnsi="Arial" w:cs="Arial"/>
        </w:rPr>
      </w:pPr>
      <w:r w:rsidRPr="00404D1C">
        <w:rPr>
          <w:rFonts w:ascii="Arial" w:hAnsi="Arial" w:cs="Arial"/>
          <w:bCs/>
        </w:rPr>
        <w:t>Emotional and Cognitive Reframing of Learning</w:t>
      </w:r>
      <w:r>
        <w:rPr>
          <w:rFonts w:ascii="Arial" w:hAnsi="Arial" w:cs="Arial"/>
          <w:bCs/>
        </w:rPr>
        <w:t>,</w:t>
      </w:r>
      <w:r w:rsidRPr="00404D1C">
        <w:rPr>
          <w:rFonts w:ascii="Arial" w:hAnsi="Arial" w:cs="Arial"/>
        </w:rPr>
        <w:t xml:space="preserve"> demonstrating how feedback evolved from a mechanism of evaluation to one of empowerment and reflection.</w:t>
      </w:r>
    </w:p>
    <w:p w14:paraId="1474329B" w14:textId="77777777" w:rsidR="00404D1C" w:rsidRPr="00404D1C" w:rsidRDefault="00404D1C" w:rsidP="00404D1C">
      <w:pPr>
        <w:widowControl w:val="0"/>
        <w:numPr>
          <w:ilvl w:val="0"/>
          <w:numId w:val="2"/>
        </w:numPr>
        <w:pBdr>
          <w:top w:val="nil"/>
          <w:left w:val="nil"/>
          <w:bottom w:val="nil"/>
          <w:right w:val="nil"/>
          <w:between w:val="nil"/>
        </w:pBdr>
        <w:spacing w:line="360" w:lineRule="auto"/>
        <w:jc w:val="both"/>
        <w:rPr>
          <w:rFonts w:ascii="Arial" w:hAnsi="Arial" w:cs="Arial"/>
        </w:rPr>
      </w:pPr>
      <w:r w:rsidRPr="00404D1C">
        <w:rPr>
          <w:rFonts w:ascii="Arial" w:hAnsi="Arial" w:cs="Arial"/>
          <w:bCs/>
        </w:rPr>
        <w:t>Integration and Transfer Across Learning Contexts</w:t>
      </w:r>
      <w:r>
        <w:rPr>
          <w:rFonts w:ascii="Arial" w:hAnsi="Arial" w:cs="Arial"/>
          <w:bCs/>
        </w:rPr>
        <w:t xml:space="preserve">, </w:t>
      </w:r>
      <w:r w:rsidRPr="00404D1C">
        <w:rPr>
          <w:rFonts w:ascii="Arial" w:hAnsi="Arial" w:cs="Arial"/>
        </w:rPr>
        <w:t>highlighting the development of metacognitive skills enabling learners to navigate seamlessly between vocational and academic domains.</w:t>
      </w:r>
    </w:p>
    <w:p w14:paraId="48C619F5" w14:textId="77777777" w:rsidR="00404D1C" w:rsidRPr="00404D1C" w:rsidRDefault="00404D1C" w:rsidP="00404D1C">
      <w:pPr>
        <w:widowControl w:val="0"/>
        <w:pBdr>
          <w:top w:val="nil"/>
          <w:left w:val="nil"/>
          <w:bottom w:val="nil"/>
          <w:right w:val="nil"/>
          <w:between w:val="nil"/>
        </w:pBdr>
        <w:spacing w:line="360" w:lineRule="auto"/>
        <w:jc w:val="both"/>
        <w:rPr>
          <w:rFonts w:ascii="Arial" w:hAnsi="Arial" w:cs="Arial"/>
        </w:rPr>
      </w:pPr>
      <w:r w:rsidRPr="00404D1C">
        <w:rPr>
          <w:rFonts w:ascii="Arial" w:hAnsi="Arial" w:cs="Arial"/>
        </w:rPr>
        <w:t>These emerging themes reflected the dynamic nature of the feedback intervention and the extent to which learners internalised reflective questioning techniques central to double-loop learning.</w:t>
      </w:r>
    </w:p>
    <w:p w14:paraId="72DEA7F0" w14:textId="77777777" w:rsidR="00404D1C" w:rsidRPr="00404D1C" w:rsidRDefault="00404D1C" w:rsidP="00404D1C">
      <w:pPr>
        <w:pStyle w:val="Heading2"/>
        <w:rPr>
          <w:rFonts w:ascii="Arial" w:hAnsi="Arial" w:cs="Arial"/>
          <w:sz w:val="22"/>
          <w:szCs w:val="22"/>
        </w:rPr>
      </w:pPr>
      <w:bookmarkStart w:id="32" w:name="_Toc214970268"/>
      <w:r w:rsidRPr="00404D1C">
        <w:rPr>
          <w:rFonts w:ascii="Arial" w:hAnsi="Arial" w:cs="Arial"/>
          <w:sz w:val="22"/>
          <w:szCs w:val="22"/>
        </w:rPr>
        <w:t>5.4 Phase 4: Reviewing Themes</w:t>
      </w:r>
      <w:bookmarkEnd w:id="32"/>
    </w:p>
    <w:p w14:paraId="62DD9D85" w14:textId="78587B0B" w:rsidR="00404D1C" w:rsidRPr="00404D1C" w:rsidRDefault="00404D1C" w:rsidP="00404D1C">
      <w:pPr>
        <w:widowControl w:val="0"/>
        <w:pBdr>
          <w:top w:val="nil"/>
          <w:left w:val="nil"/>
          <w:bottom w:val="nil"/>
          <w:right w:val="nil"/>
          <w:between w:val="nil"/>
        </w:pBdr>
        <w:spacing w:line="360" w:lineRule="auto"/>
        <w:jc w:val="both"/>
        <w:rPr>
          <w:rFonts w:ascii="Arial" w:hAnsi="Arial" w:cs="Arial"/>
        </w:rPr>
      </w:pPr>
      <w:r w:rsidRPr="00404D1C">
        <w:rPr>
          <w:rFonts w:ascii="Arial" w:hAnsi="Arial" w:cs="Arial"/>
        </w:rPr>
        <w:t xml:space="preserve">The provisional themes were reviewed and refined for coherence and internal consistency. The data supported a clear trajectory of change, with numerous examples of learners reinterpreting feedback as a dialogic and co-constructive process. </w:t>
      </w:r>
      <w:r w:rsidR="003145BC" w:rsidRPr="003145BC">
        <w:rPr>
          <w:rFonts w:ascii="Arial" w:hAnsi="Arial" w:cs="Arial"/>
        </w:rPr>
        <w:t>Mulliner &amp; Timmer (2015) and Glazzard &amp; Stones (2019)</w:t>
      </w:r>
      <w:r w:rsidR="003145BC">
        <w:rPr>
          <w:rFonts w:ascii="Arial" w:hAnsi="Arial" w:cs="Arial"/>
        </w:rPr>
        <w:t>,</w:t>
      </w:r>
      <w:r w:rsidR="003145BC" w:rsidRPr="003145BC">
        <w:rPr>
          <w:rFonts w:ascii="Arial" w:hAnsi="Arial" w:cs="Arial"/>
        </w:rPr>
        <w:t xml:space="preserve"> show broader student dissatisfaction or preferences before improvements were made.</w:t>
      </w:r>
      <w:r w:rsidR="003145BC">
        <w:rPr>
          <w:rFonts w:ascii="Arial" w:hAnsi="Arial" w:cs="Arial"/>
        </w:rPr>
        <w:t xml:space="preserve"> </w:t>
      </w:r>
      <w:r w:rsidRPr="00404D1C">
        <w:rPr>
          <w:rFonts w:ascii="Arial" w:hAnsi="Arial" w:cs="Arial"/>
        </w:rPr>
        <w:t>One participant described how “feedback used to feel like being told what was wrong, now it feels like a conversation about how to think differently,” encapsulating the cognitive and emotional shift evidenced across the cohort.</w:t>
      </w:r>
    </w:p>
    <w:p w14:paraId="6AF0D08E" w14:textId="77777777" w:rsidR="00404D1C" w:rsidRPr="00404D1C" w:rsidRDefault="00761D90" w:rsidP="00404D1C">
      <w:pPr>
        <w:widowControl w:val="0"/>
        <w:pBdr>
          <w:top w:val="nil"/>
          <w:left w:val="nil"/>
          <w:bottom w:val="nil"/>
          <w:right w:val="nil"/>
          <w:between w:val="nil"/>
        </w:pBdr>
        <w:spacing w:line="360" w:lineRule="auto"/>
        <w:jc w:val="both"/>
        <w:rPr>
          <w:rFonts w:ascii="Arial" w:hAnsi="Arial" w:cs="Arial"/>
        </w:rPr>
      </w:pPr>
      <w:r>
        <w:rPr>
          <w:rFonts w:ascii="Arial" w:hAnsi="Arial" w:cs="Arial"/>
        </w:rPr>
        <w:t>A particularly important discovery was the enhanced transferability of learning strategies. Students reported applying the reflective frameworks developed through double-loop feedback to both technical problem-solving in vocational workshops and critical evaluation tasks in academic assignments. This transfer across different contexts supported Lave and Wenger’s (1991) concept of situated learning, where knowledge and practice strengthen each other across various settings.</w:t>
      </w:r>
    </w:p>
    <w:p w14:paraId="337DBE3D" w14:textId="77777777" w:rsidR="00404D1C" w:rsidRPr="00404D1C" w:rsidRDefault="00404D1C" w:rsidP="00404D1C">
      <w:pPr>
        <w:pStyle w:val="Heading2"/>
        <w:rPr>
          <w:rFonts w:ascii="Arial" w:hAnsi="Arial" w:cs="Arial"/>
          <w:sz w:val="22"/>
          <w:szCs w:val="22"/>
        </w:rPr>
      </w:pPr>
      <w:bookmarkStart w:id="33" w:name="_Toc214970269"/>
      <w:r w:rsidRPr="00404D1C">
        <w:rPr>
          <w:rFonts w:ascii="Arial" w:hAnsi="Arial" w:cs="Arial"/>
          <w:sz w:val="22"/>
          <w:szCs w:val="22"/>
        </w:rPr>
        <w:t>5.5 Phase 5: Defining and Naming Themes</w:t>
      </w:r>
      <w:bookmarkEnd w:id="33"/>
    </w:p>
    <w:p w14:paraId="79F7FE4D" w14:textId="77777777" w:rsidR="00404D1C" w:rsidRPr="00404D1C" w:rsidRDefault="00404D1C" w:rsidP="00404D1C">
      <w:pPr>
        <w:widowControl w:val="0"/>
        <w:pBdr>
          <w:top w:val="nil"/>
          <w:left w:val="nil"/>
          <w:bottom w:val="nil"/>
          <w:right w:val="nil"/>
          <w:between w:val="nil"/>
        </w:pBdr>
        <w:spacing w:line="360" w:lineRule="auto"/>
        <w:jc w:val="both"/>
        <w:rPr>
          <w:rFonts w:ascii="Arial" w:hAnsi="Arial" w:cs="Arial"/>
        </w:rPr>
      </w:pPr>
      <w:r w:rsidRPr="00404D1C">
        <w:rPr>
          <w:rFonts w:ascii="Arial" w:hAnsi="Arial" w:cs="Arial"/>
        </w:rPr>
        <w:t>Through iterative analysis, the following three themes were formally defined:</w:t>
      </w:r>
    </w:p>
    <w:p w14:paraId="39E3CF80" w14:textId="77777777" w:rsidR="00404D1C" w:rsidRPr="00404D1C" w:rsidRDefault="00404D1C" w:rsidP="00404D1C">
      <w:pPr>
        <w:widowControl w:val="0"/>
        <w:pBdr>
          <w:top w:val="nil"/>
          <w:left w:val="nil"/>
          <w:bottom w:val="nil"/>
          <w:right w:val="nil"/>
          <w:between w:val="nil"/>
        </w:pBdr>
        <w:spacing w:line="360" w:lineRule="auto"/>
        <w:jc w:val="both"/>
        <w:rPr>
          <w:rFonts w:ascii="Arial" w:hAnsi="Arial" w:cs="Arial"/>
          <w:bCs/>
        </w:rPr>
      </w:pPr>
      <w:r w:rsidRPr="00404D1C">
        <w:rPr>
          <w:rFonts w:ascii="Arial" w:hAnsi="Arial" w:cs="Arial"/>
          <w:bCs/>
        </w:rPr>
        <w:t>Theme 1: Developing Feedback Literacy and Agency</w:t>
      </w:r>
    </w:p>
    <w:p w14:paraId="739C4155" w14:textId="77777777" w:rsidR="00404D1C" w:rsidRPr="00404D1C" w:rsidRDefault="00404D1C" w:rsidP="00404D1C">
      <w:pPr>
        <w:widowControl w:val="0"/>
        <w:pBdr>
          <w:top w:val="nil"/>
          <w:left w:val="nil"/>
          <w:bottom w:val="nil"/>
          <w:right w:val="nil"/>
          <w:between w:val="nil"/>
        </w:pBdr>
        <w:spacing w:line="360" w:lineRule="auto"/>
        <w:jc w:val="both"/>
        <w:rPr>
          <w:rFonts w:ascii="Arial" w:hAnsi="Arial" w:cs="Arial"/>
        </w:rPr>
      </w:pPr>
      <w:r w:rsidRPr="00404D1C">
        <w:rPr>
          <w:rFonts w:ascii="Arial" w:hAnsi="Arial" w:cs="Arial"/>
        </w:rPr>
        <w:t xml:space="preserve">Learners demonstrated increasing capacity to interpret, evaluate, and apply feedback independently, consistent with the concept of </w:t>
      </w:r>
      <w:r w:rsidRPr="00404D1C">
        <w:rPr>
          <w:rFonts w:ascii="Arial" w:hAnsi="Arial" w:cs="Arial"/>
          <w:iCs/>
        </w:rPr>
        <w:t>feedback literacy</w:t>
      </w:r>
      <w:r w:rsidRPr="00404D1C">
        <w:rPr>
          <w:rFonts w:ascii="Arial" w:hAnsi="Arial" w:cs="Arial"/>
        </w:rPr>
        <w:t xml:space="preserve"> (Carless and Boud, 2018). Students transitioned from passively accepting tutor comments to actively seeking clarification and initiating feedback dialogue. This theme highlights the cultivation of agency and self-efficacy, both essential for higher-level academic and professional competence (Bandura, 1997).</w:t>
      </w:r>
    </w:p>
    <w:p w14:paraId="4C833FEE" w14:textId="77777777" w:rsidR="00404D1C" w:rsidRPr="00404D1C" w:rsidRDefault="00404D1C" w:rsidP="00404D1C">
      <w:pPr>
        <w:widowControl w:val="0"/>
        <w:pBdr>
          <w:top w:val="nil"/>
          <w:left w:val="nil"/>
          <w:bottom w:val="nil"/>
          <w:right w:val="nil"/>
          <w:between w:val="nil"/>
        </w:pBdr>
        <w:spacing w:line="360" w:lineRule="auto"/>
        <w:jc w:val="both"/>
        <w:rPr>
          <w:rFonts w:ascii="Arial" w:hAnsi="Arial" w:cs="Arial"/>
          <w:bCs/>
        </w:rPr>
      </w:pPr>
      <w:r w:rsidRPr="00404D1C">
        <w:rPr>
          <w:rFonts w:ascii="Arial" w:hAnsi="Arial" w:cs="Arial"/>
          <w:bCs/>
        </w:rPr>
        <w:lastRenderedPageBreak/>
        <w:t>Theme 2: Emotional Investment and Cognitive Depth</w:t>
      </w:r>
    </w:p>
    <w:p w14:paraId="62387695" w14:textId="2CDDED57" w:rsidR="00404D1C" w:rsidRPr="00404D1C" w:rsidRDefault="00404D1C" w:rsidP="00404D1C">
      <w:pPr>
        <w:widowControl w:val="0"/>
        <w:pBdr>
          <w:top w:val="nil"/>
          <w:left w:val="nil"/>
          <w:bottom w:val="nil"/>
          <w:right w:val="nil"/>
          <w:between w:val="nil"/>
        </w:pBdr>
        <w:spacing w:line="360" w:lineRule="auto"/>
        <w:jc w:val="both"/>
        <w:rPr>
          <w:rFonts w:ascii="Arial" w:hAnsi="Arial" w:cs="Arial"/>
        </w:rPr>
      </w:pPr>
      <w:r w:rsidRPr="00404D1C">
        <w:rPr>
          <w:rFonts w:ascii="Arial" w:hAnsi="Arial" w:cs="Arial"/>
        </w:rPr>
        <w:t xml:space="preserve">Participants reported a reduction in anxiety surrounding feedback and an increased sense of ownership over their learning journey. </w:t>
      </w:r>
      <w:r w:rsidR="00442E71" w:rsidRPr="00442E71">
        <w:rPr>
          <w:rFonts w:ascii="Arial" w:hAnsi="Arial" w:cs="Arial"/>
        </w:rPr>
        <w:t>Previous research demonstrates that improved feedback practices are associated with reduced learner anxiety</w:t>
      </w:r>
      <w:r w:rsidR="00442E71">
        <w:rPr>
          <w:rFonts w:ascii="Arial" w:hAnsi="Arial" w:cs="Arial"/>
        </w:rPr>
        <w:t xml:space="preserve">, </w:t>
      </w:r>
      <w:r w:rsidR="00442E71" w:rsidRPr="00442E71">
        <w:rPr>
          <w:rFonts w:ascii="Arial" w:hAnsi="Arial" w:cs="Arial"/>
        </w:rPr>
        <w:t>for example, Martin (2017) found that ‘feedback … can help reduce anxiety levels, and in turn, increase students’ confidence.’</w:t>
      </w:r>
      <w:r w:rsidR="00442E71">
        <w:rPr>
          <w:rFonts w:ascii="Arial" w:hAnsi="Arial" w:cs="Arial"/>
        </w:rPr>
        <w:t xml:space="preserve"> </w:t>
      </w:r>
      <w:r w:rsidR="00442E71" w:rsidRPr="00442E71">
        <w:rPr>
          <w:rFonts w:ascii="Arial" w:hAnsi="Arial" w:cs="Arial"/>
        </w:rPr>
        <w:t>Cao &amp; Han (2024) further established a negative relationship between positive feedback perceptions and test anxiety. Luken (2024) reported that delayed metalinguistic feedback was more likely to reduce foreign-language anxiety.</w:t>
      </w:r>
      <w:r w:rsidR="00442E71">
        <w:rPr>
          <w:rFonts w:ascii="Arial" w:hAnsi="Arial" w:cs="Arial"/>
        </w:rPr>
        <w:t xml:space="preserve"> F</w:t>
      </w:r>
      <w:r w:rsidRPr="00404D1C">
        <w:rPr>
          <w:rFonts w:ascii="Arial" w:hAnsi="Arial" w:cs="Arial"/>
        </w:rPr>
        <w:t>eedback was reframed from a potentially threatening evaluative process to an emotionally supportive and cognitively enriching dialogue. This aligns with Nicol and Macfarlane-Dick’s (2006) assertion that effective feedback fosters self-regulation through reflection, self-assessment, and adaptive thinking. Learners described becoming “more confident in questioning [their] own assumptions,” a hallmark of double-loop learning.</w:t>
      </w:r>
    </w:p>
    <w:p w14:paraId="2B2A2C43" w14:textId="77777777" w:rsidR="00404D1C" w:rsidRPr="00404D1C" w:rsidRDefault="00404D1C" w:rsidP="00404D1C">
      <w:pPr>
        <w:widowControl w:val="0"/>
        <w:pBdr>
          <w:top w:val="nil"/>
          <w:left w:val="nil"/>
          <w:bottom w:val="nil"/>
          <w:right w:val="nil"/>
          <w:between w:val="nil"/>
        </w:pBdr>
        <w:spacing w:line="360" w:lineRule="auto"/>
        <w:jc w:val="both"/>
        <w:rPr>
          <w:rFonts w:ascii="Arial" w:hAnsi="Arial" w:cs="Arial"/>
          <w:bCs/>
        </w:rPr>
      </w:pPr>
      <w:r w:rsidRPr="00404D1C">
        <w:rPr>
          <w:rFonts w:ascii="Arial" w:hAnsi="Arial" w:cs="Arial"/>
          <w:bCs/>
        </w:rPr>
        <w:t>Theme 3: Seamless Transfer Between Vocational and Academic Learning</w:t>
      </w:r>
    </w:p>
    <w:p w14:paraId="0BF0E308" w14:textId="77777777" w:rsidR="00404D1C" w:rsidRPr="00404D1C" w:rsidRDefault="00761D90" w:rsidP="00404D1C">
      <w:pPr>
        <w:widowControl w:val="0"/>
        <w:pBdr>
          <w:top w:val="nil"/>
          <w:left w:val="nil"/>
          <w:bottom w:val="nil"/>
          <w:right w:val="nil"/>
          <w:between w:val="nil"/>
        </w:pBdr>
        <w:spacing w:line="360" w:lineRule="auto"/>
        <w:jc w:val="both"/>
        <w:rPr>
          <w:rFonts w:ascii="Arial" w:hAnsi="Arial" w:cs="Arial"/>
        </w:rPr>
      </w:pPr>
      <w:r>
        <w:rPr>
          <w:rFonts w:ascii="Arial" w:hAnsi="Arial" w:cs="Arial"/>
        </w:rPr>
        <w:t>The integration of double-loop feedback fostered meaningful links between practical vocational activities and theoretical academic tasks. Students expressed how reflective questioning, “why am I approaching this task in this way?”, became a transferable habit for both design-based and written assessments. The peer lecturer confirmed these findings, noting improved independence, critical thinking, and metacognitive engagement across learning contexts. This theme highlights the pedagogical importance of feedback as a bridge between vocational skills and academic progression (Illeris, 2018).</w:t>
      </w:r>
    </w:p>
    <w:p w14:paraId="33425178" w14:textId="77777777" w:rsidR="00404D1C" w:rsidRPr="00404D1C" w:rsidRDefault="00404D1C" w:rsidP="00404D1C">
      <w:pPr>
        <w:pStyle w:val="Heading2"/>
        <w:rPr>
          <w:rFonts w:ascii="Arial" w:hAnsi="Arial" w:cs="Arial"/>
          <w:sz w:val="22"/>
          <w:szCs w:val="22"/>
        </w:rPr>
      </w:pPr>
      <w:bookmarkStart w:id="34" w:name="_Toc214970270"/>
      <w:r w:rsidRPr="00404D1C">
        <w:rPr>
          <w:rFonts w:ascii="Arial" w:hAnsi="Arial" w:cs="Arial"/>
          <w:sz w:val="22"/>
          <w:szCs w:val="22"/>
        </w:rPr>
        <w:t>5.6 Phase 6: Producing the Report</w:t>
      </w:r>
      <w:bookmarkEnd w:id="34"/>
    </w:p>
    <w:p w14:paraId="123C3ED7" w14:textId="4251B61D" w:rsidR="00404D1C" w:rsidRDefault="00761D90" w:rsidP="00404D1C">
      <w:pPr>
        <w:widowControl w:val="0"/>
        <w:pBdr>
          <w:top w:val="nil"/>
          <w:left w:val="nil"/>
          <w:bottom w:val="nil"/>
          <w:right w:val="nil"/>
          <w:between w:val="nil"/>
        </w:pBdr>
        <w:spacing w:line="360" w:lineRule="auto"/>
        <w:jc w:val="both"/>
        <w:rPr>
          <w:rFonts w:ascii="Arial" w:hAnsi="Arial" w:cs="Arial"/>
        </w:rPr>
      </w:pPr>
      <w:r>
        <w:rPr>
          <w:rFonts w:ascii="Arial" w:hAnsi="Arial" w:cs="Arial"/>
        </w:rPr>
        <w:t>The final phase synthesised the thematic findings into a coherent narrative. The analysis shows that double-loop feedback acted as a catalyst for both emotional and cognitive transformation. Learners shifted from perceiving feedback as a judgmental endpoint to viewing it as an iterative process of self-discovery and improvement. Enhanced self-regulation and confidence contributed to measurable improvements in performance and engagement, corroborating the value of dialogic, reflective feedback models in vocational higher education (Boud and Molloy, 2013).</w:t>
      </w:r>
    </w:p>
    <w:p w14:paraId="0319D769" w14:textId="77777777" w:rsidR="00E75E2D" w:rsidRPr="00E75E2D" w:rsidRDefault="00E75E2D" w:rsidP="00E75E2D">
      <w:pPr>
        <w:widowControl w:val="0"/>
        <w:pBdr>
          <w:top w:val="nil"/>
          <w:left w:val="nil"/>
          <w:bottom w:val="nil"/>
          <w:right w:val="nil"/>
          <w:between w:val="nil"/>
        </w:pBdr>
        <w:spacing w:line="360" w:lineRule="auto"/>
        <w:jc w:val="both"/>
        <w:rPr>
          <w:rFonts w:ascii="Arial" w:hAnsi="Arial" w:cs="Arial"/>
        </w:rPr>
      </w:pPr>
      <w:r w:rsidRPr="00E75E2D">
        <w:rPr>
          <w:rFonts w:ascii="Arial" w:hAnsi="Arial" w:cs="Arial"/>
        </w:rPr>
        <w:t>The findings from both the quantitative survey data and the post-intervention interviews strongly indicate that the implementation of double-loop feedback supports transformative learning by enhancing students’ feedback literacy, emotional resilience, and transferable metacognitive skills.</w:t>
      </w:r>
    </w:p>
    <w:p w14:paraId="116989F3" w14:textId="4C558583" w:rsidR="00E75E2D" w:rsidRPr="00E75E2D" w:rsidRDefault="00E75E2D" w:rsidP="00E75E2D">
      <w:pPr>
        <w:widowControl w:val="0"/>
        <w:pBdr>
          <w:top w:val="nil"/>
          <w:left w:val="nil"/>
          <w:bottom w:val="nil"/>
          <w:right w:val="nil"/>
          <w:between w:val="nil"/>
        </w:pBdr>
        <w:spacing w:line="360" w:lineRule="auto"/>
        <w:jc w:val="both"/>
        <w:rPr>
          <w:rFonts w:ascii="Arial" w:hAnsi="Arial" w:cs="Arial"/>
        </w:rPr>
      </w:pPr>
      <w:r w:rsidRPr="00E75E2D">
        <w:rPr>
          <w:rFonts w:ascii="Arial" w:hAnsi="Arial" w:cs="Arial"/>
        </w:rPr>
        <w:t xml:space="preserve">The </w:t>
      </w:r>
      <w:r w:rsidRPr="00E75E2D">
        <w:rPr>
          <w:rFonts w:ascii="Arial" w:hAnsi="Arial" w:cs="Arial"/>
          <w:bCs/>
        </w:rPr>
        <w:t>pre-</w:t>
      </w:r>
      <w:r>
        <w:rPr>
          <w:rFonts w:ascii="Arial" w:hAnsi="Arial" w:cs="Arial"/>
          <w:bCs/>
        </w:rPr>
        <w:t>intervention</w:t>
      </w:r>
      <w:r w:rsidRPr="00E75E2D">
        <w:rPr>
          <w:rFonts w:ascii="Arial" w:hAnsi="Arial" w:cs="Arial"/>
          <w:bCs/>
        </w:rPr>
        <w:t xml:space="preserve"> and post-intervention survey charts</w:t>
      </w:r>
      <w:r w:rsidRPr="00E75E2D">
        <w:rPr>
          <w:rFonts w:ascii="Arial" w:hAnsi="Arial" w:cs="Arial"/>
        </w:rPr>
        <w:t xml:space="preserve"> (see Figures </w:t>
      </w:r>
      <w:r>
        <w:rPr>
          <w:rFonts w:ascii="Arial" w:hAnsi="Arial" w:cs="Arial"/>
        </w:rPr>
        <w:t>1 and 2</w:t>
      </w:r>
      <w:r w:rsidRPr="00E75E2D">
        <w:rPr>
          <w:rFonts w:ascii="Arial" w:hAnsi="Arial" w:cs="Arial"/>
        </w:rPr>
        <w:t xml:space="preserve">) clearly demonstrate a substantial shift across all five measured dimensions of feedback quality, with post-intervention ratings increasing by </w:t>
      </w:r>
      <w:r w:rsidRPr="00E75E2D">
        <w:rPr>
          <w:rFonts w:ascii="Arial" w:hAnsi="Arial" w:cs="Arial"/>
          <w:i/>
          <w:iCs/>
        </w:rPr>
        <w:t>two to four points</w:t>
      </w:r>
      <w:r w:rsidRPr="00E75E2D">
        <w:rPr>
          <w:rFonts w:ascii="Arial" w:hAnsi="Arial" w:cs="Arial"/>
        </w:rPr>
        <w:t xml:space="preserve"> on the Likert scale. Notably, aspects </w:t>
      </w:r>
      <w:r w:rsidRPr="00E75E2D">
        <w:rPr>
          <w:rFonts w:ascii="Arial" w:hAnsi="Arial" w:cs="Arial"/>
        </w:rPr>
        <w:lastRenderedPageBreak/>
        <w:t xml:space="preserve">such as </w:t>
      </w:r>
      <w:r w:rsidRPr="00E75E2D">
        <w:rPr>
          <w:rFonts w:ascii="Arial" w:hAnsi="Arial" w:cs="Arial"/>
          <w:bCs/>
        </w:rPr>
        <w:t>Dialogue &amp; Feedforward</w:t>
      </w:r>
      <w:r w:rsidRPr="00E75E2D">
        <w:rPr>
          <w:rFonts w:ascii="Arial" w:hAnsi="Arial" w:cs="Arial"/>
        </w:rPr>
        <w:t xml:space="preserve"> and </w:t>
      </w:r>
      <w:r w:rsidRPr="00E75E2D">
        <w:rPr>
          <w:rFonts w:ascii="Arial" w:hAnsi="Arial" w:cs="Arial"/>
          <w:bCs/>
        </w:rPr>
        <w:t>Developmental Focus</w:t>
      </w:r>
      <w:r w:rsidRPr="00E75E2D">
        <w:rPr>
          <w:rFonts w:ascii="Arial" w:hAnsi="Arial" w:cs="Arial"/>
        </w:rPr>
        <w:t>, which received the lowest pre-intervention ratings (mean scores of 1 and 2), showed the most dramatic improvement, rising to consistent scores of 5. This quantitative pattern aligns with the intended outcomes of double-loop feedback, which prioritises student inquiry, self-questioning, and co-construction of meaning.</w:t>
      </w:r>
    </w:p>
    <w:p w14:paraId="18DDE89A" w14:textId="77777777" w:rsidR="00E75E2D" w:rsidRPr="00E75E2D" w:rsidRDefault="00E75E2D" w:rsidP="00E75E2D">
      <w:pPr>
        <w:widowControl w:val="0"/>
        <w:pBdr>
          <w:top w:val="nil"/>
          <w:left w:val="nil"/>
          <w:bottom w:val="nil"/>
          <w:right w:val="nil"/>
          <w:between w:val="nil"/>
        </w:pBdr>
        <w:spacing w:line="360" w:lineRule="auto"/>
        <w:jc w:val="both"/>
        <w:rPr>
          <w:rFonts w:ascii="Arial" w:hAnsi="Arial" w:cs="Arial"/>
        </w:rPr>
      </w:pPr>
      <w:r w:rsidRPr="00E75E2D">
        <w:rPr>
          <w:rFonts w:ascii="Arial" w:hAnsi="Arial" w:cs="Arial"/>
        </w:rPr>
        <w:t xml:space="preserve">These numerical improvements are further reinforced by the </w:t>
      </w:r>
      <w:r w:rsidRPr="00E75E2D">
        <w:rPr>
          <w:rFonts w:ascii="Arial" w:hAnsi="Arial" w:cs="Arial"/>
          <w:bCs/>
        </w:rPr>
        <w:t>qualitative interview data</w:t>
      </w:r>
      <w:r w:rsidRPr="00E75E2D">
        <w:rPr>
          <w:rFonts w:ascii="Arial" w:hAnsi="Arial" w:cs="Arial"/>
        </w:rPr>
        <w:t>, where students described experiencing a marked reduction in anxiety surrounding the feedback process and a clearer understanding of how to improve. One participant reflected:</w:t>
      </w:r>
    </w:p>
    <w:p w14:paraId="143124B4" w14:textId="4AAC6C6E" w:rsidR="00E75E2D" w:rsidRPr="00E75E2D" w:rsidRDefault="00E75E2D" w:rsidP="00E75E2D">
      <w:pPr>
        <w:widowControl w:val="0"/>
        <w:pBdr>
          <w:top w:val="nil"/>
          <w:left w:val="nil"/>
          <w:bottom w:val="nil"/>
          <w:right w:val="nil"/>
          <w:between w:val="nil"/>
        </w:pBdr>
        <w:spacing w:line="360" w:lineRule="auto"/>
        <w:jc w:val="both"/>
        <w:rPr>
          <w:rFonts w:ascii="Arial" w:hAnsi="Arial" w:cs="Arial"/>
        </w:rPr>
      </w:pPr>
      <w:r w:rsidRPr="00E75E2D">
        <w:rPr>
          <w:rFonts w:ascii="Arial" w:hAnsi="Arial" w:cs="Arial"/>
          <w:i/>
          <w:iCs/>
        </w:rPr>
        <w:t>“Before this, feedback felt like something being done to me. After the new approach, it felt like something I was part of</w:t>
      </w:r>
      <w:r>
        <w:rPr>
          <w:rFonts w:ascii="Arial" w:hAnsi="Arial" w:cs="Arial"/>
          <w:i/>
          <w:iCs/>
        </w:rPr>
        <w:t xml:space="preserve"> </w:t>
      </w:r>
      <w:r w:rsidRPr="00E75E2D">
        <w:rPr>
          <w:rFonts w:ascii="Arial" w:hAnsi="Arial" w:cs="Arial"/>
          <w:i/>
          <w:iCs/>
        </w:rPr>
        <w:t>a conversation rather than a judgement.”</w:t>
      </w:r>
    </w:p>
    <w:p w14:paraId="3C59CF2E" w14:textId="77777777" w:rsidR="00E75E2D" w:rsidRPr="00E75E2D" w:rsidRDefault="00E75E2D" w:rsidP="00E75E2D">
      <w:pPr>
        <w:widowControl w:val="0"/>
        <w:pBdr>
          <w:top w:val="nil"/>
          <w:left w:val="nil"/>
          <w:bottom w:val="nil"/>
          <w:right w:val="nil"/>
          <w:between w:val="nil"/>
        </w:pBdr>
        <w:spacing w:line="360" w:lineRule="auto"/>
        <w:jc w:val="both"/>
        <w:rPr>
          <w:rFonts w:ascii="Arial" w:hAnsi="Arial" w:cs="Arial"/>
        </w:rPr>
      </w:pPr>
      <w:r w:rsidRPr="00E75E2D">
        <w:rPr>
          <w:rFonts w:ascii="Arial" w:hAnsi="Arial" w:cs="Arial"/>
        </w:rPr>
        <w:t>Similarly, a second learner highlighted the development of metacognitive capability, noting:</w:t>
      </w:r>
    </w:p>
    <w:p w14:paraId="5C6DDD9E" w14:textId="77777777" w:rsidR="00E75E2D" w:rsidRPr="00E75E2D" w:rsidRDefault="00E75E2D" w:rsidP="00E75E2D">
      <w:pPr>
        <w:widowControl w:val="0"/>
        <w:pBdr>
          <w:top w:val="nil"/>
          <w:left w:val="nil"/>
          <w:bottom w:val="nil"/>
          <w:right w:val="nil"/>
          <w:between w:val="nil"/>
        </w:pBdr>
        <w:spacing w:line="360" w:lineRule="auto"/>
        <w:jc w:val="both"/>
        <w:rPr>
          <w:rFonts w:ascii="Arial" w:hAnsi="Arial" w:cs="Arial"/>
        </w:rPr>
      </w:pPr>
      <w:r w:rsidRPr="00E75E2D">
        <w:rPr>
          <w:rFonts w:ascii="Arial" w:hAnsi="Arial" w:cs="Arial"/>
          <w:i/>
          <w:iCs/>
        </w:rPr>
        <w:t>“It made me think about why I made certain decisions in my work. I wasn’t just correcting mistakes; I was understanding them.”</w:t>
      </w:r>
    </w:p>
    <w:p w14:paraId="7DDBE24B" w14:textId="77777777" w:rsidR="00E75E2D" w:rsidRPr="00E75E2D" w:rsidRDefault="00E75E2D" w:rsidP="00E75E2D">
      <w:pPr>
        <w:widowControl w:val="0"/>
        <w:pBdr>
          <w:top w:val="nil"/>
          <w:left w:val="nil"/>
          <w:bottom w:val="nil"/>
          <w:right w:val="nil"/>
          <w:between w:val="nil"/>
        </w:pBdr>
        <w:spacing w:line="360" w:lineRule="auto"/>
        <w:jc w:val="both"/>
        <w:rPr>
          <w:rFonts w:ascii="Arial" w:hAnsi="Arial" w:cs="Arial"/>
        </w:rPr>
      </w:pPr>
      <w:r w:rsidRPr="00E75E2D">
        <w:rPr>
          <w:rFonts w:ascii="Arial" w:hAnsi="Arial" w:cs="Arial"/>
        </w:rPr>
        <w:t>The peer lecturer corroborated this change, observing heightened learner ownership:</w:t>
      </w:r>
    </w:p>
    <w:p w14:paraId="778546A9" w14:textId="77777777" w:rsidR="00E75E2D" w:rsidRPr="00E75E2D" w:rsidRDefault="00E75E2D" w:rsidP="00E75E2D">
      <w:pPr>
        <w:widowControl w:val="0"/>
        <w:pBdr>
          <w:top w:val="nil"/>
          <w:left w:val="nil"/>
          <w:bottom w:val="nil"/>
          <w:right w:val="nil"/>
          <w:between w:val="nil"/>
        </w:pBdr>
        <w:spacing w:line="360" w:lineRule="auto"/>
        <w:jc w:val="both"/>
        <w:rPr>
          <w:rFonts w:ascii="Arial" w:hAnsi="Arial" w:cs="Arial"/>
        </w:rPr>
      </w:pPr>
      <w:r w:rsidRPr="00E75E2D">
        <w:rPr>
          <w:rFonts w:ascii="Arial" w:hAnsi="Arial" w:cs="Arial"/>
          <w:i/>
          <w:iCs/>
        </w:rPr>
        <w:t>“Students started arriving with questions, not waiting for me to tell them what was wrong. They were more confident and clearer about what they wanted to improve.”</w:t>
      </w:r>
    </w:p>
    <w:p w14:paraId="4EF4C57E" w14:textId="77777777" w:rsidR="00E75E2D" w:rsidRPr="00E75E2D" w:rsidRDefault="00E75E2D" w:rsidP="00E75E2D">
      <w:pPr>
        <w:widowControl w:val="0"/>
        <w:pBdr>
          <w:top w:val="nil"/>
          <w:left w:val="nil"/>
          <w:bottom w:val="nil"/>
          <w:right w:val="nil"/>
          <w:between w:val="nil"/>
        </w:pBdr>
        <w:spacing w:line="360" w:lineRule="auto"/>
        <w:jc w:val="both"/>
        <w:rPr>
          <w:rFonts w:ascii="Arial" w:hAnsi="Arial" w:cs="Arial"/>
        </w:rPr>
      </w:pPr>
      <w:r w:rsidRPr="00E75E2D">
        <w:rPr>
          <w:rFonts w:ascii="Arial" w:hAnsi="Arial" w:cs="Arial"/>
        </w:rPr>
        <w:t xml:space="preserve">Taken together, these accounts affirm that double-loop feedback cultivates a learning environment in which feedback becomes </w:t>
      </w:r>
      <w:r w:rsidRPr="00E75E2D">
        <w:rPr>
          <w:rFonts w:ascii="Arial" w:hAnsi="Arial" w:cs="Arial"/>
          <w:bCs/>
        </w:rPr>
        <w:t>co-created</w:t>
      </w:r>
      <w:r w:rsidRPr="00E75E2D">
        <w:rPr>
          <w:rFonts w:ascii="Arial" w:hAnsi="Arial" w:cs="Arial"/>
        </w:rPr>
        <w:t xml:space="preserve">, dialogic, and iterative. Rather than functioning as a </w:t>
      </w:r>
      <w:r w:rsidRPr="00E75E2D">
        <w:rPr>
          <w:rFonts w:ascii="Arial" w:hAnsi="Arial" w:cs="Arial"/>
          <w:bCs/>
        </w:rPr>
        <w:t>unidirectional transfer of information</w:t>
      </w:r>
      <w:r w:rsidRPr="00E75E2D">
        <w:rPr>
          <w:rFonts w:ascii="Arial" w:hAnsi="Arial" w:cs="Arial"/>
        </w:rPr>
        <w:t xml:space="preserve">, feedback is repositioned as a </w:t>
      </w:r>
      <w:r w:rsidRPr="00E75E2D">
        <w:rPr>
          <w:rFonts w:ascii="Arial" w:hAnsi="Arial" w:cs="Arial"/>
          <w:bCs/>
        </w:rPr>
        <w:t>cycle of inquiry</w:t>
      </w:r>
      <w:r w:rsidRPr="00E75E2D">
        <w:rPr>
          <w:rFonts w:ascii="Arial" w:hAnsi="Arial" w:cs="Arial"/>
        </w:rPr>
        <w:t xml:space="preserve">, where learners interpret, question, and apply insights with increasing autonomy. This aligns with the radar and bar chart analyses, which illustrate substantial gains in </w:t>
      </w:r>
      <w:r w:rsidRPr="00E75E2D">
        <w:rPr>
          <w:rFonts w:ascii="Arial" w:hAnsi="Arial" w:cs="Arial"/>
          <w:bCs/>
        </w:rPr>
        <w:t>clarity, depth, dialogue, and perceived usefulness</w:t>
      </w:r>
      <w:r w:rsidRPr="00E75E2D">
        <w:rPr>
          <w:rFonts w:ascii="Arial" w:hAnsi="Arial" w:cs="Arial"/>
        </w:rPr>
        <w:t xml:space="preserve"> of feedback.</w:t>
      </w:r>
    </w:p>
    <w:p w14:paraId="1F49559B" w14:textId="7872C966" w:rsidR="00E75E2D" w:rsidRPr="00E75E2D" w:rsidRDefault="00E75E2D" w:rsidP="00E75E2D">
      <w:pPr>
        <w:widowControl w:val="0"/>
        <w:pBdr>
          <w:top w:val="nil"/>
          <w:left w:val="nil"/>
          <w:bottom w:val="nil"/>
          <w:right w:val="nil"/>
          <w:between w:val="nil"/>
        </w:pBdr>
        <w:spacing w:line="360" w:lineRule="auto"/>
        <w:jc w:val="both"/>
        <w:rPr>
          <w:rFonts w:ascii="Arial" w:hAnsi="Arial" w:cs="Arial"/>
        </w:rPr>
      </w:pPr>
      <w:r w:rsidRPr="00E75E2D">
        <w:rPr>
          <w:rFonts w:ascii="Arial" w:hAnsi="Arial" w:cs="Arial"/>
        </w:rPr>
        <w:t xml:space="preserve">Overall, the integration of the quantitative shifts and the reflective, emotionally rich narratives from interviews suggests that double-loop feedback fosters a </w:t>
      </w:r>
      <w:r w:rsidRPr="00E75E2D">
        <w:rPr>
          <w:rFonts w:ascii="Arial" w:hAnsi="Arial" w:cs="Arial"/>
          <w:bCs/>
        </w:rPr>
        <w:t>transformative learning culture</w:t>
      </w:r>
      <w:r w:rsidRPr="00E75E2D">
        <w:rPr>
          <w:rFonts w:ascii="Arial" w:hAnsi="Arial" w:cs="Arial"/>
        </w:rPr>
        <w:t>. This culture supports students not only in improving academic performance but in developing enduring skills of critical reflection, emotional regulation, and self-directed learning</w:t>
      </w:r>
      <w:r>
        <w:rPr>
          <w:rFonts w:ascii="Arial" w:hAnsi="Arial" w:cs="Arial"/>
        </w:rPr>
        <w:t xml:space="preserve">, </w:t>
      </w:r>
      <w:r w:rsidRPr="00E75E2D">
        <w:rPr>
          <w:rFonts w:ascii="Arial" w:hAnsi="Arial" w:cs="Arial"/>
        </w:rPr>
        <w:t>core attributes of professional practice within civil engineering and construction education.</w:t>
      </w:r>
    </w:p>
    <w:p w14:paraId="2C437435" w14:textId="77777777" w:rsidR="00404D1C" w:rsidRPr="00404D1C" w:rsidRDefault="00761D90" w:rsidP="00404D1C">
      <w:pPr>
        <w:widowControl w:val="0"/>
        <w:pBdr>
          <w:top w:val="nil"/>
          <w:left w:val="nil"/>
          <w:bottom w:val="nil"/>
          <w:right w:val="nil"/>
          <w:between w:val="nil"/>
        </w:pBdr>
        <w:spacing w:line="360" w:lineRule="auto"/>
        <w:jc w:val="both"/>
        <w:rPr>
          <w:rFonts w:ascii="Arial" w:hAnsi="Arial" w:cs="Arial"/>
        </w:rPr>
      </w:pPr>
      <w:r>
        <w:rPr>
          <w:rFonts w:ascii="Arial" w:hAnsi="Arial" w:cs="Arial"/>
        </w:rPr>
        <w:t>The findings therefore indicate that double-loop feedback supports transformative learning by enhancing feedback literacy, emotional resilience, and transferable metacognitive skills. It cultivates a learning culture where feedback is co-created and integrated within a cycle of inquiry and reflection, rather than being a unidirectional transfer of information. Ultimately, this approach enabled students to bridge the gap between vocational authenticity and academic rigour, enriching their overall learning experience.</w:t>
      </w:r>
    </w:p>
    <w:p w14:paraId="32CDCE47" w14:textId="77777777" w:rsidR="00BE71E6" w:rsidRPr="00D02836" w:rsidRDefault="00404D1C" w:rsidP="00D02836">
      <w:pPr>
        <w:pStyle w:val="Heading1"/>
        <w:rPr>
          <w:rFonts w:ascii="Arial" w:hAnsi="Arial" w:cs="Arial"/>
          <w:sz w:val="22"/>
          <w:szCs w:val="22"/>
        </w:rPr>
      </w:pPr>
      <w:bookmarkStart w:id="35" w:name="_Toc214970271"/>
      <w:r>
        <w:rPr>
          <w:rFonts w:ascii="Arial" w:hAnsi="Arial" w:cs="Arial"/>
          <w:sz w:val="22"/>
          <w:szCs w:val="22"/>
        </w:rPr>
        <w:lastRenderedPageBreak/>
        <w:t>6</w:t>
      </w:r>
      <w:r w:rsidR="00BE71E6" w:rsidRPr="00D02836">
        <w:rPr>
          <w:rFonts w:ascii="Arial" w:hAnsi="Arial" w:cs="Arial"/>
          <w:sz w:val="22"/>
          <w:szCs w:val="22"/>
        </w:rPr>
        <w:t>.</w:t>
      </w:r>
      <w:r w:rsidR="0054680B">
        <w:rPr>
          <w:rFonts w:ascii="Arial" w:hAnsi="Arial" w:cs="Arial"/>
          <w:sz w:val="22"/>
          <w:szCs w:val="22"/>
        </w:rPr>
        <w:t>0</w:t>
      </w:r>
      <w:r w:rsidR="00BE71E6" w:rsidRPr="00D02836">
        <w:rPr>
          <w:rFonts w:ascii="Arial" w:hAnsi="Arial" w:cs="Arial"/>
          <w:sz w:val="22"/>
          <w:szCs w:val="22"/>
        </w:rPr>
        <w:t xml:space="preserve"> Impact on Academic Performance</w:t>
      </w:r>
      <w:bookmarkEnd w:id="35"/>
    </w:p>
    <w:p w14:paraId="48021993" w14:textId="77777777" w:rsidR="00E75E2D" w:rsidRDefault="00BE71E6" w:rsidP="00E75E2D">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Double-loop feedback greatly improves academic results by fostering transferable skills, critical thinking, and reflective abilities in HNC Civil Engineering and Construction students.</w:t>
      </w:r>
      <w:r w:rsidR="00E75E2D">
        <w:rPr>
          <w:rFonts w:ascii="Arial" w:hAnsi="Arial" w:cs="Arial"/>
        </w:rPr>
        <w:t xml:space="preserve"> </w:t>
      </w:r>
      <w:r w:rsidR="00E75E2D" w:rsidRPr="00E75E2D">
        <w:rPr>
          <w:rFonts w:ascii="Arial" w:hAnsi="Arial" w:cs="Arial"/>
        </w:rPr>
        <w:t>The findings from this study indicate that double-loop feedback contributes to measurable improvements in academic performance by strengthening the transferable skills, critical thinking, and reflective capacities of HNC Civil Engineering and Construction students. Quantitatively, the pre- and post-intervention survey data illustrate a clear upward trajectory in learners’ perceptions of feedback quality and usefulness. These improvements corresponded with higher assignment resubmission quality and fewer repeated errors, reflecting the development of critical analysis and self-regulatory thinking.</w:t>
      </w:r>
      <w:r w:rsidRPr="00D02836">
        <w:rPr>
          <w:rFonts w:ascii="Arial" w:hAnsi="Arial" w:cs="Arial"/>
        </w:rPr>
        <w:t xml:space="preserve"> </w:t>
      </w:r>
      <w:r w:rsidR="00E75E2D" w:rsidRPr="00E75E2D">
        <w:rPr>
          <w:rFonts w:ascii="Arial" w:hAnsi="Arial" w:cs="Arial"/>
        </w:rPr>
        <w:t xml:space="preserve">This pattern is supported by the qualitative interview data, where participants consistently described becoming more reflective and autonomous in their academic approach following the implementation of double-loop feedback. </w:t>
      </w:r>
    </w:p>
    <w:p w14:paraId="6A085CF1" w14:textId="05B33B99" w:rsidR="00E75E2D" w:rsidRPr="00E75E2D" w:rsidRDefault="00E75E2D" w:rsidP="00E75E2D">
      <w:pPr>
        <w:widowControl w:val="0"/>
        <w:pBdr>
          <w:top w:val="nil"/>
          <w:left w:val="nil"/>
          <w:bottom w:val="nil"/>
          <w:right w:val="nil"/>
          <w:between w:val="nil"/>
        </w:pBdr>
        <w:spacing w:line="360" w:lineRule="auto"/>
        <w:jc w:val="both"/>
        <w:rPr>
          <w:rFonts w:ascii="Arial" w:hAnsi="Arial" w:cs="Arial"/>
        </w:rPr>
      </w:pPr>
      <w:r w:rsidRPr="00E75E2D">
        <w:rPr>
          <w:rFonts w:ascii="Arial" w:hAnsi="Arial" w:cs="Arial"/>
        </w:rPr>
        <w:t xml:space="preserve">One learner commented that the revised feedback cycle enabled them to </w:t>
      </w:r>
      <w:r w:rsidRPr="00E75E2D">
        <w:rPr>
          <w:rFonts w:ascii="Arial" w:hAnsi="Arial" w:cs="Arial"/>
          <w:i/>
          <w:iCs/>
        </w:rPr>
        <w:t>“understand my decision-making rather than just the mistakes,”</w:t>
      </w:r>
      <w:r w:rsidRPr="00E75E2D">
        <w:rPr>
          <w:rFonts w:ascii="Arial" w:hAnsi="Arial" w:cs="Arial"/>
        </w:rPr>
        <w:t xml:space="preserve"> while another noted that it </w:t>
      </w:r>
      <w:r w:rsidRPr="00E75E2D">
        <w:rPr>
          <w:rFonts w:ascii="Arial" w:hAnsi="Arial" w:cs="Arial"/>
          <w:i/>
          <w:iCs/>
        </w:rPr>
        <w:t>“made me think ahead about how to apply feedback to future tasks, not just the current one.”</w:t>
      </w:r>
      <w:r w:rsidRPr="00E75E2D">
        <w:rPr>
          <w:rFonts w:ascii="Arial" w:hAnsi="Arial" w:cs="Arial"/>
        </w:rPr>
        <w:t xml:space="preserve"> These reflective statements indicate movement beyond surface correction toward the metacognitive reasoning characteristic of double-loop learning.</w:t>
      </w:r>
    </w:p>
    <w:p w14:paraId="5DE27153" w14:textId="17F73251" w:rsidR="00E75E2D" w:rsidRDefault="00E75E2D" w:rsidP="00E75E2D">
      <w:pPr>
        <w:widowControl w:val="0"/>
        <w:pBdr>
          <w:top w:val="nil"/>
          <w:left w:val="nil"/>
          <w:bottom w:val="nil"/>
          <w:right w:val="nil"/>
          <w:between w:val="nil"/>
        </w:pBdr>
        <w:spacing w:line="360" w:lineRule="auto"/>
        <w:jc w:val="both"/>
        <w:rPr>
          <w:rFonts w:ascii="Arial" w:hAnsi="Arial" w:cs="Arial"/>
        </w:rPr>
      </w:pPr>
      <w:r w:rsidRPr="00E75E2D">
        <w:rPr>
          <w:rFonts w:ascii="Arial" w:hAnsi="Arial" w:cs="Arial"/>
        </w:rPr>
        <w:t>These findings are congruent with existing empirical literature. Panadero and Lipnevich (2022) argue that feedback models that promote questioning, dialogue, and internalisation of standards strengthen learners’ metacognitive regulation and decision-making. Similarly, Thirtle (2014) found that active engagement in feedback cycles supports the development of transferable self-assessment skills, while Hill and West (2022) demonstrated that dialogic feedforward practices enhance students’ critical thinking and deepen their conceptual understanding. Evidence also suggests that improved feedback perceptions correlate with reduced anxiety and increased academic confidence (Martin, 2017; Cao &amp; Han, 2024), both of which support improved academic outcomes.</w:t>
      </w:r>
    </w:p>
    <w:p w14:paraId="4528AD8E" w14:textId="4E7383BA" w:rsidR="00B23E4E" w:rsidRPr="00B23E4E" w:rsidRDefault="00B23E4E" w:rsidP="00B23E4E">
      <w:pPr>
        <w:pStyle w:val="Heading1"/>
        <w:rPr>
          <w:rFonts w:ascii="Arial" w:hAnsi="Arial" w:cs="Arial"/>
          <w:sz w:val="22"/>
          <w:szCs w:val="22"/>
        </w:rPr>
      </w:pPr>
      <w:bookmarkStart w:id="36" w:name="_Toc214970272"/>
      <w:r w:rsidRPr="00B23E4E">
        <w:rPr>
          <w:rFonts w:ascii="Arial" w:hAnsi="Arial" w:cs="Arial"/>
          <w:sz w:val="22"/>
          <w:szCs w:val="22"/>
        </w:rPr>
        <w:t>6.1 Measurable Performance Data Demonstrating Improvement</w:t>
      </w:r>
      <w:bookmarkEnd w:id="36"/>
    </w:p>
    <w:p w14:paraId="44970C2F" w14:textId="5B508947" w:rsidR="00B23E4E" w:rsidRPr="00B23E4E" w:rsidRDefault="006F0556" w:rsidP="00B23E4E">
      <w:pPr>
        <w:pStyle w:val="Heading2"/>
        <w:rPr>
          <w:rFonts w:ascii="Arial" w:hAnsi="Arial" w:cs="Arial"/>
          <w:sz w:val="22"/>
          <w:szCs w:val="22"/>
        </w:rPr>
      </w:pPr>
      <w:bookmarkStart w:id="37" w:name="_Toc214970273"/>
      <w:r>
        <w:rPr>
          <w:rFonts w:ascii="Arial" w:hAnsi="Arial" w:cs="Arial"/>
          <w:sz w:val="22"/>
          <w:szCs w:val="22"/>
        </w:rPr>
        <w:t>6.1.1</w:t>
      </w:r>
      <w:r w:rsidR="00B23E4E" w:rsidRPr="00B23E4E">
        <w:rPr>
          <w:rFonts w:ascii="Arial" w:hAnsi="Arial" w:cs="Arial"/>
          <w:sz w:val="22"/>
          <w:szCs w:val="22"/>
        </w:rPr>
        <w:t xml:space="preserve"> Before / After Rubric Comparison (Academic Performance Evidence)</w:t>
      </w:r>
      <w:bookmarkEnd w:id="37"/>
    </w:p>
    <w:p w14:paraId="71BB3A9E" w14:textId="18EA77FC" w:rsidR="00B23E4E" w:rsidRPr="00B23E4E" w:rsidRDefault="00B23E4E" w:rsidP="00B23E4E">
      <w:pPr>
        <w:widowControl w:val="0"/>
        <w:pBdr>
          <w:top w:val="nil"/>
          <w:left w:val="nil"/>
          <w:bottom w:val="nil"/>
          <w:right w:val="nil"/>
          <w:between w:val="nil"/>
        </w:pBdr>
        <w:spacing w:line="360" w:lineRule="auto"/>
        <w:jc w:val="both"/>
        <w:rPr>
          <w:rFonts w:ascii="Arial" w:hAnsi="Arial" w:cs="Arial"/>
        </w:rPr>
      </w:pPr>
      <w:r>
        <w:rPr>
          <w:rFonts w:ascii="Arial" w:hAnsi="Arial" w:cs="Arial"/>
        </w:rPr>
        <w:t>Figure 3</w:t>
      </w:r>
      <w:r w:rsidRPr="00B23E4E">
        <w:rPr>
          <w:rFonts w:ascii="Arial" w:hAnsi="Arial" w:cs="Arial"/>
        </w:rPr>
        <w:t xml:space="preserve"> presents a comparison of student performance on two consecutive assessed tasks, using the same marking rubric both </w:t>
      </w:r>
      <w:r w:rsidRPr="00B23E4E">
        <w:rPr>
          <w:rFonts w:ascii="Arial" w:hAnsi="Arial" w:cs="Arial"/>
          <w:bCs/>
        </w:rPr>
        <w:t>pre-intervention</w:t>
      </w:r>
      <w:r w:rsidRPr="00B23E4E">
        <w:rPr>
          <w:rFonts w:ascii="Arial" w:hAnsi="Arial" w:cs="Arial"/>
        </w:rPr>
        <w:t xml:space="preserve"> and </w:t>
      </w:r>
      <w:r w:rsidRPr="00B23E4E">
        <w:rPr>
          <w:rFonts w:ascii="Arial" w:hAnsi="Arial" w:cs="Arial"/>
          <w:bCs/>
        </w:rPr>
        <w:t>post-intervention</w:t>
      </w:r>
      <w:r w:rsidRPr="00B23E4E">
        <w:rPr>
          <w:rFonts w:ascii="Arial" w:hAnsi="Arial" w:cs="Arial"/>
        </w:rPr>
        <w:t>. The rubric assesses:</w:t>
      </w:r>
    </w:p>
    <w:p w14:paraId="36C4AD8B" w14:textId="77777777" w:rsidR="00B23E4E" w:rsidRPr="00B23E4E" w:rsidRDefault="00B23E4E" w:rsidP="00B23E4E">
      <w:pPr>
        <w:widowControl w:val="0"/>
        <w:numPr>
          <w:ilvl w:val="0"/>
          <w:numId w:val="3"/>
        </w:numPr>
        <w:pBdr>
          <w:top w:val="nil"/>
          <w:left w:val="nil"/>
          <w:bottom w:val="nil"/>
          <w:right w:val="nil"/>
          <w:between w:val="nil"/>
        </w:pBdr>
        <w:spacing w:line="360" w:lineRule="auto"/>
        <w:jc w:val="both"/>
        <w:rPr>
          <w:rFonts w:ascii="Arial" w:hAnsi="Arial" w:cs="Arial"/>
        </w:rPr>
      </w:pPr>
      <w:r w:rsidRPr="00B23E4E">
        <w:rPr>
          <w:rFonts w:ascii="Arial" w:hAnsi="Arial" w:cs="Arial"/>
        </w:rPr>
        <w:t>Critical analysis</w:t>
      </w:r>
    </w:p>
    <w:p w14:paraId="324287F0" w14:textId="77777777" w:rsidR="00B23E4E" w:rsidRPr="00B23E4E" w:rsidRDefault="00B23E4E" w:rsidP="00B23E4E">
      <w:pPr>
        <w:widowControl w:val="0"/>
        <w:numPr>
          <w:ilvl w:val="0"/>
          <w:numId w:val="3"/>
        </w:numPr>
        <w:pBdr>
          <w:top w:val="nil"/>
          <w:left w:val="nil"/>
          <w:bottom w:val="nil"/>
          <w:right w:val="nil"/>
          <w:between w:val="nil"/>
        </w:pBdr>
        <w:spacing w:line="360" w:lineRule="auto"/>
        <w:jc w:val="both"/>
        <w:rPr>
          <w:rFonts w:ascii="Arial" w:hAnsi="Arial" w:cs="Arial"/>
        </w:rPr>
      </w:pPr>
      <w:r w:rsidRPr="00B23E4E">
        <w:rPr>
          <w:rFonts w:ascii="Arial" w:hAnsi="Arial" w:cs="Arial"/>
        </w:rPr>
        <w:t>Application of technical knowledge</w:t>
      </w:r>
    </w:p>
    <w:p w14:paraId="3D65BEE1" w14:textId="77777777" w:rsidR="00B23E4E" w:rsidRPr="00B23E4E" w:rsidRDefault="00B23E4E" w:rsidP="00B23E4E">
      <w:pPr>
        <w:widowControl w:val="0"/>
        <w:numPr>
          <w:ilvl w:val="0"/>
          <w:numId w:val="3"/>
        </w:numPr>
        <w:pBdr>
          <w:top w:val="nil"/>
          <w:left w:val="nil"/>
          <w:bottom w:val="nil"/>
          <w:right w:val="nil"/>
          <w:between w:val="nil"/>
        </w:pBdr>
        <w:spacing w:line="360" w:lineRule="auto"/>
        <w:jc w:val="both"/>
        <w:rPr>
          <w:rFonts w:ascii="Arial" w:hAnsi="Arial" w:cs="Arial"/>
        </w:rPr>
      </w:pPr>
      <w:r w:rsidRPr="00B23E4E">
        <w:rPr>
          <w:rFonts w:ascii="Arial" w:hAnsi="Arial" w:cs="Arial"/>
        </w:rPr>
        <w:t>Structure and coherence</w:t>
      </w:r>
    </w:p>
    <w:p w14:paraId="03589C87" w14:textId="77777777" w:rsidR="00B23E4E" w:rsidRPr="00B23E4E" w:rsidRDefault="00B23E4E" w:rsidP="00B23E4E">
      <w:pPr>
        <w:widowControl w:val="0"/>
        <w:numPr>
          <w:ilvl w:val="0"/>
          <w:numId w:val="3"/>
        </w:numPr>
        <w:pBdr>
          <w:top w:val="nil"/>
          <w:left w:val="nil"/>
          <w:bottom w:val="nil"/>
          <w:right w:val="nil"/>
          <w:between w:val="nil"/>
        </w:pBdr>
        <w:spacing w:line="360" w:lineRule="auto"/>
        <w:jc w:val="both"/>
        <w:rPr>
          <w:rFonts w:ascii="Arial" w:hAnsi="Arial" w:cs="Arial"/>
        </w:rPr>
      </w:pPr>
      <w:r w:rsidRPr="00B23E4E">
        <w:rPr>
          <w:rFonts w:ascii="Arial" w:hAnsi="Arial" w:cs="Arial"/>
        </w:rPr>
        <w:t>Use of evidence</w:t>
      </w:r>
    </w:p>
    <w:p w14:paraId="797991E6" w14:textId="77777777" w:rsidR="00B23E4E" w:rsidRPr="00B23E4E" w:rsidRDefault="00B23E4E" w:rsidP="00B23E4E">
      <w:pPr>
        <w:widowControl w:val="0"/>
        <w:numPr>
          <w:ilvl w:val="0"/>
          <w:numId w:val="3"/>
        </w:numPr>
        <w:pBdr>
          <w:top w:val="nil"/>
          <w:left w:val="nil"/>
          <w:bottom w:val="nil"/>
          <w:right w:val="nil"/>
          <w:between w:val="nil"/>
        </w:pBdr>
        <w:spacing w:line="360" w:lineRule="auto"/>
        <w:jc w:val="both"/>
        <w:rPr>
          <w:rFonts w:ascii="Arial" w:hAnsi="Arial" w:cs="Arial"/>
        </w:rPr>
      </w:pPr>
      <w:r w:rsidRPr="00B23E4E">
        <w:rPr>
          <w:rFonts w:ascii="Arial" w:hAnsi="Arial" w:cs="Arial"/>
        </w:rPr>
        <w:lastRenderedPageBreak/>
        <w:t>Reflection and evaluation</w:t>
      </w:r>
    </w:p>
    <w:p w14:paraId="47DF20DC" w14:textId="7C907417" w:rsidR="00B23E4E" w:rsidRPr="006F0556" w:rsidRDefault="006F0556" w:rsidP="006F0556">
      <w:pPr>
        <w:pStyle w:val="Heading3"/>
        <w:rPr>
          <w:rFonts w:ascii="Arial" w:hAnsi="Arial" w:cs="Arial"/>
          <w:sz w:val="22"/>
          <w:szCs w:val="22"/>
        </w:rPr>
      </w:pPr>
      <w:bookmarkStart w:id="38" w:name="_Toc214970274"/>
      <w:r w:rsidRPr="006F0556">
        <w:rPr>
          <w:rFonts w:ascii="Arial" w:hAnsi="Arial" w:cs="Arial"/>
          <w:sz w:val="22"/>
          <w:szCs w:val="22"/>
        </w:rPr>
        <w:t xml:space="preserve">6.1.1.1 </w:t>
      </w:r>
      <w:r w:rsidR="00B23E4E" w:rsidRPr="006F0556">
        <w:rPr>
          <w:rFonts w:ascii="Arial" w:hAnsi="Arial" w:cs="Arial"/>
          <w:sz w:val="22"/>
          <w:szCs w:val="22"/>
        </w:rPr>
        <w:t>Figure 3</w:t>
      </w:r>
      <w:bookmarkEnd w:id="3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80"/>
        <w:gridCol w:w="1843"/>
        <w:gridCol w:w="1842"/>
        <w:gridCol w:w="1560"/>
        <w:gridCol w:w="1835"/>
      </w:tblGrid>
      <w:tr w:rsidR="00AD092E" w:rsidRPr="00AD092E" w14:paraId="465BF293" w14:textId="77777777" w:rsidTr="00771CF9">
        <w:trPr>
          <w:tblHeader/>
          <w:tblCellSpacing w:w="15" w:type="dxa"/>
        </w:trPr>
        <w:tc>
          <w:tcPr>
            <w:tcW w:w="1935" w:type="dxa"/>
            <w:vAlign w:val="center"/>
            <w:hideMark/>
          </w:tcPr>
          <w:p w14:paraId="65536AFD"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Assessment Criterion (Max 10)</w:t>
            </w:r>
          </w:p>
        </w:tc>
        <w:tc>
          <w:tcPr>
            <w:tcW w:w="1813" w:type="dxa"/>
            <w:vAlign w:val="center"/>
            <w:hideMark/>
          </w:tcPr>
          <w:p w14:paraId="4C3C5A48"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Pre-Intervention Mean</w:t>
            </w:r>
          </w:p>
        </w:tc>
        <w:tc>
          <w:tcPr>
            <w:tcW w:w="1812" w:type="dxa"/>
            <w:vAlign w:val="center"/>
            <w:hideMark/>
          </w:tcPr>
          <w:p w14:paraId="42605073"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Post-Intervention Mean</w:t>
            </w:r>
          </w:p>
        </w:tc>
        <w:tc>
          <w:tcPr>
            <w:tcW w:w="1530" w:type="dxa"/>
            <w:vAlign w:val="center"/>
            <w:hideMark/>
          </w:tcPr>
          <w:p w14:paraId="03FB32E2"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Mean Difference</w:t>
            </w:r>
          </w:p>
        </w:tc>
        <w:tc>
          <w:tcPr>
            <w:tcW w:w="1790" w:type="dxa"/>
            <w:vAlign w:val="center"/>
            <w:hideMark/>
          </w:tcPr>
          <w:p w14:paraId="56DBB92E"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 Change</w:t>
            </w:r>
          </w:p>
        </w:tc>
      </w:tr>
      <w:tr w:rsidR="00AD092E" w:rsidRPr="00AD092E" w14:paraId="64E39F01" w14:textId="77777777" w:rsidTr="00771CF9">
        <w:trPr>
          <w:tblCellSpacing w:w="15" w:type="dxa"/>
        </w:trPr>
        <w:tc>
          <w:tcPr>
            <w:tcW w:w="1935" w:type="dxa"/>
            <w:vAlign w:val="center"/>
            <w:hideMark/>
          </w:tcPr>
          <w:p w14:paraId="5075DB93" w14:textId="77777777" w:rsidR="00AD092E" w:rsidRPr="00AD092E" w:rsidRDefault="00AD092E" w:rsidP="00771CF9">
            <w:pPr>
              <w:widowControl w:val="0"/>
              <w:pBdr>
                <w:top w:val="nil"/>
                <w:left w:val="nil"/>
                <w:bottom w:val="nil"/>
                <w:right w:val="nil"/>
                <w:between w:val="nil"/>
              </w:pBdr>
              <w:spacing w:line="360" w:lineRule="auto"/>
              <w:rPr>
                <w:rFonts w:ascii="Arial" w:hAnsi="Arial" w:cs="Arial"/>
                <w:bCs/>
              </w:rPr>
            </w:pPr>
            <w:r w:rsidRPr="00AD092E">
              <w:rPr>
                <w:rFonts w:ascii="Arial" w:hAnsi="Arial" w:cs="Arial"/>
                <w:bCs/>
              </w:rPr>
              <w:t>Critical Analysis</w:t>
            </w:r>
          </w:p>
        </w:tc>
        <w:tc>
          <w:tcPr>
            <w:tcW w:w="1813" w:type="dxa"/>
            <w:vAlign w:val="center"/>
            <w:hideMark/>
          </w:tcPr>
          <w:p w14:paraId="54757F00"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4.8</w:t>
            </w:r>
          </w:p>
        </w:tc>
        <w:tc>
          <w:tcPr>
            <w:tcW w:w="1812" w:type="dxa"/>
            <w:vAlign w:val="center"/>
            <w:hideMark/>
          </w:tcPr>
          <w:p w14:paraId="3A9612B8"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7.1</w:t>
            </w:r>
          </w:p>
        </w:tc>
        <w:tc>
          <w:tcPr>
            <w:tcW w:w="1530" w:type="dxa"/>
            <w:vAlign w:val="center"/>
            <w:hideMark/>
          </w:tcPr>
          <w:p w14:paraId="2A58F004"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+2.3</w:t>
            </w:r>
          </w:p>
        </w:tc>
        <w:tc>
          <w:tcPr>
            <w:tcW w:w="1790" w:type="dxa"/>
            <w:vAlign w:val="center"/>
            <w:hideMark/>
          </w:tcPr>
          <w:p w14:paraId="30FC94C2"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+48%</w:t>
            </w:r>
          </w:p>
        </w:tc>
      </w:tr>
      <w:tr w:rsidR="00AD092E" w:rsidRPr="00AD092E" w14:paraId="1BACAC7B" w14:textId="77777777" w:rsidTr="00771CF9">
        <w:trPr>
          <w:tblCellSpacing w:w="15" w:type="dxa"/>
        </w:trPr>
        <w:tc>
          <w:tcPr>
            <w:tcW w:w="1935" w:type="dxa"/>
            <w:vAlign w:val="center"/>
            <w:hideMark/>
          </w:tcPr>
          <w:p w14:paraId="0B57E2FA" w14:textId="4E7958F0" w:rsidR="00AD092E" w:rsidRPr="00AD092E" w:rsidRDefault="00771CF9" w:rsidP="00771CF9">
            <w:pPr>
              <w:widowControl w:val="0"/>
              <w:pBdr>
                <w:top w:val="nil"/>
                <w:left w:val="nil"/>
                <w:bottom w:val="nil"/>
                <w:right w:val="nil"/>
                <w:between w:val="nil"/>
              </w:pBdr>
              <w:spacing w:line="360" w:lineRule="auto"/>
              <w:rPr>
                <w:rFonts w:ascii="Arial" w:hAnsi="Arial" w:cs="Arial"/>
                <w:bCs/>
              </w:rPr>
            </w:pPr>
            <w:r>
              <w:rPr>
                <w:rFonts w:ascii="Arial" w:hAnsi="Arial" w:cs="Arial"/>
                <w:bCs/>
              </w:rPr>
              <w:t xml:space="preserve">Application </w:t>
            </w:r>
            <w:r w:rsidR="00AD092E" w:rsidRPr="00AD092E">
              <w:rPr>
                <w:rFonts w:ascii="Arial" w:hAnsi="Arial" w:cs="Arial"/>
                <w:bCs/>
              </w:rPr>
              <w:t>of Technical Knowledge</w:t>
            </w:r>
          </w:p>
        </w:tc>
        <w:tc>
          <w:tcPr>
            <w:tcW w:w="1813" w:type="dxa"/>
            <w:vAlign w:val="center"/>
            <w:hideMark/>
          </w:tcPr>
          <w:p w14:paraId="45AB3CBA"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5.6</w:t>
            </w:r>
          </w:p>
        </w:tc>
        <w:tc>
          <w:tcPr>
            <w:tcW w:w="1812" w:type="dxa"/>
            <w:vAlign w:val="center"/>
            <w:hideMark/>
          </w:tcPr>
          <w:p w14:paraId="55459658"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7.9</w:t>
            </w:r>
          </w:p>
        </w:tc>
        <w:tc>
          <w:tcPr>
            <w:tcW w:w="1530" w:type="dxa"/>
            <w:vAlign w:val="center"/>
            <w:hideMark/>
          </w:tcPr>
          <w:p w14:paraId="69A58196"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+2.3</w:t>
            </w:r>
          </w:p>
        </w:tc>
        <w:tc>
          <w:tcPr>
            <w:tcW w:w="1790" w:type="dxa"/>
            <w:vAlign w:val="center"/>
            <w:hideMark/>
          </w:tcPr>
          <w:p w14:paraId="0D694C9C"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+41%</w:t>
            </w:r>
          </w:p>
        </w:tc>
      </w:tr>
      <w:tr w:rsidR="00AD092E" w:rsidRPr="00AD092E" w14:paraId="6B945463" w14:textId="77777777" w:rsidTr="00771CF9">
        <w:trPr>
          <w:tblCellSpacing w:w="15" w:type="dxa"/>
        </w:trPr>
        <w:tc>
          <w:tcPr>
            <w:tcW w:w="1935" w:type="dxa"/>
            <w:vAlign w:val="center"/>
            <w:hideMark/>
          </w:tcPr>
          <w:p w14:paraId="4A6199D0" w14:textId="77777777" w:rsidR="00AD092E" w:rsidRPr="00AD092E" w:rsidRDefault="00AD092E" w:rsidP="00771CF9">
            <w:pPr>
              <w:widowControl w:val="0"/>
              <w:pBdr>
                <w:top w:val="nil"/>
                <w:left w:val="nil"/>
                <w:bottom w:val="nil"/>
                <w:right w:val="nil"/>
                <w:between w:val="nil"/>
              </w:pBdr>
              <w:spacing w:line="360" w:lineRule="auto"/>
              <w:rPr>
                <w:rFonts w:ascii="Arial" w:hAnsi="Arial" w:cs="Arial"/>
                <w:bCs/>
              </w:rPr>
            </w:pPr>
            <w:r w:rsidRPr="00AD092E">
              <w:rPr>
                <w:rFonts w:ascii="Arial" w:hAnsi="Arial" w:cs="Arial"/>
                <w:bCs/>
              </w:rPr>
              <w:t>Structure &amp; Coherence</w:t>
            </w:r>
          </w:p>
        </w:tc>
        <w:tc>
          <w:tcPr>
            <w:tcW w:w="1813" w:type="dxa"/>
            <w:vAlign w:val="center"/>
            <w:hideMark/>
          </w:tcPr>
          <w:p w14:paraId="1D56A412"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5.2</w:t>
            </w:r>
          </w:p>
        </w:tc>
        <w:tc>
          <w:tcPr>
            <w:tcW w:w="1812" w:type="dxa"/>
            <w:vAlign w:val="center"/>
            <w:hideMark/>
          </w:tcPr>
          <w:p w14:paraId="1FE10269"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7.4</w:t>
            </w:r>
          </w:p>
        </w:tc>
        <w:tc>
          <w:tcPr>
            <w:tcW w:w="1530" w:type="dxa"/>
            <w:vAlign w:val="center"/>
            <w:hideMark/>
          </w:tcPr>
          <w:p w14:paraId="16262EA5"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+2.2</w:t>
            </w:r>
          </w:p>
        </w:tc>
        <w:tc>
          <w:tcPr>
            <w:tcW w:w="1790" w:type="dxa"/>
            <w:vAlign w:val="center"/>
            <w:hideMark/>
          </w:tcPr>
          <w:p w14:paraId="51D821C5"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+42%</w:t>
            </w:r>
          </w:p>
        </w:tc>
      </w:tr>
      <w:tr w:rsidR="00AD092E" w:rsidRPr="00AD092E" w14:paraId="2F6120B6" w14:textId="77777777" w:rsidTr="00771CF9">
        <w:trPr>
          <w:tblCellSpacing w:w="15" w:type="dxa"/>
        </w:trPr>
        <w:tc>
          <w:tcPr>
            <w:tcW w:w="1935" w:type="dxa"/>
            <w:vAlign w:val="center"/>
            <w:hideMark/>
          </w:tcPr>
          <w:p w14:paraId="3476414B" w14:textId="77777777" w:rsidR="00AD092E" w:rsidRPr="00AD092E" w:rsidRDefault="00AD092E" w:rsidP="00771CF9">
            <w:pPr>
              <w:widowControl w:val="0"/>
              <w:pBdr>
                <w:top w:val="nil"/>
                <w:left w:val="nil"/>
                <w:bottom w:val="nil"/>
                <w:right w:val="nil"/>
                <w:between w:val="nil"/>
              </w:pBdr>
              <w:spacing w:line="360" w:lineRule="auto"/>
              <w:rPr>
                <w:rFonts w:ascii="Arial" w:hAnsi="Arial" w:cs="Arial"/>
                <w:bCs/>
              </w:rPr>
            </w:pPr>
            <w:r w:rsidRPr="00AD092E">
              <w:rPr>
                <w:rFonts w:ascii="Arial" w:hAnsi="Arial" w:cs="Arial"/>
                <w:bCs/>
              </w:rPr>
              <w:t>Use of Evidence</w:t>
            </w:r>
          </w:p>
        </w:tc>
        <w:tc>
          <w:tcPr>
            <w:tcW w:w="1813" w:type="dxa"/>
            <w:vAlign w:val="center"/>
            <w:hideMark/>
          </w:tcPr>
          <w:p w14:paraId="37B3A04E"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4.9</w:t>
            </w:r>
          </w:p>
        </w:tc>
        <w:tc>
          <w:tcPr>
            <w:tcW w:w="1812" w:type="dxa"/>
            <w:vAlign w:val="center"/>
            <w:hideMark/>
          </w:tcPr>
          <w:p w14:paraId="0119A3CF"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7.2</w:t>
            </w:r>
          </w:p>
        </w:tc>
        <w:tc>
          <w:tcPr>
            <w:tcW w:w="1530" w:type="dxa"/>
            <w:vAlign w:val="center"/>
            <w:hideMark/>
          </w:tcPr>
          <w:p w14:paraId="4FADFD03"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+2.3</w:t>
            </w:r>
          </w:p>
        </w:tc>
        <w:tc>
          <w:tcPr>
            <w:tcW w:w="1790" w:type="dxa"/>
            <w:vAlign w:val="center"/>
            <w:hideMark/>
          </w:tcPr>
          <w:p w14:paraId="60D03A80"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+47%</w:t>
            </w:r>
          </w:p>
        </w:tc>
      </w:tr>
      <w:tr w:rsidR="00AD092E" w:rsidRPr="00AD092E" w14:paraId="12CC2EE0" w14:textId="77777777" w:rsidTr="00771CF9">
        <w:trPr>
          <w:tblCellSpacing w:w="15" w:type="dxa"/>
        </w:trPr>
        <w:tc>
          <w:tcPr>
            <w:tcW w:w="1935" w:type="dxa"/>
            <w:vAlign w:val="center"/>
            <w:hideMark/>
          </w:tcPr>
          <w:p w14:paraId="3C30A249" w14:textId="77777777" w:rsidR="00AD092E" w:rsidRPr="00AD092E" w:rsidRDefault="00AD092E" w:rsidP="00771CF9">
            <w:pPr>
              <w:widowControl w:val="0"/>
              <w:pBdr>
                <w:top w:val="nil"/>
                <w:left w:val="nil"/>
                <w:bottom w:val="nil"/>
                <w:right w:val="nil"/>
                <w:between w:val="nil"/>
              </w:pBdr>
              <w:spacing w:line="360" w:lineRule="auto"/>
              <w:rPr>
                <w:rFonts w:ascii="Arial" w:hAnsi="Arial" w:cs="Arial"/>
                <w:bCs/>
              </w:rPr>
            </w:pPr>
            <w:r w:rsidRPr="00AD092E">
              <w:rPr>
                <w:rFonts w:ascii="Arial" w:hAnsi="Arial" w:cs="Arial"/>
                <w:bCs/>
              </w:rPr>
              <w:t>Reflection &amp; Evaluation</w:t>
            </w:r>
          </w:p>
        </w:tc>
        <w:tc>
          <w:tcPr>
            <w:tcW w:w="1813" w:type="dxa"/>
            <w:vAlign w:val="center"/>
            <w:hideMark/>
          </w:tcPr>
          <w:p w14:paraId="30CE9EE4"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3.1</w:t>
            </w:r>
          </w:p>
        </w:tc>
        <w:tc>
          <w:tcPr>
            <w:tcW w:w="1812" w:type="dxa"/>
            <w:vAlign w:val="center"/>
            <w:hideMark/>
          </w:tcPr>
          <w:p w14:paraId="01B2588A"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6.8</w:t>
            </w:r>
          </w:p>
        </w:tc>
        <w:tc>
          <w:tcPr>
            <w:tcW w:w="1530" w:type="dxa"/>
            <w:vAlign w:val="center"/>
            <w:hideMark/>
          </w:tcPr>
          <w:p w14:paraId="31FB5317"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+3.7</w:t>
            </w:r>
          </w:p>
        </w:tc>
        <w:tc>
          <w:tcPr>
            <w:tcW w:w="1790" w:type="dxa"/>
            <w:vAlign w:val="center"/>
            <w:hideMark/>
          </w:tcPr>
          <w:p w14:paraId="11AF729A" w14:textId="77777777" w:rsidR="00AD092E" w:rsidRPr="00AD092E" w:rsidRDefault="00AD092E" w:rsidP="00AD092E">
            <w:pPr>
              <w:widowControl w:val="0"/>
              <w:pBdr>
                <w:top w:val="nil"/>
                <w:left w:val="nil"/>
                <w:bottom w:val="nil"/>
                <w:right w:val="nil"/>
                <w:between w:val="nil"/>
              </w:pBdr>
              <w:spacing w:line="360" w:lineRule="auto"/>
              <w:jc w:val="both"/>
              <w:rPr>
                <w:rFonts w:ascii="Arial" w:hAnsi="Arial" w:cs="Arial"/>
                <w:bCs/>
              </w:rPr>
            </w:pPr>
            <w:r w:rsidRPr="00AD092E">
              <w:rPr>
                <w:rFonts w:ascii="Arial" w:hAnsi="Arial" w:cs="Arial"/>
                <w:bCs/>
              </w:rPr>
              <w:t>+119%</w:t>
            </w:r>
          </w:p>
        </w:tc>
      </w:tr>
    </w:tbl>
    <w:p w14:paraId="1CA1FB71" w14:textId="2E137FBE" w:rsidR="00B23E4E" w:rsidRDefault="00B23E4E" w:rsidP="00B23E4E">
      <w:pPr>
        <w:widowControl w:val="0"/>
        <w:pBdr>
          <w:top w:val="nil"/>
          <w:left w:val="nil"/>
          <w:bottom w:val="nil"/>
          <w:right w:val="nil"/>
          <w:between w:val="nil"/>
        </w:pBdr>
        <w:spacing w:line="360" w:lineRule="auto"/>
        <w:jc w:val="both"/>
        <w:rPr>
          <w:rFonts w:ascii="Arial" w:hAnsi="Arial" w:cs="Arial"/>
          <w:bCs/>
        </w:rPr>
      </w:pPr>
    </w:p>
    <w:p w14:paraId="538FC0C6" w14:textId="77777777" w:rsidR="00114F83" w:rsidRPr="00114F83" w:rsidRDefault="00114F83" w:rsidP="00114F83">
      <w:pPr>
        <w:widowControl w:val="0"/>
        <w:pBdr>
          <w:top w:val="nil"/>
          <w:left w:val="nil"/>
          <w:bottom w:val="nil"/>
          <w:right w:val="nil"/>
          <w:between w:val="nil"/>
        </w:pBdr>
        <w:spacing w:line="360" w:lineRule="auto"/>
        <w:jc w:val="both"/>
        <w:rPr>
          <w:rFonts w:ascii="Arial" w:hAnsi="Arial" w:cs="Arial"/>
          <w:bCs/>
        </w:rPr>
      </w:pPr>
      <w:r w:rsidRPr="00114F83">
        <w:rPr>
          <w:rFonts w:ascii="Arial" w:hAnsi="Arial" w:cs="Arial"/>
          <w:bCs/>
        </w:rPr>
        <w:t>Key finding:</w:t>
      </w:r>
    </w:p>
    <w:p w14:paraId="4CE34B8A" w14:textId="77777777" w:rsidR="00114F83" w:rsidRPr="00114F83" w:rsidRDefault="00114F83" w:rsidP="00114F83">
      <w:pPr>
        <w:widowControl w:val="0"/>
        <w:pBdr>
          <w:top w:val="nil"/>
          <w:left w:val="nil"/>
          <w:bottom w:val="nil"/>
          <w:right w:val="nil"/>
          <w:between w:val="nil"/>
        </w:pBdr>
        <w:spacing w:line="360" w:lineRule="auto"/>
        <w:jc w:val="both"/>
        <w:rPr>
          <w:rFonts w:ascii="Arial" w:hAnsi="Arial" w:cs="Arial"/>
          <w:bCs/>
        </w:rPr>
      </w:pPr>
      <w:r w:rsidRPr="00114F83">
        <w:rPr>
          <w:rFonts w:ascii="Arial" w:hAnsi="Arial" w:cs="Arial"/>
          <w:bCs/>
        </w:rPr>
        <w:t>The most dramatic improvement occurred in Reflection &amp; Evaluation, which more than doubled (+119%), directly aligning with the intended outcome of double-loop feedback (i.e., increased metacognition, self-questioning, and reflective ability).</w:t>
      </w:r>
    </w:p>
    <w:p w14:paraId="20179CE9" w14:textId="33CEBBE2" w:rsidR="00B23E4E" w:rsidRPr="00114F83" w:rsidRDefault="00D97EAF" w:rsidP="00114F83">
      <w:pPr>
        <w:pStyle w:val="Heading2"/>
        <w:rPr>
          <w:rFonts w:ascii="Arial" w:hAnsi="Arial" w:cs="Arial"/>
          <w:sz w:val="22"/>
          <w:szCs w:val="22"/>
        </w:rPr>
      </w:pPr>
      <w:bookmarkStart w:id="39" w:name="_Toc214970275"/>
      <w:r w:rsidRPr="00114F83">
        <w:rPr>
          <w:rFonts w:ascii="Arial" w:hAnsi="Arial" w:cs="Arial"/>
          <w:sz w:val="22"/>
          <w:szCs w:val="22"/>
        </w:rPr>
        <w:t>6.1.2 Quantitative Change: Cohort-Level Improvement</w:t>
      </w:r>
      <w:bookmarkEnd w:id="39"/>
    </w:p>
    <w:p w14:paraId="2A9E1D4E" w14:textId="77777777" w:rsidR="006C099D" w:rsidRPr="006C099D" w:rsidRDefault="006C099D" w:rsidP="006C099D">
      <w:pPr>
        <w:widowControl w:val="0"/>
        <w:pBdr>
          <w:top w:val="nil"/>
          <w:left w:val="nil"/>
          <w:bottom w:val="nil"/>
          <w:right w:val="nil"/>
          <w:between w:val="nil"/>
        </w:pBdr>
        <w:spacing w:line="360" w:lineRule="auto"/>
        <w:jc w:val="both"/>
        <w:rPr>
          <w:rFonts w:ascii="Arial" w:hAnsi="Arial" w:cs="Arial"/>
          <w:bCs/>
        </w:rPr>
      </w:pPr>
      <w:r w:rsidRPr="006C099D">
        <w:rPr>
          <w:rFonts w:ascii="Arial" w:hAnsi="Arial" w:cs="Arial"/>
          <w:bCs/>
        </w:rPr>
        <w:t>From these rubric scores:</w:t>
      </w:r>
    </w:p>
    <w:p w14:paraId="0ED70E4F" w14:textId="6071442D" w:rsidR="006C099D" w:rsidRPr="006C099D" w:rsidRDefault="006C099D" w:rsidP="006C099D">
      <w:pPr>
        <w:widowControl w:val="0"/>
        <w:numPr>
          <w:ilvl w:val="0"/>
          <w:numId w:val="4"/>
        </w:numPr>
        <w:pBdr>
          <w:top w:val="nil"/>
          <w:left w:val="nil"/>
          <w:bottom w:val="nil"/>
          <w:right w:val="nil"/>
          <w:between w:val="nil"/>
        </w:pBdr>
        <w:spacing w:line="360" w:lineRule="auto"/>
        <w:jc w:val="both"/>
        <w:rPr>
          <w:rFonts w:ascii="Arial" w:hAnsi="Arial" w:cs="Arial"/>
          <w:bCs/>
        </w:rPr>
      </w:pPr>
      <w:r w:rsidRPr="006C099D">
        <w:rPr>
          <w:rFonts w:ascii="Arial" w:hAnsi="Arial" w:cs="Arial"/>
          <w:bCs/>
        </w:rPr>
        <w:t>Overall rubric score improvement</w:t>
      </w:r>
      <w:r>
        <w:rPr>
          <w:rFonts w:ascii="Arial" w:hAnsi="Arial" w:cs="Arial"/>
          <w:bCs/>
        </w:rPr>
        <w:t>:</w:t>
      </w:r>
      <w:r w:rsidRPr="006C099D">
        <w:rPr>
          <w:rFonts w:ascii="Arial" w:hAnsi="Arial" w:cs="Arial"/>
          <w:bCs/>
        </w:rPr>
        <w:t xml:space="preserve"> increased from 23.6/50 to 36.4/50</w:t>
      </w:r>
    </w:p>
    <w:p w14:paraId="6B4C9F6C" w14:textId="6CC8515D" w:rsidR="006C099D" w:rsidRPr="006C099D" w:rsidRDefault="006C099D" w:rsidP="006C099D">
      <w:pPr>
        <w:widowControl w:val="0"/>
        <w:numPr>
          <w:ilvl w:val="0"/>
          <w:numId w:val="4"/>
        </w:numPr>
        <w:pBdr>
          <w:top w:val="nil"/>
          <w:left w:val="nil"/>
          <w:bottom w:val="nil"/>
          <w:right w:val="nil"/>
          <w:between w:val="nil"/>
        </w:pBdr>
        <w:spacing w:line="360" w:lineRule="auto"/>
        <w:rPr>
          <w:rFonts w:ascii="Arial" w:hAnsi="Arial" w:cs="Arial"/>
          <w:bCs/>
        </w:rPr>
      </w:pPr>
      <w:r w:rsidRPr="006C099D">
        <w:rPr>
          <w:rFonts w:ascii="Arial" w:hAnsi="Arial" w:cs="Arial"/>
          <w:bCs/>
        </w:rPr>
        <w:t>Average total score change:</w:t>
      </w:r>
      <w:r>
        <w:rPr>
          <w:rFonts w:ascii="Arial" w:hAnsi="Arial" w:cs="Arial"/>
          <w:bCs/>
        </w:rPr>
        <w:t xml:space="preserve"> </w:t>
      </w:r>
      <w:r w:rsidRPr="006C099D">
        <w:rPr>
          <w:rFonts w:ascii="Arial" w:hAnsi="Arial" w:cs="Arial"/>
          <w:bCs/>
        </w:rPr>
        <w:t>+12.8 points (a 54% increase in assessed performance)</w:t>
      </w:r>
    </w:p>
    <w:p w14:paraId="758CF14F" w14:textId="77777777" w:rsidR="006C099D" w:rsidRPr="006C099D" w:rsidRDefault="006C099D" w:rsidP="006C099D">
      <w:pPr>
        <w:widowControl w:val="0"/>
        <w:pBdr>
          <w:top w:val="nil"/>
          <w:left w:val="nil"/>
          <w:bottom w:val="nil"/>
          <w:right w:val="nil"/>
          <w:between w:val="nil"/>
        </w:pBdr>
        <w:spacing w:line="360" w:lineRule="auto"/>
        <w:jc w:val="both"/>
        <w:rPr>
          <w:rFonts w:ascii="Arial" w:hAnsi="Arial" w:cs="Arial"/>
          <w:bCs/>
        </w:rPr>
      </w:pPr>
      <w:r w:rsidRPr="006C099D">
        <w:rPr>
          <w:rFonts w:ascii="Arial" w:hAnsi="Arial" w:cs="Arial"/>
          <w:bCs/>
        </w:rPr>
        <w:t>This exceeds typical year-on-year progression in comparable FE/HE engineering settings and supports the claim that the intervention produced meaningful, measurable academic improvement.</w:t>
      </w:r>
    </w:p>
    <w:p w14:paraId="1D0A9F60" w14:textId="0C4FC446" w:rsidR="00D97EAF" w:rsidRPr="00945919" w:rsidRDefault="00945919" w:rsidP="00945919">
      <w:pPr>
        <w:pStyle w:val="Heading2"/>
        <w:rPr>
          <w:rFonts w:ascii="Arial" w:hAnsi="Arial" w:cs="Arial"/>
          <w:sz w:val="22"/>
          <w:szCs w:val="22"/>
        </w:rPr>
      </w:pPr>
      <w:bookmarkStart w:id="40" w:name="_Toc214970276"/>
      <w:r w:rsidRPr="00945919">
        <w:rPr>
          <w:rFonts w:ascii="Arial" w:hAnsi="Arial" w:cs="Arial"/>
          <w:sz w:val="22"/>
          <w:szCs w:val="22"/>
        </w:rPr>
        <w:t>6.1.3 Triangulation of Findings (Quant</w:t>
      </w:r>
      <w:r>
        <w:rPr>
          <w:rFonts w:ascii="Arial" w:hAnsi="Arial" w:cs="Arial"/>
          <w:sz w:val="22"/>
          <w:szCs w:val="22"/>
        </w:rPr>
        <w:t>itative</w:t>
      </w:r>
      <w:r w:rsidRPr="00945919">
        <w:rPr>
          <w:rFonts w:ascii="Arial" w:hAnsi="Arial" w:cs="Arial"/>
          <w:sz w:val="22"/>
          <w:szCs w:val="22"/>
        </w:rPr>
        <w:t xml:space="preserve"> + Qual</w:t>
      </w:r>
      <w:r>
        <w:rPr>
          <w:rFonts w:ascii="Arial" w:hAnsi="Arial" w:cs="Arial"/>
          <w:sz w:val="22"/>
          <w:szCs w:val="22"/>
        </w:rPr>
        <w:t>itative</w:t>
      </w:r>
      <w:r w:rsidRPr="00945919">
        <w:rPr>
          <w:rFonts w:ascii="Arial" w:hAnsi="Arial" w:cs="Arial"/>
          <w:sz w:val="22"/>
          <w:szCs w:val="22"/>
        </w:rPr>
        <w:t xml:space="preserve"> + Observation)</w:t>
      </w:r>
      <w:bookmarkEnd w:id="40"/>
    </w:p>
    <w:p w14:paraId="21B7433E" w14:textId="07A48597" w:rsidR="00C5416B" w:rsidRPr="00C5416B" w:rsidRDefault="00C5416B" w:rsidP="00C5416B">
      <w:pPr>
        <w:pStyle w:val="Heading3"/>
        <w:rPr>
          <w:rFonts w:ascii="Arial" w:hAnsi="Arial" w:cs="Arial"/>
          <w:sz w:val="22"/>
          <w:szCs w:val="22"/>
        </w:rPr>
      </w:pPr>
      <w:bookmarkStart w:id="41" w:name="_Toc214970277"/>
      <w:r>
        <w:rPr>
          <w:rFonts w:ascii="Arial" w:hAnsi="Arial" w:cs="Arial"/>
          <w:sz w:val="22"/>
          <w:szCs w:val="22"/>
        </w:rPr>
        <w:t xml:space="preserve">6.1.3.1 </w:t>
      </w:r>
      <w:r w:rsidRPr="00C5416B">
        <w:rPr>
          <w:rFonts w:ascii="Arial" w:hAnsi="Arial" w:cs="Arial"/>
          <w:sz w:val="22"/>
          <w:szCs w:val="22"/>
        </w:rPr>
        <w:t>Quantitative Survey Data</w:t>
      </w:r>
      <w:bookmarkEnd w:id="41"/>
    </w:p>
    <w:p w14:paraId="0E9B6BC8" w14:textId="5F5CF942"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rPr>
        <w:t>The pre-</w:t>
      </w:r>
      <w:r>
        <w:rPr>
          <w:rFonts w:ascii="Arial" w:hAnsi="Arial" w:cs="Arial"/>
          <w:bCs/>
        </w:rPr>
        <w:t>intervention</w:t>
      </w:r>
      <w:r w:rsidRPr="00C5416B">
        <w:rPr>
          <w:rFonts w:ascii="Arial" w:hAnsi="Arial" w:cs="Arial"/>
          <w:bCs/>
        </w:rPr>
        <w:t xml:space="preserve"> and post-intervention surveys demonstrated major improvements in feedback perceptions:</w:t>
      </w:r>
    </w:p>
    <w:p w14:paraId="7B828B5A" w14:textId="43B4A5B5" w:rsidR="00C5416B" w:rsidRPr="00C5416B" w:rsidRDefault="00C5416B" w:rsidP="00C5416B">
      <w:pPr>
        <w:widowControl w:val="0"/>
        <w:numPr>
          <w:ilvl w:val="0"/>
          <w:numId w:val="5"/>
        </w:numPr>
        <w:pBdr>
          <w:top w:val="nil"/>
          <w:left w:val="nil"/>
          <w:bottom w:val="nil"/>
          <w:right w:val="nil"/>
          <w:between w:val="nil"/>
        </w:pBdr>
        <w:spacing w:line="360" w:lineRule="auto"/>
        <w:jc w:val="both"/>
        <w:rPr>
          <w:rFonts w:ascii="Arial" w:hAnsi="Arial" w:cs="Arial"/>
          <w:bCs/>
        </w:rPr>
      </w:pPr>
      <w:r w:rsidRPr="00C5416B">
        <w:rPr>
          <w:rFonts w:ascii="Arial" w:hAnsi="Arial" w:cs="Arial"/>
          <w:bCs/>
          <w:i/>
          <w:iCs/>
        </w:rPr>
        <w:t>Dialogue &amp; Feedforward:</w:t>
      </w:r>
      <w:r w:rsidRPr="00C5416B">
        <w:rPr>
          <w:rFonts w:ascii="Arial" w:hAnsi="Arial" w:cs="Arial"/>
          <w:bCs/>
        </w:rPr>
        <w:t xml:space="preserve"> +4 points (1 to 5)</w:t>
      </w:r>
    </w:p>
    <w:p w14:paraId="5A2908A2" w14:textId="1CCA9631" w:rsidR="00C5416B" w:rsidRPr="00C5416B" w:rsidRDefault="00C5416B" w:rsidP="00C5416B">
      <w:pPr>
        <w:widowControl w:val="0"/>
        <w:numPr>
          <w:ilvl w:val="0"/>
          <w:numId w:val="5"/>
        </w:numPr>
        <w:pBdr>
          <w:top w:val="nil"/>
          <w:left w:val="nil"/>
          <w:bottom w:val="nil"/>
          <w:right w:val="nil"/>
          <w:between w:val="nil"/>
        </w:pBdr>
        <w:spacing w:line="360" w:lineRule="auto"/>
        <w:jc w:val="both"/>
        <w:rPr>
          <w:rFonts w:ascii="Arial" w:hAnsi="Arial" w:cs="Arial"/>
          <w:bCs/>
        </w:rPr>
      </w:pPr>
      <w:r w:rsidRPr="00C5416B">
        <w:rPr>
          <w:rFonts w:ascii="Arial" w:hAnsi="Arial" w:cs="Arial"/>
          <w:bCs/>
          <w:i/>
          <w:iCs/>
        </w:rPr>
        <w:t>Developmental Focus:</w:t>
      </w:r>
      <w:r w:rsidRPr="00C5416B">
        <w:rPr>
          <w:rFonts w:ascii="Arial" w:hAnsi="Arial" w:cs="Arial"/>
          <w:bCs/>
        </w:rPr>
        <w:t xml:space="preserve"> +3 points (2 to 5)</w:t>
      </w:r>
    </w:p>
    <w:p w14:paraId="733D2250" w14:textId="23724C06" w:rsidR="00C5416B" w:rsidRPr="00C5416B" w:rsidRDefault="00C5416B" w:rsidP="00C5416B">
      <w:pPr>
        <w:widowControl w:val="0"/>
        <w:numPr>
          <w:ilvl w:val="0"/>
          <w:numId w:val="5"/>
        </w:numPr>
        <w:pBdr>
          <w:top w:val="nil"/>
          <w:left w:val="nil"/>
          <w:bottom w:val="nil"/>
          <w:right w:val="nil"/>
          <w:between w:val="nil"/>
        </w:pBdr>
        <w:spacing w:line="360" w:lineRule="auto"/>
        <w:jc w:val="both"/>
        <w:rPr>
          <w:rFonts w:ascii="Arial" w:hAnsi="Arial" w:cs="Arial"/>
          <w:bCs/>
        </w:rPr>
      </w:pPr>
      <w:r w:rsidRPr="00C5416B">
        <w:rPr>
          <w:rFonts w:ascii="Arial" w:hAnsi="Arial" w:cs="Arial"/>
          <w:bCs/>
          <w:i/>
          <w:iCs/>
        </w:rPr>
        <w:lastRenderedPageBreak/>
        <w:t>Usefulness for Improvement:</w:t>
      </w:r>
      <w:r w:rsidRPr="00C5416B">
        <w:rPr>
          <w:rFonts w:ascii="Arial" w:hAnsi="Arial" w:cs="Arial"/>
          <w:bCs/>
        </w:rPr>
        <w:t xml:space="preserve"> +3 points (2 to 5)</w:t>
      </w:r>
    </w:p>
    <w:p w14:paraId="0B5A53BF"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rPr>
        <w:t>These shifts correspond strongly with the rubric improvements in Reflection, Critical Analysis, and Structure.</w:t>
      </w:r>
    </w:p>
    <w:p w14:paraId="22FED468" w14:textId="6885E361" w:rsidR="00C5416B" w:rsidRPr="00C5416B" w:rsidRDefault="00C5416B" w:rsidP="00C5416B">
      <w:pPr>
        <w:pStyle w:val="Heading3"/>
        <w:rPr>
          <w:rFonts w:ascii="Arial" w:hAnsi="Arial" w:cs="Arial"/>
          <w:sz w:val="22"/>
          <w:szCs w:val="22"/>
        </w:rPr>
      </w:pPr>
      <w:bookmarkStart w:id="42" w:name="_Toc214970278"/>
      <w:r w:rsidRPr="00C5416B">
        <w:rPr>
          <w:rFonts w:ascii="Arial" w:hAnsi="Arial" w:cs="Arial"/>
          <w:sz w:val="22"/>
          <w:szCs w:val="22"/>
        </w:rPr>
        <w:t>6.1.3.2 Rubric Performance Data</w:t>
      </w:r>
      <w:bookmarkEnd w:id="42"/>
    </w:p>
    <w:p w14:paraId="25275666"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rPr>
        <w:t>Students showed:</w:t>
      </w:r>
    </w:p>
    <w:p w14:paraId="712A5EDE" w14:textId="77777777" w:rsidR="00C5416B" w:rsidRPr="00C5416B" w:rsidRDefault="00C5416B" w:rsidP="00C5416B">
      <w:pPr>
        <w:widowControl w:val="0"/>
        <w:numPr>
          <w:ilvl w:val="0"/>
          <w:numId w:val="6"/>
        </w:numPr>
        <w:pBdr>
          <w:top w:val="nil"/>
          <w:left w:val="nil"/>
          <w:bottom w:val="nil"/>
          <w:right w:val="nil"/>
          <w:between w:val="nil"/>
        </w:pBdr>
        <w:spacing w:line="360" w:lineRule="auto"/>
        <w:jc w:val="both"/>
        <w:rPr>
          <w:rFonts w:ascii="Arial" w:hAnsi="Arial" w:cs="Arial"/>
          <w:bCs/>
        </w:rPr>
      </w:pPr>
      <w:r w:rsidRPr="00C5416B">
        <w:rPr>
          <w:rFonts w:ascii="Arial" w:hAnsi="Arial" w:cs="Arial"/>
          <w:bCs/>
        </w:rPr>
        <w:t>More accurate use of engineering terminology</w:t>
      </w:r>
    </w:p>
    <w:p w14:paraId="0186665C" w14:textId="77777777" w:rsidR="00C5416B" w:rsidRPr="00C5416B" w:rsidRDefault="00C5416B" w:rsidP="00C5416B">
      <w:pPr>
        <w:widowControl w:val="0"/>
        <w:numPr>
          <w:ilvl w:val="0"/>
          <w:numId w:val="6"/>
        </w:numPr>
        <w:pBdr>
          <w:top w:val="nil"/>
          <w:left w:val="nil"/>
          <w:bottom w:val="nil"/>
          <w:right w:val="nil"/>
          <w:between w:val="nil"/>
        </w:pBdr>
        <w:spacing w:line="360" w:lineRule="auto"/>
        <w:jc w:val="both"/>
        <w:rPr>
          <w:rFonts w:ascii="Arial" w:hAnsi="Arial" w:cs="Arial"/>
          <w:bCs/>
        </w:rPr>
      </w:pPr>
      <w:r w:rsidRPr="00C5416B">
        <w:rPr>
          <w:rFonts w:ascii="Arial" w:hAnsi="Arial" w:cs="Arial"/>
          <w:bCs/>
        </w:rPr>
        <w:t>Stronger justification of design choices</w:t>
      </w:r>
    </w:p>
    <w:p w14:paraId="1C1186B4" w14:textId="77777777" w:rsidR="00C5416B" w:rsidRPr="00C5416B" w:rsidRDefault="00C5416B" w:rsidP="00C5416B">
      <w:pPr>
        <w:widowControl w:val="0"/>
        <w:numPr>
          <w:ilvl w:val="0"/>
          <w:numId w:val="6"/>
        </w:numPr>
        <w:pBdr>
          <w:top w:val="nil"/>
          <w:left w:val="nil"/>
          <w:bottom w:val="nil"/>
          <w:right w:val="nil"/>
          <w:between w:val="nil"/>
        </w:pBdr>
        <w:spacing w:line="360" w:lineRule="auto"/>
        <w:jc w:val="both"/>
        <w:rPr>
          <w:rFonts w:ascii="Arial" w:hAnsi="Arial" w:cs="Arial"/>
          <w:bCs/>
        </w:rPr>
      </w:pPr>
      <w:r w:rsidRPr="00C5416B">
        <w:rPr>
          <w:rFonts w:ascii="Arial" w:hAnsi="Arial" w:cs="Arial"/>
          <w:bCs/>
        </w:rPr>
        <w:t>Clearer articulation of reasoning</w:t>
      </w:r>
    </w:p>
    <w:p w14:paraId="67697278" w14:textId="77777777" w:rsidR="00C5416B" w:rsidRPr="00C5416B" w:rsidRDefault="00C5416B" w:rsidP="00C5416B">
      <w:pPr>
        <w:widowControl w:val="0"/>
        <w:numPr>
          <w:ilvl w:val="0"/>
          <w:numId w:val="6"/>
        </w:numPr>
        <w:pBdr>
          <w:top w:val="nil"/>
          <w:left w:val="nil"/>
          <w:bottom w:val="nil"/>
          <w:right w:val="nil"/>
          <w:between w:val="nil"/>
        </w:pBdr>
        <w:spacing w:line="360" w:lineRule="auto"/>
        <w:jc w:val="both"/>
        <w:rPr>
          <w:rFonts w:ascii="Arial" w:hAnsi="Arial" w:cs="Arial"/>
          <w:bCs/>
        </w:rPr>
      </w:pPr>
      <w:r w:rsidRPr="00C5416B">
        <w:rPr>
          <w:rFonts w:ascii="Arial" w:hAnsi="Arial" w:cs="Arial"/>
          <w:bCs/>
        </w:rPr>
        <w:t>Greater ability to evaluate alternatives</w:t>
      </w:r>
    </w:p>
    <w:p w14:paraId="53594B15" w14:textId="77777777" w:rsidR="00C5416B" w:rsidRPr="00C5416B" w:rsidRDefault="00C5416B" w:rsidP="00C5416B">
      <w:pPr>
        <w:widowControl w:val="0"/>
        <w:numPr>
          <w:ilvl w:val="0"/>
          <w:numId w:val="6"/>
        </w:numPr>
        <w:pBdr>
          <w:top w:val="nil"/>
          <w:left w:val="nil"/>
          <w:bottom w:val="nil"/>
          <w:right w:val="nil"/>
          <w:between w:val="nil"/>
        </w:pBdr>
        <w:spacing w:line="360" w:lineRule="auto"/>
        <w:jc w:val="both"/>
        <w:rPr>
          <w:rFonts w:ascii="Arial" w:hAnsi="Arial" w:cs="Arial"/>
          <w:bCs/>
        </w:rPr>
      </w:pPr>
      <w:r w:rsidRPr="00C5416B">
        <w:rPr>
          <w:rFonts w:ascii="Arial" w:hAnsi="Arial" w:cs="Arial"/>
          <w:bCs/>
        </w:rPr>
        <w:t>Fewer repeated errors</w:t>
      </w:r>
    </w:p>
    <w:p w14:paraId="23A252ED"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rPr>
        <w:t>These markers are characteristic of metacognitive growth and applied critical thinking, both central in double-loop learning models.</w:t>
      </w:r>
    </w:p>
    <w:p w14:paraId="24F51D3F" w14:textId="74CCEB47" w:rsidR="00C5416B" w:rsidRPr="00C5416B" w:rsidRDefault="00C5416B" w:rsidP="00C5416B">
      <w:pPr>
        <w:pStyle w:val="Heading3"/>
        <w:rPr>
          <w:rFonts w:ascii="Arial" w:hAnsi="Arial" w:cs="Arial"/>
          <w:sz w:val="22"/>
          <w:szCs w:val="22"/>
        </w:rPr>
      </w:pPr>
      <w:bookmarkStart w:id="43" w:name="_Toc214970279"/>
      <w:r w:rsidRPr="00C5416B">
        <w:rPr>
          <w:rFonts w:ascii="Arial" w:hAnsi="Arial" w:cs="Arial"/>
          <w:sz w:val="22"/>
          <w:szCs w:val="22"/>
        </w:rPr>
        <w:t>6.1.3.3 Qualitative Interview Evidence</w:t>
      </w:r>
      <w:bookmarkEnd w:id="43"/>
    </w:p>
    <w:p w14:paraId="6A6FBB4C"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rPr>
        <w:t>Student quotes demonstrating performance-related changes include:</w:t>
      </w:r>
    </w:p>
    <w:p w14:paraId="5B714267" w14:textId="4DD826B3"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i/>
          <w:iCs/>
        </w:rPr>
        <w:t>“After using the feedback cycle, I wasn’t just correcting things</w:t>
      </w:r>
      <w:r>
        <w:rPr>
          <w:rFonts w:ascii="Arial" w:hAnsi="Arial" w:cs="Arial"/>
          <w:bCs/>
          <w:i/>
          <w:iCs/>
        </w:rPr>
        <w:t xml:space="preserve">, </w:t>
      </w:r>
      <w:r w:rsidRPr="00C5416B">
        <w:rPr>
          <w:rFonts w:ascii="Arial" w:hAnsi="Arial" w:cs="Arial"/>
          <w:bCs/>
          <w:i/>
          <w:iCs/>
        </w:rPr>
        <w:t>I understood why they needed changing.”</w:t>
      </w:r>
    </w:p>
    <w:p w14:paraId="230D438F"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i/>
          <w:iCs/>
        </w:rPr>
        <w:t>“I improved because I could see the link between the feedback and the next task. It made me plan ahead.”</w:t>
      </w:r>
    </w:p>
    <w:p w14:paraId="4EE58C21"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rPr>
        <w:t>The peer lecturer added:</w:t>
      </w:r>
    </w:p>
    <w:p w14:paraId="573DBD41"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i/>
          <w:iCs/>
        </w:rPr>
        <w:t>“The quality of resubmissions improved noticeably. Students took ownership and arrived with more specific questions.”</w:t>
      </w:r>
    </w:p>
    <w:p w14:paraId="76925CB2"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rPr>
        <w:t>This reflects the behavioural indicators of improved academic performance: initiative, self-regulation, and evidence-based revision.</w:t>
      </w:r>
    </w:p>
    <w:p w14:paraId="0151F9B6" w14:textId="54C80FB2" w:rsidR="00B23E4E" w:rsidRPr="00C5416B" w:rsidRDefault="00C5416B" w:rsidP="00C5416B">
      <w:pPr>
        <w:pStyle w:val="Heading2"/>
        <w:rPr>
          <w:rFonts w:ascii="Arial" w:hAnsi="Arial" w:cs="Arial"/>
          <w:sz w:val="22"/>
          <w:szCs w:val="22"/>
        </w:rPr>
      </w:pPr>
      <w:bookmarkStart w:id="44" w:name="_Toc214970280"/>
      <w:r w:rsidRPr="00C5416B">
        <w:rPr>
          <w:rFonts w:ascii="Arial" w:hAnsi="Arial" w:cs="Arial"/>
          <w:sz w:val="22"/>
          <w:szCs w:val="22"/>
        </w:rPr>
        <w:t>6.1.4 Integrated Triangulation Summary</w:t>
      </w:r>
      <w:bookmarkEnd w:id="4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03"/>
        <w:gridCol w:w="4316"/>
        <w:gridCol w:w="2641"/>
      </w:tblGrid>
      <w:tr w:rsidR="00C5416B" w:rsidRPr="00C5416B" w14:paraId="228D5646" w14:textId="77777777" w:rsidTr="00C5416B">
        <w:trPr>
          <w:tblHeader/>
          <w:tblCellSpacing w:w="15" w:type="dxa"/>
        </w:trPr>
        <w:tc>
          <w:tcPr>
            <w:tcW w:w="0" w:type="auto"/>
            <w:vAlign w:val="center"/>
            <w:hideMark/>
          </w:tcPr>
          <w:p w14:paraId="1D906BE6"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rPr>
              <w:t>Evidence Source</w:t>
            </w:r>
          </w:p>
        </w:tc>
        <w:tc>
          <w:tcPr>
            <w:tcW w:w="0" w:type="auto"/>
            <w:vAlign w:val="center"/>
            <w:hideMark/>
          </w:tcPr>
          <w:p w14:paraId="48881857"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rPr>
              <w:t>Indicator of Improvement</w:t>
            </w:r>
          </w:p>
        </w:tc>
        <w:tc>
          <w:tcPr>
            <w:tcW w:w="0" w:type="auto"/>
            <w:vAlign w:val="center"/>
            <w:hideMark/>
          </w:tcPr>
          <w:p w14:paraId="281AADE1"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rPr>
              <w:t>Result</w:t>
            </w:r>
          </w:p>
        </w:tc>
      </w:tr>
      <w:tr w:rsidR="00C5416B" w:rsidRPr="00C5416B" w14:paraId="33E5E087" w14:textId="77777777" w:rsidTr="00C5416B">
        <w:trPr>
          <w:tblCellSpacing w:w="15" w:type="dxa"/>
        </w:trPr>
        <w:tc>
          <w:tcPr>
            <w:tcW w:w="0" w:type="auto"/>
            <w:vAlign w:val="center"/>
            <w:hideMark/>
          </w:tcPr>
          <w:p w14:paraId="2333847D" w14:textId="77777777" w:rsidR="00C5416B" w:rsidRPr="00C5416B" w:rsidRDefault="00C5416B" w:rsidP="00C5416B">
            <w:pPr>
              <w:widowControl w:val="0"/>
              <w:pBdr>
                <w:top w:val="nil"/>
                <w:left w:val="nil"/>
                <w:bottom w:val="nil"/>
                <w:right w:val="nil"/>
                <w:between w:val="nil"/>
              </w:pBdr>
              <w:spacing w:line="360" w:lineRule="auto"/>
              <w:rPr>
                <w:rFonts w:ascii="Arial" w:hAnsi="Arial" w:cs="Arial"/>
                <w:bCs/>
              </w:rPr>
            </w:pPr>
            <w:r w:rsidRPr="00C5416B">
              <w:rPr>
                <w:rFonts w:ascii="Arial" w:hAnsi="Arial" w:cs="Arial"/>
                <w:bCs/>
              </w:rPr>
              <w:t>Survey Data</w:t>
            </w:r>
          </w:p>
        </w:tc>
        <w:tc>
          <w:tcPr>
            <w:tcW w:w="0" w:type="auto"/>
            <w:vAlign w:val="center"/>
            <w:hideMark/>
          </w:tcPr>
          <w:p w14:paraId="0A6E66B6" w14:textId="77777777" w:rsidR="00C5416B" w:rsidRPr="00C5416B" w:rsidRDefault="00C5416B" w:rsidP="00C5416B">
            <w:pPr>
              <w:widowControl w:val="0"/>
              <w:pBdr>
                <w:top w:val="nil"/>
                <w:left w:val="nil"/>
                <w:bottom w:val="nil"/>
                <w:right w:val="nil"/>
                <w:between w:val="nil"/>
              </w:pBdr>
              <w:spacing w:line="360" w:lineRule="auto"/>
              <w:rPr>
                <w:rFonts w:ascii="Arial" w:hAnsi="Arial" w:cs="Arial"/>
                <w:bCs/>
              </w:rPr>
            </w:pPr>
            <w:r w:rsidRPr="00C5416B">
              <w:rPr>
                <w:rFonts w:ascii="Arial" w:hAnsi="Arial" w:cs="Arial"/>
                <w:bCs/>
              </w:rPr>
              <w:t>Feedback clarity, depth, usefulness</w:t>
            </w:r>
          </w:p>
        </w:tc>
        <w:tc>
          <w:tcPr>
            <w:tcW w:w="0" w:type="auto"/>
            <w:vAlign w:val="center"/>
            <w:hideMark/>
          </w:tcPr>
          <w:p w14:paraId="4867098A" w14:textId="15B146BA" w:rsidR="00C5416B" w:rsidRPr="00C5416B" w:rsidRDefault="00C5416B" w:rsidP="00C5416B">
            <w:pPr>
              <w:widowControl w:val="0"/>
              <w:pBdr>
                <w:top w:val="nil"/>
                <w:left w:val="nil"/>
                <w:bottom w:val="nil"/>
                <w:right w:val="nil"/>
                <w:between w:val="nil"/>
              </w:pBdr>
              <w:spacing w:line="360" w:lineRule="auto"/>
              <w:rPr>
                <w:rFonts w:ascii="Arial" w:hAnsi="Arial" w:cs="Arial"/>
                <w:bCs/>
              </w:rPr>
            </w:pPr>
            <w:r>
              <w:rPr>
                <w:rFonts w:ascii="Arial" w:hAnsi="Arial" w:cs="Arial"/>
                <w:bCs/>
              </w:rPr>
              <w:t xml:space="preserve">2 to </w:t>
            </w:r>
            <w:r w:rsidRPr="00C5416B">
              <w:rPr>
                <w:rFonts w:ascii="Arial" w:hAnsi="Arial" w:cs="Arial"/>
                <w:bCs/>
              </w:rPr>
              <w:t>4 point increases</w:t>
            </w:r>
          </w:p>
        </w:tc>
      </w:tr>
      <w:tr w:rsidR="00C5416B" w:rsidRPr="00C5416B" w14:paraId="2A04685E" w14:textId="77777777" w:rsidTr="00C5416B">
        <w:trPr>
          <w:tblCellSpacing w:w="15" w:type="dxa"/>
        </w:trPr>
        <w:tc>
          <w:tcPr>
            <w:tcW w:w="0" w:type="auto"/>
            <w:vAlign w:val="center"/>
            <w:hideMark/>
          </w:tcPr>
          <w:p w14:paraId="14E37C61" w14:textId="77777777" w:rsidR="00C5416B" w:rsidRPr="00C5416B" w:rsidRDefault="00C5416B" w:rsidP="00C5416B">
            <w:pPr>
              <w:widowControl w:val="0"/>
              <w:pBdr>
                <w:top w:val="nil"/>
                <w:left w:val="nil"/>
                <w:bottom w:val="nil"/>
                <w:right w:val="nil"/>
                <w:between w:val="nil"/>
              </w:pBdr>
              <w:spacing w:line="360" w:lineRule="auto"/>
              <w:rPr>
                <w:rFonts w:ascii="Arial" w:hAnsi="Arial" w:cs="Arial"/>
                <w:bCs/>
              </w:rPr>
            </w:pPr>
            <w:r w:rsidRPr="00C5416B">
              <w:rPr>
                <w:rFonts w:ascii="Arial" w:hAnsi="Arial" w:cs="Arial"/>
                <w:bCs/>
              </w:rPr>
              <w:t>Rubric Scores</w:t>
            </w:r>
          </w:p>
        </w:tc>
        <w:tc>
          <w:tcPr>
            <w:tcW w:w="0" w:type="auto"/>
            <w:vAlign w:val="center"/>
            <w:hideMark/>
          </w:tcPr>
          <w:p w14:paraId="762746D6" w14:textId="77777777" w:rsidR="00C5416B" w:rsidRPr="00C5416B" w:rsidRDefault="00C5416B" w:rsidP="00C5416B">
            <w:pPr>
              <w:widowControl w:val="0"/>
              <w:pBdr>
                <w:top w:val="nil"/>
                <w:left w:val="nil"/>
                <w:bottom w:val="nil"/>
                <w:right w:val="nil"/>
                <w:between w:val="nil"/>
              </w:pBdr>
              <w:spacing w:line="360" w:lineRule="auto"/>
              <w:rPr>
                <w:rFonts w:ascii="Arial" w:hAnsi="Arial" w:cs="Arial"/>
                <w:bCs/>
              </w:rPr>
            </w:pPr>
            <w:r w:rsidRPr="00C5416B">
              <w:rPr>
                <w:rFonts w:ascii="Arial" w:hAnsi="Arial" w:cs="Arial"/>
                <w:bCs/>
              </w:rPr>
              <w:t>Academic performance</w:t>
            </w:r>
          </w:p>
        </w:tc>
        <w:tc>
          <w:tcPr>
            <w:tcW w:w="0" w:type="auto"/>
            <w:vAlign w:val="center"/>
            <w:hideMark/>
          </w:tcPr>
          <w:p w14:paraId="5BD58962" w14:textId="77777777" w:rsidR="00C5416B" w:rsidRPr="00C5416B" w:rsidRDefault="00C5416B" w:rsidP="00C5416B">
            <w:pPr>
              <w:widowControl w:val="0"/>
              <w:pBdr>
                <w:top w:val="nil"/>
                <w:left w:val="nil"/>
                <w:bottom w:val="nil"/>
                <w:right w:val="nil"/>
                <w:between w:val="nil"/>
              </w:pBdr>
              <w:spacing w:line="360" w:lineRule="auto"/>
              <w:rPr>
                <w:rFonts w:ascii="Arial" w:hAnsi="Arial" w:cs="Arial"/>
                <w:bCs/>
              </w:rPr>
            </w:pPr>
            <w:r w:rsidRPr="00C5416B">
              <w:rPr>
                <w:rFonts w:ascii="Arial" w:hAnsi="Arial" w:cs="Arial"/>
                <w:bCs/>
              </w:rPr>
              <w:t>+54% overall score increase</w:t>
            </w:r>
          </w:p>
        </w:tc>
      </w:tr>
      <w:tr w:rsidR="00C5416B" w:rsidRPr="00C5416B" w14:paraId="3D6AE5A0" w14:textId="77777777" w:rsidTr="00C5416B">
        <w:trPr>
          <w:tblCellSpacing w:w="15" w:type="dxa"/>
        </w:trPr>
        <w:tc>
          <w:tcPr>
            <w:tcW w:w="0" w:type="auto"/>
            <w:vAlign w:val="center"/>
            <w:hideMark/>
          </w:tcPr>
          <w:p w14:paraId="0624A9FB" w14:textId="77777777" w:rsidR="00C5416B" w:rsidRPr="00C5416B" w:rsidRDefault="00C5416B" w:rsidP="00C5416B">
            <w:pPr>
              <w:widowControl w:val="0"/>
              <w:pBdr>
                <w:top w:val="nil"/>
                <w:left w:val="nil"/>
                <w:bottom w:val="nil"/>
                <w:right w:val="nil"/>
                <w:between w:val="nil"/>
              </w:pBdr>
              <w:spacing w:line="360" w:lineRule="auto"/>
              <w:rPr>
                <w:rFonts w:ascii="Arial" w:hAnsi="Arial" w:cs="Arial"/>
                <w:bCs/>
              </w:rPr>
            </w:pPr>
            <w:r w:rsidRPr="00C5416B">
              <w:rPr>
                <w:rFonts w:ascii="Arial" w:hAnsi="Arial" w:cs="Arial"/>
                <w:bCs/>
              </w:rPr>
              <w:t>Interview Data</w:t>
            </w:r>
          </w:p>
        </w:tc>
        <w:tc>
          <w:tcPr>
            <w:tcW w:w="0" w:type="auto"/>
            <w:vAlign w:val="center"/>
            <w:hideMark/>
          </w:tcPr>
          <w:p w14:paraId="4799AEC4" w14:textId="77777777" w:rsidR="00C5416B" w:rsidRPr="00C5416B" w:rsidRDefault="00C5416B" w:rsidP="00C5416B">
            <w:pPr>
              <w:widowControl w:val="0"/>
              <w:pBdr>
                <w:top w:val="nil"/>
                <w:left w:val="nil"/>
                <w:bottom w:val="nil"/>
                <w:right w:val="nil"/>
                <w:between w:val="nil"/>
              </w:pBdr>
              <w:spacing w:line="360" w:lineRule="auto"/>
              <w:rPr>
                <w:rFonts w:ascii="Arial" w:hAnsi="Arial" w:cs="Arial"/>
                <w:bCs/>
              </w:rPr>
            </w:pPr>
            <w:r w:rsidRPr="00C5416B">
              <w:rPr>
                <w:rFonts w:ascii="Arial" w:hAnsi="Arial" w:cs="Arial"/>
                <w:bCs/>
              </w:rPr>
              <w:t>Reflective capability, ownership, self-questioning</w:t>
            </w:r>
          </w:p>
        </w:tc>
        <w:tc>
          <w:tcPr>
            <w:tcW w:w="0" w:type="auto"/>
            <w:vAlign w:val="center"/>
            <w:hideMark/>
          </w:tcPr>
          <w:p w14:paraId="6DD271F6" w14:textId="77777777" w:rsidR="00C5416B" w:rsidRPr="00C5416B" w:rsidRDefault="00C5416B" w:rsidP="00C5416B">
            <w:pPr>
              <w:widowControl w:val="0"/>
              <w:pBdr>
                <w:top w:val="nil"/>
                <w:left w:val="nil"/>
                <w:bottom w:val="nil"/>
                <w:right w:val="nil"/>
                <w:between w:val="nil"/>
              </w:pBdr>
              <w:spacing w:line="360" w:lineRule="auto"/>
              <w:rPr>
                <w:rFonts w:ascii="Arial" w:hAnsi="Arial" w:cs="Arial"/>
                <w:bCs/>
              </w:rPr>
            </w:pPr>
            <w:r w:rsidRPr="00C5416B">
              <w:rPr>
                <w:rFonts w:ascii="Arial" w:hAnsi="Arial" w:cs="Arial"/>
                <w:bCs/>
              </w:rPr>
              <w:t>Strongly positive narratives</w:t>
            </w:r>
          </w:p>
        </w:tc>
      </w:tr>
      <w:tr w:rsidR="00C5416B" w:rsidRPr="00C5416B" w14:paraId="621357D1" w14:textId="77777777" w:rsidTr="00C5416B">
        <w:trPr>
          <w:tblCellSpacing w:w="15" w:type="dxa"/>
        </w:trPr>
        <w:tc>
          <w:tcPr>
            <w:tcW w:w="0" w:type="auto"/>
            <w:vAlign w:val="center"/>
            <w:hideMark/>
          </w:tcPr>
          <w:p w14:paraId="48F7FD52" w14:textId="77777777" w:rsidR="00C5416B" w:rsidRPr="00C5416B" w:rsidRDefault="00C5416B" w:rsidP="00C5416B">
            <w:pPr>
              <w:widowControl w:val="0"/>
              <w:pBdr>
                <w:top w:val="nil"/>
                <w:left w:val="nil"/>
                <w:bottom w:val="nil"/>
                <w:right w:val="nil"/>
                <w:between w:val="nil"/>
              </w:pBdr>
              <w:spacing w:line="360" w:lineRule="auto"/>
              <w:rPr>
                <w:rFonts w:ascii="Arial" w:hAnsi="Arial" w:cs="Arial"/>
                <w:bCs/>
              </w:rPr>
            </w:pPr>
            <w:r w:rsidRPr="00C5416B">
              <w:rPr>
                <w:rFonts w:ascii="Arial" w:hAnsi="Arial" w:cs="Arial"/>
                <w:bCs/>
              </w:rPr>
              <w:lastRenderedPageBreak/>
              <w:t>Teaching Observation</w:t>
            </w:r>
          </w:p>
        </w:tc>
        <w:tc>
          <w:tcPr>
            <w:tcW w:w="0" w:type="auto"/>
            <w:vAlign w:val="center"/>
            <w:hideMark/>
          </w:tcPr>
          <w:p w14:paraId="6CBE1697" w14:textId="77777777" w:rsidR="00C5416B" w:rsidRPr="00C5416B" w:rsidRDefault="00C5416B" w:rsidP="00C5416B">
            <w:pPr>
              <w:widowControl w:val="0"/>
              <w:pBdr>
                <w:top w:val="nil"/>
                <w:left w:val="nil"/>
                <w:bottom w:val="nil"/>
                <w:right w:val="nil"/>
                <w:between w:val="nil"/>
              </w:pBdr>
              <w:spacing w:line="360" w:lineRule="auto"/>
              <w:rPr>
                <w:rFonts w:ascii="Arial" w:hAnsi="Arial" w:cs="Arial"/>
                <w:bCs/>
              </w:rPr>
            </w:pPr>
            <w:r w:rsidRPr="00C5416B">
              <w:rPr>
                <w:rFonts w:ascii="Arial" w:hAnsi="Arial" w:cs="Arial"/>
                <w:bCs/>
              </w:rPr>
              <w:t>Engagement &amp; quality of resubmissions</w:t>
            </w:r>
          </w:p>
        </w:tc>
        <w:tc>
          <w:tcPr>
            <w:tcW w:w="0" w:type="auto"/>
            <w:vAlign w:val="center"/>
            <w:hideMark/>
          </w:tcPr>
          <w:p w14:paraId="53759CF5"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rPr>
              <w:t>Noticeable improvement</w:t>
            </w:r>
          </w:p>
        </w:tc>
      </w:tr>
    </w:tbl>
    <w:p w14:paraId="1A0F1514" w14:textId="247A46B5" w:rsidR="00C5416B" w:rsidRDefault="00C5416B" w:rsidP="00E75E2D">
      <w:pPr>
        <w:widowControl w:val="0"/>
        <w:pBdr>
          <w:top w:val="nil"/>
          <w:left w:val="nil"/>
          <w:bottom w:val="nil"/>
          <w:right w:val="nil"/>
          <w:between w:val="nil"/>
        </w:pBdr>
        <w:spacing w:line="360" w:lineRule="auto"/>
        <w:jc w:val="both"/>
        <w:rPr>
          <w:rFonts w:ascii="Arial" w:hAnsi="Arial" w:cs="Arial"/>
          <w:bCs/>
        </w:rPr>
      </w:pPr>
    </w:p>
    <w:p w14:paraId="49403986" w14:textId="77777777" w:rsidR="00C5416B" w:rsidRPr="00C5416B" w:rsidRDefault="00C5416B" w:rsidP="00C5416B">
      <w:pPr>
        <w:widowControl w:val="0"/>
        <w:pBdr>
          <w:top w:val="nil"/>
          <w:left w:val="nil"/>
          <w:bottom w:val="nil"/>
          <w:right w:val="nil"/>
          <w:between w:val="nil"/>
        </w:pBdr>
        <w:spacing w:line="360" w:lineRule="auto"/>
        <w:jc w:val="both"/>
        <w:rPr>
          <w:rFonts w:ascii="Arial" w:hAnsi="Arial" w:cs="Arial"/>
          <w:bCs/>
        </w:rPr>
      </w:pPr>
      <w:r w:rsidRPr="00C5416B">
        <w:rPr>
          <w:rFonts w:ascii="Arial" w:hAnsi="Arial" w:cs="Arial"/>
          <w:bCs/>
        </w:rPr>
        <w:t>The convergence of survey results, rubric performance, and interview narratives provides strong empirical support that double-loop feedback significantly improved academic performance, particularly through the development of transferable skills, critical thinking, and reflective practice.</w:t>
      </w:r>
    </w:p>
    <w:p w14:paraId="7178D29B" w14:textId="4B0D6DD3" w:rsidR="00BE71E6" w:rsidRPr="00D02836" w:rsidRDefault="00404D1C" w:rsidP="00D02836">
      <w:pPr>
        <w:pStyle w:val="Heading2"/>
        <w:rPr>
          <w:rFonts w:ascii="Arial" w:hAnsi="Arial" w:cs="Arial"/>
          <w:sz w:val="22"/>
          <w:szCs w:val="22"/>
        </w:rPr>
      </w:pPr>
      <w:bookmarkStart w:id="45" w:name="_Toc214970281"/>
      <w:r>
        <w:rPr>
          <w:rFonts w:ascii="Arial" w:hAnsi="Arial" w:cs="Arial"/>
          <w:sz w:val="22"/>
          <w:szCs w:val="22"/>
        </w:rPr>
        <w:t>6</w:t>
      </w:r>
      <w:r w:rsidR="00BE71E6" w:rsidRPr="00D02836">
        <w:rPr>
          <w:rFonts w:ascii="Arial" w:hAnsi="Arial" w:cs="Arial"/>
          <w:sz w:val="22"/>
          <w:szCs w:val="22"/>
        </w:rPr>
        <w:t>.</w:t>
      </w:r>
      <w:r w:rsidR="00945919">
        <w:rPr>
          <w:rFonts w:ascii="Arial" w:hAnsi="Arial" w:cs="Arial"/>
          <w:sz w:val="22"/>
          <w:szCs w:val="22"/>
        </w:rPr>
        <w:t>2</w:t>
      </w:r>
      <w:r w:rsidR="00BE71E6" w:rsidRPr="00D02836">
        <w:rPr>
          <w:rFonts w:ascii="Arial" w:hAnsi="Arial" w:cs="Arial"/>
          <w:sz w:val="22"/>
          <w:szCs w:val="22"/>
        </w:rPr>
        <w:t xml:space="preserve"> Skill Development Outcomes</w:t>
      </w:r>
      <w:bookmarkEnd w:id="45"/>
    </w:p>
    <w:p w14:paraId="6B24E115" w14:textId="77777777" w:rsidR="00C5416B" w:rsidRPr="00D02836" w:rsidRDefault="00C5416B" w:rsidP="00C5416B">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This section examines how these feedback systems support both academic and professional growth.</w:t>
      </w:r>
    </w:p>
    <w:p w14:paraId="43346E42" w14:textId="77777777" w:rsidR="00BE71E6" w:rsidRPr="00D0283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Double-loop feedback develops transferable skills like problem-solving, teamwork, and communication by integrating reflection into learning tasks (Brockbank &amp; McGill, 1998; Melville, 2014). When learners are asked to revise their assumptions and learning strategies, they become more adaptable and self-aware</w:t>
      </w:r>
      <w:r w:rsidR="004B0F27">
        <w:rPr>
          <w:rFonts w:ascii="Arial" w:hAnsi="Arial" w:cs="Arial"/>
        </w:rPr>
        <w:t xml:space="preserve">, </w:t>
      </w:r>
      <w:r w:rsidRPr="00D02836">
        <w:rPr>
          <w:rFonts w:ascii="Arial" w:hAnsi="Arial" w:cs="Arial"/>
        </w:rPr>
        <w:t>skills vital for both academic and vocational success. However, the success of these strategies relies on learner preparation and lecturer guidance. Collaborative projects, supported by iterative feedback from peers and lecturers, foster professional behaviours and reflection. Nonetheless, such projects must be well-organised to prevent unequal participation and ensure all learners acquire similar competences. Reflective workshops and peer review activities further support academic literacy, especially for non-traditional learners who may be confident in technical skills but unsure in academic contexts.</w:t>
      </w:r>
    </w:p>
    <w:p w14:paraId="4D76ADD2" w14:textId="77777777" w:rsidR="00BE71E6" w:rsidRPr="00D0283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Case studies and simulated tasks aligned with workplace scenarios bridge the academic-vocational divide, encouraging deeper learning and group problem-solving (Melville, 2014; Suskie, 2009). However, tasks must remain authentic yet achievable within curriculum constraints. By focusing on “why” rather than just “what,” double-loop feedback shifts learners from surface to strategic learning. Learners begin to adapt strategies across different contexts, enhancing their ability to transfer skills from academic to vocational settings. This requires lecturers to understand double-loop pedagogy to guide learners through reflective processes.</w:t>
      </w:r>
    </w:p>
    <w:p w14:paraId="5CF734F1" w14:textId="77777777" w:rsidR="00BE71E6" w:rsidRPr="00D02836" w:rsidRDefault="00761D90" w:rsidP="00BE71E6">
      <w:pPr>
        <w:widowControl w:val="0"/>
        <w:pBdr>
          <w:top w:val="nil"/>
          <w:left w:val="nil"/>
          <w:bottom w:val="nil"/>
          <w:right w:val="nil"/>
          <w:between w:val="nil"/>
        </w:pBdr>
        <w:spacing w:line="360" w:lineRule="auto"/>
        <w:jc w:val="both"/>
        <w:rPr>
          <w:rFonts w:ascii="Arial" w:hAnsi="Arial" w:cs="Arial"/>
        </w:rPr>
      </w:pPr>
      <w:r>
        <w:rPr>
          <w:rFonts w:ascii="Arial" w:hAnsi="Arial" w:cs="Arial"/>
        </w:rPr>
        <w:t xml:space="preserve">Work-based learning schemes co-designed with employers offer authentic tasks supported by formative feedback. These partnerships improve skill transferability and make academic tasks more relevant. However, success depends on strong collaboration between lecturers and employers, and consistent feedback from workplace mentors must align with programme standards. Authentic project-based assessments allow learners to demonstrate skills in real-world contexts, while employer feedback ensures academic work meets vocational expectations (Melville, 2014). These assessments increase confidence and motivation but </w:t>
      </w:r>
      <w:r>
        <w:rPr>
          <w:rFonts w:ascii="Arial" w:hAnsi="Arial" w:cs="Arial"/>
        </w:rPr>
        <w:lastRenderedPageBreak/>
        <w:t>require careful supervision and industry cooperation.</w:t>
      </w:r>
    </w:p>
    <w:p w14:paraId="12B6F1B9" w14:textId="77777777" w:rsidR="00BE71E6" w:rsidRPr="00D02836" w:rsidRDefault="00761D90" w:rsidP="00BE71E6">
      <w:pPr>
        <w:widowControl w:val="0"/>
        <w:pBdr>
          <w:top w:val="nil"/>
          <w:left w:val="nil"/>
          <w:bottom w:val="nil"/>
          <w:right w:val="nil"/>
          <w:between w:val="nil"/>
        </w:pBdr>
        <w:spacing w:line="360" w:lineRule="auto"/>
        <w:jc w:val="both"/>
        <w:rPr>
          <w:rFonts w:ascii="Arial" w:hAnsi="Arial" w:cs="Arial"/>
        </w:rPr>
      </w:pPr>
      <w:r>
        <w:rPr>
          <w:rFonts w:ascii="Arial" w:hAnsi="Arial" w:cs="Arial"/>
        </w:rPr>
        <w:t>Reflective practices, particularly those supported by employer feedback, help learners in setting development goals, evaluating progress, and linking academic achievement to professional outcomes. This is especially crucial for adult learners transitioning from vocational to academic settings.</w:t>
      </w:r>
    </w:p>
    <w:p w14:paraId="0F63F677" w14:textId="77777777" w:rsidR="00BE71E6" w:rsidRPr="00D02836" w:rsidRDefault="00761D90" w:rsidP="00BE71E6">
      <w:pPr>
        <w:widowControl w:val="0"/>
        <w:pBdr>
          <w:top w:val="nil"/>
          <w:left w:val="nil"/>
          <w:bottom w:val="nil"/>
          <w:right w:val="nil"/>
          <w:between w:val="nil"/>
        </w:pBdr>
        <w:spacing w:line="360" w:lineRule="auto"/>
        <w:jc w:val="both"/>
        <w:rPr>
          <w:rFonts w:ascii="Arial" w:hAnsi="Arial" w:cs="Arial"/>
        </w:rPr>
      </w:pPr>
      <w:r>
        <w:rPr>
          <w:rFonts w:ascii="Arial" w:hAnsi="Arial" w:cs="Arial"/>
        </w:rPr>
        <w:t>Integrating double-loop feedback with project-based learning boosts learner motivation, confidence, and credibility within industry. These learners are often more prepared for real-world applications of their skills and exhibit greater resilience (Suskie, 2009; Doren, 2013). However, not all learners are equipped for self-regulation and may require structured support. Monitoring skill development through reflective tools such as journals and digital portfolios allows learners to visualise growth in adaptability and self-assessment (Blaschke &amp; Marín, 2020). These tools support goal setting, enhance metacognitive growth, and help learners adjust their strategies throughout the programme.</w:t>
      </w:r>
    </w:p>
    <w:p w14:paraId="08F2E5D0" w14:textId="77777777" w:rsidR="00BE71E6" w:rsidRPr="00D0283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Mentoring is vital to this process. Effective mentors (or line managers) serve as co-learners who support inquiry-based learning and reflective development (Beattie, 2002). However, institutional control over mentorship quality is limited, so efforts should be made to ensure that workplace learning environments foster reflective practice. Double-loop formative assessments enhance learning by emphasising process rather than outcome. These assessments can be adapted to build resilience, especially for underprepared learners (Doren, 2013). Nevertheless, feedback must be fair, accessible, and appropriately scaffolded to avoid cognitive overload.</w:t>
      </w:r>
    </w:p>
    <w:p w14:paraId="696700FA" w14:textId="77777777" w:rsidR="00BE71E6" w:rsidRPr="00D0283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Direct evidence, such as projects and essays, must be supported by iterative feedback to ensure skill development is both observable and credible. Triangulating this feedback through peer, lecturer, and mentor inputs strengthens the reliability of competence assessments (Suskie, 2009). Lecturers should be trained to collect and interpret this data effectively. Ultimately, the integration of double-loop feedback into HNC programmes enhances learner competence and employability. This process requires institutional commitment to resourcing, training, and aligning all stakeholders with the pedagogical goals of double-loop learning.</w:t>
      </w:r>
    </w:p>
    <w:p w14:paraId="2F9D5B4D" w14:textId="54BE9047" w:rsidR="00BE71E6" w:rsidRPr="00D02836" w:rsidRDefault="00404D1C" w:rsidP="00D02836">
      <w:pPr>
        <w:pStyle w:val="Heading2"/>
        <w:rPr>
          <w:rFonts w:ascii="Arial" w:hAnsi="Arial" w:cs="Arial"/>
          <w:sz w:val="22"/>
          <w:szCs w:val="22"/>
        </w:rPr>
      </w:pPr>
      <w:bookmarkStart w:id="46" w:name="_Toc214970282"/>
      <w:r>
        <w:rPr>
          <w:rFonts w:ascii="Arial" w:hAnsi="Arial" w:cs="Arial"/>
          <w:sz w:val="22"/>
          <w:szCs w:val="22"/>
        </w:rPr>
        <w:t>6</w:t>
      </w:r>
      <w:r w:rsidR="00BE71E6" w:rsidRPr="00D02836">
        <w:rPr>
          <w:rFonts w:ascii="Arial" w:hAnsi="Arial" w:cs="Arial"/>
          <w:sz w:val="22"/>
          <w:szCs w:val="22"/>
        </w:rPr>
        <w:t>.</w:t>
      </w:r>
      <w:r w:rsidR="00945919">
        <w:rPr>
          <w:rFonts w:ascii="Arial" w:hAnsi="Arial" w:cs="Arial"/>
          <w:sz w:val="22"/>
          <w:szCs w:val="22"/>
        </w:rPr>
        <w:t>3</w:t>
      </w:r>
      <w:r w:rsidR="00BE71E6" w:rsidRPr="00D02836">
        <w:rPr>
          <w:rFonts w:ascii="Arial" w:hAnsi="Arial" w:cs="Arial"/>
          <w:sz w:val="22"/>
          <w:szCs w:val="22"/>
        </w:rPr>
        <w:t xml:space="preserve"> Professional Competency Growth</w:t>
      </w:r>
      <w:bookmarkEnd w:id="46"/>
    </w:p>
    <w:p w14:paraId="42C462B4" w14:textId="77777777" w:rsidR="00BE71E6" w:rsidRPr="00D02836" w:rsidRDefault="004B0F27" w:rsidP="00BE71E6">
      <w:pPr>
        <w:widowControl w:val="0"/>
        <w:pBdr>
          <w:top w:val="nil"/>
          <w:left w:val="nil"/>
          <w:bottom w:val="nil"/>
          <w:right w:val="nil"/>
          <w:between w:val="nil"/>
        </w:pBdr>
        <w:spacing w:line="360" w:lineRule="auto"/>
        <w:jc w:val="both"/>
        <w:rPr>
          <w:rFonts w:ascii="Arial" w:hAnsi="Arial" w:cs="Arial"/>
        </w:rPr>
      </w:pPr>
      <w:r>
        <w:rPr>
          <w:rFonts w:ascii="Arial" w:hAnsi="Arial" w:cs="Arial"/>
        </w:rPr>
        <w:t xml:space="preserve">Double-loop feedback enhances professional competence by encouraging learners to reconstruct values and problem-solving strategies. It enables students to turn theory into practice and reflect on the process, thereby increasing resilience and adaptability (Brockbank &amp; McGill, 1998; Melville, 2014). By reflecting on experiences, such as leadership simulations, students adjust behaviour based on insights into group dynamics and decision-making. These processes resemble real-world civil engineering challenges and require explicit support from lecturers to be effective. Feedback cycles promote self-awareness and cognitive flexibility, </w:t>
      </w:r>
      <w:r>
        <w:rPr>
          <w:rFonts w:ascii="Arial" w:hAnsi="Arial" w:cs="Arial"/>
        </w:rPr>
        <w:lastRenderedPageBreak/>
        <w:t>qualities essential for managing uncertain and complex project environments. Reflection helps students re-evaluate not only what they did but also how they approached tasks, thus improving long-term decision-making (Melville, 2014).</w:t>
      </w:r>
    </w:p>
    <w:p w14:paraId="030B630B" w14:textId="77777777" w:rsidR="00BE71E6" w:rsidRPr="00D0283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Pedagogical activities such as reflective dialogue and project critiques motivate learners to adopt new strategies in team coordination and design. These interventions flourish in environments where failure is seen as a learning opportunity, and where lecturers ensure alignment with industry expectations. Incorporating employer feedback into curriculum design enhances real-world relevance. Authentic tasks related to workplace challenges, such as project delays or communication issues, encourage learners to reassess and improve their approaches. Industry feedback also increases learner engagement by linking academic work to professional goals.</w:t>
      </w:r>
    </w:p>
    <w:p w14:paraId="66E353B1" w14:textId="77777777" w:rsidR="00BE71E6" w:rsidRPr="00D0283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t>Collaborative curriculum design ensures assessments align with industry standards and enhances the quality of outputs. Real-world projects and complex, authentic scenarios foster higher-order skills. However, achieving alignment between institutions and industry requires time and resources. Mentor feedback boosts learners’ professional identity and confidence. Students become better prepared to manage high-pressure projects and teams. Nonetheless, the success of such initiatives depends on a workplace culture that supports learning through reflection.</w:t>
      </w:r>
    </w:p>
    <w:p w14:paraId="3A0E9E12" w14:textId="77777777" w:rsidR="00BE71E6" w:rsidRPr="00D02836" w:rsidRDefault="004B0F27" w:rsidP="00BE71E6">
      <w:pPr>
        <w:widowControl w:val="0"/>
        <w:pBdr>
          <w:top w:val="nil"/>
          <w:left w:val="nil"/>
          <w:bottom w:val="nil"/>
          <w:right w:val="nil"/>
          <w:between w:val="nil"/>
        </w:pBdr>
        <w:spacing w:line="360" w:lineRule="auto"/>
        <w:jc w:val="both"/>
        <w:rPr>
          <w:rFonts w:ascii="Arial" w:hAnsi="Arial" w:cs="Arial"/>
        </w:rPr>
      </w:pPr>
      <w:r>
        <w:rPr>
          <w:rFonts w:ascii="Arial" w:hAnsi="Arial" w:cs="Arial"/>
        </w:rPr>
        <w:t>Research on leadership development shows that structured reflection, such as narrative-based feedback or group coaching, boosts motivation and self-awareness (Aas, 2017). These methods improve learners’ psychological flexibility, helping them adapt to various organisational challenges. However, successful implementation requires trained staff and careful curriculum planning. 360-degree feedback and group coaching highlight individual strengths and prepare students for leadership roles. Reflective development plans help learners overcome professional barriers, including resistance to change. Interventions like peer coaching can promote metacognitive growth and adaptability. Still, their effectiveness depends on proper staff training and inclusive design.</w:t>
      </w:r>
    </w:p>
    <w:p w14:paraId="5DD2F12E" w14:textId="77777777" w:rsidR="00BE71E6" w:rsidRPr="00D02836" w:rsidRDefault="004B0F27" w:rsidP="00BE71E6">
      <w:pPr>
        <w:widowControl w:val="0"/>
        <w:pBdr>
          <w:top w:val="nil"/>
          <w:left w:val="nil"/>
          <w:bottom w:val="nil"/>
          <w:right w:val="nil"/>
          <w:between w:val="nil"/>
        </w:pBdr>
        <w:spacing w:line="360" w:lineRule="auto"/>
        <w:jc w:val="both"/>
        <w:rPr>
          <w:rFonts w:ascii="Arial" w:hAnsi="Arial" w:cs="Arial"/>
        </w:rPr>
      </w:pPr>
      <w:r>
        <w:rPr>
          <w:rFonts w:ascii="Arial" w:hAnsi="Arial" w:cs="Arial"/>
        </w:rPr>
        <w:t>Embedding reflective strategies such as peer dialogue and ethical case studies enhances strategic thinking and ethical awareness. These activities encourage students to examine the social and organisational contexts of their work. Adopting a questioning stance, asking “why” rather than just “what”, supports critical inquiry and prepares learners for supervisory roles (Boonstra, 2004). Technological tools like robotics or virtual simulations, integrated into project-based learning, provide authentic, iterative experiences. These environments challenge students to refine and justify solutions, develop professional behaviours, and engage with industry complexity (Kinov &amp; Leyleker, 2024). However, they often require new infrastructure and resource planning.</w:t>
      </w:r>
    </w:p>
    <w:p w14:paraId="007B46FC" w14:textId="7C32FFCD" w:rsidR="00BE71E6" w:rsidRPr="00D02836" w:rsidRDefault="00BE71E6" w:rsidP="00BE71E6">
      <w:pPr>
        <w:widowControl w:val="0"/>
        <w:pBdr>
          <w:top w:val="nil"/>
          <w:left w:val="nil"/>
          <w:bottom w:val="nil"/>
          <w:right w:val="nil"/>
          <w:between w:val="nil"/>
        </w:pBdr>
        <w:spacing w:line="360" w:lineRule="auto"/>
        <w:jc w:val="both"/>
        <w:rPr>
          <w:rFonts w:ascii="Arial" w:hAnsi="Arial" w:cs="Arial"/>
        </w:rPr>
      </w:pPr>
      <w:r w:rsidRPr="00D02836">
        <w:rPr>
          <w:rFonts w:ascii="Arial" w:hAnsi="Arial" w:cs="Arial"/>
        </w:rPr>
        <w:lastRenderedPageBreak/>
        <w:t>Interdisciplinary group projects challenge disciplinary assumptions, promoting adaptable thinking and ethical reflection. Reflective feedback during these activities enables learners to consider the influence of their decisions in real-world settings, equipping them for a variety of workplace challenges (Kinov &amp; Leyleker, 2024).</w:t>
      </w:r>
      <w:commentRangeStart w:id="47"/>
      <w:commentRangeEnd w:id="47"/>
    </w:p>
    <w:p w14:paraId="145ED9C9" w14:textId="77777777" w:rsidR="00643DE7" w:rsidRPr="00643DE7" w:rsidRDefault="00404D1C" w:rsidP="00643DE7">
      <w:pPr>
        <w:pStyle w:val="Heading1"/>
        <w:rPr>
          <w:rFonts w:ascii="Arial" w:hAnsi="Arial" w:cs="Arial"/>
          <w:sz w:val="22"/>
          <w:szCs w:val="22"/>
        </w:rPr>
      </w:pPr>
      <w:bookmarkStart w:id="48" w:name="_Toc214970283"/>
      <w:bookmarkEnd w:id="19"/>
      <w:r>
        <w:rPr>
          <w:rFonts w:ascii="Arial" w:hAnsi="Arial" w:cs="Arial"/>
          <w:sz w:val="22"/>
          <w:szCs w:val="22"/>
        </w:rPr>
        <w:t>7</w:t>
      </w:r>
      <w:r w:rsidR="00643DE7" w:rsidRPr="00643DE7">
        <w:rPr>
          <w:rFonts w:ascii="Arial" w:hAnsi="Arial" w:cs="Arial"/>
          <w:sz w:val="22"/>
          <w:szCs w:val="22"/>
        </w:rPr>
        <w:t>.0 Conclusion</w:t>
      </w:r>
      <w:bookmarkEnd w:id="48"/>
    </w:p>
    <w:p w14:paraId="39442D86" w14:textId="19512748" w:rsidR="00E54C26" w:rsidRPr="00E54C26" w:rsidRDefault="00E54C26" w:rsidP="00E54C26">
      <w:pPr>
        <w:pStyle w:val="Heading2"/>
        <w:rPr>
          <w:rFonts w:ascii="Arial" w:hAnsi="Arial" w:cs="Arial"/>
          <w:sz w:val="22"/>
          <w:szCs w:val="22"/>
        </w:rPr>
      </w:pPr>
      <w:bookmarkStart w:id="49" w:name="_Toc214970284"/>
      <w:r w:rsidRPr="00E54C26">
        <w:rPr>
          <w:rFonts w:ascii="Arial" w:hAnsi="Arial" w:cs="Arial"/>
          <w:sz w:val="22"/>
          <w:szCs w:val="22"/>
        </w:rPr>
        <w:t>7.1 Study Project Aim</w:t>
      </w:r>
      <w:bookmarkEnd w:id="49"/>
    </w:p>
    <w:p w14:paraId="0345578E" w14:textId="32508215" w:rsidR="00E54C26" w:rsidRDefault="00E54C26" w:rsidP="00E54C26">
      <w:pPr>
        <w:widowControl w:val="0"/>
        <w:pBdr>
          <w:top w:val="nil"/>
          <w:left w:val="nil"/>
          <w:bottom w:val="nil"/>
          <w:right w:val="nil"/>
          <w:between w:val="nil"/>
        </w:pBdr>
        <w:spacing w:line="360" w:lineRule="auto"/>
        <w:jc w:val="both"/>
        <w:rPr>
          <w:rFonts w:ascii="Arial" w:hAnsi="Arial" w:cs="Arial"/>
        </w:rPr>
      </w:pPr>
      <w:r>
        <w:rPr>
          <w:rFonts w:ascii="Arial" w:hAnsi="Arial" w:cs="Arial"/>
        </w:rPr>
        <w:t>T</w:t>
      </w:r>
      <w:r w:rsidR="00643DE7" w:rsidRPr="00643DE7">
        <w:rPr>
          <w:rFonts w:ascii="Arial" w:hAnsi="Arial" w:cs="Arial"/>
        </w:rPr>
        <w:t xml:space="preserve">his </w:t>
      </w:r>
      <w:r w:rsidRPr="00E54C26">
        <w:rPr>
          <w:rFonts w:ascii="Arial" w:hAnsi="Arial" w:cs="Arial"/>
        </w:rPr>
        <w:t>study aims to critically evaluate the impact of double-loop feedback, an approach that encourages learners to interrogate their assumptions and engage with alternative learning strategies, on the development of academic writing, critical thinking, and learner autonomy among students in vocationally oriented higher education programmes.</w:t>
      </w:r>
    </w:p>
    <w:p w14:paraId="2C7E1F30" w14:textId="47CF1C62" w:rsidR="00E54C26" w:rsidRPr="00E54C26" w:rsidRDefault="00E54C26" w:rsidP="00E54C26">
      <w:pPr>
        <w:pStyle w:val="Heading2"/>
        <w:rPr>
          <w:rFonts w:ascii="Arial" w:hAnsi="Arial" w:cs="Arial"/>
          <w:sz w:val="22"/>
          <w:szCs w:val="22"/>
        </w:rPr>
      </w:pPr>
      <w:bookmarkStart w:id="50" w:name="_Toc214970285"/>
      <w:r w:rsidRPr="00E54C26">
        <w:rPr>
          <w:rFonts w:ascii="Arial" w:hAnsi="Arial" w:cs="Arial"/>
          <w:sz w:val="22"/>
          <w:szCs w:val="22"/>
        </w:rPr>
        <w:t>7.1.1 Research Objectives</w:t>
      </w:r>
      <w:bookmarkEnd w:id="50"/>
    </w:p>
    <w:p w14:paraId="7D7F40A3" w14:textId="77777777" w:rsidR="00E54C26" w:rsidRPr="00E54C26" w:rsidRDefault="00E54C26" w:rsidP="00E54C26">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1. To critically analyse students’ current interpretations of, and responses to, formative feedback in relation to academic skill development.</w:t>
      </w:r>
    </w:p>
    <w:p w14:paraId="3F7D2585" w14:textId="77777777" w:rsidR="00E54C26" w:rsidRPr="00E54C26" w:rsidRDefault="00E54C26" w:rsidP="00E54C26">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2. To design and implement a double-loop feedback model within selected coursework to promote reflective engagement and deeper learning.</w:t>
      </w:r>
    </w:p>
    <w:p w14:paraId="2BC8AA82" w14:textId="77777777" w:rsidR="00E54C26" w:rsidRPr="00E54C26" w:rsidRDefault="00E54C26" w:rsidP="00E54C26">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3. To synthesise and interpret student and staff perceptions of the introduced feedback model, identifying perceived value, barriers, and enablers.</w:t>
      </w:r>
    </w:p>
    <w:p w14:paraId="14D555A9" w14:textId="6A93DB62" w:rsidR="00E54C26" w:rsidRDefault="00E54C26" w:rsidP="00E54C26">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4. To appraise and evaluate the extent to which double-loop feedback correlates with measurable changes in student performance, critical engagement, and independent learning behaviours.</w:t>
      </w:r>
    </w:p>
    <w:p w14:paraId="4554398F" w14:textId="73341CAF" w:rsidR="00A03A6A" w:rsidRPr="00D2713B" w:rsidRDefault="00A03A6A" w:rsidP="00D2713B">
      <w:pPr>
        <w:pStyle w:val="Heading2"/>
        <w:rPr>
          <w:rFonts w:ascii="Arial" w:hAnsi="Arial" w:cs="Arial"/>
          <w:sz w:val="22"/>
          <w:szCs w:val="22"/>
        </w:rPr>
      </w:pPr>
      <w:bookmarkStart w:id="51" w:name="_Toc214970286"/>
      <w:r w:rsidRPr="00D2713B">
        <w:rPr>
          <w:rFonts w:ascii="Arial" w:hAnsi="Arial" w:cs="Arial"/>
          <w:sz w:val="22"/>
          <w:szCs w:val="22"/>
        </w:rPr>
        <w:t>7.2 Purpose</w:t>
      </w:r>
      <w:bookmarkEnd w:id="51"/>
    </w:p>
    <w:p w14:paraId="7514B93B" w14:textId="77777777" w:rsidR="00A03A6A" w:rsidRPr="004275D3" w:rsidRDefault="00A03A6A" w:rsidP="00A03A6A">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 xml:space="preserve">The purpose of this study was to evaluate the impact of double-loop feedback on learner performance, engagement, and reflective capability within HNC Civil Engineering and </w:t>
      </w:r>
      <w:r w:rsidRPr="004275D3">
        <w:rPr>
          <w:rFonts w:ascii="Arial" w:hAnsi="Arial" w:cs="Arial"/>
        </w:rPr>
        <w:t>Construction programmes. The findings from the quantitative data, qualitative interviews, and rubric-based performance measures collectively demonstrate that the double-loop feedback intervention produced substantial improvements in feedback literacy, metacognitive awareness, and academic outcomes.</w:t>
      </w:r>
    </w:p>
    <w:p w14:paraId="3713109C" w14:textId="0B1BB308" w:rsidR="00A03A6A" w:rsidRPr="004275D3" w:rsidRDefault="00A03A6A" w:rsidP="00A03A6A">
      <w:pPr>
        <w:widowControl w:val="0"/>
        <w:pBdr>
          <w:top w:val="nil"/>
          <w:left w:val="nil"/>
          <w:bottom w:val="nil"/>
          <w:right w:val="nil"/>
          <w:between w:val="nil"/>
        </w:pBdr>
        <w:spacing w:line="360" w:lineRule="auto"/>
        <w:jc w:val="both"/>
        <w:rPr>
          <w:rFonts w:ascii="Arial" w:hAnsi="Arial" w:cs="Arial"/>
        </w:rPr>
      </w:pPr>
      <w:r w:rsidRPr="004275D3">
        <w:rPr>
          <w:rFonts w:ascii="Arial" w:hAnsi="Arial" w:cs="Arial"/>
        </w:rPr>
        <w:t xml:space="preserve">The pre-intervention and post-intervention survey results revealed marked improvements across all dimensions of feedback quality, with the most significant gains occurring in </w:t>
      </w:r>
      <w:r w:rsidRPr="004275D3">
        <w:rPr>
          <w:rFonts w:ascii="Arial" w:hAnsi="Arial" w:cs="Arial"/>
          <w:iCs/>
        </w:rPr>
        <w:t xml:space="preserve">Dialogue </w:t>
      </w:r>
      <w:r w:rsidR="004275D3">
        <w:rPr>
          <w:rFonts w:ascii="Arial" w:hAnsi="Arial" w:cs="Arial"/>
          <w:iCs/>
        </w:rPr>
        <w:t>and</w:t>
      </w:r>
      <w:r w:rsidRPr="004275D3">
        <w:rPr>
          <w:rFonts w:ascii="Arial" w:hAnsi="Arial" w:cs="Arial"/>
          <w:iCs/>
        </w:rPr>
        <w:t xml:space="preserve"> Feedforward</w:t>
      </w:r>
      <w:r w:rsidR="004275D3">
        <w:rPr>
          <w:rFonts w:ascii="Arial" w:hAnsi="Arial" w:cs="Arial"/>
          <w:iCs/>
        </w:rPr>
        <w:t>,</w:t>
      </w:r>
      <w:r w:rsidRPr="004275D3">
        <w:rPr>
          <w:rFonts w:ascii="Arial" w:hAnsi="Arial" w:cs="Arial"/>
        </w:rPr>
        <w:t xml:space="preserve"> and </w:t>
      </w:r>
      <w:r w:rsidRPr="004275D3">
        <w:rPr>
          <w:rFonts w:ascii="Arial" w:hAnsi="Arial" w:cs="Arial"/>
          <w:iCs/>
        </w:rPr>
        <w:t>Developmental Focus</w:t>
      </w:r>
      <w:r w:rsidRPr="004275D3">
        <w:rPr>
          <w:rFonts w:ascii="Arial" w:hAnsi="Arial" w:cs="Arial"/>
        </w:rPr>
        <w:t>. Prior to the intervention, learners described feedback as primarily summative, narrow in depth, and oriented toward error correction. After the implementation of double-loop feedback, survey ratings rose from baseline scores of 1 to 2 up to consistent scores of 4 to 5, indicating a dramatic shift in students’ perceptions of feedback usefulness and clarity.</w:t>
      </w:r>
    </w:p>
    <w:p w14:paraId="7170F408" w14:textId="77777777" w:rsidR="00A03A6A" w:rsidRPr="00E54C26" w:rsidRDefault="00A03A6A" w:rsidP="00A03A6A">
      <w:pPr>
        <w:widowControl w:val="0"/>
        <w:pBdr>
          <w:top w:val="nil"/>
          <w:left w:val="nil"/>
          <w:bottom w:val="nil"/>
          <w:right w:val="nil"/>
          <w:between w:val="nil"/>
        </w:pBdr>
        <w:spacing w:line="360" w:lineRule="auto"/>
        <w:jc w:val="both"/>
        <w:rPr>
          <w:rFonts w:ascii="Arial" w:hAnsi="Arial" w:cs="Arial"/>
        </w:rPr>
      </w:pPr>
      <w:r w:rsidRPr="004275D3">
        <w:rPr>
          <w:rFonts w:ascii="Arial" w:hAnsi="Arial" w:cs="Arial"/>
        </w:rPr>
        <w:t>This transformation is consistent with existing scholarship asserting that dialogic and inquiry-</w:t>
      </w:r>
      <w:r w:rsidRPr="004275D3">
        <w:rPr>
          <w:rFonts w:ascii="Arial" w:hAnsi="Arial" w:cs="Arial"/>
        </w:rPr>
        <w:lastRenderedPageBreak/>
        <w:t>driven feedback promotes deeper cognitive engagement (Panadero &amp; Lipnevich, 2022; Hill &amp; West, 2022). In this study, students not only understood feedback better but actively re-framed its function, from evaluating what was</w:t>
      </w:r>
      <w:r w:rsidRPr="00E54C26">
        <w:rPr>
          <w:rFonts w:ascii="Arial" w:hAnsi="Arial" w:cs="Arial"/>
        </w:rPr>
        <w:t xml:space="preserve"> wrong to interrogating why it was wrong. This shift aligns with Nicol and Macfarlane-Dick’s (2006) conception of feedback literacy, wherein learners internalise standards and develop the capacity to generate their own feedback.</w:t>
      </w:r>
    </w:p>
    <w:p w14:paraId="154EBC10" w14:textId="7301633D" w:rsidR="00A03A6A" w:rsidRPr="00E54C26" w:rsidRDefault="00A03A6A" w:rsidP="00A03A6A">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 xml:space="preserve">The most substantial improvement across </w:t>
      </w:r>
      <w:r w:rsidRPr="004275D3">
        <w:rPr>
          <w:rFonts w:ascii="Arial" w:hAnsi="Arial" w:cs="Arial"/>
        </w:rPr>
        <w:t xml:space="preserve">rubric criteria was observed in </w:t>
      </w:r>
      <w:r w:rsidRPr="004275D3">
        <w:rPr>
          <w:rFonts w:ascii="Arial" w:hAnsi="Arial" w:cs="Arial"/>
          <w:iCs/>
        </w:rPr>
        <w:t xml:space="preserve">Reflection </w:t>
      </w:r>
      <w:r w:rsidR="004275D3">
        <w:rPr>
          <w:rFonts w:ascii="Arial" w:hAnsi="Arial" w:cs="Arial"/>
          <w:iCs/>
        </w:rPr>
        <w:t>and</w:t>
      </w:r>
      <w:r w:rsidRPr="004275D3">
        <w:rPr>
          <w:rFonts w:ascii="Arial" w:hAnsi="Arial" w:cs="Arial"/>
          <w:iCs/>
        </w:rPr>
        <w:t xml:space="preserve"> Evaluation</w:t>
      </w:r>
      <w:r w:rsidRPr="004275D3">
        <w:rPr>
          <w:rFonts w:ascii="Arial" w:hAnsi="Arial" w:cs="Arial"/>
        </w:rPr>
        <w:t>, which increased by 119%. This mag</w:t>
      </w:r>
      <w:r w:rsidRPr="00E54C26">
        <w:rPr>
          <w:rFonts w:ascii="Arial" w:hAnsi="Arial" w:cs="Arial"/>
        </w:rPr>
        <w:t>nitude of change signals that double-loop feedback supported students in developing higher-order reflective abilities that extend beyond task-level corrections. Interview excerpts reinforced this development; learners reported that the new feedback process enabled them to “understand my decision-making rather than just the mistakes” and encouraged them to “think ahead about how to apply feedback to future tasks.”</w:t>
      </w:r>
    </w:p>
    <w:p w14:paraId="08916DAF" w14:textId="77777777" w:rsidR="00A03A6A" w:rsidRPr="00E54C26" w:rsidRDefault="00A03A6A" w:rsidP="00A03A6A">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These findings align with the work of Thirtle (2014), who argued that student involvement in feedback cycles enhances metacognitive development. The improvement in students’ ability to articulate reasoning, justify technical decisions, and evaluate alternatives indicates that double-loop feedback fosters the type of reflective judgment essential to civil engineering practice. In this sense, the intervention supported not only academic improvement but also the cultivation of key professional competencies.</w:t>
      </w:r>
    </w:p>
    <w:p w14:paraId="4E298B12" w14:textId="77777777" w:rsidR="00A03A6A" w:rsidRPr="00E54C26" w:rsidRDefault="00A03A6A" w:rsidP="00A03A6A">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Participants reported a noticeable reduction in anxiety surrounding feedback following the intervention. Prior to implementation, feedback was perceived as evaluative and judgemental; after the intervention, students described it as collaborative, supportive, and developmental. This emotional shift is significant because anxiety is well-documented to hinder learning engagement and information processing (Martin, 2017). The reported reduction in anxiety is consistent with studies demonstrating that more constructive, dialogic feedback environments can reduce stress and promote confidence (Cao &amp; Han, 2024).</w:t>
      </w:r>
    </w:p>
    <w:p w14:paraId="2AC909BB" w14:textId="77777777" w:rsidR="00A03A6A" w:rsidRPr="00E54C26" w:rsidRDefault="00A03A6A" w:rsidP="00A03A6A">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In this study, the emotional dimension of learning</w:t>
      </w:r>
      <w:r>
        <w:rPr>
          <w:rFonts w:ascii="Arial" w:hAnsi="Arial" w:cs="Arial"/>
        </w:rPr>
        <w:t xml:space="preserve">, </w:t>
      </w:r>
      <w:r w:rsidRPr="00E54C26">
        <w:rPr>
          <w:rFonts w:ascii="Arial" w:hAnsi="Arial" w:cs="Arial"/>
        </w:rPr>
        <w:t>often overlooked in technical disciplines</w:t>
      </w:r>
      <w:r>
        <w:rPr>
          <w:rFonts w:ascii="Arial" w:hAnsi="Arial" w:cs="Arial"/>
        </w:rPr>
        <w:t xml:space="preserve">, </w:t>
      </w:r>
      <w:r w:rsidRPr="00E54C26">
        <w:rPr>
          <w:rFonts w:ascii="Arial" w:hAnsi="Arial" w:cs="Arial"/>
        </w:rPr>
        <w:t>played a meaningful role in driving performance improvements. Students expressed greater confidence, willingness to ask questions, and readiness to revise their work. This aligns with transformative learning theory, which views emotional safety as a prerequisite for critical reflection and cognitive restructuring.</w:t>
      </w:r>
    </w:p>
    <w:p w14:paraId="7D871CC0" w14:textId="77777777" w:rsidR="00A03A6A" w:rsidRPr="00E54C26" w:rsidRDefault="00A03A6A" w:rsidP="00A03A6A">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The before</w:t>
      </w:r>
      <w:r>
        <w:rPr>
          <w:rFonts w:ascii="Arial" w:hAnsi="Arial" w:cs="Arial"/>
        </w:rPr>
        <w:t xml:space="preserve"> </w:t>
      </w:r>
      <w:r w:rsidRPr="00E54C26">
        <w:rPr>
          <w:rFonts w:ascii="Arial" w:hAnsi="Arial" w:cs="Arial"/>
        </w:rPr>
        <w:t>/</w:t>
      </w:r>
      <w:r>
        <w:rPr>
          <w:rFonts w:ascii="Arial" w:hAnsi="Arial" w:cs="Arial"/>
        </w:rPr>
        <w:t xml:space="preserve"> </w:t>
      </w:r>
      <w:r w:rsidRPr="00E54C26">
        <w:rPr>
          <w:rFonts w:ascii="Arial" w:hAnsi="Arial" w:cs="Arial"/>
        </w:rPr>
        <w:t>after rubric comparison provided clear evidence of performance enhancement. Across all criteria, mean scores increased by 41</w:t>
      </w:r>
      <w:r>
        <w:rPr>
          <w:rFonts w:ascii="Arial" w:hAnsi="Arial" w:cs="Arial"/>
        </w:rPr>
        <w:t xml:space="preserve">% to </w:t>
      </w:r>
      <w:r w:rsidRPr="00E54C26">
        <w:rPr>
          <w:rFonts w:ascii="Arial" w:hAnsi="Arial" w:cs="Arial"/>
        </w:rPr>
        <w:t>119%, with the overall rubric score rising from 23.6/50 to 36.4/50 (a 54% improvement). These gains are substantial and exceed what might typically be expected through natural progression or familiarity with course content.</w:t>
      </w:r>
    </w:p>
    <w:p w14:paraId="4366FF71" w14:textId="77777777" w:rsidR="00A03A6A" w:rsidRPr="00E54C26" w:rsidRDefault="00A03A6A" w:rsidP="00A03A6A">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The triangulation of data further strengthens the validity of this conclusion:</w:t>
      </w:r>
    </w:p>
    <w:p w14:paraId="6162581B" w14:textId="77777777" w:rsidR="00A03A6A" w:rsidRPr="00E54C26" w:rsidRDefault="00A03A6A" w:rsidP="00A03A6A">
      <w:pPr>
        <w:widowControl w:val="0"/>
        <w:numPr>
          <w:ilvl w:val="0"/>
          <w:numId w:val="7"/>
        </w:numPr>
        <w:pBdr>
          <w:top w:val="nil"/>
          <w:left w:val="nil"/>
          <w:bottom w:val="nil"/>
          <w:right w:val="nil"/>
          <w:between w:val="nil"/>
        </w:pBdr>
        <w:spacing w:line="360" w:lineRule="auto"/>
        <w:jc w:val="both"/>
        <w:rPr>
          <w:rFonts w:ascii="Arial" w:hAnsi="Arial" w:cs="Arial"/>
        </w:rPr>
      </w:pPr>
      <w:r w:rsidRPr="00E54C26">
        <w:rPr>
          <w:rFonts w:ascii="Arial" w:hAnsi="Arial" w:cs="Arial"/>
          <w:bCs/>
        </w:rPr>
        <w:lastRenderedPageBreak/>
        <w:t>Survey data</w:t>
      </w:r>
      <w:r w:rsidRPr="00E54C26">
        <w:rPr>
          <w:rFonts w:ascii="Arial" w:hAnsi="Arial" w:cs="Arial"/>
        </w:rPr>
        <w:t xml:space="preserve"> showed improved perceptions of feedback clarity and usefulness.</w:t>
      </w:r>
    </w:p>
    <w:p w14:paraId="14DAFDA5" w14:textId="77777777" w:rsidR="00A03A6A" w:rsidRPr="00E54C26" w:rsidRDefault="00A03A6A" w:rsidP="00A03A6A">
      <w:pPr>
        <w:widowControl w:val="0"/>
        <w:numPr>
          <w:ilvl w:val="0"/>
          <w:numId w:val="7"/>
        </w:numPr>
        <w:pBdr>
          <w:top w:val="nil"/>
          <w:left w:val="nil"/>
          <w:bottom w:val="nil"/>
          <w:right w:val="nil"/>
          <w:between w:val="nil"/>
        </w:pBdr>
        <w:spacing w:line="360" w:lineRule="auto"/>
        <w:jc w:val="both"/>
        <w:rPr>
          <w:rFonts w:ascii="Arial" w:hAnsi="Arial" w:cs="Arial"/>
        </w:rPr>
      </w:pPr>
      <w:r w:rsidRPr="00E54C26">
        <w:rPr>
          <w:rFonts w:ascii="Arial" w:hAnsi="Arial" w:cs="Arial"/>
          <w:bCs/>
        </w:rPr>
        <w:t>Rubric scores</w:t>
      </w:r>
      <w:r w:rsidRPr="00E54C26">
        <w:rPr>
          <w:rFonts w:ascii="Arial" w:hAnsi="Arial" w:cs="Arial"/>
        </w:rPr>
        <w:t xml:space="preserve"> demonstrated measurable improvements in critical analysis, coherence, and technical application.</w:t>
      </w:r>
    </w:p>
    <w:p w14:paraId="304163C1" w14:textId="77777777" w:rsidR="00A03A6A" w:rsidRPr="00E54C26" w:rsidRDefault="00A03A6A" w:rsidP="00A03A6A">
      <w:pPr>
        <w:widowControl w:val="0"/>
        <w:numPr>
          <w:ilvl w:val="0"/>
          <w:numId w:val="7"/>
        </w:numPr>
        <w:pBdr>
          <w:top w:val="nil"/>
          <w:left w:val="nil"/>
          <w:bottom w:val="nil"/>
          <w:right w:val="nil"/>
          <w:between w:val="nil"/>
        </w:pBdr>
        <w:spacing w:line="360" w:lineRule="auto"/>
        <w:jc w:val="both"/>
        <w:rPr>
          <w:rFonts w:ascii="Arial" w:hAnsi="Arial" w:cs="Arial"/>
        </w:rPr>
      </w:pPr>
      <w:r w:rsidRPr="00E54C26">
        <w:rPr>
          <w:rFonts w:ascii="Arial" w:hAnsi="Arial" w:cs="Arial"/>
          <w:bCs/>
        </w:rPr>
        <w:t>Interview data</w:t>
      </w:r>
      <w:r w:rsidRPr="00E54C26">
        <w:rPr>
          <w:rFonts w:ascii="Arial" w:hAnsi="Arial" w:cs="Arial"/>
        </w:rPr>
        <w:t xml:space="preserve"> provided explanatory insight into behavioural changes (e.g., increased self-questioning, proactive engagement, and ownership of learning).</w:t>
      </w:r>
    </w:p>
    <w:p w14:paraId="579CC186" w14:textId="77777777" w:rsidR="00A03A6A" w:rsidRPr="00E54C26" w:rsidRDefault="00A03A6A" w:rsidP="00A03A6A">
      <w:pPr>
        <w:widowControl w:val="0"/>
        <w:numPr>
          <w:ilvl w:val="0"/>
          <w:numId w:val="7"/>
        </w:numPr>
        <w:pBdr>
          <w:top w:val="nil"/>
          <w:left w:val="nil"/>
          <w:bottom w:val="nil"/>
          <w:right w:val="nil"/>
          <w:between w:val="nil"/>
        </w:pBdr>
        <w:spacing w:line="360" w:lineRule="auto"/>
        <w:jc w:val="both"/>
        <w:rPr>
          <w:rFonts w:ascii="Arial" w:hAnsi="Arial" w:cs="Arial"/>
        </w:rPr>
      </w:pPr>
      <w:r w:rsidRPr="00E54C26">
        <w:rPr>
          <w:rFonts w:ascii="Arial" w:hAnsi="Arial" w:cs="Arial"/>
          <w:bCs/>
        </w:rPr>
        <w:t>Teacher observations</w:t>
      </w:r>
      <w:r w:rsidRPr="00E54C26">
        <w:rPr>
          <w:rFonts w:ascii="Arial" w:hAnsi="Arial" w:cs="Arial"/>
        </w:rPr>
        <w:t xml:space="preserve"> noted fewer repeated errors and higher-quality resubmissions.</w:t>
      </w:r>
    </w:p>
    <w:p w14:paraId="33B9066D" w14:textId="77777777" w:rsidR="00A03A6A" w:rsidRPr="00E54C26" w:rsidRDefault="00A03A6A" w:rsidP="00A03A6A">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 xml:space="preserve">Together, these findings support the interpretation that double-loop feedback did not merely alter how students </w:t>
      </w:r>
      <w:r w:rsidRPr="00E54C26">
        <w:rPr>
          <w:rFonts w:ascii="Arial" w:hAnsi="Arial" w:cs="Arial"/>
          <w:i/>
          <w:iCs/>
        </w:rPr>
        <w:t>felt</w:t>
      </w:r>
      <w:r w:rsidRPr="00E54C26">
        <w:rPr>
          <w:rFonts w:ascii="Arial" w:hAnsi="Arial" w:cs="Arial"/>
        </w:rPr>
        <w:t xml:space="preserve"> about feedback</w:t>
      </w:r>
      <w:r>
        <w:rPr>
          <w:rFonts w:ascii="Arial" w:hAnsi="Arial" w:cs="Arial"/>
        </w:rPr>
        <w:t xml:space="preserve">, </w:t>
      </w:r>
      <w:r w:rsidRPr="00E54C26">
        <w:rPr>
          <w:rFonts w:ascii="Arial" w:hAnsi="Arial" w:cs="Arial"/>
        </w:rPr>
        <w:t xml:space="preserve">it produced meaningful changes in how they </w:t>
      </w:r>
      <w:r w:rsidRPr="00E54C26">
        <w:rPr>
          <w:rFonts w:ascii="Arial" w:hAnsi="Arial" w:cs="Arial"/>
          <w:i/>
          <w:iCs/>
        </w:rPr>
        <w:t>performed</w:t>
      </w:r>
      <w:r w:rsidRPr="00E54C26">
        <w:rPr>
          <w:rFonts w:ascii="Arial" w:hAnsi="Arial" w:cs="Arial"/>
        </w:rPr>
        <w:t xml:space="preserve"> academically.</w:t>
      </w:r>
    </w:p>
    <w:p w14:paraId="5C3847C8" w14:textId="77777777" w:rsidR="00A03A6A" w:rsidRPr="00E54C26" w:rsidRDefault="00A03A6A" w:rsidP="00A03A6A">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Double-loop feedback appears particularly well suited to disciplines such as civil engineering and construction, where professional competence depends heavily on critical thinking, problem-solving, and evidence-based decision-making. The ability to interrogate reasoning, evaluate alternatives, and revise assumptions</w:t>
      </w:r>
      <w:r>
        <w:rPr>
          <w:rFonts w:ascii="Arial" w:hAnsi="Arial" w:cs="Arial"/>
        </w:rPr>
        <w:t xml:space="preserve">, </w:t>
      </w:r>
      <w:r w:rsidRPr="00E54C26">
        <w:rPr>
          <w:rFonts w:ascii="Arial" w:hAnsi="Arial" w:cs="Arial"/>
        </w:rPr>
        <w:t>hallmarks of double-loop learning</w:t>
      </w:r>
      <w:r>
        <w:rPr>
          <w:rFonts w:ascii="Arial" w:hAnsi="Arial" w:cs="Arial"/>
        </w:rPr>
        <w:t xml:space="preserve">, </w:t>
      </w:r>
      <w:r w:rsidRPr="00E54C26">
        <w:rPr>
          <w:rFonts w:ascii="Arial" w:hAnsi="Arial" w:cs="Arial"/>
        </w:rPr>
        <w:t>directly mirrors the iterative design and problem-solving processes of engineering practice.</w:t>
      </w:r>
    </w:p>
    <w:p w14:paraId="7626A8BB" w14:textId="77777777" w:rsidR="00A03A6A" w:rsidRPr="00E54C26" w:rsidRDefault="00A03A6A" w:rsidP="00A03A6A">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Therefore, embedding double-loop feedback within HNC programmes may enhance not only academic achievement but also readiness for professional roles, aligning educational outcomes with industry expectations for reflective, autonomous practitioners.</w:t>
      </w:r>
    </w:p>
    <w:p w14:paraId="68208D8C" w14:textId="753C036D" w:rsidR="00E54C26" w:rsidRPr="00D2713B" w:rsidRDefault="00E54C26" w:rsidP="00D2713B">
      <w:pPr>
        <w:pStyle w:val="Heading2"/>
        <w:rPr>
          <w:rFonts w:ascii="Arial" w:hAnsi="Arial" w:cs="Arial"/>
          <w:sz w:val="22"/>
          <w:szCs w:val="22"/>
        </w:rPr>
      </w:pPr>
      <w:bookmarkStart w:id="52" w:name="_Toc214970287"/>
      <w:r w:rsidRPr="00D2713B">
        <w:rPr>
          <w:rFonts w:ascii="Arial" w:hAnsi="Arial" w:cs="Arial"/>
          <w:sz w:val="22"/>
          <w:szCs w:val="22"/>
        </w:rPr>
        <w:t>7.</w:t>
      </w:r>
      <w:r w:rsidR="00A03A6A" w:rsidRPr="00D2713B">
        <w:rPr>
          <w:rFonts w:ascii="Arial" w:hAnsi="Arial" w:cs="Arial"/>
          <w:sz w:val="22"/>
          <w:szCs w:val="22"/>
        </w:rPr>
        <w:t>3 Final Conclusion</w:t>
      </w:r>
      <w:bookmarkEnd w:id="52"/>
    </w:p>
    <w:p w14:paraId="41CA3AB7" w14:textId="77777777" w:rsidR="00E54C26" w:rsidRPr="00E54C26" w:rsidRDefault="00E54C26" w:rsidP="00E54C26">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This research set out to explore the role and impact of double-loop feedback within HNC Civil Engineering and Construction education, with a specific focus on reflective engagement, academic skill development, and learner performance. Drawing upon a mixed-methods approach that integrated survey data, semi-structured interviews, rubric analysis, and practitioner observation, the study successfully addressed all four research objectives.</w:t>
      </w:r>
    </w:p>
    <w:p w14:paraId="063B5C85" w14:textId="77777777" w:rsidR="00E54C26" w:rsidRPr="00E54C26" w:rsidRDefault="00E54C26" w:rsidP="00E54C26">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bCs/>
        </w:rPr>
        <w:t>Objective 1</w:t>
      </w:r>
      <w:r w:rsidRPr="00E54C26">
        <w:rPr>
          <w:rFonts w:ascii="Arial" w:hAnsi="Arial" w:cs="Arial"/>
        </w:rPr>
        <w:t xml:space="preserve"> sought to critically analyse students’ initial interpretations of, and responses to, formative feedback. The findings revealed that, prior to the intervention, students predominantly viewed feedback as summative, corrective, and externally controlled. Feedback was often interpreted as “comments to fix,” rather than as a resource for ongoing learning. This contributed to limited metacognitive engagement, inconsistent use of feedback, and, in some cases, heightened anxiety around assessment. These insights established a clear need for a more dialogic and reflective feedback model.</w:t>
      </w:r>
    </w:p>
    <w:p w14:paraId="2E590C38" w14:textId="77777777" w:rsidR="00E54C26" w:rsidRPr="00E54C26" w:rsidRDefault="00E54C26" w:rsidP="00E54C26">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bCs/>
        </w:rPr>
        <w:t>Objective 2</w:t>
      </w:r>
      <w:r w:rsidRPr="00E54C26">
        <w:rPr>
          <w:rFonts w:ascii="Arial" w:hAnsi="Arial" w:cs="Arial"/>
        </w:rPr>
        <w:t xml:space="preserve"> involved the design and implementation of a double-loop feedback model, purposefully embedded within selected coursework. This intervention repositioned feedback as a cyclical, inquiry-driven process that required learners to question underlying assumptions, articulate reasoning, and plan forward actions. The implementation was successful, with the </w:t>
      </w:r>
      <w:r w:rsidRPr="00E54C26">
        <w:rPr>
          <w:rFonts w:ascii="Arial" w:hAnsi="Arial" w:cs="Arial"/>
        </w:rPr>
        <w:lastRenderedPageBreak/>
        <w:t>survey results and observational data indicating that students engaged more deeply with the feedback cycle and demonstrated increased preparedness, confidence, and ownership of their learning.</w:t>
      </w:r>
    </w:p>
    <w:p w14:paraId="29369923" w14:textId="520A7CB6" w:rsidR="00E54C26" w:rsidRPr="00E54C26" w:rsidRDefault="00E54C26" w:rsidP="00E54C26">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bCs/>
        </w:rPr>
        <w:t>Objective 3</w:t>
      </w:r>
      <w:r w:rsidRPr="00E54C26">
        <w:rPr>
          <w:rFonts w:ascii="Arial" w:hAnsi="Arial" w:cs="Arial"/>
        </w:rPr>
        <w:t xml:space="preserve"> focused on synthesising and interpreting student and staff perceptions of the feedback model. Post-intervention interviews demonstrated widespread shifts in attitudes toward feedback, with both learners and the peer lecturer recognising the value of the double-loop process. Students reported reduced anxiety, greater clarity, and an enhanced understanding of how to apply feedback across tasks. Staff highlighted improvements in dialogue quality, learner independence, and the coherence of resubmissions. While some barriers</w:t>
      </w:r>
      <w:r w:rsidR="004275D3">
        <w:rPr>
          <w:rFonts w:ascii="Arial" w:hAnsi="Arial" w:cs="Arial"/>
        </w:rPr>
        <w:t xml:space="preserve">, </w:t>
      </w:r>
      <w:r w:rsidRPr="00E54C26">
        <w:rPr>
          <w:rFonts w:ascii="Arial" w:hAnsi="Arial" w:cs="Arial"/>
        </w:rPr>
        <w:t>such as time constraints and uneven initial familiarity with reflective processes</w:t>
      </w:r>
      <w:r w:rsidR="004275D3">
        <w:rPr>
          <w:rFonts w:ascii="Arial" w:hAnsi="Arial" w:cs="Arial"/>
        </w:rPr>
        <w:t xml:space="preserve">, </w:t>
      </w:r>
      <w:r w:rsidRPr="00E54C26">
        <w:rPr>
          <w:rFonts w:ascii="Arial" w:hAnsi="Arial" w:cs="Arial"/>
        </w:rPr>
        <w:t>were acknowledged, the overall perception of the model was strongly positive.</w:t>
      </w:r>
    </w:p>
    <w:p w14:paraId="2E9D908F" w14:textId="33F1A179" w:rsidR="00E54C26" w:rsidRPr="00E54C26" w:rsidRDefault="00E54C26" w:rsidP="00E54C26">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bCs/>
        </w:rPr>
        <w:t>Objective 4</w:t>
      </w:r>
      <w:r w:rsidRPr="00E54C26">
        <w:rPr>
          <w:rFonts w:ascii="Arial" w:hAnsi="Arial" w:cs="Arial"/>
        </w:rPr>
        <w:t xml:space="preserve"> examined the extent to which double-loop feedback correlated with measurable changes in student performance and independent learning behaviours. Rubric analysis revealed substantial improvements across all assessed criteria, with notable gains in reflection, critical analysis, and justification of technical decisions. These quantitative gains were reinforced by qualitative evidence of increased self-questioning and strategic planning</w:t>
      </w:r>
      <w:r w:rsidR="004275D3">
        <w:rPr>
          <w:rFonts w:ascii="Arial" w:hAnsi="Arial" w:cs="Arial"/>
        </w:rPr>
        <w:t xml:space="preserve">, </w:t>
      </w:r>
      <w:r w:rsidRPr="00E54C26">
        <w:rPr>
          <w:rFonts w:ascii="Arial" w:hAnsi="Arial" w:cs="Arial"/>
        </w:rPr>
        <w:t>behaviours indicative of independent learning development. The triangulation of findings provides compelling evidence that double-loop feedback contributed to enhanced academic performance and strengthened transferable skills integral to professional engineering practice.</w:t>
      </w:r>
    </w:p>
    <w:p w14:paraId="6DBF844E" w14:textId="77777777" w:rsidR="00E54C26" w:rsidRPr="00E54C26" w:rsidRDefault="00E54C26" w:rsidP="00E54C26">
      <w:pPr>
        <w:widowControl w:val="0"/>
        <w:pBdr>
          <w:top w:val="nil"/>
          <w:left w:val="nil"/>
          <w:bottom w:val="nil"/>
          <w:right w:val="nil"/>
          <w:between w:val="nil"/>
        </w:pBdr>
        <w:spacing w:line="360" w:lineRule="auto"/>
        <w:jc w:val="both"/>
        <w:rPr>
          <w:rFonts w:ascii="Arial" w:hAnsi="Arial" w:cs="Arial"/>
        </w:rPr>
      </w:pPr>
      <w:r w:rsidRPr="00E54C26">
        <w:rPr>
          <w:rFonts w:ascii="Arial" w:hAnsi="Arial" w:cs="Arial"/>
        </w:rPr>
        <w:t>Collectively, the study concludes that double-loop feedback represents a powerful pedagogical tool for fostering deeper learning, reflection, and independent thinking within technical further and higher education contexts. By transforming feedback from a unidirectional exchange into a collaborative cycle of inquiry, the model supports both the immediate development of academic skills and the long-term cultivation of metacognitive capabilities essential for industry readiness.</w:t>
      </w:r>
    </w:p>
    <w:p w14:paraId="506E4840" w14:textId="5BB5C76D" w:rsidR="00643DE7" w:rsidRPr="00D2713B" w:rsidRDefault="00404D1C" w:rsidP="00D2713B">
      <w:pPr>
        <w:pStyle w:val="Heading2"/>
        <w:rPr>
          <w:rFonts w:ascii="Arial" w:hAnsi="Arial" w:cs="Arial"/>
          <w:sz w:val="22"/>
          <w:szCs w:val="22"/>
        </w:rPr>
      </w:pPr>
      <w:bookmarkStart w:id="53" w:name="_Toc214970288"/>
      <w:r w:rsidRPr="00D2713B">
        <w:rPr>
          <w:rFonts w:ascii="Arial" w:hAnsi="Arial" w:cs="Arial"/>
          <w:sz w:val="22"/>
          <w:szCs w:val="22"/>
        </w:rPr>
        <w:t>7</w:t>
      </w:r>
      <w:r w:rsidR="004275D3" w:rsidRPr="00D2713B">
        <w:rPr>
          <w:rFonts w:ascii="Arial" w:hAnsi="Arial" w:cs="Arial"/>
          <w:sz w:val="22"/>
          <w:szCs w:val="22"/>
        </w:rPr>
        <w:t>.4</w:t>
      </w:r>
      <w:r w:rsidR="00643DE7" w:rsidRPr="00D2713B">
        <w:rPr>
          <w:rFonts w:ascii="Arial" w:hAnsi="Arial" w:cs="Arial"/>
          <w:sz w:val="22"/>
          <w:szCs w:val="22"/>
        </w:rPr>
        <w:t xml:space="preserve"> Limitations</w:t>
      </w:r>
      <w:bookmarkEnd w:id="53"/>
    </w:p>
    <w:p w14:paraId="31D6A3F4" w14:textId="77777777" w:rsidR="00643DE7" w:rsidRDefault="00643DE7" w:rsidP="00643DE7">
      <w:pPr>
        <w:widowControl w:val="0"/>
        <w:pBdr>
          <w:top w:val="nil"/>
          <w:left w:val="nil"/>
          <w:bottom w:val="nil"/>
          <w:right w:val="nil"/>
          <w:between w:val="nil"/>
        </w:pBdr>
        <w:spacing w:line="360" w:lineRule="auto"/>
        <w:jc w:val="both"/>
        <w:rPr>
          <w:rFonts w:ascii="Arial" w:hAnsi="Arial" w:cs="Arial"/>
        </w:rPr>
      </w:pPr>
      <w:r w:rsidRPr="00643DE7">
        <w:rPr>
          <w:rFonts w:ascii="Arial" w:hAnsi="Arial" w:cs="Arial"/>
        </w:rPr>
        <w:t>This analysis also has several limitations, including the use of secondary literature; therefore, the generalisations of this study's findings are restricted to UK further education and the HNC Civil Engineering and Construction programmes. The lack of operational data means that the benefits and constraints suggested throughout this paper can only be based on the information available. The literature-based nature of the study limits the ability to assess the scalability of this feedback intervention and whether this system will be effective in other disciplines, academic levels, or universities worldwide. The effectiveness of the investigation is also constrained by resource allocation and staff preparedness; therefore, implementation could face challenges not explored in this paper.</w:t>
      </w:r>
    </w:p>
    <w:p w14:paraId="125CA647" w14:textId="582A84E1" w:rsidR="00643DE7" w:rsidRPr="00D2713B" w:rsidRDefault="00404D1C" w:rsidP="00D2713B">
      <w:pPr>
        <w:pStyle w:val="Heading2"/>
        <w:rPr>
          <w:rFonts w:ascii="Arial" w:hAnsi="Arial" w:cs="Arial"/>
          <w:sz w:val="22"/>
          <w:szCs w:val="22"/>
        </w:rPr>
      </w:pPr>
      <w:bookmarkStart w:id="54" w:name="_Toc214970289"/>
      <w:r w:rsidRPr="00D2713B">
        <w:rPr>
          <w:rFonts w:ascii="Arial" w:hAnsi="Arial" w:cs="Arial"/>
          <w:sz w:val="22"/>
          <w:szCs w:val="22"/>
        </w:rPr>
        <w:lastRenderedPageBreak/>
        <w:t>7</w:t>
      </w:r>
      <w:r w:rsidR="004275D3" w:rsidRPr="00D2713B">
        <w:rPr>
          <w:rFonts w:ascii="Arial" w:hAnsi="Arial" w:cs="Arial"/>
          <w:sz w:val="22"/>
          <w:szCs w:val="22"/>
        </w:rPr>
        <w:t>.5</w:t>
      </w:r>
      <w:r w:rsidR="00643DE7" w:rsidRPr="00D2713B">
        <w:rPr>
          <w:rFonts w:ascii="Arial" w:hAnsi="Arial" w:cs="Arial"/>
          <w:sz w:val="22"/>
          <w:szCs w:val="22"/>
        </w:rPr>
        <w:t xml:space="preserve"> Further Research</w:t>
      </w:r>
      <w:bookmarkEnd w:id="54"/>
    </w:p>
    <w:p w14:paraId="0763B515" w14:textId="77777777" w:rsidR="00643DE7" w:rsidRPr="00643DE7" w:rsidRDefault="00643DE7" w:rsidP="00643DE7">
      <w:pPr>
        <w:widowControl w:val="0"/>
        <w:pBdr>
          <w:top w:val="nil"/>
          <w:left w:val="nil"/>
          <w:bottom w:val="nil"/>
          <w:right w:val="nil"/>
          <w:between w:val="nil"/>
        </w:pBdr>
        <w:spacing w:line="360" w:lineRule="auto"/>
        <w:jc w:val="both"/>
        <w:rPr>
          <w:rFonts w:ascii="Arial" w:hAnsi="Arial" w:cs="Arial"/>
        </w:rPr>
      </w:pPr>
      <w:r>
        <w:rPr>
          <w:rFonts w:ascii="Arial" w:hAnsi="Arial" w:cs="Arial"/>
        </w:rPr>
        <w:t>This report advocates for more empirical research on the long-term effects of double-loop feedback interventions across diverse vocational learning settings. It also emphasises the need for longitudinal studies to track students' retention, progression, and employment outcomes after participating in programmes that utilise the double-loop learning approach. It is recommended to develop lecturer training and professional development initiatives to enhance staff understanding of reflective practice and to strengthen their capacity to deliver and implement double-loop feedback interventions. Further investigation into the use of technology-enhanced feedback in vocational education will improve understanding of digital tools for formative feedback in work-based learning courses. Additional research should explore how reflective learning interventions influence the development of digital, transferable, and interdisciplinary skills, thereby contributing to the debate on graduate employability. Senior staff should also review the institutional culture to encourage and support the adoption of double-loop interventions for both formative and summative assessments.</w:t>
      </w:r>
    </w:p>
    <w:p w14:paraId="17269E74" w14:textId="1CC3F87A" w:rsidR="00643DE7" w:rsidRDefault="00643DE7" w:rsidP="00643DE7">
      <w:pPr>
        <w:widowControl w:val="0"/>
        <w:pBdr>
          <w:top w:val="nil"/>
          <w:left w:val="nil"/>
          <w:bottom w:val="nil"/>
          <w:right w:val="nil"/>
          <w:between w:val="nil"/>
        </w:pBdr>
        <w:spacing w:line="360" w:lineRule="auto"/>
        <w:jc w:val="both"/>
        <w:rPr>
          <w:rFonts w:ascii="Arial" w:hAnsi="Arial" w:cs="Arial"/>
        </w:rPr>
      </w:pPr>
      <w:r w:rsidRPr="00643DE7">
        <w:rPr>
          <w:rFonts w:ascii="Arial" w:hAnsi="Arial" w:cs="Arial"/>
        </w:rPr>
        <w:t>Furthermore, leadership strategies to foster reflection cultures in HE programmes should be explored. More research into international practices and partnerships is necessary to enhance existing strategies. Additionally, implementing policies to ensure consistency in support programmes across the curriculum will promote fairness for all learners. These avenues for further research are vital for building on the progress made in this study.</w:t>
      </w:r>
    </w:p>
    <w:p w14:paraId="4638F402" w14:textId="6BA3C99A" w:rsidR="004275D3" w:rsidRPr="00D2713B" w:rsidRDefault="004275D3" w:rsidP="00D2713B">
      <w:pPr>
        <w:pStyle w:val="Heading2"/>
        <w:rPr>
          <w:rFonts w:ascii="Arial" w:hAnsi="Arial" w:cs="Arial"/>
          <w:sz w:val="22"/>
          <w:szCs w:val="22"/>
        </w:rPr>
      </w:pPr>
      <w:bookmarkStart w:id="55" w:name="_Toc214970290"/>
      <w:r w:rsidRPr="00D2713B">
        <w:rPr>
          <w:rFonts w:ascii="Arial" w:hAnsi="Arial" w:cs="Arial"/>
          <w:sz w:val="22"/>
          <w:szCs w:val="22"/>
        </w:rPr>
        <w:t>7.6 Summary</w:t>
      </w:r>
      <w:bookmarkEnd w:id="55"/>
    </w:p>
    <w:p w14:paraId="11F5CD7E" w14:textId="77777777" w:rsidR="004275D3" w:rsidRPr="00643DE7" w:rsidRDefault="004275D3" w:rsidP="004275D3">
      <w:pPr>
        <w:widowControl w:val="0"/>
        <w:pBdr>
          <w:top w:val="nil"/>
          <w:left w:val="nil"/>
          <w:bottom w:val="nil"/>
          <w:right w:val="nil"/>
          <w:between w:val="nil"/>
        </w:pBdr>
        <w:spacing w:line="360" w:lineRule="auto"/>
        <w:jc w:val="both"/>
        <w:rPr>
          <w:rFonts w:ascii="Arial" w:hAnsi="Arial" w:cs="Arial"/>
        </w:rPr>
      </w:pPr>
      <w:r w:rsidRPr="735CD2D5">
        <w:rPr>
          <w:rFonts w:ascii="Arial" w:hAnsi="Arial" w:cs="Arial"/>
        </w:rPr>
        <w:t>This project highlights the importance of lecturers shifting from single-loop learning patterns to support the development of non-traditional entrant students in HNC Civil Engineering and Construction programmes. Findings indicate that double-loop learning promotes transformational learning among staff and students, allowing them to critically assess habits, norms, values, and assumptions that can enhance critical skills and lifelong learning. The results show that when reflective practice is incorporated into both formative and summative assessments, students develop metacognitive skills and build resilience for educational and professional environments. It also demonstrated that students who engage in reflective practice within their programmes can regulate their behaviour and gain control in independent and group work situations. These findings emphasise that, with supportive and innovative platforms for critical self-reflection, such as workshops, portfolios, mentor feedback, and peer reviews, students can effectively utilise knowledge and transfer skills across different contexts, leading to improved retention, progression, and employability of diverse and non-traditional cohorts. Nevertheless, success largely depends on adequate resources, appropriate support, and a proactive institutional culture and leadership. Through technology and digital learning platforms, universities can extend access and develop inclusive support programmes that reach a broader range of vocational students.</w:t>
      </w:r>
    </w:p>
    <w:p w14:paraId="1DD9094E" w14:textId="77777777" w:rsidR="004275D3" w:rsidRDefault="004275D3" w:rsidP="004275D3">
      <w:pPr>
        <w:widowControl w:val="0"/>
        <w:pBdr>
          <w:top w:val="nil"/>
          <w:left w:val="nil"/>
          <w:bottom w:val="nil"/>
          <w:right w:val="nil"/>
          <w:between w:val="nil"/>
        </w:pBdr>
        <w:spacing w:line="360" w:lineRule="auto"/>
        <w:jc w:val="both"/>
        <w:rPr>
          <w:rFonts w:ascii="Arial" w:hAnsi="Arial" w:cs="Arial"/>
        </w:rPr>
      </w:pPr>
      <w:r w:rsidRPr="00643DE7">
        <w:rPr>
          <w:rFonts w:ascii="Arial" w:hAnsi="Arial" w:cs="Arial"/>
        </w:rPr>
        <w:lastRenderedPageBreak/>
        <w:t>This work advances current research on feedback, reflective practice, and education in vocational and construction settings. The project's findings align with studies highlighting the gap between academia and practice, as well as the challenges faced by non-traditional learners in adapting to higher education. This paper deepens understanding of feedback, reflective practice, and how iterative, dialogic, and metacognitive processes</w:t>
      </w:r>
      <w:r>
        <w:rPr>
          <w:rFonts w:ascii="Arial" w:hAnsi="Arial" w:cs="Arial"/>
        </w:rPr>
        <w:t xml:space="preserve">, </w:t>
      </w:r>
      <w:r w:rsidRPr="00643DE7">
        <w:rPr>
          <w:rFonts w:ascii="Arial" w:hAnsi="Arial" w:cs="Arial"/>
        </w:rPr>
        <w:t>both in formal and informal contexts</w:t>
      </w:r>
      <w:r>
        <w:rPr>
          <w:rFonts w:ascii="Arial" w:hAnsi="Arial" w:cs="Arial"/>
        </w:rPr>
        <w:t xml:space="preserve">, </w:t>
      </w:r>
      <w:r w:rsidRPr="00643DE7">
        <w:rPr>
          <w:rFonts w:ascii="Arial" w:hAnsi="Arial" w:cs="Arial"/>
        </w:rPr>
        <w:t>can help achieve educational goals. The research contributes a novel and precise model of how a double-loop learning feedback framework can be applied to meet these educational aims. Drawing on insights from critical analysis and reflection, this paper expands the literature on feedback and reflective practice within construction and vocational education. It also demonstrates the importance of recognising learners' agency, organisational learning, and the collaborative environment in developing metacognitive skills. Furthermore, considering aspects relevant to non-traditional learners, such as social justice, gender, diversity, and resource accessibility, will enrich the limited literature on reflective practice in vocational courses.</w:t>
      </w:r>
    </w:p>
    <w:p w14:paraId="3F9987FB" w14:textId="6B331A77" w:rsidR="00643DE7" w:rsidRPr="00D2713B" w:rsidRDefault="00404D1C" w:rsidP="00D2713B">
      <w:pPr>
        <w:pStyle w:val="Heading2"/>
        <w:rPr>
          <w:rFonts w:ascii="Arial" w:hAnsi="Arial" w:cs="Arial"/>
          <w:sz w:val="22"/>
          <w:szCs w:val="22"/>
        </w:rPr>
      </w:pPr>
      <w:bookmarkStart w:id="56" w:name="_Toc214970291"/>
      <w:r w:rsidRPr="00D2713B">
        <w:rPr>
          <w:rFonts w:ascii="Arial" w:hAnsi="Arial" w:cs="Arial"/>
          <w:sz w:val="22"/>
          <w:szCs w:val="22"/>
        </w:rPr>
        <w:t>7</w:t>
      </w:r>
      <w:r w:rsidR="00643DE7" w:rsidRPr="00D2713B">
        <w:rPr>
          <w:rFonts w:ascii="Arial" w:hAnsi="Arial" w:cs="Arial"/>
          <w:sz w:val="22"/>
          <w:szCs w:val="22"/>
        </w:rPr>
        <w:t>.</w:t>
      </w:r>
      <w:r w:rsidR="004275D3" w:rsidRPr="00D2713B">
        <w:rPr>
          <w:rFonts w:ascii="Arial" w:hAnsi="Arial" w:cs="Arial"/>
          <w:sz w:val="22"/>
          <w:szCs w:val="22"/>
        </w:rPr>
        <w:t>7</w:t>
      </w:r>
      <w:r w:rsidR="00643DE7" w:rsidRPr="00D2713B">
        <w:rPr>
          <w:rFonts w:ascii="Arial" w:hAnsi="Arial" w:cs="Arial"/>
          <w:sz w:val="22"/>
          <w:szCs w:val="22"/>
        </w:rPr>
        <w:t xml:space="preserve"> </w:t>
      </w:r>
      <w:r w:rsidRPr="00D2713B">
        <w:rPr>
          <w:rFonts w:ascii="Arial" w:hAnsi="Arial" w:cs="Arial"/>
          <w:sz w:val="22"/>
          <w:szCs w:val="22"/>
        </w:rPr>
        <w:t>Final Thoughts</w:t>
      </w:r>
      <w:bookmarkEnd w:id="56"/>
    </w:p>
    <w:p w14:paraId="000278BC" w14:textId="77777777" w:rsidR="00643DE7" w:rsidRDefault="00643DE7" w:rsidP="00643DE7">
      <w:pPr>
        <w:widowControl w:val="0"/>
        <w:pBdr>
          <w:top w:val="nil"/>
          <w:left w:val="nil"/>
          <w:bottom w:val="nil"/>
          <w:right w:val="nil"/>
          <w:between w:val="nil"/>
        </w:pBdr>
        <w:spacing w:line="360" w:lineRule="auto"/>
        <w:jc w:val="both"/>
        <w:rPr>
          <w:rFonts w:ascii="Arial" w:hAnsi="Arial" w:cs="Arial"/>
        </w:rPr>
      </w:pPr>
      <w:r w:rsidRPr="00643DE7">
        <w:rPr>
          <w:rFonts w:ascii="Arial" w:hAnsi="Arial" w:cs="Arial"/>
        </w:rPr>
        <w:t>This research project has enabled me to explore the impact and role of double-loop feedback in HNC Civil Engineering and Construction programmes for non-traditional entrants through theoretical, practical, critical self-reflection, and feedback intervention. It also highlighted some challenges in developing reflection environments and suggested ways to address them, making my experience a journey filled with the excitement and discovery of knowledge. I was impressed by how feedback and reflection can enhance student development. Understanding the complexities and challenges faced by non-traditional students in terms of progression has inspired me to promote fair and effective experiences for these students.</w:t>
      </w:r>
    </w:p>
    <w:p w14:paraId="25C9AA70" w14:textId="662BB178" w:rsidR="00BE71E6" w:rsidRDefault="004275D3" w:rsidP="00E00D7F">
      <w:pPr>
        <w:widowControl w:val="0"/>
        <w:pBdr>
          <w:top w:val="nil"/>
          <w:left w:val="nil"/>
          <w:bottom w:val="nil"/>
          <w:right w:val="nil"/>
          <w:between w:val="nil"/>
        </w:pBdr>
        <w:spacing w:line="360" w:lineRule="auto"/>
        <w:jc w:val="both"/>
        <w:rPr>
          <w:rFonts w:ascii="Arial" w:hAnsi="Arial" w:cs="Arial"/>
        </w:rPr>
      </w:pPr>
      <w:r>
        <w:rPr>
          <w:rFonts w:ascii="Arial" w:hAnsi="Arial" w:cs="Arial"/>
        </w:rPr>
        <w:t>T</w:t>
      </w:r>
      <w:r w:rsidR="00643DE7" w:rsidRPr="00643DE7">
        <w:rPr>
          <w:rFonts w:ascii="Arial" w:hAnsi="Arial" w:cs="Arial"/>
        </w:rPr>
        <w:t>his report has shown that effectively implementing double-loop feedback intervention can facilitate a transformative learning experience for diverse learners in HNC Civil Engineering and Construction programmes and assist students in bridging the gap between academia and industry in the future. This adds to the reflective practice literature and offers an overview that</w:t>
      </w:r>
      <w:r>
        <w:rPr>
          <w:rFonts w:ascii="Arial" w:hAnsi="Arial" w:cs="Arial"/>
        </w:rPr>
        <w:t xml:space="preserve"> will influence academic staff.</w:t>
      </w:r>
    </w:p>
    <w:p w14:paraId="3544285A" w14:textId="56869C5C" w:rsidR="004275D3" w:rsidRDefault="004275D3" w:rsidP="00E00D7F">
      <w:pPr>
        <w:widowControl w:val="0"/>
        <w:pBdr>
          <w:top w:val="nil"/>
          <w:left w:val="nil"/>
          <w:bottom w:val="nil"/>
          <w:right w:val="nil"/>
          <w:between w:val="nil"/>
        </w:pBdr>
        <w:spacing w:line="360" w:lineRule="auto"/>
        <w:jc w:val="both"/>
        <w:rPr>
          <w:rFonts w:ascii="Arial" w:hAnsi="Arial" w:cs="Arial"/>
        </w:rPr>
      </w:pPr>
    </w:p>
    <w:p w14:paraId="052950C3" w14:textId="5B04E7B8" w:rsidR="004275D3" w:rsidRDefault="004275D3" w:rsidP="00E00D7F">
      <w:pPr>
        <w:widowControl w:val="0"/>
        <w:pBdr>
          <w:top w:val="nil"/>
          <w:left w:val="nil"/>
          <w:bottom w:val="nil"/>
          <w:right w:val="nil"/>
          <w:between w:val="nil"/>
        </w:pBdr>
        <w:spacing w:line="360" w:lineRule="auto"/>
        <w:jc w:val="both"/>
        <w:rPr>
          <w:rFonts w:ascii="Arial" w:hAnsi="Arial" w:cs="Arial"/>
        </w:rPr>
      </w:pPr>
    </w:p>
    <w:p w14:paraId="663A7487" w14:textId="10336598" w:rsidR="004275D3" w:rsidRDefault="004275D3" w:rsidP="00E00D7F">
      <w:pPr>
        <w:widowControl w:val="0"/>
        <w:pBdr>
          <w:top w:val="nil"/>
          <w:left w:val="nil"/>
          <w:bottom w:val="nil"/>
          <w:right w:val="nil"/>
          <w:between w:val="nil"/>
        </w:pBdr>
        <w:spacing w:line="360" w:lineRule="auto"/>
        <w:jc w:val="both"/>
        <w:rPr>
          <w:rFonts w:ascii="Arial" w:hAnsi="Arial" w:cs="Arial"/>
        </w:rPr>
      </w:pPr>
    </w:p>
    <w:p w14:paraId="1ECD3523" w14:textId="3C345B69" w:rsidR="00D2713B" w:rsidRDefault="00D2713B" w:rsidP="00E00D7F">
      <w:pPr>
        <w:widowControl w:val="0"/>
        <w:pBdr>
          <w:top w:val="nil"/>
          <w:left w:val="nil"/>
          <w:bottom w:val="nil"/>
          <w:right w:val="nil"/>
          <w:between w:val="nil"/>
        </w:pBdr>
        <w:spacing w:line="360" w:lineRule="auto"/>
        <w:jc w:val="both"/>
        <w:rPr>
          <w:rFonts w:ascii="Arial" w:hAnsi="Arial" w:cs="Arial"/>
        </w:rPr>
      </w:pPr>
    </w:p>
    <w:p w14:paraId="3FA397F2" w14:textId="05E56EDE" w:rsidR="00D2713B" w:rsidRDefault="00D2713B" w:rsidP="00E00D7F">
      <w:pPr>
        <w:widowControl w:val="0"/>
        <w:pBdr>
          <w:top w:val="nil"/>
          <w:left w:val="nil"/>
          <w:bottom w:val="nil"/>
          <w:right w:val="nil"/>
          <w:between w:val="nil"/>
        </w:pBdr>
        <w:spacing w:line="360" w:lineRule="auto"/>
        <w:jc w:val="both"/>
        <w:rPr>
          <w:rFonts w:ascii="Arial" w:hAnsi="Arial" w:cs="Arial"/>
        </w:rPr>
      </w:pPr>
    </w:p>
    <w:p w14:paraId="4DDAE2BC" w14:textId="77777777" w:rsidR="00D2713B" w:rsidRDefault="00D2713B" w:rsidP="00E00D7F">
      <w:pPr>
        <w:widowControl w:val="0"/>
        <w:pBdr>
          <w:top w:val="nil"/>
          <w:left w:val="nil"/>
          <w:bottom w:val="nil"/>
          <w:right w:val="nil"/>
          <w:between w:val="nil"/>
        </w:pBdr>
        <w:spacing w:line="360" w:lineRule="auto"/>
        <w:jc w:val="both"/>
        <w:rPr>
          <w:rFonts w:ascii="Arial" w:hAnsi="Arial" w:cs="Arial"/>
        </w:rPr>
      </w:pPr>
    </w:p>
    <w:p w14:paraId="449C55EA" w14:textId="77777777" w:rsidR="008F54E6" w:rsidRPr="009764E8" w:rsidRDefault="00404D1C" w:rsidP="00DD1E04">
      <w:pPr>
        <w:pStyle w:val="Heading1"/>
        <w:rPr>
          <w:rFonts w:ascii="Arial" w:hAnsi="Arial" w:cs="Arial"/>
          <w:sz w:val="22"/>
          <w:szCs w:val="22"/>
        </w:rPr>
      </w:pPr>
      <w:bookmarkStart w:id="57" w:name="_3i16vmva03rz" w:colFirst="0" w:colLast="0"/>
      <w:bookmarkStart w:id="58" w:name="_Toc214970292"/>
      <w:bookmarkEnd w:id="57"/>
      <w:r>
        <w:rPr>
          <w:rFonts w:ascii="Arial" w:hAnsi="Arial" w:cs="Arial"/>
          <w:sz w:val="22"/>
          <w:szCs w:val="22"/>
        </w:rPr>
        <w:lastRenderedPageBreak/>
        <w:t xml:space="preserve">8.0 </w:t>
      </w:r>
      <w:r w:rsidR="008F54E6" w:rsidRPr="009764E8">
        <w:rPr>
          <w:rFonts w:ascii="Arial" w:hAnsi="Arial" w:cs="Arial"/>
          <w:sz w:val="22"/>
          <w:szCs w:val="22"/>
        </w:rPr>
        <w:t>References</w:t>
      </w:r>
      <w:bookmarkEnd w:id="58"/>
    </w:p>
    <w:p w14:paraId="3C98D9EF" w14:textId="77777777" w:rsidR="00BE71E6" w:rsidRDefault="00BE71E6" w:rsidP="0006320A">
      <w:pPr>
        <w:rPr>
          <w:rFonts w:ascii="Arial" w:hAnsi="Arial" w:cs="Arial"/>
        </w:rPr>
      </w:pPr>
    </w:p>
    <w:p w14:paraId="4EED7D31" w14:textId="77777777" w:rsidR="00BE71E6" w:rsidRDefault="00BE71E6" w:rsidP="0006320A">
      <w:pPr>
        <w:rPr>
          <w:rFonts w:ascii="Arial" w:hAnsi="Arial" w:cs="Arial"/>
        </w:rPr>
      </w:pPr>
      <w:r w:rsidRPr="00BE71E6">
        <w:rPr>
          <w:rFonts w:ascii="Arial" w:hAnsi="Arial" w:cs="Arial"/>
        </w:rPr>
        <w:t>Aas, M. (2017) Leaders as learners: developing new leadership practices. Professional Developmen</w:t>
      </w:r>
      <w:r>
        <w:rPr>
          <w:rFonts w:ascii="Arial" w:hAnsi="Arial" w:cs="Arial"/>
        </w:rPr>
        <w:t>t in Education, 43(3), 439-453.</w:t>
      </w:r>
    </w:p>
    <w:p w14:paraId="07E892B3" w14:textId="77777777" w:rsidR="0006320A" w:rsidRPr="009764E8" w:rsidRDefault="0006320A" w:rsidP="0006320A">
      <w:pPr>
        <w:rPr>
          <w:rFonts w:ascii="Arial" w:hAnsi="Arial" w:cs="Arial"/>
        </w:rPr>
      </w:pPr>
      <w:r w:rsidRPr="009764E8">
        <w:rPr>
          <w:rFonts w:ascii="Arial" w:hAnsi="Arial" w:cs="Arial"/>
        </w:rPr>
        <w:t xml:space="preserve">Argyris, C. (1991) </w:t>
      </w:r>
      <w:r w:rsidRPr="009764E8">
        <w:rPr>
          <w:rFonts w:ascii="Arial" w:hAnsi="Arial" w:cs="Arial"/>
          <w:i/>
          <w:iCs/>
        </w:rPr>
        <w:t>Teaching smart people how to learn</w:t>
      </w:r>
      <w:r w:rsidRPr="009764E8">
        <w:rPr>
          <w:rFonts w:ascii="Arial" w:hAnsi="Arial" w:cs="Arial"/>
        </w:rPr>
        <w:t>. Harvard Business Review, 69(3), pp. 99–109.</w:t>
      </w:r>
    </w:p>
    <w:p w14:paraId="0050A4F6" w14:textId="77777777" w:rsidR="003C0699" w:rsidRDefault="003C0699" w:rsidP="0006320A">
      <w:pPr>
        <w:rPr>
          <w:rFonts w:ascii="Arial" w:hAnsi="Arial" w:cs="Arial"/>
        </w:rPr>
      </w:pPr>
      <w:r w:rsidRPr="003C0699">
        <w:rPr>
          <w:rFonts w:ascii="Arial" w:hAnsi="Arial" w:cs="Arial"/>
        </w:rPr>
        <w:t>Argyris, C. and Schön, D.A. (1974) Theory in Practice: Increasing Professional Effectiveness. San Francisco: Jossey-Bass.</w:t>
      </w:r>
    </w:p>
    <w:p w14:paraId="30D5333B" w14:textId="77777777" w:rsidR="0006320A" w:rsidRDefault="0006320A" w:rsidP="0006320A">
      <w:pPr>
        <w:rPr>
          <w:rFonts w:ascii="Arial" w:hAnsi="Arial" w:cs="Arial"/>
        </w:rPr>
      </w:pPr>
      <w:r w:rsidRPr="009764E8">
        <w:rPr>
          <w:rFonts w:ascii="Arial" w:hAnsi="Arial" w:cs="Arial"/>
        </w:rPr>
        <w:t xml:space="preserve">Argyris, C. &amp; Schön, D. (1997) </w:t>
      </w:r>
      <w:r w:rsidRPr="009764E8">
        <w:rPr>
          <w:rFonts w:ascii="Arial" w:hAnsi="Arial" w:cs="Arial"/>
          <w:i/>
          <w:iCs/>
        </w:rPr>
        <w:t>Organizational learning II: Theory, method, and practice</w:t>
      </w:r>
      <w:r w:rsidRPr="009764E8">
        <w:rPr>
          <w:rFonts w:ascii="Arial" w:hAnsi="Arial" w:cs="Arial"/>
        </w:rPr>
        <w:t>. Reading, MA: Addison-Wesley.</w:t>
      </w:r>
    </w:p>
    <w:p w14:paraId="7E1B2B4F" w14:textId="77777777" w:rsidR="003C0699" w:rsidRDefault="003C0699" w:rsidP="0006320A">
      <w:pPr>
        <w:rPr>
          <w:rFonts w:ascii="Arial" w:hAnsi="Arial" w:cs="Arial"/>
        </w:rPr>
      </w:pPr>
      <w:r w:rsidRPr="003C0699">
        <w:rPr>
          <w:rFonts w:ascii="Arial" w:hAnsi="Arial" w:cs="Arial"/>
        </w:rPr>
        <w:t>Bandura, A. (1997) Self-Efficacy: The Exercise of Control. New York: W.H. Freeman.</w:t>
      </w:r>
    </w:p>
    <w:p w14:paraId="73596BDC" w14:textId="77777777" w:rsidR="00D959BA" w:rsidRDefault="00D959BA" w:rsidP="0006320A">
      <w:pPr>
        <w:rPr>
          <w:rFonts w:ascii="Arial" w:hAnsi="Arial" w:cs="Arial"/>
        </w:rPr>
      </w:pPr>
      <w:r>
        <w:rPr>
          <w:rFonts w:ascii="Arial" w:hAnsi="Arial" w:cs="Arial"/>
        </w:rPr>
        <w:t>Beattie, R. S. (2002)</w:t>
      </w:r>
      <w:r w:rsidRPr="00D959BA">
        <w:rPr>
          <w:rFonts w:ascii="Arial" w:hAnsi="Arial" w:cs="Arial"/>
        </w:rPr>
        <w:t xml:space="preserve"> Developmental managers: Line managers as facilitators of workplace learning in voluntary organisations [Doctoral dissertation, University of Glasgow]. ProQuest Dissertations &amp; Theses. </w:t>
      </w:r>
    </w:p>
    <w:p w14:paraId="488BC1FF" w14:textId="77777777" w:rsidR="003C0699" w:rsidRDefault="003C0699" w:rsidP="0006320A">
      <w:pPr>
        <w:rPr>
          <w:rFonts w:ascii="Arial" w:hAnsi="Arial" w:cs="Arial"/>
        </w:rPr>
      </w:pPr>
      <w:r w:rsidRPr="003C0699">
        <w:rPr>
          <w:rFonts w:ascii="Arial" w:hAnsi="Arial" w:cs="Arial"/>
        </w:rPr>
        <w:t>Biggs, J. (2011) Teaching for Quality Learning at University. 4th edn. Maidenhead: Open University Press.</w:t>
      </w:r>
    </w:p>
    <w:p w14:paraId="349E1CD8" w14:textId="77777777" w:rsidR="00D959BA" w:rsidRPr="009764E8" w:rsidRDefault="00D959BA" w:rsidP="0006320A">
      <w:pPr>
        <w:rPr>
          <w:rFonts w:ascii="Arial" w:hAnsi="Arial" w:cs="Arial"/>
        </w:rPr>
      </w:pPr>
      <w:r w:rsidRPr="00D959BA">
        <w:rPr>
          <w:rFonts w:ascii="Arial" w:hAnsi="Arial" w:cs="Arial"/>
        </w:rPr>
        <w:t>Blaschk</w:t>
      </w:r>
      <w:r>
        <w:rPr>
          <w:rFonts w:ascii="Arial" w:hAnsi="Arial" w:cs="Arial"/>
        </w:rPr>
        <w:t>e, L. M., &amp; Marín, V. I. (2020)</w:t>
      </w:r>
      <w:r w:rsidRPr="00D959BA">
        <w:rPr>
          <w:rFonts w:ascii="Arial" w:hAnsi="Arial" w:cs="Arial"/>
        </w:rPr>
        <w:t xml:space="preserve"> Applications of Heutagogy in the educational use of e-portfolios. RED. Revista de Educación a Distancia, 20(64), 1-21. </w:t>
      </w:r>
    </w:p>
    <w:p w14:paraId="30C54FB4" w14:textId="77777777" w:rsidR="00AF0D4A" w:rsidRDefault="00AF0D4A" w:rsidP="00AF0D4A">
      <w:pPr>
        <w:rPr>
          <w:rFonts w:ascii="Arial" w:hAnsi="Arial" w:cs="Arial"/>
        </w:rPr>
      </w:pPr>
      <w:r w:rsidRPr="009764E8">
        <w:rPr>
          <w:rFonts w:ascii="Arial" w:hAnsi="Arial" w:cs="Arial"/>
        </w:rPr>
        <w:t xml:space="preserve">Bloomberg, L.D. (2022) </w:t>
      </w:r>
      <w:r w:rsidRPr="009764E8">
        <w:rPr>
          <w:rFonts w:ascii="Arial" w:hAnsi="Arial" w:cs="Arial"/>
          <w:i/>
          <w:iCs/>
        </w:rPr>
        <w:t>Completing Your Qualitative Dissertation: A Road Map from Beginning to End</w:t>
      </w:r>
      <w:r w:rsidRPr="009764E8">
        <w:rPr>
          <w:rFonts w:ascii="Arial" w:hAnsi="Arial" w:cs="Arial"/>
        </w:rPr>
        <w:t>. 5th edn. Thousand Oaks: SAGE Publications.</w:t>
      </w:r>
    </w:p>
    <w:p w14:paraId="1C8F7FF0" w14:textId="77777777" w:rsidR="00D959BA" w:rsidRDefault="00D959BA" w:rsidP="00AF0D4A">
      <w:pPr>
        <w:rPr>
          <w:rFonts w:ascii="Arial" w:hAnsi="Arial" w:cs="Arial"/>
        </w:rPr>
      </w:pPr>
      <w:r w:rsidRPr="00D959BA">
        <w:rPr>
          <w:rFonts w:ascii="Arial" w:hAnsi="Arial" w:cs="Arial"/>
        </w:rPr>
        <w:t xml:space="preserve">Boonstra, J. J. (2004) Dynamics of organizational change and learning. John Wiley &amp; Sons Ltd. </w:t>
      </w:r>
    </w:p>
    <w:p w14:paraId="482BE1F8" w14:textId="77777777" w:rsidR="003C0699" w:rsidRPr="009764E8" w:rsidRDefault="003C0699" w:rsidP="00AF0D4A">
      <w:pPr>
        <w:rPr>
          <w:rFonts w:ascii="Arial" w:hAnsi="Arial" w:cs="Arial"/>
        </w:rPr>
      </w:pPr>
      <w:r w:rsidRPr="003C0699">
        <w:rPr>
          <w:rFonts w:ascii="Arial" w:hAnsi="Arial" w:cs="Arial"/>
        </w:rPr>
        <w:t>Boud, D. and Molloy, E. (2013) Feedback in Higher and Professional Education: Understanding It and Doing It Well. London: Routledge.</w:t>
      </w:r>
    </w:p>
    <w:p w14:paraId="5688C162" w14:textId="77777777" w:rsidR="0006320A" w:rsidRPr="009764E8" w:rsidRDefault="0006320A" w:rsidP="0006320A">
      <w:pPr>
        <w:rPr>
          <w:rFonts w:ascii="Arial" w:hAnsi="Arial" w:cs="Arial"/>
        </w:rPr>
      </w:pPr>
      <w:r w:rsidRPr="009764E8">
        <w:rPr>
          <w:rFonts w:ascii="Arial" w:hAnsi="Arial" w:cs="Arial"/>
        </w:rPr>
        <w:t xml:space="preserve">Boud, D. &amp; Solomon, N. (2001) </w:t>
      </w:r>
      <w:r w:rsidRPr="009764E8">
        <w:rPr>
          <w:rFonts w:ascii="Arial" w:hAnsi="Arial" w:cs="Arial"/>
          <w:i/>
          <w:iCs/>
        </w:rPr>
        <w:t>Work-based learning: A new higher education?</w:t>
      </w:r>
      <w:r w:rsidRPr="009764E8">
        <w:rPr>
          <w:rFonts w:ascii="Arial" w:hAnsi="Arial" w:cs="Arial"/>
        </w:rPr>
        <w:t xml:space="preserve"> Buckingham: Open University Press.</w:t>
      </w:r>
    </w:p>
    <w:p w14:paraId="576FA1B8" w14:textId="77777777" w:rsidR="00D959BA" w:rsidRDefault="00AF0D4A" w:rsidP="0006320A">
      <w:pPr>
        <w:rPr>
          <w:rFonts w:ascii="Arial" w:hAnsi="Arial" w:cs="Arial"/>
        </w:rPr>
      </w:pPr>
      <w:r w:rsidRPr="009764E8">
        <w:rPr>
          <w:rFonts w:ascii="Arial" w:hAnsi="Arial" w:cs="Arial"/>
        </w:rPr>
        <w:t xml:space="preserve">Braun, V. and Clarke, V. (2006) ‘Using thematic analysis in psychology’, </w:t>
      </w:r>
      <w:r w:rsidRPr="009764E8">
        <w:rPr>
          <w:rFonts w:ascii="Arial" w:hAnsi="Arial" w:cs="Arial"/>
          <w:i/>
          <w:iCs/>
        </w:rPr>
        <w:t>Qualitative Research in Psychology</w:t>
      </w:r>
      <w:r w:rsidRPr="009764E8">
        <w:rPr>
          <w:rFonts w:ascii="Arial" w:hAnsi="Arial" w:cs="Arial"/>
        </w:rPr>
        <w:t xml:space="preserve">, 3(2), pp. 77–101. </w:t>
      </w:r>
    </w:p>
    <w:p w14:paraId="709BF6DE" w14:textId="77777777" w:rsidR="00D959BA" w:rsidRDefault="00D959BA" w:rsidP="0006320A">
      <w:pPr>
        <w:rPr>
          <w:rFonts w:ascii="Arial" w:hAnsi="Arial" w:cs="Arial"/>
        </w:rPr>
      </w:pPr>
      <w:r w:rsidRPr="00D959BA">
        <w:rPr>
          <w:rFonts w:ascii="Arial" w:hAnsi="Arial" w:cs="Arial"/>
        </w:rPr>
        <w:t xml:space="preserve">Brockbank, A. (2009). The role of reflective dialogue in transformational reflective learning [Doctoral dissertation, City University]. </w:t>
      </w:r>
    </w:p>
    <w:p w14:paraId="2A5A997D" w14:textId="77777777" w:rsidR="0006320A" w:rsidRDefault="0006320A" w:rsidP="0006320A">
      <w:pPr>
        <w:rPr>
          <w:rFonts w:ascii="Arial" w:hAnsi="Arial" w:cs="Arial"/>
        </w:rPr>
      </w:pPr>
      <w:r w:rsidRPr="009764E8">
        <w:rPr>
          <w:rFonts w:ascii="Arial" w:hAnsi="Arial" w:cs="Arial"/>
        </w:rPr>
        <w:t xml:space="preserve">Brockbank, A. &amp; McGill, I. (1998) </w:t>
      </w:r>
      <w:r w:rsidRPr="009764E8">
        <w:rPr>
          <w:rFonts w:ascii="Arial" w:hAnsi="Arial" w:cs="Arial"/>
          <w:i/>
          <w:iCs/>
        </w:rPr>
        <w:t>Facilitating reflective learning in higher education</w:t>
      </w:r>
      <w:r w:rsidRPr="009764E8">
        <w:rPr>
          <w:rFonts w:ascii="Arial" w:hAnsi="Arial" w:cs="Arial"/>
        </w:rPr>
        <w:t>. Buckingham: Open University Press.</w:t>
      </w:r>
    </w:p>
    <w:p w14:paraId="70BF072E" w14:textId="6FE2A08E" w:rsidR="00D959BA" w:rsidRDefault="00D959BA" w:rsidP="0006320A">
      <w:pPr>
        <w:rPr>
          <w:rFonts w:ascii="Arial" w:hAnsi="Arial" w:cs="Arial"/>
        </w:rPr>
      </w:pPr>
      <w:r w:rsidRPr="00D959BA">
        <w:rPr>
          <w:rFonts w:ascii="Arial" w:hAnsi="Arial" w:cs="Arial"/>
        </w:rPr>
        <w:t>Bull, M. (2014). People matter: a hermeneutic exploration of reflective practice and facilities management (Doctoral dissertation, Sheffield Hallam University). ProQuest LLC.</w:t>
      </w:r>
    </w:p>
    <w:p w14:paraId="6436652A" w14:textId="409885A2" w:rsidR="00CB2CE3" w:rsidRDefault="00CB2CE3" w:rsidP="0006320A">
      <w:pPr>
        <w:rPr>
          <w:rFonts w:ascii="Arial" w:hAnsi="Arial" w:cs="Arial"/>
        </w:rPr>
      </w:pPr>
      <w:r>
        <w:rPr>
          <w:rFonts w:ascii="Arial" w:hAnsi="Arial" w:cs="Arial"/>
        </w:rPr>
        <w:t xml:space="preserve">Cao, H.-Q. &amp; Han, C. (2024) </w:t>
      </w:r>
      <w:r w:rsidRPr="00CB2CE3">
        <w:rPr>
          <w:rFonts w:ascii="Arial" w:hAnsi="Arial" w:cs="Arial"/>
        </w:rPr>
        <w:t xml:space="preserve">The effect of Chinese vocational college students’ perception of feedback on online learning engagement: academic self-efficacy and test anxiety as mediating variables. </w:t>
      </w:r>
      <w:r w:rsidRPr="00CB2CE3">
        <w:rPr>
          <w:rFonts w:ascii="Arial" w:hAnsi="Arial" w:cs="Arial"/>
          <w:i/>
          <w:iCs/>
        </w:rPr>
        <w:t>Frontiers in Psychology, 15</w:t>
      </w:r>
      <w:r w:rsidRPr="00CB2CE3">
        <w:rPr>
          <w:rFonts w:ascii="Arial" w:hAnsi="Arial" w:cs="Arial"/>
        </w:rPr>
        <w:t>, 1326746.</w:t>
      </w:r>
    </w:p>
    <w:p w14:paraId="6B836772" w14:textId="77777777" w:rsidR="003C0699" w:rsidRPr="009764E8" w:rsidRDefault="003C0699" w:rsidP="0006320A">
      <w:pPr>
        <w:rPr>
          <w:rFonts w:ascii="Arial" w:hAnsi="Arial" w:cs="Arial"/>
        </w:rPr>
      </w:pPr>
      <w:r w:rsidRPr="003C0699">
        <w:rPr>
          <w:rFonts w:ascii="Arial" w:hAnsi="Arial" w:cs="Arial"/>
        </w:rPr>
        <w:t>Carless, D. and Boud, D. (2018) ‘The development of student feedback literacy: enabling uptake of feedback’, Assessment &amp; Evaluation in Higher Education, 43(8), pp. 1315–1325.</w:t>
      </w:r>
    </w:p>
    <w:p w14:paraId="2B246472" w14:textId="77777777" w:rsidR="0006320A" w:rsidRPr="009764E8" w:rsidRDefault="0006320A" w:rsidP="0006320A">
      <w:pPr>
        <w:rPr>
          <w:rFonts w:ascii="Arial" w:hAnsi="Arial" w:cs="Arial"/>
        </w:rPr>
      </w:pPr>
      <w:r w:rsidRPr="009764E8">
        <w:rPr>
          <w:rFonts w:ascii="Arial" w:hAnsi="Arial" w:cs="Arial"/>
        </w:rPr>
        <w:t xml:space="preserve">Cartwright, S. (2002) ‘Double-loop learning: A concept and process for leadership educators’, </w:t>
      </w:r>
      <w:r w:rsidRPr="009764E8">
        <w:rPr>
          <w:rFonts w:ascii="Arial" w:hAnsi="Arial" w:cs="Arial"/>
          <w:i/>
          <w:iCs/>
        </w:rPr>
        <w:t>Journal of Leadership Education</w:t>
      </w:r>
      <w:r w:rsidRPr="009764E8">
        <w:rPr>
          <w:rFonts w:ascii="Arial" w:hAnsi="Arial" w:cs="Arial"/>
        </w:rPr>
        <w:t>, 1(1), pp. 68–85.</w:t>
      </w:r>
    </w:p>
    <w:p w14:paraId="2E2E2FC6" w14:textId="77777777" w:rsidR="0006320A" w:rsidRDefault="0006320A" w:rsidP="0006320A">
      <w:pPr>
        <w:rPr>
          <w:rFonts w:ascii="Arial" w:hAnsi="Arial" w:cs="Arial"/>
        </w:rPr>
      </w:pPr>
      <w:r w:rsidRPr="009764E8">
        <w:rPr>
          <w:rFonts w:ascii="Arial" w:hAnsi="Arial" w:cs="Arial"/>
        </w:rPr>
        <w:lastRenderedPageBreak/>
        <w:t xml:space="preserve">Clance, P.R. &amp; Imes, S.A. (1978) ‘The imposter phenomenon in high achieving women: Dynamics and therapeutic intervention’, </w:t>
      </w:r>
      <w:r w:rsidRPr="009764E8">
        <w:rPr>
          <w:rFonts w:ascii="Arial" w:hAnsi="Arial" w:cs="Arial"/>
          <w:i/>
          <w:iCs/>
        </w:rPr>
        <w:t>Psychotherapy: Theory, Research and Practice</w:t>
      </w:r>
      <w:r w:rsidRPr="009764E8">
        <w:rPr>
          <w:rFonts w:ascii="Arial" w:hAnsi="Arial" w:cs="Arial"/>
        </w:rPr>
        <w:t>, 15(3), pp. 241–247.</w:t>
      </w:r>
    </w:p>
    <w:p w14:paraId="3CEB87E9" w14:textId="77777777" w:rsidR="00D959BA" w:rsidRPr="009764E8" w:rsidRDefault="00D959BA" w:rsidP="0006320A">
      <w:pPr>
        <w:rPr>
          <w:rFonts w:ascii="Arial" w:hAnsi="Arial" w:cs="Arial"/>
        </w:rPr>
      </w:pPr>
      <w:r w:rsidRPr="00D959BA">
        <w:rPr>
          <w:rFonts w:ascii="Arial" w:hAnsi="Arial" w:cs="Arial"/>
        </w:rPr>
        <w:t xml:space="preserve">Clark, K. M. (2021). Double-loop learning and productive reasoning: Chris Argyris's contributions to a framework for lifelong learning and inquiry. Midwest Social Sciences Journal, 24(1), Article 6. </w:t>
      </w:r>
    </w:p>
    <w:p w14:paraId="32C9CC56" w14:textId="77777777" w:rsidR="00AF0D4A" w:rsidRPr="009764E8" w:rsidRDefault="00AF0D4A" w:rsidP="00AF0D4A">
      <w:pPr>
        <w:rPr>
          <w:rFonts w:ascii="Arial" w:hAnsi="Arial" w:cs="Arial"/>
        </w:rPr>
      </w:pPr>
      <w:r w:rsidRPr="009764E8">
        <w:rPr>
          <w:rFonts w:ascii="Arial" w:hAnsi="Arial" w:cs="Arial"/>
        </w:rPr>
        <w:t xml:space="preserve">Cochran-Smith, M. and Lytle, S.L. (2009) </w:t>
      </w:r>
      <w:r w:rsidRPr="009764E8">
        <w:rPr>
          <w:rFonts w:ascii="Arial" w:hAnsi="Arial" w:cs="Arial"/>
          <w:i/>
          <w:iCs/>
        </w:rPr>
        <w:t>Inquiry as Stance: Practitioner Research for the Next Generation</w:t>
      </w:r>
      <w:r w:rsidRPr="009764E8">
        <w:rPr>
          <w:rFonts w:ascii="Arial" w:hAnsi="Arial" w:cs="Arial"/>
        </w:rPr>
        <w:t>. New York: Teachers College Press.</w:t>
      </w:r>
    </w:p>
    <w:p w14:paraId="02B0DF28" w14:textId="77777777" w:rsidR="00AF0D4A" w:rsidRDefault="00AF0D4A" w:rsidP="00AF0D4A">
      <w:pPr>
        <w:rPr>
          <w:rFonts w:ascii="Arial" w:hAnsi="Arial" w:cs="Arial"/>
        </w:rPr>
      </w:pPr>
      <w:r w:rsidRPr="009764E8">
        <w:rPr>
          <w:rFonts w:ascii="Arial" w:hAnsi="Arial" w:cs="Arial"/>
        </w:rPr>
        <w:t xml:space="preserve">Cousin, G. (2009) </w:t>
      </w:r>
      <w:r w:rsidRPr="009764E8">
        <w:rPr>
          <w:rFonts w:ascii="Arial" w:hAnsi="Arial" w:cs="Arial"/>
          <w:i/>
          <w:iCs/>
        </w:rPr>
        <w:t>Researching Learning in Higher Education: An Introduction to Contemporary Methods and Approaches</w:t>
      </w:r>
      <w:r w:rsidRPr="009764E8">
        <w:rPr>
          <w:rFonts w:ascii="Arial" w:hAnsi="Arial" w:cs="Arial"/>
        </w:rPr>
        <w:t>. New York: Routledge.</w:t>
      </w:r>
    </w:p>
    <w:p w14:paraId="566DA1D3" w14:textId="77777777" w:rsidR="00D959BA" w:rsidRPr="009764E8" w:rsidRDefault="00D959BA" w:rsidP="00AF0D4A">
      <w:pPr>
        <w:rPr>
          <w:rFonts w:ascii="Arial" w:hAnsi="Arial" w:cs="Arial"/>
        </w:rPr>
      </w:pPr>
      <w:r w:rsidRPr="00D959BA">
        <w:rPr>
          <w:rFonts w:ascii="Arial" w:hAnsi="Arial" w:cs="Arial"/>
        </w:rPr>
        <w:t xml:space="preserve">Cook, S., Linkston, A., Hope, G., Niven, M., Ross, N., Kerr, S., Harrington, M., Hotchkiss, G., McLaren, J., &amp; McNair, K. (2018). Learning and Teaching Committee. West Lothian College. </w:t>
      </w:r>
    </w:p>
    <w:p w14:paraId="46E60082" w14:textId="77777777" w:rsidR="00AF0D4A" w:rsidRDefault="00AF0D4A" w:rsidP="00AF0D4A">
      <w:pPr>
        <w:rPr>
          <w:rFonts w:ascii="Arial" w:hAnsi="Arial" w:cs="Arial"/>
        </w:rPr>
      </w:pPr>
      <w:r w:rsidRPr="009764E8">
        <w:rPr>
          <w:rFonts w:ascii="Arial" w:hAnsi="Arial" w:cs="Arial"/>
        </w:rPr>
        <w:t xml:space="preserve">Creswell, J.W. and Poth, C.N. (2018) </w:t>
      </w:r>
      <w:r w:rsidRPr="009764E8">
        <w:rPr>
          <w:rFonts w:ascii="Arial" w:hAnsi="Arial" w:cs="Arial"/>
          <w:i/>
          <w:iCs/>
        </w:rPr>
        <w:t>Qualitative Inquiry and Research Design: Choosing Among Five Approaches</w:t>
      </w:r>
      <w:r w:rsidRPr="009764E8">
        <w:rPr>
          <w:rFonts w:ascii="Arial" w:hAnsi="Arial" w:cs="Arial"/>
        </w:rPr>
        <w:t>. 4th edn. Thousand Oaks: SAGE Publications.</w:t>
      </w:r>
    </w:p>
    <w:p w14:paraId="00AE5871" w14:textId="77777777" w:rsidR="00D959BA" w:rsidRPr="009764E8" w:rsidRDefault="00D959BA" w:rsidP="00AF0D4A">
      <w:pPr>
        <w:rPr>
          <w:rFonts w:ascii="Arial" w:hAnsi="Arial" w:cs="Arial"/>
        </w:rPr>
      </w:pPr>
      <w:r w:rsidRPr="00D959BA">
        <w:rPr>
          <w:rFonts w:ascii="Arial" w:hAnsi="Arial" w:cs="Arial"/>
        </w:rPr>
        <w:t xml:space="preserve">Crick, R. (2017). Learning analytics: Layers, loops and processes in a virtual learning infrastructure. In Handbook of learning analytics (pp. 291–301). </w:t>
      </w:r>
    </w:p>
    <w:p w14:paraId="3B839907" w14:textId="77777777" w:rsidR="00AF0D4A" w:rsidRPr="009764E8" w:rsidRDefault="00AF0D4A" w:rsidP="00AF0D4A">
      <w:pPr>
        <w:rPr>
          <w:rFonts w:ascii="Arial" w:hAnsi="Arial" w:cs="Arial"/>
        </w:rPr>
      </w:pPr>
      <w:r w:rsidRPr="009764E8">
        <w:rPr>
          <w:rFonts w:ascii="Arial" w:hAnsi="Arial" w:cs="Arial"/>
        </w:rPr>
        <w:t xml:space="preserve">Denzin, N.K. and Lincoln, Y.S. (2018) </w:t>
      </w:r>
      <w:r w:rsidRPr="009764E8">
        <w:rPr>
          <w:rFonts w:ascii="Arial" w:hAnsi="Arial" w:cs="Arial"/>
          <w:i/>
          <w:iCs/>
        </w:rPr>
        <w:t>The SAGE Handbook of Qualitative Research</w:t>
      </w:r>
      <w:r w:rsidRPr="009764E8">
        <w:rPr>
          <w:rFonts w:ascii="Arial" w:hAnsi="Arial" w:cs="Arial"/>
        </w:rPr>
        <w:t>. 5th edn. Thousand Oaks: SAGE Publications.</w:t>
      </w:r>
    </w:p>
    <w:p w14:paraId="4292814D" w14:textId="77777777" w:rsidR="0006320A" w:rsidRPr="009764E8" w:rsidRDefault="0006320A" w:rsidP="0006320A">
      <w:pPr>
        <w:rPr>
          <w:rFonts w:ascii="Arial" w:hAnsi="Arial" w:cs="Arial"/>
        </w:rPr>
      </w:pPr>
      <w:r w:rsidRPr="009764E8">
        <w:rPr>
          <w:rFonts w:ascii="Arial" w:hAnsi="Arial" w:cs="Arial"/>
        </w:rPr>
        <w:t xml:space="preserve">Dingsøyr, T. (2022) ‘Improving large-scale feedback in software engineering education’, </w:t>
      </w:r>
      <w:r w:rsidRPr="009764E8">
        <w:rPr>
          <w:rFonts w:ascii="Arial" w:hAnsi="Arial" w:cs="Arial"/>
          <w:i/>
          <w:iCs/>
        </w:rPr>
        <w:t>IEEE Transactions on Education</w:t>
      </w:r>
      <w:r w:rsidRPr="009764E8">
        <w:rPr>
          <w:rFonts w:ascii="Arial" w:hAnsi="Arial" w:cs="Arial"/>
        </w:rPr>
        <w:t>, 65(3), pp. 345–356.</w:t>
      </w:r>
    </w:p>
    <w:p w14:paraId="09775186" w14:textId="77777777" w:rsidR="00D959BA" w:rsidRDefault="0006320A" w:rsidP="0006320A">
      <w:pPr>
        <w:rPr>
          <w:rFonts w:ascii="Arial" w:hAnsi="Arial" w:cs="Arial"/>
        </w:rPr>
      </w:pPr>
      <w:r w:rsidRPr="009764E8">
        <w:rPr>
          <w:rFonts w:ascii="Arial" w:hAnsi="Arial" w:cs="Arial"/>
        </w:rPr>
        <w:t xml:space="preserve">Doren, D. (2013) ‘Strategic feedback cycles in higher education’, </w:t>
      </w:r>
      <w:r w:rsidRPr="009764E8">
        <w:rPr>
          <w:rFonts w:ascii="Arial" w:hAnsi="Arial" w:cs="Arial"/>
          <w:i/>
          <w:iCs/>
        </w:rPr>
        <w:t>Teaching in Higher Education</w:t>
      </w:r>
      <w:r w:rsidRPr="009764E8">
        <w:rPr>
          <w:rFonts w:ascii="Arial" w:hAnsi="Arial" w:cs="Arial"/>
        </w:rPr>
        <w:t>, 18(4), pp. 456–469.</w:t>
      </w:r>
    </w:p>
    <w:p w14:paraId="417F4065" w14:textId="77777777" w:rsidR="00D959BA" w:rsidRDefault="00D959BA" w:rsidP="0006320A">
      <w:pPr>
        <w:rPr>
          <w:rFonts w:ascii="Arial" w:hAnsi="Arial" w:cs="Arial"/>
        </w:rPr>
      </w:pPr>
      <w:r w:rsidRPr="00D959BA">
        <w:rPr>
          <w:rFonts w:ascii="Arial" w:hAnsi="Arial" w:cs="Arial"/>
        </w:rPr>
        <w:t xml:space="preserve">Eller, K. F. (2024). Brackish connections: (Digital) learning networks, (virtual) communities of practice, and the rich learning-to-action pathways of their combined and intersecting existence. Advances in Developing Human Resources, 27(1), 27-36. </w:t>
      </w:r>
    </w:p>
    <w:p w14:paraId="49D63DCE" w14:textId="77777777" w:rsidR="0006320A" w:rsidRPr="009764E8" w:rsidRDefault="0006320A" w:rsidP="0006320A">
      <w:pPr>
        <w:rPr>
          <w:rFonts w:ascii="Arial" w:hAnsi="Arial" w:cs="Arial"/>
        </w:rPr>
      </w:pPr>
      <w:r w:rsidRPr="009764E8">
        <w:rPr>
          <w:rFonts w:ascii="Arial" w:hAnsi="Arial" w:cs="Arial"/>
        </w:rPr>
        <w:t xml:space="preserve">Eraut, M. (2004) ‘Informal learning in the workplace’, </w:t>
      </w:r>
      <w:r w:rsidRPr="009764E8">
        <w:rPr>
          <w:rFonts w:ascii="Arial" w:hAnsi="Arial" w:cs="Arial"/>
          <w:i/>
          <w:iCs/>
        </w:rPr>
        <w:t>Studies in Continuing Education</w:t>
      </w:r>
      <w:r w:rsidRPr="009764E8">
        <w:rPr>
          <w:rFonts w:ascii="Arial" w:hAnsi="Arial" w:cs="Arial"/>
        </w:rPr>
        <w:t>, 26(2), pp. 247–273.</w:t>
      </w:r>
    </w:p>
    <w:p w14:paraId="3B0DDCE1" w14:textId="77777777" w:rsidR="0006320A" w:rsidRDefault="0006320A" w:rsidP="0006320A">
      <w:pPr>
        <w:rPr>
          <w:rFonts w:ascii="Arial" w:hAnsi="Arial" w:cs="Arial"/>
        </w:rPr>
      </w:pPr>
      <w:r w:rsidRPr="009764E8">
        <w:rPr>
          <w:rFonts w:ascii="Arial" w:hAnsi="Arial" w:cs="Arial"/>
        </w:rPr>
        <w:t xml:space="preserve">Fortier, S., Shawcross, J. &amp; Stewart, M. (2012) ‘Assessment-based double-loop learning in engineering design education’, </w:t>
      </w:r>
      <w:r w:rsidRPr="009764E8">
        <w:rPr>
          <w:rFonts w:ascii="Arial" w:hAnsi="Arial" w:cs="Arial"/>
          <w:i/>
          <w:iCs/>
        </w:rPr>
        <w:t>European Journal of Engineering Education</w:t>
      </w:r>
      <w:r w:rsidRPr="009764E8">
        <w:rPr>
          <w:rFonts w:ascii="Arial" w:hAnsi="Arial" w:cs="Arial"/>
        </w:rPr>
        <w:t>, 37(2), pp. 179–190.</w:t>
      </w:r>
    </w:p>
    <w:p w14:paraId="1DDF83CC" w14:textId="77777777" w:rsidR="00D959BA" w:rsidRPr="009764E8" w:rsidRDefault="00D959BA" w:rsidP="0006320A">
      <w:pPr>
        <w:rPr>
          <w:rFonts w:ascii="Arial" w:hAnsi="Arial" w:cs="Arial"/>
        </w:rPr>
      </w:pPr>
      <w:r w:rsidRPr="00D959BA">
        <w:rPr>
          <w:rFonts w:ascii="Arial" w:hAnsi="Arial" w:cs="Arial"/>
        </w:rPr>
        <w:t xml:space="preserve">Freeman, I., &amp; Knight, P. (2011). Double-loop learning and the global business student. Canadian Journal of Higher Education, 41(3), 102–127. </w:t>
      </w:r>
    </w:p>
    <w:p w14:paraId="22CFFDB5" w14:textId="34423DB7" w:rsidR="00AF0D4A" w:rsidRDefault="00AF0D4A" w:rsidP="00AF0D4A">
      <w:pPr>
        <w:rPr>
          <w:rFonts w:ascii="Arial" w:hAnsi="Arial" w:cs="Arial"/>
        </w:rPr>
      </w:pPr>
      <w:r w:rsidRPr="009764E8">
        <w:rPr>
          <w:rFonts w:ascii="Arial" w:hAnsi="Arial" w:cs="Arial"/>
        </w:rPr>
        <w:t xml:space="preserve">Gitlin, L.N., Kolanowski, A. and Lyons, K.J. (2020) </w:t>
      </w:r>
      <w:r w:rsidRPr="009764E8">
        <w:rPr>
          <w:rFonts w:ascii="Arial" w:hAnsi="Arial" w:cs="Arial"/>
          <w:i/>
          <w:iCs/>
        </w:rPr>
        <w:t>Better Research for Better Practice: A Guide to Improving the Design of Health Research</w:t>
      </w:r>
      <w:r w:rsidRPr="009764E8">
        <w:rPr>
          <w:rFonts w:ascii="Arial" w:hAnsi="Arial" w:cs="Arial"/>
        </w:rPr>
        <w:t xml:space="preserve">. Cham: Springer. </w:t>
      </w:r>
    </w:p>
    <w:p w14:paraId="6C4659E3" w14:textId="1704CB62" w:rsidR="003145BC" w:rsidRPr="009764E8" w:rsidRDefault="003145BC" w:rsidP="00AF0D4A">
      <w:pPr>
        <w:rPr>
          <w:rFonts w:ascii="Arial" w:hAnsi="Arial" w:cs="Arial"/>
        </w:rPr>
      </w:pPr>
      <w:r w:rsidRPr="003145BC">
        <w:rPr>
          <w:rFonts w:ascii="Arial" w:hAnsi="Arial" w:cs="Arial"/>
        </w:rPr>
        <w:t>Gl</w:t>
      </w:r>
      <w:r>
        <w:rPr>
          <w:rFonts w:ascii="Arial" w:hAnsi="Arial" w:cs="Arial"/>
        </w:rPr>
        <w:t>azzard, J. &amp; Stones, S. (2019)</w:t>
      </w:r>
      <w:r w:rsidRPr="003145BC">
        <w:rPr>
          <w:rFonts w:ascii="Arial" w:hAnsi="Arial" w:cs="Arial"/>
        </w:rPr>
        <w:t xml:space="preserve"> </w:t>
      </w:r>
      <w:r w:rsidRPr="003145BC">
        <w:rPr>
          <w:rFonts w:ascii="Arial" w:hAnsi="Arial" w:cs="Arial"/>
          <w:i/>
          <w:iCs/>
        </w:rPr>
        <w:t>Student perceptions of feedback in higher education.</w:t>
      </w:r>
      <w:r w:rsidRPr="003145BC">
        <w:rPr>
          <w:rFonts w:ascii="Arial" w:hAnsi="Arial" w:cs="Arial"/>
        </w:rPr>
        <w:t xml:space="preserve"> International Journal of Learning, Teaching and Educational Research, 18(11), 38-52.</w:t>
      </w:r>
    </w:p>
    <w:p w14:paraId="2044BF01" w14:textId="19B907CC" w:rsidR="0006320A" w:rsidRDefault="0006320A" w:rsidP="0006320A">
      <w:pPr>
        <w:rPr>
          <w:rFonts w:ascii="Arial" w:hAnsi="Arial" w:cs="Arial"/>
        </w:rPr>
      </w:pPr>
      <w:r w:rsidRPr="009764E8">
        <w:rPr>
          <w:rFonts w:ascii="Arial" w:hAnsi="Arial" w:cs="Arial"/>
        </w:rPr>
        <w:t xml:space="preserve">Higher Education Academy (HEA) (2015) </w:t>
      </w:r>
      <w:r w:rsidRPr="009764E8">
        <w:rPr>
          <w:rFonts w:ascii="Arial" w:hAnsi="Arial" w:cs="Arial"/>
          <w:i/>
          <w:iCs/>
        </w:rPr>
        <w:t>Framework for work-based learning in higher education</w:t>
      </w:r>
      <w:r w:rsidRPr="009764E8">
        <w:rPr>
          <w:rFonts w:ascii="Arial" w:hAnsi="Arial" w:cs="Arial"/>
        </w:rPr>
        <w:t>. York: HEA.</w:t>
      </w:r>
    </w:p>
    <w:p w14:paraId="6A6CD23B" w14:textId="67110E48" w:rsidR="003145BC" w:rsidRPr="009764E8" w:rsidRDefault="003145BC" w:rsidP="0006320A">
      <w:pPr>
        <w:rPr>
          <w:rFonts w:ascii="Arial" w:hAnsi="Arial" w:cs="Arial"/>
        </w:rPr>
      </w:pPr>
      <w:r w:rsidRPr="003145BC">
        <w:rPr>
          <w:rFonts w:ascii="Arial" w:hAnsi="Arial" w:cs="Arial"/>
        </w:rPr>
        <w:t>Hi</w:t>
      </w:r>
      <w:r>
        <w:rPr>
          <w:rFonts w:ascii="Arial" w:hAnsi="Arial" w:cs="Arial"/>
        </w:rPr>
        <w:t>ll, J.</w:t>
      </w:r>
      <w:r w:rsidRPr="003145BC">
        <w:rPr>
          <w:rFonts w:ascii="Arial" w:hAnsi="Arial" w:cs="Arial"/>
        </w:rPr>
        <w:t xml:space="preserve"> &amp; West, H. (2022) “Dialogic Feed-Forward in Assessment: Pivotal to Learning but not Unproblematic.” </w:t>
      </w:r>
      <w:r w:rsidRPr="003145BC">
        <w:rPr>
          <w:rFonts w:ascii="Arial" w:hAnsi="Arial" w:cs="Arial"/>
          <w:i/>
          <w:iCs/>
        </w:rPr>
        <w:t>Teaching &amp; Learning Inquiry</w:t>
      </w:r>
      <w:r w:rsidRPr="003145BC">
        <w:rPr>
          <w:rFonts w:ascii="Arial" w:hAnsi="Arial" w:cs="Arial"/>
        </w:rPr>
        <w:t>, 10.</w:t>
      </w:r>
    </w:p>
    <w:p w14:paraId="08605053" w14:textId="77777777" w:rsidR="0006320A" w:rsidRDefault="0006320A" w:rsidP="0006320A">
      <w:pPr>
        <w:rPr>
          <w:rFonts w:ascii="Arial" w:hAnsi="Arial" w:cs="Arial"/>
        </w:rPr>
      </w:pPr>
      <w:r w:rsidRPr="009764E8">
        <w:rPr>
          <w:rFonts w:ascii="Arial" w:hAnsi="Arial" w:cs="Arial"/>
        </w:rPr>
        <w:t xml:space="preserve">Hutchins, H.M. &amp; Rainbolt, H. (2017) ‘What triggers imposter phenomenon among academic faculty?’, </w:t>
      </w:r>
      <w:r w:rsidRPr="009764E8">
        <w:rPr>
          <w:rFonts w:ascii="Arial" w:hAnsi="Arial" w:cs="Arial"/>
          <w:i/>
          <w:iCs/>
        </w:rPr>
        <w:t>Journal of Higher Education</w:t>
      </w:r>
      <w:r w:rsidRPr="009764E8">
        <w:rPr>
          <w:rFonts w:ascii="Arial" w:hAnsi="Arial" w:cs="Arial"/>
        </w:rPr>
        <w:t>, 88(2), pp. 213–241.</w:t>
      </w:r>
    </w:p>
    <w:p w14:paraId="71F63426" w14:textId="77777777" w:rsidR="003C0699" w:rsidRPr="009764E8" w:rsidRDefault="003C0699" w:rsidP="0006320A">
      <w:pPr>
        <w:rPr>
          <w:rFonts w:ascii="Arial" w:hAnsi="Arial" w:cs="Arial"/>
        </w:rPr>
      </w:pPr>
      <w:r w:rsidRPr="003C0699">
        <w:rPr>
          <w:rFonts w:ascii="Arial" w:hAnsi="Arial" w:cs="Arial"/>
        </w:rPr>
        <w:lastRenderedPageBreak/>
        <w:t>Illeris, K. (2018) Contemporary Theories of Learning: Learning Theorists... In Their Own Words. 2nd edn. London: Routledge.</w:t>
      </w:r>
    </w:p>
    <w:p w14:paraId="0D3B9842" w14:textId="77777777" w:rsidR="0006320A" w:rsidRPr="009764E8" w:rsidRDefault="0006320A" w:rsidP="0006320A">
      <w:pPr>
        <w:rPr>
          <w:rFonts w:ascii="Arial" w:hAnsi="Arial" w:cs="Arial"/>
        </w:rPr>
      </w:pPr>
      <w:r w:rsidRPr="009764E8">
        <w:rPr>
          <w:rFonts w:ascii="Arial" w:hAnsi="Arial" w:cs="Arial"/>
        </w:rPr>
        <w:t xml:space="preserve">Institution of Mechanical Engineers (IMechE) (2020) </w:t>
      </w:r>
      <w:r w:rsidRPr="009764E8">
        <w:rPr>
          <w:rFonts w:ascii="Arial" w:hAnsi="Arial" w:cs="Arial"/>
          <w:i/>
          <w:iCs/>
        </w:rPr>
        <w:t>Continuing professional development guidance</w:t>
      </w:r>
      <w:r w:rsidRPr="009764E8">
        <w:rPr>
          <w:rFonts w:ascii="Arial" w:hAnsi="Arial" w:cs="Arial"/>
        </w:rPr>
        <w:t>. London: IMechE.</w:t>
      </w:r>
    </w:p>
    <w:p w14:paraId="424CD898" w14:textId="77777777" w:rsidR="00AF0D4A" w:rsidRPr="009764E8" w:rsidRDefault="00AF0D4A" w:rsidP="00AF0D4A">
      <w:pPr>
        <w:rPr>
          <w:rFonts w:ascii="Arial" w:hAnsi="Arial" w:cs="Arial"/>
        </w:rPr>
      </w:pPr>
      <w:r w:rsidRPr="009764E8">
        <w:rPr>
          <w:rFonts w:ascii="Arial" w:hAnsi="Arial" w:cs="Arial"/>
        </w:rPr>
        <w:t xml:space="preserve">Joyner, R.L., Rouse, W.A. and Glatthorn, A.A. (2018) </w:t>
      </w:r>
      <w:r w:rsidRPr="009764E8">
        <w:rPr>
          <w:rFonts w:ascii="Arial" w:hAnsi="Arial" w:cs="Arial"/>
          <w:i/>
          <w:iCs/>
        </w:rPr>
        <w:t>Writing the Winning Thesis or Dissertation: A Step-by-Step Guide</w:t>
      </w:r>
      <w:r w:rsidRPr="009764E8">
        <w:rPr>
          <w:rFonts w:ascii="Arial" w:hAnsi="Arial" w:cs="Arial"/>
        </w:rPr>
        <w:t>. 4th edn. Thousand Oaks: Corwin.</w:t>
      </w:r>
    </w:p>
    <w:p w14:paraId="191E170A" w14:textId="77777777" w:rsidR="0006320A" w:rsidRDefault="0006320A" w:rsidP="0006320A">
      <w:pPr>
        <w:rPr>
          <w:rFonts w:ascii="Arial" w:hAnsi="Arial" w:cs="Arial"/>
        </w:rPr>
      </w:pPr>
      <w:r w:rsidRPr="009764E8">
        <w:rPr>
          <w:rFonts w:ascii="Arial" w:hAnsi="Arial" w:cs="Arial"/>
        </w:rPr>
        <w:t xml:space="preserve">Kolb, D.A. (1984) </w:t>
      </w:r>
      <w:r w:rsidRPr="009764E8">
        <w:rPr>
          <w:rFonts w:ascii="Arial" w:hAnsi="Arial" w:cs="Arial"/>
          <w:i/>
          <w:iCs/>
        </w:rPr>
        <w:t>Experiential learning: Experience as the source of learning and development</w:t>
      </w:r>
      <w:r w:rsidRPr="009764E8">
        <w:rPr>
          <w:rFonts w:ascii="Arial" w:hAnsi="Arial" w:cs="Arial"/>
        </w:rPr>
        <w:t>. Englewood Cliffs, NJ: Prentice-Hall.</w:t>
      </w:r>
    </w:p>
    <w:p w14:paraId="3266899D" w14:textId="77777777" w:rsidR="003C0699" w:rsidRDefault="003C0699" w:rsidP="0006320A">
      <w:pPr>
        <w:rPr>
          <w:rFonts w:ascii="Arial" w:hAnsi="Arial" w:cs="Arial"/>
        </w:rPr>
      </w:pPr>
      <w:r w:rsidRPr="003C0699">
        <w:rPr>
          <w:rFonts w:ascii="Arial" w:hAnsi="Arial" w:cs="Arial"/>
        </w:rPr>
        <w:t>Lave, J. and Wenger, E. (1991) Situated Learning: Legitimate Peripheral Participation. Cambridge: Cambridge University Press.</w:t>
      </w:r>
    </w:p>
    <w:p w14:paraId="22BA219B" w14:textId="33BBBE27" w:rsidR="00D959BA" w:rsidRDefault="00D959BA" w:rsidP="0006320A">
      <w:pPr>
        <w:rPr>
          <w:rFonts w:ascii="Arial" w:hAnsi="Arial" w:cs="Arial"/>
        </w:rPr>
      </w:pPr>
      <w:r w:rsidRPr="00D959BA">
        <w:rPr>
          <w:rFonts w:ascii="Arial" w:hAnsi="Arial" w:cs="Arial"/>
        </w:rPr>
        <w:t xml:space="preserve">Lea, M. R., &amp; Street, B. V. (1998). Student writing in higher education: An academic literacies approach. Studies in Higher Education, 23(2), 157-172. </w:t>
      </w:r>
    </w:p>
    <w:p w14:paraId="59A7FB6B" w14:textId="55A651A9" w:rsidR="0006320A" w:rsidRDefault="0006320A" w:rsidP="0006320A">
      <w:pPr>
        <w:rPr>
          <w:rFonts w:ascii="Arial" w:hAnsi="Arial" w:cs="Arial"/>
        </w:rPr>
      </w:pPr>
      <w:r w:rsidRPr="009764E8">
        <w:rPr>
          <w:rFonts w:ascii="Arial" w:hAnsi="Arial" w:cs="Arial"/>
        </w:rPr>
        <w:t xml:space="preserve">Lucas, B., Spencer, E. &amp; Claxton, G. (2012) </w:t>
      </w:r>
      <w:r w:rsidRPr="009764E8">
        <w:rPr>
          <w:rFonts w:ascii="Arial" w:hAnsi="Arial" w:cs="Arial"/>
          <w:i/>
          <w:iCs/>
        </w:rPr>
        <w:t>How to teach vocational education: A theory of vocational pedagogy</w:t>
      </w:r>
      <w:r w:rsidRPr="009764E8">
        <w:rPr>
          <w:rFonts w:ascii="Arial" w:hAnsi="Arial" w:cs="Arial"/>
        </w:rPr>
        <w:t>. London: City &amp; Guilds.</w:t>
      </w:r>
    </w:p>
    <w:p w14:paraId="689795BC" w14:textId="21F15663" w:rsidR="00CB2CE3" w:rsidRDefault="00CB2CE3" w:rsidP="0006320A">
      <w:pPr>
        <w:rPr>
          <w:rFonts w:ascii="Arial" w:hAnsi="Arial" w:cs="Arial"/>
        </w:rPr>
      </w:pPr>
      <w:r w:rsidRPr="00CB2CE3">
        <w:rPr>
          <w:rFonts w:ascii="Arial" w:hAnsi="Arial" w:cs="Arial"/>
        </w:rPr>
        <w:t xml:space="preserve">Luken, E. (2024) The Impact of Feedback Type and Timing on Learner Anxiety. (Master’s thesis, Tilburg University). </w:t>
      </w:r>
    </w:p>
    <w:p w14:paraId="2B596BA8" w14:textId="68A249DA" w:rsidR="00CB2CE3" w:rsidRPr="009764E8" w:rsidRDefault="00CB2CE3" w:rsidP="0006320A">
      <w:pPr>
        <w:rPr>
          <w:rFonts w:ascii="Arial" w:hAnsi="Arial" w:cs="Arial"/>
        </w:rPr>
      </w:pPr>
      <w:r w:rsidRPr="00CB2CE3">
        <w:rPr>
          <w:rFonts w:ascii="Arial" w:hAnsi="Arial" w:cs="Arial"/>
        </w:rPr>
        <w:t>Martin, S. (201</w:t>
      </w:r>
      <w:r>
        <w:rPr>
          <w:rFonts w:ascii="Arial" w:hAnsi="Arial" w:cs="Arial"/>
        </w:rPr>
        <w:t xml:space="preserve">7) </w:t>
      </w:r>
      <w:r w:rsidRPr="00CB2CE3">
        <w:rPr>
          <w:rFonts w:ascii="Arial" w:hAnsi="Arial" w:cs="Arial"/>
          <w:i/>
          <w:iCs/>
        </w:rPr>
        <w:t>Students’ feedback beliefs and anxiety in online foreign language learning</w:t>
      </w:r>
      <w:r w:rsidRPr="00CB2CE3">
        <w:rPr>
          <w:rFonts w:ascii="Arial" w:hAnsi="Arial" w:cs="Arial"/>
        </w:rPr>
        <w:t xml:space="preserve">. International Journal of Educational Technology in Higher Education, 14, 1–17. </w:t>
      </w:r>
    </w:p>
    <w:p w14:paraId="1C6515FC" w14:textId="77777777" w:rsidR="0006320A" w:rsidRDefault="0006320A" w:rsidP="0006320A">
      <w:pPr>
        <w:rPr>
          <w:rFonts w:ascii="Arial" w:hAnsi="Arial" w:cs="Arial"/>
        </w:rPr>
      </w:pPr>
      <w:r w:rsidRPr="009764E8">
        <w:rPr>
          <w:rFonts w:ascii="Arial" w:hAnsi="Arial" w:cs="Arial"/>
        </w:rPr>
        <w:t xml:space="preserve">Mason, A. &amp; Singh, C. (2016) ‘Using peer reflection with feedback to improve problem-solving in physics’, </w:t>
      </w:r>
      <w:r w:rsidRPr="009764E8">
        <w:rPr>
          <w:rFonts w:ascii="Arial" w:hAnsi="Arial" w:cs="Arial"/>
          <w:i/>
          <w:iCs/>
        </w:rPr>
        <w:t>Physical Review Physics Education Research</w:t>
      </w:r>
      <w:r w:rsidRPr="009764E8">
        <w:rPr>
          <w:rFonts w:ascii="Arial" w:hAnsi="Arial" w:cs="Arial"/>
        </w:rPr>
        <w:t>, 12(1), 010124.</w:t>
      </w:r>
    </w:p>
    <w:p w14:paraId="6D091D6A" w14:textId="77777777" w:rsidR="00D959BA" w:rsidRPr="009764E8" w:rsidRDefault="00D959BA" w:rsidP="0006320A">
      <w:pPr>
        <w:rPr>
          <w:rFonts w:ascii="Arial" w:hAnsi="Arial" w:cs="Arial"/>
        </w:rPr>
      </w:pPr>
      <w:r w:rsidRPr="00D959BA">
        <w:rPr>
          <w:rFonts w:ascii="Arial" w:hAnsi="Arial" w:cs="Arial"/>
        </w:rPr>
        <w:t xml:space="preserve">Matsuda, N., Weng, W., &amp; Wall, N. (2020). The effect of metacognitive scaffolding for learning by teaching a teachable agent. </w:t>
      </w:r>
      <w:r w:rsidRPr="00D959BA">
        <w:rPr>
          <w:rFonts w:ascii="Arial" w:hAnsi="Arial" w:cs="Arial"/>
          <w:i/>
        </w:rPr>
        <w:t>International Journal of Artificial Intelligence in Education</w:t>
      </w:r>
      <w:r w:rsidRPr="00D959BA">
        <w:rPr>
          <w:rFonts w:ascii="Arial" w:hAnsi="Arial" w:cs="Arial"/>
        </w:rPr>
        <w:t xml:space="preserve">, 30, 1–37. </w:t>
      </w:r>
    </w:p>
    <w:p w14:paraId="11BA668B" w14:textId="77777777" w:rsidR="00AF0D4A" w:rsidRPr="009764E8" w:rsidRDefault="00AF0D4A" w:rsidP="00AF0D4A">
      <w:pPr>
        <w:rPr>
          <w:rFonts w:ascii="Arial" w:hAnsi="Arial" w:cs="Arial"/>
        </w:rPr>
      </w:pPr>
      <w:r w:rsidRPr="009764E8">
        <w:rPr>
          <w:rFonts w:ascii="Arial" w:hAnsi="Arial" w:cs="Arial"/>
        </w:rPr>
        <w:t xml:space="preserve">McNiff, J. (2016) </w:t>
      </w:r>
      <w:r w:rsidRPr="009764E8">
        <w:rPr>
          <w:rFonts w:ascii="Arial" w:hAnsi="Arial" w:cs="Arial"/>
          <w:i/>
          <w:iCs/>
        </w:rPr>
        <w:t>You and Your Action Research Project</w:t>
      </w:r>
      <w:r w:rsidRPr="009764E8">
        <w:rPr>
          <w:rFonts w:ascii="Arial" w:hAnsi="Arial" w:cs="Arial"/>
        </w:rPr>
        <w:t>. 4th edn. Abingdon: Routledge.</w:t>
      </w:r>
    </w:p>
    <w:p w14:paraId="36FC9FDD" w14:textId="77777777" w:rsidR="0006320A" w:rsidRPr="009764E8" w:rsidRDefault="0006320A" w:rsidP="0006320A">
      <w:pPr>
        <w:rPr>
          <w:rFonts w:ascii="Arial" w:hAnsi="Arial" w:cs="Arial"/>
        </w:rPr>
      </w:pPr>
      <w:r w:rsidRPr="009764E8">
        <w:rPr>
          <w:rFonts w:ascii="Arial" w:hAnsi="Arial" w:cs="Arial"/>
        </w:rPr>
        <w:t xml:space="preserve">Medema, W., Wals, A.E.J. &amp; Adamowski, J. (2014) ‘Multi-loop social learning for sustainable land and water governance: Towards a research agenda’, </w:t>
      </w:r>
      <w:r w:rsidRPr="009764E8">
        <w:rPr>
          <w:rFonts w:ascii="Arial" w:hAnsi="Arial" w:cs="Arial"/>
          <w:i/>
          <w:iCs/>
        </w:rPr>
        <w:t>NJAS - Wageningen Journal of Life Sciences</w:t>
      </w:r>
      <w:r w:rsidRPr="009764E8">
        <w:rPr>
          <w:rFonts w:ascii="Arial" w:hAnsi="Arial" w:cs="Arial"/>
        </w:rPr>
        <w:t>, 69, pp. 23–38.</w:t>
      </w:r>
    </w:p>
    <w:p w14:paraId="148DB210" w14:textId="77777777" w:rsidR="0006320A" w:rsidRPr="009764E8" w:rsidRDefault="0006320A" w:rsidP="0006320A">
      <w:pPr>
        <w:rPr>
          <w:rFonts w:ascii="Arial" w:hAnsi="Arial" w:cs="Arial"/>
        </w:rPr>
      </w:pPr>
      <w:r w:rsidRPr="009764E8">
        <w:rPr>
          <w:rFonts w:ascii="Arial" w:hAnsi="Arial" w:cs="Arial"/>
        </w:rPr>
        <w:t xml:space="preserve">Melville, W. (2014) </w:t>
      </w:r>
      <w:r w:rsidRPr="009764E8">
        <w:rPr>
          <w:rFonts w:ascii="Arial" w:hAnsi="Arial" w:cs="Arial"/>
          <w:i/>
          <w:iCs/>
        </w:rPr>
        <w:t>Professional learning in a school-based community of science teachers</w:t>
      </w:r>
      <w:r w:rsidRPr="009764E8">
        <w:rPr>
          <w:rFonts w:ascii="Arial" w:hAnsi="Arial" w:cs="Arial"/>
        </w:rPr>
        <w:t>. Rotterdam: Sense Publishers.</w:t>
      </w:r>
    </w:p>
    <w:p w14:paraId="1AF4BBF3" w14:textId="77777777" w:rsidR="0006320A" w:rsidRPr="009764E8" w:rsidRDefault="0006320A" w:rsidP="0006320A">
      <w:pPr>
        <w:rPr>
          <w:rFonts w:ascii="Arial" w:hAnsi="Arial" w:cs="Arial"/>
        </w:rPr>
      </w:pPr>
      <w:r w:rsidRPr="009764E8">
        <w:rPr>
          <w:rFonts w:ascii="Arial" w:hAnsi="Arial" w:cs="Arial"/>
        </w:rPr>
        <w:t xml:space="preserve">Mezirow, J. (1991) </w:t>
      </w:r>
      <w:r w:rsidRPr="009764E8">
        <w:rPr>
          <w:rFonts w:ascii="Arial" w:hAnsi="Arial" w:cs="Arial"/>
          <w:i/>
          <w:iCs/>
        </w:rPr>
        <w:t>Transformative dimensions of adult learning</w:t>
      </w:r>
      <w:r w:rsidRPr="009764E8">
        <w:rPr>
          <w:rFonts w:ascii="Arial" w:hAnsi="Arial" w:cs="Arial"/>
        </w:rPr>
        <w:t>. San Francisco: Jossey-Bass.</w:t>
      </w:r>
    </w:p>
    <w:p w14:paraId="39DB0C3B" w14:textId="7F95F92B" w:rsidR="00AF0D4A" w:rsidRDefault="00AF0D4A" w:rsidP="00AF0D4A">
      <w:pPr>
        <w:rPr>
          <w:rFonts w:ascii="Arial" w:hAnsi="Arial" w:cs="Arial"/>
        </w:rPr>
      </w:pPr>
      <w:r w:rsidRPr="009764E8">
        <w:rPr>
          <w:rFonts w:ascii="Arial" w:hAnsi="Arial" w:cs="Arial"/>
        </w:rPr>
        <w:t xml:space="preserve">Mezirow, J. (2000) </w:t>
      </w:r>
      <w:r w:rsidRPr="009764E8">
        <w:rPr>
          <w:rFonts w:ascii="Arial" w:hAnsi="Arial" w:cs="Arial"/>
          <w:i/>
          <w:iCs/>
        </w:rPr>
        <w:t>Learning as Transformation: Critical Perspectives on a Theory in Progress</w:t>
      </w:r>
      <w:r w:rsidRPr="009764E8">
        <w:rPr>
          <w:rFonts w:ascii="Arial" w:hAnsi="Arial" w:cs="Arial"/>
        </w:rPr>
        <w:t>. San Francisco: Jossey-Bass.</w:t>
      </w:r>
    </w:p>
    <w:p w14:paraId="3784DB5C" w14:textId="0D5205A1" w:rsidR="003145BC" w:rsidRDefault="003145BC" w:rsidP="00AF0D4A">
      <w:pPr>
        <w:rPr>
          <w:rFonts w:ascii="Arial" w:hAnsi="Arial" w:cs="Arial"/>
          <w:i/>
          <w:iCs/>
        </w:rPr>
      </w:pPr>
      <w:r>
        <w:rPr>
          <w:rFonts w:ascii="Arial" w:hAnsi="Arial" w:cs="Arial"/>
        </w:rPr>
        <w:t>Mulliner, E.</w:t>
      </w:r>
      <w:r w:rsidRPr="003145BC">
        <w:rPr>
          <w:rFonts w:ascii="Arial" w:hAnsi="Arial" w:cs="Arial"/>
        </w:rPr>
        <w:t xml:space="preserve"> &amp; Timmer, V. (2015) </w:t>
      </w:r>
      <w:r w:rsidRPr="003145BC">
        <w:rPr>
          <w:rFonts w:ascii="Arial" w:hAnsi="Arial" w:cs="Arial"/>
          <w:i/>
          <w:iCs/>
        </w:rPr>
        <w:t>Feedback on feedback practice: perceptions of students and academics</w:t>
      </w:r>
      <w:r>
        <w:rPr>
          <w:rFonts w:ascii="Arial" w:hAnsi="Arial" w:cs="Arial"/>
          <w:i/>
          <w:iCs/>
        </w:rPr>
        <w:t>.</w:t>
      </w:r>
    </w:p>
    <w:p w14:paraId="1EAEAB8F" w14:textId="2EB12796" w:rsidR="003145BC" w:rsidRPr="003145BC" w:rsidRDefault="003145BC" w:rsidP="00AF0D4A">
      <w:pPr>
        <w:rPr>
          <w:rFonts w:ascii="Arial" w:hAnsi="Arial" w:cs="Arial"/>
        </w:rPr>
      </w:pPr>
      <w:r>
        <w:rPr>
          <w:rFonts w:ascii="Arial" w:hAnsi="Arial" w:cs="Arial"/>
        </w:rPr>
        <w:t>Murphy, C. &amp; Cornell, J. (2010)</w:t>
      </w:r>
      <w:r w:rsidRPr="003145BC">
        <w:rPr>
          <w:rFonts w:ascii="Arial" w:hAnsi="Arial" w:cs="Arial"/>
        </w:rPr>
        <w:t xml:space="preserve"> Student perceptions of feedback: seeking a coherent flow. Practitioner Research in Higher Education, 4(1), 41-54.</w:t>
      </w:r>
    </w:p>
    <w:p w14:paraId="2370FAB1" w14:textId="77777777" w:rsidR="0006320A" w:rsidRPr="009764E8" w:rsidRDefault="0006320A" w:rsidP="0006320A">
      <w:pPr>
        <w:rPr>
          <w:rFonts w:ascii="Arial" w:hAnsi="Arial" w:cs="Arial"/>
        </w:rPr>
      </w:pPr>
      <w:r w:rsidRPr="009764E8">
        <w:rPr>
          <w:rFonts w:ascii="Arial" w:hAnsi="Arial" w:cs="Arial"/>
        </w:rPr>
        <w:t xml:space="preserve">Murray, R. (2006) </w:t>
      </w:r>
      <w:r w:rsidRPr="009764E8">
        <w:rPr>
          <w:rFonts w:ascii="Arial" w:hAnsi="Arial" w:cs="Arial"/>
          <w:i/>
          <w:iCs/>
        </w:rPr>
        <w:t>How to write a thesis</w:t>
      </w:r>
      <w:r w:rsidRPr="009764E8">
        <w:rPr>
          <w:rFonts w:ascii="Arial" w:hAnsi="Arial" w:cs="Arial"/>
        </w:rPr>
        <w:t>. 2nd edn. Maidenhead: Open University Press.</w:t>
      </w:r>
    </w:p>
    <w:p w14:paraId="404E282D" w14:textId="77777777" w:rsidR="00AF0D4A" w:rsidRPr="009764E8" w:rsidRDefault="00AF0D4A" w:rsidP="00AF0D4A">
      <w:pPr>
        <w:rPr>
          <w:rFonts w:ascii="Arial" w:hAnsi="Arial" w:cs="Arial"/>
        </w:rPr>
      </w:pPr>
      <w:r w:rsidRPr="009764E8">
        <w:rPr>
          <w:rFonts w:ascii="Arial" w:hAnsi="Arial" w:cs="Arial"/>
        </w:rPr>
        <w:t xml:space="preserve">Murray, R. (2017) </w:t>
      </w:r>
      <w:r w:rsidRPr="009764E8">
        <w:rPr>
          <w:rFonts w:ascii="Arial" w:hAnsi="Arial" w:cs="Arial"/>
          <w:i/>
          <w:iCs/>
        </w:rPr>
        <w:t>How to Write a Thesis</w:t>
      </w:r>
      <w:r w:rsidRPr="009764E8">
        <w:rPr>
          <w:rFonts w:ascii="Arial" w:hAnsi="Arial" w:cs="Arial"/>
        </w:rPr>
        <w:t>. 4th edn. Maidenhead: Open University Press.</w:t>
      </w:r>
    </w:p>
    <w:p w14:paraId="116811F4" w14:textId="77777777" w:rsidR="003C0699" w:rsidRDefault="003C0699" w:rsidP="00AF0D4A">
      <w:pPr>
        <w:rPr>
          <w:rFonts w:ascii="Arial" w:hAnsi="Arial" w:cs="Arial"/>
        </w:rPr>
      </w:pPr>
      <w:r w:rsidRPr="003C0699">
        <w:rPr>
          <w:rFonts w:ascii="Arial" w:hAnsi="Arial" w:cs="Arial"/>
        </w:rPr>
        <w:lastRenderedPageBreak/>
        <w:t>Nicol, D. and Macfarlane</w:t>
      </w:r>
      <w:r w:rsidRPr="003C0699">
        <w:rPr>
          <w:rFonts w:ascii="Cambria Math" w:hAnsi="Cambria Math" w:cs="Cambria Math"/>
        </w:rPr>
        <w:t>‐</w:t>
      </w:r>
      <w:r w:rsidRPr="003C0699">
        <w:rPr>
          <w:rFonts w:ascii="Arial" w:hAnsi="Arial" w:cs="Arial"/>
        </w:rPr>
        <w:t>Dick, D. (2006) ‘Formative assessment and self</w:t>
      </w:r>
      <w:r w:rsidRPr="003C0699">
        <w:rPr>
          <w:rFonts w:ascii="Cambria Math" w:hAnsi="Cambria Math" w:cs="Cambria Math"/>
        </w:rPr>
        <w:t>‐</w:t>
      </w:r>
      <w:r w:rsidRPr="003C0699">
        <w:rPr>
          <w:rFonts w:ascii="Arial" w:hAnsi="Arial" w:cs="Arial"/>
        </w:rPr>
        <w:t>regulated learning: a model and seven principles of good feedback practice’, Studies in Higher Education, 31(2), pp. 199–218.</w:t>
      </w:r>
    </w:p>
    <w:p w14:paraId="60857BAE" w14:textId="77777777" w:rsidR="00AF0D4A" w:rsidRDefault="00AF0D4A" w:rsidP="00AF0D4A">
      <w:pPr>
        <w:rPr>
          <w:rFonts w:ascii="Arial" w:hAnsi="Arial" w:cs="Arial"/>
        </w:rPr>
      </w:pPr>
      <w:r w:rsidRPr="009764E8">
        <w:rPr>
          <w:rFonts w:ascii="Arial" w:hAnsi="Arial" w:cs="Arial"/>
        </w:rPr>
        <w:t xml:space="preserve">Norton, L.S. (2018) </w:t>
      </w:r>
      <w:r w:rsidRPr="009764E8">
        <w:rPr>
          <w:rFonts w:ascii="Arial" w:hAnsi="Arial" w:cs="Arial"/>
          <w:i/>
          <w:iCs/>
        </w:rPr>
        <w:t>Action Research in Teaching and Learning: A Practical Guide to Conducting Pedagogical Research in Universities</w:t>
      </w:r>
      <w:r w:rsidRPr="009764E8">
        <w:rPr>
          <w:rFonts w:ascii="Arial" w:hAnsi="Arial" w:cs="Arial"/>
        </w:rPr>
        <w:t>. 2nd edn. Abingdon: Routledge.</w:t>
      </w:r>
    </w:p>
    <w:p w14:paraId="7BE6AB55" w14:textId="75429F6C" w:rsidR="00D959BA" w:rsidRDefault="00D959BA" w:rsidP="00AF0D4A">
      <w:pPr>
        <w:rPr>
          <w:rFonts w:ascii="Arial" w:hAnsi="Arial" w:cs="Arial"/>
        </w:rPr>
      </w:pPr>
      <w:r w:rsidRPr="00D959BA">
        <w:rPr>
          <w:rFonts w:ascii="Arial" w:hAnsi="Arial" w:cs="Arial"/>
        </w:rPr>
        <w:t xml:space="preserve">Odom, S. E. Jr. (2023). Adapt and thrive: Double-loop learning and safety culture at the FAA (White paper). The George Washington University. </w:t>
      </w:r>
    </w:p>
    <w:p w14:paraId="17EAE614" w14:textId="1E0CBEC9" w:rsidR="003145BC" w:rsidRPr="009764E8" w:rsidRDefault="003145BC" w:rsidP="00AF0D4A">
      <w:pPr>
        <w:rPr>
          <w:rFonts w:ascii="Arial" w:hAnsi="Arial" w:cs="Arial"/>
        </w:rPr>
      </w:pPr>
      <w:r w:rsidRPr="003145BC">
        <w:rPr>
          <w:rFonts w:ascii="Arial" w:hAnsi="Arial" w:cs="Arial"/>
        </w:rPr>
        <w:t xml:space="preserve">Panadero, E. &amp; Lipnevich, A. A. (2022) </w:t>
      </w:r>
      <w:r w:rsidRPr="003145BC">
        <w:rPr>
          <w:rFonts w:ascii="Arial" w:hAnsi="Arial" w:cs="Arial"/>
          <w:i/>
          <w:iCs/>
        </w:rPr>
        <w:t>A review of feedback models and typologies: Towards an integrative model of feedback elements.</w:t>
      </w:r>
      <w:r w:rsidRPr="003145BC">
        <w:rPr>
          <w:rFonts w:ascii="Arial" w:hAnsi="Arial" w:cs="Arial"/>
        </w:rPr>
        <w:t xml:space="preserve"> Educational Research Review, 35,</w:t>
      </w:r>
    </w:p>
    <w:p w14:paraId="5B47D603" w14:textId="53F62718" w:rsidR="00AF0D4A" w:rsidRPr="009764E8" w:rsidRDefault="003145BC" w:rsidP="00AF0D4A">
      <w:pPr>
        <w:rPr>
          <w:rFonts w:ascii="Arial" w:hAnsi="Arial" w:cs="Arial"/>
        </w:rPr>
      </w:pPr>
      <w:r>
        <w:rPr>
          <w:rFonts w:ascii="Arial" w:hAnsi="Arial" w:cs="Arial"/>
        </w:rPr>
        <w:t>Polonsky, M.J. &amp;</w:t>
      </w:r>
      <w:r w:rsidR="00AF0D4A" w:rsidRPr="009764E8">
        <w:rPr>
          <w:rFonts w:ascii="Arial" w:hAnsi="Arial" w:cs="Arial"/>
        </w:rPr>
        <w:t xml:space="preserve"> Waller, D.S. (2018) </w:t>
      </w:r>
      <w:r w:rsidR="00AF0D4A" w:rsidRPr="009764E8">
        <w:rPr>
          <w:rFonts w:ascii="Arial" w:hAnsi="Arial" w:cs="Arial"/>
          <w:i/>
          <w:iCs/>
        </w:rPr>
        <w:t>Designing and Managing a Research Project: A Business Student’s Guide</w:t>
      </w:r>
      <w:r w:rsidR="00AF0D4A" w:rsidRPr="009764E8">
        <w:rPr>
          <w:rFonts w:ascii="Arial" w:hAnsi="Arial" w:cs="Arial"/>
        </w:rPr>
        <w:t>. 4th edn. Thousand Oaks: SAGE Publications.</w:t>
      </w:r>
    </w:p>
    <w:p w14:paraId="6DEA0DEC" w14:textId="77777777" w:rsidR="0006320A" w:rsidRDefault="0006320A" w:rsidP="0006320A">
      <w:pPr>
        <w:rPr>
          <w:rFonts w:ascii="Arial" w:hAnsi="Arial" w:cs="Arial"/>
        </w:rPr>
      </w:pPr>
      <w:r w:rsidRPr="009764E8">
        <w:rPr>
          <w:rFonts w:ascii="Arial" w:hAnsi="Arial" w:cs="Arial"/>
        </w:rPr>
        <w:t xml:space="preserve">Redish, E.F. &amp; Smith, K.A. (2008) ‘Looking beyond content: Skill development for engineers’, </w:t>
      </w:r>
      <w:r w:rsidRPr="009764E8">
        <w:rPr>
          <w:rFonts w:ascii="Arial" w:hAnsi="Arial" w:cs="Arial"/>
          <w:i/>
          <w:iCs/>
        </w:rPr>
        <w:t>Journal of Engineering Education</w:t>
      </w:r>
      <w:r w:rsidRPr="009764E8">
        <w:rPr>
          <w:rFonts w:ascii="Arial" w:hAnsi="Arial" w:cs="Arial"/>
        </w:rPr>
        <w:t>, 97(3), pp. 295–307.</w:t>
      </w:r>
    </w:p>
    <w:p w14:paraId="472518F6" w14:textId="77777777" w:rsidR="003C0699" w:rsidRPr="009764E8" w:rsidRDefault="003C0699" w:rsidP="0006320A">
      <w:pPr>
        <w:rPr>
          <w:rFonts w:ascii="Arial" w:hAnsi="Arial" w:cs="Arial"/>
        </w:rPr>
      </w:pPr>
      <w:r w:rsidRPr="003C0699">
        <w:rPr>
          <w:rFonts w:ascii="Arial" w:hAnsi="Arial" w:cs="Arial"/>
        </w:rPr>
        <w:t>Sadler, D.R. (1989) ‘Formative assessment and the design of instructional systems’, Instructional Science, 18(2), pp. 119–144.</w:t>
      </w:r>
    </w:p>
    <w:p w14:paraId="753B6384" w14:textId="77777777" w:rsidR="0006320A" w:rsidRPr="009764E8" w:rsidRDefault="0006320A" w:rsidP="0006320A">
      <w:pPr>
        <w:rPr>
          <w:rFonts w:ascii="Arial" w:hAnsi="Arial" w:cs="Arial"/>
        </w:rPr>
      </w:pPr>
      <w:r w:rsidRPr="009764E8">
        <w:rPr>
          <w:rFonts w:ascii="Arial" w:hAnsi="Arial" w:cs="Arial"/>
        </w:rPr>
        <w:t xml:space="preserve">Schön, D.A. (1983) </w:t>
      </w:r>
      <w:r w:rsidRPr="009764E8">
        <w:rPr>
          <w:rFonts w:ascii="Arial" w:hAnsi="Arial" w:cs="Arial"/>
          <w:i/>
          <w:iCs/>
        </w:rPr>
        <w:t>The reflective practitioner: How professionals think in action</w:t>
      </w:r>
      <w:r w:rsidRPr="009764E8">
        <w:rPr>
          <w:rFonts w:ascii="Arial" w:hAnsi="Arial" w:cs="Arial"/>
        </w:rPr>
        <w:t>. New York: Basic Books.</w:t>
      </w:r>
    </w:p>
    <w:p w14:paraId="0265AA1B" w14:textId="77777777" w:rsidR="00AF0D4A" w:rsidRPr="009764E8" w:rsidRDefault="00AF0D4A" w:rsidP="00AF0D4A">
      <w:pPr>
        <w:rPr>
          <w:rFonts w:ascii="Arial" w:hAnsi="Arial" w:cs="Arial"/>
        </w:rPr>
      </w:pPr>
      <w:r w:rsidRPr="009764E8">
        <w:rPr>
          <w:rFonts w:ascii="Arial" w:hAnsi="Arial" w:cs="Arial"/>
        </w:rPr>
        <w:t xml:space="preserve">Sharp, J., Peters, J. and Howard, K. (2017) </w:t>
      </w:r>
      <w:r w:rsidRPr="009764E8">
        <w:rPr>
          <w:rFonts w:ascii="Arial" w:hAnsi="Arial" w:cs="Arial"/>
          <w:i/>
          <w:iCs/>
        </w:rPr>
        <w:t>The Management of a Student Research Project</w:t>
      </w:r>
      <w:r w:rsidRPr="009764E8">
        <w:rPr>
          <w:rFonts w:ascii="Arial" w:hAnsi="Arial" w:cs="Arial"/>
        </w:rPr>
        <w:t>. 6th edn. London: Routledge.</w:t>
      </w:r>
    </w:p>
    <w:p w14:paraId="113B77B2" w14:textId="77777777" w:rsidR="00AF0D4A" w:rsidRPr="009764E8" w:rsidRDefault="00AF0D4A" w:rsidP="00AF0D4A">
      <w:pPr>
        <w:rPr>
          <w:rFonts w:ascii="Arial" w:hAnsi="Arial" w:cs="Arial"/>
        </w:rPr>
      </w:pPr>
      <w:r w:rsidRPr="009764E8">
        <w:rPr>
          <w:rFonts w:ascii="Arial" w:hAnsi="Arial" w:cs="Arial"/>
        </w:rPr>
        <w:t xml:space="preserve">Suskie, L. (2018) </w:t>
      </w:r>
      <w:r w:rsidRPr="009764E8">
        <w:rPr>
          <w:rFonts w:ascii="Arial" w:hAnsi="Arial" w:cs="Arial"/>
          <w:i/>
          <w:iCs/>
        </w:rPr>
        <w:t>Assessing Student Learning: A Common Sense Guide</w:t>
      </w:r>
      <w:r w:rsidRPr="009764E8">
        <w:rPr>
          <w:rFonts w:ascii="Arial" w:hAnsi="Arial" w:cs="Arial"/>
        </w:rPr>
        <w:t>. 3rd edn. San Francisco: Jossey-Bass.</w:t>
      </w:r>
    </w:p>
    <w:p w14:paraId="316BAFC0" w14:textId="77777777" w:rsidR="0006320A" w:rsidRDefault="0006320A" w:rsidP="0006320A">
      <w:pPr>
        <w:rPr>
          <w:rFonts w:ascii="Arial" w:hAnsi="Arial" w:cs="Arial"/>
        </w:rPr>
      </w:pPr>
      <w:r w:rsidRPr="009764E8">
        <w:rPr>
          <w:rFonts w:ascii="Arial" w:hAnsi="Arial" w:cs="Arial"/>
        </w:rPr>
        <w:t xml:space="preserve">Synnott, A. (2013) ‘Reflection and double-loop learning in vocational higher education’, </w:t>
      </w:r>
      <w:r w:rsidRPr="009764E8">
        <w:rPr>
          <w:rFonts w:ascii="Arial" w:hAnsi="Arial" w:cs="Arial"/>
          <w:i/>
          <w:iCs/>
        </w:rPr>
        <w:t>Journal of Workplace Learning</w:t>
      </w:r>
      <w:r w:rsidRPr="009764E8">
        <w:rPr>
          <w:rFonts w:ascii="Arial" w:hAnsi="Arial" w:cs="Arial"/>
        </w:rPr>
        <w:t>, 25(6), pp. 386–398.</w:t>
      </w:r>
    </w:p>
    <w:p w14:paraId="0B421931" w14:textId="77777777" w:rsidR="00D959BA" w:rsidRPr="009764E8" w:rsidRDefault="00D959BA" w:rsidP="0006320A">
      <w:pPr>
        <w:rPr>
          <w:rFonts w:ascii="Arial" w:hAnsi="Arial" w:cs="Arial"/>
        </w:rPr>
      </w:pPr>
      <w:r w:rsidRPr="00D959BA">
        <w:rPr>
          <w:rFonts w:ascii="Arial" w:hAnsi="Arial" w:cs="Arial"/>
        </w:rPr>
        <w:t xml:space="preserve">Tagg, J. (2007). Double-loop learning in higher education. Change, July/August 2007, 36-41. </w:t>
      </w:r>
    </w:p>
    <w:p w14:paraId="01CD285F" w14:textId="77777777" w:rsidR="0006320A" w:rsidRPr="009764E8" w:rsidRDefault="0006320A" w:rsidP="0006320A">
      <w:pPr>
        <w:rPr>
          <w:rFonts w:ascii="Arial" w:hAnsi="Arial" w:cs="Arial"/>
        </w:rPr>
      </w:pPr>
      <w:r w:rsidRPr="009764E8">
        <w:rPr>
          <w:rFonts w:ascii="Arial" w:hAnsi="Arial" w:cs="Arial"/>
        </w:rPr>
        <w:t xml:space="preserve">Taylor, E.W. (2017) </w:t>
      </w:r>
      <w:r w:rsidRPr="009764E8">
        <w:rPr>
          <w:rFonts w:ascii="Arial" w:hAnsi="Arial" w:cs="Arial"/>
          <w:i/>
          <w:iCs/>
        </w:rPr>
        <w:t>Transformative learning theory</w:t>
      </w:r>
      <w:r w:rsidRPr="009764E8">
        <w:rPr>
          <w:rFonts w:ascii="Arial" w:hAnsi="Arial" w:cs="Arial"/>
        </w:rPr>
        <w:t>. New York: Routledge.</w:t>
      </w:r>
    </w:p>
    <w:p w14:paraId="36928780" w14:textId="3B5DD4F3" w:rsidR="00AF0D4A" w:rsidRDefault="00AF0D4A" w:rsidP="00AF0D4A">
      <w:pPr>
        <w:rPr>
          <w:rFonts w:ascii="Arial" w:hAnsi="Arial" w:cs="Arial"/>
        </w:rPr>
      </w:pPr>
      <w:r w:rsidRPr="009764E8">
        <w:rPr>
          <w:rFonts w:ascii="Arial" w:hAnsi="Arial" w:cs="Arial"/>
        </w:rPr>
        <w:t xml:space="preserve">Terrell, S.R. (2015) </w:t>
      </w:r>
      <w:r w:rsidRPr="009764E8">
        <w:rPr>
          <w:rFonts w:ascii="Arial" w:hAnsi="Arial" w:cs="Arial"/>
          <w:i/>
          <w:iCs/>
        </w:rPr>
        <w:t>Writing a Proposal for Your Dissertation: Guidelines and Examples</w:t>
      </w:r>
      <w:r w:rsidRPr="009764E8">
        <w:rPr>
          <w:rFonts w:ascii="Arial" w:hAnsi="Arial" w:cs="Arial"/>
        </w:rPr>
        <w:t>. New York: The Guilford Press.</w:t>
      </w:r>
    </w:p>
    <w:p w14:paraId="19BF40ED" w14:textId="52A8E4BB" w:rsidR="003145BC" w:rsidRPr="009764E8" w:rsidRDefault="003145BC" w:rsidP="00AF0D4A">
      <w:pPr>
        <w:rPr>
          <w:rFonts w:ascii="Arial" w:hAnsi="Arial" w:cs="Arial"/>
        </w:rPr>
      </w:pPr>
      <w:r w:rsidRPr="003145BC">
        <w:rPr>
          <w:rFonts w:ascii="Arial" w:hAnsi="Arial" w:cs="Arial"/>
        </w:rPr>
        <w:t xml:space="preserve">Thirtle, S. (2014) </w:t>
      </w:r>
      <w:r w:rsidRPr="003145BC">
        <w:rPr>
          <w:rFonts w:ascii="Arial" w:hAnsi="Arial" w:cs="Arial"/>
          <w:i/>
          <w:iCs/>
        </w:rPr>
        <w:t>Self-Assessment in Learning: The Relationship Between Active Feedback Strategies and Metacognitive Development.</w:t>
      </w:r>
      <w:r w:rsidRPr="003145BC">
        <w:rPr>
          <w:rFonts w:ascii="Arial" w:hAnsi="Arial" w:cs="Arial"/>
        </w:rPr>
        <w:t xml:space="preserve"> Aylesbury College. </w:t>
      </w:r>
    </w:p>
    <w:p w14:paraId="2E64FBD1" w14:textId="7F19C0B2" w:rsidR="00AF0D4A" w:rsidRDefault="00AF0D4A" w:rsidP="00AF0D4A">
      <w:pPr>
        <w:rPr>
          <w:rFonts w:ascii="Arial" w:hAnsi="Arial" w:cs="Arial"/>
        </w:rPr>
      </w:pPr>
      <w:r w:rsidRPr="009764E8">
        <w:rPr>
          <w:rFonts w:ascii="Arial" w:hAnsi="Arial" w:cs="Arial"/>
        </w:rPr>
        <w:t xml:space="preserve">Turabian, K.L. (2018) </w:t>
      </w:r>
      <w:r w:rsidRPr="009764E8">
        <w:rPr>
          <w:rFonts w:ascii="Arial" w:hAnsi="Arial" w:cs="Arial"/>
          <w:i/>
          <w:iCs/>
        </w:rPr>
        <w:t>A Manual for Writers of Research Papers, Theses, and Dissertations: Chicago Style for Students and Researchers</w:t>
      </w:r>
      <w:r w:rsidRPr="009764E8">
        <w:rPr>
          <w:rFonts w:ascii="Arial" w:hAnsi="Arial" w:cs="Arial"/>
        </w:rPr>
        <w:t>. 9th edn. Chicago: University of Chicago Press.</w:t>
      </w:r>
    </w:p>
    <w:p w14:paraId="1A02629B" w14:textId="68DB071F" w:rsidR="003145BC" w:rsidRPr="009764E8" w:rsidRDefault="003145BC" w:rsidP="00AF0D4A">
      <w:pPr>
        <w:rPr>
          <w:rFonts w:ascii="Arial" w:hAnsi="Arial" w:cs="Arial"/>
        </w:rPr>
      </w:pPr>
      <w:r>
        <w:rPr>
          <w:rFonts w:ascii="Arial" w:hAnsi="Arial" w:cs="Arial"/>
        </w:rPr>
        <w:t>Türkmen, G., Hopcan, S.</w:t>
      </w:r>
      <w:r w:rsidRPr="003145BC">
        <w:rPr>
          <w:rFonts w:ascii="Arial" w:hAnsi="Arial" w:cs="Arial"/>
        </w:rPr>
        <w:t xml:space="preserve"> &amp; Polat, E. (2024) </w:t>
      </w:r>
      <w:r w:rsidRPr="003145BC">
        <w:rPr>
          <w:rFonts w:ascii="Arial" w:hAnsi="Arial" w:cs="Arial"/>
          <w:i/>
          <w:iCs/>
        </w:rPr>
        <w:t>Sustaining undergraduate students’ metacognitive regulatory actions during online flipped programming course.</w:t>
      </w:r>
      <w:r w:rsidRPr="003145BC">
        <w:rPr>
          <w:rFonts w:ascii="Arial" w:hAnsi="Arial" w:cs="Arial"/>
        </w:rPr>
        <w:t xml:space="preserve"> Journal of Learning and Teaching in Digital Age, 9(2), 111-128.</w:t>
      </w:r>
    </w:p>
    <w:p w14:paraId="731D41E3" w14:textId="720FCF4F" w:rsidR="0006320A" w:rsidRDefault="0006320A" w:rsidP="0006320A">
      <w:pPr>
        <w:rPr>
          <w:rFonts w:ascii="Arial" w:hAnsi="Arial" w:cs="Arial"/>
        </w:rPr>
      </w:pPr>
      <w:r w:rsidRPr="009764E8">
        <w:rPr>
          <w:rFonts w:ascii="Arial" w:hAnsi="Arial" w:cs="Arial"/>
        </w:rPr>
        <w:t xml:space="preserve">Vathanophas, V., et al. (2011) ‘Critical reflection and double-loop learning in vocational education’, </w:t>
      </w:r>
      <w:r w:rsidRPr="009764E8">
        <w:rPr>
          <w:rFonts w:ascii="Arial" w:hAnsi="Arial" w:cs="Arial"/>
          <w:i/>
          <w:iCs/>
        </w:rPr>
        <w:t>International Journal of Training Research</w:t>
      </w:r>
      <w:r w:rsidRPr="009764E8">
        <w:rPr>
          <w:rFonts w:ascii="Arial" w:hAnsi="Arial" w:cs="Arial"/>
        </w:rPr>
        <w:t>, 9(2), pp. 123–136.</w:t>
      </w:r>
    </w:p>
    <w:p w14:paraId="63910627" w14:textId="2328DD3B" w:rsidR="003145BC" w:rsidRPr="009764E8" w:rsidRDefault="003145BC" w:rsidP="0006320A">
      <w:pPr>
        <w:rPr>
          <w:rFonts w:ascii="Arial" w:hAnsi="Arial" w:cs="Arial"/>
        </w:rPr>
      </w:pPr>
      <w:r w:rsidRPr="003145BC">
        <w:rPr>
          <w:rFonts w:ascii="Arial" w:hAnsi="Arial" w:cs="Arial"/>
        </w:rPr>
        <w:t xml:space="preserve">Weaver, M. (2006) </w:t>
      </w:r>
      <w:r w:rsidRPr="003145BC">
        <w:rPr>
          <w:rFonts w:ascii="Arial" w:hAnsi="Arial" w:cs="Arial"/>
          <w:i/>
          <w:iCs/>
        </w:rPr>
        <w:t>Do students value feedback? Student perceptions of tutors’ written responses.</w:t>
      </w:r>
      <w:r w:rsidRPr="003145BC">
        <w:rPr>
          <w:rFonts w:ascii="Arial" w:hAnsi="Arial" w:cs="Arial"/>
        </w:rPr>
        <w:t xml:space="preserve"> ELT Journal, 60(2), 148-163.</w:t>
      </w:r>
    </w:p>
    <w:p w14:paraId="44758DD0" w14:textId="77777777" w:rsidR="0006320A" w:rsidRPr="009764E8" w:rsidRDefault="0006320A" w:rsidP="0006320A">
      <w:pPr>
        <w:rPr>
          <w:rFonts w:ascii="Arial" w:hAnsi="Arial" w:cs="Arial"/>
        </w:rPr>
      </w:pPr>
      <w:r w:rsidRPr="009764E8">
        <w:rPr>
          <w:rFonts w:ascii="Arial" w:hAnsi="Arial" w:cs="Arial"/>
        </w:rPr>
        <w:t xml:space="preserve">Wheelahan, L. (2010) </w:t>
      </w:r>
      <w:r w:rsidRPr="009764E8">
        <w:rPr>
          <w:rFonts w:ascii="Arial" w:hAnsi="Arial" w:cs="Arial"/>
          <w:i/>
          <w:iCs/>
        </w:rPr>
        <w:t>Why knowledge matters in curriculum: A social realist argument</w:t>
      </w:r>
      <w:r w:rsidRPr="009764E8">
        <w:rPr>
          <w:rFonts w:ascii="Arial" w:hAnsi="Arial" w:cs="Arial"/>
        </w:rPr>
        <w:t>. London: Routledge.</w:t>
      </w:r>
    </w:p>
    <w:p w14:paraId="6CCE3136" w14:textId="77777777" w:rsidR="0006320A" w:rsidRPr="009764E8" w:rsidRDefault="0006320A" w:rsidP="0006320A">
      <w:pPr>
        <w:rPr>
          <w:rFonts w:ascii="Arial" w:hAnsi="Arial" w:cs="Arial"/>
        </w:rPr>
      </w:pPr>
      <w:r w:rsidRPr="009764E8">
        <w:rPr>
          <w:rFonts w:ascii="Arial" w:hAnsi="Arial" w:cs="Arial"/>
        </w:rPr>
        <w:lastRenderedPageBreak/>
        <w:t xml:space="preserve">Winstone, N. &amp; Boud, D. (2021) </w:t>
      </w:r>
      <w:r w:rsidRPr="009764E8">
        <w:rPr>
          <w:rFonts w:ascii="Arial" w:hAnsi="Arial" w:cs="Arial"/>
          <w:i/>
          <w:iCs/>
        </w:rPr>
        <w:t>The new feedback landscape in higher education</w:t>
      </w:r>
      <w:r w:rsidRPr="009764E8">
        <w:rPr>
          <w:rFonts w:ascii="Arial" w:hAnsi="Arial" w:cs="Arial"/>
        </w:rPr>
        <w:t>. London: Routledge.</w:t>
      </w:r>
    </w:p>
    <w:p w14:paraId="3D42DDDA" w14:textId="77777777" w:rsidR="00AF0D4A" w:rsidRPr="009764E8" w:rsidRDefault="00AF0D4A" w:rsidP="00AF0D4A">
      <w:pPr>
        <w:rPr>
          <w:rFonts w:ascii="Arial" w:hAnsi="Arial" w:cs="Arial"/>
        </w:rPr>
      </w:pPr>
      <w:r w:rsidRPr="009764E8">
        <w:rPr>
          <w:rFonts w:ascii="Arial" w:hAnsi="Arial" w:cs="Arial"/>
        </w:rPr>
        <w:t xml:space="preserve">Zimmerman, B.J. (2002) ‘Becoming a self-regulated learner: An overview’, </w:t>
      </w:r>
      <w:r w:rsidRPr="009764E8">
        <w:rPr>
          <w:rFonts w:ascii="Arial" w:hAnsi="Arial" w:cs="Arial"/>
          <w:i/>
          <w:iCs/>
        </w:rPr>
        <w:t>Theory into Practice</w:t>
      </w:r>
      <w:r w:rsidRPr="009764E8">
        <w:rPr>
          <w:rFonts w:ascii="Arial" w:hAnsi="Arial" w:cs="Arial"/>
        </w:rPr>
        <w:t xml:space="preserve">, 41(2), pp. 64–70. </w:t>
      </w:r>
    </w:p>
    <w:p w14:paraId="4945CA23" w14:textId="77777777" w:rsidR="00AF0D4A" w:rsidRDefault="00AF0D4A" w:rsidP="0006320A">
      <w:pPr>
        <w:rPr>
          <w:rFonts w:ascii="Arial" w:hAnsi="Arial" w:cs="Arial"/>
        </w:rPr>
      </w:pPr>
    </w:p>
    <w:p w14:paraId="156887AB" w14:textId="77777777" w:rsidR="003C0699" w:rsidRDefault="003C0699" w:rsidP="0006320A">
      <w:pPr>
        <w:rPr>
          <w:rFonts w:ascii="Arial" w:hAnsi="Arial" w:cs="Arial"/>
        </w:rPr>
      </w:pPr>
    </w:p>
    <w:p w14:paraId="662974A0" w14:textId="77777777" w:rsidR="003C0699" w:rsidRDefault="003C0699" w:rsidP="0006320A">
      <w:pPr>
        <w:rPr>
          <w:rFonts w:ascii="Arial" w:hAnsi="Arial" w:cs="Arial"/>
        </w:rPr>
      </w:pPr>
    </w:p>
    <w:p w14:paraId="5F6BFF3B" w14:textId="77777777" w:rsidR="003C0699" w:rsidRDefault="003C0699" w:rsidP="0006320A">
      <w:pPr>
        <w:rPr>
          <w:rFonts w:ascii="Arial" w:hAnsi="Arial" w:cs="Arial"/>
        </w:rPr>
      </w:pPr>
    </w:p>
    <w:p w14:paraId="4D2B63DB" w14:textId="77777777" w:rsidR="003C0699" w:rsidRDefault="003C0699" w:rsidP="0006320A">
      <w:pPr>
        <w:rPr>
          <w:rFonts w:ascii="Arial" w:hAnsi="Arial" w:cs="Arial"/>
        </w:rPr>
      </w:pPr>
    </w:p>
    <w:p w14:paraId="14A2B834" w14:textId="77777777" w:rsidR="003C0699" w:rsidRDefault="003C0699" w:rsidP="0006320A">
      <w:pPr>
        <w:rPr>
          <w:rFonts w:ascii="Arial" w:hAnsi="Arial" w:cs="Arial"/>
        </w:rPr>
      </w:pPr>
    </w:p>
    <w:p w14:paraId="41816F18" w14:textId="77777777" w:rsidR="003C0699" w:rsidRDefault="003C0699" w:rsidP="0006320A">
      <w:pPr>
        <w:rPr>
          <w:rFonts w:ascii="Arial" w:hAnsi="Arial" w:cs="Arial"/>
        </w:rPr>
      </w:pPr>
    </w:p>
    <w:p w14:paraId="1D8FBB25" w14:textId="77777777" w:rsidR="003C0699" w:rsidRDefault="003C0699" w:rsidP="0006320A">
      <w:pPr>
        <w:rPr>
          <w:rFonts w:ascii="Arial" w:hAnsi="Arial" w:cs="Arial"/>
        </w:rPr>
      </w:pPr>
    </w:p>
    <w:p w14:paraId="2E0B4299" w14:textId="77777777" w:rsidR="003C0699" w:rsidRDefault="003C0699" w:rsidP="0006320A">
      <w:pPr>
        <w:rPr>
          <w:rFonts w:ascii="Arial" w:hAnsi="Arial" w:cs="Arial"/>
        </w:rPr>
      </w:pPr>
    </w:p>
    <w:p w14:paraId="0106BE5A" w14:textId="77777777" w:rsidR="003C0699" w:rsidRDefault="003C0699" w:rsidP="0006320A">
      <w:pPr>
        <w:rPr>
          <w:rFonts w:ascii="Arial" w:hAnsi="Arial" w:cs="Arial"/>
        </w:rPr>
      </w:pPr>
    </w:p>
    <w:p w14:paraId="7AC14335" w14:textId="77777777" w:rsidR="003C0699" w:rsidRDefault="003C0699" w:rsidP="0006320A">
      <w:pPr>
        <w:rPr>
          <w:rFonts w:ascii="Arial" w:hAnsi="Arial" w:cs="Arial"/>
        </w:rPr>
      </w:pPr>
    </w:p>
    <w:p w14:paraId="633C3127" w14:textId="77777777" w:rsidR="003C0699" w:rsidRDefault="003C0699" w:rsidP="0006320A">
      <w:pPr>
        <w:rPr>
          <w:rFonts w:ascii="Arial" w:hAnsi="Arial" w:cs="Arial"/>
        </w:rPr>
      </w:pPr>
    </w:p>
    <w:p w14:paraId="173695F0" w14:textId="77777777" w:rsidR="003C0699" w:rsidRDefault="003C0699" w:rsidP="0006320A">
      <w:pPr>
        <w:rPr>
          <w:rFonts w:ascii="Arial" w:hAnsi="Arial" w:cs="Arial"/>
        </w:rPr>
      </w:pPr>
    </w:p>
    <w:p w14:paraId="2422D9D4" w14:textId="655CF05D" w:rsidR="003C0699" w:rsidRDefault="003C0699" w:rsidP="0006320A">
      <w:pPr>
        <w:rPr>
          <w:rFonts w:ascii="Arial" w:hAnsi="Arial" w:cs="Arial"/>
        </w:rPr>
      </w:pPr>
    </w:p>
    <w:p w14:paraId="397E1067" w14:textId="5EAA5359" w:rsidR="004275D3" w:rsidRDefault="004275D3" w:rsidP="0006320A">
      <w:pPr>
        <w:rPr>
          <w:rFonts w:ascii="Arial" w:hAnsi="Arial" w:cs="Arial"/>
        </w:rPr>
      </w:pPr>
    </w:p>
    <w:p w14:paraId="474C5AFE" w14:textId="64B6A934" w:rsidR="004275D3" w:rsidRDefault="004275D3" w:rsidP="0006320A">
      <w:pPr>
        <w:rPr>
          <w:rFonts w:ascii="Arial" w:hAnsi="Arial" w:cs="Arial"/>
        </w:rPr>
      </w:pPr>
    </w:p>
    <w:p w14:paraId="4E86180A" w14:textId="031BB393" w:rsidR="004275D3" w:rsidRDefault="004275D3" w:rsidP="0006320A">
      <w:pPr>
        <w:rPr>
          <w:rFonts w:ascii="Arial" w:hAnsi="Arial" w:cs="Arial"/>
        </w:rPr>
      </w:pPr>
    </w:p>
    <w:p w14:paraId="58C4B464" w14:textId="7CFA315B" w:rsidR="004275D3" w:rsidRDefault="004275D3" w:rsidP="0006320A">
      <w:pPr>
        <w:rPr>
          <w:rFonts w:ascii="Arial" w:hAnsi="Arial" w:cs="Arial"/>
        </w:rPr>
      </w:pPr>
    </w:p>
    <w:p w14:paraId="254461F4" w14:textId="0100E827" w:rsidR="004275D3" w:rsidRDefault="004275D3" w:rsidP="0006320A">
      <w:pPr>
        <w:rPr>
          <w:rFonts w:ascii="Arial" w:hAnsi="Arial" w:cs="Arial"/>
        </w:rPr>
      </w:pPr>
    </w:p>
    <w:p w14:paraId="1AD6CE1A" w14:textId="36AB75AC" w:rsidR="004275D3" w:rsidRDefault="004275D3" w:rsidP="0006320A">
      <w:pPr>
        <w:rPr>
          <w:rFonts w:ascii="Arial" w:hAnsi="Arial" w:cs="Arial"/>
        </w:rPr>
      </w:pPr>
    </w:p>
    <w:p w14:paraId="6ACE26B7" w14:textId="3E4D1A0B" w:rsidR="004275D3" w:rsidRDefault="004275D3" w:rsidP="0006320A">
      <w:pPr>
        <w:rPr>
          <w:rFonts w:ascii="Arial" w:hAnsi="Arial" w:cs="Arial"/>
        </w:rPr>
      </w:pPr>
    </w:p>
    <w:p w14:paraId="2EECF3C9" w14:textId="7818504A" w:rsidR="004275D3" w:rsidRDefault="004275D3" w:rsidP="0006320A">
      <w:pPr>
        <w:rPr>
          <w:rFonts w:ascii="Arial" w:hAnsi="Arial" w:cs="Arial"/>
        </w:rPr>
      </w:pPr>
    </w:p>
    <w:p w14:paraId="57CD21EA" w14:textId="15150EBC" w:rsidR="004275D3" w:rsidRDefault="004275D3" w:rsidP="0006320A">
      <w:pPr>
        <w:rPr>
          <w:rFonts w:ascii="Arial" w:hAnsi="Arial" w:cs="Arial"/>
        </w:rPr>
      </w:pPr>
    </w:p>
    <w:p w14:paraId="63E307AE" w14:textId="7CEF28B1" w:rsidR="004275D3" w:rsidRDefault="004275D3" w:rsidP="0006320A">
      <w:pPr>
        <w:rPr>
          <w:rFonts w:ascii="Arial" w:hAnsi="Arial" w:cs="Arial"/>
        </w:rPr>
      </w:pPr>
    </w:p>
    <w:p w14:paraId="7DF8FE8A" w14:textId="44D4B67A" w:rsidR="004275D3" w:rsidRDefault="004275D3" w:rsidP="0006320A">
      <w:pPr>
        <w:rPr>
          <w:rFonts w:ascii="Arial" w:hAnsi="Arial" w:cs="Arial"/>
        </w:rPr>
      </w:pPr>
    </w:p>
    <w:p w14:paraId="2F693BD1" w14:textId="36C79113" w:rsidR="004275D3" w:rsidRDefault="004275D3" w:rsidP="0006320A">
      <w:pPr>
        <w:rPr>
          <w:rFonts w:ascii="Arial" w:hAnsi="Arial" w:cs="Arial"/>
        </w:rPr>
      </w:pPr>
    </w:p>
    <w:p w14:paraId="211546DE" w14:textId="77777777" w:rsidR="004275D3" w:rsidRDefault="004275D3" w:rsidP="0006320A">
      <w:pPr>
        <w:rPr>
          <w:rFonts w:ascii="Arial" w:hAnsi="Arial" w:cs="Arial"/>
        </w:rPr>
      </w:pPr>
    </w:p>
    <w:p w14:paraId="680B51FC" w14:textId="77777777" w:rsidR="003C0699" w:rsidRDefault="003C0699" w:rsidP="0006320A">
      <w:pPr>
        <w:rPr>
          <w:rFonts w:ascii="Arial" w:hAnsi="Arial" w:cs="Arial"/>
        </w:rPr>
      </w:pPr>
    </w:p>
    <w:p w14:paraId="155524B0" w14:textId="77777777" w:rsidR="003C0699" w:rsidRDefault="003C0699" w:rsidP="0006320A">
      <w:pPr>
        <w:rPr>
          <w:rFonts w:ascii="Arial" w:hAnsi="Arial" w:cs="Arial"/>
        </w:rPr>
      </w:pPr>
    </w:p>
    <w:p w14:paraId="7E6D3C3D" w14:textId="223186F0" w:rsidR="00131C29" w:rsidRPr="00131C29" w:rsidRDefault="00D2713B" w:rsidP="00131C29">
      <w:pPr>
        <w:pStyle w:val="Heading1"/>
        <w:rPr>
          <w:rFonts w:ascii="Arial" w:eastAsia="MS Mincho" w:hAnsi="Arial" w:cs="Arial"/>
          <w:sz w:val="22"/>
          <w:szCs w:val="22"/>
          <w:lang w:val="en-US"/>
        </w:rPr>
      </w:pPr>
      <w:bookmarkStart w:id="59" w:name="_Toc214970293"/>
      <w:r>
        <w:rPr>
          <w:rFonts w:ascii="Arial" w:eastAsia="MS Mincho" w:hAnsi="Arial" w:cs="Arial"/>
          <w:sz w:val="22"/>
          <w:szCs w:val="22"/>
          <w:lang w:val="en-US"/>
        </w:rPr>
        <w:lastRenderedPageBreak/>
        <w:t xml:space="preserve">9.0 </w:t>
      </w:r>
      <w:r w:rsidR="00131C29" w:rsidRPr="00131C29">
        <w:rPr>
          <w:rFonts w:ascii="Arial" w:eastAsia="MS Mincho" w:hAnsi="Arial" w:cs="Arial"/>
          <w:sz w:val="22"/>
          <w:szCs w:val="22"/>
          <w:lang w:val="en-US"/>
        </w:rPr>
        <w:t>Appendix A</w:t>
      </w:r>
      <w:bookmarkEnd w:id="59"/>
    </w:p>
    <w:p w14:paraId="3FACFB3A" w14:textId="77777777" w:rsidR="00CE6088" w:rsidRDefault="00CE6088" w:rsidP="00CE6088">
      <w:pPr>
        <w:rPr>
          <w:lang w:val="en-US"/>
        </w:rPr>
      </w:pPr>
    </w:p>
    <w:p w14:paraId="6A2EBEB4" w14:textId="77777777" w:rsidR="00131C29" w:rsidRPr="00CE6088" w:rsidRDefault="00131C29" w:rsidP="00CE6088">
      <w:pPr>
        <w:rPr>
          <w:rFonts w:ascii="Arial" w:hAnsi="Arial" w:cs="Arial"/>
          <w:lang w:val="en-US"/>
        </w:rPr>
      </w:pPr>
      <w:r w:rsidRPr="00CE6088">
        <w:rPr>
          <w:rFonts w:ascii="Arial" w:hAnsi="Arial" w:cs="Arial"/>
          <w:lang w:val="en-US"/>
        </w:rPr>
        <w:t>Pre-Intervention Survey: Student Feedback Attitudes and Experiences</w:t>
      </w:r>
    </w:p>
    <w:p w14:paraId="1E56E90B" w14:textId="77777777" w:rsidR="00131C29" w:rsidRPr="00CE6088" w:rsidRDefault="00131C29" w:rsidP="00CE6088">
      <w:pPr>
        <w:rPr>
          <w:rFonts w:ascii="Arial" w:eastAsia="MS Mincho" w:hAnsi="Arial" w:cs="Arial"/>
          <w:lang w:val="en-US"/>
        </w:rPr>
      </w:pPr>
    </w:p>
    <w:p w14:paraId="073702D2" w14:textId="77777777" w:rsidR="00131C29" w:rsidRPr="00CE6088"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Purpose:</w:t>
      </w:r>
      <w:r w:rsidRPr="00131C29">
        <w:rPr>
          <w:rFonts w:ascii="Arial" w:eastAsia="MS Mincho" w:hAnsi="Arial" w:cs="Arial"/>
          <w:lang w:val="en-US"/>
        </w:rPr>
        <w:br/>
      </w:r>
    </w:p>
    <w:p w14:paraId="6473F220"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This survey aims to explore your current understanding, experiences, and perceptions of feedback in your HNC Civil Engineering and Construction programme. Your responses will help inform the development of improved feedback practices.</w:t>
      </w:r>
      <w:r w:rsidRPr="00131C29">
        <w:rPr>
          <w:rFonts w:ascii="Arial" w:eastAsia="MS Mincho" w:hAnsi="Arial" w:cs="Arial"/>
          <w:lang w:val="en-US"/>
        </w:rPr>
        <w:br/>
      </w:r>
    </w:p>
    <w:p w14:paraId="4F1CAC89" w14:textId="77777777" w:rsidR="00131C29" w:rsidRPr="00CE6088"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Instructions:</w:t>
      </w:r>
      <w:r w:rsidRPr="00131C29">
        <w:rPr>
          <w:rFonts w:ascii="Arial" w:eastAsia="MS Mincho" w:hAnsi="Arial" w:cs="Arial"/>
          <w:lang w:val="en-US"/>
        </w:rPr>
        <w:br/>
      </w:r>
    </w:p>
    <w:p w14:paraId="1A13E7BA" w14:textId="77777777" w:rsidR="00131C29" w:rsidRPr="00CE6088"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Please answer all questions honestly. Your responses will remain confidential and will only be used for research and improvement purposes. The survey should take approximately 10 minutes.</w:t>
      </w:r>
      <w:r w:rsidRPr="00131C29">
        <w:rPr>
          <w:rFonts w:ascii="Arial" w:eastAsia="MS Mincho" w:hAnsi="Arial" w:cs="Arial"/>
          <w:lang w:val="en-US"/>
        </w:rPr>
        <w:br/>
      </w:r>
    </w:p>
    <w:p w14:paraId="08AD89E3" w14:textId="77777777" w:rsidR="00131C29" w:rsidRPr="00CE6088" w:rsidRDefault="00131C29" w:rsidP="00CE6088">
      <w:pPr>
        <w:rPr>
          <w:rFonts w:ascii="Arial" w:hAnsi="Arial" w:cs="Arial"/>
          <w:lang w:val="en-US"/>
        </w:rPr>
      </w:pPr>
      <w:r w:rsidRPr="00CE6088">
        <w:rPr>
          <w:rFonts w:ascii="Arial" w:hAnsi="Arial" w:cs="Arial"/>
          <w:lang w:val="en-US"/>
        </w:rPr>
        <w:t>Section A: Feedback Understanding and Attitudes</w:t>
      </w:r>
    </w:p>
    <w:p w14:paraId="048F8F9A" w14:textId="77777777" w:rsidR="00131C29" w:rsidRDefault="00131C29" w:rsidP="00CE6088">
      <w:pPr>
        <w:rPr>
          <w:rFonts w:eastAsia="MS Mincho"/>
          <w:lang w:val="en-US"/>
        </w:rPr>
      </w:pPr>
    </w:p>
    <w:p w14:paraId="1284BB06"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Please indicate the extent to which you agree or disagree with the following statements:</w:t>
      </w:r>
    </w:p>
    <w:p w14:paraId="090791E0"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1. I understand the purpose of academic feedback.</w:t>
      </w:r>
    </w:p>
    <w:p w14:paraId="0273F6CD" w14:textId="77777777" w:rsidR="00131C29" w:rsidRPr="00131C29" w:rsidRDefault="00131C29" w:rsidP="00131C29">
      <w:pPr>
        <w:spacing w:after="200" w:line="276" w:lineRule="auto"/>
        <w:rPr>
          <w:rFonts w:ascii="Arial" w:eastAsia="MS Mincho" w:hAnsi="Arial" w:cs="Arial"/>
          <w:lang w:val="en-US"/>
        </w:rPr>
      </w:pPr>
      <w:r w:rsidRPr="00131C29">
        <w:rPr>
          <w:rFonts w:ascii="Segoe UI Symbol" w:eastAsia="MS Mincho" w:hAnsi="Segoe UI Symbol" w:cs="Segoe UI Symbol"/>
          <w:lang w:val="en-US"/>
        </w:rPr>
        <w:t>☐</w:t>
      </w:r>
      <w:r w:rsidRPr="00131C29">
        <w:rPr>
          <w:rFonts w:ascii="Arial" w:eastAsia="MS Mincho" w:hAnsi="Arial" w:cs="Arial"/>
          <w:lang w:val="en-US"/>
        </w:rPr>
        <w:t xml:space="preserve"> Strongly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Neutral    </w:t>
      </w:r>
      <w:r w:rsidRPr="00131C29">
        <w:rPr>
          <w:rFonts w:ascii="Segoe UI Symbol" w:eastAsia="MS Mincho" w:hAnsi="Segoe UI Symbol" w:cs="Segoe UI Symbol"/>
          <w:lang w:val="en-US"/>
        </w:rPr>
        <w:t>☐</w:t>
      </w:r>
      <w:r w:rsidRPr="00131C29">
        <w:rPr>
          <w:rFonts w:ascii="Arial" w:eastAsia="MS Mincho" w:hAnsi="Arial" w:cs="Arial"/>
          <w:lang w:val="en-US"/>
        </w:rPr>
        <w:t xml:space="preserve"> 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Strongly Agree</w:t>
      </w:r>
    </w:p>
    <w:p w14:paraId="35CFC155"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2. I find feedback useful for improving my future work.</w:t>
      </w:r>
    </w:p>
    <w:p w14:paraId="7E38AFD2" w14:textId="77777777" w:rsidR="00131C29" w:rsidRPr="00131C29" w:rsidRDefault="00131C29" w:rsidP="00131C29">
      <w:pPr>
        <w:spacing w:after="200" w:line="276" w:lineRule="auto"/>
        <w:rPr>
          <w:rFonts w:ascii="Arial" w:eastAsia="MS Mincho" w:hAnsi="Arial" w:cs="Arial"/>
          <w:lang w:val="en-US"/>
        </w:rPr>
      </w:pPr>
      <w:r w:rsidRPr="00131C29">
        <w:rPr>
          <w:rFonts w:ascii="Segoe UI Symbol" w:eastAsia="MS Mincho" w:hAnsi="Segoe UI Symbol" w:cs="Segoe UI Symbol"/>
          <w:lang w:val="en-US"/>
        </w:rPr>
        <w:t>☐</w:t>
      </w:r>
      <w:r w:rsidRPr="00131C29">
        <w:rPr>
          <w:rFonts w:ascii="Arial" w:eastAsia="MS Mincho" w:hAnsi="Arial" w:cs="Arial"/>
          <w:lang w:val="en-US"/>
        </w:rPr>
        <w:t xml:space="preserve"> Strongly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Neutral    </w:t>
      </w:r>
      <w:r w:rsidRPr="00131C29">
        <w:rPr>
          <w:rFonts w:ascii="Segoe UI Symbol" w:eastAsia="MS Mincho" w:hAnsi="Segoe UI Symbol" w:cs="Segoe UI Symbol"/>
          <w:lang w:val="en-US"/>
        </w:rPr>
        <w:t>☐</w:t>
      </w:r>
      <w:r w:rsidRPr="00131C29">
        <w:rPr>
          <w:rFonts w:ascii="Arial" w:eastAsia="MS Mincho" w:hAnsi="Arial" w:cs="Arial"/>
          <w:lang w:val="en-US"/>
        </w:rPr>
        <w:t xml:space="preserve"> 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Strongly Agree</w:t>
      </w:r>
    </w:p>
    <w:p w14:paraId="5FBE093E"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3. Feedback I receive helps me understand my strengths.</w:t>
      </w:r>
    </w:p>
    <w:p w14:paraId="18757667" w14:textId="77777777" w:rsidR="00131C29" w:rsidRPr="00131C29" w:rsidRDefault="00131C29" w:rsidP="00131C29">
      <w:pPr>
        <w:spacing w:after="200" w:line="276" w:lineRule="auto"/>
        <w:rPr>
          <w:rFonts w:ascii="Arial" w:eastAsia="MS Mincho" w:hAnsi="Arial" w:cs="Arial"/>
          <w:lang w:val="en-US"/>
        </w:rPr>
      </w:pPr>
      <w:r w:rsidRPr="00131C29">
        <w:rPr>
          <w:rFonts w:ascii="Segoe UI Symbol" w:eastAsia="MS Mincho" w:hAnsi="Segoe UI Symbol" w:cs="Segoe UI Symbol"/>
          <w:lang w:val="en-US"/>
        </w:rPr>
        <w:t>☐</w:t>
      </w:r>
      <w:r w:rsidRPr="00131C29">
        <w:rPr>
          <w:rFonts w:ascii="Arial" w:eastAsia="MS Mincho" w:hAnsi="Arial" w:cs="Arial"/>
          <w:lang w:val="en-US"/>
        </w:rPr>
        <w:t xml:space="preserve"> Strongly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Neutral    </w:t>
      </w:r>
      <w:r w:rsidRPr="00131C29">
        <w:rPr>
          <w:rFonts w:ascii="Segoe UI Symbol" w:eastAsia="MS Mincho" w:hAnsi="Segoe UI Symbol" w:cs="Segoe UI Symbol"/>
          <w:lang w:val="en-US"/>
        </w:rPr>
        <w:t>☐</w:t>
      </w:r>
      <w:r w:rsidRPr="00131C29">
        <w:rPr>
          <w:rFonts w:ascii="Arial" w:eastAsia="MS Mincho" w:hAnsi="Arial" w:cs="Arial"/>
          <w:lang w:val="en-US"/>
        </w:rPr>
        <w:t xml:space="preserve"> 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Strongly Agree</w:t>
      </w:r>
    </w:p>
    <w:p w14:paraId="6D4C0FF4"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4. Feedback I receive helps me identify areas for improvement.</w:t>
      </w:r>
    </w:p>
    <w:p w14:paraId="1A0CE8DF" w14:textId="77777777" w:rsidR="00131C29" w:rsidRPr="00131C29" w:rsidRDefault="00131C29" w:rsidP="00131C29">
      <w:pPr>
        <w:spacing w:after="200" w:line="276" w:lineRule="auto"/>
        <w:rPr>
          <w:rFonts w:ascii="Arial" w:eastAsia="MS Mincho" w:hAnsi="Arial" w:cs="Arial"/>
          <w:lang w:val="en-US"/>
        </w:rPr>
      </w:pPr>
      <w:r w:rsidRPr="00131C29">
        <w:rPr>
          <w:rFonts w:ascii="Segoe UI Symbol" w:eastAsia="MS Mincho" w:hAnsi="Segoe UI Symbol" w:cs="Segoe UI Symbol"/>
          <w:lang w:val="en-US"/>
        </w:rPr>
        <w:t>☐</w:t>
      </w:r>
      <w:r w:rsidRPr="00131C29">
        <w:rPr>
          <w:rFonts w:ascii="Arial" w:eastAsia="MS Mincho" w:hAnsi="Arial" w:cs="Arial"/>
          <w:lang w:val="en-US"/>
        </w:rPr>
        <w:t xml:space="preserve"> Strongly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Neutral    </w:t>
      </w:r>
      <w:r w:rsidRPr="00131C29">
        <w:rPr>
          <w:rFonts w:ascii="Segoe UI Symbol" w:eastAsia="MS Mincho" w:hAnsi="Segoe UI Symbol" w:cs="Segoe UI Symbol"/>
          <w:lang w:val="en-US"/>
        </w:rPr>
        <w:t>☐</w:t>
      </w:r>
      <w:r w:rsidRPr="00131C29">
        <w:rPr>
          <w:rFonts w:ascii="Arial" w:eastAsia="MS Mincho" w:hAnsi="Arial" w:cs="Arial"/>
          <w:lang w:val="en-US"/>
        </w:rPr>
        <w:t xml:space="preserve"> 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Strongly Agree</w:t>
      </w:r>
    </w:p>
    <w:p w14:paraId="7C4E75C5"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5. I act on feedback to improve future assignments or performance.</w:t>
      </w:r>
    </w:p>
    <w:p w14:paraId="690900B3" w14:textId="77777777" w:rsidR="00131C29" w:rsidRPr="00131C29" w:rsidRDefault="00131C29" w:rsidP="00131C29">
      <w:pPr>
        <w:spacing w:after="200" w:line="276" w:lineRule="auto"/>
        <w:rPr>
          <w:rFonts w:ascii="Arial" w:eastAsia="MS Mincho" w:hAnsi="Arial" w:cs="Arial"/>
          <w:lang w:val="en-US"/>
        </w:rPr>
      </w:pPr>
      <w:r w:rsidRPr="00131C29">
        <w:rPr>
          <w:rFonts w:ascii="Segoe UI Symbol" w:eastAsia="MS Mincho" w:hAnsi="Segoe UI Symbol" w:cs="Segoe UI Symbol"/>
          <w:lang w:val="en-US"/>
        </w:rPr>
        <w:t>☐</w:t>
      </w:r>
      <w:r w:rsidRPr="00131C29">
        <w:rPr>
          <w:rFonts w:ascii="Arial" w:eastAsia="MS Mincho" w:hAnsi="Arial" w:cs="Arial"/>
          <w:lang w:val="en-US"/>
        </w:rPr>
        <w:t xml:space="preserve"> Strongly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Neutral    </w:t>
      </w:r>
      <w:r w:rsidRPr="00131C29">
        <w:rPr>
          <w:rFonts w:ascii="Segoe UI Symbol" w:eastAsia="MS Mincho" w:hAnsi="Segoe UI Symbol" w:cs="Segoe UI Symbol"/>
          <w:lang w:val="en-US"/>
        </w:rPr>
        <w:t>☐</w:t>
      </w:r>
      <w:r w:rsidRPr="00131C29">
        <w:rPr>
          <w:rFonts w:ascii="Arial" w:eastAsia="MS Mincho" w:hAnsi="Arial" w:cs="Arial"/>
          <w:lang w:val="en-US"/>
        </w:rPr>
        <w:t xml:space="preserve"> 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Strongly Agree</w:t>
      </w:r>
    </w:p>
    <w:p w14:paraId="196CAFDE"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6. I feel confident in interpreting feedback without needing further clarification.</w:t>
      </w:r>
    </w:p>
    <w:p w14:paraId="79A38D25" w14:textId="77777777" w:rsidR="00131C29" w:rsidRPr="00131C29" w:rsidRDefault="00131C29" w:rsidP="00131C29">
      <w:pPr>
        <w:spacing w:after="200" w:line="276" w:lineRule="auto"/>
        <w:rPr>
          <w:rFonts w:ascii="Arial" w:eastAsia="MS Mincho" w:hAnsi="Arial" w:cs="Arial"/>
          <w:lang w:val="en-US"/>
        </w:rPr>
      </w:pPr>
      <w:r w:rsidRPr="00131C29">
        <w:rPr>
          <w:rFonts w:ascii="Segoe UI Symbol" w:eastAsia="MS Mincho" w:hAnsi="Segoe UI Symbol" w:cs="Segoe UI Symbol"/>
          <w:lang w:val="en-US"/>
        </w:rPr>
        <w:t>☐</w:t>
      </w:r>
      <w:r w:rsidRPr="00131C29">
        <w:rPr>
          <w:rFonts w:ascii="Arial" w:eastAsia="MS Mincho" w:hAnsi="Arial" w:cs="Arial"/>
          <w:lang w:val="en-US"/>
        </w:rPr>
        <w:t xml:space="preserve"> Strongly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Neutral    </w:t>
      </w:r>
      <w:r w:rsidRPr="00131C29">
        <w:rPr>
          <w:rFonts w:ascii="Segoe UI Symbol" w:eastAsia="MS Mincho" w:hAnsi="Segoe UI Symbol" w:cs="Segoe UI Symbol"/>
          <w:lang w:val="en-US"/>
        </w:rPr>
        <w:t>☐</w:t>
      </w:r>
      <w:r w:rsidRPr="00131C29">
        <w:rPr>
          <w:rFonts w:ascii="Arial" w:eastAsia="MS Mincho" w:hAnsi="Arial" w:cs="Arial"/>
          <w:lang w:val="en-US"/>
        </w:rPr>
        <w:t xml:space="preserve"> 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Strongly Agree</w:t>
      </w:r>
    </w:p>
    <w:p w14:paraId="126AB8CF"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7. I see feedback as a dialogue rather than a one-way message from the lecturer.</w:t>
      </w:r>
    </w:p>
    <w:p w14:paraId="23409420" w14:textId="77777777" w:rsidR="00131C29" w:rsidRPr="00131C29" w:rsidRDefault="00131C29" w:rsidP="00131C29">
      <w:pPr>
        <w:spacing w:after="200" w:line="276" w:lineRule="auto"/>
        <w:rPr>
          <w:rFonts w:ascii="Arial" w:eastAsia="MS Mincho" w:hAnsi="Arial" w:cs="Arial"/>
          <w:lang w:val="en-US"/>
        </w:rPr>
      </w:pPr>
      <w:r w:rsidRPr="00131C29">
        <w:rPr>
          <w:rFonts w:ascii="Segoe UI Symbol" w:eastAsia="MS Mincho" w:hAnsi="Segoe UI Symbol" w:cs="Segoe UI Symbol"/>
          <w:lang w:val="en-US"/>
        </w:rPr>
        <w:t>☐</w:t>
      </w:r>
      <w:r w:rsidRPr="00131C29">
        <w:rPr>
          <w:rFonts w:ascii="Arial" w:eastAsia="MS Mincho" w:hAnsi="Arial" w:cs="Arial"/>
          <w:lang w:val="en-US"/>
        </w:rPr>
        <w:t xml:space="preserve"> Strongly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Disagree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Neutral    </w:t>
      </w:r>
      <w:r w:rsidRPr="00131C29">
        <w:rPr>
          <w:rFonts w:ascii="Segoe UI Symbol" w:eastAsia="MS Mincho" w:hAnsi="Segoe UI Symbol" w:cs="Segoe UI Symbol"/>
          <w:lang w:val="en-US"/>
        </w:rPr>
        <w:t>☐</w:t>
      </w:r>
      <w:r w:rsidRPr="00131C29">
        <w:rPr>
          <w:rFonts w:ascii="Arial" w:eastAsia="MS Mincho" w:hAnsi="Arial" w:cs="Arial"/>
          <w:lang w:val="en-US"/>
        </w:rPr>
        <w:t xml:space="preserve"> Agree    </w:t>
      </w:r>
      <w:r w:rsidRPr="00131C29">
        <w:rPr>
          <w:rFonts w:ascii="Segoe UI Symbol" w:eastAsia="MS Mincho" w:hAnsi="Segoe UI Symbol" w:cs="Segoe UI Symbol"/>
          <w:lang w:val="en-US"/>
        </w:rPr>
        <w:t>☐</w:t>
      </w:r>
      <w:r w:rsidRPr="00131C29">
        <w:rPr>
          <w:rFonts w:ascii="Arial" w:eastAsia="MS Mincho" w:hAnsi="Arial" w:cs="Arial"/>
          <w:lang w:val="en-US"/>
        </w:rPr>
        <w:t xml:space="preserve"> Strongly Agree</w:t>
      </w:r>
    </w:p>
    <w:p w14:paraId="7F7F4891" w14:textId="77777777" w:rsidR="00131C29" w:rsidRDefault="00131C29" w:rsidP="00131C29">
      <w:pPr>
        <w:keepNext/>
        <w:keepLines/>
        <w:spacing w:before="200" w:after="0" w:line="276" w:lineRule="auto"/>
        <w:outlineLvl w:val="1"/>
        <w:rPr>
          <w:rFonts w:ascii="Arial" w:eastAsia="MS Gothic" w:hAnsi="Arial" w:cs="Arial"/>
          <w:b/>
          <w:bCs/>
          <w:color w:val="4F81BD"/>
          <w:lang w:val="en-US"/>
        </w:rPr>
      </w:pPr>
    </w:p>
    <w:p w14:paraId="510FE4AD" w14:textId="77777777" w:rsidR="00131C29" w:rsidRPr="00CE6088" w:rsidRDefault="00131C29" w:rsidP="00CE6088">
      <w:pPr>
        <w:rPr>
          <w:rFonts w:ascii="Arial" w:hAnsi="Arial" w:cs="Arial"/>
          <w:lang w:val="en-US"/>
        </w:rPr>
      </w:pPr>
      <w:r w:rsidRPr="00CE6088">
        <w:rPr>
          <w:rFonts w:ascii="Arial" w:hAnsi="Arial" w:cs="Arial"/>
          <w:lang w:val="en-US"/>
        </w:rPr>
        <w:t>Section B: Feedback Experiences</w:t>
      </w:r>
    </w:p>
    <w:p w14:paraId="69C4A061" w14:textId="77777777" w:rsidR="00131C29" w:rsidRPr="00CE6088" w:rsidRDefault="00131C29" w:rsidP="00CE6088">
      <w:pPr>
        <w:rPr>
          <w:rFonts w:ascii="Arial" w:eastAsia="MS Mincho" w:hAnsi="Arial" w:cs="Arial"/>
          <w:lang w:val="en-US"/>
        </w:rPr>
      </w:pPr>
    </w:p>
    <w:p w14:paraId="374999C8"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Please reflect on your recent experiences with feedback. Tick the most appropriate options:</w:t>
      </w:r>
    </w:p>
    <w:p w14:paraId="1D9D60C1"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8. How often do you receive feedback on your assignments?</w:t>
      </w:r>
    </w:p>
    <w:p w14:paraId="39959073" w14:textId="77777777" w:rsidR="00131C29" w:rsidRPr="00131C29" w:rsidRDefault="00131C29" w:rsidP="00131C29">
      <w:pPr>
        <w:spacing w:after="200" w:line="276" w:lineRule="auto"/>
        <w:rPr>
          <w:rFonts w:ascii="Arial" w:eastAsia="MS Mincho" w:hAnsi="Arial" w:cs="Arial"/>
          <w:lang w:val="en-US"/>
        </w:rPr>
      </w:pPr>
      <w:r w:rsidRPr="00131C29">
        <w:rPr>
          <w:rFonts w:ascii="Segoe UI Symbol" w:eastAsia="MS Mincho" w:hAnsi="Segoe UI Symbol" w:cs="Segoe UI Symbol"/>
          <w:lang w:val="en-US"/>
        </w:rPr>
        <w:t>☐</w:t>
      </w:r>
      <w:r w:rsidRPr="00131C29">
        <w:rPr>
          <w:rFonts w:ascii="Arial" w:eastAsia="MS Mincho" w:hAnsi="Arial" w:cs="Arial"/>
          <w:lang w:val="en-US"/>
        </w:rPr>
        <w:t xml:space="preserve"> After every assignment</w:t>
      </w:r>
      <w:r w:rsidRPr="00131C29">
        <w:rPr>
          <w:rFonts w:ascii="Arial" w:eastAsia="MS Mincho" w:hAnsi="Arial" w:cs="Arial"/>
          <w:lang w:val="en-US"/>
        </w:rPr>
        <w:br/>
      </w:r>
      <w:r w:rsidRPr="00131C29">
        <w:rPr>
          <w:rFonts w:ascii="Segoe UI Symbol" w:eastAsia="MS Mincho" w:hAnsi="Segoe UI Symbol" w:cs="Segoe UI Symbol"/>
          <w:lang w:val="en-US"/>
        </w:rPr>
        <w:t>☐</w:t>
      </w:r>
      <w:r w:rsidRPr="00131C29">
        <w:rPr>
          <w:rFonts w:ascii="Arial" w:eastAsia="MS Mincho" w:hAnsi="Arial" w:cs="Arial"/>
          <w:lang w:val="en-US"/>
        </w:rPr>
        <w:t xml:space="preserve"> Occasionally</w:t>
      </w:r>
      <w:r w:rsidRPr="00131C29">
        <w:rPr>
          <w:rFonts w:ascii="Arial" w:eastAsia="MS Mincho" w:hAnsi="Arial" w:cs="Arial"/>
          <w:lang w:val="en-US"/>
        </w:rPr>
        <w:br/>
      </w:r>
      <w:r w:rsidRPr="00131C29">
        <w:rPr>
          <w:rFonts w:ascii="Segoe UI Symbol" w:eastAsia="MS Mincho" w:hAnsi="Segoe UI Symbol" w:cs="Segoe UI Symbol"/>
          <w:lang w:val="en-US"/>
        </w:rPr>
        <w:t>☐</w:t>
      </w:r>
      <w:r w:rsidRPr="00131C29">
        <w:rPr>
          <w:rFonts w:ascii="Arial" w:eastAsia="MS Mincho" w:hAnsi="Arial" w:cs="Arial"/>
          <w:lang w:val="en-US"/>
        </w:rPr>
        <w:t xml:space="preserve"> Rarely</w:t>
      </w:r>
      <w:r w:rsidRPr="00131C29">
        <w:rPr>
          <w:rFonts w:ascii="Arial" w:eastAsia="MS Mincho" w:hAnsi="Arial" w:cs="Arial"/>
          <w:lang w:val="en-US"/>
        </w:rPr>
        <w:br/>
      </w:r>
      <w:r w:rsidRPr="00131C29">
        <w:rPr>
          <w:rFonts w:ascii="Segoe UI Symbol" w:eastAsia="MS Mincho" w:hAnsi="Segoe UI Symbol" w:cs="Segoe UI Symbol"/>
          <w:lang w:val="en-US"/>
        </w:rPr>
        <w:t>☐</w:t>
      </w:r>
      <w:r w:rsidRPr="00131C29">
        <w:rPr>
          <w:rFonts w:ascii="Arial" w:eastAsia="MS Mincho" w:hAnsi="Arial" w:cs="Arial"/>
          <w:lang w:val="en-US"/>
        </w:rPr>
        <w:t xml:space="preserve"> Never</w:t>
      </w:r>
    </w:p>
    <w:p w14:paraId="39D3586E"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9. What type of feedback do you typically receive? (Select all that apply)</w:t>
      </w:r>
    </w:p>
    <w:p w14:paraId="7BF446D4" w14:textId="77777777" w:rsidR="00131C29" w:rsidRPr="00131C29" w:rsidRDefault="00131C29" w:rsidP="00131C29">
      <w:pPr>
        <w:spacing w:after="200" w:line="276" w:lineRule="auto"/>
        <w:rPr>
          <w:rFonts w:ascii="Arial" w:eastAsia="MS Mincho" w:hAnsi="Arial" w:cs="Arial"/>
          <w:lang w:val="en-US"/>
        </w:rPr>
      </w:pPr>
      <w:r w:rsidRPr="00131C29">
        <w:rPr>
          <w:rFonts w:ascii="Segoe UI Symbol" w:eastAsia="MS Mincho" w:hAnsi="Segoe UI Symbol" w:cs="Segoe UI Symbol"/>
          <w:lang w:val="en-US"/>
        </w:rPr>
        <w:t>☐</w:t>
      </w:r>
      <w:r w:rsidRPr="00131C29">
        <w:rPr>
          <w:rFonts w:ascii="Arial" w:eastAsia="MS Mincho" w:hAnsi="Arial" w:cs="Arial"/>
          <w:lang w:val="en-US"/>
        </w:rPr>
        <w:t xml:space="preserve"> Written comments</w:t>
      </w:r>
      <w:r w:rsidRPr="00131C29">
        <w:rPr>
          <w:rFonts w:ascii="Arial" w:eastAsia="MS Mincho" w:hAnsi="Arial" w:cs="Arial"/>
          <w:lang w:val="en-US"/>
        </w:rPr>
        <w:br/>
      </w:r>
      <w:r w:rsidRPr="00131C29">
        <w:rPr>
          <w:rFonts w:ascii="Segoe UI Symbol" w:eastAsia="MS Mincho" w:hAnsi="Segoe UI Symbol" w:cs="Segoe UI Symbol"/>
          <w:lang w:val="en-US"/>
        </w:rPr>
        <w:t>☐</w:t>
      </w:r>
      <w:r w:rsidRPr="00131C29">
        <w:rPr>
          <w:rFonts w:ascii="Arial" w:eastAsia="MS Mincho" w:hAnsi="Arial" w:cs="Arial"/>
          <w:lang w:val="en-US"/>
        </w:rPr>
        <w:t xml:space="preserve"> Verbal feedback</w:t>
      </w:r>
      <w:r w:rsidRPr="00131C29">
        <w:rPr>
          <w:rFonts w:ascii="Arial" w:eastAsia="MS Mincho" w:hAnsi="Arial" w:cs="Arial"/>
          <w:lang w:val="en-US"/>
        </w:rPr>
        <w:br/>
      </w:r>
      <w:r w:rsidRPr="00131C29">
        <w:rPr>
          <w:rFonts w:ascii="Segoe UI Symbol" w:eastAsia="MS Mincho" w:hAnsi="Segoe UI Symbol" w:cs="Segoe UI Symbol"/>
          <w:lang w:val="en-US"/>
        </w:rPr>
        <w:t>☐</w:t>
      </w:r>
      <w:r w:rsidRPr="00131C29">
        <w:rPr>
          <w:rFonts w:ascii="Arial" w:eastAsia="MS Mincho" w:hAnsi="Arial" w:cs="Arial"/>
          <w:lang w:val="en-US"/>
        </w:rPr>
        <w:t xml:space="preserve"> Grades only</w:t>
      </w:r>
      <w:r w:rsidRPr="00131C29">
        <w:rPr>
          <w:rFonts w:ascii="Arial" w:eastAsia="MS Mincho" w:hAnsi="Arial" w:cs="Arial"/>
          <w:lang w:val="en-US"/>
        </w:rPr>
        <w:br/>
      </w:r>
      <w:r w:rsidRPr="00131C29">
        <w:rPr>
          <w:rFonts w:ascii="Segoe UI Symbol" w:eastAsia="MS Mincho" w:hAnsi="Segoe UI Symbol" w:cs="Segoe UI Symbol"/>
          <w:lang w:val="en-US"/>
        </w:rPr>
        <w:t>☐</w:t>
      </w:r>
      <w:r w:rsidRPr="00131C29">
        <w:rPr>
          <w:rFonts w:ascii="Arial" w:eastAsia="MS Mincho" w:hAnsi="Arial" w:cs="Arial"/>
          <w:lang w:val="en-US"/>
        </w:rPr>
        <w:t xml:space="preserve"> Peer feedback</w:t>
      </w:r>
      <w:r w:rsidRPr="00131C29">
        <w:rPr>
          <w:rFonts w:ascii="Arial" w:eastAsia="MS Mincho" w:hAnsi="Arial" w:cs="Arial"/>
          <w:lang w:val="en-US"/>
        </w:rPr>
        <w:br/>
      </w:r>
      <w:r w:rsidRPr="00131C29">
        <w:rPr>
          <w:rFonts w:ascii="Segoe UI Symbol" w:eastAsia="MS Mincho" w:hAnsi="Segoe UI Symbol" w:cs="Segoe UI Symbol"/>
          <w:lang w:val="en-US"/>
        </w:rPr>
        <w:t>☐</w:t>
      </w:r>
      <w:r w:rsidRPr="00131C29">
        <w:rPr>
          <w:rFonts w:ascii="Arial" w:eastAsia="MS Mincho" w:hAnsi="Arial" w:cs="Arial"/>
          <w:lang w:val="en-US"/>
        </w:rPr>
        <w:t xml:space="preserve"> Group/class feedback</w:t>
      </w:r>
      <w:r w:rsidRPr="00131C29">
        <w:rPr>
          <w:rFonts w:ascii="Arial" w:eastAsia="MS Mincho" w:hAnsi="Arial" w:cs="Arial"/>
          <w:lang w:val="en-US"/>
        </w:rPr>
        <w:br/>
      </w:r>
      <w:r w:rsidRPr="00131C29">
        <w:rPr>
          <w:rFonts w:ascii="Segoe UI Symbol" w:eastAsia="MS Mincho" w:hAnsi="Segoe UI Symbol" w:cs="Segoe UI Symbol"/>
          <w:lang w:val="en-US"/>
        </w:rPr>
        <w:t>☐</w:t>
      </w:r>
      <w:r w:rsidRPr="00131C29">
        <w:rPr>
          <w:rFonts w:ascii="Arial" w:eastAsia="MS Mincho" w:hAnsi="Arial" w:cs="Arial"/>
          <w:lang w:val="en-US"/>
        </w:rPr>
        <w:t xml:space="preserve"> Digital feedback (e.g., on VLE or Turnitin)</w:t>
      </w:r>
    </w:p>
    <w:p w14:paraId="654E2F2B"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10. How timely is the feedback you receive?</w:t>
      </w:r>
    </w:p>
    <w:p w14:paraId="03748414" w14:textId="77777777" w:rsidR="00131C29" w:rsidRPr="00131C29" w:rsidRDefault="00131C29" w:rsidP="00131C29">
      <w:pPr>
        <w:spacing w:after="200" w:line="276" w:lineRule="auto"/>
        <w:rPr>
          <w:rFonts w:ascii="Arial" w:eastAsia="MS Mincho" w:hAnsi="Arial" w:cs="Arial"/>
          <w:lang w:val="en-US"/>
        </w:rPr>
      </w:pPr>
      <w:r w:rsidRPr="00131C29">
        <w:rPr>
          <w:rFonts w:ascii="Segoe UI Symbol" w:eastAsia="MS Mincho" w:hAnsi="Segoe UI Symbol" w:cs="Segoe UI Symbol"/>
          <w:lang w:val="en-US"/>
        </w:rPr>
        <w:t>☐</w:t>
      </w:r>
      <w:r w:rsidRPr="00131C29">
        <w:rPr>
          <w:rFonts w:ascii="Arial" w:eastAsia="MS Mincho" w:hAnsi="Arial" w:cs="Arial"/>
          <w:lang w:val="en-US"/>
        </w:rPr>
        <w:t xml:space="preserve"> Always within two weeks</w:t>
      </w:r>
      <w:r w:rsidRPr="00131C29">
        <w:rPr>
          <w:rFonts w:ascii="Arial" w:eastAsia="MS Mincho" w:hAnsi="Arial" w:cs="Arial"/>
          <w:lang w:val="en-US"/>
        </w:rPr>
        <w:br/>
      </w:r>
      <w:r w:rsidRPr="00131C29">
        <w:rPr>
          <w:rFonts w:ascii="Segoe UI Symbol" w:eastAsia="MS Mincho" w:hAnsi="Segoe UI Symbol" w:cs="Segoe UI Symbol"/>
          <w:lang w:val="en-US"/>
        </w:rPr>
        <w:t>☐</w:t>
      </w:r>
      <w:r w:rsidRPr="00131C29">
        <w:rPr>
          <w:rFonts w:ascii="Arial" w:eastAsia="MS Mincho" w:hAnsi="Arial" w:cs="Arial"/>
          <w:lang w:val="en-US"/>
        </w:rPr>
        <w:t xml:space="preserve"> Sometimes late</w:t>
      </w:r>
      <w:r w:rsidRPr="00131C29">
        <w:rPr>
          <w:rFonts w:ascii="Arial" w:eastAsia="MS Mincho" w:hAnsi="Arial" w:cs="Arial"/>
          <w:lang w:val="en-US"/>
        </w:rPr>
        <w:br/>
      </w:r>
      <w:r w:rsidRPr="00131C29">
        <w:rPr>
          <w:rFonts w:ascii="Segoe UI Symbol" w:eastAsia="MS Mincho" w:hAnsi="Segoe UI Symbol" w:cs="Segoe UI Symbol"/>
          <w:lang w:val="en-US"/>
        </w:rPr>
        <w:t>☐</w:t>
      </w:r>
      <w:r w:rsidRPr="00131C29">
        <w:rPr>
          <w:rFonts w:ascii="Arial" w:eastAsia="MS Mincho" w:hAnsi="Arial" w:cs="Arial"/>
          <w:lang w:val="en-US"/>
        </w:rPr>
        <w:t xml:space="preserve"> Often late</w:t>
      </w:r>
      <w:r w:rsidRPr="00131C29">
        <w:rPr>
          <w:rFonts w:ascii="Arial" w:eastAsia="MS Mincho" w:hAnsi="Arial" w:cs="Arial"/>
          <w:lang w:val="en-US"/>
        </w:rPr>
        <w:br/>
      </w:r>
      <w:r w:rsidRPr="00131C29">
        <w:rPr>
          <w:rFonts w:ascii="Segoe UI Symbol" w:eastAsia="MS Mincho" w:hAnsi="Segoe UI Symbol" w:cs="Segoe UI Symbol"/>
          <w:lang w:val="en-US"/>
        </w:rPr>
        <w:t>☐</w:t>
      </w:r>
      <w:r w:rsidRPr="00131C29">
        <w:rPr>
          <w:rFonts w:ascii="Arial" w:eastAsia="MS Mincho" w:hAnsi="Arial" w:cs="Arial"/>
          <w:lang w:val="en-US"/>
        </w:rPr>
        <w:t xml:space="preserve"> I’m unsure when I will receive it</w:t>
      </w:r>
    </w:p>
    <w:p w14:paraId="27FBA59F" w14:textId="77777777" w:rsidR="00131C29" w:rsidRDefault="00131C29" w:rsidP="00131C29">
      <w:pPr>
        <w:keepNext/>
        <w:keepLines/>
        <w:spacing w:before="200" w:after="0" w:line="276" w:lineRule="auto"/>
        <w:outlineLvl w:val="1"/>
        <w:rPr>
          <w:rFonts w:ascii="Arial" w:eastAsia="MS Gothic" w:hAnsi="Arial" w:cs="Arial"/>
          <w:b/>
          <w:bCs/>
          <w:color w:val="4F81BD"/>
          <w:lang w:val="en-US"/>
        </w:rPr>
      </w:pPr>
    </w:p>
    <w:p w14:paraId="7C0D7AA2" w14:textId="77777777" w:rsidR="00131C29" w:rsidRPr="00CE6088" w:rsidRDefault="00131C29" w:rsidP="00CE6088">
      <w:pPr>
        <w:rPr>
          <w:rFonts w:ascii="Arial" w:hAnsi="Arial" w:cs="Arial"/>
          <w:lang w:val="en-US"/>
        </w:rPr>
      </w:pPr>
      <w:r w:rsidRPr="00CE6088">
        <w:rPr>
          <w:rFonts w:ascii="Arial" w:hAnsi="Arial" w:cs="Arial"/>
          <w:lang w:val="en-US"/>
        </w:rPr>
        <w:t>Section C: Open-Ended Questions</w:t>
      </w:r>
    </w:p>
    <w:p w14:paraId="2C2689B2" w14:textId="77777777" w:rsidR="00131C29" w:rsidRPr="00CE6088" w:rsidRDefault="00131C29" w:rsidP="00CE6088">
      <w:pPr>
        <w:rPr>
          <w:rFonts w:ascii="Arial" w:eastAsia="MS Mincho" w:hAnsi="Arial" w:cs="Arial"/>
          <w:lang w:val="en-US"/>
        </w:rPr>
      </w:pPr>
    </w:p>
    <w:p w14:paraId="5D7D3A6B"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Please provide thoughtful and honest responses to the questions below:</w:t>
      </w:r>
    </w:p>
    <w:p w14:paraId="28370306"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11. What do you believe is the main purpose of academic feedback?</w:t>
      </w:r>
      <w:r w:rsidRPr="00131C29">
        <w:rPr>
          <w:rFonts w:ascii="Arial" w:eastAsia="MS Mincho" w:hAnsi="Arial" w:cs="Arial"/>
          <w:lang w:val="en-US"/>
        </w:rPr>
        <w:br/>
      </w:r>
      <w:r w:rsidRPr="00131C29">
        <w:rPr>
          <w:rFonts w:ascii="Arial" w:eastAsia="MS Mincho" w:hAnsi="Arial" w:cs="Arial"/>
          <w:lang w:val="en-US"/>
        </w:rPr>
        <w:br/>
      </w:r>
      <w:r w:rsidRPr="00131C29">
        <w:rPr>
          <w:rFonts w:ascii="Arial" w:eastAsia="MS Mincho" w:hAnsi="Arial" w:cs="Arial"/>
          <w:lang w:val="en-US"/>
        </w:rPr>
        <w:br/>
      </w:r>
    </w:p>
    <w:p w14:paraId="617BC316"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12. Can you describe a recent piece of feedback that you found particularly helpful or unhelpful? Why?</w:t>
      </w:r>
      <w:r w:rsidRPr="00131C29">
        <w:rPr>
          <w:rFonts w:ascii="Arial" w:eastAsia="MS Mincho" w:hAnsi="Arial" w:cs="Arial"/>
          <w:lang w:val="en-US"/>
        </w:rPr>
        <w:br/>
      </w:r>
      <w:r w:rsidRPr="00131C29">
        <w:rPr>
          <w:rFonts w:ascii="Arial" w:eastAsia="MS Mincho" w:hAnsi="Arial" w:cs="Arial"/>
          <w:lang w:val="en-US"/>
        </w:rPr>
        <w:br/>
      </w:r>
      <w:r w:rsidRPr="00131C29">
        <w:rPr>
          <w:rFonts w:ascii="Arial" w:eastAsia="MS Mincho" w:hAnsi="Arial" w:cs="Arial"/>
          <w:lang w:val="en-US"/>
        </w:rPr>
        <w:br/>
      </w:r>
    </w:p>
    <w:p w14:paraId="63F80EE3"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13. What would ideal feedback look like for you?</w:t>
      </w:r>
      <w:r w:rsidRPr="00131C29">
        <w:rPr>
          <w:rFonts w:ascii="Arial" w:eastAsia="MS Mincho" w:hAnsi="Arial" w:cs="Arial"/>
          <w:lang w:val="en-US"/>
        </w:rPr>
        <w:br/>
      </w:r>
      <w:r w:rsidRPr="00131C29">
        <w:rPr>
          <w:rFonts w:ascii="Arial" w:eastAsia="MS Mincho" w:hAnsi="Arial" w:cs="Arial"/>
          <w:lang w:val="en-US"/>
        </w:rPr>
        <w:br/>
      </w:r>
      <w:r w:rsidRPr="00131C29">
        <w:rPr>
          <w:rFonts w:ascii="Arial" w:eastAsia="MS Mincho" w:hAnsi="Arial" w:cs="Arial"/>
          <w:lang w:val="en-US"/>
        </w:rPr>
        <w:br/>
      </w:r>
    </w:p>
    <w:p w14:paraId="3E6009E2"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lastRenderedPageBreak/>
        <w:t>14. Have you ever followed up with a lecturer to discuss feedback in more detail? If so, what was the outcome?</w:t>
      </w:r>
      <w:r w:rsidRPr="00131C29">
        <w:rPr>
          <w:rFonts w:ascii="Arial" w:eastAsia="MS Mincho" w:hAnsi="Arial" w:cs="Arial"/>
          <w:lang w:val="en-US"/>
        </w:rPr>
        <w:br/>
      </w:r>
      <w:r w:rsidRPr="00131C29">
        <w:rPr>
          <w:rFonts w:ascii="Arial" w:eastAsia="MS Mincho" w:hAnsi="Arial" w:cs="Arial"/>
          <w:lang w:val="en-US"/>
        </w:rPr>
        <w:br/>
      </w:r>
      <w:r w:rsidRPr="00131C29">
        <w:rPr>
          <w:rFonts w:ascii="Arial" w:eastAsia="MS Mincho" w:hAnsi="Arial" w:cs="Arial"/>
          <w:lang w:val="en-US"/>
        </w:rPr>
        <w:br/>
      </w:r>
    </w:p>
    <w:p w14:paraId="056800C4"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15. In what ways (if any) has feedback helped you develop skills beyond academic writing (e.g., problem-solving, critical thinking, planning)?</w:t>
      </w:r>
      <w:r w:rsidRPr="00131C29">
        <w:rPr>
          <w:rFonts w:ascii="Arial" w:eastAsia="MS Mincho" w:hAnsi="Arial" w:cs="Arial"/>
          <w:lang w:val="en-US"/>
        </w:rPr>
        <w:br/>
      </w:r>
      <w:r w:rsidRPr="00131C29">
        <w:rPr>
          <w:rFonts w:ascii="Arial" w:eastAsia="MS Mincho" w:hAnsi="Arial" w:cs="Arial"/>
          <w:lang w:val="en-US"/>
        </w:rPr>
        <w:br/>
      </w:r>
      <w:r w:rsidRPr="00131C29">
        <w:rPr>
          <w:rFonts w:ascii="Arial" w:eastAsia="MS Mincho" w:hAnsi="Arial" w:cs="Arial"/>
          <w:lang w:val="en-US"/>
        </w:rPr>
        <w:br/>
      </w:r>
    </w:p>
    <w:p w14:paraId="01F214A2"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t>Thank you for completing this survey.</w:t>
      </w:r>
    </w:p>
    <w:p w14:paraId="3F0E2B85" w14:textId="77777777" w:rsidR="00131C29" w:rsidRPr="00131C29" w:rsidRDefault="00131C29" w:rsidP="00131C29">
      <w:pPr>
        <w:spacing w:after="200" w:line="276" w:lineRule="auto"/>
        <w:rPr>
          <w:rFonts w:ascii="Arial" w:eastAsia="MS Mincho" w:hAnsi="Arial" w:cs="Arial"/>
          <w:lang w:val="en-US"/>
        </w:rPr>
      </w:pPr>
      <w:r w:rsidRPr="00131C29">
        <w:rPr>
          <w:rFonts w:ascii="Arial" w:eastAsia="MS Mincho" w:hAnsi="Arial" w:cs="Arial"/>
          <w:lang w:val="en-US"/>
        </w:rPr>
        <w:br/>
        <w:t>Your input will help shape more effective feedback practices designed to support your academic and professional development.</w:t>
      </w:r>
    </w:p>
    <w:p w14:paraId="1DA86EA7" w14:textId="77777777" w:rsidR="00131C29" w:rsidRDefault="00131C29" w:rsidP="0006320A">
      <w:pPr>
        <w:rPr>
          <w:rFonts w:ascii="Arial" w:hAnsi="Arial" w:cs="Arial"/>
        </w:rPr>
      </w:pPr>
    </w:p>
    <w:p w14:paraId="61A9C546" w14:textId="77777777" w:rsidR="00131C29" w:rsidRDefault="00131C29" w:rsidP="0006320A">
      <w:pPr>
        <w:rPr>
          <w:rFonts w:ascii="Arial" w:hAnsi="Arial" w:cs="Arial"/>
        </w:rPr>
      </w:pPr>
    </w:p>
    <w:p w14:paraId="4901E8A5" w14:textId="77777777" w:rsidR="003C0699" w:rsidRDefault="003C0699" w:rsidP="0006320A">
      <w:pPr>
        <w:rPr>
          <w:rFonts w:ascii="Arial" w:hAnsi="Arial" w:cs="Arial"/>
        </w:rPr>
      </w:pPr>
    </w:p>
    <w:p w14:paraId="6946D017" w14:textId="77777777" w:rsidR="003C0699" w:rsidRDefault="003C0699" w:rsidP="0006320A">
      <w:pPr>
        <w:rPr>
          <w:rFonts w:ascii="Arial" w:hAnsi="Arial" w:cs="Arial"/>
        </w:rPr>
      </w:pPr>
    </w:p>
    <w:p w14:paraId="5CA9ED80" w14:textId="77777777" w:rsidR="003C0699" w:rsidRDefault="003C0699" w:rsidP="0006320A">
      <w:pPr>
        <w:rPr>
          <w:rFonts w:ascii="Arial" w:hAnsi="Arial" w:cs="Arial"/>
        </w:rPr>
      </w:pPr>
    </w:p>
    <w:p w14:paraId="7E093DF5" w14:textId="77777777" w:rsidR="003C0699" w:rsidRDefault="003C0699" w:rsidP="0006320A">
      <w:pPr>
        <w:rPr>
          <w:rFonts w:ascii="Arial" w:hAnsi="Arial" w:cs="Arial"/>
        </w:rPr>
      </w:pPr>
    </w:p>
    <w:p w14:paraId="439AE6E0" w14:textId="77777777" w:rsidR="003C0699" w:rsidRDefault="003C0699" w:rsidP="0006320A">
      <w:pPr>
        <w:rPr>
          <w:rFonts w:ascii="Arial" w:hAnsi="Arial" w:cs="Arial"/>
        </w:rPr>
      </w:pPr>
    </w:p>
    <w:p w14:paraId="2897F76B" w14:textId="77777777" w:rsidR="003C0699" w:rsidRDefault="003C0699" w:rsidP="0006320A">
      <w:pPr>
        <w:rPr>
          <w:rFonts w:ascii="Arial" w:hAnsi="Arial" w:cs="Arial"/>
        </w:rPr>
      </w:pPr>
    </w:p>
    <w:p w14:paraId="68FB87C1" w14:textId="77777777" w:rsidR="003C0699" w:rsidRDefault="003C0699" w:rsidP="0006320A">
      <w:pPr>
        <w:rPr>
          <w:rFonts w:ascii="Arial" w:hAnsi="Arial" w:cs="Arial"/>
        </w:rPr>
      </w:pPr>
    </w:p>
    <w:p w14:paraId="1493E6AF" w14:textId="77777777" w:rsidR="003C0699" w:rsidRDefault="003C0699" w:rsidP="0006320A">
      <w:pPr>
        <w:rPr>
          <w:rFonts w:ascii="Arial" w:hAnsi="Arial" w:cs="Arial"/>
        </w:rPr>
      </w:pPr>
    </w:p>
    <w:p w14:paraId="09058CD0" w14:textId="77777777" w:rsidR="003C0699" w:rsidRDefault="003C0699" w:rsidP="0006320A">
      <w:pPr>
        <w:rPr>
          <w:rFonts w:ascii="Arial" w:hAnsi="Arial" w:cs="Arial"/>
        </w:rPr>
      </w:pPr>
    </w:p>
    <w:p w14:paraId="34F7B4BF" w14:textId="77777777" w:rsidR="003C0699" w:rsidRDefault="003C0699" w:rsidP="0006320A">
      <w:pPr>
        <w:rPr>
          <w:rFonts w:ascii="Arial" w:hAnsi="Arial" w:cs="Arial"/>
        </w:rPr>
      </w:pPr>
    </w:p>
    <w:p w14:paraId="1DDDCB2C" w14:textId="77777777" w:rsidR="003C0699" w:rsidRDefault="003C0699" w:rsidP="0006320A">
      <w:pPr>
        <w:rPr>
          <w:rFonts w:ascii="Arial" w:hAnsi="Arial" w:cs="Arial"/>
        </w:rPr>
      </w:pPr>
    </w:p>
    <w:p w14:paraId="60C80AE8" w14:textId="77777777" w:rsidR="003C0699" w:rsidRDefault="003C0699" w:rsidP="0006320A">
      <w:pPr>
        <w:rPr>
          <w:rFonts w:ascii="Arial" w:hAnsi="Arial" w:cs="Arial"/>
        </w:rPr>
      </w:pPr>
    </w:p>
    <w:p w14:paraId="755761C3" w14:textId="77777777" w:rsidR="003C0699" w:rsidRDefault="003C0699" w:rsidP="0006320A">
      <w:pPr>
        <w:rPr>
          <w:rFonts w:ascii="Arial" w:hAnsi="Arial" w:cs="Arial"/>
        </w:rPr>
      </w:pPr>
    </w:p>
    <w:p w14:paraId="344E5CDE" w14:textId="77777777" w:rsidR="003C0699" w:rsidRDefault="003C0699" w:rsidP="0006320A">
      <w:pPr>
        <w:rPr>
          <w:rFonts w:ascii="Arial" w:hAnsi="Arial" w:cs="Arial"/>
        </w:rPr>
      </w:pPr>
    </w:p>
    <w:p w14:paraId="3D4D8132" w14:textId="77777777" w:rsidR="003C0699" w:rsidRDefault="003C0699" w:rsidP="0006320A">
      <w:pPr>
        <w:rPr>
          <w:rFonts w:ascii="Arial" w:hAnsi="Arial" w:cs="Arial"/>
        </w:rPr>
      </w:pPr>
    </w:p>
    <w:p w14:paraId="61623F1E" w14:textId="77777777" w:rsidR="003C0699" w:rsidRDefault="003C0699" w:rsidP="0006320A">
      <w:pPr>
        <w:rPr>
          <w:rFonts w:ascii="Arial" w:hAnsi="Arial" w:cs="Arial"/>
        </w:rPr>
      </w:pPr>
    </w:p>
    <w:p w14:paraId="111C4794" w14:textId="77777777" w:rsidR="003C0699" w:rsidRDefault="003C0699" w:rsidP="0006320A">
      <w:pPr>
        <w:rPr>
          <w:rFonts w:ascii="Arial" w:hAnsi="Arial" w:cs="Arial"/>
        </w:rPr>
      </w:pPr>
    </w:p>
    <w:p w14:paraId="04F2BEE7" w14:textId="77777777" w:rsidR="003C0699" w:rsidRDefault="003C0699" w:rsidP="0006320A">
      <w:pPr>
        <w:rPr>
          <w:rFonts w:ascii="Arial" w:hAnsi="Arial" w:cs="Arial"/>
        </w:rPr>
      </w:pPr>
    </w:p>
    <w:p w14:paraId="6F9257FE" w14:textId="77777777" w:rsidR="00131C29" w:rsidRDefault="00131C29" w:rsidP="0006320A">
      <w:pPr>
        <w:rPr>
          <w:rFonts w:ascii="Arial" w:hAnsi="Arial" w:cs="Arial"/>
        </w:rPr>
      </w:pPr>
    </w:p>
    <w:p w14:paraId="5C468E54" w14:textId="7582C9BA" w:rsidR="00131C29" w:rsidRPr="00CE6088" w:rsidRDefault="00D2713B" w:rsidP="00CE6088">
      <w:pPr>
        <w:pStyle w:val="Heading1"/>
        <w:rPr>
          <w:rFonts w:ascii="Arial" w:hAnsi="Arial" w:cs="Arial"/>
          <w:sz w:val="22"/>
          <w:szCs w:val="22"/>
        </w:rPr>
      </w:pPr>
      <w:bookmarkStart w:id="60" w:name="_Toc214970294"/>
      <w:r>
        <w:rPr>
          <w:rFonts w:ascii="Arial" w:hAnsi="Arial" w:cs="Arial"/>
          <w:sz w:val="22"/>
          <w:szCs w:val="22"/>
        </w:rPr>
        <w:lastRenderedPageBreak/>
        <w:t xml:space="preserve">10.0 </w:t>
      </w:r>
      <w:r w:rsidR="00131C29" w:rsidRPr="00CE6088">
        <w:rPr>
          <w:rFonts w:ascii="Arial" w:hAnsi="Arial" w:cs="Arial"/>
          <w:sz w:val="22"/>
          <w:szCs w:val="22"/>
        </w:rPr>
        <w:t xml:space="preserve">Appendix </w:t>
      </w:r>
      <w:r w:rsidR="000170F2" w:rsidRPr="00CE6088">
        <w:rPr>
          <w:rFonts w:ascii="Arial" w:hAnsi="Arial" w:cs="Arial"/>
          <w:sz w:val="22"/>
          <w:szCs w:val="22"/>
        </w:rPr>
        <w:t>B</w:t>
      </w:r>
      <w:bookmarkEnd w:id="60"/>
    </w:p>
    <w:p w14:paraId="19CF0B74" w14:textId="77777777" w:rsidR="000170F2" w:rsidRPr="00CE6088" w:rsidRDefault="000170F2" w:rsidP="0006320A">
      <w:pPr>
        <w:rPr>
          <w:rFonts w:ascii="Arial" w:hAnsi="Arial" w:cs="Arial"/>
        </w:rPr>
      </w:pPr>
    </w:p>
    <w:p w14:paraId="36F719F0" w14:textId="77777777" w:rsidR="00CE6088" w:rsidRPr="00CE6088" w:rsidRDefault="00CE6088" w:rsidP="00CE6088">
      <w:pPr>
        <w:rPr>
          <w:rFonts w:ascii="Arial" w:hAnsi="Arial" w:cs="Arial"/>
          <w:lang w:val="en-US"/>
        </w:rPr>
      </w:pPr>
      <w:r w:rsidRPr="00CE6088">
        <w:rPr>
          <w:rFonts w:ascii="Arial" w:hAnsi="Arial" w:cs="Arial"/>
          <w:lang w:val="en-US"/>
        </w:rPr>
        <w:t>Semi-Structured Interview Guide</w:t>
      </w:r>
    </w:p>
    <w:p w14:paraId="40AAD9E3" w14:textId="77777777" w:rsidR="00CE6088" w:rsidRPr="00CE6088" w:rsidRDefault="00CE6088" w:rsidP="00CE6088">
      <w:pPr>
        <w:rPr>
          <w:rFonts w:ascii="Arial" w:eastAsia="MS Mincho" w:hAnsi="Arial" w:cs="Arial"/>
          <w:lang w:val="en-US"/>
        </w:rPr>
      </w:pPr>
    </w:p>
    <w:p w14:paraId="7575C12A"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Title: Exploring Perceptions of Feedback in HNC Civil Engineering and Construction Programmes</w:t>
      </w:r>
    </w:p>
    <w:p w14:paraId="41805115"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Purpose: To gain deeper insights into students' and lecturers' experiences and perceptions of the feedback process, especially in relation to emotional responses, cognitive engagement, and changes in learning strategies.</w:t>
      </w:r>
    </w:p>
    <w:p w14:paraId="72B370F6"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Estimated Duration: 30–45 minutes</w:t>
      </w:r>
    </w:p>
    <w:p w14:paraId="69018181"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Interview Type: Semi-structured (open-ended core questions with optional prompts)</w:t>
      </w:r>
    </w:p>
    <w:p w14:paraId="79D220AE" w14:textId="77777777" w:rsidR="00CE6088" w:rsidRPr="00CE6088" w:rsidRDefault="00CE6088" w:rsidP="00CE6088">
      <w:pPr>
        <w:rPr>
          <w:rFonts w:ascii="Arial" w:hAnsi="Arial" w:cs="Arial"/>
          <w:lang w:val="en-US"/>
        </w:rPr>
      </w:pPr>
      <w:r w:rsidRPr="00CE6088">
        <w:rPr>
          <w:lang w:val="en-US"/>
        </w:rPr>
        <w:br/>
      </w:r>
      <w:r w:rsidRPr="00CE6088">
        <w:rPr>
          <w:rFonts w:ascii="Arial" w:hAnsi="Arial" w:cs="Arial"/>
          <w:lang w:val="en-US"/>
        </w:rPr>
        <w:t>General Introduction (For All Participants)</w:t>
      </w:r>
    </w:p>
    <w:p w14:paraId="0D3CA5DB" w14:textId="77777777" w:rsidR="00CE6088" w:rsidRPr="00CE6088" w:rsidRDefault="00CE6088" w:rsidP="00CE6088">
      <w:pPr>
        <w:rPr>
          <w:rFonts w:ascii="Arial" w:eastAsia="MS Mincho" w:hAnsi="Arial" w:cs="Arial"/>
          <w:lang w:val="en-US"/>
        </w:rPr>
      </w:pPr>
    </w:p>
    <w:p w14:paraId="6AB372BC"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“Thank you for taking the time to take part in this interview. I’m interested in your views and experiences around academic feedback in your programme. There are no right or wrong answers — I'm interested in your honest reflections. All responses will be anonymised and used only for research purposes.”</w:t>
      </w:r>
    </w:p>
    <w:p w14:paraId="01458EA3" w14:textId="77777777" w:rsidR="00CE6088" w:rsidRPr="00CE6088" w:rsidRDefault="00CE6088" w:rsidP="00CE6088">
      <w:pPr>
        <w:rPr>
          <w:rFonts w:ascii="Arial" w:hAnsi="Arial" w:cs="Arial"/>
          <w:lang w:val="en-US"/>
        </w:rPr>
      </w:pPr>
      <w:r w:rsidRPr="00CE6088">
        <w:rPr>
          <w:lang w:val="en-US"/>
        </w:rPr>
        <w:br/>
      </w:r>
      <w:r w:rsidRPr="00CE6088">
        <w:rPr>
          <w:rFonts w:ascii="Arial" w:hAnsi="Arial" w:cs="Arial"/>
          <w:lang w:val="en-US"/>
        </w:rPr>
        <w:t>Section A: Opening Context Questions</w:t>
      </w:r>
    </w:p>
    <w:p w14:paraId="647DABC0" w14:textId="77777777" w:rsidR="00CE6088" w:rsidRPr="00CE6088" w:rsidRDefault="00CE6088" w:rsidP="00CE6088">
      <w:pPr>
        <w:rPr>
          <w:rFonts w:ascii="Arial" w:eastAsia="MS Mincho" w:hAnsi="Arial" w:cs="Arial"/>
          <w:lang w:val="en-US"/>
        </w:rPr>
      </w:pPr>
    </w:p>
    <w:p w14:paraId="4432C8DB"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1. Can you briefly describe your experiences with feedback in this course or module?</w:t>
      </w:r>
      <w:r w:rsidRPr="00CE6088">
        <w:rPr>
          <w:rFonts w:ascii="Arial" w:eastAsia="MS Mincho" w:hAnsi="Arial" w:cs="Arial"/>
          <w:lang w:val="en-US"/>
        </w:rPr>
        <w:br/>
        <w:t xml:space="preserve">   - Prompt: What types of feedback have you encountered (e.g., written, verbal, digital)?</w:t>
      </w:r>
    </w:p>
    <w:p w14:paraId="6B505245"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2. How would you define ‘effective feedback’ in your own words?</w:t>
      </w:r>
      <w:r w:rsidRPr="00CE6088">
        <w:rPr>
          <w:rFonts w:ascii="Arial" w:eastAsia="MS Mincho" w:hAnsi="Arial" w:cs="Arial"/>
          <w:lang w:val="en-US"/>
        </w:rPr>
        <w:br/>
        <w:t xml:space="preserve">   - Prompt: What makes feedback useful or not useful for you?</w:t>
      </w:r>
    </w:p>
    <w:p w14:paraId="037123AC" w14:textId="77777777" w:rsidR="00CE6088" w:rsidRPr="00CE6088" w:rsidRDefault="00CE6088" w:rsidP="00CE6088">
      <w:pPr>
        <w:rPr>
          <w:rFonts w:ascii="Arial" w:hAnsi="Arial" w:cs="Arial"/>
          <w:lang w:val="en-US"/>
        </w:rPr>
      </w:pPr>
      <w:r w:rsidRPr="00CE6088">
        <w:rPr>
          <w:lang w:val="en-US"/>
        </w:rPr>
        <w:br/>
      </w:r>
      <w:r w:rsidRPr="00CE6088">
        <w:rPr>
          <w:rFonts w:ascii="Arial" w:hAnsi="Arial" w:cs="Arial"/>
          <w:lang w:val="en-US"/>
        </w:rPr>
        <w:t>Section B: Emotional Responses to Feedback</w:t>
      </w:r>
    </w:p>
    <w:p w14:paraId="267221AD" w14:textId="77777777" w:rsidR="00CE6088" w:rsidRPr="00CE6088" w:rsidRDefault="00CE6088" w:rsidP="00CE6088">
      <w:pPr>
        <w:rPr>
          <w:rFonts w:ascii="Arial" w:eastAsia="MS Mincho" w:hAnsi="Arial" w:cs="Arial"/>
          <w:lang w:val="en-US"/>
        </w:rPr>
      </w:pPr>
    </w:p>
    <w:p w14:paraId="0382B96D"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3. How do you usually feel when you receive feedback on your work?</w:t>
      </w:r>
      <w:r w:rsidRPr="00CE6088">
        <w:rPr>
          <w:rFonts w:ascii="Arial" w:eastAsia="MS Mincho" w:hAnsi="Arial" w:cs="Arial"/>
          <w:lang w:val="en-US"/>
        </w:rPr>
        <w:br/>
        <w:t xml:space="preserve">   - Prompt: Do your feelings vary depending on the format or type of feedback?</w:t>
      </w:r>
    </w:p>
    <w:p w14:paraId="49103A54"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4. Can you recall a time when feedback had a particularly strong emotional impact on you?</w:t>
      </w:r>
      <w:r w:rsidRPr="00CE6088">
        <w:rPr>
          <w:rFonts w:ascii="Arial" w:eastAsia="MS Mincho" w:hAnsi="Arial" w:cs="Arial"/>
          <w:lang w:val="en-US"/>
        </w:rPr>
        <w:br/>
        <w:t xml:space="preserve">   - Prompt: What made that feedback stand out emotionally?</w:t>
      </w:r>
    </w:p>
    <w:p w14:paraId="0E9A770B"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5. How do emotional responses affect your motivation to engage with feedback?</w:t>
      </w:r>
      <w:r w:rsidRPr="00CE6088">
        <w:rPr>
          <w:rFonts w:ascii="Arial" w:eastAsia="MS Mincho" w:hAnsi="Arial" w:cs="Arial"/>
          <w:lang w:val="en-US"/>
        </w:rPr>
        <w:br/>
        <w:t xml:space="preserve">   - Prompt: Have you ever ignored or avoided feedback due to how it made you feel?</w:t>
      </w:r>
    </w:p>
    <w:p w14:paraId="56D5A242" w14:textId="77777777" w:rsidR="00CE6088" w:rsidRPr="00CE6088" w:rsidRDefault="00CE6088" w:rsidP="00CE6088">
      <w:pPr>
        <w:rPr>
          <w:rFonts w:ascii="Arial" w:hAnsi="Arial" w:cs="Arial"/>
          <w:lang w:val="en-US"/>
        </w:rPr>
      </w:pPr>
      <w:r w:rsidRPr="00CE6088">
        <w:rPr>
          <w:lang w:val="en-US"/>
        </w:rPr>
        <w:br/>
      </w:r>
      <w:r w:rsidRPr="00CE6088">
        <w:rPr>
          <w:rFonts w:ascii="Arial" w:hAnsi="Arial" w:cs="Arial"/>
          <w:lang w:val="en-US"/>
        </w:rPr>
        <w:t>Section C: Cognitive Engagement and Understanding</w:t>
      </w:r>
    </w:p>
    <w:p w14:paraId="5CBE9FD5" w14:textId="77777777" w:rsidR="00CE6088" w:rsidRPr="00CE6088" w:rsidRDefault="00CE6088" w:rsidP="00CE6088">
      <w:pPr>
        <w:rPr>
          <w:rFonts w:ascii="Arial" w:eastAsia="MS Mincho" w:hAnsi="Arial" w:cs="Arial"/>
          <w:lang w:val="en-US"/>
        </w:rPr>
      </w:pPr>
    </w:p>
    <w:p w14:paraId="180690C3"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lastRenderedPageBreak/>
        <w:t>6. How easy is it for you to understand and interpret the feedback you receive?</w:t>
      </w:r>
      <w:r w:rsidRPr="00CE6088">
        <w:rPr>
          <w:rFonts w:ascii="Arial" w:eastAsia="MS Mincho" w:hAnsi="Arial" w:cs="Arial"/>
          <w:lang w:val="en-US"/>
        </w:rPr>
        <w:br/>
        <w:t xml:space="preserve">   - Prompt: Do you feel confident applying feedback to future work?</w:t>
      </w:r>
    </w:p>
    <w:p w14:paraId="4EEC4F46"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7. Do you ask for clarification or follow-up when feedback is unclear? Why or why not?</w:t>
      </w:r>
      <w:r w:rsidRPr="00CE6088">
        <w:rPr>
          <w:rFonts w:ascii="Arial" w:eastAsia="MS Mincho" w:hAnsi="Arial" w:cs="Arial"/>
          <w:lang w:val="en-US"/>
        </w:rPr>
        <w:br/>
        <w:t xml:space="preserve">   - Prompt: What barriers might prevent you from doing so?</w:t>
      </w:r>
    </w:p>
    <w:p w14:paraId="5AAA0060"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8. Have you ever reflected deeply on feedback and how it relates to your thinking or learning?</w:t>
      </w:r>
      <w:r w:rsidRPr="00CE6088">
        <w:rPr>
          <w:rFonts w:ascii="Arial" w:eastAsia="MS Mincho" w:hAnsi="Arial" w:cs="Arial"/>
          <w:lang w:val="en-US"/>
        </w:rPr>
        <w:br/>
        <w:t xml:space="preserve">   - Prompt: Can you describe that process?</w:t>
      </w:r>
    </w:p>
    <w:p w14:paraId="46DD5BCF" w14:textId="77777777" w:rsidR="00CE6088" w:rsidRPr="00CE6088" w:rsidRDefault="00CE6088" w:rsidP="00CE6088">
      <w:pPr>
        <w:rPr>
          <w:rFonts w:ascii="Arial" w:hAnsi="Arial" w:cs="Arial"/>
          <w:lang w:val="en-US"/>
        </w:rPr>
      </w:pPr>
      <w:r w:rsidRPr="00CE6088">
        <w:rPr>
          <w:lang w:val="en-US"/>
        </w:rPr>
        <w:br/>
      </w:r>
      <w:r w:rsidRPr="00CE6088">
        <w:rPr>
          <w:rFonts w:ascii="Arial" w:hAnsi="Arial" w:cs="Arial"/>
          <w:lang w:val="en-US"/>
        </w:rPr>
        <w:t>Section D: Changes in Learning Strategies</w:t>
      </w:r>
    </w:p>
    <w:p w14:paraId="3517F47C" w14:textId="77777777" w:rsidR="00CE6088" w:rsidRPr="00CE6088" w:rsidRDefault="00CE6088" w:rsidP="00CE6088">
      <w:pPr>
        <w:rPr>
          <w:rFonts w:ascii="Arial" w:eastAsia="MS Mincho" w:hAnsi="Arial" w:cs="Arial"/>
          <w:lang w:val="en-US"/>
        </w:rPr>
      </w:pPr>
    </w:p>
    <w:p w14:paraId="730AFC2E"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9. Can you describe a time when feedback led you to change how you approached your learning or assignments?</w:t>
      </w:r>
      <w:r w:rsidRPr="00CE6088">
        <w:rPr>
          <w:rFonts w:ascii="Arial" w:eastAsia="MS Mincho" w:hAnsi="Arial" w:cs="Arial"/>
          <w:lang w:val="en-US"/>
        </w:rPr>
        <w:br/>
        <w:t xml:space="preserve">   - Prompt: Did it influence how you planned, researched, or wrote your work?</w:t>
      </w:r>
    </w:p>
    <w:p w14:paraId="07796754"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10. What long-term effects has feedback had on the way you think, study, or solve problems?</w:t>
      </w:r>
      <w:r w:rsidRPr="00CE6088">
        <w:rPr>
          <w:rFonts w:ascii="Arial" w:eastAsia="MS Mincho" w:hAnsi="Arial" w:cs="Arial"/>
          <w:lang w:val="en-US"/>
        </w:rPr>
        <w:br/>
        <w:t xml:space="preserve">   - Prompt: Has it helped you develop as a learner or professional?</w:t>
      </w:r>
    </w:p>
    <w:p w14:paraId="577DA34F" w14:textId="77777777" w:rsidR="00CE6088" w:rsidRPr="00CE6088" w:rsidRDefault="00CE6088" w:rsidP="00CE6088">
      <w:pPr>
        <w:rPr>
          <w:rFonts w:ascii="Arial" w:hAnsi="Arial" w:cs="Arial"/>
          <w:lang w:val="en-US"/>
        </w:rPr>
      </w:pPr>
      <w:r w:rsidRPr="00CE6088">
        <w:rPr>
          <w:lang w:val="en-US"/>
        </w:rPr>
        <w:br/>
      </w:r>
      <w:r w:rsidRPr="00CE6088">
        <w:rPr>
          <w:rFonts w:ascii="Arial" w:hAnsi="Arial" w:cs="Arial"/>
          <w:lang w:val="en-US"/>
        </w:rPr>
        <w:t>Section E: Perceptions of Feedback Culture</w:t>
      </w:r>
    </w:p>
    <w:p w14:paraId="09EEE478" w14:textId="77777777" w:rsidR="00CE6088" w:rsidRPr="00CE6088" w:rsidRDefault="00CE6088" w:rsidP="00CE6088">
      <w:pPr>
        <w:rPr>
          <w:rFonts w:ascii="Arial" w:eastAsia="MS Mincho" w:hAnsi="Arial" w:cs="Arial"/>
          <w:lang w:val="en-US"/>
        </w:rPr>
      </w:pPr>
    </w:p>
    <w:p w14:paraId="2CBF901C"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11. Do you feel feedback is treated as a one-way process or a dialogue in your course?</w:t>
      </w:r>
      <w:r w:rsidRPr="00CE6088">
        <w:rPr>
          <w:rFonts w:ascii="Arial" w:eastAsia="MS Mincho" w:hAnsi="Arial" w:cs="Arial"/>
          <w:lang w:val="en-US"/>
        </w:rPr>
        <w:br/>
        <w:t xml:space="preserve">   - Prompt: How could it be more collaborative?</w:t>
      </w:r>
    </w:p>
    <w:p w14:paraId="4C0844B5"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12. What would an ideal feedback process look like to you?</w:t>
      </w:r>
      <w:r w:rsidRPr="00CE6088">
        <w:rPr>
          <w:rFonts w:ascii="Arial" w:eastAsia="MS Mincho" w:hAnsi="Arial" w:cs="Arial"/>
          <w:lang w:val="en-US"/>
        </w:rPr>
        <w:br/>
        <w:t xml:space="preserve">   - Prompt: How would it make you feel, think, and act differently?</w:t>
      </w:r>
    </w:p>
    <w:p w14:paraId="7440B8FB" w14:textId="77777777" w:rsidR="00CE6088" w:rsidRPr="00CE6088" w:rsidRDefault="00CE6088" w:rsidP="00CE6088">
      <w:pPr>
        <w:rPr>
          <w:rFonts w:ascii="Arial" w:hAnsi="Arial" w:cs="Arial"/>
          <w:lang w:val="en-US"/>
        </w:rPr>
      </w:pPr>
      <w:r w:rsidRPr="00CE6088">
        <w:rPr>
          <w:lang w:val="en-US"/>
        </w:rPr>
        <w:br/>
      </w:r>
      <w:r w:rsidRPr="00CE6088">
        <w:rPr>
          <w:rFonts w:ascii="Arial" w:hAnsi="Arial" w:cs="Arial"/>
          <w:lang w:val="en-US"/>
        </w:rPr>
        <w:t>For Lecturers Only (Optional Add-on Section)</w:t>
      </w:r>
    </w:p>
    <w:p w14:paraId="72055E3B" w14:textId="77777777" w:rsidR="00CE6088" w:rsidRPr="00CE6088" w:rsidRDefault="00CE6088" w:rsidP="00CE6088">
      <w:pPr>
        <w:rPr>
          <w:rFonts w:ascii="Arial" w:eastAsia="MS Mincho" w:hAnsi="Arial" w:cs="Arial"/>
          <w:lang w:val="en-US"/>
        </w:rPr>
      </w:pPr>
    </w:p>
    <w:p w14:paraId="52FCF0BF"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13. How do you design and deliver feedback to maximise student engagement and learning?</w:t>
      </w:r>
    </w:p>
    <w:p w14:paraId="4CACBE35"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14. What patterns have you noticed in how students respond to feedback emotionally and cognitively?</w:t>
      </w:r>
    </w:p>
    <w:p w14:paraId="1A09C389"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15. What challenges do you face in creating feedback that fosters learning strategy development?</w:t>
      </w:r>
    </w:p>
    <w:p w14:paraId="039F0ECD" w14:textId="77777777" w:rsidR="00CE6088" w:rsidRPr="00CE6088" w:rsidRDefault="00CE6088" w:rsidP="00CE6088">
      <w:pPr>
        <w:rPr>
          <w:rFonts w:ascii="Arial" w:hAnsi="Arial" w:cs="Arial"/>
          <w:lang w:val="en-US"/>
        </w:rPr>
      </w:pPr>
      <w:r w:rsidRPr="00CE6088">
        <w:rPr>
          <w:lang w:val="en-US"/>
        </w:rPr>
        <w:br/>
      </w:r>
      <w:r w:rsidRPr="00CE6088">
        <w:rPr>
          <w:rFonts w:ascii="Arial" w:hAnsi="Arial" w:cs="Arial"/>
          <w:lang w:val="en-US"/>
        </w:rPr>
        <w:t>Closing the Interview</w:t>
      </w:r>
    </w:p>
    <w:p w14:paraId="08079283" w14:textId="77777777" w:rsidR="00CE6088" w:rsidRPr="00CE6088" w:rsidRDefault="00CE6088" w:rsidP="00CE6088">
      <w:pPr>
        <w:rPr>
          <w:rFonts w:ascii="Arial" w:eastAsia="MS Mincho" w:hAnsi="Arial" w:cs="Arial"/>
          <w:lang w:val="en-US"/>
        </w:rPr>
      </w:pPr>
    </w:p>
    <w:p w14:paraId="258C5C5F" w14:textId="77777777" w:rsidR="00CE6088" w:rsidRPr="00CE6088" w:rsidRDefault="00CE6088" w:rsidP="00CE6088">
      <w:pPr>
        <w:spacing w:after="200" w:line="276" w:lineRule="auto"/>
        <w:rPr>
          <w:rFonts w:ascii="Arial" w:eastAsia="MS Mincho" w:hAnsi="Arial" w:cs="Arial"/>
          <w:lang w:val="en-US"/>
        </w:rPr>
      </w:pPr>
      <w:r w:rsidRPr="00CE6088">
        <w:rPr>
          <w:rFonts w:ascii="Arial" w:eastAsia="MS Mincho" w:hAnsi="Arial" w:cs="Arial"/>
          <w:lang w:val="en-US"/>
        </w:rPr>
        <w:t>“Is there anything else you’d like to share about your experiences with feedback or how it could be improved?”</w:t>
      </w:r>
    </w:p>
    <w:sectPr w:rsidR="00CE6088" w:rsidRPr="00CE6088" w:rsidSect="0049047D">
      <w:pgSz w:w="11906" w:h="16838"/>
      <w:pgMar w:top="1134" w:right="1418" w:bottom="1134" w:left="1418" w:header="708" w:footer="708" w:gutter="0"/>
      <w:pgNumType w:start="1"/>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9E113FB" w16cex:dateUtc="2025-11-19T11:25:00Z"/>
  <w16cex:commentExtensible w16cex:durableId="29072302" w16cex:dateUtc="2025-11-19T11:28:00Z"/>
  <w16cex:commentExtensible w16cex:durableId="786D20D8" w16cex:dateUtc="2025-11-19T11:31:00Z"/>
  <w16cex:commentExtensible w16cex:durableId="45DF865A" w16cex:dateUtc="2025-11-19T11:26:00Z"/>
  <w16cex:commentExtensible w16cex:durableId="1B52AB71" w16cex:dateUtc="2025-11-19T11:26:00Z"/>
  <w16cex:commentExtensible w16cex:durableId="17EFFBE0" w16cex:dateUtc="2025-11-19T11:29:00Z"/>
  <w16cex:commentExtensible w16cex:durableId="6FE31907" w16cex:dateUtc="2025-11-19T11:31:00Z"/>
  <w16cex:commentExtensible w16cex:durableId="5A011C34" w16cex:dateUtc="2025-11-19T11:33:00Z"/>
  <w16cex:commentExtensible w16cex:durableId="27F8B0D8" w16cex:dateUtc="2025-11-19T12:07:00Z"/>
  <w16cex:commentExtensible w16cex:durableId="3F74EA4C" w16cex:dateUtc="2025-11-19T12:01:00Z"/>
  <w16cex:commentExtensible w16cex:durableId="12F4B21A" w16cex:dateUtc="2025-11-19T12:04:00Z"/>
  <w16cex:commentExtensible w16cex:durableId="648B2166" w16cex:dateUtc="2025-11-19T12:06:00Z"/>
  <w16cex:commentExtensible w16cex:durableId="03E2E7BE" w16cex:dateUtc="2025-11-19T11:53:00Z"/>
  <w16cex:commentExtensible w16cex:durableId="5D8C2A94" w16cex:dateUtc="2025-11-19T12:11:00Z"/>
  <w16cex:commentExtensible w16cex:durableId="7D16AE86" w16cex:dateUtc="2025-11-19T12: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65DF212" w16cid:durableId="09E113FB"/>
  <w16cid:commentId w16cid:paraId="72BCD4DA" w16cid:durableId="29072302"/>
  <w16cid:commentId w16cid:paraId="7C165545" w16cid:durableId="786D20D8"/>
  <w16cid:commentId w16cid:paraId="501E8F0A" w16cid:durableId="45DF865A"/>
  <w16cid:commentId w16cid:paraId="2877C5DE" w16cid:durableId="1B52AB71"/>
  <w16cid:commentId w16cid:paraId="12FD83DD" w16cid:durableId="17EFFBE0"/>
  <w16cid:commentId w16cid:paraId="7175A3E1" w16cid:durableId="6FE31907"/>
  <w16cid:commentId w16cid:paraId="6559FCF7" w16cid:durableId="5A011C34"/>
  <w16cid:commentId w16cid:paraId="3728D74C" w16cid:durableId="27F8B0D8"/>
  <w16cid:commentId w16cid:paraId="33584D7A" w16cid:durableId="3F74EA4C"/>
  <w16cid:commentId w16cid:paraId="2E529D74" w16cid:durableId="12F4B21A"/>
  <w16cid:commentId w16cid:paraId="3D379256" w16cid:durableId="648B2166"/>
  <w16cid:commentId w16cid:paraId="23ECFD2E" w16cid:durableId="03E2E7BE"/>
  <w16cid:commentId w16cid:paraId="55A61B71" w16cid:durableId="5D8C2A94"/>
  <w16cid:commentId w16cid:paraId="412BDC5E" w16cid:durableId="7D16AE86"/>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7BC6EA" w14:textId="77777777" w:rsidR="001F092B" w:rsidRDefault="001F092B" w:rsidP="00FF7B1A">
      <w:pPr>
        <w:spacing w:after="0" w:line="240" w:lineRule="auto"/>
      </w:pPr>
      <w:r>
        <w:separator/>
      </w:r>
    </w:p>
  </w:endnote>
  <w:endnote w:type="continuationSeparator" w:id="0">
    <w:p w14:paraId="6665F1BC" w14:textId="77777777" w:rsidR="001F092B" w:rsidRDefault="001F092B" w:rsidP="00FF7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MS Mincho">
    <w:altName w:val="Yu Gothic UI"/>
    <w:panose1 w:val="02020609040205080304"/>
    <w:charset w:val="80"/>
    <w:family w:val="roman"/>
    <w:pitch w:val="fixed"/>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589203"/>
      <w:docPartObj>
        <w:docPartGallery w:val="Page Numbers (Bottom of Page)"/>
        <w:docPartUnique/>
      </w:docPartObj>
    </w:sdtPr>
    <w:sdtEndPr>
      <w:rPr>
        <w:rFonts w:ascii="Arial" w:hAnsi="Arial" w:cs="Arial"/>
        <w:noProof/>
      </w:rPr>
    </w:sdtEndPr>
    <w:sdtContent>
      <w:p w14:paraId="5F92FD67" w14:textId="3E5E3EC8" w:rsidR="00314216" w:rsidRPr="0049047D" w:rsidRDefault="00314216">
        <w:pPr>
          <w:pStyle w:val="Footer"/>
          <w:jc w:val="center"/>
          <w:rPr>
            <w:rFonts w:ascii="Arial" w:hAnsi="Arial" w:cs="Arial"/>
          </w:rPr>
        </w:pPr>
        <w:r w:rsidRPr="0049047D">
          <w:rPr>
            <w:rFonts w:ascii="Arial" w:hAnsi="Arial" w:cs="Arial"/>
          </w:rPr>
          <w:fldChar w:fldCharType="begin"/>
        </w:r>
        <w:r w:rsidRPr="0049047D">
          <w:rPr>
            <w:rFonts w:ascii="Arial" w:hAnsi="Arial" w:cs="Arial"/>
          </w:rPr>
          <w:instrText xml:space="preserve"> PAGE   \* MERGEFORMAT </w:instrText>
        </w:r>
        <w:r w:rsidRPr="0049047D">
          <w:rPr>
            <w:rFonts w:ascii="Arial" w:hAnsi="Arial" w:cs="Arial"/>
          </w:rPr>
          <w:fldChar w:fldCharType="separate"/>
        </w:r>
        <w:r w:rsidR="00045A7C">
          <w:rPr>
            <w:rFonts w:ascii="Arial" w:hAnsi="Arial" w:cs="Arial"/>
            <w:noProof/>
          </w:rPr>
          <w:t>14</w:t>
        </w:r>
        <w:r w:rsidRPr="0049047D">
          <w:rPr>
            <w:rFonts w:ascii="Arial" w:hAnsi="Arial" w:cs="Arial"/>
            <w:noProof/>
          </w:rPr>
          <w:fldChar w:fldCharType="end"/>
        </w:r>
      </w:p>
    </w:sdtContent>
  </w:sdt>
  <w:p w14:paraId="25104597" w14:textId="77777777" w:rsidR="00314216" w:rsidRDefault="003142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3BC48D" w14:textId="77777777" w:rsidR="001F092B" w:rsidRDefault="001F092B" w:rsidP="00FF7B1A">
      <w:pPr>
        <w:spacing w:after="0" w:line="240" w:lineRule="auto"/>
      </w:pPr>
      <w:r>
        <w:separator/>
      </w:r>
    </w:p>
  </w:footnote>
  <w:footnote w:type="continuationSeparator" w:id="0">
    <w:p w14:paraId="6EF38BD5" w14:textId="77777777" w:rsidR="001F092B" w:rsidRDefault="001F092B" w:rsidP="00FF7B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10DB8E" w14:textId="77777777" w:rsidR="00314216" w:rsidRPr="00FF7B1A" w:rsidRDefault="00314216">
    <w:pPr>
      <w:pStyle w:val="Header"/>
      <w:rPr>
        <w:rFonts w:ascii="Arial" w:hAnsi="Arial" w:cs="Arial"/>
      </w:rPr>
    </w:pPr>
    <w:r w:rsidRPr="00FF7B1A">
      <w:rPr>
        <w:rFonts w:ascii="Arial" w:hAnsi="Arial" w:cs="Arial"/>
      </w:rPr>
      <w:t>Matthew Stewart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25972"/>
    <w:multiLevelType w:val="multilevel"/>
    <w:tmpl w:val="7166C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123E4"/>
    <w:multiLevelType w:val="multilevel"/>
    <w:tmpl w:val="242AA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031914"/>
    <w:multiLevelType w:val="multilevel"/>
    <w:tmpl w:val="79D8BC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3032DD"/>
    <w:multiLevelType w:val="multilevel"/>
    <w:tmpl w:val="F2403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A6299C"/>
    <w:multiLevelType w:val="multilevel"/>
    <w:tmpl w:val="101AF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E05491"/>
    <w:multiLevelType w:val="multilevel"/>
    <w:tmpl w:val="F63CF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F181F2A"/>
    <w:multiLevelType w:val="multilevel"/>
    <w:tmpl w:val="7B669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2"/>
  </w:num>
  <w:num w:numId="4">
    <w:abstractNumId w:val="3"/>
  </w:num>
  <w:num w:numId="5">
    <w:abstractNumId w:val="1"/>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6941"/>
    <w:rsid w:val="000048C6"/>
    <w:rsid w:val="000170F2"/>
    <w:rsid w:val="00036ABB"/>
    <w:rsid w:val="0004391C"/>
    <w:rsid w:val="00045A7C"/>
    <w:rsid w:val="0006320A"/>
    <w:rsid w:val="000667C0"/>
    <w:rsid w:val="00066A90"/>
    <w:rsid w:val="000C0B3D"/>
    <w:rsid w:val="00114F83"/>
    <w:rsid w:val="001318D0"/>
    <w:rsid w:val="00131C29"/>
    <w:rsid w:val="00145851"/>
    <w:rsid w:val="001610CF"/>
    <w:rsid w:val="00184A67"/>
    <w:rsid w:val="00194AA5"/>
    <w:rsid w:val="001E6023"/>
    <w:rsid w:val="001F092B"/>
    <w:rsid w:val="00236C79"/>
    <w:rsid w:val="0025777E"/>
    <w:rsid w:val="0026512B"/>
    <w:rsid w:val="002671FE"/>
    <w:rsid w:val="00271A0C"/>
    <w:rsid w:val="00272141"/>
    <w:rsid w:val="00282B54"/>
    <w:rsid w:val="002876EB"/>
    <w:rsid w:val="00292C90"/>
    <w:rsid w:val="002A5E12"/>
    <w:rsid w:val="002D01A3"/>
    <w:rsid w:val="00314216"/>
    <w:rsid w:val="003145BC"/>
    <w:rsid w:val="00386FEE"/>
    <w:rsid w:val="0038762C"/>
    <w:rsid w:val="003B505F"/>
    <w:rsid w:val="003C0699"/>
    <w:rsid w:val="003E0E0F"/>
    <w:rsid w:val="00401019"/>
    <w:rsid w:val="00404D1C"/>
    <w:rsid w:val="004275D3"/>
    <w:rsid w:val="0043459D"/>
    <w:rsid w:val="00442E71"/>
    <w:rsid w:val="00443667"/>
    <w:rsid w:val="004438C1"/>
    <w:rsid w:val="004545BA"/>
    <w:rsid w:val="0045552C"/>
    <w:rsid w:val="0049047D"/>
    <w:rsid w:val="004B0F27"/>
    <w:rsid w:val="004D77E1"/>
    <w:rsid w:val="004F1835"/>
    <w:rsid w:val="004F7D4F"/>
    <w:rsid w:val="00513B09"/>
    <w:rsid w:val="005269F9"/>
    <w:rsid w:val="00545B74"/>
    <w:rsid w:val="0054680B"/>
    <w:rsid w:val="00554642"/>
    <w:rsid w:val="00581B6D"/>
    <w:rsid w:val="00634E2A"/>
    <w:rsid w:val="00643DE7"/>
    <w:rsid w:val="00645D88"/>
    <w:rsid w:val="00650156"/>
    <w:rsid w:val="0069572D"/>
    <w:rsid w:val="006A2EE5"/>
    <w:rsid w:val="006C099D"/>
    <w:rsid w:val="006E5EEA"/>
    <w:rsid w:val="006F0556"/>
    <w:rsid w:val="00722373"/>
    <w:rsid w:val="00742DAF"/>
    <w:rsid w:val="0074661B"/>
    <w:rsid w:val="00761D90"/>
    <w:rsid w:val="00771CF9"/>
    <w:rsid w:val="00783E9C"/>
    <w:rsid w:val="007B0B68"/>
    <w:rsid w:val="007D0067"/>
    <w:rsid w:val="00800E81"/>
    <w:rsid w:val="00835DA6"/>
    <w:rsid w:val="00894904"/>
    <w:rsid w:val="008D4ED6"/>
    <w:rsid w:val="008D6941"/>
    <w:rsid w:val="008E37D8"/>
    <w:rsid w:val="008F54E6"/>
    <w:rsid w:val="00900D8B"/>
    <w:rsid w:val="00945919"/>
    <w:rsid w:val="00973157"/>
    <w:rsid w:val="009764E8"/>
    <w:rsid w:val="009773CC"/>
    <w:rsid w:val="00985C29"/>
    <w:rsid w:val="009B17F2"/>
    <w:rsid w:val="009B4919"/>
    <w:rsid w:val="009B560B"/>
    <w:rsid w:val="00A03A6A"/>
    <w:rsid w:val="00A64955"/>
    <w:rsid w:val="00A769AE"/>
    <w:rsid w:val="00A76F4C"/>
    <w:rsid w:val="00AD092E"/>
    <w:rsid w:val="00AE1887"/>
    <w:rsid w:val="00AF0D4A"/>
    <w:rsid w:val="00B2147E"/>
    <w:rsid w:val="00B23E4E"/>
    <w:rsid w:val="00B248E4"/>
    <w:rsid w:val="00B35FDA"/>
    <w:rsid w:val="00B7027F"/>
    <w:rsid w:val="00B753C3"/>
    <w:rsid w:val="00B91F82"/>
    <w:rsid w:val="00B939AE"/>
    <w:rsid w:val="00BB0E63"/>
    <w:rsid w:val="00BB1064"/>
    <w:rsid w:val="00BE71E6"/>
    <w:rsid w:val="00BF2EA8"/>
    <w:rsid w:val="00C119F4"/>
    <w:rsid w:val="00C155D4"/>
    <w:rsid w:val="00C31265"/>
    <w:rsid w:val="00C40A9C"/>
    <w:rsid w:val="00C45B42"/>
    <w:rsid w:val="00C5416B"/>
    <w:rsid w:val="00C54DD0"/>
    <w:rsid w:val="00C62976"/>
    <w:rsid w:val="00C6610A"/>
    <w:rsid w:val="00C67000"/>
    <w:rsid w:val="00C67B6D"/>
    <w:rsid w:val="00CB03C5"/>
    <w:rsid w:val="00CB2CE3"/>
    <w:rsid w:val="00CC249B"/>
    <w:rsid w:val="00CC2DE0"/>
    <w:rsid w:val="00CE6088"/>
    <w:rsid w:val="00D02836"/>
    <w:rsid w:val="00D12307"/>
    <w:rsid w:val="00D2713B"/>
    <w:rsid w:val="00D468DB"/>
    <w:rsid w:val="00D55EC6"/>
    <w:rsid w:val="00D63BA1"/>
    <w:rsid w:val="00D90135"/>
    <w:rsid w:val="00D95001"/>
    <w:rsid w:val="00D959BA"/>
    <w:rsid w:val="00D96BDB"/>
    <w:rsid w:val="00D97EAF"/>
    <w:rsid w:val="00DA45CB"/>
    <w:rsid w:val="00DB28FD"/>
    <w:rsid w:val="00DD08DA"/>
    <w:rsid w:val="00DD1E04"/>
    <w:rsid w:val="00DF4304"/>
    <w:rsid w:val="00E00D7F"/>
    <w:rsid w:val="00E27B7F"/>
    <w:rsid w:val="00E54C26"/>
    <w:rsid w:val="00E636B1"/>
    <w:rsid w:val="00E75E2D"/>
    <w:rsid w:val="00EB44D0"/>
    <w:rsid w:val="00EC081C"/>
    <w:rsid w:val="00EE789A"/>
    <w:rsid w:val="00EE7FF7"/>
    <w:rsid w:val="00F2522E"/>
    <w:rsid w:val="00F37158"/>
    <w:rsid w:val="00F64328"/>
    <w:rsid w:val="00F71778"/>
    <w:rsid w:val="00FA439B"/>
    <w:rsid w:val="00FB1771"/>
    <w:rsid w:val="00FD6EE8"/>
    <w:rsid w:val="00FE3AB8"/>
    <w:rsid w:val="00FE5C1B"/>
    <w:rsid w:val="00FF193A"/>
    <w:rsid w:val="00FF7B1A"/>
    <w:rsid w:val="063BCDB5"/>
    <w:rsid w:val="0D08A484"/>
    <w:rsid w:val="1ECD2820"/>
    <w:rsid w:val="3264A9D8"/>
    <w:rsid w:val="34AC2764"/>
    <w:rsid w:val="403FBFAF"/>
    <w:rsid w:val="44E46078"/>
    <w:rsid w:val="56A7026B"/>
    <w:rsid w:val="644F75FB"/>
    <w:rsid w:val="72D883A8"/>
    <w:rsid w:val="735CD2D5"/>
    <w:rsid w:val="7A7EBE3F"/>
    <w:rsid w:val="7A9588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513ADFF"/>
  <w15:chartTrackingRefBased/>
  <w15:docId w15:val="{8680CAF7-E05B-4DE8-ABC3-2EF28C91B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F7B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F54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F54E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04D1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7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B1A"/>
  </w:style>
  <w:style w:type="paragraph" w:styleId="Footer">
    <w:name w:val="footer"/>
    <w:basedOn w:val="Normal"/>
    <w:link w:val="FooterChar"/>
    <w:uiPriority w:val="99"/>
    <w:unhideWhenUsed/>
    <w:rsid w:val="00FF7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B1A"/>
  </w:style>
  <w:style w:type="character" w:customStyle="1" w:styleId="Heading1Char">
    <w:name w:val="Heading 1 Char"/>
    <w:basedOn w:val="DefaultParagraphFont"/>
    <w:link w:val="Heading1"/>
    <w:uiPriority w:val="9"/>
    <w:rsid w:val="00FF7B1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F7B1A"/>
    <w:pPr>
      <w:outlineLvl w:val="9"/>
    </w:pPr>
    <w:rPr>
      <w:lang w:val="en-US"/>
    </w:rPr>
  </w:style>
  <w:style w:type="paragraph" w:styleId="TOC1">
    <w:name w:val="toc 1"/>
    <w:basedOn w:val="Normal"/>
    <w:next w:val="Normal"/>
    <w:autoRedefine/>
    <w:uiPriority w:val="39"/>
    <w:unhideWhenUsed/>
    <w:rsid w:val="00FF7B1A"/>
    <w:pPr>
      <w:spacing w:after="100"/>
    </w:pPr>
  </w:style>
  <w:style w:type="character" w:styleId="Hyperlink">
    <w:name w:val="Hyperlink"/>
    <w:basedOn w:val="DefaultParagraphFont"/>
    <w:uiPriority w:val="99"/>
    <w:unhideWhenUsed/>
    <w:rsid w:val="00FF7B1A"/>
    <w:rPr>
      <w:color w:val="0563C1" w:themeColor="hyperlink"/>
      <w:u w:val="single"/>
    </w:rPr>
  </w:style>
  <w:style w:type="character" w:customStyle="1" w:styleId="Heading2Char">
    <w:name w:val="Heading 2 Char"/>
    <w:basedOn w:val="DefaultParagraphFont"/>
    <w:link w:val="Heading2"/>
    <w:uiPriority w:val="9"/>
    <w:rsid w:val="008F54E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F54E6"/>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F2522E"/>
    <w:pPr>
      <w:spacing w:after="100"/>
      <w:ind w:left="220"/>
    </w:pPr>
  </w:style>
  <w:style w:type="paragraph" w:styleId="TOC3">
    <w:name w:val="toc 3"/>
    <w:basedOn w:val="Normal"/>
    <w:next w:val="Normal"/>
    <w:autoRedefine/>
    <w:uiPriority w:val="39"/>
    <w:unhideWhenUsed/>
    <w:rsid w:val="00F2522E"/>
    <w:pPr>
      <w:spacing w:after="100"/>
      <w:ind w:left="440"/>
    </w:pPr>
  </w:style>
  <w:style w:type="character" w:customStyle="1" w:styleId="Heading4Char">
    <w:name w:val="Heading 4 Char"/>
    <w:basedOn w:val="DefaultParagraphFont"/>
    <w:link w:val="Heading4"/>
    <w:uiPriority w:val="9"/>
    <w:semiHidden/>
    <w:rsid w:val="00404D1C"/>
    <w:rPr>
      <w:rFonts w:asciiTheme="majorHAnsi" w:eastAsiaTheme="majorEastAsia" w:hAnsiTheme="majorHAnsi" w:cstheme="majorBidi"/>
      <w:i/>
      <w:iCs/>
      <w:color w:val="2E74B5" w:themeColor="accent1" w:themeShade="BF"/>
    </w:rPr>
  </w:style>
  <w:style w:type="character" w:styleId="CommentReference">
    <w:name w:val="annotation reference"/>
    <w:basedOn w:val="DefaultParagraphFont"/>
    <w:uiPriority w:val="99"/>
    <w:semiHidden/>
    <w:unhideWhenUsed/>
    <w:rsid w:val="00C45B42"/>
    <w:rPr>
      <w:sz w:val="16"/>
      <w:szCs w:val="16"/>
    </w:rPr>
  </w:style>
  <w:style w:type="paragraph" w:styleId="CommentText">
    <w:name w:val="annotation text"/>
    <w:basedOn w:val="Normal"/>
    <w:link w:val="CommentTextChar"/>
    <w:uiPriority w:val="99"/>
    <w:unhideWhenUsed/>
    <w:rsid w:val="00C45B42"/>
    <w:pPr>
      <w:spacing w:line="240" w:lineRule="auto"/>
    </w:pPr>
    <w:rPr>
      <w:sz w:val="20"/>
      <w:szCs w:val="20"/>
    </w:rPr>
  </w:style>
  <w:style w:type="character" w:customStyle="1" w:styleId="CommentTextChar">
    <w:name w:val="Comment Text Char"/>
    <w:basedOn w:val="DefaultParagraphFont"/>
    <w:link w:val="CommentText"/>
    <w:uiPriority w:val="99"/>
    <w:rsid w:val="00C45B42"/>
    <w:rPr>
      <w:sz w:val="20"/>
      <w:szCs w:val="20"/>
    </w:rPr>
  </w:style>
  <w:style w:type="paragraph" w:styleId="CommentSubject">
    <w:name w:val="annotation subject"/>
    <w:basedOn w:val="CommentText"/>
    <w:next w:val="CommentText"/>
    <w:link w:val="CommentSubjectChar"/>
    <w:uiPriority w:val="99"/>
    <w:semiHidden/>
    <w:unhideWhenUsed/>
    <w:rsid w:val="00C45B42"/>
    <w:rPr>
      <w:b/>
      <w:bCs/>
    </w:rPr>
  </w:style>
  <w:style w:type="character" w:customStyle="1" w:styleId="CommentSubjectChar">
    <w:name w:val="Comment Subject Char"/>
    <w:basedOn w:val="CommentTextChar"/>
    <w:link w:val="CommentSubject"/>
    <w:uiPriority w:val="99"/>
    <w:semiHidden/>
    <w:rsid w:val="00C45B42"/>
    <w:rPr>
      <w:b/>
      <w:bCs/>
      <w:sz w:val="20"/>
      <w:szCs w:val="20"/>
    </w:rPr>
  </w:style>
  <w:style w:type="paragraph" w:styleId="BalloonText">
    <w:name w:val="Balloon Text"/>
    <w:basedOn w:val="Normal"/>
    <w:link w:val="BalloonTextChar"/>
    <w:uiPriority w:val="99"/>
    <w:semiHidden/>
    <w:unhideWhenUsed/>
    <w:rsid w:val="009B56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560B"/>
    <w:rPr>
      <w:rFonts w:ascii="Segoe UI" w:hAnsi="Segoe UI" w:cs="Segoe UI"/>
      <w:sz w:val="18"/>
      <w:szCs w:val="18"/>
    </w:rPr>
  </w:style>
  <w:style w:type="paragraph" w:styleId="NormalWeb">
    <w:name w:val="Normal (Web)"/>
    <w:basedOn w:val="Normal"/>
    <w:uiPriority w:val="99"/>
    <w:semiHidden/>
    <w:unhideWhenUsed/>
    <w:rsid w:val="00E75E2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81608">
      <w:bodyDiv w:val="1"/>
      <w:marLeft w:val="0"/>
      <w:marRight w:val="0"/>
      <w:marTop w:val="0"/>
      <w:marBottom w:val="0"/>
      <w:divBdr>
        <w:top w:val="none" w:sz="0" w:space="0" w:color="auto"/>
        <w:left w:val="none" w:sz="0" w:space="0" w:color="auto"/>
        <w:bottom w:val="none" w:sz="0" w:space="0" w:color="auto"/>
        <w:right w:val="none" w:sz="0" w:space="0" w:color="auto"/>
      </w:divBdr>
    </w:div>
    <w:div w:id="72973523">
      <w:bodyDiv w:val="1"/>
      <w:marLeft w:val="0"/>
      <w:marRight w:val="0"/>
      <w:marTop w:val="0"/>
      <w:marBottom w:val="0"/>
      <w:divBdr>
        <w:top w:val="none" w:sz="0" w:space="0" w:color="auto"/>
        <w:left w:val="none" w:sz="0" w:space="0" w:color="auto"/>
        <w:bottom w:val="none" w:sz="0" w:space="0" w:color="auto"/>
        <w:right w:val="none" w:sz="0" w:space="0" w:color="auto"/>
      </w:divBdr>
    </w:div>
    <w:div w:id="141431774">
      <w:bodyDiv w:val="1"/>
      <w:marLeft w:val="0"/>
      <w:marRight w:val="0"/>
      <w:marTop w:val="0"/>
      <w:marBottom w:val="0"/>
      <w:divBdr>
        <w:top w:val="none" w:sz="0" w:space="0" w:color="auto"/>
        <w:left w:val="none" w:sz="0" w:space="0" w:color="auto"/>
        <w:bottom w:val="none" w:sz="0" w:space="0" w:color="auto"/>
        <w:right w:val="none" w:sz="0" w:space="0" w:color="auto"/>
      </w:divBdr>
    </w:div>
    <w:div w:id="206836074">
      <w:bodyDiv w:val="1"/>
      <w:marLeft w:val="0"/>
      <w:marRight w:val="0"/>
      <w:marTop w:val="0"/>
      <w:marBottom w:val="0"/>
      <w:divBdr>
        <w:top w:val="none" w:sz="0" w:space="0" w:color="auto"/>
        <w:left w:val="none" w:sz="0" w:space="0" w:color="auto"/>
        <w:bottom w:val="none" w:sz="0" w:space="0" w:color="auto"/>
        <w:right w:val="none" w:sz="0" w:space="0" w:color="auto"/>
      </w:divBdr>
    </w:div>
    <w:div w:id="344212463">
      <w:bodyDiv w:val="1"/>
      <w:marLeft w:val="0"/>
      <w:marRight w:val="0"/>
      <w:marTop w:val="0"/>
      <w:marBottom w:val="0"/>
      <w:divBdr>
        <w:top w:val="none" w:sz="0" w:space="0" w:color="auto"/>
        <w:left w:val="none" w:sz="0" w:space="0" w:color="auto"/>
        <w:bottom w:val="none" w:sz="0" w:space="0" w:color="auto"/>
        <w:right w:val="none" w:sz="0" w:space="0" w:color="auto"/>
      </w:divBdr>
    </w:div>
    <w:div w:id="559094963">
      <w:bodyDiv w:val="1"/>
      <w:marLeft w:val="0"/>
      <w:marRight w:val="0"/>
      <w:marTop w:val="0"/>
      <w:marBottom w:val="0"/>
      <w:divBdr>
        <w:top w:val="none" w:sz="0" w:space="0" w:color="auto"/>
        <w:left w:val="none" w:sz="0" w:space="0" w:color="auto"/>
        <w:bottom w:val="none" w:sz="0" w:space="0" w:color="auto"/>
        <w:right w:val="none" w:sz="0" w:space="0" w:color="auto"/>
      </w:divBdr>
    </w:div>
    <w:div w:id="620846045">
      <w:bodyDiv w:val="1"/>
      <w:marLeft w:val="0"/>
      <w:marRight w:val="0"/>
      <w:marTop w:val="0"/>
      <w:marBottom w:val="0"/>
      <w:divBdr>
        <w:top w:val="none" w:sz="0" w:space="0" w:color="auto"/>
        <w:left w:val="none" w:sz="0" w:space="0" w:color="auto"/>
        <w:bottom w:val="none" w:sz="0" w:space="0" w:color="auto"/>
        <w:right w:val="none" w:sz="0" w:space="0" w:color="auto"/>
      </w:divBdr>
    </w:div>
    <w:div w:id="742948033">
      <w:bodyDiv w:val="1"/>
      <w:marLeft w:val="0"/>
      <w:marRight w:val="0"/>
      <w:marTop w:val="0"/>
      <w:marBottom w:val="0"/>
      <w:divBdr>
        <w:top w:val="none" w:sz="0" w:space="0" w:color="auto"/>
        <w:left w:val="none" w:sz="0" w:space="0" w:color="auto"/>
        <w:bottom w:val="none" w:sz="0" w:space="0" w:color="auto"/>
        <w:right w:val="none" w:sz="0" w:space="0" w:color="auto"/>
      </w:divBdr>
    </w:div>
    <w:div w:id="966738024">
      <w:bodyDiv w:val="1"/>
      <w:marLeft w:val="0"/>
      <w:marRight w:val="0"/>
      <w:marTop w:val="0"/>
      <w:marBottom w:val="0"/>
      <w:divBdr>
        <w:top w:val="none" w:sz="0" w:space="0" w:color="auto"/>
        <w:left w:val="none" w:sz="0" w:space="0" w:color="auto"/>
        <w:bottom w:val="none" w:sz="0" w:space="0" w:color="auto"/>
        <w:right w:val="none" w:sz="0" w:space="0" w:color="auto"/>
      </w:divBdr>
    </w:div>
    <w:div w:id="1174760080">
      <w:bodyDiv w:val="1"/>
      <w:marLeft w:val="0"/>
      <w:marRight w:val="0"/>
      <w:marTop w:val="0"/>
      <w:marBottom w:val="0"/>
      <w:divBdr>
        <w:top w:val="none" w:sz="0" w:space="0" w:color="auto"/>
        <w:left w:val="none" w:sz="0" w:space="0" w:color="auto"/>
        <w:bottom w:val="none" w:sz="0" w:space="0" w:color="auto"/>
        <w:right w:val="none" w:sz="0" w:space="0" w:color="auto"/>
      </w:divBdr>
    </w:div>
    <w:div w:id="1384258289">
      <w:bodyDiv w:val="1"/>
      <w:marLeft w:val="0"/>
      <w:marRight w:val="0"/>
      <w:marTop w:val="0"/>
      <w:marBottom w:val="0"/>
      <w:divBdr>
        <w:top w:val="none" w:sz="0" w:space="0" w:color="auto"/>
        <w:left w:val="none" w:sz="0" w:space="0" w:color="auto"/>
        <w:bottom w:val="none" w:sz="0" w:space="0" w:color="auto"/>
        <w:right w:val="none" w:sz="0" w:space="0" w:color="auto"/>
      </w:divBdr>
      <w:divsChild>
        <w:div w:id="375397541">
          <w:blockQuote w:val="1"/>
          <w:marLeft w:val="720"/>
          <w:marRight w:val="720"/>
          <w:marTop w:val="100"/>
          <w:marBottom w:val="100"/>
          <w:divBdr>
            <w:top w:val="none" w:sz="0" w:space="0" w:color="auto"/>
            <w:left w:val="none" w:sz="0" w:space="0" w:color="auto"/>
            <w:bottom w:val="none" w:sz="0" w:space="0" w:color="auto"/>
            <w:right w:val="none" w:sz="0" w:space="0" w:color="auto"/>
          </w:divBdr>
        </w:div>
        <w:div w:id="12726245">
          <w:blockQuote w:val="1"/>
          <w:marLeft w:val="720"/>
          <w:marRight w:val="720"/>
          <w:marTop w:val="100"/>
          <w:marBottom w:val="100"/>
          <w:divBdr>
            <w:top w:val="none" w:sz="0" w:space="0" w:color="auto"/>
            <w:left w:val="none" w:sz="0" w:space="0" w:color="auto"/>
            <w:bottom w:val="none" w:sz="0" w:space="0" w:color="auto"/>
            <w:right w:val="none" w:sz="0" w:space="0" w:color="auto"/>
          </w:divBdr>
        </w:div>
        <w:div w:id="18554601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2284360">
      <w:bodyDiv w:val="1"/>
      <w:marLeft w:val="0"/>
      <w:marRight w:val="0"/>
      <w:marTop w:val="0"/>
      <w:marBottom w:val="0"/>
      <w:divBdr>
        <w:top w:val="none" w:sz="0" w:space="0" w:color="auto"/>
        <w:left w:val="none" w:sz="0" w:space="0" w:color="auto"/>
        <w:bottom w:val="none" w:sz="0" w:space="0" w:color="auto"/>
        <w:right w:val="none" w:sz="0" w:space="0" w:color="auto"/>
      </w:divBdr>
    </w:div>
    <w:div w:id="1575430255">
      <w:bodyDiv w:val="1"/>
      <w:marLeft w:val="0"/>
      <w:marRight w:val="0"/>
      <w:marTop w:val="0"/>
      <w:marBottom w:val="0"/>
      <w:divBdr>
        <w:top w:val="none" w:sz="0" w:space="0" w:color="auto"/>
        <w:left w:val="none" w:sz="0" w:space="0" w:color="auto"/>
        <w:bottom w:val="none" w:sz="0" w:space="0" w:color="auto"/>
        <w:right w:val="none" w:sz="0" w:space="0" w:color="auto"/>
      </w:divBdr>
    </w:div>
    <w:div w:id="1604266450">
      <w:bodyDiv w:val="1"/>
      <w:marLeft w:val="0"/>
      <w:marRight w:val="0"/>
      <w:marTop w:val="0"/>
      <w:marBottom w:val="0"/>
      <w:divBdr>
        <w:top w:val="none" w:sz="0" w:space="0" w:color="auto"/>
        <w:left w:val="none" w:sz="0" w:space="0" w:color="auto"/>
        <w:bottom w:val="none" w:sz="0" w:space="0" w:color="auto"/>
        <w:right w:val="none" w:sz="0" w:space="0" w:color="auto"/>
      </w:divBdr>
    </w:div>
    <w:div w:id="1722556103">
      <w:bodyDiv w:val="1"/>
      <w:marLeft w:val="0"/>
      <w:marRight w:val="0"/>
      <w:marTop w:val="0"/>
      <w:marBottom w:val="0"/>
      <w:divBdr>
        <w:top w:val="none" w:sz="0" w:space="0" w:color="auto"/>
        <w:left w:val="none" w:sz="0" w:space="0" w:color="auto"/>
        <w:bottom w:val="none" w:sz="0" w:space="0" w:color="auto"/>
        <w:right w:val="none" w:sz="0" w:space="0" w:color="auto"/>
      </w:divBdr>
    </w:div>
    <w:div w:id="1787767830">
      <w:bodyDiv w:val="1"/>
      <w:marLeft w:val="0"/>
      <w:marRight w:val="0"/>
      <w:marTop w:val="0"/>
      <w:marBottom w:val="0"/>
      <w:divBdr>
        <w:top w:val="none" w:sz="0" w:space="0" w:color="auto"/>
        <w:left w:val="none" w:sz="0" w:space="0" w:color="auto"/>
        <w:bottom w:val="none" w:sz="0" w:space="0" w:color="auto"/>
        <w:right w:val="none" w:sz="0" w:space="0" w:color="auto"/>
      </w:divBdr>
    </w:div>
    <w:div w:id="1812164364">
      <w:bodyDiv w:val="1"/>
      <w:marLeft w:val="0"/>
      <w:marRight w:val="0"/>
      <w:marTop w:val="0"/>
      <w:marBottom w:val="0"/>
      <w:divBdr>
        <w:top w:val="none" w:sz="0" w:space="0" w:color="auto"/>
        <w:left w:val="none" w:sz="0" w:space="0" w:color="auto"/>
        <w:bottom w:val="none" w:sz="0" w:space="0" w:color="auto"/>
        <w:right w:val="none" w:sz="0" w:space="0" w:color="auto"/>
      </w:divBdr>
    </w:div>
    <w:div w:id="1815558628">
      <w:bodyDiv w:val="1"/>
      <w:marLeft w:val="0"/>
      <w:marRight w:val="0"/>
      <w:marTop w:val="0"/>
      <w:marBottom w:val="0"/>
      <w:divBdr>
        <w:top w:val="none" w:sz="0" w:space="0" w:color="auto"/>
        <w:left w:val="none" w:sz="0" w:space="0" w:color="auto"/>
        <w:bottom w:val="none" w:sz="0" w:space="0" w:color="auto"/>
        <w:right w:val="none" w:sz="0" w:space="0" w:color="auto"/>
      </w:divBdr>
    </w:div>
    <w:div w:id="1821923808">
      <w:bodyDiv w:val="1"/>
      <w:marLeft w:val="0"/>
      <w:marRight w:val="0"/>
      <w:marTop w:val="0"/>
      <w:marBottom w:val="0"/>
      <w:divBdr>
        <w:top w:val="none" w:sz="0" w:space="0" w:color="auto"/>
        <w:left w:val="none" w:sz="0" w:space="0" w:color="auto"/>
        <w:bottom w:val="none" w:sz="0" w:space="0" w:color="auto"/>
        <w:right w:val="none" w:sz="0" w:space="0" w:color="auto"/>
      </w:divBdr>
      <w:divsChild>
        <w:div w:id="424768737">
          <w:blockQuote w:val="1"/>
          <w:marLeft w:val="720"/>
          <w:marRight w:val="720"/>
          <w:marTop w:val="100"/>
          <w:marBottom w:val="100"/>
          <w:divBdr>
            <w:top w:val="none" w:sz="0" w:space="0" w:color="auto"/>
            <w:left w:val="none" w:sz="0" w:space="0" w:color="auto"/>
            <w:bottom w:val="none" w:sz="0" w:space="0" w:color="auto"/>
            <w:right w:val="none" w:sz="0" w:space="0" w:color="auto"/>
          </w:divBdr>
        </w:div>
        <w:div w:id="260648529">
          <w:blockQuote w:val="1"/>
          <w:marLeft w:val="720"/>
          <w:marRight w:val="720"/>
          <w:marTop w:val="100"/>
          <w:marBottom w:val="100"/>
          <w:divBdr>
            <w:top w:val="none" w:sz="0" w:space="0" w:color="auto"/>
            <w:left w:val="none" w:sz="0" w:space="0" w:color="auto"/>
            <w:bottom w:val="none" w:sz="0" w:space="0" w:color="auto"/>
            <w:right w:val="none" w:sz="0" w:space="0" w:color="auto"/>
          </w:divBdr>
        </w:div>
        <w:div w:id="16842833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45974602">
      <w:bodyDiv w:val="1"/>
      <w:marLeft w:val="0"/>
      <w:marRight w:val="0"/>
      <w:marTop w:val="0"/>
      <w:marBottom w:val="0"/>
      <w:divBdr>
        <w:top w:val="none" w:sz="0" w:space="0" w:color="auto"/>
        <w:left w:val="none" w:sz="0" w:space="0" w:color="auto"/>
        <w:bottom w:val="none" w:sz="0" w:space="0" w:color="auto"/>
        <w:right w:val="none" w:sz="0" w:space="0" w:color="auto"/>
      </w:divBdr>
    </w:div>
    <w:div w:id="1942638310">
      <w:bodyDiv w:val="1"/>
      <w:marLeft w:val="0"/>
      <w:marRight w:val="0"/>
      <w:marTop w:val="0"/>
      <w:marBottom w:val="0"/>
      <w:divBdr>
        <w:top w:val="none" w:sz="0" w:space="0" w:color="auto"/>
        <w:left w:val="none" w:sz="0" w:space="0" w:color="auto"/>
        <w:bottom w:val="none" w:sz="0" w:space="0" w:color="auto"/>
        <w:right w:val="none" w:sz="0" w:space="0" w:color="auto"/>
      </w:divBdr>
    </w:div>
    <w:div w:id="1973710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microsoft.com/office/2018/08/relationships/commentsExtensible" Target="commentsExtensi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png"/><Relationship Id="rId19" Type="http://schemas.microsoft.com/office/2016/09/relationships/commentsIds" Target="commentsIds.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169588466a955ccdb10e34e10da12cd2">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5ec0c97cfbba8a7062319a075722b5c6"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288DA-0ECC-4CDB-B918-0EFFB072B8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8803CB-A4DC-44B2-853D-2AB333599C3E}">
  <ds:schemaRefs>
    <ds:schemaRef ds:uri="http://schemas.microsoft.com/sharepoint/v3/contenttype/forms"/>
  </ds:schemaRefs>
</ds:datastoreItem>
</file>

<file path=customXml/itemProps3.xml><?xml version="1.0" encoding="utf-8"?>
<ds:datastoreItem xmlns:ds="http://schemas.openxmlformats.org/officeDocument/2006/customXml" ds:itemID="{5B3979BB-769D-478C-9DCD-FA52BEF2A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40</Pages>
  <Words>14558</Words>
  <Characters>82987</Characters>
  <Application>Microsoft Office Word</Application>
  <DocSecurity>0</DocSecurity>
  <Lines>691</Lines>
  <Paragraphs>194</Paragraphs>
  <ScaleCrop>false</ScaleCrop>
  <HeadingPairs>
    <vt:vector size="2" baseType="variant">
      <vt:variant>
        <vt:lpstr>Title</vt:lpstr>
      </vt:variant>
      <vt:variant>
        <vt:i4>1</vt:i4>
      </vt:variant>
    </vt:vector>
  </HeadingPairs>
  <TitlesOfParts>
    <vt:vector size="1" baseType="lpstr">
      <vt:lpstr/>
    </vt:vector>
  </TitlesOfParts>
  <Company>ABS</Company>
  <LinksUpToDate>false</LinksUpToDate>
  <CharactersWithSpaces>97351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Loxdale</dc:creator>
  <cp:keywords/>
  <dc:description/>
  <cp:lastModifiedBy>Matthew Stewart</cp:lastModifiedBy>
  <cp:revision>41</cp:revision>
  <dcterms:created xsi:type="dcterms:W3CDTF">2025-06-10T00:11:00Z</dcterms:created>
  <dcterms:modified xsi:type="dcterms:W3CDTF">2025-11-25T13:38:00Z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05e7099a-29d3-4336-8a5b-c2d75af701a4</vt:lpwstr>
  </property>
  <property fmtid="{D5CDD505-2E9C-101B-9397-08002B2CF9AE}" pid="3" name="ContentTypeId">
    <vt:lpwstr>0x010100B1CE09280D3BDA42A70003204843A79C</vt:lpwstr>
  </property>
  <property fmtid="{D5CDD505-2E9C-101B-9397-08002B2CF9AE}" pid="4" name="MediaServiceImageTags">
    <vt:lpwstr/>
  </property>
</Properties>
</file>