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cs="Times New Roman"/>
          <w:b/>
          <w:bCs/>
          <w:szCs w:val="24"/>
        </w:rPr>
      </w:pPr>
    </w:p>
    <w:p>
      <w:pPr>
        <w:spacing w:line="360" w:lineRule="auto"/>
        <w:rPr>
          <w:rFonts w:cs="Times New Roman"/>
          <w:b/>
          <w:bCs/>
          <w:szCs w:val="24"/>
        </w:rPr>
      </w:pPr>
      <w:r>
        <w:rPr>
          <w:rFonts w:cs="Times New Roman"/>
          <w:b/>
          <w:bCs/>
          <w:szCs w:val="24"/>
        </w:rPr>
        <w:t>Compare the business communication difference in UK and Japan</w:t>
      </w:r>
    </w:p>
    <w:p>
      <w:pPr>
        <w:pStyle w:val="15"/>
        <w:tabs>
          <w:tab w:val="right" w:leader="dot" w:pos="8296"/>
        </w:tabs>
        <w:rPr>
          <w:rFonts w:asciiTheme="minorHAnsi" w:hAnsiTheme="minorHAnsi" w:cstheme="minorBidi"/>
          <w:sz w:val="21"/>
        </w:rPr>
      </w:pPr>
      <w:r>
        <w:rPr>
          <w:b/>
          <w:bCs/>
          <w:szCs w:val="24"/>
        </w:rPr>
        <w:fldChar w:fldCharType="begin"/>
      </w:r>
      <w:r>
        <w:rPr>
          <w:b/>
          <w:bCs/>
          <w:szCs w:val="24"/>
        </w:rPr>
        <w:instrText xml:space="preserve"> </w:instrText>
      </w:r>
      <w:r>
        <w:rPr>
          <w:rFonts w:hint="eastAsia"/>
          <w:b/>
          <w:bCs/>
          <w:szCs w:val="24"/>
        </w:rPr>
        <w:instrText xml:space="preserve">TOC \o "1-3" \h \z \u</w:instrText>
      </w:r>
      <w:r>
        <w:rPr>
          <w:b/>
          <w:bCs/>
          <w:szCs w:val="24"/>
        </w:rPr>
        <w:instrText xml:space="preserve"> </w:instrText>
      </w:r>
      <w:r>
        <w:rPr>
          <w:b/>
          <w:bCs/>
          <w:szCs w:val="24"/>
        </w:rPr>
        <w:fldChar w:fldCharType="separate"/>
      </w:r>
      <w:r>
        <w:fldChar w:fldCharType="begin"/>
      </w:r>
      <w:r>
        <w:instrText xml:space="preserve"> HYPERLINK \l "_Toc155715529" </w:instrText>
      </w:r>
      <w:r>
        <w:fldChar w:fldCharType="separate"/>
      </w:r>
      <w:r>
        <w:rPr>
          <w:rStyle w:val="23"/>
        </w:rPr>
        <w:t>Introduction</w:t>
      </w:r>
      <w:r>
        <w:tab/>
      </w:r>
      <w:r>
        <w:fldChar w:fldCharType="begin"/>
      </w:r>
      <w:r>
        <w:instrText xml:space="preserve"> PAGEREF _Toc155715529 \h </w:instrText>
      </w:r>
      <w:r>
        <w:fldChar w:fldCharType="separate"/>
      </w:r>
      <w:r>
        <w:t>1</w:t>
      </w:r>
      <w:r>
        <w:fldChar w:fldCharType="end"/>
      </w:r>
      <w:r>
        <w:fldChar w:fldCharType="end"/>
      </w:r>
    </w:p>
    <w:p>
      <w:pPr>
        <w:pStyle w:val="15"/>
        <w:tabs>
          <w:tab w:val="right" w:leader="dot" w:pos="8296"/>
        </w:tabs>
        <w:rPr>
          <w:rFonts w:asciiTheme="minorHAnsi" w:hAnsiTheme="minorHAnsi" w:cstheme="minorBidi"/>
          <w:sz w:val="21"/>
        </w:rPr>
      </w:pPr>
      <w:r>
        <w:fldChar w:fldCharType="begin"/>
      </w:r>
      <w:r>
        <w:instrText xml:space="preserve"> HYPERLINK \l "_Toc155715530" </w:instrText>
      </w:r>
      <w:r>
        <w:fldChar w:fldCharType="separate"/>
      </w:r>
      <w:r>
        <w:rPr>
          <w:rStyle w:val="23"/>
        </w:rPr>
        <w:t>Identify business communication situations</w:t>
      </w:r>
      <w:r>
        <w:tab/>
      </w:r>
      <w:r>
        <w:fldChar w:fldCharType="begin"/>
      </w:r>
      <w:r>
        <w:instrText xml:space="preserve"> PAGEREF _Toc155715530 \h </w:instrText>
      </w:r>
      <w:r>
        <w:fldChar w:fldCharType="separate"/>
      </w:r>
      <w:r>
        <w:t>2</w:t>
      </w:r>
      <w:r>
        <w:fldChar w:fldCharType="end"/>
      </w:r>
      <w:r>
        <w:fldChar w:fldCharType="end"/>
      </w:r>
    </w:p>
    <w:p>
      <w:pPr>
        <w:pStyle w:val="15"/>
        <w:tabs>
          <w:tab w:val="right" w:leader="dot" w:pos="8296"/>
        </w:tabs>
        <w:rPr>
          <w:rFonts w:asciiTheme="minorHAnsi" w:hAnsiTheme="minorHAnsi" w:cstheme="minorBidi"/>
          <w:sz w:val="21"/>
        </w:rPr>
      </w:pPr>
      <w:r>
        <w:fldChar w:fldCharType="begin"/>
      </w:r>
      <w:r>
        <w:instrText xml:space="preserve"> HYPERLINK \l "_Toc155715531" </w:instrText>
      </w:r>
      <w:r>
        <w:fldChar w:fldCharType="separate"/>
      </w:r>
      <w:r>
        <w:rPr>
          <w:rStyle w:val="23"/>
        </w:rPr>
        <w:t>Failure and causes</w:t>
      </w:r>
      <w:r>
        <w:tab/>
      </w:r>
      <w:r>
        <w:fldChar w:fldCharType="begin"/>
      </w:r>
      <w:r>
        <w:instrText xml:space="preserve"> PAGEREF _Toc155715531 \h </w:instrText>
      </w:r>
      <w:r>
        <w:fldChar w:fldCharType="separate"/>
      </w:r>
      <w:r>
        <w:t>3</w:t>
      </w:r>
      <w:r>
        <w:fldChar w:fldCharType="end"/>
      </w:r>
      <w:r>
        <w:fldChar w:fldCharType="end"/>
      </w:r>
    </w:p>
    <w:p>
      <w:pPr>
        <w:pStyle w:val="17"/>
        <w:tabs>
          <w:tab w:val="right" w:leader="dot" w:pos="8296"/>
        </w:tabs>
        <w:rPr>
          <w:rFonts w:asciiTheme="minorHAnsi" w:hAnsiTheme="minorHAnsi" w:cstheme="minorBidi"/>
          <w:sz w:val="21"/>
        </w:rPr>
      </w:pPr>
      <w:r>
        <w:fldChar w:fldCharType="begin"/>
      </w:r>
      <w:r>
        <w:instrText xml:space="preserve"> HYPERLINK \l "_Toc155715532" </w:instrText>
      </w:r>
      <w:r>
        <w:fldChar w:fldCharType="separate"/>
      </w:r>
      <w:r>
        <w:rPr>
          <w:rStyle w:val="23"/>
          <w:i/>
          <w:iCs/>
        </w:rPr>
        <w:t>Overview</w:t>
      </w:r>
      <w:r>
        <w:tab/>
      </w:r>
      <w:r>
        <w:fldChar w:fldCharType="begin"/>
      </w:r>
      <w:r>
        <w:instrText xml:space="preserve"> PAGEREF _Toc155715532 \h </w:instrText>
      </w:r>
      <w:r>
        <w:fldChar w:fldCharType="separate"/>
      </w:r>
      <w:r>
        <w:t>3</w:t>
      </w:r>
      <w:r>
        <w:fldChar w:fldCharType="end"/>
      </w:r>
      <w:r>
        <w:fldChar w:fldCharType="end"/>
      </w:r>
    </w:p>
    <w:p>
      <w:pPr>
        <w:pStyle w:val="17"/>
        <w:tabs>
          <w:tab w:val="right" w:leader="dot" w:pos="8296"/>
        </w:tabs>
        <w:rPr>
          <w:rFonts w:asciiTheme="minorHAnsi" w:hAnsiTheme="minorHAnsi" w:cstheme="minorBidi"/>
          <w:sz w:val="21"/>
        </w:rPr>
      </w:pPr>
      <w:r>
        <w:fldChar w:fldCharType="begin"/>
      </w:r>
      <w:r>
        <w:instrText xml:space="preserve"> HYPERLINK \l "_Toc155715533" </w:instrText>
      </w:r>
      <w:r>
        <w:fldChar w:fldCharType="separate"/>
      </w:r>
      <w:r>
        <w:rPr>
          <w:rStyle w:val="23"/>
          <w:i/>
          <w:iCs/>
        </w:rPr>
        <w:t>International partnership &amp; collaboration</w:t>
      </w:r>
      <w:r>
        <w:tab/>
      </w:r>
      <w:r>
        <w:fldChar w:fldCharType="begin"/>
      </w:r>
      <w:r>
        <w:instrText xml:space="preserve"> PAGEREF _Toc155715533 \h </w:instrText>
      </w:r>
      <w:r>
        <w:fldChar w:fldCharType="separate"/>
      </w:r>
      <w:r>
        <w:t>4</w:t>
      </w:r>
      <w:r>
        <w:fldChar w:fldCharType="end"/>
      </w:r>
      <w:r>
        <w:fldChar w:fldCharType="end"/>
      </w:r>
    </w:p>
    <w:p>
      <w:pPr>
        <w:pStyle w:val="17"/>
        <w:tabs>
          <w:tab w:val="right" w:leader="dot" w:pos="8296"/>
        </w:tabs>
        <w:rPr>
          <w:rFonts w:asciiTheme="minorHAnsi" w:hAnsiTheme="minorHAnsi" w:cstheme="minorBidi"/>
          <w:sz w:val="21"/>
        </w:rPr>
      </w:pPr>
      <w:r>
        <w:fldChar w:fldCharType="begin"/>
      </w:r>
      <w:r>
        <w:instrText xml:space="preserve"> HYPERLINK \l "_Toc155715534" </w:instrText>
      </w:r>
      <w:r>
        <w:fldChar w:fldCharType="separate"/>
      </w:r>
      <w:r>
        <w:rPr>
          <w:rStyle w:val="23"/>
          <w:i/>
          <w:iCs/>
        </w:rPr>
        <w:t>Cross-culture negotiation</w:t>
      </w:r>
      <w:r>
        <w:tab/>
      </w:r>
      <w:r>
        <w:fldChar w:fldCharType="begin"/>
      </w:r>
      <w:r>
        <w:instrText xml:space="preserve"> PAGEREF _Toc155715534 \h </w:instrText>
      </w:r>
      <w:r>
        <w:fldChar w:fldCharType="separate"/>
      </w:r>
      <w:r>
        <w:t>5</w:t>
      </w:r>
      <w:r>
        <w:fldChar w:fldCharType="end"/>
      </w:r>
      <w:r>
        <w:fldChar w:fldCharType="end"/>
      </w:r>
    </w:p>
    <w:p>
      <w:pPr>
        <w:pStyle w:val="17"/>
        <w:tabs>
          <w:tab w:val="right" w:leader="dot" w:pos="8296"/>
        </w:tabs>
        <w:rPr>
          <w:rFonts w:asciiTheme="minorHAnsi" w:hAnsiTheme="minorHAnsi" w:cstheme="minorBidi"/>
          <w:sz w:val="21"/>
        </w:rPr>
      </w:pPr>
      <w:r>
        <w:fldChar w:fldCharType="begin"/>
      </w:r>
      <w:r>
        <w:instrText xml:space="preserve"> HYPERLINK \l "_Toc155715535" </w:instrText>
      </w:r>
      <w:r>
        <w:fldChar w:fldCharType="separate"/>
      </w:r>
      <w:r>
        <w:rPr>
          <w:rStyle w:val="23"/>
          <w:i/>
          <w:iCs/>
        </w:rPr>
        <w:t>Supply chain management</w:t>
      </w:r>
      <w:r>
        <w:tab/>
      </w:r>
      <w:r>
        <w:fldChar w:fldCharType="begin"/>
      </w:r>
      <w:r>
        <w:instrText xml:space="preserve"> PAGEREF _Toc155715535 \h </w:instrText>
      </w:r>
      <w:r>
        <w:fldChar w:fldCharType="separate"/>
      </w:r>
      <w:r>
        <w:t>6</w:t>
      </w:r>
      <w:r>
        <w:fldChar w:fldCharType="end"/>
      </w:r>
      <w:r>
        <w:fldChar w:fldCharType="end"/>
      </w:r>
    </w:p>
    <w:p>
      <w:pPr>
        <w:pStyle w:val="17"/>
        <w:tabs>
          <w:tab w:val="right" w:leader="dot" w:pos="8296"/>
        </w:tabs>
        <w:rPr>
          <w:rFonts w:asciiTheme="minorHAnsi" w:hAnsiTheme="minorHAnsi" w:cstheme="minorBidi"/>
          <w:sz w:val="21"/>
        </w:rPr>
      </w:pPr>
      <w:r>
        <w:fldChar w:fldCharType="begin"/>
      </w:r>
      <w:r>
        <w:instrText xml:space="preserve"> HYPERLINK \l "_Toc155715536" </w:instrText>
      </w:r>
      <w:r>
        <w:fldChar w:fldCharType="separate"/>
      </w:r>
      <w:r>
        <w:rPr>
          <w:rStyle w:val="23"/>
          <w:i/>
          <w:iCs/>
        </w:rPr>
        <w:t>International marketing and sales</w:t>
      </w:r>
      <w:r>
        <w:tab/>
      </w:r>
      <w:r>
        <w:fldChar w:fldCharType="begin"/>
      </w:r>
      <w:r>
        <w:instrText xml:space="preserve"> PAGEREF _Toc155715536 \h </w:instrText>
      </w:r>
      <w:r>
        <w:fldChar w:fldCharType="separate"/>
      </w:r>
      <w:r>
        <w:t>6</w:t>
      </w:r>
      <w:r>
        <w:fldChar w:fldCharType="end"/>
      </w:r>
      <w:r>
        <w:fldChar w:fldCharType="end"/>
      </w:r>
    </w:p>
    <w:p>
      <w:pPr>
        <w:pStyle w:val="17"/>
        <w:tabs>
          <w:tab w:val="right" w:leader="dot" w:pos="8296"/>
        </w:tabs>
        <w:rPr>
          <w:rFonts w:asciiTheme="minorHAnsi" w:hAnsiTheme="minorHAnsi" w:cstheme="minorBidi"/>
          <w:sz w:val="21"/>
        </w:rPr>
      </w:pPr>
      <w:r>
        <w:fldChar w:fldCharType="begin"/>
      </w:r>
      <w:r>
        <w:instrText xml:space="preserve"> HYPERLINK \l "_Toc155715537" </w:instrText>
      </w:r>
      <w:r>
        <w:fldChar w:fldCharType="separate"/>
      </w:r>
      <w:r>
        <w:rPr>
          <w:rStyle w:val="23"/>
          <w:i/>
          <w:iCs/>
        </w:rPr>
        <w:t>Gift, meeting and appointment</w:t>
      </w:r>
      <w:r>
        <w:tab/>
      </w:r>
      <w:r>
        <w:fldChar w:fldCharType="begin"/>
      </w:r>
      <w:r>
        <w:instrText xml:space="preserve"> PAGEREF _Toc155715537 \h </w:instrText>
      </w:r>
      <w:r>
        <w:fldChar w:fldCharType="separate"/>
      </w:r>
      <w:r>
        <w:t>7</w:t>
      </w:r>
      <w:r>
        <w:fldChar w:fldCharType="end"/>
      </w:r>
      <w:r>
        <w:fldChar w:fldCharType="end"/>
      </w:r>
    </w:p>
    <w:p>
      <w:pPr>
        <w:pStyle w:val="15"/>
        <w:tabs>
          <w:tab w:val="right" w:leader="dot" w:pos="8296"/>
        </w:tabs>
        <w:rPr>
          <w:rFonts w:asciiTheme="minorHAnsi" w:hAnsiTheme="minorHAnsi" w:cstheme="minorBidi"/>
          <w:sz w:val="21"/>
        </w:rPr>
      </w:pPr>
      <w:r>
        <w:fldChar w:fldCharType="begin"/>
      </w:r>
      <w:r>
        <w:instrText xml:space="preserve"> HYPERLINK \l "_Toc155715538" </w:instrText>
      </w:r>
      <w:r>
        <w:fldChar w:fldCharType="separate"/>
      </w:r>
      <w:r>
        <w:rPr>
          <w:rStyle w:val="23"/>
        </w:rPr>
        <w:t>Strategies to overcome these failures</w:t>
      </w:r>
      <w:r>
        <w:tab/>
      </w:r>
      <w:r>
        <w:fldChar w:fldCharType="begin"/>
      </w:r>
      <w:r>
        <w:instrText xml:space="preserve"> PAGEREF _Toc155715538 \h </w:instrText>
      </w:r>
      <w:r>
        <w:fldChar w:fldCharType="separate"/>
      </w:r>
      <w:r>
        <w:t>8</w:t>
      </w:r>
      <w:r>
        <w:fldChar w:fldCharType="end"/>
      </w:r>
      <w:r>
        <w:fldChar w:fldCharType="end"/>
      </w:r>
    </w:p>
    <w:p>
      <w:pPr>
        <w:pStyle w:val="15"/>
        <w:tabs>
          <w:tab w:val="right" w:leader="dot" w:pos="8296"/>
        </w:tabs>
        <w:rPr>
          <w:rFonts w:asciiTheme="minorHAnsi" w:hAnsiTheme="minorHAnsi" w:cstheme="minorBidi"/>
          <w:sz w:val="21"/>
        </w:rPr>
      </w:pPr>
      <w:r>
        <w:fldChar w:fldCharType="begin"/>
      </w:r>
      <w:r>
        <w:instrText xml:space="preserve"> HYPERLINK \l "_Toc155715539" </w:instrText>
      </w:r>
      <w:r>
        <w:fldChar w:fldCharType="separate"/>
      </w:r>
      <w:r>
        <w:rPr>
          <w:rStyle w:val="23"/>
        </w:rPr>
        <w:t>Conclusion</w:t>
      </w:r>
      <w:r>
        <w:tab/>
      </w:r>
      <w:r>
        <w:fldChar w:fldCharType="begin"/>
      </w:r>
      <w:r>
        <w:instrText xml:space="preserve"> PAGEREF _Toc155715539 \h </w:instrText>
      </w:r>
      <w:r>
        <w:fldChar w:fldCharType="separate"/>
      </w:r>
      <w:r>
        <w:t>9</w:t>
      </w:r>
      <w:r>
        <w:fldChar w:fldCharType="end"/>
      </w:r>
      <w:r>
        <w:fldChar w:fldCharType="end"/>
      </w:r>
    </w:p>
    <w:p>
      <w:pPr>
        <w:pStyle w:val="15"/>
        <w:tabs>
          <w:tab w:val="right" w:leader="dot" w:pos="8296"/>
        </w:tabs>
        <w:rPr>
          <w:rFonts w:asciiTheme="minorHAnsi" w:hAnsiTheme="minorHAnsi" w:cstheme="minorBidi"/>
          <w:sz w:val="21"/>
        </w:rPr>
      </w:pPr>
      <w:r>
        <w:fldChar w:fldCharType="begin"/>
      </w:r>
      <w:r>
        <w:instrText xml:space="preserve"> HYPERLINK \l "_Toc155715540" </w:instrText>
      </w:r>
      <w:r>
        <w:fldChar w:fldCharType="separate"/>
      </w:r>
      <w:r>
        <w:rPr>
          <w:rStyle w:val="23"/>
        </w:rPr>
        <w:t>Reference</w:t>
      </w:r>
      <w:r>
        <w:tab/>
      </w:r>
      <w:r>
        <w:fldChar w:fldCharType="begin"/>
      </w:r>
      <w:r>
        <w:instrText xml:space="preserve"> PAGEREF _Toc155715540 \h </w:instrText>
      </w:r>
      <w:r>
        <w:fldChar w:fldCharType="separate"/>
      </w:r>
      <w:r>
        <w:t>10</w:t>
      </w:r>
      <w:r>
        <w:fldChar w:fldCharType="end"/>
      </w:r>
      <w:r>
        <w:fldChar w:fldCharType="end"/>
      </w:r>
    </w:p>
    <w:p>
      <w:pPr>
        <w:spacing w:line="360" w:lineRule="auto"/>
        <w:rPr>
          <w:rFonts w:hint="eastAsia" w:cs="Times New Roman"/>
          <w:b/>
          <w:bCs/>
          <w:szCs w:val="24"/>
        </w:rPr>
      </w:pPr>
      <w:r>
        <w:rPr>
          <w:rFonts w:cs="Times New Roman"/>
          <w:b/>
          <w:bCs/>
          <w:szCs w:val="24"/>
        </w:rPr>
        <w:fldChar w:fldCharType="end"/>
      </w:r>
    </w:p>
    <w:p>
      <w:pPr>
        <w:pStyle w:val="2"/>
        <w:rPr>
          <w:rFonts w:cs="Times New Roman"/>
          <w:sz w:val="24"/>
          <w:szCs w:val="24"/>
        </w:rPr>
      </w:pPr>
      <w:bookmarkStart w:id="0" w:name="_Toc155715529"/>
      <w:r>
        <w:rPr>
          <w:rFonts w:cs="Times New Roman"/>
          <w:sz w:val="24"/>
          <w:szCs w:val="24"/>
        </w:rPr>
        <w:t>Introduction</w:t>
      </w:r>
      <w:bookmarkEnd w:id="0"/>
    </w:p>
    <w:p>
      <w:pPr>
        <w:spacing w:line="360" w:lineRule="auto"/>
        <w:rPr>
          <w:rFonts w:cs="Times New Roman"/>
          <w:szCs w:val="24"/>
        </w:rPr>
      </w:pPr>
      <w:r>
        <w:rPr>
          <w:rFonts w:cs="Times New Roman"/>
          <w:szCs w:val="24"/>
        </w:rPr>
        <w:t xml:space="preserve">Business communication refers to the exchange of messages, ideas, and information in business setting. It includes a variety of business communication styles including presentation, face-to-face conversation, formal email etc. Business communication plays an important role in business success particularly, it is an important factor for the productivity, collaboration, and success of international businesses (Hartley, 2008). Effective business communication is the foundation for international businesses to convey information accurately, build up trusts, and resolving conflicts efficiently. Effective communication is more critical for an international company to do business in different countries, which have different languages, business practices, and cultural norms, etc (Guffey, 2008). Understanding the impacts of business communication for international businesses in different countries is important. In this regard, this reflective essay selects two countries, UK and Japan, to analyze how business communication differences might impact the operation of international businesses in Japan and UK. </w:t>
      </w:r>
    </w:p>
    <w:p>
      <w:pPr>
        <w:spacing w:line="360" w:lineRule="auto"/>
        <w:rPr>
          <w:rFonts w:cs="Times New Roman"/>
          <w:szCs w:val="24"/>
        </w:rPr>
      </w:pPr>
    </w:p>
    <w:p>
      <w:pPr>
        <w:spacing w:line="360" w:lineRule="auto"/>
        <w:rPr>
          <w:rFonts w:cs="Times New Roman"/>
          <w:szCs w:val="24"/>
        </w:rPr>
      </w:pPr>
      <w:r>
        <w:rPr>
          <w:rFonts w:cs="Times New Roman"/>
          <w:szCs w:val="24"/>
        </w:rPr>
        <w:t xml:space="preserve">There are four parts in this reflective essay. The first part is to identify several business communication situations; the second part is to analyzes the potential failures and causes in these business communication situations; the third part is the recommended strategy to overcome these failures; the last part is the conclusion. </w:t>
      </w:r>
    </w:p>
    <w:p>
      <w:pPr>
        <w:spacing w:line="360" w:lineRule="auto"/>
        <w:rPr>
          <w:rFonts w:cs="Times New Roman"/>
          <w:szCs w:val="24"/>
        </w:rPr>
      </w:pPr>
    </w:p>
    <w:p>
      <w:pPr>
        <w:pStyle w:val="2"/>
        <w:rPr>
          <w:rFonts w:cs="Times New Roman"/>
          <w:b w:val="0"/>
          <w:bCs w:val="0"/>
          <w:sz w:val="24"/>
          <w:szCs w:val="24"/>
        </w:rPr>
      </w:pPr>
      <w:bookmarkStart w:id="1" w:name="_Toc155715530"/>
      <w:r>
        <w:rPr>
          <w:rFonts w:cs="Times New Roman"/>
          <w:sz w:val="24"/>
          <w:szCs w:val="24"/>
        </w:rPr>
        <w:t>Identify business communication situations</w:t>
      </w:r>
      <w:bookmarkEnd w:id="1"/>
    </w:p>
    <w:p>
      <w:pPr>
        <w:spacing w:line="360" w:lineRule="auto"/>
        <w:rPr>
          <w:rFonts w:cs="Times New Roman"/>
          <w:szCs w:val="24"/>
        </w:rPr>
      </w:pPr>
      <w:r>
        <w:rPr>
          <w:rFonts w:cs="Times New Roman"/>
          <w:szCs w:val="24"/>
        </w:rPr>
        <w:t xml:space="preserve">Effective business communication is important for various situations for international businesses. These situations include international partnership and collaboration, cross-cultural negotiation, global supply chain management, and international marketing and sales. International partnership and collaboration refer to the co-work of teams or partners from different countries. Effective communication ensures that all team members or partners are aligned and aware of expectations, goals, and their responsibilities. Effective communication helps them to build up trust and enhance their cooperation. In cross-cultural negotiations, it is crucial for negotiating parties to understand the communication styles, values, and cultural norms of each other. Failing to understanding these will result in the poor outcome of negotiation. For example, a company from UK might negotiate a business deal that from Japan, the UK company needs to consider the hierarchical decision-making and indirect communication style of the Japanese company (Adair, 2004). </w:t>
      </w:r>
    </w:p>
    <w:p>
      <w:pPr>
        <w:spacing w:line="360" w:lineRule="auto"/>
        <w:rPr>
          <w:rFonts w:cs="Times New Roman"/>
          <w:szCs w:val="24"/>
        </w:rPr>
      </w:pPr>
    </w:p>
    <w:p>
      <w:pPr>
        <w:spacing w:line="360" w:lineRule="auto"/>
        <w:rPr>
          <w:rFonts w:cs="Times New Roman"/>
          <w:szCs w:val="24"/>
        </w:rPr>
      </w:pPr>
      <w:r>
        <w:rPr>
          <w:rFonts w:cs="Times New Roman"/>
          <w:szCs w:val="24"/>
        </w:rPr>
        <w:t xml:space="preserve">Global supply chain management refers to the management involving multiple stakeholders including customers, distributors, manufacturers, and suppliers. These supply chain actors are usually located in different countries. For example, many Japanese auto makers have their production line located in Japan while their sale centers are located in different places of UK, so the effective communication is important for companies to manage inventory, coordinate activities, address disruptions, and ensuring information and goods smooth flow (Bret, 2000). International sales and marketing also demand effective communications. Companies in Japan or UK need to the communicate their value propositions, product features, and brand messages to the other country customers. Hence, effective and even tailored marketing communication strategies are needed. Local regulations, language preference, and cultural sensitivity should be considered. Overall effective communication is important for above four business communication situations. </w:t>
      </w:r>
    </w:p>
    <w:p>
      <w:pPr>
        <w:spacing w:line="360" w:lineRule="auto"/>
        <w:rPr>
          <w:rFonts w:cs="Times New Roman"/>
          <w:b/>
          <w:bCs/>
          <w:szCs w:val="24"/>
        </w:rPr>
      </w:pPr>
    </w:p>
    <w:p>
      <w:pPr>
        <w:pStyle w:val="2"/>
        <w:rPr>
          <w:rFonts w:cs="Times New Roman"/>
          <w:b w:val="0"/>
          <w:bCs w:val="0"/>
          <w:sz w:val="24"/>
          <w:szCs w:val="24"/>
        </w:rPr>
      </w:pPr>
      <w:bookmarkStart w:id="2" w:name="_Toc155715531"/>
      <w:r>
        <w:rPr>
          <w:rFonts w:cs="Times New Roman"/>
          <w:sz w:val="24"/>
          <w:szCs w:val="24"/>
        </w:rPr>
        <w:t>Failure and causes</w:t>
      </w:r>
      <w:bookmarkEnd w:id="2"/>
      <w:r>
        <w:rPr>
          <w:rFonts w:cs="Times New Roman"/>
          <w:sz w:val="24"/>
          <w:szCs w:val="24"/>
        </w:rPr>
        <w:t xml:space="preserve"> </w:t>
      </w:r>
    </w:p>
    <w:p>
      <w:pPr>
        <w:pStyle w:val="3"/>
        <w:rPr>
          <w:rFonts w:cs="Times New Roman"/>
          <w:i/>
          <w:iCs/>
          <w:sz w:val="24"/>
          <w:szCs w:val="24"/>
        </w:rPr>
      </w:pPr>
      <w:bookmarkStart w:id="3" w:name="_Toc155715532"/>
      <w:r>
        <w:rPr>
          <w:rFonts w:cs="Times New Roman"/>
          <w:i/>
          <w:iCs/>
          <w:sz w:val="24"/>
          <w:szCs w:val="24"/>
        </w:rPr>
        <w:t>Overview</w:t>
      </w:r>
      <w:bookmarkEnd w:id="3"/>
    </w:p>
    <w:p>
      <w:pPr>
        <w:spacing w:line="360" w:lineRule="auto"/>
        <w:rPr>
          <w:rFonts w:cs="Times New Roman"/>
          <w:szCs w:val="24"/>
        </w:rPr>
      </w:pPr>
      <w:r>
        <w:rPr>
          <w:rFonts w:cs="Times New Roman"/>
          <w:szCs w:val="24"/>
        </w:rPr>
        <w:t xml:space="preserve">There are four major causes for the business communication failure between UK and Japanese companies. These causes include language barriers, communication style difference, cultural understanding, and technology challenges. Japanese people use Japanese language, and UK uses English. English is a low context language, meaning that direct and explicit communication is emphasized while Japanese is a high-context language, so it relies on the shared cultural knowledge and implicit understanding. Language barriers of UK and Japan might result in mis-understanding and inaccurate information communicating (Cutrone, 2005). Communication styles are different between Japan and UK. Japanese communication emphasizes subtlety and indirectness. In addition, non-verbal cues such as facial expression and body language are used a lot by Japanese people to convey messages. The polite and honorific language use are the examples to reflect the country’s pursuit for harmony. While the communication style of UK is straightforward and direct, and people use less non-verbal cues. This reflects the pursuit of efficiency and accuracy (Doanhue, 1998). </w:t>
      </w:r>
    </w:p>
    <w:p>
      <w:pPr>
        <w:spacing w:line="360" w:lineRule="auto"/>
        <w:rPr>
          <w:rFonts w:cs="Times New Roman"/>
          <w:b/>
          <w:bCs/>
          <w:i/>
          <w:iCs/>
          <w:szCs w:val="24"/>
        </w:rPr>
      </w:pPr>
    </w:p>
    <w:p>
      <w:pPr>
        <w:spacing w:line="360" w:lineRule="auto"/>
        <w:rPr>
          <w:rFonts w:cs="Times New Roman"/>
          <w:szCs w:val="24"/>
        </w:rPr>
      </w:pPr>
      <w:r>
        <w:rPr>
          <w:rFonts w:cs="Times New Roman"/>
          <w:szCs w:val="24"/>
        </w:rPr>
        <w:t xml:space="preserve">Cultures of UK and Japan are different. Hofstede cultural dimension categorizes cultural difference in five dimensions including collectivism &amp; individualism, short long-term orientation, femininity &amp; masculinity, uncertainty avoidance and power distance. Japan and UK are quite different in these aspects. Japan is a collectivist culture, and the culture emphasizes goals and needs of groups over individual needs (Inoue, 2007). UK is an individual culture, which emphasizes autonomy and freedom. Japan individualism score is 46 and UK individualism score is 89. Japanese culture values harmony and conflict avoidance so that it tends to focus on long term gains. Japan is a masculinity and most of its organizational structure is hierarchy. This suggests that decision-making is controlled by few people (Leeds, 2016). UK is relatively equal and this means that the culture promotes equality. The cultural difference between Japan and UK might result in mis-interpretation and misunderstanding of both countries.  Technology differences might also lead to communication failures between UK and Japan. Even though both countries have advanced technology infrastructure, while they are different in the usage and adoption of communication technologies (Kavanagh, 2010). For example, Japanese people have been using mobile technologies such as LINE for a long time. While UK people use multiple tools including WhatsApp and emails. </w:t>
      </w:r>
    </w:p>
    <w:p>
      <w:pPr>
        <w:spacing w:line="360" w:lineRule="auto"/>
        <w:rPr>
          <w:rFonts w:cs="Times New Roman"/>
          <w:b/>
          <w:bCs/>
          <w:szCs w:val="24"/>
        </w:rPr>
      </w:pPr>
    </w:p>
    <w:p>
      <w:pPr>
        <w:pStyle w:val="3"/>
        <w:rPr>
          <w:rFonts w:cs="Times New Roman"/>
          <w:i/>
          <w:iCs/>
          <w:sz w:val="24"/>
          <w:szCs w:val="24"/>
        </w:rPr>
      </w:pPr>
      <w:bookmarkStart w:id="4" w:name="_Toc155715533"/>
      <w:r>
        <w:rPr>
          <w:rFonts w:cs="Times New Roman"/>
          <w:i/>
          <w:iCs/>
          <w:sz w:val="24"/>
          <w:szCs w:val="24"/>
        </w:rPr>
        <w:t>International partnership &amp; collaboration</w:t>
      </w:r>
      <w:bookmarkEnd w:id="4"/>
      <w:r>
        <w:rPr>
          <w:rFonts w:cs="Times New Roman"/>
          <w:i/>
          <w:iCs/>
          <w:sz w:val="24"/>
          <w:szCs w:val="24"/>
        </w:rPr>
        <w:t xml:space="preserve"> </w:t>
      </w:r>
    </w:p>
    <w:p>
      <w:pPr>
        <w:spacing w:line="360" w:lineRule="auto"/>
        <w:rPr>
          <w:rFonts w:cs="Times New Roman"/>
          <w:szCs w:val="24"/>
        </w:rPr>
      </w:pPr>
      <w:r>
        <w:rPr>
          <w:rFonts w:cs="Times New Roman"/>
          <w:szCs w:val="24"/>
        </w:rPr>
        <w:t>Japanese business culture is significantly different from the United Kingdom, especially in the aspects of the processes of decision-making, communication way, and social etiquette. They put more emphasis on respect, long-term relationship, and social etiquette within Japanese business culture. Such as exchanging business cards, bowing to show respect, formal greetings, these behaviors are preferred in Japanese business culture (Kumagai, 1994). On the contrary, the communication style is more informal and direct in the UK business culture. The Japanese business culture prioritize teamwork and consensus. Decision-making processes are slow due to multiple layers of consultation. Team members are involved in the process, leading to harmonious workplace is built. On the contrast, the UK business culture values individualism and efficiency, with quicker decision-making processes and encouragement for arguments and open debates. Each country's history, social structure, and values are deeply rooted in the business culture. Japanese culture is affected by prioritize collectivism and social harmony. However, Western liberalism and individualism have strong impact on the UK's business culture. As a consequence, pragmatism and individual success are more important in this culture (Ohashi, 2013).</w:t>
      </w:r>
    </w:p>
    <w:p>
      <w:pPr>
        <w:spacing w:line="360" w:lineRule="auto"/>
        <w:rPr>
          <w:rFonts w:cs="Times New Roman"/>
          <w:i/>
          <w:iCs/>
          <w:szCs w:val="24"/>
        </w:rPr>
      </w:pPr>
    </w:p>
    <w:p>
      <w:pPr>
        <w:pStyle w:val="3"/>
        <w:rPr>
          <w:rFonts w:cs="Times New Roman"/>
          <w:i/>
          <w:iCs/>
          <w:sz w:val="24"/>
          <w:szCs w:val="24"/>
        </w:rPr>
      </w:pPr>
      <w:bookmarkStart w:id="5" w:name="_Toc155715534"/>
      <w:r>
        <w:rPr>
          <w:rFonts w:cs="Times New Roman"/>
          <w:i/>
          <w:iCs/>
          <w:sz w:val="24"/>
          <w:szCs w:val="24"/>
        </w:rPr>
        <w:t>Cross-culture negotiation</w:t>
      </w:r>
      <w:bookmarkEnd w:id="5"/>
      <w:r>
        <w:rPr>
          <w:rFonts w:cs="Times New Roman"/>
          <w:i/>
          <w:iCs/>
          <w:sz w:val="24"/>
          <w:szCs w:val="24"/>
        </w:rPr>
        <w:t xml:space="preserve"> </w:t>
      </w:r>
    </w:p>
    <w:p>
      <w:pPr>
        <w:spacing w:line="360" w:lineRule="auto"/>
        <w:rPr>
          <w:rFonts w:cs="Times New Roman"/>
          <w:szCs w:val="24"/>
        </w:rPr>
      </w:pPr>
      <w:r>
        <w:rPr>
          <w:rFonts w:cs="Times New Roman"/>
          <w:szCs w:val="24"/>
        </w:rPr>
        <w:t xml:space="preserve">Cross-culture negotiation often happens in business communication and it is a complex process, which might lead to failure. Cross-culture negotiation is about adaptation and understanding of different culture. Japan and UK cross-culture communication might fail because of their approaches to build up trust and communication styles. Negotiators from Japan tend to build up trust and relationship before they actually initiate the formal negotiations. They believe that good relationship and trust are important for them to achieve successful deals. Thus, they tend to engage in small talk, drink and meal together or engaging with others to build up trust. While UK negotiators are assertive and direct. They tend to engage in explicit communication directly (Takanashi, 2004). They value efficiency and clarity. They expect the information exchange and target to achieve their negotiation outcomes. Communication styles difference in Japan and UK might impact their message communication and interpretation. Japanese negotiators rely on indirect communication, so that they rely on non-verbal cues to understand others’ desires and intentions. While UK negotiators prefer the direct communication. They expect the other parties to be straightforward in expressing their expectations and viewpoints. Therefore, they might find the indirect communication styles of Japanese people is evasive and confusing. On the other hand, Japanese negotiators might interpret the direct communication styles of UK people to be aggressive and confrontational. Therefore, developing cultural intelligence for each party from UK and Japan is important (Haley, 1997). They need to adapt their cultural understanding and communication style to the other party. In a short summary, Japan and UK negotiators might fail in their negotiations due to different communication tyles and cultural norms. Japanese emphasizes relationship, trust, and indirect communication styles. While UK negotiators emphasize efficiency and directness. </w:t>
      </w:r>
    </w:p>
    <w:p>
      <w:pPr>
        <w:spacing w:line="360" w:lineRule="auto"/>
        <w:rPr>
          <w:rFonts w:cs="Times New Roman"/>
          <w:szCs w:val="24"/>
        </w:rPr>
      </w:pPr>
    </w:p>
    <w:p>
      <w:pPr>
        <w:pStyle w:val="3"/>
        <w:rPr>
          <w:rFonts w:cs="Times New Roman"/>
          <w:i/>
          <w:iCs/>
          <w:sz w:val="24"/>
          <w:szCs w:val="24"/>
        </w:rPr>
      </w:pPr>
      <w:bookmarkStart w:id="6" w:name="_Toc155715535"/>
      <w:r>
        <w:rPr>
          <w:rFonts w:cs="Times New Roman"/>
          <w:i/>
          <w:iCs/>
          <w:sz w:val="24"/>
          <w:szCs w:val="24"/>
        </w:rPr>
        <w:t>Supply chain management</w:t>
      </w:r>
      <w:bookmarkEnd w:id="6"/>
      <w:r>
        <w:rPr>
          <w:rFonts w:cs="Times New Roman"/>
          <w:i/>
          <w:iCs/>
          <w:sz w:val="24"/>
          <w:szCs w:val="24"/>
        </w:rPr>
        <w:t xml:space="preserve"> </w:t>
      </w:r>
    </w:p>
    <w:p>
      <w:pPr>
        <w:spacing w:line="360" w:lineRule="auto"/>
        <w:rPr>
          <w:rFonts w:cs="Times New Roman"/>
          <w:szCs w:val="24"/>
        </w:rPr>
      </w:pPr>
      <w:r>
        <w:rPr>
          <w:rFonts w:cs="Times New Roman"/>
          <w:szCs w:val="24"/>
        </w:rPr>
        <w:t xml:space="preserve">The global supply chain management might be different in the world, and they are influenced and shaped by multiple factors including cultural norms and management philosophies. The supply chain management difference in UK and Japan might result in their communication and collaboration failure. For example, Japanese supply chain management philosophy is based on kaizen, meaning that long-term relationship and continuous improvement are important for suppliers. For example, Toyota has build up efficient supply chain with its suppliers and strong reputation, which make it a world famous and reputed manufacturer. UK companies emphasize flexibility and innovation. The business culture in UK is related to market competition and entrepreneurship. UK companies tend to seek for best supplies for their supply chain. Therefore, they are flexible and optimal in selecting suppliers. Their supply chain management approach difference might result in their mis-understanding and conflicts in communication. For example, if a supplier from Japan is bidding for the supply relationship with a UK buyer, then it is likely that the supplier might not consider factors that are valued by the buyer. </w:t>
      </w:r>
    </w:p>
    <w:p>
      <w:pPr>
        <w:spacing w:line="360" w:lineRule="auto"/>
        <w:rPr>
          <w:rFonts w:cs="Times New Roman"/>
          <w:szCs w:val="24"/>
        </w:rPr>
      </w:pPr>
    </w:p>
    <w:p>
      <w:pPr>
        <w:pStyle w:val="3"/>
        <w:rPr>
          <w:rFonts w:cs="Times New Roman"/>
          <w:i/>
          <w:iCs/>
          <w:sz w:val="24"/>
          <w:szCs w:val="24"/>
        </w:rPr>
      </w:pPr>
      <w:bookmarkStart w:id="7" w:name="_Toc155715536"/>
      <w:r>
        <w:rPr>
          <w:rFonts w:cs="Times New Roman"/>
          <w:i/>
          <w:iCs/>
          <w:sz w:val="24"/>
          <w:szCs w:val="24"/>
        </w:rPr>
        <w:t>International marketing and sales</w:t>
      </w:r>
      <w:bookmarkEnd w:id="7"/>
    </w:p>
    <w:p>
      <w:pPr>
        <w:spacing w:line="360" w:lineRule="auto"/>
        <w:rPr>
          <w:rFonts w:cs="Times New Roman"/>
          <w:szCs w:val="24"/>
        </w:rPr>
      </w:pPr>
      <w:r>
        <w:rPr>
          <w:rFonts w:cs="Times New Roman"/>
          <w:szCs w:val="24"/>
        </w:rPr>
        <w:t xml:space="preserve">The business communication in international marketing and sales of UK and Japan is different, and this might lead to their failure. Two main factors for their difference in this situation is decision-making process, hierarchy structure, and communication style. Japanese people emphasize indirect communication, politeness, and respect. While UK communication is explicit and direct. The decision-making in Japan prioritizes consensus building and multiple stakeholders will be involved. Moreover, the decision is usually controlled and dominated by a few people. While UK follows an individualism decision-making process, meaning that they pursue efficient decision-making. The organizational structure in Japan is highly hierarchy, and it is important to respect elder people. While UK has egalitarian culture, meaning that flat structure is adopted by most companies, thus decision-making power is distributed. These differences might lead to the failure of their international sales and marketing in terms of mis-communication, cultural sensitivity, and decision-making (Liu, 2018). Mis-communication affects the information conveying such as products or sales information between UK and Japanese companies. Cultural sensitivity might affect the relationship and collaboration of UK and Japanese marketing or sales teams. The decision-making difference might result in frustration and delays in implement or negotiations of marketing strategies. </w:t>
      </w:r>
    </w:p>
    <w:p>
      <w:pPr>
        <w:spacing w:line="360" w:lineRule="auto"/>
        <w:rPr>
          <w:rFonts w:cs="Times New Roman"/>
          <w:szCs w:val="24"/>
        </w:rPr>
      </w:pPr>
    </w:p>
    <w:p>
      <w:pPr>
        <w:pStyle w:val="3"/>
        <w:rPr>
          <w:rFonts w:cs="Times New Roman"/>
          <w:i/>
          <w:iCs/>
          <w:sz w:val="24"/>
          <w:szCs w:val="24"/>
        </w:rPr>
      </w:pPr>
      <w:bookmarkStart w:id="8" w:name="_Toc155715537"/>
      <w:r>
        <w:rPr>
          <w:rFonts w:cs="Times New Roman"/>
          <w:i/>
          <w:iCs/>
          <w:sz w:val="24"/>
          <w:szCs w:val="24"/>
        </w:rPr>
        <w:t>Gift, meeting and appointment</w:t>
      </w:r>
      <w:bookmarkEnd w:id="8"/>
      <w:r>
        <w:rPr>
          <w:rFonts w:cs="Times New Roman"/>
          <w:i/>
          <w:iCs/>
          <w:sz w:val="24"/>
          <w:szCs w:val="24"/>
        </w:rPr>
        <w:t xml:space="preserve"> </w:t>
      </w:r>
    </w:p>
    <w:p>
      <w:pPr>
        <w:spacing w:line="360" w:lineRule="auto"/>
        <w:rPr>
          <w:rFonts w:cs="Times New Roman"/>
          <w:szCs w:val="24"/>
        </w:rPr>
      </w:pPr>
      <w:r>
        <w:rPr>
          <w:rFonts w:cs="Times New Roman"/>
          <w:szCs w:val="24"/>
        </w:rPr>
        <w:t>There are several business practices difference between UK and China that happen in the above business communication situations, including gift, meeting, and appointment. They are also causes for the failure of UK and Japan business communication. In terms of gift, it is not common for UK people to exchange gift while it is crucial for Japanese business to exchange gifts. It is a custom for Japanese people to bring a gift to attend a business meeting. The UK meeting usually follows a relaxing and informal structure, meaning that it involves sharing ideas, open discussion, and encouraging participation. The meeting might be scheduled quickly. While Japanese meetings are usually formal and highly structured. Most senior people or managers are leading in the meeting. Their focus of discussion is to build consensus and maintain harmony. Personal input is less important than the group decision-making. The appointments in UK are usually arranged in advance by email or phone. It is important for people to arrive on time. In Japanese business culture, appointments are usually made through personal contact or introduction. Punctuality is also important and it is one way to show respect to others (Oishay, 2020).</w:t>
      </w:r>
    </w:p>
    <w:p>
      <w:pPr>
        <w:spacing w:line="360" w:lineRule="auto"/>
        <w:rPr>
          <w:rFonts w:cs="Times New Roman"/>
          <w:szCs w:val="24"/>
        </w:rPr>
      </w:pPr>
    </w:p>
    <w:p>
      <w:pPr>
        <w:spacing w:line="360" w:lineRule="auto"/>
        <w:rPr>
          <w:rFonts w:cs="Times New Roman"/>
          <w:szCs w:val="24"/>
        </w:rPr>
      </w:pPr>
      <w:r>
        <w:rPr>
          <w:rFonts w:cs="Times New Roman"/>
          <w:szCs w:val="24"/>
        </w:rPr>
        <w:t xml:space="preserve">Besides above, there are some do and don’t difference in Japan and UK business communication, which might lead to their communication failure. Both UK and Japan value punctuality, protection of personal space, and politeness in their communication. UK does not like overstating claims, meaning that it is not allowed to exaggerating claims about the product. In addition, they avoid over aggressive communication styles. Japanese people do not expect public disagreement as they regard this is offense to disagree with others in public. It is suggested to express subtly and respectfully. Interrupting in a meeting or speech is not allowed. </w:t>
      </w:r>
    </w:p>
    <w:p>
      <w:pPr>
        <w:spacing w:line="360" w:lineRule="auto"/>
        <w:rPr>
          <w:rFonts w:cs="Times New Roman"/>
          <w:i/>
          <w:iCs/>
          <w:szCs w:val="24"/>
        </w:rPr>
      </w:pPr>
    </w:p>
    <w:p>
      <w:pPr>
        <w:pStyle w:val="2"/>
        <w:rPr>
          <w:rFonts w:cs="Times New Roman"/>
          <w:b w:val="0"/>
          <w:bCs w:val="0"/>
          <w:sz w:val="24"/>
          <w:szCs w:val="24"/>
        </w:rPr>
      </w:pPr>
      <w:bookmarkStart w:id="9" w:name="_Toc155715538"/>
      <w:r>
        <w:rPr>
          <w:rFonts w:cs="Times New Roman"/>
          <w:b w:val="0"/>
          <w:bCs w:val="0"/>
          <w:sz w:val="24"/>
          <w:szCs w:val="24"/>
        </w:rPr>
        <w:t>Strategies to overcome these failures</w:t>
      </w:r>
      <w:bookmarkEnd w:id="9"/>
      <w:r>
        <w:rPr>
          <w:rFonts w:cs="Times New Roman"/>
          <w:b w:val="0"/>
          <w:bCs w:val="0"/>
          <w:sz w:val="24"/>
          <w:szCs w:val="24"/>
        </w:rPr>
        <w:t xml:space="preserve"> </w:t>
      </w:r>
    </w:p>
    <w:p>
      <w:pPr>
        <w:spacing w:line="360" w:lineRule="auto"/>
        <w:rPr>
          <w:rFonts w:cs="Times New Roman"/>
          <w:szCs w:val="24"/>
        </w:rPr>
      </w:pPr>
      <w:r>
        <w:rPr>
          <w:rFonts w:cs="Times New Roman"/>
          <w:szCs w:val="24"/>
        </w:rPr>
        <w:t xml:space="preserve">To address the above business communication failures, 3 strategies are proposed. Firstly, providing cross-cultural training for employees is very important to enhance communication styles, cultural norms, and business practices. Thus, employees are equipped with the skills to understand different cultural perspectives existing in Japan and UK. This helps individuals to bridge their communication gaps and navigate potential mis-understanding. For example, a Japanese company should provide training for their employees when it is operating in UK. This can make them know different cultural perspectives (Gill, 2003). Employees in UK are aware of the indirect communication, hierarchy structure as well as long-term relationship. Cultural intelligence is one key important competency for employees and with higher cultural intelligence, employees can also improve their ability in communicating with other people. </w:t>
      </w:r>
    </w:p>
    <w:p>
      <w:pPr>
        <w:spacing w:line="360" w:lineRule="auto"/>
        <w:rPr>
          <w:rFonts w:cs="Times New Roman"/>
          <w:szCs w:val="24"/>
        </w:rPr>
      </w:pPr>
    </w:p>
    <w:p>
      <w:pPr>
        <w:spacing w:line="360" w:lineRule="auto"/>
        <w:rPr>
          <w:rFonts w:cs="Times New Roman"/>
          <w:szCs w:val="24"/>
        </w:rPr>
      </w:pPr>
      <w:r>
        <w:rPr>
          <w:rFonts w:cs="Times New Roman"/>
          <w:szCs w:val="24"/>
        </w:rPr>
        <w:t xml:space="preserve">Secondly, business should adopt adaptation strategy instead of standardization in the operation of UK and Japan. This suggests that their business operation is to meet the requirements of different countries. Adaption suggests that that they understand culture of each other. Business should conduct wide and extensive market survey to understand cultural nuances, consumer behavior, and local preference so that they could know how to manage people and other business aspects in the local operation (Okazaki, 2004). For example, a UK luxury brand should ensure that its marketing strategies are corresponding to the consumer behavior, cultural values, and beauty ideals in the local regions. </w:t>
      </w:r>
    </w:p>
    <w:p>
      <w:pPr>
        <w:spacing w:line="360" w:lineRule="auto"/>
        <w:rPr>
          <w:rFonts w:cs="Times New Roman"/>
          <w:szCs w:val="24"/>
        </w:rPr>
      </w:pPr>
    </w:p>
    <w:p>
      <w:pPr>
        <w:spacing w:line="360" w:lineRule="auto"/>
        <w:rPr>
          <w:rFonts w:cs="Times New Roman"/>
          <w:szCs w:val="24"/>
        </w:rPr>
      </w:pPr>
      <w:r>
        <w:rPr>
          <w:rFonts w:cs="Times New Roman"/>
          <w:szCs w:val="24"/>
        </w:rPr>
        <w:t xml:space="preserve">Thirdly, Japan and UK business should build up effective communication channels to support their cross-culture communication. For example, businesses should use project management tools, email updates, and regular video conferences to support their close communication. Employees are provided with training and constant supports in using these communication tools. These communication tools are aligned with the habits of both countries, making sure that they are in the same page of using these tools. Some other assistant tools such as Asana and Trello contribute to their communications such as progress monitor, task assignment, and workflow streamline. </w:t>
      </w:r>
    </w:p>
    <w:p>
      <w:pPr>
        <w:spacing w:line="360" w:lineRule="auto"/>
        <w:rPr>
          <w:rFonts w:cs="Times New Roman"/>
          <w:szCs w:val="24"/>
        </w:rPr>
      </w:pPr>
    </w:p>
    <w:p>
      <w:pPr>
        <w:pStyle w:val="2"/>
        <w:rPr>
          <w:rFonts w:cs="Times New Roman"/>
          <w:b w:val="0"/>
          <w:bCs w:val="0"/>
          <w:sz w:val="24"/>
          <w:szCs w:val="24"/>
        </w:rPr>
      </w:pPr>
      <w:bookmarkStart w:id="10" w:name="_Toc155715539"/>
      <w:r>
        <w:rPr>
          <w:rFonts w:cs="Times New Roman"/>
          <w:sz w:val="24"/>
          <w:szCs w:val="24"/>
        </w:rPr>
        <w:t>Conclusion</w:t>
      </w:r>
      <w:bookmarkEnd w:id="10"/>
      <w:r>
        <w:rPr>
          <w:rFonts w:cs="Times New Roman"/>
          <w:sz w:val="24"/>
          <w:szCs w:val="24"/>
        </w:rPr>
        <w:t xml:space="preserve"> </w:t>
      </w:r>
    </w:p>
    <w:p>
      <w:pPr>
        <w:spacing w:line="360" w:lineRule="auto"/>
        <w:rPr>
          <w:rFonts w:cs="Times New Roman"/>
          <w:szCs w:val="24"/>
        </w:rPr>
      </w:pPr>
      <w:r>
        <w:rPr>
          <w:rFonts w:cs="Times New Roman"/>
          <w:szCs w:val="24"/>
        </w:rPr>
        <w:t>In summary, this paper compares the difference in UK and Japan business communication. Effective communication is important for these two countries in term of their negotiation, international marketing and sales, supply chain management, and collaboration. There might be failures in these business communication situations. The causes of these communication failure include their language barriers</w:t>
      </w:r>
      <w:bookmarkStart w:id="12" w:name="_GoBack"/>
      <w:bookmarkEnd w:id="12"/>
      <w:r>
        <w:rPr>
          <w:rFonts w:cs="Times New Roman"/>
          <w:szCs w:val="24"/>
        </w:rPr>
        <w:t xml:space="preserve">, cross-cultural understanding, technology barriers as well as their communication style difference. To address these challenges, three strategy recommendations are proposed for business communication between Japan and UK. Firstly, training should be provided for employees from both UK and Japan; secondly, business should adopt adaptation strategies to enhance cross-culture understanding; thirdly, establishing multiple-channel is important to support their communications. </w:t>
      </w:r>
    </w:p>
    <w:p>
      <w:pPr>
        <w:spacing w:line="360" w:lineRule="auto"/>
        <w:rPr>
          <w:rFonts w:cs="Times New Roman"/>
          <w:szCs w:val="24"/>
        </w:rPr>
      </w:pPr>
    </w:p>
    <w:p>
      <w:pPr>
        <w:pStyle w:val="2"/>
        <w:rPr>
          <w:rFonts w:cs="Times New Roman"/>
          <w:b w:val="0"/>
          <w:bCs w:val="0"/>
          <w:sz w:val="24"/>
          <w:szCs w:val="24"/>
        </w:rPr>
      </w:pPr>
      <w:bookmarkStart w:id="11" w:name="_Toc155715540"/>
      <w:r>
        <w:rPr>
          <w:rFonts w:cs="Times New Roman"/>
          <w:sz w:val="24"/>
          <w:szCs w:val="24"/>
        </w:rPr>
        <w:t>Reference</w:t>
      </w:r>
      <w:bookmarkEnd w:id="11"/>
    </w:p>
    <w:p>
      <w:pPr>
        <w:widowControl/>
        <w:spacing w:line="360" w:lineRule="auto"/>
        <w:ind w:left="482" w:hanging="482"/>
        <w:rPr>
          <w:rFonts w:eastAsia="宋体" w:cs="Times New Roman"/>
          <w:kern w:val="0"/>
          <w:szCs w:val="24"/>
          <w14:ligatures w14:val="none"/>
        </w:rPr>
      </w:pPr>
      <w:r>
        <w:rPr>
          <w:rFonts w:eastAsia="宋体" w:cs="Times New Roman"/>
          <w:kern w:val="0"/>
          <w:szCs w:val="24"/>
          <w14:ligatures w14:val="none"/>
        </w:rPr>
        <w:t xml:space="preserve">Adair, W. L., &amp; Brett, J. M. (2004). Culture and negotiation processes. </w:t>
      </w:r>
      <w:r>
        <w:rPr>
          <w:rFonts w:eastAsia="宋体" w:cs="Times New Roman"/>
          <w:i/>
          <w:iCs/>
          <w:kern w:val="0"/>
          <w:szCs w:val="24"/>
          <w14:ligatures w14:val="none"/>
        </w:rPr>
        <w:t>The Handbook of Negotiation and Culture</w:t>
      </w:r>
      <w:r>
        <w:rPr>
          <w:rFonts w:eastAsia="宋体" w:cs="Times New Roman"/>
          <w:kern w:val="0"/>
          <w:szCs w:val="24"/>
          <w14:ligatures w14:val="none"/>
        </w:rPr>
        <w:t>, 158–176.</w:t>
      </w:r>
    </w:p>
    <w:p>
      <w:pPr>
        <w:widowControl/>
        <w:spacing w:line="360" w:lineRule="auto"/>
        <w:ind w:left="482" w:hanging="482"/>
        <w:rPr>
          <w:rFonts w:eastAsia="宋体" w:cs="Times New Roman"/>
          <w:kern w:val="0"/>
          <w:szCs w:val="24"/>
          <w14:ligatures w14:val="none"/>
        </w:rPr>
      </w:pPr>
      <w:r>
        <w:rPr>
          <w:rFonts w:eastAsia="宋体" w:cs="Times New Roman"/>
          <w:kern w:val="0"/>
          <w:szCs w:val="24"/>
          <w14:ligatures w14:val="none"/>
        </w:rPr>
        <w:t xml:space="preserve">Brett, J. M. (2000). Culture and Negotiation. </w:t>
      </w:r>
      <w:r>
        <w:rPr>
          <w:rFonts w:eastAsia="宋体" w:cs="Times New Roman"/>
          <w:i/>
          <w:iCs/>
          <w:kern w:val="0"/>
          <w:szCs w:val="24"/>
          <w14:ligatures w14:val="none"/>
        </w:rPr>
        <w:t>International Journal of Psychology</w:t>
      </w:r>
      <w:r>
        <w:rPr>
          <w:rFonts w:eastAsia="宋体" w:cs="Times New Roman"/>
          <w:kern w:val="0"/>
          <w:szCs w:val="24"/>
          <w14:ligatures w14:val="none"/>
        </w:rPr>
        <w:t xml:space="preserve">, </w:t>
      </w:r>
      <w:r>
        <w:rPr>
          <w:rFonts w:eastAsia="宋体" w:cs="Times New Roman"/>
          <w:i/>
          <w:iCs/>
          <w:kern w:val="0"/>
          <w:szCs w:val="24"/>
          <w14:ligatures w14:val="none"/>
        </w:rPr>
        <w:t>35</w:t>
      </w:r>
      <w:r>
        <w:rPr>
          <w:rFonts w:eastAsia="宋体" w:cs="Times New Roman"/>
          <w:kern w:val="0"/>
          <w:szCs w:val="24"/>
          <w14:ligatures w14:val="none"/>
        </w:rPr>
        <w:t xml:space="preserve">(2), 97–104. </w:t>
      </w:r>
      <w:r>
        <w:fldChar w:fldCharType="begin"/>
      </w:r>
      <w:r>
        <w:instrText xml:space="preserve"> HYPERLINK "https://doi.org/10.1080/002075900399385" </w:instrText>
      </w:r>
      <w:r>
        <w:fldChar w:fldCharType="separate"/>
      </w:r>
      <w:r>
        <w:rPr>
          <w:rFonts w:eastAsia="宋体" w:cs="Times New Roman"/>
          <w:color w:val="0000FF"/>
          <w:kern w:val="0"/>
          <w:szCs w:val="24"/>
          <w:u w:val="single"/>
          <w14:ligatures w14:val="none"/>
        </w:rPr>
        <w:t>https://doi.org/10.1080/002075900399385</w:t>
      </w:r>
      <w:r>
        <w:rPr>
          <w:rFonts w:eastAsia="宋体" w:cs="Times New Roman"/>
          <w:color w:val="0000FF"/>
          <w:kern w:val="0"/>
          <w:szCs w:val="24"/>
          <w:u w:val="single"/>
          <w14:ligatures w14:val="none"/>
        </w:rPr>
        <w:fldChar w:fldCharType="end"/>
      </w:r>
    </w:p>
    <w:p>
      <w:pPr>
        <w:widowControl/>
        <w:spacing w:line="360" w:lineRule="auto"/>
        <w:ind w:left="482" w:hanging="482"/>
        <w:rPr>
          <w:rFonts w:eastAsia="宋体" w:cs="Times New Roman"/>
          <w:kern w:val="0"/>
          <w:szCs w:val="24"/>
          <w14:ligatures w14:val="none"/>
        </w:rPr>
      </w:pPr>
      <w:r>
        <w:rPr>
          <w:rFonts w:eastAsia="宋体" w:cs="Times New Roman"/>
          <w:kern w:val="0"/>
          <w:szCs w:val="24"/>
          <w14:ligatures w14:val="none"/>
        </w:rPr>
        <w:t xml:space="preserve">Cutrone, P. (2005). A case study examining backchannels in conversations between Japanese–British dyads. </w:t>
      </w:r>
      <w:r>
        <w:rPr>
          <w:rFonts w:eastAsia="宋体" w:cs="Times New Roman"/>
          <w:i/>
          <w:iCs/>
          <w:kern w:val="0"/>
          <w:szCs w:val="24"/>
          <w14:ligatures w14:val="none"/>
        </w:rPr>
        <w:t>Multilingua - Journal of Cross-Cultural and Interlanguage Communication</w:t>
      </w:r>
      <w:r>
        <w:rPr>
          <w:rFonts w:eastAsia="宋体" w:cs="Times New Roman"/>
          <w:kern w:val="0"/>
          <w:szCs w:val="24"/>
          <w14:ligatures w14:val="none"/>
        </w:rPr>
        <w:t xml:space="preserve">, </w:t>
      </w:r>
      <w:r>
        <w:rPr>
          <w:rFonts w:eastAsia="宋体" w:cs="Times New Roman"/>
          <w:i/>
          <w:iCs/>
          <w:kern w:val="0"/>
          <w:szCs w:val="24"/>
          <w14:ligatures w14:val="none"/>
        </w:rPr>
        <w:t>24</w:t>
      </w:r>
      <w:r>
        <w:rPr>
          <w:rFonts w:eastAsia="宋体" w:cs="Times New Roman"/>
          <w:kern w:val="0"/>
          <w:szCs w:val="24"/>
          <w14:ligatures w14:val="none"/>
        </w:rPr>
        <w:t xml:space="preserve">(3), 237–274. </w:t>
      </w:r>
      <w:r>
        <w:fldChar w:fldCharType="begin"/>
      </w:r>
      <w:r>
        <w:instrText xml:space="preserve"> HYPERLINK "https://doi.org/10.1515/mult.2005.24.3.237" </w:instrText>
      </w:r>
      <w:r>
        <w:fldChar w:fldCharType="separate"/>
      </w:r>
      <w:r>
        <w:rPr>
          <w:rFonts w:eastAsia="宋体" w:cs="Times New Roman"/>
          <w:color w:val="0000FF"/>
          <w:kern w:val="0"/>
          <w:szCs w:val="24"/>
          <w:u w:val="single"/>
          <w14:ligatures w14:val="none"/>
        </w:rPr>
        <w:t>https://doi.org/10.1515/mult.2005.24.3.237</w:t>
      </w:r>
      <w:r>
        <w:rPr>
          <w:rFonts w:eastAsia="宋体" w:cs="Times New Roman"/>
          <w:color w:val="0000FF"/>
          <w:kern w:val="0"/>
          <w:szCs w:val="24"/>
          <w:u w:val="single"/>
          <w14:ligatures w14:val="none"/>
        </w:rPr>
        <w:fldChar w:fldCharType="end"/>
      </w:r>
    </w:p>
    <w:p>
      <w:pPr>
        <w:widowControl/>
        <w:spacing w:line="360" w:lineRule="auto"/>
        <w:ind w:left="482" w:hanging="482"/>
        <w:rPr>
          <w:rFonts w:eastAsia="宋体" w:cs="Times New Roman"/>
          <w:kern w:val="0"/>
          <w:szCs w:val="24"/>
          <w14:ligatures w14:val="none"/>
        </w:rPr>
      </w:pPr>
      <w:r>
        <w:rPr>
          <w:rFonts w:eastAsia="宋体" w:cs="Times New Roman"/>
          <w:kern w:val="0"/>
          <w:szCs w:val="24"/>
          <w14:ligatures w14:val="none"/>
        </w:rPr>
        <w:t xml:space="preserve">Donahue, R. T. (1998). </w:t>
      </w:r>
      <w:r>
        <w:rPr>
          <w:rFonts w:eastAsia="宋体" w:cs="Times New Roman"/>
          <w:i/>
          <w:iCs/>
          <w:kern w:val="0"/>
          <w:szCs w:val="24"/>
          <w14:ligatures w14:val="none"/>
        </w:rPr>
        <w:t>Japanese culture and communication: Critical cultural analysis</w:t>
      </w:r>
      <w:r>
        <w:rPr>
          <w:rFonts w:eastAsia="宋体" w:cs="Times New Roman"/>
          <w:kern w:val="0"/>
          <w:szCs w:val="24"/>
          <w14:ligatures w14:val="none"/>
        </w:rPr>
        <w:t xml:space="preserve">. University Press of America. </w:t>
      </w:r>
      <w:r>
        <w:fldChar w:fldCharType="begin"/>
      </w:r>
      <w:r>
        <w:instrText xml:space="preserve"> HYPERLINK "https://books.google.com/books?hl=zh-CN&amp;lr=&amp;id=7YzDCKuG0k8C&amp;oi=fnd&amp;pg=PR9&amp;dq=british+and+Japan+culture+difference+for+communication&amp;ots=ULy5_1q7KT&amp;sig=1IgQLBC75ZSRJdMYTOhiujt97cM" </w:instrText>
      </w:r>
      <w:r>
        <w:fldChar w:fldCharType="separate"/>
      </w:r>
      <w:r>
        <w:rPr>
          <w:rFonts w:eastAsia="宋体" w:cs="Times New Roman"/>
          <w:color w:val="0000FF"/>
          <w:kern w:val="0"/>
          <w:szCs w:val="24"/>
          <w:u w:val="single"/>
          <w14:ligatures w14:val="none"/>
        </w:rPr>
        <w:t>https://books.google.com/books?hl=zh-CN&amp;lr=&amp;id=7YzDCKuG0k8C&amp;oi=fnd&amp;pg=PR9&amp;dq=british+and+Japan+culture+difference+for+communication&amp;ots=ULy5_1q7KT&amp;sig=1IgQLBC75ZSRJdMYTOhiujt97cM</w:t>
      </w:r>
      <w:r>
        <w:rPr>
          <w:rFonts w:eastAsia="宋体" w:cs="Times New Roman"/>
          <w:color w:val="0000FF"/>
          <w:kern w:val="0"/>
          <w:szCs w:val="24"/>
          <w:u w:val="single"/>
          <w14:ligatures w14:val="none"/>
        </w:rPr>
        <w:fldChar w:fldCharType="end"/>
      </w:r>
    </w:p>
    <w:p>
      <w:pPr>
        <w:widowControl/>
        <w:spacing w:line="360" w:lineRule="auto"/>
        <w:ind w:left="482" w:hanging="482"/>
        <w:rPr>
          <w:rFonts w:eastAsia="宋体" w:cs="Times New Roman"/>
          <w:kern w:val="0"/>
          <w:szCs w:val="24"/>
          <w14:ligatures w14:val="none"/>
        </w:rPr>
      </w:pPr>
      <w:r>
        <w:rPr>
          <w:rFonts w:eastAsia="宋体" w:cs="Times New Roman"/>
          <w:kern w:val="0"/>
          <w:szCs w:val="24"/>
          <w14:ligatures w14:val="none"/>
        </w:rPr>
        <w:t xml:space="preserve">Gill, J., &amp; Butler, R. J. (2003). Managing instability in cross-cultural alliances. </w:t>
      </w:r>
      <w:r>
        <w:rPr>
          <w:rFonts w:eastAsia="宋体" w:cs="Times New Roman"/>
          <w:i/>
          <w:iCs/>
          <w:kern w:val="0"/>
          <w:szCs w:val="24"/>
          <w14:ligatures w14:val="none"/>
        </w:rPr>
        <w:t>Long Range Planning</w:t>
      </w:r>
      <w:r>
        <w:rPr>
          <w:rFonts w:eastAsia="宋体" w:cs="Times New Roman"/>
          <w:kern w:val="0"/>
          <w:szCs w:val="24"/>
          <w14:ligatures w14:val="none"/>
        </w:rPr>
        <w:t xml:space="preserve">, </w:t>
      </w:r>
      <w:r>
        <w:rPr>
          <w:rFonts w:eastAsia="宋体" w:cs="Times New Roman"/>
          <w:i/>
          <w:iCs/>
          <w:kern w:val="0"/>
          <w:szCs w:val="24"/>
          <w14:ligatures w14:val="none"/>
        </w:rPr>
        <w:t>36</w:t>
      </w:r>
      <w:r>
        <w:rPr>
          <w:rFonts w:eastAsia="宋体" w:cs="Times New Roman"/>
          <w:kern w:val="0"/>
          <w:szCs w:val="24"/>
          <w14:ligatures w14:val="none"/>
        </w:rPr>
        <w:t>(6), 543–563.</w:t>
      </w:r>
    </w:p>
    <w:p>
      <w:pPr>
        <w:widowControl/>
        <w:spacing w:line="360" w:lineRule="auto"/>
        <w:ind w:left="482" w:hanging="482"/>
        <w:rPr>
          <w:rFonts w:eastAsia="宋体" w:cs="Times New Roman"/>
          <w:kern w:val="0"/>
          <w:szCs w:val="24"/>
          <w14:ligatures w14:val="none"/>
        </w:rPr>
      </w:pPr>
      <w:r>
        <w:rPr>
          <w:rFonts w:eastAsia="宋体" w:cs="Times New Roman"/>
          <w:kern w:val="0"/>
          <w:szCs w:val="24"/>
          <w14:ligatures w14:val="none"/>
        </w:rPr>
        <w:t xml:space="preserve">Guffey, M. E., &amp; Loewy, D. (2019). </w:t>
      </w:r>
      <w:r>
        <w:rPr>
          <w:rFonts w:eastAsia="宋体" w:cs="Times New Roman"/>
          <w:i/>
          <w:iCs/>
          <w:kern w:val="0"/>
          <w:szCs w:val="24"/>
          <w14:ligatures w14:val="none"/>
        </w:rPr>
        <w:t>Essentials of business communication</w:t>
      </w:r>
      <w:r>
        <w:rPr>
          <w:rFonts w:eastAsia="宋体" w:cs="Times New Roman"/>
          <w:kern w:val="0"/>
          <w:szCs w:val="24"/>
          <w14:ligatures w14:val="none"/>
        </w:rPr>
        <w:t xml:space="preserve">. Cengage Learning. </w:t>
      </w:r>
      <w:r>
        <w:fldChar w:fldCharType="begin"/>
      </w:r>
      <w:r>
        <w:instrText xml:space="preserve"> HYPERLINK "https://thuvienso.hoasen.edu.vn/handle/123456789/12003" </w:instrText>
      </w:r>
      <w:r>
        <w:fldChar w:fldCharType="separate"/>
      </w:r>
      <w:r>
        <w:rPr>
          <w:rFonts w:eastAsia="宋体" w:cs="Times New Roman"/>
          <w:color w:val="0000FF"/>
          <w:kern w:val="0"/>
          <w:szCs w:val="24"/>
          <w:u w:val="single"/>
          <w14:ligatures w14:val="none"/>
        </w:rPr>
        <w:t>https://thuvienso.hoasen.edu.vn/handle/123456789/12003</w:t>
      </w:r>
      <w:r>
        <w:rPr>
          <w:rFonts w:eastAsia="宋体" w:cs="Times New Roman"/>
          <w:color w:val="0000FF"/>
          <w:kern w:val="0"/>
          <w:szCs w:val="24"/>
          <w:u w:val="single"/>
          <w14:ligatures w14:val="none"/>
        </w:rPr>
        <w:fldChar w:fldCharType="end"/>
      </w:r>
    </w:p>
    <w:p>
      <w:pPr>
        <w:widowControl/>
        <w:spacing w:line="360" w:lineRule="auto"/>
        <w:ind w:left="482" w:hanging="482"/>
        <w:rPr>
          <w:rFonts w:eastAsia="宋体" w:cs="Times New Roman"/>
          <w:kern w:val="0"/>
          <w:szCs w:val="24"/>
          <w14:ligatures w14:val="none"/>
        </w:rPr>
      </w:pPr>
      <w:r>
        <w:rPr>
          <w:rFonts w:eastAsia="宋体" w:cs="Times New Roman"/>
          <w:kern w:val="0"/>
          <w:szCs w:val="24"/>
          <w14:ligatures w14:val="none"/>
        </w:rPr>
        <w:t xml:space="preserve">Haley, J. O. (1987). Governance by negotiation: A reappraisal of bureaucratic power in Japan. </w:t>
      </w:r>
      <w:r>
        <w:rPr>
          <w:rFonts w:eastAsia="宋体" w:cs="Times New Roman"/>
          <w:i/>
          <w:iCs/>
          <w:kern w:val="0"/>
          <w:szCs w:val="24"/>
          <w14:ligatures w14:val="none"/>
        </w:rPr>
        <w:t>Journal of Japanese Studies</w:t>
      </w:r>
      <w:r>
        <w:rPr>
          <w:rFonts w:eastAsia="宋体" w:cs="Times New Roman"/>
          <w:kern w:val="0"/>
          <w:szCs w:val="24"/>
          <w14:ligatures w14:val="none"/>
        </w:rPr>
        <w:t xml:space="preserve">, </w:t>
      </w:r>
      <w:r>
        <w:rPr>
          <w:rFonts w:eastAsia="宋体" w:cs="Times New Roman"/>
          <w:i/>
          <w:iCs/>
          <w:kern w:val="0"/>
          <w:szCs w:val="24"/>
          <w14:ligatures w14:val="none"/>
        </w:rPr>
        <w:t>13</w:t>
      </w:r>
      <w:r>
        <w:rPr>
          <w:rFonts w:eastAsia="宋体" w:cs="Times New Roman"/>
          <w:kern w:val="0"/>
          <w:szCs w:val="24"/>
          <w14:ligatures w14:val="none"/>
        </w:rPr>
        <w:t>(2), 343–357.</w:t>
      </w:r>
    </w:p>
    <w:p>
      <w:pPr>
        <w:widowControl/>
        <w:spacing w:line="360" w:lineRule="auto"/>
        <w:ind w:left="482" w:hanging="482"/>
        <w:rPr>
          <w:rFonts w:eastAsia="宋体" w:cs="Times New Roman"/>
          <w:kern w:val="0"/>
          <w:szCs w:val="24"/>
          <w14:ligatures w14:val="none"/>
        </w:rPr>
      </w:pPr>
      <w:r>
        <w:rPr>
          <w:rFonts w:eastAsia="宋体" w:cs="Times New Roman"/>
          <w:kern w:val="0"/>
          <w:szCs w:val="24"/>
          <w14:ligatures w14:val="none"/>
        </w:rPr>
        <w:t xml:space="preserve">Hartley, P., &amp; Bruckmann, C. (2008). </w:t>
      </w:r>
      <w:r>
        <w:rPr>
          <w:rFonts w:eastAsia="宋体" w:cs="Times New Roman"/>
          <w:i/>
          <w:iCs/>
          <w:kern w:val="0"/>
          <w:szCs w:val="24"/>
          <w14:ligatures w14:val="none"/>
        </w:rPr>
        <w:t>Business communication</w:t>
      </w:r>
      <w:r>
        <w:rPr>
          <w:rFonts w:eastAsia="宋体" w:cs="Times New Roman"/>
          <w:kern w:val="0"/>
          <w:szCs w:val="24"/>
          <w14:ligatures w14:val="none"/>
        </w:rPr>
        <w:t xml:space="preserve">. Routledge. </w:t>
      </w:r>
      <w:r>
        <w:fldChar w:fldCharType="begin"/>
      </w:r>
      <w:r>
        <w:instrText xml:space="preserve"> HYPERLINK "https://books.google.com/books?hl=zh-CN&amp;lr=&amp;id=n-OGAgAAQBAJ&amp;oi=fnd&amp;pg=PP1&amp;dq=business+communication&amp;ots=BaMRrjrTxi&amp;sig=AnktLCXUeTVdWqlYc2VaKzcFnp0" </w:instrText>
      </w:r>
      <w:r>
        <w:fldChar w:fldCharType="separate"/>
      </w:r>
      <w:r>
        <w:rPr>
          <w:rFonts w:eastAsia="宋体" w:cs="Times New Roman"/>
          <w:color w:val="0000FF"/>
          <w:kern w:val="0"/>
          <w:szCs w:val="24"/>
          <w:u w:val="single"/>
          <w14:ligatures w14:val="none"/>
        </w:rPr>
        <w:t>https://books.google.com/books?hl=zh-CN&amp;lr=&amp;id=n-OGAgAAQBAJ&amp;oi=fnd&amp;pg=PP1&amp;dq=business+communication&amp;ots=BaMRrjrTxi&amp;sig=AnktLCXUeTVdWqlYc2VaKzcFnp0</w:t>
      </w:r>
      <w:r>
        <w:rPr>
          <w:rFonts w:eastAsia="宋体" w:cs="Times New Roman"/>
          <w:color w:val="0000FF"/>
          <w:kern w:val="0"/>
          <w:szCs w:val="24"/>
          <w:u w:val="single"/>
          <w14:ligatures w14:val="none"/>
        </w:rPr>
        <w:fldChar w:fldCharType="end"/>
      </w:r>
    </w:p>
    <w:p>
      <w:pPr>
        <w:widowControl/>
        <w:spacing w:line="360" w:lineRule="auto"/>
        <w:ind w:left="482" w:hanging="482"/>
        <w:rPr>
          <w:rFonts w:eastAsia="宋体" w:cs="Times New Roman"/>
          <w:kern w:val="0"/>
          <w:szCs w:val="24"/>
          <w14:ligatures w14:val="none"/>
        </w:rPr>
      </w:pPr>
      <w:r>
        <w:rPr>
          <w:rFonts w:eastAsia="宋体" w:cs="Times New Roman"/>
          <w:kern w:val="0"/>
          <w:szCs w:val="24"/>
          <w14:ligatures w14:val="none"/>
        </w:rPr>
        <w:t xml:space="preserve">Inoue, Y. (2007). Cultural fluency as a guide to effective intercultural communication: The case of Japan and the US. </w:t>
      </w:r>
      <w:r>
        <w:rPr>
          <w:rFonts w:eastAsia="宋体" w:cs="Times New Roman"/>
          <w:i/>
          <w:iCs/>
          <w:kern w:val="0"/>
          <w:szCs w:val="24"/>
          <w14:ligatures w14:val="none"/>
        </w:rPr>
        <w:t>Journal of Intercultural Communication</w:t>
      </w:r>
      <w:r>
        <w:rPr>
          <w:rFonts w:eastAsia="宋体" w:cs="Times New Roman"/>
          <w:kern w:val="0"/>
          <w:szCs w:val="24"/>
          <w14:ligatures w14:val="none"/>
        </w:rPr>
        <w:t xml:space="preserve">, </w:t>
      </w:r>
      <w:r>
        <w:rPr>
          <w:rFonts w:eastAsia="宋体" w:cs="Times New Roman"/>
          <w:i/>
          <w:iCs/>
          <w:kern w:val="0"/>
          <w:szCs w:val="24"/>
          <w14:ligatures w14:val="none"/>
        </w:rPr>
        <w:t>7</w:t>
      </w:r>
      <w:r>
        <w:rPr>
          <w:rFonts w:eastAsia="宋体" w:cs="Times New Roman"/>
          <w:kern w:val="0"/>
          <w:szCs w:val="24"/>
          <w14:ligatures w14:val="none"/>
        </w:rPr>
        <w:t>(3), 1–13.</w:t>
      </w:r>
    </w:p>
    <w:p>
      <w:pPr>
        <w:widowControl/>
        <w:spacing w:line="360" w:lineRule="auto"/>
        <w:ind w:left="482" w:hanging="482"/>
        <w:rPr>
          <w:rFonts w:eastAsia="宋体" w:cs="Times New Roman"/>
          <w:kern w:val="0"/>
          <w:szCs w:val="24"/>
          <w14:ligatures w14:val="none"/>
        </w:rPr>
      </w:pPr>
      <w:r>
        <w:rPr>
          <w:rFonts w:eastAsia="宋体" w:cs="Times New Roman"/>
          <w:kern w:val="0"/>
          <w:szCs w:val="24"/>
          <w14:ligatures w14:val="none"/>
        </w:rPr>
        <w:t xml:space="preserve">Kavanagh, B. (2010). A cross-cultural analysis of Japanese and English non-verbal online communication: The use of emoticons in weblogs. </w:t>
      </w:r>
      <w:r>
        <w:rPr>
          <w:rFonts w:eastAsia="宋体" w:cs="Times New Roman"/>
          <w:i/>
          <w:iCs/>
          <w:kern w:val="0"/>
          <w:szCs w:val="24"/>
          <w14:ligatures w14:val="none"/>
        </w:rPr>
        <w:t>Intercultural Communication Studies</w:t>
      </w:r>
      <w:r>
        <w:rPr>
          <w:rFonts w:eastAsia="宋体" w:cs="Times New Roman"/>
          <w:kern w:val="0"/>
          <w:szCs w:val="24"/>
          <w14:ligatures w14:val="none"/>
        </w:rPr>
        <w:t xml:space="preserve">, </w:t>
      </w:r>
      <w:r>
        <w:rPr>
          <w:rFonts w:eastAsia="宋体" w:cs="Times New Roman"/>
          <w:i/>
          <w:iCs/>
          <w:kern w:val="0"/>
          <w:szCs w:val="24"/>
          <w14:ligatures w14:val="none"/>
        </w:rPr>
        <w:t>19</w:t>
      </w:r>
      <w:r>
        <w:rPr>
          <w:rFonts w:eastAsia="宋体" w:cs="Times New Roman"/>
          <w:kern w:val="0"/>
          <w:szCs w:val="24"/>
          <w14:ligatures w14:val="none"/>
        </w:rPr>
        <w:t>(3), 65–80.</w:t>
      </w:r>
    </w:p>
    <w:p>
      <w:pPr>
        <w:widowControl/>
        <w:spacing w:line="360" w:lineRule="auto"/>
        <w:ind w:left="482" w:hanging="482"/>
        <w:rPr>
          <w:rFonts w:eastAsia="宋体" w:cs="Times New Roman"/>
          <w:kern w:val="0"/>
          <w:szCs w:val="24"/>
          <w14:ligatures w14:val="none"/>
        </w:rPr>
      </w:pPr>
      <w:r>
        <w:rPr>
          <w:rFonts w:eastAsia="宋体" w:cs="Times New Roman"/>
          <w:kern w:val="0"/>
          <w:szCs w:val="24"/>
          <w14:ligatures w14:val="none"/>
        </w:rPr>
        <w:t xml:space="preserve">Kumagai, Y. (1994). </w:t>
      </w:r>
      <w:r>
        <w:rPr>
          <w:rFonts w:eastAsia="宋体" w:cs="Times New Roman"/>
          <w:i/>
          <w:iCs/>
          <w:kern w:val="0"/>
          <w:szCs w:val="24"/>
          <w14:ligatures w14:val="none"/>
        </w:rPr>
        <w:t>The effects of culture on language learning and ways of communication: The japanese case</w:t>
      </w:r>
      <w:r>
        <w:rPr>
          <w:rFonts w:eastAsia="宋体" w:cs="Times New Roman"/>
          <w:kern w:val="0"/>
          <w:szCs w:val="24"/>
          <w14:ligatures w14:val="none"/>
        </w:rPr>
        <w:t xml:space="preserve">. </w:t>
      </w:r>
      <w:r>
        <w:fldChar w:fldCharType="begin"/>
      </w:r>
      <w:r>
        <w:instrText xml:space="preserve"> HYPERLINK "https://scholarworks.umass.edu/cgi/viewcontent.cgi?article=1081&amp;context=cie_capstones" </w:instrText>
      </w:r>
      <w:r>
        <w:fldChar w:fldCharType="separate"/>
      </w:r>
      <w:r>
        <w:rPr>
          <w:rFonts w:eastAsia="宋体" w:cs="Times New Roman"/>
          <w:color w:val="0000FF"/>
          <w:kern w:val="0"/>
          <w:szCs w:val="24"/>
          <w:u w:val="single"/>
          <w14:ligatures w14:val="none"/>
        </w:rPr>
        <w:t>https://scholarworks.umass.edu/cgi/viewcontent.cgi?article=1081&amp;context=cie_capstones</w:t>
      </w:r>
      <w:r>
        <w:rPr>
          <w:rFonts w:eastAsia="宋体" w:cs="Times New Roman"/>
          <w:color w:val="0000FF"/>
          <w:kern w:val="0"/>
          <w:szCs w:val="24"/>
          <w:u w:val="single"/>
          <w14:ligatures w14:val="none"/>
        </w:rPr>
        <w:fldChar w:fldCharType="end"/>
      </w:r>
    </w:p>
    <w:p>
      <w:pPr>
        <w:widowControl/>
        <w:spacing w:line="360" w:lineRule="auto"/>
        <w:ind w:left="482" w:hanging="482"/>
        <w:rPr>
          <w:rFonts w:eastAsia="宋体" w:cs="Times New Roman"/>
          <w:kern w:val="0"/>
          <w:szCs w:val="24"/>
          <w14:ligatures w14:val="none"/>
        </w:rPr>
      </w:pPr>
      <w:r>
        <w:rPr>
          <w:rFonts w:eastAsia="宋体" w:cs="Times New Roman"/>
          <w:kern w:val="0"/>
          <w:szCs w:val="24"/>
          <w14:ligatures w14:val="none"/>
        </w:rPr>
        <w:t xml:space="preserve">Lee, K.-H., &amp; Herold, D. M. (2016). Cultural relevance in corporate sustainability management: A comparison between Korea and Japan. </w:t>
      </w:r>
      <w:r>
        <w:rPr>
          <w:rFonts w:eastAsia="宋体" w:cs="Times New Roman"/>
          <w:i/>
          <w:iCs/>
          <w:kern w:val="0"/>
          <w:szCs w:val="24"/>
          <w14:ligatures w14:val="none"/>
        </w:rPr>
        <w:t>Asian Journal of Sustainability and Social Responsibility</w:t>
      </w:r>
      <w:r>
        <w:rPr>
          <w:rFonts w:eastAsia="宋体" w:cs="Times New Roman"/>
          <w:kern w:val="0"/>
          <w:szCs w:val="24"/>
          <w14:ligatures w14:val="none"/>
        </w:rPr>
        <w:t xml:space="preserve">, </w:t>
      </w:r>
      <w:r>
        <w:rPr>
          <w:rFonts w:eastAsia="宋体" w:cs="Times New Roman"/>
          <w:i/>
          <w:iCs/>
          <w:kern w:val="0"/>
          <w:szCs w:val="24"/>
          <w14:ligatures w14:val="none"/>
        </w:rPr>
        <w:t>1</w:t>
      </w:r>
      <w:r>
        <w:rPr>
          <w:rFonts w:eastAsia="宋体" w:cs="Times New Roman"/>
          <w:kern w:val="0"/>
          <w:szCs w:val="24"/>
          <w14:ligatures w14:val="none"/>
        </w:rPr>
        <w:t xml:space="preserve">(1), 1–21. </w:t>
      </w:r>
      <w:r>
        <w:fldChar w:fldCharType="begin"/>
      </w:r>
      <w:r>
        <w:instrText xml:space="preserve"> HYPERLINK "https://doi.org/10.1186/s41180-016-0003-2" </w:instrText>
      </w:r>
      <w:r>
        <w:fldChar w:fldCharType="separate"/>
      </w:r>
      <w:r>
        <w:rPr>
          <w:rFonts w:eastAsia="宋体" w:cs="Times New Roman"/>
          <w:color w:val="0000FF"/>
          <w:kern w:val="0"/>
          <w:szCs w:val="24"/>
          <w:u w:val="single"/>
          <w14:ligatures w14:val="none"/>
        </w:rPr>
        <w:t>https://doi.org/10.1186/s41180-016-0003-2</w:t>
      </w:r>
      <w:r>
        <w:rPr>
          <w:rFonts w:eastAsia="宋体" w:cs="Times New Roman"/>
          <w:color w:val="0000FF"/>
          <w:kern w:val="0"/>
          <w:szCs w:val="24"/>
          <w:u w:val="single"/>
          <w14:ligatures w14:val="none"/>
        </w:rPr>
        <w:fldChar w:fldCharType="end"/>
      </w:r>
    </w:p>
    <w:p>
      <w:pPr>
        <w:widowControl/>
        <w:spacing w:line="360" w:lineRule="auto"/>
        <w:ind w:left="482" w:hanging="482"/>
        <w:rPr>
          <w:rFonts w:eastAsia="宋体" w:cs="Times New Roman"/>
          <w:kern w:val="0"/>
          <w:szCs w:val="24"/>
          <w14:ligatures w14:val="none"/>
        </w:rPr>
      </w:pPr>
      <w:r>
        <w:rPr>
          <w:rFonts w:eastAsia="宋体" w:cs="Times New Roman"/>
          <w:kern w:val="0"/>
          <w:szCs w:val="24"/>
          <w14:ligatures w14:val="none"/>
        </w:rPr>
        <w:t xml:space="preserve">Liu, G., Eng, T., &amp; Takeda, S. (2015). An Investigation of Marketing Capabilities and Social Enterprise Performance in the UK and Japan. </w:t>
      </w:r>
      <w:r>
        <w:rPr>
          <w:rFonts w:eastAsia="宋体" w:cs="Times New Roman"/>
          <w:i/>
          <w:iCs/>
          <w:kern w:val="0"/>
          <w:szCs w:val="24"/>
          <w14:ligatures w14:val="none"/>
        </w:rPr>
        <w:t>Entrepreneurship Theory and Practice</w:t>
      </w:r>
      <w:r>
        <w:rPr>
          <w:rFonts w:eastAsia="宋体" w:cs="Times New Roman"/>
          <w:kern w:val="0"/>
          <w:szCs w:val="24"/>
          <w14:ligatures w14:val="none"/>
        </w:rPr>
        <w:t xml:space="preserve">, </w:t>
      </w:r>
      <w:r>
        <w:rPr>
          <w:rFonts w:eastAsia="宋体" w:cs="Times New Roman"/>
          <w:i/>
          <w:iCs/>
          <w:kern w:val="0"/>
          <w:szCs w:val="24"/>
          <w14:ligatures w14:val="none"/>
        </w:rPr>
        <w:t>39</w:t>
      </w:r>
      <w:r>
        <w:rPr>
          <w:rFonts w:eastAsia="宋体" w:cs="Times New Roman"/>
          <w:kern w:val="0"/>
          <w:szCs w:val="24"/>
          <w14:ligatures w14:val="none"/>
        </w:rPr>
        <w:t xml:space="preserve">(2), 267–298. </w:t>
      </w:r>
      <w:r>
        <w:fldChar w:fldCharType="begin"/>
      </w:r>
      <w:r>
        <w:instrText xml:space="preserve"> HYPERLINK "https://doi.org/10.1111/etap.12041" </w:instrText>
      </w:r>
      <w:r>
        <w:fldChar w:fldCharType="separate"/>
      </w:r>
      <w:r>
        <w:rPr>
          <w:rFonts w:eastAsia="宋体" w:cs="Times New Roman"/>
          <w:color w:val="0000FF"/>
          <w:kern w:val="0"/>
          <w:szCs w:val="24"/>
          <w:u w:val="single"/>
          <w14:ligatures w14:val="none"/>
        </w:rPr>
        <w:t>https://doi.org/10.1111/etap.12041</w:t>
      </w:r>
      <w:r>
        <w:rPr>
          <w:rFonts w:eastAsia="宋体" w:cs="Times New Roman"/>
          <w:color w:val="0000FF"/>
          <w:kern w:val="0"/>
          <w:szCs w:val="24"/>
          <w:u w:val="single"/>
          <w14:ligatures w14:val="none"/>
        </w:rPr>
        <w:fldChar w:fldCharType="end"/>
      </w:r>
    </w:p>
    <w:p>
      <w:pPr>
        <w:widowControl/>
        <w:spacing w:line="360" w:lineRule="auto"/>
        <w:ind w:left="482" w:hanging="482"/>
        <w:rPr>
          <w:rFonts w:eastAsia="宋体" w:cs="Times New Roman"/>
          <w:kern w:val="0"/>
          <w:szCs w:val="24"/>
          <w14:ligatures w14:val="none"/>
        </w:rPr>
      </w:pPr>
      <w:r>
        <w:rPr>
          <w:rFonts w:eastAsia="宋体" w:cs="Times New Roman"/>
          <w:kern w:val="0"/>
          <w:szCs w:val="24"/>
          <w14:ligatures w14:val="none"/>
        </w:rPr>
        <w:t xml:space="preserve">Ohashi, Y., Wooffitt, R., Jackson, C., &amp; Nixon, Y. (2013). Discourse, Culture, and Extraordinary Experiences: Observations from a Comparative, Qualitative Analysis of Japanese and UK English Accounts of Paranormal Phenomena. </w:t>
      </w:r>
      <w:r>
        <w:rPr>
          <w:rFonts w:eastAsia="宋体" w:cs="Times New Roman"/>
          <w:i/>
          <w:iCs/>
          <w:kern w:val="0"/>
          <w:szCs w:val="24"/>
          <w14:ligatures w14:val="none"/>
        </w:rPr>
        <w:t>Western Journal of Communication</w:t>
      </w:r>
      <w:r>
        <w:rPr>
          <w:rFonts w:eastAsia="宋体" w:cs="Times New Roman"/>
          <w:kern w:val="0"/>
          <w:szCs w:val="24"/>
          <w14:ligatures w14:val="none"/>
        </w:rPr>
        <w:t xml:space="preserve">, </w:t>
      </w:r>
      <w:r>
        <w:rPr>
          <w:rFonts w:eastAsia="宋体" w:cs="Times New Roman"/>
          <w:i/>
          <w:iCs/>
          <w:kern w:val="0"/>
          <w:szCs w:val="24"/>
          <w14:ligatures w14:val="none"/>
        </w:rPr>
        <w:t>77</w:t>
      </w:r>
      <w:r>
        <w:rPr>
          <w:rFonts w:eastAsia="宋体" w:cs="Times New Roman"/>
          <w:kern w:val="0"/>
          <w:szCs w:val="24"/>
          <w14:ligatures w14:val="none"/>
        </w:rPr>
        <w:t xml:space="preserve">(4), 466–488. </w:t>
      </w:r>
      <w:r>
        <w:fldChar w:fldCharType="begin"/>
      </w:r>
      <w:r>
        <w:instrText xml:space="preserve"> HYPERLINK "https://doi.org/10.1080/10570314.2012.714047" </w:instrText>
      </w:r>
      <w:r>
        <w:fldChar w:fldCharType="separate"/>
      </w:r>
      <w:r>
        <w:rPr>
          <w:rFonts w:eastAsia="宋体" w:cs="Times New Roman"/>
          <w:color w:val="0000FF"/>
          <w:kern w:val="0"/>
          <w:szCs w:val="24"/>
          <w:u w:val="single"/>
          <w14:ligatures w14:val="none"/>
        </w:rPr>
        <w:t>https://doi.org/10.1080/10570314.2012.714047</w:t>
      </w:r>
      <w:r>
        <w:rPr>
          <w:rFonts w:eastAsia="宋体" w:cs="Times New Roman"/>
          <w:color w:val="0000FF"/>
          <w:kern w:val="0"/>
          <w:szCs w:val="24"/>
          <w:u w:val="single"/>
          <w14:ligatures w14:val="none"/>
        </w:rPr>
        <w:fldChar w:fldCharType="end"/>
      </w:r>
    </w:p>
    <w:p>
      <w:pPr>
        <w:widowControl/>
        <w:spacing w:line="360" w:lineRule="auto"/>
        <w:ind w:left="482" w:hanging="482"/>
        <w:rPr>
          <w:rFonts w:eastAsia="宋体" w:cs="Times New Roman"/>
          <w:kern w:val="0"/>
          <w:szCs w:val="24"/>
          <w14:ligatures w14:val="none"/>
        </w:rPr>
      </w:pPr>
      <w:r>
        <w:rPr>
          <w:rFonts w:eastAsia="宋体" w:cs="Times New Roman"/>
          <w:kern w:val="0"/>
          <w:szCs w:val="24"/>
          <w14:ligatures w14:val="none"/>
        </w:rPr>
        <w:t xml:space="preserve">Okazaki, S., &amp; Rivas, J. A. (2004). Beyond the Net: Cultural Values Reflected in Japanese Multinationals’ Web Communication Strategies. </w:t>
      </w:r>
      <w:r>
        <w:rPr>
          <w:rFonts w:eastAsia="宋体" w:cs="Times New Roman"/>
          <w:i/>
          <w:iCs/>
          <w:kern w:val="0"/>
          <w:szCs w:val="24"/>
          <w14:ligatures w14:val="none"/>
        </w:rPr>
        <w:t>Journal of International Consumer Marketing</w:t>
      </w:r>
      <w:r>
        <w:rPr>
          <w:rFonts w:eastAsia="宋体" w:cs="Times New Roman"/>
          <w:kern w:val="0"/>
          <w:szCs w:val="24"/>
          <w14:ligatures w14:val="none"/>
        </w:rPr>
        <w:t xml:space="preserve">, </w:t>
      </w:r>
      <w:r>
        <w:rPr>
          <w:rFonts w:eastAsia="宋体" w:cs="Times New Roman"/>
          <w:i/>
          <w:iCs/>
          <w:kern w:val="0"/>
          <w:szCs w:val="24"/>
          <w14:ligatures w14:val="none"/>
        </w:rPr>
        <w:t>16</w:t>
      </w:r>
      <w:r>
        <w:rPr>
          <w:rFonts w:eastAsia="宋体" w:cs="Times New Roman"/>
          <w:kern w:val="0"/>
          <w:szCs w:val="24"/>
          <w14:ligatures w14:val="none"/>
        </w:rPr>
        <w:t xml:space="preserve">(1), 47–70. </w:t>
      </w:r>
      <w:r>
        <w:fldChar w:fldCharType="begin"/>
      </w:r>
      <w:r>
        <w:instrText xml:space="preserve"> HYPERLINK "https://doi.org/10.1300/J046v16n01_04" </w:instrText>
      </w:r>
      <w:r>
        <w:fldChar w:fldCharType="separate"/>
      </w:r>
      <w:r>
        <w:rPr>
          <w:rFonts w:eastAsia="宋体" w:cs="Times New Roman"/>
          <w:color w:val="0000FF"/>
          <w:kern w:val="0"/>
          <w:szCs w:val="24"/>
          <w:u w:val="single"/>
          <w14:ligatures w14:val="none"/>
        </w:rPr>
        <w:t>https://doi.org/10.1300/J046v16n01_04</w:t>
      </w:r>
      <w:r>
        <w:rPr>
          <w:rFonts w:eastAsia="宋体" w:cs="Times New Roman"/>
          <w:color w:val="0000FF"/>
          <w:kern w:val="0"/>
          <w:szCs w:val="24"/>
          <w:u w:val="single"/>
          <w14:ligatures w14:val="none"/>
        </w:rPr>
        <w:fldChar w:fldCharType="end"/>
      </w:r>
    </w:p>
    <w:p>
      <w:pPr>
        <w:widowControl/>
        <w:spacing w:line="360" w:lineRule="auto"/>
        <w:ind w:left="482" w:hanging="482"/>
        <w:rPr>
          <w:rFonts w:eastAsia="宋体" w:cs="Times New Roman"/>
          <w:kern w:val="0"/>
          <w:szCs w:val="24"/>
          <w14:ligatures w14:val="none"/>
        </w:rPr>
      </w:pPr>
      <w:r>
        <w:rPr>
          <w:rFonts w:eastAsia="宋体" w:cs="Times New Roman"/>
          <w:kern w:val="0"/>
          <w:szCs w:val="24"/>
          <w14:ligatures w14:val="none"/>
        </w:rPr>
        <w:t xml:space="preserve">Pascale, R. T. (1978). Communication and decision making across cultures: Japanese and American comparisons. </w:t>
      </w:r>
      <w:r>
        <w:rPr>
          <w:rFonts w:eastAsia="宋体" w:cs="Times New Roman"/>
          <w:i/>
          <w:iCs/>
          <w:kern w:val="0"/>
          <w:szCs w:val="24"/>
          <w14:ligatures w14:val="none"/>
        </w:rPr>
        <w:t>Administrative Science Quarterly</w:t>
      </w:r>
      <w:r>
        <w:rPr>
          <w:rFonts w:eastAsia="宋体" w:cs="Times New Roman"/>
          <w:kern w:val="0"/>
          <w:szCs w:val="24"/>
          <w14:ligatures w14:val="none"/>
        </w:rPr>
        <w:t>, 91–110.</w:t>
      </w:r>
    </w:p>
    <w:p>
      <w:pPr>
        <w:widowControl/>
        <w:spacing w:line="360" w:lineRule="auto"/>
        <w:ind w:left="482" w:hanging="482"/>
        <w:rPr>
          <w:rFonts w:eastAsia="宋体" w:cs="Times New Roman"/>
          <w:kern w:val="0"/>
          <w:szCs w:val="24"/>
          <w14:ligatures w14:val="none"/>
        </w:rPr>
      </w:pPr>
      <w:r>
        <w:rPr>
          <w:rFonts w:eastAsia="宋体" w:cs="Times New Roman"/>
          <w:kern w:val="0"/>
          <w:szCs w:val="24"/>
          <w14:ligatures w14:val="none"/>
        </w:rPr>
        <w:t xml:space="preserve">Takanashi, Y. (2004). TEFL and Communication Styles in Japanese Culture. </w:t>
      </w:r>
      <w:r>
        <w:rPr>
          <w:rFonts w:eastAsia="宋体" w:cs="Times New Roman"/>
          <w:i/>
          <w:iCs/>
          <w:kern w:val="0"/>
          <w:szCs w:val="24"/>
          <w14:ligatures w14:val="none"/>
        </w:rPr>
        <w:t>Language, Culture and Curriculum</w:t>
      </w:r>
      <w:r>
        <w:rPr>
          <w:rFonts w:eastAsia="宋体" w:cs="Times New Roman"/>
          <w:kern w:val="0"/>
          <w:szCs w:val="24"/>
          <w14:ligatures w14:val="none"/>
        </w:rPr>
        <w:t xml:space="preserve">, </w:t>
      </w:r>
      <w:r>
        <w:rPr>
          <w:rFonts w:eastAsia="宋体" w:cs="Times New Roman"/>
          <w:i/>
          <w:iCs/>
          <w:kern w:val="0"/>
          <w:szCs w:val="24"/>
          <w14:ligatures w14:val="none"/>
        </w:rPr>
        <w:t>17</w:t>
      </w:r>
      <w:r>
        <w:rPr>
          <w:rFonts w:eastAsia="宋体" w:cs="Times New Roman"/>
          <w:kern w:val="0"/>
          <w:szCs w:val="24"/>
          <w14:ligatures w14:val="none"/>
        </w:rPr>
        <w:t xml:space="preserve">(1), 1–14. </w:t>
      </w:r>
      <w:r>
        <w:fldChar w:fldCharType="begin"/>
      </w:r>
      <w:r>
        <w:instrText xml:space="preserve"> HYPERLINK "https://doi.org/10.1080/07908310408666678" </w:instrText>
      </w:r>
      <w:r>
        <w:fldChar w:fldCharType="separate"/>
      </w:r>
      <w:r>
        <w:rPr>
          <w:rFonts w:eastAsia="宋体" w:cs="Times New Roman"/>
          <w:color w:val="0000FF"/>
          <w:kern w:val="0"/>
          <w:szCs w:val="24"/>
          <w:u w:val="single"/>
          <w14:ligatures w14:val="none"/>
        </w:rPr>
        <w:t>https://doi.org/10.1080/07908310408666678</w:t>
      </w:r>
      <w:r>
        <w:rPr>
          <w:rFonts w:eastAsia="宋体" w:cs="Times New Roman"/>
          <w:color w:val="0000FF"/>
          <w:kern w:val="0"/>
          <w:szCs w:val="24"/>
          <w:u w:val="single"/>
          <w14:ligatures w14:val="none"/>
        </w:rPr>
        <w:fldChar w:fldCharType="end"/>
      </w:r>
    </w:p>
    <w:p>
      <w:pPr>
        <w:spacing w:line="360" w:lineRule="auto"/>
        <w:rPr>
          <w:rFonts w:cs="Times New Roman"/>
          <w:b/>
          <w:bCs/>
          <w:szCs w:val="24"/>
        </w:rPr>
      </w:pPr>
    </w:p>
    <w:p>
      <w:pPr>
        <w:spacing w:line="360" w:lineRule="auto"/>
        <w:rPr>
          <w:rFonts w:cs="Times New Roman"/>
          <w:szCs w:val="24"/>
        </w:rPr>
      </w:pPr>
      <w:r>
        <w:rPr>
          <w:rFonts w:cs="Times New Roman"/>
          <w:szCs w:val="24"/>
        </w:rPr>
        <w:t xml:space="preserve">Oishay. (2020). Secrets Of Japanese Business Etiquette: Business Meetings </w:t>
      </w:r>
      <w:r>
        <w:fldChar w:fldCharType="begin"/>
      </w:r>
      <w:r>
        <w:instrText xml:space="preserve"> HYPERLINK "https://oishya.com/journal/secrets-of-japanese-business-etiquette-business-meetings/" </w:instrText>
      </w:r>
      <w:r>
        <w:fldChar w:fldCharType="separate"/>
      </w:r>
      <w:r>
        <w:rPr>
          <w:rStyle w:val="23"/>
          <w:rFonts w:cs="Times New Roman"/>
          <w:szCs w:val="24"/>
        </w:rPr>
        <w:t>https://oishya.com/journal/secrets-of-japanese-business-etiquette-business-meetings/</w:t>
      </w:r>
      <w:r>
        <w:rPr>
          <w:rStyle w:val="23"/>
          <w:rFonts w:cs="Times New Roman"/>
          <w:szCs w:val="24"/>
        </w:rPr>
        <w:fldChar w:fldCharType="end"/>
      </w:r>
      <w:r>
        <w:rPr>
          <w:rFonts w:cs="Times New Roman"/>
          <w:szCs w:val="24"/>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1"/>
  <w:bordersDoNotSurroundFooter w:val="1"/>
  <w:documentProtection w:enforcement="0"/>
  <w:defaultTabStop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A2ZGQ0NDljNzI5ZjJiNDYxMmZhYTM4MjlkMzZhNDYifQ=="/>
  </w:docVars>
  <w:rsids>
    <w:rsidRoot w:val="003646BA"/>
    <w:rsid w:val="000060E3"/>
    <w:rsid w:val="000A359D"/>
    <w:rsid w:val="000C4D13"/>
    <w:rsid w:val="000E2E8F"/>
    <w:rsid w:val="001831E8"/>
    <w:rsid w:val="0020431D"/>
    <w:rsid w:val="00217883"/>
    <w:rsid w:val="00263E9A"/>
    <w:rsid w:val="002A13F5"/>
    <w:rsid w:val="003646BA"/>
    <w:rsid w:val="003D1320"/>
    <w:rsid w:val="003E3E9B"/>
    <w:rsid w:val="00403496"/>
    <w:rsid w:val="004111C7"/>
    <w:rsid w:val="00413710"/>
    <w:rsid w:val="0048041B"/>
    <w:rsid w:val="00492FBB"/>
    <w:rsid w:val="004C4A82"/>
    <w:rsid w:val="0055630A"/>
    <w:rsid w:val="005C6320"/>
    <w:rsid w:val="005D5C83"/>
    <w:rsid w:val="005E19AF"/>
    <w:rsid w:val="006153D2"/>
    <w:rsid w:val="0063131D"/>
    <w:rsid w:val="00643470"/>
    <w:rsid w:val="00677520"/>
    <w:rsid w:val="0069009B"/>
    <w:rsid w:val="0069543C"/>
    <w:rsid w:val="006F4690"/>
    <w:rsid w:val="00741DD0"/>
    <w:rsid w:val="00746D5F"/>
    <w:rsid w:val="00760613"/>
    <w:rsid w:val="007C170A"/>
    <w:rsid w:val="007C6725"/>
    <w:rsid w:val="008E5653"/>
    <w:rsid w:val="009053D5"/>
    <w:rsid w:val="0095444D"/>
    <w:rsid w:val="00970948"/>
    <w:rsid w:val="00986AB5"/>
    <w:rsid w:val="009C65BC"/>
    <w:rsid w:val="00A0005D"/>
    <w:rsid w:val="00A05740"/>
    <w:rsid w:val="00A37909"/>
    <w:rsid w:val="00A47F1D"/>
    <w:rsid w:val="00AA7DDB"/>
    <w:rsid w:val="00BB659D"/>
    <w:rsid w:val="00BC013D"/>
    <w:rsid w:val="00C11C8D"/>
    <w:rsid w:val="00C61C59"/>
    <w:rsid w:val="00C95479"/>
    <w:rsid w:val="00CF11CD"/>
    <w:rsid w:val="00D16E8E"/>
    <w:rsid w:val="00D26380"/>
    <w:rsid w:val="00D31934"/>
    <w:rsid w:val="00D61172"/>
    <w:rsid w:val="00DB2091"/>
    <w:rsid w:val="00DD2BC7"/>
    <w:rsid w:val="00DF7BC1"/>
    <w:rsid w:val="00EC6130"/>
    <w:rsid w:val="00ED6439"/>
    <w:rsid w:val="00F1335D"/>
    <w:rsid w:val="00F134BE"/>
    <w:rsid w:val="00F30991"/>
    <w:rsid w:val="00FF6B0C"/>
    <w:rsid w:val="00FF7448"/>
    <w:rsid w:val="297646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4"/>
      <w:szCs w:val="22"/>
      <w:lang w:val="en-US" w:eastAsia="zh-CN" w:bidi="ar-SA"/>
      <w14:ligatures w14:val="standardContextual"/>
    </w:rPr>
  </w:style>
  <w:style w:type="paragraph" w:styleId="2">
    <w:name w:val="heading 1"/>
    <w:basedOn w:val="1"/>
    <w:next w:val="1"/>
    <w:link w:val="27"/>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8"/>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9"/>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30"/>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31"/>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32"/>
    <w:semiHidden/>
    <w:unhideWhenUsed/>
    <w:qFormat/>
    <w:uiPriority w:val="9"/>
    <w:pPr>
      <w:keepNext/>
      <w:keepLines/>
      <w:spacing w:before="240" w:after="64" w:line="320" w:lineRule="auto"/>
      <w:outlineLvl w:val="5"/>
    </w:pPr>
    <w:rPr>
      <w:rFonts w:asciiTheme="majorHAnsi" w:hAnsiTheme="majorHAnsi" w:eastAsiaTheme="majorEastAsia" w:cstheme="majorBidi"/>
      <w:b/>
      <w:bCs/>
      <w:szCs w:val="24"/>
    </w:rPr>
  </w:style>
  <w:style w:type="paragraph" w:styleId="8">
    <w:name w:val="heading 7"/>
    <w:basedOn w:val="1"/>
    <w:next w:val="1"/>
    <w:link w:val="33"/>
    <w:semiHidden/>
    <w:unhideWhenUsed/>
    <w:qFormat/>
    <w:uiPriority w:val="9"/>
    <w:pPr>
      <w:keepNext/>
      <w:keepLines/>
      <w:spacing w:before="240" w:after="64" w:line="320" w:lineRule="auto"/>
      <w:outlineLvl w:val="6"/>
    </w:pPr>
    <w:rPr>
      <w:b/>
      <w:bCs/>
      <w:szCs w:val="24"/>
    </w:rPr>
  </w:style>
  <w:style w:type="paragraph" w:styleId="9">
    <w:name w:val="heading 8"/>
    <w:basedOn w:val="1"/>
    <w:next w:val="1"/>
    <w:link w:val="34"/>
    <w:semiHidden/>
    <w:unhideWhenUsed/>
    <w:qFormat/>
    <w:uiPriority w:val="9"/>
    <w:pPr>
      <w:keepNext/>
      <w:keepLines/>
      <w:spacing w:before="240" w:after="64" w:line="320" w:lineRule="auto"/>
      <w:outlineLvl w:val="7"/>
    </w:pPr>
    <w:rPr>
      <w:rFonts w:asciiTheme="majorHAnsi" w:hAnsiTheme="majorHAnsi" w:eastAsiaTheme="majorEastAsia" w:cstheme="majorBidi"/>
      <w:szCs w:val="24"/>
    </w:rPr>
  </w:style>
  <w:style w:type="paragraph" w:styleId="10">
    <w:name w:val="heading 9"/>
    <w:basedOn w:val="1"/>
    <w:next w:val="1"/>
    <w:link w:val="35"/>
    <w:semiHidden/>
    <w:unhideWhenUsed/>
    <w:qFormat/>
    <w:uiPriority w:val="9"/>
    <w:pPr>
      <w:keepNext/>
      <w:keepLines/>
      <w:spacing w:before="240" w:after="64" w:line="320" w:lineRule="auto"/>
      <w:outlineLvl w:val="8"/>
    </w:pPr>
    <w:rPr>
      <w:rFonts w:asciiTheme="majorHAnsi" w:hAnsiTheme="majorHAnsi" w:eastAsiaTheme="majorEastAsia" w:cstheme="majorBidi"/>
      <w:sz w:val="21"/>
      <w:szCs w:val="21"/>
    </w:rPr>
  </w:style>
  <w:style w:type="character" w:default="1" w:styleId="20">
    <w:name w:val="Default Paragraph Font"/>
    <w:semiHidden/>
    <w:unhideWhenUsed/>
    <w:uiPriority w:val="1"/>
  </w:style>
  <w:style w:type="table" w:default="1" w:styleId="19">
    <w:name w:val="Normal Table"/>
    <w:semiHidden/>
    <w:unhideWhenUsed/>
    <w:uiPriority w:val="99"/>
    <w:tblPr>
      <w:tblCellMar>
        <w:top w:w="0" w:type="dxa"/>
        <w:left w:w="108" w:type="dxa"/>
        <w:bottom w:w="0" w:type="dxa"/>
        <w:right w:w="108" w:type="dxa"/>
      </w:tblCellMar>
    </w:tblPr>
  </w:style>
  <w:style w:type="paragraph" w:styleId="11">
    <w:name w:val="caption"/>
    <w:basedOn w:val="1"/>
    <w:next w:val="1"/>
    <w:autoRedefine/>
    <w:semiHidden/>
    <w:unhideWhenUsed/>
    <w:qFormat/>
    <w:uiPriority w:val="35"/>
    <w:rPr>
      <w:rFonts w:eastAsia="黑体" w:asciiTheme="majorHAnsi" w:hAnsiTheme="majorHAnsi" w:cstheme="majorBidi"/>
      <w:sz w:val="20"/>
      <w:szCs w:val="20"/>
    </w:rPr>
  </w:style>
  <w:style w:type="paragraph" w:styleId="12">
    <w:name w:val="toc 3"/>
    <w:basedOn w:val="1"/>
    <w:next w:val="1"/>
    <w:autoRedefine/>
    <w:unhideWhenUsed/>
    <w:qFormat/>
    <w:uiPriority w:val="39"/>
    <w:pPr>
      <w:spacing w:after="100" w:line="259" w:lineRule="auto"/>
      <w:ind w:left="440"/>
    </w:pPr>
    <w:rPr>
      <w:rFonts w:cs="Times New Roman"/>
    </w:rPr>
  </w:style>
  <w:style w:type="paragraph" w:styleId="13">
    <w:name w:val="footer"/>
    <w:basedOn w:val="1"/>
    <w:link w:val="26"/>
    <w:unhideWhenUsed/>
    <w:uiPriority w:val="99"/>
    <w:pPr>
      <w:tabs>
        <w:tab w:val="center" w:pos="4153"/>
        <w:tab w:val="right" w:pos="8306"/>
      </w:tabs>
      <w:snapToGrid w:val="0"/>
      <w:jc w:val="left"/>
    </w:pPr>
    <w:rPr>
      <w:sz w:val="18"/>
      <w:szCs w:val="18"/>
    </w:rPr>
  </w:style>
  <w:style w:type="paragraph" w:styleId="14">
    <w:name w:val="header"/>
    <w:basedOn w:val="1"/>
    <w:link w:val="25"/>
    <w:unhideWhenUsed/>
    <w:uiPriority w:val="99"/>
    <w:pPr>
      <w:tabs>
        <w:tab w:val="center" w:pos="4153"/>
        <w:tab w:val="right" w:pos="8306"/>
      </w:tabs>
      <w:snapToGrid w:val="0"/>
      <w:jc w:val="center"/>
    </w:pPr>
    <w:rPr>
      <w:sz w:val="18"/>
      <w:szCs w:val="18"/>
    </w:rPr>
  </w:style>
  <w:style w:type="paragraph" w:styleId="15">
    <w:name w:val="toc 1"/>
    <w:basedOn w:val="1"/>
    <w:next w:val="1"/>
    <w:autoRedefine/>
    <w:unhideWhenUsed/>
    <w:qFormat/>
    <w:uiPriority w:val="39"/>
    <w:pPr>
      <w:spacing w:after="100" w:line="259" w:lineRule="auto"/>
    </w:pPr>
    <w:rPr>
      <w:rFonts w:cs="Times New Roman"/>
    </w:rPr>
  </w:style>
  <w:style w:type="paragraph" w:styleId="16">
    <w:name w:val="Subtitle"/>
    <w:basedOn w:val="1"/>
    <w:next w:val="1"/>
    <w:link w:val="37"/>
    <w:qFormat/>
    <w:uiPriority w:val="11"/>
    <w:pPr>
      <w:spacing w:before="240" w:after="60" w:line="312" w:lineRule="auto"/>
      <w:jc w:val="center"/>
      <w:outlineLvl w:val="1"/>
    </w:pPr>
    <w:rPr>
      <w:rFonts w:asciiTheme="minorHAnsi" w:hAnsiTheme="minorHAnsi"/>
      <w:b/>
      <w:bCs/>
      <w:kern w:val="28"/>
      <w:sz w:val="32"/>
      <w:szCs w:val="32"/>
    </w:rPr>
  </w:style>
  <w:style w:type="paragraph" w:styleId="17">
    <w:name w:val="toc 2"/>
    <w:basedOn w:val="1"/>
    <w:next w:val="1"/>
    <w:autoRedefine/>
    <w:unhideWhenUsed/>
    <w:uiPriority w:val="39"/>
    <w:pPr>
      <w:spacing w:after="100" w:line="259" w:lineRule="auto"/>
      <w:ind w:left="220"/>
    </w:pPr>
    <w:rPr>
      <w:rFonts w:cs="Times New Roman"/>
    </w:rPr>
  </w:style>
  <w:style w:type="paragraph" w:styleId="18">
    <w:name w:val="Title"/>
    <w:basedOn w:val="1"/>
    <w:next w:val="1"/>
    <w:link w:val="36"/>
    <w:qFormat/>
    <w:uiPriority w:val="10"/>
    <w:pPr>
      <w:spacing w:before="240" w:after="60"/>
      <w:jc w:val="center"/>
      <w:outlineLvl w:val="0"/>
    </w:pPr>
    <w:rPr>
      <w:rFonts w:asciiTheme="majorHAnsi" w:hAnsiTheme="majorHAnsi" w:eastAsiaTheme="majorEastAsia" w:cstheme="majorBidi"/>
      <w:b/>
      <w:bCs/>
      <w:sz w:val="32"/>
      <w:szCs w:val="32"/>
    </w:rPr>
  </w:style>
  <w:style w:type="character" w:styleId="21">
    <w:name w:val="Strong"/>
    <w:basedOn w:val="20"/>
    <w:autoRedefine/>
    <w:qFormat/>
    <w:uiPriority w:val="22"/>
    <w:rPr>
      <w:b/>
      <w:bCs/>
    </w:rPr>
  </w:style>
  <w:style w:type="character" w:styleId="22">
    <w:name w:val="Emphasis"/>
    <w:basedOn w:val="20"/>
    <w:qFormat/>
    <w:uiPriority w:val="20"/>
    <w:rPr>
      <w:i/>
      <w:iCs/>
    </w:rPr>
  </w:style>
  <w:style w:type="character" w:styleId="23">
    <w:name w:val="Hyperlink"/>
    <w:basedOn w:val="20"/>
    <w:autoRedefine/>
    <w:unhideWhenUsed/>
    <w:qFormat/>
    <w:uiPriority w:val="99"/>
    <w:rPr>
      <w:color w:val="0563C1" w:themeColor="hyperlink"/>
      <w:u w:val="single"/>
    </w:rPr>
  </w:style>
  <w:style w:type="character" w:customStyle="1" w:styleId="24">
    <w:name w:val="Unresolved Mention"/>
    <w:basedOn w:val="20"/>
    <w:semiHidden/>
    <w:unhideWhenUsed/>
    <w:uiPriority w:val="99"/>
    <w:rPr>
      <w:color w:val="605E5C"/>
      <w:shd w:val="clear" w:color="auto" w:fill="E1DFDD"/>
    </w:rPr>
  </w:style>
  <w:style w:type="character" w:customStyle="1" w:styleId="25">
    <w:name w:val="页眉 字符"/>
    <w:basedOn w:val="20"/>
    <w:link w:val="14"/>
    <w:uiPriority w:val="99"/>
    <w:rPr>
      <w:sz w:val="18"/>
      <w:szCs w:val="18"/>
    </w:rPr>
  </w:style>
  <w:style w:type="character" w:customStyle="1" w:styleId="26">
    <w:name w:val="页脚 字符"/>
    <w:basedOn w:val="20"/>
    <w:link w:val="13"/>
    <w:uiPriority w:val="99"/>
    <w:rPr>
      <w:sz w:val="18"/>
      <w:szCs w:val="18"/>
    </w:rPr>
  </w:style>
  <w:style w:type="character" w:customStyle="1" w:styleId="27">
    <w:name w:val="标题 1 字符"/>
    <w:basedOn w:val="20"/>
    <w:link w:val="2"/>
    <w:uiPriority w:val="9"/>
    <w:rPr>
      <w:b/>
      <w:bCs/>
      <w:kern w:val="44"/>
      <w:sz w:val="44"/>
      <w:szCs w:val="44"/>
    </w:rPr>
  </w:style>
  <w:style w:type="character" w:customStyle="1" w:styleId="28">
    <w:name w:val="标题 2 字符"/>
    <w:basedOn w:val="20"/>
    <w:link w:val="3"/>
    <w:semiHidden/>
    <w:uiPriority w:val="9"/>
    <w:rPr>
      <w:rFonts w:asciiTheme="majorHAnsi" w:hAnsiTheme="majorHAnsi" w:eastAsiaTheme="majorEastAsia" w:cstheme="majorBidi"/>
      <w:b/>
      <w:bCs/>
      <w:sz w:val="32"/>
      <w:szCs w:val="32"/>
    </w:rPr>
  </w:style>
  <w:style w:type="character" w:customStyle="1" w:styleId="29">
    <w:name w:val="标题 3 字符"/>
    <w:basedOn w:val="20"/>
    <w:link w:val="4"/>
    <w:semiHidden/>
    <w:uiPriority w:val="9"/>
    <w:rPr>
      <w:b/>
      <w:bCs/>
      <w:sz w:val="32"/>
      <w:szCs w:val="32"/>
    </w:rPr>
  </w:style>
  <w:style w:type="character" w:customStyle="1" w:styleId="30">
    <w:name w:val="标题 4 字符"/>
    <w:basedOn w:val="20"/>
    <w:link w:val="5"/>
    <w:semiHidden/>
    <w:uiPriority w:val="9"/>
    <w:rPr>
      <w:rFonts w:asciiTheme="majorHAnsi" w:hAnsiTheme="majorHAnsi" w:eastAsiaTheme="majorEastAsia" w:cstheme="majorBidi"/>
      <w:b/>
      <w:bCs/>
      <w:sz w:val="28"/>
      <w:szCs w:val="28"/>
    </w:rPr>
  </w:style>
  <w:style w:type="character" w:customStyle="1" w:styleId="31">
    <w:name w:val="标题 5 字符"/>
    <w:basedOn w:val="20"/>
    <w:link w:val="6"/>
    <w:autoRedefine/>
    <w:semiHidden/>
    <w:uiPriority w:val="9"/>
    <w:rPr>
      <w:b/>
      <w:bCs/>
      <w:sz w:val="28"/>
      <w:szCs w:val="28"/>
    </w:rPr>
  </w:style>
  <w:style w:type="character" w:customStyle="1" w:styleId="32">
    <w:name w:val="标题 6 字符"/>
    <w:basedOn w:val="20"/>
    <w:link w:val="7"/>
    <w:autoRedefine/>
    <w:semiHidden/>
    <w:qFormat/>
    <w:uiPriority w:val="9"/>
    <w:rPr>
      <w:rFonts w:asciiTheme="majorHAnsi" w:hAnsiTheme="majorHAnsi" w:eastAsiaTheme="majorEastAsia" w:cstheme="majorBidi"/>
      <w:b/>
      <w:bCs/>
      <w:szCs w:val="24"/>
    </w:rPr>
  </w:style>
  <w:style w:type="character" w:customStyle="1" w:styleId="33">
    <w:name w:val="标题 7 字符"/>
    <w:basedOn w:val="20"/>
    <w:link w:val="8"/>
    <w:autoRedefine/>
    <w:semiHidden/>
    <w:qFormat/>
    <w:uiPriority w:val="9"/>
    <w:rPr>
      <w:b/>
      <w:bCs/>
      <w:szCs w:val="24"/>
    </w:rPr>
  </w:style>
  <w:style w:type="character" w:customStyle="1" w:styleId="34">
    <w:name w:val="标题 8 字符"/>
    <w:basedOn w:val="20"/>
    <w:link w:val="9"/>
    <w:semiHidden/>
    <w:uiPriority w:val="9"/>
    <w:rPr>
      <w:rFonts w:asciiTheme="majorHAnsi" w:hAnsiTheme="majorHAnsi" w:eastAsiaTheme="majorEastAsia" w:cstheme="majorBidi"/>
      <w:szCs w:val="24"/>
    </w:rPr>
  </w:style>
  <w:style w:type="character" w:customStyle="1" w:styleId="35">
    <w:name w:val="标题 9 字符"/>
    <w:basedOn w:val="20"/>
    <w:link w:val="10"/>
    <w:autoRedefine/>
    <w:semiHidden/>
    <w:qFormat/>
    <w:uiPriority w:val="9"/>
    <w:rPr>
      <w:rFonts w:asciiTheme="majorHAnsi" w:hAnsiTheme="majorHAnsi" w:eastAsiaTheme="majorEastAsia" w:cstheme="majorBidi"/>
      <w:sz w:val="21"/>
      <w:szCs w:val="21"/>
    </w:rPr>
  </w:style>
  <w:style w:type="character" w:customStyle="1" w:styleId="36">
    <w:name w:val="标题 字符"/>
    <w:basedOn w:val="20"/>
    <w:link w:val="18"/>
    <w:autoRedefine/>
    <w:qFormat/>
    <w:uiPriority w:val="10"/>
    <w:rPr>
      <w:rFonts w:asciiTheme="majorHAnsi" w:hAnsiTheme="majorHAnsi" w:eastAsiaTheme="majorEastAsia" w:cstheme="majorBidi"/>
      <w:b/>
      <w:bCs/>
      <w:sz w:val="32"/>
      <w:szCs w:val="32"/>
    </w:rPr>
  </w:style>
  <w:style w:type="character" w:customStyle="1" w:styleId="37">
    <w:name w:val="副标题 字符"/>
    <w:basedOn w:val="20"/>
    <w:link w:val="16"/>
    <w:autoRedefine/>
    <w:qFormat/>
    <w:uiPriority w:val="11"/>
    <w:rPr>
      <w:rFonts w:asciiTheme="minorHAnsi" w:hAnsiTheme="minorHAnsi"/>
      <w:b/>
      <w:bCs/>
      <w:kern w:val="28"/>
      <w:sz w:val="32"/>
      <w:szCs w:val="32"/>
    </w:rPr>
  </w:style>
  <w:style w:type="paragraph" w:styleId="38">
    <w:name w:val="No Spacing"/>
    <w:autoRedefine/>
    <w:qFormat/>
    <w:uiPriority w:val="1"/>
    <w:pPr>
      <w:widowControl w:val="0"/>
      <w:jc w:val="both"/>
    </w:pPr>
    <w:rPr>
      <w:rFonts w:ascii="Times New Roman" w:hAnsi="Times New Roman" w:eastAsiaTheme="minorEastAsia" w:cstheme="minorBidi"/>
      <w:kern w:val="2"/>
      <w:sz w:val="24"/>
      <w:szCs w:val="22"/>
      <w:lang w:val="en-US" w:eastAsia="zh-CN" w:bidi="ar-SA"/>
      <w14:ligatures w14:val="standardContextual"/>
    </w:rPr>
  </w:style>
  <w:style w:type="paragraph" w:styleId="39">
    <w:name w:val="Quote"/>
    <w:basedOn w:val="1"/>
    <w:next w:val="1"/>
    <w:link w:val="40"/>
    <w:qFormat/>
    <w:uiPriority w:val="29"/>
    <w:pPr>
      <w:spacing w:before="200" w:after="160"/>
      <w:ind w:left="864" w:right="864"/>
      <w:jc w:val="center"/>
    </w:pPr>
    <w:rPr>
      <w:i/>
      <w:iCs/>
      <w:color w:val="3F3F3F" w:themeColor="text1" w:themeTint="BF"/>
    </w:rPr>
  </w:style>
  <w:style w:type="character" w:customStyle="1" w:styleId="40">
    <w:name w:val="引用 字符"/>
    <w:basedOn w:val="20"/>
    <w:link w:val="39"/>
    <w:autoRedefine/>
    <w:qFormat/>
    <w:uiPriority w:val="29"/>
    <w:rPr>
      <w:i/>
      <w:iCs/>
      <w:color w:val="3F3F3F" w:themeColor="text1" w:themeTint="BF"/>
    </w:rPr>
  </w:style>
  <w:style w:type="paragraph" w:styleId="41">
    <w:name w:val="Intense Quote"/>
    <w:basedOn w:val="1"/>
    <w:next w:val="1"/>
    <w:link w:val="42"/>
    <w:autoRedefine/>
    <w:qFormat/>
    <w:uiPriority w:val="30"/>
    <w:pPr>
      <w:pBdr>
        <w:top w:val="single" w:color="4472C4" w:themeColor="accent1" w:sz="4" w:space="10"/>
        <w:bottom w:val="single" w:color="4472C4" w:themeColor="accent1" w:sz="4" w:space="10"/>
      </w:pBdr>
      <w:spacing w:before="360" w:after="360"/>
      <w:ind w:left="864" w:right="864"/>
      <w:jc w:val="center"/>
    </w:pPr>
    <w:rPr>
      <w:i/>
      <w:iCs/>
      <w:color w:val="4472C4" w:themeColor="accent1"/>
    </w:rPr>
  </w:style>
  <w:style w:type="character" w:customStyle="1" w:styleId="42">
    <w:name w:val="明显引用 字符"/>
    <w:basedOn w:val="20"/>
    <w:link w:val="41"/>
    <w:uiPriority w:val="30"/>
    <w:rPr>
      <w:i/>
      <w:iCs/>
      <w:color w:val="4472C4" w:themeColor="accent1"/>
    </w:rPr>
  </w:style>
  <w:style w:type="character" w:customStyle="1" w:styleId="43">
    <w:name w:val="Subtle Emphasis"/>
    <w:basedOn w:val="20"/>
    <w:autoRedefine/>
    <w:qFormat/>
    <w:uiPriority w:val="19"/>
    <w:rPr>
      <w:i/>
      <w:iCs/>
      <w:color w:val="3F3F3F" w:themeColor="text1" w:themeTint="BF"/>
    </w:rPr>
  </w:style>
  <w:style w:type="character" w:customStyle="1" w:styleId="44">
    <w:name w:val="Intense Emphasis"/>
    <w:basedOn w:val="20"/>
    <w:qFormat/>
    <w:uiPriority w:val="21"/>
    <w:rPr>
      <w:i/>
      <w:iCs/>
      <w:color w:val="4472C4" w:themeColor="accent1"/>
    </w:rPr>
  </w:style>
  <w:style w:type="character" w:customStyle="1" w:styleId="45">
    <w:name w:val="Subtle Reference"/>
    <w:basedOn w:val="20"/>
    <w:autoRedefine/>
    <w:qFormat/>
    <w:uiPriority w:val="31"/>
    <w:rPr>
      <w:smallCaps/>
      <w:color w:val="595959" w:themeColor="text1" w:themeTint="A5"/>
    </w:rPr>
  </w:style>
  <w:style w:type="character" w:customStyle="1" w:styleId="46">
    <w:name w:val="Intense Reference"/>
    <w:basedOn w:val="20"/>
    <w:qFormat/>
    <w:uiPriority w:val="32"/>
    <w:rPr>
      <w:b/>
      <w:bCs/>
      <w:smallCaps/>
      <w:color w:val="4472C4" w:themeColor="accent1"/>
      <w:spacing w:val="5"/>
    </w:rPr>
  </w:style>
  <w:style w:type="character" w:customStyle="1" w:styleId="47">
    <w:name w:val="Book Title"/>
    <w:basedOn w:val="20"/>
    <w:qFormat/>
    <w:uiPriority w:val="33"/>
    <w:rPr>
      <w:b/>
      <w:bCs/>
      <w:i/>
      <w:iCs/>
      <w:spacing w:val="5"/>
    </w:rPr>
  </w:style>
  <w:style w:type="paragraph" w:customStyle="1" w:styleId="48">
    <w:name w:val="TOC Heading"/>
    <w:basedOn w:val="2"/>
    <w:next w:val="1"/>
    <w:unhideWhenUsed/>
    <w:qFormat/>
    <w:uiPriority w:val="39"/>
    <w:pPr>
      <w:outlineLvl w:val="9"/>
    </w:pPr>
  </w:style>
  <w:style w:type="paragraph" w:styleId="49">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BA736-E459-492B-924B-F7824D39C68D}">
  <ds:schemaRefs/>
</ds:datastoreItem>
</file>

<file path=docProps/app.xml><?xml version="1.0" encoding="utf-8"?>
<Properties xmlns="http://schemas.openxmlformats.org/officeDocument/2006/extended-properties" xmlns:vt="http://schemas.openxmlformats.org/officeDocument/2006/docPropsVTypes">
  <Template>Normal</Template>
  <Pages>12</Pages>
  <Words>3444</Words>
  <Characters>19634</Characters>
  <Lines>163</Lines>
  <Paragraphs>46</Paragraphs>
  <TotalTime>282</TotalTime>
  <ScaleCrop>false</ScaleCrop>
  <LinksUpToDate>false</LinksUpToDate>
  <CharactersWithSpaces>23032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2024-01-07T00:21:00Z</dcterms:created>
  <dc:creator>Jinghua Zeng</dc:creator>
  <cp:lastModifiedBy>酒与轻歌</cp:lastModifiedBy>
  <dcterms:modified xsi:type="dcterms:W3CDTF">2024-01-17T16:54:05Z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557399f4329b334d94f95ff838dfc254d4455d73137638c51c57ade11ce1d3de</vt:lpwstr>
  </property>
  <property fmtid="{D5CDD505-2E9C-101B-9397-08002B2CF9AE}" pid="3" name="KSOProductBuildVer">
    <vt:lpwstr>2052-12.1.0.16120</vt:lpwstr>
  </property>
  <property fmtid="{D5CDD505-2E9C-101B-9397-08002B2CF9AE}" pid="4" name="ICV">
    <vt:lpwstr>DBA229AAB1584343B017B5EE4C50005F_12</vt:lpwstr>
  </property>
</Properties>
</file>