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C64A9" w14:textId="7938F255" w:rsidR="00C7172C" w:rsidRDefault="00C7172C" w:rsidP="00C7172C">
      <w:pPr>
        <w:rPr>
          <w:b/>
          <w:bCs/>
        </w:rPr>
      </w:pPr>
      <w:r>
        <w:rPr>
          <w:noProof/>
        </w:rPr>
        <w:drawing>
          <wp:inline distT="0" distB="0" distL="0" distR="0" wp14:anchorId="15BA4AFE" wp14:editId="26DBB2CA">
            <wp:extent cx="3639820" cy="1816735"/>
            <wp:effectExtent l="0" t="0" r="0" b="0"/>
            <wp:docPr id="12299093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909378"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39820" cy="1816735"/>
                    </a:xfrm>
                    <a:prstGeom prst="rect">
                      <a:avLst/>
                    </a:prstGeom>
                    <a:noFill/>
                  </pic:spPr>
                </pic:pic>
              </a:graphicData>
            </a:graphic>
          </wp:inline>
        </w:drawing>
      </w:r>
    </w:p>
    <w:p w14:paraId="1F3E131F" w14:textId="77777777" w:rsidR="00C7172C" w:rsidRDefault="00C7172C" w:rsidP="00C7172C">
      <w:pPr>
        <w:ind w:left="1440" w:firstLine="720"/>
        <w:rPr>
          <w:rFonts w:ascii="Times New Roman" w:hAnsi="Times New Roman" w:cs="Times New Roman"/>
          <w:sz w:val="24"/>
          <w:szCs w:val="24"/>
        </w:rPr>
      </w:pPr>
      <w:r>
        <w:rPr>
          <w:rFonts w:ascii="Times New Roman" w:hAnsi="Times New Roman" w:cs="Times New Roman"/>
          <w:sz w:val="24"/>
          <w:szCs w:val="24"/>
        </w:rPr>
        <w:t xml:space="preserve">                 </w:t>
      </w:r>
    </w:p>
    <w:p w14:paraId="10CD9359" w14:textId="77777777" w:rsidR="00C7172C" w:rsidRDefault="00C7172C" w:rsidP="00C7172C">
      <w:pPr>
        <w:ind w:left="1440" w:firstLine="720"/>
        <w:rPr>
          <w:rFonts w:ascii="Times New Roman" w:hAnsi="Times New Roman" w:cs="Times New Roman"/>
          <w:sz w:val="24"/>
          <w:szCs w:val="24"/>
        </w:rPr>
      </w:pPr>
    </w:p>
    <w:p w14:paraId="1B37590A" w14:textId="5EF08FB2" w:rsidR="00C7172C" w:rsidRPr="00C7172C" w:rsidRDefault="00C7172C" w:rsidP="00C7172C">
      <w:pPr>
        <w:ind w:left="1440" w:firstLine="720"/>
        <w:rPr>
          <w:rFonts w:ascii="Times New Roman" w:hAnsi="Times New Roman" w:cs="Times New Roman"/>
          <w:sz w:val="40"/>
          <w:szCs w:val="40"/>
        </w:rPr>
      </w:pPr>
      <w:r>
        <w:rPr>
          <w:rFonts w:ascii="Times New Roman" w:hAnsi="Times New Roman" w:cs="Times New Roman"/>
          <w:sz w:val="24"/>
          <w:szCs w:val="24"/>
        </w:rPr>
        <w:t xml:space="preserve">                         </w:t>
      </w:r>
      <w:r w:rsidRPr="00C7172C">
        <w:rPr>
          <w:rFonts w:ascii="Times New Roman" w:hAnsi="Times New Roman" w:cs="Times New Roman"/>
          <w:sz w:val="40"/>
          <w:szCs w:val="40"/>
        </w:rPr>
        <w:t>Assessment 1</w:t>
      </w:r>
    </w:p>
    <w:p w14:paraId="355FA196" w14:textId="77777777" w:rsidR="00C7172C" w:rsidRPr="00C7172C" w:rsidRDefault="00C7172C" w:rsidP="00C7172C">
      <w:pPr>
        <w:rPr>
          <w:rFonts w:ascii="Times New Roman" w:hAnsi="Times New Roman" w:cs="Times New Roman"/>
          <w:sz w:val="40"/>
          <w:szCs w:val="40"/>
        </w:rPr>
      </w:pPr>
    </w:p>
    <w:p w14:paraId="30C6BFE0" w14:textId="77777777" w:rsidR="00C7172C" w:rsidRPr="006F695A" w:rsidRDefault="00C7172C" w:rsidP="00C7172C">
      <w:pPr>
        <w:rPr>
          <w:rFonts w:ascii="Times New Roman" w:hAnsi="Times New Roman" w:cs="Times New Roman"/>
          <w:sz w:val="24"/>
          <w:szCs w:val="24"/>
        </w:rPr>
      </w:pPr>
    </w:p>
    <w:p w14:paraId="53BBB9AF" w14:textId="77777777" w:rsidR="00C7172C" w:rsidRPr="00DA3455" w:rsidRDefault="00C7172C" w:rsidP="00DA3455">
      <w:pPr>
        <w:spacing w:line="360" w:lineRule="auto"/>
        <w:rPr>
          <w:rFonts w:ascii="Arial" w:hAnsi="Arial" w:cs="Arial"/>
          <w:sz w:val="24"/>
          <w:szCs w:val="24"/>
        </w:rPr>
      </w:pPr>
    </w:p>
    <w:p w14:paraId="63CF4916" w14:textId="77777777" w:rsidR="00C7172C" w:rsidRPr="00DA3455" w:rsidRDefault="00C7172C" w:rsidP="00DA3455">
      <w:pPr>
        <w:spacing w:line="360" w:lineRule="auto"/>
        <w:rPr>
          <w:rFonts w:ascii="Arial" w:hAnsi="Arial" w:cs="Arial"/>
          <w:sz w:val="24"/>
          <w:szCs w:val="24"/>
        </w:rPr>
      </w:pPr>
      <w:r w:rsidRPr="00DA3455">
        <w:rPr>
          <w:rFonts w:ascii="Arial" w:hAnsi="Arial" w:cs="Arial"/>
          <w:sz w:val="24"/>
          <w:szCs w:val="24"/>
        </w:rPr>
        <w:t>Name: Sorin Daniel Dascalu</w:t>
      </w:r>
    </w:p>
    <w:p w14:paraId="2233BB05" w14:textId="77777777" w:rsidR="00C7172C" w:rsidRPr="00DA3455" w:rsidRDefault="00C7172C" w:rsidP="00DA3455">
      <w:pPr>
        <w:spacing w:line="360" w:lineRule="auto"/>
        <w:rPr>
          <w:rFonts w:ascii="Arial" w:hAnsi="Arial" w:cs="Arial"/>
          <w:sz w:val="24"/>
          <w:szCs w:val="24"/>
        </w:rPr>
      </w:pPr>
      <w:r w:rsidRPr="00DA3455">
        <w:rPr>
          <w:rFonts w:ascii="Arial" w:hAnsi="Arial" w:cs="Arial"/>
          <w:sz w:val="24"/>
          <w:szCs w:val="24"/>
        </w:rPr>
        <w:t>Student ID: 2237755</w:t>
      </w:r>
    </w:p>
    <w:p w14:paraId="359A631E" w14:textId="33F387D7" w:rsidR="00C7172C" w:rsidRPr="00DA3455" w:rsidRDefault="00C7172C" w:rsidP="00DA3455">
      <w:pPr>
        <w:spacing w:line="360" w:lineRule="auto"/>
        <w:rPr>
          <w:rFonts w:ascii="Arial" w:hAnsi="Arial" w:cs="Arial"/>
          <w:sz w:val="24"/>
          <w:szCs w:val="24"/>
        </w:rPr>
      </w:pPr>
      <w:r w:rsidRPr="00DA3455">
        <w:rPr>
          <w:rFonts w:ascii="Arial" w:hAnsi="Arial" w:cs="Arial"/>
          <w:sz w:val="24"/>
          <w:szCs w:val="24"/>
        </w:rPr>
        <w:t>Module code: LCBB</w:t>
      </w:r>
      <w:r w:rsidR="007B6648" w:rsidRPr="00DA3455">
        <w:rPr>
          <w:rFonts w:ascii="Arial" w:hAnsi="Arial" w:cs="Arial"/>
          <w:sz w:val="24"/>
          <w:szCs w:val="24"/>
        </w:rPr>
        <w:t>6015</w:t>
      </w:r>
    </w:p>
    <w:p w14:paraId="7ED9477E" w14:textId="2D54E3A2" w:rsidR="00C7172C" w:rsidRPr="00DA3455" w:rsidRDefault="00C7172C" w:rsidP="00DA3455">
      <w:pPr>
        <w:spacing w:line="360" w:lineRule="auto"/>
        <w:rPr>
          <w:rFonts w:ascii="Arial" w:hAnsi="Arial" w:cs="Arial"/>
          <w:sz w:val="24"/>
          <w:szCs w:val="24"/>
        </w:rPr>
      </w:pPr>
      <w:r w:rsidRPr="00DA3455">
        <w:rPr>
          <w:rFonts w:ascii="Arial" w:hAnsi="Arial" w:cs="Arial"/>
          <w:sz w:val="24"/>
          <w:szCs w:val="24"/>
        </w:rPr>
        <w:t xml:space="preserve">Module name: </w:t>
      </w:r>
      <w:r w:rsidR="007B6648" w:rsidRPr="00DA3455">
        <w:rPr>
          <w:rFonts w:ascii="Arial" w:hAnsi="Arial" w:cs="Arial"/>
          <w:sz w:val="24"/>
          <w:szCs w:val="24"/>
        </w:rPr>
        <w:t>Strategic Management and Sustainability</w:t>
      </w:r>
    </w:p>
    <w:p w14:paraId="7098A58E" w14:textId="26CA84B1" w:rsidR="00C7172C" w:rsidRPr="00DA3455" w:rsidRDefault="00C7172C" w:rsidP="00DA3455">
      <w:pPr>
        <w:spacing w:line="360" w:lineRule="auto"/>
        <w:rPr>
          <w:rFonts w:ascii="Arial" w:hAnsi="Arial" w:cs="Arial"/>
          <w:sz w:val="24"/>
          <w:szCs w:val="24"/>
        </w:rPr>
      </w:pPr>
      <w:r w:rsidRPr="00DA3455">
        <w:rPr>
          <w:rFonts w:ascii="Arial" w:hAnsi="Arial" w:cs="Arial"/>
          <w:sz w:val="24"/>
          <w:szCs w:val="24"/>
        </w:rPr>
        <w:t xml:space="preserve">Lecturer: </w:t>
      </w:r>
      <w:r w:rsidR="007B6648" w:rsidRPr="00DA3455">
        <w:rPr>
          <w:rFonts w:ascii="Arial" w:hAnsi="Arial" w:cs="Arial"/>
          <w:sz w:val="24"/>
          <w:szCs w:val="24"/>
        </w:rPr>
        <w:t>Nadeem Mirza</w:t>
      </w:r>
    </w:p>
    <w:p w14:paraId="7BCE480F" w14:textId="77777777" w:rsidR="00C7172C" w:rsidRDefault="00C7172C" w:rsidP="00C7172C">
      <w:pPr>
        <w:rPr>
          <w:b/>
          <w:bCs/>
        </w:rPr>
      </w:pPr>
    </w:p>
    <w:p w14:paraId="6A95A9EF" w14:textId="77777777" w:rsidR="00C7172C" w:rsidRDefault="00C7172C" w:rsidP="00C7172C">
      <w:pPr>
        <w:rPr>
          <w:b/>
          <w:bCs/>
        </w:rPr>
      </w:pPr>
    </w:p>
    <w:p w14:paraId="7C05BF84" w14:textId="77777777" w:rsidR="00C7172C" w:rsidRDefault="00C7172C" w:rsidP="00C7172C">
      <w:pPr>
        <w:rPr>
          <w:b/>
          <w:bCs/>
        </w:rPr>
      </w:pPr>
    </w:p>
    <w:p w14:paraId="75003A61" w14:textId="77777777" w:rsidR="00C7172C" w:rsidRDefault="00C7172C" w:rsidP="00C7172C">
      <w:pPr>
        <w:rPr>
          <w:b/>
          <w:bCs/>
        </w:rPr>
      </w:pPr>
    </w:p>
    <w:p w14:paraId="56B0C42D" w14:textId="77777777" w:rsidR="00C7172C" w:rsidRDefault="00C7172C" w:rsidP="00C7172C">
      <w:pPr>
        <w:rPr>
          <w:b/>
          <w:bCs/>
        </w:rPr>
      </w:pPr>
    </w:p>
    <w:p w14:paraId="287F30C2" w14:textId="77777777" w:rsidR="00C7172C" w:rsidRDefault="00C7172C" w:rsidP="00C7172C">
      <w:pPr>
        <w:rPr>
          <w:b/>
          <w:bCs/>
        </w:rPr>
      </w:pPr>
    </w:p>
    <w:p w14:paraId="2F477F0C" w14:textId="77777777" w:rsidR="00C7172C" w:rsidRDefault="00C7172C" w:rsidP="00C7172C">
      <w:pPr>
        <w:rPr>
          <w:b/>
          <w:bCs/>
        </w:rPr>
      </w:pPr>
    </w:p>
    <w:p w14:paraId="41BD400F" w14:textId="77777777" w:rsidR="00C7172C" w:rsidRDefault="00C7172C" w:rsidP="00C7172C">
      <w:pPr>
        <w:rPr>
          <w:b/>
          <w:bCs/>
        </w:rPr>
      </w:pPr>
    </w:p>
    <w:p w14:paraId="40D9B7CF" w14:textId="77777777" w:rsidR="00C7172C" w:rsidRDefault="00C7172C" w:rsidP="00C7172C">
      <w:pPr>
        <w:rPr>
          <w:b/>
          <w:bCs/>
        </w:rPr>
      </w:pPr>
    </w:p>
    <w:p w14:paraId="2BF630E3" w14:textId="77777777" w:rsidR="00C7172C" w:rsidRDefault="00C7172C" w:rsidP="00C7172C">
      <w:pPr>
        <w:rPr>
          <w:b/>
          <w:bCs/>
        </w:rPr>
      </w:pPr>
    </w:p>
    <w:p w14:paraId="019BC861" w14:textId="77777777" w:rsidR="00C7172C" w:rsidRDefault="00C7172C" w:rsidP="00C7172C">
      <w:pPr>
        <w:rPr>
          <w:b/>
          <w:bCs/>
        </w:rPr>
      </w:pPr>
    </w:p>
    <w:p w14:paraId="382B8762" w14:textId="77777777" w:rsidR="007B6648" w:rsidRDefault="007B6648" w:rsidP="00C7172C">
      <w:pPr>
        <w:rPr>
          <w:b/>
          <w:bCs/>
        </w:rPr>
      </w:pPr>
    </w:p>
    <w:bookmarkStart w:id="0" w:name="_Toc235944530" w:displacedByCustomXml="next"/>
    <w:sdt>
      <w:sdtPr>
        <w:rPr>
          <w:rFonts w:ascii="Arial" w:hAnsi="Arial" w:cs="Arial"/>
          <w:sz w:val="24"/>
          <w:szCs w:val="24"/>
        </w:rPr>
        <w:id w:val="1877961781"/>
        <w:docPartObj>
          <w:docPartGallery w:val="Table of Contents"/>
          <w:docPartUnique/>
        </w:docPartObj>
      </w:sdtPr>
      <w:sdtEndPr>
        <w:rPr>
          <w:rFonts w:eastAsiaTheme="minorHAnsi"/>
          <w:b/>
          <w:bCs/>
          <w:noProof/>
          <w:color w:val="auto"/>
          <w:kern w:val="2"/>
          <w:lang w:val="en-GB"/>
        </w:rPr>
      </w:sdtEndPr>
      <w:sdtContent>
        <w:p w14:paraId="29106E31" w14:textId="3E50AC88" w:rsidR="00D30F36" w:rsidRPr="00D30F36" w:rsidRDefault="00D30F36" w:rsidP="00D30F36">
          <w:pPr>
            <w:pStyle w:val="TOCHeading"/>
            <w:spacing w:line="360" w:lineRule="auto"/>
            <w:rPr>
              <w:rFonts w:ascii="Arial" w:hAnsi="Arial" w:cs="Arial"/>
              <w:sz w:val="24"/>
              <w:szCs w:val="24"/>
            </w:rPr>
          </w:pPr>
          <w:r w:rsidRPr="00D30F36">
            <w:rPr>
              <w:rFonts w:ascii="Arial" w:hAnsi="Arial" w:cs="Arial"/>
              <w:sz w:val="24"/>
              <w:szCs w:val="24"/>
            </w:rPr>
            <w:t>Table of Contents</w:t>
          </w:r>
        </w:p>
        <w:p w14:paraId="29109168" w14:textId="07BAA2FA" w:rsidR="00D30F36" w:rsidRPr="00D30F36" w:rsidRDefault="00D30F36" w:rsidP="00D30F36">
          <w:pPr>
            <w:pStyle w:val="TOC1"/>
            <w:tabs>
              <w:tab w:val="left" w:pos="480"/>
              <w:tab w:val="right" w:leader="dot" w:pos="9016"/>
            </w:tabs>
            <w:spacing w:line="360" w:lineRule="auto"/>
            <w:rPr>
              <w:rFonts w:ascii="Arial" w:eastAsiaTheme="minorEastAsia" w:hAnsi="Arial" w:cs="Arial"/>
              <w:noProof/>
              <w:sz w:val="24"/>
              <w:szCs w:val="24"/>
              <w:lang w:eastAsia="en-GB"/>
            </w:rPr>
          </w:pPr>
          <w:r w:rsidRPr="00D30F36">
            <w:rPr>
              <w:rFonts w:ascii="Arial" w:hAnsi="Arial" w:cs="Arial"/>
              <w:sz w:val="24"/>
              <w:szCs w:val="24"/>
            </w:rPr>
            <w:fldChar w:fldCharType="begin"/>
          </w:r>
          <w:r w:rsidRPr="00D30F36">
            <w:rPr>
              <w:rFonts w:ascii="Arial" w:hAnsi="Arial" w:cs="Arial"/>
              <w:sz w:val="24"/>
              <w:szCs w:val="24"/>
            </w:rPr>
            <w:instrText xml:space="preserve"> TOC \o "1-3" \h \z \u </w:instrText>
          </w:r>
          <w:r w:rsidRPr="00D30F36">
            <w:rPr>
              <w:rFonts w:ascii="Arial" w:hAnsi="Arial" w:cs="Arial"/>
              <w:sz w:val="24"/>
              <w:szCs w:val="24"/>
            </w:rPr>
            <w:fldChar w:fldCharType="separate"/>
          </w:r>
          <w:hyperlink w:anchor="_Toc235945178" w:history="1">
            <w:r w:rsidRPr="00D30F36">
              <w:rPr>
                <w:rStyle w:val="Hyperlink"/>
                <w:rFonts w:ascii="Arial" w:hAnsi="Arial" w:cs="Arial"/>
                <w:noProof/>
                <w:sz w:val="24"/>
                <w:szCs w:val="24"/>
              </w:rPr>
              <w:t>1.</w:t>
            </w:r>
            <w:r w:rsidRPr="00D30F36">
              <w:rPr>
                <w:rFonts w:ascii="Arial" w:eastAsiaTheme="minorEastAsia" w:hAnsi="Arial" w:cs="Arial"/>
                <w:noProof/>
                <w:sz w:val="24"/>
                <w:szCs w:val="24"/>
                <w:lang w:eastAsia="en-GB"/>
              </w:rPr>
              <w:tab/>
            </w:r>
            <w:r w:rsidRPr="00D30F36">
              <w:rPr>
                <w:rStyle w:val="Hyperlink"/>
                <w:rFonts w:ascii="Arial" w:hAnsi="Arial" w:cs="Arial"/>
                <w:noProof/>
                <w:sz w:val="24"/>
                <w:szCs w:val="24"/>
              </w:rPr>
              <w:t>Executive Summary</w:t>
            </w:r>
            <w:r w:rsidRPr="00D30F36">
              <w:rPr>
                <w:rFonts w:ascii="Arial" w:hAnsi="Arial" w:cs="Arial"/>
                <w:noProof/>
                <w:webHidden/>
                <w:sz w:val="24"/>
                <w:szCs w:val="24"/>
              </w:rPr>
              <w:tab/>
            </w:r>
            <w:r w:rsidRPr="00D30F36">
              <w:rPr>
                <w:rFonts w:ascii="Arial" w:hAnsi="Arial" w:cs="Arial"/>
                <w:noProof/>
                <w:webHidden/>
                <w:sz w:val="24"/>
                <w:szCs w:val="24"/>
              </w:rPr>
              <w:fldChar w:fldCharType="begin"/>
            </w:r>
            <w:r w:rsidRPr="00D30F36">
              <w:rPr>
                <w:rFonts w:ascii="Arial" w:hAnsi="Arial" w:cs="Arial"/>
                <w:noProof/>
                <w:webHidden/>
                <w:sz w:val="24"/>
                <w:szCs w:val="24"/>
              </w:rPr>
              <w:instrText xml:space="preserve"> PAGEREF _Toc235945178 \h </w:instrText>
            </w:r>
            <w:r w:rsidRPr="00D30F36">
              <w:rPr>
                <w:rFonts w:ascii="Arial" w:hAnsi="Arial" w:cs="Arial"/>
                <w:noProof/>
                <w:webHidden/>
                <w:sz w:val="24"/>
                <w:szCs w:val="24"/>
              </w:rPr>
            </w:r>
            <w:r w:rsidRPr="00D30F36">
              <w:rPr>
                <w:rFonts w:ascii="Arial" w:hAnsi="Arial" w:cs="Arial"/>
                <w:noProof/>
                <w:webHidden/>
                <w:sz w:val="24"/>
                <w:szCs w:val="24"/>
              </w:rPr>
              <w:fldChar w:fldCharType="separate"/>
            </w:r>
            <w:r w:rsidRPr="00D30F36">
              <w:rPr>
                <w:rFonts w:ascii="Arial" w:hAnsi="Arial" w:cs="Arial"/>
                <w:noProof/>
                <w:webHidden/>
                <w:sz w:val="24"/>
                <w:szCs w:val="24"/>
              </w:rPr>
              <w:t>3</w:t>
            </w:r>
            <w:r w:rsidRPr="00D30F36">
              <w:rPr>
                <w:rFonts w:ascii="Arial" w:hAnsi="Arial" w:cs="Arial"/>
                <w:noProof/>
                <w:webHidden/>
                <w:sz w:val="24"/>
                <w:szCs w:val="24"/>
              </w:rPr>
              <w:fldChar w:fldCharType="end"/>
            </w:r>
          </w:hyperlink>
        </w:p>
        <w:p w14:paraId="7BA70491" w14:textId="2543C538" w:rsidR="00D30F36" w:rsidRPr="00D30F36" w:rsidRDefault="00D30F36" w:rsidP="00D30F36">
          <w:pPr>
            <w:pStyle w:val="TOC1"/>
            <w:tabs>
              <w:tab w:val="left" w:pos="480"/>
              <w:tab w:val="right" w:leader="dot" w:pos="9016"/>
            </w:tabs>
            <w:spacing w:line="360" w:lineRule="auto"/>
            <w:rPr>
              <w:rFonts w:ascii="Arial" w:eastAsiaTheme="minorEastAsia" w:hAnsi="Arial" w:cs="Arial"/>
              <w:noProof/>
              <w:sz w:val="24"/>
              <w:szCs w:val="24"/>
              <w:lang w:eastAsia="en-GB"/>
            </w:rPr>
          </w:pPr>
          <w:hyperlink w:anchor="_Toc235945179" w:history="1">
            <w:r w:rsidRPr="00D30F36">
              <w:rPr>
                <w:rStyle w:val="Hyperlink"/>
                <w:rFonts w:ascii="Arial" w:hAnsi="Arial" w:cs="Arial"/>
                <w:noProof/>
                <w:sz w:val="24"/>
                <w:szCs w:val="24"/>
              </w:rPr>
              <w:t>2.</w:t>
            </w:r>
            <w:r w:rsidRPr="00D30F36">
              <w:rPr>
                <w:rFonts w:ascii="Arial" w:eastAsiaTheme="minorEastAsia" w:hAnsi="Arial" w:cs="Arial"/>
                <w:noProof/>
                <w:sz w:val="24"/>
                <w:szCs w:val="24"/>
                <w:lang w:eastAsia="en-GB"/>
              </w:rPr>
              <w:tab/>
            </w:r>
            <w:r w:rsidRPr="00D30F36">
              <w:rPr>
                <w:rStyle w:val="Hyperlink"/>
                <w:rFonts w:ascii="Arial" w:hAnsi="Arial" w:cs="Arial"/>
                <w:noProof/>
                <w:sz w:val="24"/>
                <w:szCs w:val="24"/>
              </w:rPr>
              <w:t>Introduction</w:t>
            </w:r>
            <w:r w:rsidRPr="00D30F36">
              <w:rPr>
                <w:rFonts w:ascii="Arial" w:hAnsi="Arial" w:cs="Arial"/>
                <w:noProof/>
                <w:webHidden/>
                <w:sz w:val="24"/>
                <w:szCs w:val="24"/>
              </w:rPr>
              <w:tab/>
            </w:r>
            <w:r w:rsidRPr="00D30F36">
              <w:rPr>
                <w:rFonts w:ascii="Arial" w:hAnsi="Arial" w:cs="Arial"/>
                <w:noProof/>
                <w:webHidden/>
                <w:sz w:val="24"/>
                <w:szCs w:val="24"/>
              </w:rPr>
              <w:fldChar w:fldCharType="begin"/>
            </w:r>
            <w:r w:rsidRPr="00D30F36">
              <w:rPr>
                <w:rFonts w:ascii="Arial" w:hAnsi="Arial" w:cs="Arial"/>
                <w:noProof/>
                <w:webHidden/>
                <w:sz w:val="24"/>
                <w:szCs w:val="24"/>
              </w:rPr>
              <w:instrText xml:space="preserve"> PAGEREF _Toc235945179 \h </w:instrText>
            </w:r>
            <w:r w:rsidRPr="00D30F36">
              <w:rPr>
                <w:rFonts w:ascii="Arial" w:hAnsi="Arial" w:cs="Arial"/>
                <w:noProof/>
                <w:webHidden/>
                <w:sz w:val="24"/>
                <w:szCs w:val="24"/>
              </w:rPr>
            </w:r>
            <w:r w:rsidRPr="00D30F36">
              <w:rPr>
                <w:rFonts w:ascii="Arial" w:hAnsi="Arial" w:cs="Arial"/>
                <w:noProof/>
                <w:webHidden/>
                <w:sz w:val="24"/>
                <w:szCs w:val="24"/>
              </w:rPr>
              <w:fldChar w:fldCharType="separate"/>
            </w:r>
            <w:r w:rsidRPr="00D30F36">
              <w:rPr>
                <w:rFonts w:ascii="Arial" w:hAnsi="Arial" w:cs="Arial"/>
                <w:noProof/>
                <w:webHidden/>
                <w:sz w:val="24"/>
                <w:szCs w:val="24"/>
              </w:rPr>
              <w:t>3</w:t>
            </w:r>
            <w:r w:rsidRPr="00D30F36">
              <w:rPr>
                <w:rFonts w:ascii="Arial" w:hAnsi="Arial" w:cs="Arial"/>
                <w:noProof/>
                <w:webHidden/>
                <w:sz w:val="24"/>
                <w:szCs w:val="24"/>
              </w:rPr>
              <w:fldChar w:fldCharType="end"/>
            </w:r>
          </w:hyperlink>
        </w:p>
        <w:p w14:paraId="51671AF2" w14:textId="5A000549" w:rsidR="00D30F36" w:rsidRPr="00D30F36" w:rsidRDefault="00D30F36" w:rsidP="00D30F36">
          <w:pPr>
            <w:pStyle w:val="TOC1"/>
            <w:tabs>
              <w:tab w:val="right" w:leader="dot" w:pos="9016"/>
            </w:tabs>
            <w:spacing w:line="360" w:lineRule="auto"/>
            <w:rPr>
              <w:rFonts w:ascii="Arial" w:eastAsiaTheme="minorEastAsia" w:hAnsi="Arial" w:cs="Arial"/>
              <w:noProof/>
              <w:sz w:val="24"/>
              <w:szCs w:val="24"/>
              <w:lang w:eastAsia="en-GB"/>
            </w:rPr>
          </w:pPr>
          <w:hyperlink w:anchor="_Toc235945180" w:history="1">
            <w:r w:rsidRPr="00D30F36">
              <w:rPr>
                <w:rStyle w:val="Hyperlink"/>
                <w:rFonts w:ascii="Arial" w:hAnsi="Arial" w:cs="Arial"/>
                <w:noProof/>
                <w:sz w:val="24"/>
                <w:szCs w:val="24"/>
              </w:rPr>
              <w:t>3. Strategy Analysis</w:t>
            </w:r>
            <w:r w:rsidRPr="00D30F36">
              <w:rPr>
                <w:rFonts w:ascii="Arial" w:hAnsi="Arial" w:cs="Arial"/>
                <w:noProof/>
                <w:webHidden/>
                <w:sz w:val="24"/>
                <w:szCs w:val="24"/>
              </w:rPr>
              <w:tab/>
            </w:r>
            <w:r w:rsidRPr="00D30F36">
              <w:rPr>
                <w:rFonts w:ascii="Arial" w:hAnsi="Arial" w:cs="Arial"/>
                <w:noProof/>
                <w:webHidden/>
                <w:sz w:val="24"/>
                <w:szCs w:val="24"/>
              </w:rPr>
              <w:fldChar w:fldCharType="begin"/>
            </w:r>
            <w:r w:rsidRPr="00D30F36">
              <w:rPr>
                <w:rFonts w:ascii="Arial" w:hAnsi="Arial" w:cs="Arial"/>
                <w:noProof/>
                <w:webHidden/>
                <w:sz w:val="24"/>
                <w:szCs w:val="24"/>
              </w:rPr>
              <w:instrText xml:space="preserve"> PAGEREF _Toc235945180 \h </w:instrText>
            </w:r>
            <w:r w:rsidRPr="00D30F36">
              <w:rPr>
                <w:rFonts w:ascii="Arial" w:hAnsi="Arial" w:cs="Arial"/>
                <w:noProof/>
                <w:webHidden/>
                <w:sz w:val="24"/>
                <w:szCs w:val="24"/>
              </w:rPr>
            </w:r>
            <w:r w:rsidRPr="00D30F36">
              <w:rPr>
                <w:rFonts w:ascii="Arial" w:hAnsi="Arial" w:cs="Arial"/>
                <w:noProof/>
                <w:webHidden/>
                <w:sz w:val="24"/>
                <w:szCs w:val="24"/>
              </w:rPr>
              <w:fldChar w:fldCharType="separate"/>
            </w:r>
            <w:r w:rsidRPr="00D30F36">
              <w:rPr>
                <w:rFonts w:ascii="Arial" w:hAnsi="Arial" w:cs="Arial"/>
                <w:noProof/>
                <w:webHidden/>
                <w:sz w:val="24"/>
                <w:szCs w:val="24"/>
              </w:rPr>
              <w:t>4</w:t>
            </w:r>
            <w:r w:rsidRPr="00D30F36">
              <w:rPr>
                <w:rFonts w:ascii="Arial" w:hAnsi="Arial" w:cs="Arial"/>
                <w:noProof/>
                <w:webHidden/>
                <w:sz w:val="24"/>
                <w:szCs w:val="24"/>
              </w:rPr>
              <w:fldChar w:fldCharType="end"/>
            </w:r>
          </w:hyperlink>
        </w:p>
        <w:p w14:paraId="7B81A1E2" w14:textId="66164B92" w:rsidR="00D30F36" w:rsidRPr="00D30F36" w:rsidRDefault="00D30F36" w:rsidP="00D30F36">
          <w:pPr>
            <w:pStyle w:val="TOC2"/>
            <w:tabs>
              <w:tab w:val="right" w:leader="dot" w:pos="9016"/>
            </w:tabs>
            <w:spacing w:line="360" w:lineRule="auto"/>
            <w:rPr>
              <w:rFonts w:ascii="Arial" w:eastAsiaTheme="minorEastAsia" w:hAnsi="Arial" w:cs="Arial"/>
              <w:noProof/>
              <w:sz w:val="24"/>
              <w:szCs w:val="24"/>
              <w:lang w:eastAsia="en-GB"/>
            </w:rPr>
          </w:pPr>
          <w:hyperlink w:anchor="_Toc235945181" w:history="1">
            <w:r w:rsidRPr="00D30F36">
              <w:rPr>
                <w:rStyle w:val="Hyperlink"/>
                <w:rFonts w:ascii="Arial" w:hAnsi="Arial" w:cs="Arial"/>
                <w:b/>
                <w:bCs/>
                <w:noProof/>
                <w:sz w:val="24"/>
                <w:szCs w:val="24"/>
              </w:rPr>
              <w:t>3.1 External Environment Audit: PESTLE</w:t>
            </w:r>
            <w:r w:rsidRPr="00D30F36">
              <w:rPr>
                <w:rFonts w:ascii="Arial" w:hAnsi="Arial" w:cs="Arial"/>
                <w:noProof/>
                <w:webHidden/>
                <w:sz w:val="24"/>
                <w:szCs w:val="24"/>
              </w:rPr>
              <w:tab/>
            </w:r>
            <w:r w:rsidRPr="00D30F36">
              <w:rPr>
                <w:rFonts w:ascii="Arial" w:hAnsi="Arial" w:cs="Arial"/>
                <w:noProof/>
                <w:webHidden/>
                <w:sz w:val="24"/>
                <w:szCs w:val="24"/>
              </w:rPr>
              <w:fldChar w:fldCharType="begin"/>
            </w:r>
            <w:r w:rsidRPr="00D30F36">
              <w:rPr>
                <w:rFonts w:ascii="Arial" w:hAnsi="Arial" w:cs="Arial"/>
                <w:noProof/>
                <w:webHidden/>
                <w:sz w:val="24"/>
                <w:szCs w:val="24"/>
              </w:rPr>
              <w:instrText xml:space="preserve"> PAGEREF _Toc235945181 \h </w:instrText>
            </w:r>
            <w:r w:rsidRPr="00D30F36">
              <w:rPr>
                <w:rFonts w:ascii="Arial" w:hAnsi="Arial" w:cs="Arial"/>
                <w:noProof/>
                <w:webHidden/>
                <w:sz w:val="24"/>
                <w:szCs w:val="24"/>
              </w:rPr>
            </w:r>
            <w:r w:rsidRPr="00D30F36">
              <w:rPr>
                <w:rFonts w:ascii="Arial" w:hAnsi="Arial" w:cs="Arial"/>
                <w:noProof/>
                <w:webHidden/>
                <w:sz w:val="24"/>
                <w:szCs w:val="24"/>
              </w:rPr>
              <w:fldChar w:fldCharType="separate"/>
            </w:r>
            <w:r w:rsidRPr="00D30F36">
              <w:rPr>
                <w:rFonts w:ascii="Arial" w:hAnsi="Arial" w:cs="Arial"/>
                <w:noProof/>
                <w:webHidden/>
                <w:sz w:val="24"/>
                <w:szCs w:val="24"/>
              </w:rPr>
              <w:t>4</w:t>
            </w:r>
            <w:r w:rsidRPr="00D30F36">
              <w:rPr>
                <w:rFonts w:ascii="Arial" w:hAnsi="Arial" w:cs="Arial"/>
                <w:noProof/>
                <w:webHidden/>
                <w:sz w:val="24"/>
                <w:szCs w:val="24"/>
              </w:rPr>
              <w:fldChar w:fldCharType="end"/>
            </w:r>
          </w:hyperlink>
        </w:p>
        <w:p w14:paraId="372C517D" w14:textId="33F11440" w:rsidR="00D30F36" w:rsidRPr="00D30F36" w:rsidRDefault="00D30F36" w:rsidP="00D30F36">
          <w:pPr>
            <w:pStyle w:val="TOC2"/>
            <w:tabs>
              <w:tab w:val="right" w:leader="dot" w:pos="9016"/>
            </w:tabs>
            <w:spacing w:line="360" w:lineRule="auto"/>
            <w:rPr>
              <w:rFonts w:ascii="Arial" w:eastAsiaTheme="minorEastAsia" w:hAnsi="Arial" w:cs="Arial"/>
              <w:noProof/>
              <w:sz w:val="24"/>
              <w:szCs w:val="24"/>
              <w:lang w:eastAsia="en-GB"/>
            </w:rPr>
          </w:pPr>
          <w:hyperlink w:anchor="_Toc235945182" w:history="1">
            <w:r w:rsidRPr="00D30F36">
              <w:rPr>
                <w:rStyle w:val="Hyperlink"/>
                <w:rFonts w:ascii="Arial" w:hAnsi="Arial" w:cs="Arial"/>
                <w:b/>
                <w:bCs/>
                <w:noProof/>
                <w:sz w:val="24"/>
                <w:szCs w:val="24"/>
              </w:rPr>
              <w:t>3.2 Industry Environment: Porter’s Five Forces</w:t>
            </w:r>
            <w:r w:rsidRPr="00D30F36">
              <w:rPr>
                <w:rFonts w:ascii="Arial" w:hAnsi="Arial" w:cs="Arial"/>
                <w:noProof/>
                <w:webHidden/>
                <w:sz w:val="24"/>
                <w:szCs w:val="24"/>
              </w:rPr>
              <w:tab/>
            </w:r>
            <w:r w:rsidRPr="00D30F36">
              <w:rPr>
                <w:rFonts w:ascii="Arial" w:hAnsi="Arial" w:cs="Arial"/>
                <w:noProof/>
                <w:webHidden/>
                <w:sz w:val="24"/>
                <w:szCs w:val="24"/>
              </w:rPr>
              <w:fldChar w:fldCharType="begin"/>
            </w:r>
            <w:r w:rsidRPr="00D30F36">
              <w:rPr>
                <w:rFonts w:ascii="Arial" w:hAnsi="Arial" w:cs="Arial"/>
                <w:noProof/>
                <w:webHidden/>
                <w:sz w:val="24"/>
                <w:szCs w:val="24"/>
              </w:rPr>
              <w:instrText xml:space="preserve"> PAGEREF _Toc235945182 \h </w:instrText>
            </w:r>
            <w:r w:rsidRPr="00D30F36">
              <w:rPr>
                <w:rFonts w:ascii="Arial" w:hAnsi="Arial" w:cs="Arial"/>
                <w:noProof/>
                <w:webHidden/>
                <w:sz w:val="24"/>
                <w:szCs w:val="24"/>
              </w:rPr>
            </w:r>
            <w:r w:rsidRPr="00D30F36">
              <w:rPr>
                <w:rFonts w:ascii="Arial" w:hAnsi="Arial" w:cs="Arial"/>
                <w:noProof/>
                <w:webHidden/>
                <w:sz w:val="24"/>
                <w:szCs w:val="24"/>
              </w:rPr>
              <w:fldChar w:fldCharType="separate"/>
            </w:r>
            <w:r w:rsidRPr="00D30F36">
              <w:rPr>
                <w:rFonts w:ascii="Arial" w:hAnsi="Arial" w:cs="Arial"/>
                <w:noProof/>
                <w:webHidden/>
                <w:sz w:val="24"/>
                <w:szCs w:val="24"/>
              </w:rPr>
              <w:t>5</w:t>
            </w:r>
            <w:r w:rsidRPr="00D30F36">
              <w:rPr>
                <w:rFonts w:ascii="Arial" w:hAnsi="Arial" w:cs="Arial"/>
                <w:noProof/>
                <w:webHidden/>
                <w:sz w:val="24"/>
                <w:szCs w:val="24"/>
              </w:rPr>
              <w:fldChar w:fldCharType="end"/>
            </w:r>
          </w:hyperlink>
        </w:p>
        <w:p w14:paraId="3A3F01F3" w14:textId="76DC157B" w:rsidR="00D30F36" w:rsidRPr="00D30F36" w:rsidRDefault="00D30F36" w:rsidP="00D30F36">
          <w:pPr>
            <w:pStyle w:val="TOC2"/>
            <w:tabs>
              <w:tab w:val="right" w:leader="dot" w:pos="9016"/>
            </w:tabs>
            <w:spacing w:line="360" w:lineRule="auto"/>
            <w:rPr>
              <w:rFonts w:ascii="Arial" w:eastAsiaTheme="minorEastAsia" w:hAnsi="Arial" w:cs="Arial"/>
              <w:noProof/>
              <w:sz w:val="24"/>
              <w:szCs w:val="24"/>
              <w:lang w:eastAsia="en-GB"/>
            </w:rPr>
          </w:pPr>
          <w:hyperlink w:anchor="_Toc235945183" w:history="1">
            <w:r w:rsidRPr="00D30F36">
              <w:rPr>
                <w:rStyle w:val="Hyperlink"/>
                <w:rFonts w:ascii="Arial" w:hAnsi="Arial" w:cs="Arial"/>
                <w:b/>
                <w:bCs/>
                <w:noProof/>
                <w:sz w:val="24"/>
                <w:szCs w:val="24"/>
              </w:rPr>
              <w:t>3.3 Internal Environment Audit: Value Chain, RBV and VRIO</w:t>
            </w:r>
            <w:r w:rsidRPr="00D30F36">
              <w:rPr>
                <w:rFonts w:ascii="Arial" w:hAnsi="Arial" w:cs="Arial"/>
                <w:noProof/>
                <w:webHidden/>
                <w:sz w:val="24"/>
                <w:szCs w:val="24"/>
              </w:rPr>
              <w:tab/>
            </w:r>
            <w:r w:rsidRPr="00D30F36">
              <w:rPr>
                <w:rFonts w:ascii="Arial" w:hAnsi="Arial" w:cs="Arial"/>
                <w:noProof/>
                <w:webHidden/>
                <w:sz w:val="24"/>
                <w:szCs w:val="24"/>
              </w:rPr>
              <w:fldChar w:fldCharType="begin"/>
            </w:r>
            <w:r w:rsidRPr="00D30F36">
              <w:rPr>
                <w:rFonts w:ascii="Arial" w:hAnsi="Arial" w:cs="Arial"/>
                <w:noProof/>
                <w:webHidden/>
                <w:sz w:val="24"/>
                <w:szCs w:val="24"/>
              </w:rPr>
              <w:instrText xml:space="preserve"> PAGEREF _Toc235945183 \h </w:instrText>
            </w:r>
            <w:r w:rsidRPr="00D30F36">
              <w:rPr>
                <w:rFonts w:ascii="Arial" w:hAnsi="Arial" w:cs="Arial"/>
                <w:noProof/>
                <w:webHidden/>
                <w:sz w:val="24"/>
                <w:szCs w:val="24"/>
              </w:rPr>
            </w:r>
            <w:r w:rsidRPr="00D30F36">
              <w:rPr>
                <w:rFonts w:ascii="Arial" w:hAnsi="Arial" w:cs="Arial"/>
                <w:noProof/>
                <w:webHidden/>
                <w:sz w:val="24"/>
                <w:szCs w:val="24"/>
              </w:rPr>
              <w:fldChar w:fldCharType="separate"/>
            </w:r>
            <w:r w:rsidRPr="00D30F36">
              <w:rPr>
                <w:rFonts w:ascii="Arial" w:hAnsi="Arial" w:cs="Arial"/>
                <w:noProof/>
                <w:webHidden/>
                <w:sz w:val="24"/>
                <w:szCs w:val="24"/>
              </w:rPr>
              <w:t>6</w:t>
            </w:r>
            <w:r w:rsidRPr="00D30F36">
              <w:rPr>
                <w:rFonts w:ascii="Arial" w:hAnsi="Arial" w:cs="Arial"/>
                <w:noProof/>
                <w:webHidden/>
                <w:sz w:val="24"/>
                <w:szCs w:val="24"/>
              </w:rPr>
              <w:fldChar w:fldCharType="end"/>
            </w:r>
          </w:hyperlink>
        </w:p>
        <w:p w14:paraId="1E3AA371" w14:textId="16D424E4" w:rsidR="00D30F36" w:rsidRPr="00D30F36" w:rsidRDefault="00D30F36" w:rsidP="00D30F36">
          <w:pPr>
            <w:pStyle w:val="TOC2"/>
            <w:tabs>
              <w:tab w:val="right" w:leader="dot" w:pos="9016"/>
            </w:tabs>
            <w:spacing w:line="360" w:lineRule="auto"/>
            <w:rPr>
              <w:rFonts w:ascii="Arial" w:eastAsiaTheme="minorEastAsia" w:hAnsi="Arial" w:cs="Arial"/>
              <w:noProof/>
              <w:sz w:val="24"/>
              <w:szCs w:val="24"/>
              <w:lang w:eastAsia="en-GB"/>
            </w:rPr>
          </w:pPr>
          <w:hyperlink w:anchor="_Toc235945184" w:history="1">
            <w:r w:rsidRPr="00D30F36">
              <w:rPr>
                <w:rStyle w:val="Hyperlink"/>
                <w:rFonts w:ascii="Arial" w:hAnsi="Arial" w:cs="Arial"/>
                <w:b/>
                <w:bCs/>
                <w:noProof/>
                <w:sz w:val="24"/>
                <w:szCs w:val="24"/>
              </w:rPr>
              <w:t>3.4 SWOT Analysis</w:t>
            </w:r>
            <w:r w:rsidRPr="00D30F36">
              <w:rPr>
                <w:rFonts w:ascii="Arial" w:hAnsi="Arial" w:cs="Arial"/>
                <w:noProof/>
                <w:webHidden/>
                <w:sz w:val="24"/>
                <w:szCs w:val="24"/>
              </w:rPr>
              <w:tab/>
            </w:r>
            <w:r w:rsidRPr="00D30F36">
              <w:rPr>
                <w:rFonts w:ascii="Arial" w:hAnsi="Arial" w:cs="Arial"/>
                <w:noProof/>
                <w:webHidden/>
                <w:sz w:val="24"/>
                <w:szCs w:val="24"/>
              </w:rPr>
              <w:fldChar w:fldCharType="begin"/>
            </w:r>
            <w:r w:rsidRPr="00D30F36">
              <w:rPr>
                <w:rFonts w:ascii="Arial" w:hAnsi="Arial" w:cs="Arial"/>
                <w:noProof/>
                <w:webHidden/>
                <w:sz w:val="24"/>
                <w:szCs w:val="24"/>
              </w:rPr>
              <w:instrText xml:space="preserve"> PAGEREF _Toc235945184 \h </w:instrText>
            </w:r>
            <w:r w:rsidRPr="00D30F36">
              <w:rPr>
                <w:rFonts w:ascii="Arial" w:hAnsi="Arial" w:cs="Arial"/>
                <w:noProof/>
                <w:webHidden/>
                <w:sz w:val="24"/>
                <w:szCs w:val="24"/>
              </w:rPr>
            </w:r>
            <w:r w:rsidRPr="00D30F36">
              <w:rPr>
                <w:rFonts w:ascii="Arial" w:hAnsi="Arial" w:cs="Arial"/>
                <w:noProof/>
                <w:webHidden/>
                <w:sz w:val="24"/>
                <w:szCs w:val="24"/>
              </w:rPr>
              <w:fldChar w:fldCharType="separate"/>
            </w:r>
            <w:r w:rsidRPr="00D30F36">
              <w:rPr>
                <w:rFonts w:ascii="Arial" w:hAnsi="Arial" w:cs="Arial"/>
                <w:noProof/>
                <w:webHidden/>
                <w:sz w:val="24"/>
                <w:szCs w:val="24"/>
              </w:rPr>
              <w:t>8</w:t>
            </w:r>
            <w:r w:rsidRPr="00D30F36">
              <w:rPr>
                <w:rFonts w:ascii="Arial" w:hAnsi="Arial" w:cs="Arial"/>
                <w:noProof/>
                <w:webHidden/>
                <w:sz w:val="24"/>
                <w:szCs w:val="24"/>
              </w:rPr>
              <w:fldChar w:fldCharType="end"/>
            </w:r>
          </w:hyperlink>
        </w:p>
        <w:p w14:paraId="4A9CE990" w14:textId="58232167" w:rsidR="00D30F36" w:rsidRPr="00D30F36" w:rsidRDefault="00D30F36" w:rsidP="00D30F36">
          <w:pPr>
            <w:pStyle w:val="TOC1"/>
            <w:tabs>
              <w:tab w:val="left" w:pos="480"/>
              <w:tab w:val="right" w:leader="dot" w:pos="9016"/>
            </w:tabs>
            <w:spacing w:line="360" w:lineRule="auto"/>
            <w:rPr>
              <w:rFonts w:ascii="Arial" w:eastAsiaTheme="minorEastAsia" w:hAnsi="Arial" w:cs="Arial"/>
              <w:noProof/>
              <w:sz w:val="24"/>
              <w:szCs w:val="24"/>
              <w:lang w:eastAsia="en-GB"/>
            </w:rPr>
          </w:pPr>
          <w:hyperlink w:anchor="_Toc235945185" w:history="1">
            <w:r w:rsidRPr="00D30F36">
              <w:rPr>
                <w:rStyle w:val="Hyperlink"/>
                <w:rFonts w:ascii="Arial" w:hAnsi="Arial" w:cs="Arial"/>
                <w:noProof/>
                <w:sz w:val="24"/>
                <w:szCs w:val="24"/>
              </w:rPr>
              <w:t>4.</w:t>
            </w:r>
            <w:r w:rsidRPr="00D30F36">
              <w:rPr>
                <w:rFonts w:ascii="Arial" w:eastAsiaTheme="minorEastAsia" w:hAnsi="Arial" w:cs="Arial"/>
                <w:noProof/>
                <w:sz w:val="24"/>
                <w:szCs w:val="24"/>
                <w:lang w:eastAsia="en-GB"/>
              </w:rPr>
              <w:tab/>
            </w:r>
            <w:r w:rsidRPr="00D30F36">
              <w:rPr>
                <w:rStyle w:val="Hyperlink"/>
                <w:rFonts w:ascii="Arial" w:hAnsi="Arial" w:cs="Arial"/>
                <w:noProof/>
                <w:sz w:val="24"/>
                <w:szCs w:val="24"/>
              </w:rPr>
              <w:t>Strategy Formulation</w:t>
            </w:r>
            <w:r w:rsidRPr="00D30F36">
              <w:rPr>
                <w:rFonts w:ascii="Arial" w:hAnsi="Arial" w:cs="Arial"/>
                <w:noProof/>
                <w:webHidden/>
                <w:sz w:val="24"/>
                <w:szCs w:val="24"/>
              </w:rPr>
              <w:tab/>
            </w:r>
            <w:r w:rsidRPr="00D30F36">
              <w:rPr>
                <w:rFonts w:ascii="Arial" w:hAnsi="Arial" w:cs="Arial"/>
                <w:noProof/>
                <w:webHidden/>
                <w:sz w:val="24"/>
                <w:szCs w:val="24"/>
              </w:rPr>
              <w:fldChar w:fldCharType="begin"/>
            </w:r>
            <w:r w:rsidRPr="00D30F36">
              <w:rPr>
                <w:rFonts w:ascii="Arial" w:hAnsi="Arial" w:cs="Arial"/>
                <w:noProof/>
                <w:webHidden/>
                <w:sz w:val="24"/>
                <w:szCs w:val="24"/>
              </w:rPr>
              <w:instrText xml:space="preserve"> PAGEREF _Toc235945185 \h </w:instrText>
            </w:r>
            <w:r w:rsidRPr="00D30F36">
              <w:rPr>
                <w:rFonts w:ascii="Arial" w:hAnsi="Arial" w:cs="Arial"/>
                <w:noProof/>
                <w:webHidden/>
                <w:sz w:val="24"/>
                <w:szCs w:val="24"/>
              </w:rPr>
            </w:r>
            <w:r w:rsidRPr="00D30F36">
              <w:rPr>
                <w:rFonts w:ascii="Arial" w:hAnsi="Arial" w:cs="Arial"/>
                <w:noProof/>
                <w:webHidden/>
                <w:sz w:val="24"/>
                <w:szCs w:val="24"/>
              </w:rPr>
              <w:fldChar w:fldCharType="separate"/>
            </w:r>
            <w:r w:rsidRPr="00D30F36">
              <w:rPr>
                <w:rFonts w:ascii="Arial" w:hAnsi="Arial" w:cs="Arial"/>
                <w:noProof/>
                <w:webHidden/>
                <w:sz w:val="24"/>
                <w:szCs w:val="24"/>
              </w:rPr>
              <w:t>9</w:t>
            </w:r>
            <w:r w:rsidRPr="00D30F36">
              <w:rPr>
                <w:rFonts w:ascii="Arial" w:hAnsi="Arial" w:cs="Arial"/>
                <w:noProof/>
                <w:webHidden/>
                <w:sz w:val="24"/>
                <w:szCs w:val="24"/>
              </w:rPr>
              <w:fldChar w:fldCharType="end"/>
            </w:r>
          </w:hyperlink>
        </w:p>
        <w:p w14:paraId="00B9060B" w14:textId="6A2D97C0" w:rsidR="00D30F36" w:rsidRPr="00D30F36" w:rsidRDefault="00D30F36" w:rsidP="00D30F36">
          <w:pPr>
            <w:pStyle w:val="TOC1"/>
            <w:tabs>
              <w:tab w:val="left" w:pos="480"/>
              <w:tab w:val="right" w:leader="dot" w:pos="9016"/>
            </w:tabs>
            <w:spacing w:line="360" w:lineRule="auto"/>
            <w:rPr>
              <w:rFonts w:ascii="Arial" w:eastAsiaTheme="minorEastAsia" w:hAnsi="Arial" w:cs="Arial"/>
              <w:noProof/>
              <w:sz w:val="24"/>
              <w:szCs w:val="24"/>
              <w:lang w:eastAsia="en-GB"/>
            </w:rPr>
          </w:pPr>
          <w:hyperlink w:anchor="_Toc235945186" w:history="1">
            <w:r w:rsidRPr="00D30F36">
              <w:rPr>
                <w:rStyle w:val="Hyperlink"/>
                <w:rFonts w:ascii="Arial" w:hAnsi="Arial" w:cs="Arial"/>
                <w:noProof/>
                <w:sz w:val="24"/>
                <w:szCs w:val="24"/>
              </w:rPr>
              <w:t>5.</w:t>
            </w:r>
            <w:r w:rsidRPr="00D30F36">
              <w:rPr>
                <w:rFonts w:ascii="Arial" w:eastAsiaTheme="minorEastAsia" w:hAnsi="Arial" w:cs="Arial"/>
                <w:noProof/>
                <w:sz w:val="24"/>
                <w:szCs w:val="24"/>
                <w:lang w:eastAsia="en-GB"/>
              </w:rPr>
              <w:tab/>
            </w:r>
            <w:r w:rsidRPr="00D30F36">
              <w:rPr>
                <w:rStyle w:val="Hyperlink"/>
                <w:rFonts w:ascii="Arial" w:hAnsi="Arial" w:cs="Arial"/>
                <w:noProof/>
                <w:sz w:val="24"/>
                <w:szCs w:val="24"/>
              </w:rPr>
              <w:t>Conclusion and Recommendations</w:t>
            </w:r>
            <w:r w:rsidRPr="00D30F36">
              <w:rPr>
                <w:rFonts w:ascii="Arial" w:hAnsi="Arial" w:cs="Arial"/>
                <w:noProof/>
                <w:webHidden/>
                <w:sz w:val="24"/>
                <w:szCs w:val="24"/>
              </w:rPr>
              <w:tab/>
            </w:r>
            <w:r w:rsidRPr="00D30F36">
              <w:rPr>
                <w:rFonts w:ascii="Arial" w:hAnsi="Arial" w:cs="Arial"/>
                <w:noProof/>
                <w:webHidden/>
                <w:sz w:val="24"/>
                <w:szCs w:val="24"/>
              </w:rPr>
              <w:fldChar w:fldCharType="begin"/>
            </w:r>
            <w:r w:rsidRPr="00D30F36">
              <w:rPr>
                <w:rFonts w:ascii="Arial" w:hAnsi="Arial" w:cs="Arial"/>
                <w:noProof/>
                <w:webHidden/>
                <w:sz w:val="24"/>
                <w:szCs w:val="24"/>
              </w:rPr>
              <w:instrText xml:space="preserve"> PAGEREF _Toc235945186 \h </w:instrText>
            </w:r>
            <w:r w:rsidRPr="00D30F36">
              <w:rPr>
                <w:rFonts w:ascii="Arial" w:hAnsi="Arial" w:cs="Arial"/>
                <w:noProof/>
                <w:webHidden/>
                <w:sz w:val="24"/>
                <w:szCs w:val="24"/>
              </w:rPr>
            </w:r>
            <w:r w:rsidRPr="00D30F36">
              <w:rPr>
                <w:rFonts w:ascii="Arial" w:hAnsi="Arial" w:cs="Arial"/>
                <w:noProof/>
                <w:webHidden/>
                <w:sz w:val="24"/>
                <w:szCs w:val="24"/>
              </w:rPr>
              <w:fldChar w:fldCharType="separate"/>
            </w:r>
            <w:r w:rsidRPr="00D30F36">
              <w:rPr>
                <w:rFonts w:ascii="Arial" w:hAnsi="Arial" w:cs="Arial"/>
                <w:noProof/>
                <w:webHidden/>
                <w:sz w:val="24"/>
                <w:szCs w:val="24"/>
              </w:rPr>
              <w:t>10</w:t>
            </w:r>
            <w:r w:rsidRPr="00D30F36">
              <w:rPr>
                <w:rFonts w:ascii="Arial" w:hAnsi="Arial" w:cs="Arial"/>
                <w:noProof/>
                <w:webHidden/>
                <w:sz w:val="24"/>
                <w:szCs w:val="24"/>
              </w:rPr>
              <w:fldChar w:fldCharType="end"/>
            </w:r>
          </w:hyperlink>
        </w:p>
        <w:p w14:paraId="55298779" w14:textId="56BDFD8B" w:rsidR="00D30F36" w:rsidRPr="00D30F36" w:rsidRDefault="00D30F36" w:rsidP="00D30F36">
          <w:pPr>
            <w:pStyle w:val="TOC1"/>
            <w:tabs>
              <w:tab w:val="left" w:pos="480"/>
              <w:tab w:val="right" w:leader="dot" w:pos="9016"/>
            </w:tabs>
            <w:spacing w:line="360" w:lineRule="auto"/>
            <w:rPr>
              <w:rFonts w:ascii="Arial" w:eastAsiaTheme="minorEastAsia" w:hAnsi="Arial" w:cs="Arial"/>
              <w:noProof/>
              <w:sz w:val="24"/>
              <w:szCs w:val="24"/>
              <w:lang w:eastAsia="en-GB"/>
            </w:rPr>
          </w:pPr>
          <w:hyperlink w:anchor="_Toc235945187" w:history="1">
            <w:r w:rsidRPr="00D30F36">
              <w:rPr>
                <w:rStyle w:val="Hyperlink"/>
                <w:rFonts w:ascii="Arial" w:hAnsi="Arial" w:cs="Arial"/>
                <w:noProof/>
                <w:sz w:val="24"/>
                <w:szCs w:val="24"/>
              </w:rPr>
              <w:t>6.</w:t>
            </w:r>
            <w:r w:rsidRPr="00D30F36">
              <w:rPr>
                <w:rFonts w:ascii="Arial" w:eastAsiaTheme="minorEastAsia" w:hAnsi="Arial" w:cs="Arial"/>
                <w:noProof/>
                <w:sz w:val="24"/>
                <w:szCs w:val="24"/>
                <w:lang w:eastAsia="en-GB"/>
              </w:rPr>
              <w:tab/>
            </w:r>
            <w:r w:rsidRPr="00D30F36">
              <w:rPr>
                <w:rStyle w:val="Hyperlink"/>
                <w:rFonts w:ascii="Arial" w:hAnsi="Arial" w:cs="Arial"/>
                <w:noProof/>
                <w:sz w:val="24"/>
                <w:szCs w:val="24"/>
              </w:rPr>
              <w:t>Reference List</w:t>
            </w:r>
            <w:r w:rsidRPr="00D30F36">
              <w:rPr>
                <w:rFonts w:ascii="Arial" w:hAnsi="Arial" w:cs="Arial"/>
                <w:noProof/>
                <w:webHidden/>
                <w:sz w:val="24"/>
                <w:szCs w:val="24"/>
              </w:rPr>
              <w:tab/>
            </w:r>
            <w:r w:rsidRPr="00D30F36">
              <w:rPr>
                <w:rFonts w:ascii="Arial" w:hAnsi="Arial" w:cs="Arial"/>
                <w:noProof/>
                <w:webHidden/>
                <w:sz w:val="24"/>
                <w:szCs w:val="24"/>
              </w:rPr>
              <w:fldChar w:fldCharType="begin"/>
            </w:r>
            <w:r w:rsidRPr="00D30F36">
              <w:rPr>
                <w:rFonts w:ascii="Arial" w:hAnsi="Arial" w:cs="Arial"/>
                <w:noProof/>
                <w:webHidden/>
                <w:sz w:val="24"/>
                <w:szCs w:val="24"/>
              </w:rPr>
              <w:instrText xml:space="preserve"> PAGEREF _Toc235945187 \h </w:instrText>
            </w:r>
            <w:r w:rsidRPr="00D30F36">
              <w:rPr>
                <w:rFonts w:ascii="Arial" w:hAnsi="Arial" w:cs="Arial"/>
                <w:noProof/>
                <w:webHidden/>
                <w:sz w:val="24"/>
                <w:szCs w:val="24"/>
              </w:rPr>
            </w:r>
            <w:r w:rsidRPr="00D30F36">
              <w:rPr>
                <w:rFonts w:ascii="Arial" w:hAnsi="Arial" w:cs="Arial"/>
                <w:noProof/>
                <w:webHidden/>
                <w:sz w:val="24"/>
                <w:szCs w:val="24"/>
              </w:rPr>
              <w:fldChar w:fldCharType="separate"/>
            </w:r>
            <w:r w:rsidRPr="00D30F36">
              <w:rPr>
                <w:rFonts w:ascii="Arial" w:hAnsi="Arial" w:cs="Arial"/>
                <w:noProof/>
                <w:webHidden/>
                <w:sz w:val="24"/>
                <w:szCs w:val="24"/>
              </w:rPr>
              <w:t>11</w:t>
            </w:r>
            <w:r w:rsidRPr="00D30F36">
              <w:rPr>
                <w:rFonts w:ascii="Arial" w:hAnsi="Arial" w:cs="Arial"/>
                <w:noProof/>
                <w:webHidden/>
                <w:sz w:val="24"/>
                <w:szCs w:val="24"/>
              </w:rPr>
              <w:fldChar w:fldCharType="end"/>
            </w:r>
          </w:hyperlink>
        </w:p>
        <w:p w14:paraId="766008C4" w14:textId="353EFEA2" w:rsidR="00D30F36" w:rsidRPr="00D30F36" w:rsidRDefault="00D30F36" w:rsidP="00D30F36">
          <w:pPr>
            <w:spacing w:line="360" w:lineRule="auto"/>
            <w:rPr>
              <w:rFonts w:ascii="Arial" w:hAnsi="Arial" w:cs="Arial"/>
              <w:sz w:val="24"/>
              <w:szCs w:val="24"/>
            </w:rPr>
          </w:pPr>
          <w:r w:rsidRPr="00D30F36">
            <w:rPr>
              <w:rFonts w:ascii="Arial" w:hAnsi="Arial" w:cs="Arial"/>
              <w:b/>
              <w:bCs/>
              <w:noProof/>
              <w:sz w:val="24"/>
              <w:szCs w:val="24"/>
            </w:rPr>
            <w:fldChar w:fldCharType="end"/>
          </w:r>
        </w:p>
      </w:sdtContent>
    </w:sdt>
    <w:p w14:paraId="700E2771" w14:textId="77777777" w:rsidR="00D30F36" w:rsidRDefault="00D30F36" w:rsidP="00D30F36">
      <w:pPr>
        <w:pStyle w:val="Title"/>
        <w:spacing w:line="360" w:lineRule="auto"/>
        <w:jc w:val="both"/>
        <w:rPr>
          <w:b/>
          <w:bCs/>
        </w:rPr>
      </w:pPr>
    </w:p>
    <w:p w14:paraId="6AD6FE1F" w14:textId="77777777" w:rsidR="00D30F36" w:rsidRDefault="00D30F36" w:rsidP="00D30F36">
      <w:pPr>
        <w:pStyle w:val="Title"/>
        <w:spacing w:line="360" w:lineRule="auto"/>
        <w:jc w:val="both"/>
        <w:rPr>
          <w:b/>
          <w:bCs/>
        </w:rPr>
      </w:pPr>
    </w:p>
    <w:p w14:paraId="2D05A9CE" w14:textId="77777777" w:rsidR="00D30F36" w:rsidRDefault="00D30F36" w:rsidP="00D30F36">
      <w:pPr>
        <w:pStyle w:val="Title"/>
        <w:spacing w:line="360" w:lineRule="auto"/>
        <w:jc w:val="both"/>
        <w:rPr>
          <w:b/>
          <w:bCs/>
        </w:rPr>
      </w:pPr>
    </w:p>
    <w:p w14:paraId="127E8AD4" w14:textId="77777777" w:rsidR="00D30F36" w:rsidRDefault="00D30F36" w:rsidP="00D30F36">
      <w:pPr>
        <w:pStyle w:val="Title"/>
        <w:spacing w:line="360" w:lineRule="auto"/>
        <w:jc w:val="both"/>
        <w:rPr>
          <w:b/>
          <w:bCs/>
        </w:rPr>
      </w:pPr>
    </w:p>
    <w:p w14:paraId="7D22709F" w14:textId="77777777" w:rsidR="00D30F36" w:rsidRDefault="00D30F36" w:rsidP="00D30F36">
      <w:pPr>
        <w:pStyle w:val="Title"/>
        <w:spacing w:line="360" w:lineRule="auto"/>
        <w:jc w:val="both"/>
        <w:rPr>
          <w:b/>
          <w:bCs/>
        </w:rPr>
      </w:pPr>
    </w:p>
    <w:p w14:paraId="29DB20DC" w14:textId="77777777" w:rsidR="00D30F36" w:rsidRDefault="00D30F36" w:rsidP="00D30F36">
      <w:pPr>
        <w:pStyle w:val="Title"/>
        <w:spacing w:line="360" w:lineRule="auto"/>
        <w:jc w:val="both"/>
        <w:rPr>
          <w:b/>
          <w:bCs/>
        </w:rPr>
      </w:pPr>
    </w:p>
    <w:p w14:paraId="1A968CEC" w14:textId="77777777" w:rsidR="00D30F36" w:rsidRDefault="00D30F36" w:rsidP="00D30F36">
      <w:pPr>
        <w:pStyle w:val="Title"/>
        <w:spacing w:line="360" w:lineRule="auto"/>
        <w:jc w:val="both"/>
        <w:rPr>
          <w:b/>
          <w:bCs/>
        </w:rPr>
      </w:pPr>
    </w:p>
    <w:p w14:paraId="29EB1EBF" w14:textId="1CA9003F" w:rsidR="00D30F36" w:rsidRPr="00DA3455" w:rsidRDefault="00C7172C" w:rsidP="00DA3455">
      <w:pPr>
        <w:pStyle w:val="Title"/>
        <w:spacing w:line="276" w:lineRule="auto"/>
        <w:jc w:val="both"/>
        <w:rPr>
          <w:b/>
          <w:bCs/>
          <w:sz w:val="48"/>
          <w:szCs w:val="48"/>
        </w:rPr>
      </w:pPr>
      <w:r w:rsidRPr="00DA3455">
        <w:rPr>
          <w:b/>
          <w:bCs/>
          <w:sz w:val="48"/>
          <w:szCs w:val="48"/>
        </w:rPr>
        <w:lastRenderedPageBreak/>
        <w:t>Strategic Analysis and Future Strategic Directions for Jaguar Land Rover in the UK Automotive Industry</w:t>
      </w:r>
      <w:bookmarkEnd w:id="0"/>
    </w:p>
    <w:p w14:paraId="7A8A1ED7" w14:textId="577F66DD" w:rsidR="00C7172C" w:rsidRPr="00D30F36" w:rsidRDefault="00C7172C" w:rsidP="00D30F36">
      <w:pPr>
        <w:pStyle w:val="Heading1"/>
        <w:numPr>
          <w:ilvl w:val="0"/>
          <w:numId w:val="5"/>
        </w:numPr>
        <w:spacing w:line="360" w:lineRule="auto"/>
        <w:jc w:val="both"/>
        <w:rPr>
          <w:rFonts w:ascii="Arial" w:hAnsi="Arial" w:cs="Arial"/>
        </w:rPr>
      </w:pPr>
      <w:bookmarkStart w:id="1" w:name="_Toc235945178"/>
      <w:r w:rsidRPr="00D30F36">
        <w:rPr>
          <w:rFonts w:ascii="Arial" w:hAnsi="Arial" w:cs="Arial"/>
        </w:rPr>
        <w:t>Executive Summary</w:t>
      </w:r>
      <w:bookmarkEnd w:id="1"/>
    </w:p>
    <w:p w14:paraId="1FCE0FC6"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This report evaluates Jaguar Land Rover’s (JLR) strategic position and considers how the company can protect its competitive advantage during major technological and regulatory change. JLR still benefits from strong luxury brands, British heritage, engineering expertise and a clear premium-market position. However, electrification, new competitors, trade uncertainty and increasing dependence on digital technology are changing the basis of competition.</w:t>
      </w:r>
    </w:p>
    <w:p w14:paraId="3F3FE789"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These pressures became particularly visible in FY2025/26, when US tariffs and a major cyber incident disrupted operations and weakened financial performance. The analysis suggests that JLR should not attempt to compete with larger manufacturers mainly through price or volume. A more suitable direction is to strengthen its modern-luxury differentiation while retaining enough propulsion flexibility to respond to different rates of EV adoption. The report therefore recommends continued investment in electrification, stronger cyber and supply-chain resilience, and selective technology partnerships that support rather than replace JLR’s own capabilities.</w:t>
      </w:r>
    </w:p>
    <w:p w14:paraId="11A24CFD" w14:textId="32AC03F6" w:rsidR="00C7172C" w:rsidRPr="00D30F36" w:rsidRDefault="00C7172C" w:rsidP="00D30F36">
      <w:pPr>
        <w:pStyle w:val="Heading1"/>
        <w:numPr>
          <w:ilvl w:val="0"/>
          <w:numId w:val="5"/>
        </w:numPr>
        <w:spacing w:line="360" w:lineRule="auto"/>
        <w:jc w:val="both"/>
        <w:rPr>
          <w:rFonts w:ascii="Arial" w:hAnsi="Arial" w:cs="Arial"/>
        </w:rPr>
      </w:pPr>
      <w:bookmarkStart w:id="2" w:name="_Toc235945179"/>
      <w:r w:rsidRPr="00D30F36">
        <w:rPr>
          <w:rFonts w:ascii="Arial" w:hAnsi="Arial" w:cs="Arial"/>
        </w:rPr>
        <w:t>Introduction</w:t>
      </w:r>
      <w:bookmarkEnd w:id="2"/>
    </w:p>
    <w:p w14:paraId="1A702DB3"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Strategic management helps organisations understand where they compete, what resources they possess and how these can be used to sustain competitive advantage (Whittington et al., 2023; Grant, 2024). This is particularly important in the automotive industry, where regulation, technology and customer expectations are changing quickly.</w:t>
      </w:r>
    </w:p>
    <w:p w14:paraId="5C95F0CF"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 xml:space="preserve">The UK automotive sector remains economically important but highly dependent on international markets. More than 717,000 cars were produced in the UK in 2025 and </w:t>
      </w:r>
      <w:r w:rsidRPr="00D30F36">
        <w:rPr>
          <w:rFonts w:ascii="Arial" w:hAnsi="Arial" w:cs="Arial"/>
          <w:sz w:val="24"/>
          <w:szCs w:val="24"/>
        </w:rPr>
        <w:lastRenderedPageBreak/>
        <w:t>77.5% were exported (SMMT, 2026), leaving manufacturers exposed to changes in global demand and trade policy.</w:t>
      </w:r>
    </w:p>
    <w:p w14:paraId="7F442BA8"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JLR is a British luxury automotive manufacturer within the Tata Motors group. Its portfolio includes Range Rover, Defender, Discovery and Jaguar. Rather than publishing a conventional mission statement, JLR communicates its purpose as “live the exceptional with soul”, while its Reimagine strategy aims to create desirable modern-luxury brands (JLR, n.d.-a). Its priorities include electrification, stronger individual brand identities, greater resilience and carbon net zero across products, operations and the supply chain by 2039 (JLR, 2026a; JLR, n.d.-b).</w:t>
      </w:r>
    </w:p>
    <w:p w14:paraId="754BD2E6"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This report applies PESTLE and Porter’s Five Forces to the external environment, then Value Chain Analysis, RBV and VRIO to JLR’s internal capabilities. The findings are synthesised through SWOT before strategic alternatives and recommendations are developed.</w:t>
      </w:r>
    </w:p>
    <w:p w14:paraId="78E6BFF5" w14:textId="5CE18509" w:rsidR="00C7172C" w:rsidRPr="00D30F36" w:rsidRDefault="00C7172C" w:rsidP="00D30F36">
      <w:pPr>
        <w:pStyle w:val="Heading1"/>
        <w:spacing w:line="360" w:lineRule="auto"/>
        <w:jc w:val="both"/>
      </w:pPr>
      <w:r w:rsidRPr="00D30F36">
        <w:t xml:space="preserve">         </w:t>
      </w:r>
      <w:bookmarkStart w:id="3" w:name="_Toc235945180"/>
      <w:r w:rsidRPr="00D30F36">
        <w:t xml:space="preserve">3. </w:t>
      </w:r>
      <w:r w:rsidRPr="00D30F36">
        <w:rPr>
          <w:rFonts w:ascii="Arial" w:hAnsi="Arial" w:cs="Arial"/>
        </w:rPr>
        <w:t>Strategy Analysis</w:t>
      </w:r>
      <w:bookmarkEnd w:id="3"/>
    </w:p>
    <w:p w14:paraId="475F0454" w14:textId="3088BBDE" w:rsidR="00C7172C" w:rsidRPr="007B6648" w:rsidRDefault="00C7172C" w:rsidP="00D30F36">
      <w:pPr>
        <w:pStyle w:val="Heading2"/>
        <w:spacing w:line="360" w:lineRule="auto"/>
        <w:jc w:val="both"/>
        <w:rPr>
          <w:rStyle w:val="SubtleEmphasis"/>
          <w:b/>
          <w:bCs/>
          <w:i w:val="0"/>
          <w:iCs w:val="0"/>
          <w:sz w:val="28"/>
          <w:szCs w:val="28"/>
        </w:rPr>
      </w:pPr>
      <w:bookmarkStart w:id="4" w:name="_Toc235945181"/>
      <w:r w:rsidRPr="007B6648">
        <w:rPr>
          <w:rStyle w:val="SubtleEmphasis"/>
          <w:b/>
          <w:bCs/>
          <w:i w:val="0"/>
          <w:iCs w:val="0"/>
          <w:sz w:val="28"/>
          <w:szCs w:val="28"/>
        </w:rPr>
        <w:t>3</w:t>
      </w:r>
      <w:r w:rsidRPr="007B6648">
        <w:rPr>
          <w:rStyle w:val="SubtleEmphasis"/>
          <w:b/>
          <w:bCs/>
          <w:i w:val="0"/>
          <w:iCs w:val="0"/>
          <w:sz w:val="28"/>
          <w:szCs w:val="28"/>
        </w:rPr>
        <w:t xml:space="preserve">.1 </w:t>
      </w:r>
      <w:r w:rsidRPr="00D30F36">
        <w:rPr>
          <w:rStyle w:val="SubtleEmphasis"/>
          <w:rFonts w:ascii="Arial" w:hAnsi="Arial" w:cs="Arial"/>
          <w:b/>
          <w:bCs/>
          <w:i w:val="0"/>
          <w:iCs w:val="0"/>
          <w:sz w:val="28"/>
          <w:szCs w:val="28"/>
        </w:rPr>
        <w:t>External Environment Audit: PESTLE</w:t>
      </w:r>
      <w:bookmarkEnd w:id="4"/>
    </w:p>
    <w:p w14:paraId="2335DAC4"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Political and legal pressures are significant because the transition to zero-emission mobility is increasingly regulation-led. Under the UK Vehicle Emissions Trading Schemes, zero-emission cars must represent 33% of manufacturers’ registrations in 2026 and 80% by 2030 (Department for Transport, 2025). Yet consumer demand is moving more slowly and unevenly. In 2025, BEVs represented 17.4% of EU registrations, compared with 34.5% for hybrids (ACEA, 2026). For JLR, this creates a clear trade-off: it must keep investing in electrification without moving faster than important markets can commercially support. Its plan to offer MHEV, HEV, PHEV and BEV options across Range Rover, Defender and Discovery provides flexibility, although it also increases engineering and manufacturing complexity (JLR, 2026b).</w:t>
      </w:r>
    </w:p>
    <w:p w14:paraId="64165948"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Trade policy adds further uncertainty. During FY2025/26, US tariffs on UK and EU vehicle imports initially rose to 27.5% before falling to 10% for UK exports and 15% for EU exports (JLR, 2026a). For an export-dependent manufacturer, this shows how political decisions outside the firm can materially affect profitability.</w:t>
      </w:r>
    </w:p>
    <w:p w14:paraId="486C1551"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lastRenderedPageBreak/>
        <w:t>Economic conditions also matter. JLR’s revenue fell by 20.9% to £22.9 billion in FY2025/26 and adjusted EBIT dropped to 0.7% (JLR, 2026a). Tariffs, the cyber incident, cost inflation and weaker conditions in China all contributed. Premium positioning gives some protection from price sensitivity, but recent performance shows that brand strength cannot fully insulate JLR from wider economic and operational disruption.</w:t>
      </w:r>
    </w:p>
    <w:p w14:paraId="757AAF6C"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Socially, customers are increasingly interested in sustainability and new technology, but EV adoption varies sharply by market. Global electric-car sales exceeded 20 million in 2025, yet EVs represented almost 55% of sales in China, 28% in Europe and less than 10% in the United States (IEA, 2026). A single global powertrain strategy is therefore difficult to justify.</w:t>
      </w:r>
    </w:p>
    <w:p w14:paraId="7EA8AAC1"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Technological change creates both opportunity and risk. Electrification, software, AI and connected vehicles are blurring the boundary between automotive manufacturing and technology industries (Lopez-Vega and Moodysson, 2023). JLR’s 2025 cyber incident, which forced systems to be shut down and production to pause for several weeks, shows that digital capability now includes cybersecurity and business continuity as well as product innovation (JLR, 2026a).</w:t>
      </w:r>
    </w:p>
    <w:p w14:paraId="27ABBD4E"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Environmental pressure reinforces JLR’s 2039 net-zero ambition, but electrification also increases dependence on concentrated battery and critical-mineral supply chains (JLR, n.d.-b; Cheng et al., 2024). Overall, JLR faces interacting pressures: faster regulation, uneven customer adoption, volatile trade conditions and growing digital risk. The important point is that these pressures reinforce each other. For example, propulsion flexibility reduces market risk but may increase costs, while faster digitalisation can improve customer value but also widens JLR’s cyber exposure. Strategic flexibility therefore needs to be balanced against execution complexity.</w:t>
      </w:r>
    </w:p>
    <w:p w14:paraId="028A1150" w14:textId="662001AF" w:rsidR="00C7172C" w:rsidRPr="007B6648" w:rsidRDefault="00C7172C" w:rsidP="00D30F36">
      <w:pPr>
        <w:pStyle w:val="Heading2"/>
        <w:spacing w:line="360" w:lineRule="auto"/>
        <w:jc w:val="both"/>
        <w:rPr>
          <w:rStyle w:val="SubtleEmphasis"/>
          <w:b/>
          <w:bCs/>
          <w:i w:val="0"/>
          <w:iCs w:val="0"/>
          <w:sz w:val="28"/>
          <w:szCs w:val="28"/>
        </w:rPr>
      </w:pPr>
      <w:bookmarkStart w:id="5" w:name="_Toc235945182"/>
      <w:r w:rsidRPr="007B6648">
        <w:rPr>
          <w:rStyle w:val="SubtleEmphasis"/>
          <w:b/>
          <w:bCs/>
          <w:i w:val="0"/>
          <w:iCs w:val="0"/>
          <w:sz w:val="28"/>
          <w:szCs w:val="28"/>
        </w:rPr>
        <w:t>3</w:t>
      </w:r>
      <w:r w:rsidRPr="007B6648">
        <w:rPr>
          <w:rStyle w:val="SubtleEmphasis"/>
          <w:b/>
          <w:bCs/>
          <w:i w:val="0"/>
          <w:iCs w:val="0"/>
          <w:sz w:val="28"/>
          <w:szCs w:val="28"/>
        </w:rPr>
        <w:t xml:space="preserve">.2 </w:t>
      </w:r>
      <w:r w:rsidRPr="00D30F36">
        <w:rPr>
          <w:rStyle w:val="SubtleEmphasis"/>
          <w:rFonts w:ascii="Arial" w:hAnsi="Arial" w:cs="Arial"/>
          <w:b/>
          <w:bCs/>
          <w:i w:val="0"/>
          <w:iCs w:val="0"/>
          <w:sz w:val="28"/>
          <w:szCs w:val="28"/>
        </w:rPr>
        <w:t>Industry Environment: Porter’s Five Forces</w:t>
      </w:r>
      <w:bookmarkEnd w:id="5"/>
    </w:p>
    <w:p w14:paraId="05C6D17B"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 xml:space="preserve">Competitive rivalry is high. JLR faces established premium manufacturers such as BMW, Mercedes-Benz, Audi and Porsche, alongside Tesla and expanding Chinese EV manufacturers. China remained the dominant centre of global EV production in 2025, while Chinese brands continued to expand internationally (IEA, 2026). JLR cannot realistically match the scale of larger groups, so its stronger position is to combine technological relevance with distinctive luxury brands. This makes differentiation more </w:t>
      </w:r>
      <w:r w:rsidRPr="00D30F36">
        <w:rPr>
          <w:rFonts w:ascii="Arial" w:hAnsi="Arial" w:cs="Arial"/>
          <w:sz w:val="24"/>
          <w:szCs w:val="24"/>
        </w:rPr>
        <w:lastRenderedPageBreak/>
        <w:t>important, but it also means JLR must ensure that premium pricing continues to be supported by technology and customer experience rather than heritage alone.</w:t>
      </w:r>
    </w:p>
    <w:p w14:paraId="375EFDA1"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The threat of new entrants is moderate. Automotive manufacturing still requires major investment, regulatory approval, engineering capability and complex supply networks. However, EV-focused entrants show that software and electric platforms can weaken some traditional barriers.</w:t>
      </w:r>
    </w:p>
    <w:p w14:paraId="5234DED2"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 xml:space="preserve">Supplier power is moderate to high because electrification increases dependence on batteries, semiconductors, critical minerals and specialist digital systems. </w:t>
      </w:r>
      <w:proofErr w:type="spellStart"/>
      <w:r w:rsidRPr="00D30F36">
        <w:rPr>
          <w:rFonts w:ascii="Arial" w:hAnsi="Arial" w:cs="Arial"/>
          <w:sz w:val="24"/>
          <w:szCs w:val="24"/>
        </w:rPr>
        <w:t>Jagani</w:t>
      </w:r>
      <w:proofErr w:type="spellEnd"/>
      <w:r w:rsidRPr="00D30F36">
        <w:rPr>
          <w:rFonts w:ascii="Arial" w:hAnsi="Arial" w:cs="Arial"/>
          <w:sz w:val="24"/>
          <w:szCs w:val="24"/>
        </w:rPr>
        <w:t xml:space="preserve">, </w:t>
      </w:r>
      <w:proofErr w:type="spellStart"/>
      <w:r w:rsidRPr="00D30F36">
        <w:rPr>
          <w:rFonts w:ascii="Arial" w:hAnsi="Arial" w:cs="Arial"/>
          <w:sz w:val="24"/>
          <w:szCs w:val="24"/>
        </w:rPr>
        <w:t>Marsillac</w:t>
      </w:r>
      <w:proofErr w:type="spellEnd"/>
      <w:r w:rsidRPr="00D30F36">
        <w:rPr>
          <w:rFonts w:ascii="Arial" w:hAnsi="Arial" w:cs="Arial"/>
          <w:sz w:val="24"/>
          <w:szCs w:val="24"/>
        </w:rPr>
        <w:t xml:space="preserve"> and Hong (2024) show that the EV transition is changing supplier relationships across the automotive value chain, while Cheng et al. (2024) highlight battery-supply vulnerabilities. JLR’s smaller scale may make such dependencies more significant.</w:t>
      </w:r>
    </w:p>
    <w:p w14:paraId="51550AEF"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Buyer power is moderate. Premium customers can switch between several luxury brands, but Range Rover and Defender have distinctive identities that reduce direct price comparison. The threat of substitutes is also moderate: used vehicles, public transport and mobility services provide alternatives, but luxury cars also deliver brand, design and lifestyle value.</w:t>
      </w:r>
    </w:p>
    <w:p w14:paraId="46915B33"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Porter’s (1980) model identifies these structural pressures, although it is relatively static for such a fast-changing industry. Teece’s (2007) dynamic capabilities perspective is therefore useful alongside it, as JLR must also adapt and reconfigure resources when technology and market conditions shift.</w:t>
      </w:r>
    </w:p>
    <w:p w14:paraId="51648E57" w14:textId="55ECCDEF" w:rsidR="00C7172C" w:rsidRPr="007B6648" w:rsidRDefault="00C7172C" w:rsidP="00D30F36">
      <w:pPr>
        <w:pStyle w:val="Heading2"/>
        <w:spacing w:line="360" w:lineRule="auto"/>
        <w:jc w:val="both"/>
        <w:rPr>
          <w:rStyle w:val="SubtleEmphasis"/>
          <w:b/>
          <w:bCs/>
          <w:i w:val="0"/>
          <w:iCs w:val="0"/>
          <w:sz w:val="28"/>
          <w:szCs w:val="28"/>
        </w:rPr>
      </w:pPr>
      <w:bookmarkStart w:id="6" w:name="_Toc235945183"/>
      <w:r w:rsidRPr="007B6648">
        <w:rPr>
          <w:rStyle w:val="SubtleEmphasis"/>
          <w:b/>
          <w:bCs/>
          <w:i w:val="0"/>
          <w:iCs w:val="0"/>
          <w:sz w:val="28"/>
          <w:szCs w:val="28"/>
        </w:rPr>
        <w:t>3</w:t>
      </w:r>
      <w:r w:rsidRPr="007B6648">
        <w:rPr>
          <w:rStyle w:val="SubtleEmphasis"/>
          <w:b/>
          <w:bCs/>
          <w:i w:val="0"/>
          <w:iCs w:val="0"/>
          <w:sz w:val="28"/>
          <w:szCs w:val="28"/>
        </w:rPr>
        <w:t xml:space="preserve">.3 </w:t>
      </w:r>
      <w:r w:rsidRPr="00D30F36">
        <w:rPr>
          <w:rStyle w:val="SubtleEmphasis"/>
          <w:rFonts w:ascii="Arial" w:hAnsi="Arial" w:cs="Arial"/>
          <w:b/>
          <w:bCs/>
          <w:i w:val="0"/>
          <w:iCs w:val="0"/>
          <w:sz w:val="28"/>
          <w:szCs w:val="28"/>
        </w:rPr>
        <w:t>Internal Environment Audit: Value Chain, RBV and VRIO</w:t>
      </w:r>
      <w:bookmarkEnd w:id="6"/>
    </w:p>
    <w:p w14:paraId="19B57F24"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JLR creates value through connected activities including design, engineering, manufacturing, brand management and customer experience. Porter’s (1985) Value Chain suggests that competitive advantage depends on how effectively these activities work together.</w:t>
      </w:r>
    </w:p>
    <w:p w14:paraId="62DB5241"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A major strength is JLR’s House of Brands. Range Rover, Defender, Discovery and Jaguar have separate identities, allowing the company to target different premium segments without competing mainly on price. JLR is also investing £18 billion over five years in new vehicles, manufacturing transformation and future technologies (JLR, 2026a; JLR, 2026b).</w:t>
      </w:r>
    </w:p>
    <w:p w14:paraId="12EF8113"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lastRenderedPageBreak/>
        <w:t>The value chain also exposes weaknesses. The cyber incident showed how failure in a support activity such as IT can quickly affect manufacturing, distribution and customers. Cybersecurity and operational resilience therefore form part of JLR’s competitive capability, not simply its technical infrastructure.</w:t>
      </w:r>
    </w:p>
    <w:p w14:paraId="09377A3E"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From an RBV perspective, JLR possesses tangible resources such as manufacturing facilities and Tata group support, but its most distinctive resources are largely intangible: brand reputation, heritage, design knowledge and engineering capability. Barney (1991) argues that sustained advantage is most likely when resources are valuable, rare, difficult to imitate and effectively organised.</w:t>
      </w: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1590"/>
        <w:gridCol w:w="1426"/>
        <w:gridCol w:w="1451"/>
        <w:gridCol w:w="1451"/>
        <w:gridCol w:w="1508"/>
        <w:gridCol w:w="1590"/>
      </w:tblGrid>
      <w:tr w:rsidR="00C7172C" w:rsidRPr="00D30F36" w14:paraId="6A940D56" w14:textId="77777777">
        <w:tc>
          <w:tcPr>
            <w:tcW w:w="1560" w:type="dxa"/>
            <w:tcBorders>
              <w:top w:val="single" w:sz="4" w:space="0" w:color="000000"/>
              <w:left w:val="single" w:sz="4" w:space="0" w:color="000000"/>
              <w:bottom w:val="single" w:sz="4" w:space="0" w:color="000000"/>
              <w:right w:val="single" w:sz="4" w:space="0" w:color="000000"/>
            </w:tcBorders>
            <w:vAlign w:val="center"/>
            <w:hideMark/>
          </w:tcPr>
          <w:p w14:paraId="305942D0"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b/>
                <w:bCs/>
                <w:sz w:val="24"/>
                <w:szCs w:val="24"/>
              </w:rPr>
              <w:t>Resource / capability</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6B64F86E"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b/>
                <w:bCs/>
                <w:sz w:val="24"/>
                <w:szCs w:val="24"/>
              </w:rPr>
              <w:t>Valuable</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1B9B901F"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b/>
                <w:bCs/>
                <w:sz w:val="24"/>
                <w:szCs w:val="24"/>
              </w:rPr>
              <w:t>Rare</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39F4A7FD"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b/>
                <w:bCs/>
                <w:sz w:val="24"/>
                <w:szCs w:val="24"/>
              </w:rPr>
              <w:t>Difficult to imitate</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79DD6D9F"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b/>
                <w:bCs/>
                <w:sz w:val="24"/>
                <w:szCs w:val="24"/>
              </w:rPr>
              <w:t>Organised</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3EC36F5D"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b/>
                <w:bCs/>
                <w:sz w:val="24"/>
                <w:szCs w:val="24"/>
              </w:rPr>
              <w:t>Competitive implication</w:t>
            </w:r>
          </w:p>
        </w:tc>
      </w:tr>
      <w:tr w:rsidR="00C7172C" w:rsidRPr="00D30F36" w14:paraId="6C6E1A37" w14:textId="77777777">
        <w:tc>
          <w:tcPr>
            <w:tcW w:w="1560" w:type="dxa"/>
            <w:tcBorders>
              <w:top w:val="single" w:sz="4" w:space="0" w:color="000000"/>
              <w:left w:val="single" w:sz="4" w:space="0" w:color="000000"/>
              <w:bottom w:val="single" w:sz="4" w:space="0" w:color="000000"/>
              <w:right w:val="single" w:sz="4" w:space="0" w:color="000000"/>
            </w:tcBorders>
            <w:vAlign w:val="center"/>
            <w:hideMark/>
          </w:tcPr>
          <w:p w14:paraId="4CD0922E"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Range Rover brand equity</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7884C4CD"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Yes</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187EE15D"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Yes</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56986E0C"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Yes</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30C2A438"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Yes</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3622B45D"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Sustained advantage</w:t>
            </w:r>
          </w:p>
        </w:tc>
      </w:tr>
      <w:tr w:rsidR="00C7172C" w:rsidRPr="00D30F36" w14:paraId="06989B5B" w14:textId="77777777">
        <w:tc>
          <w:tcPr>
            <w:tcW w:w="1560" w:type="dxa"/>
            <w:tcBorders>
              <w:top w:val="single" w:sz="4" w:space="0" w:color="000000"/>
              <w:left w:val="single" w:sz="4" w:space="0" w:color="000000"/>
              <w:bottom w:val="single" w:sz="4" w:space="0" w:color="000000"/>
              <w:right w:val="single" w:sz="4" w:space="0" w:color="000000"/>
            </w:tcBorders>
            <w:vAlign w:val="center"/>
            <w:hideMark/>
          </w:tcPr>
          <w:p w14:paraId="56F0A64B"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Defender heritage and identity</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69285DE4"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Yes</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4CA6DB14"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Yes</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382F73A5"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Relatively</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0F745191"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Yes</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7C69EC3B"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Strong advantage</w:t>
            </w:r>
          </w:p>
        </w:tc>
      </w:tr>
      <w:tr w:rsidR="00C7172C" w:rsidRPr="00D30F36" w14:paraId="0FFBAA52" w14:textId="77777777">
        <w:tc>
          <w:tcPr>
            <w:tcW w:w="1560" w:type="dxa"/>
            <w:tcBorders>
              <w:top w:val="single" w:sz="4" w:space="0" w:color="000000"/>
              <w:left w:val="single" w:sz="4" w:space="0" w:color="000000"/>
              <w:bottom w:val="single" w:sz="4" w:space="0" w:color="000000"/>
              <w:right w:val="single" w:sz="4" w:space="0" w:color="000000"/>
            </w:tcBorders>
            <w:vAlign w:val="center"/>
            <w:hideMark/>
          </w:tcPr>
          <w:p w14:paraId="278CB8B8"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British design and engineering</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5C972955"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Yes</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2E198E74"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Relatively</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257AB330"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Relatively</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6F38F101"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Yes</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7682B8E2"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Temporary advantage</w:t>
            </w:r>
          </w:p>
        </w:tc>
      </w:tr>
      <w:tr w:rsidR="00C7172C" w:rsidRPr="00D30F36" w14:paraId="0D20E044" w14:textId="77777777">
        <w:tc>
          <w:tcPr>
            <w:tcW w:w="1560" w:type="dxa"/>
            <w:tcBorders>
              <w:top w:val="single" w:sz="4" w:space="0" w:color="000000"/>
              <w:left w:val="single" w:sz="4" w:space="0" w:color="000000"/>
              <w:bottom w:val="single" w:sz="4" w:space="0" w:color="000000"/>
              <w:right w:val="single" w:sz="4" w:space="0" w:color="000000"/>
            </w:tcBorders>
            <w:vAlign w:val="center"/>
            <w:hideMark/>
          </w:tcPr>
          <w:p w14:paraId="44C1B4C6"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Tata group support</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5640F77B"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Yes</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15630493"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No</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12B33B8B"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No</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0100098F"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Yes</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797B600E"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Supporting resource</w:t>
            </w:r>
          </w:p>
        </w:tc>
      </w:tr>
      <w:tr w:rsidR="00C7172C" w:rsidRPr="00D30F36" w14:paraId="30AF321A" w14:textId="77777777">
        <w:tc>
          <w:tcPr>
            <w:tcW w:w="1560" w:type="dxa"/>
            <w:tcBorders>
              <w:top w:val="single" w:sz="4" w:space="0" w:color="000000"/>
              <w:left w:val="single" w:sz="4" w:space="0" w:color="000000"/>
              <w:bottom w:val="single" w:sz="4" w:space="0" w:color="000000"/>
              <w:right w:val="single" w:sz="4" w:space="0" w:color="000000"/>
            </w:tcBorders>
            <w:vAlign w:val="center"/>
            <w:hideMark/>
          </w:tcPr>
          <w:p w14:paraId="4148545D"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Flexible vehicle architectures</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0ED94E74"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Yes</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41A36360"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Relatively</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34282C4C"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Relatively</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043831F6"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Yes</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7AE14F61"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Potential advantage</w:t>
            </w:r>
          </w:p>
        </w:tc>
      </w:tr>
      <w:tr w:rsidR="00C7172C" w:rsidRPr="00D30F36" w14:paraId="1EA55E3A" w14:textId="77777777">
        <w:tc>
          <w:tcPr>
            <w:tcW w:w="1560" w:type="dxa"/>
            <w:tcBorders>
              <w:top w:val="single" w:sz="4" w:space="0" w:color="000000"/>
              <w:left w:val="single" w:sz="4" w:space="0" w:color="000000"/>
              <w:bottom w:val="single" w:sz="4" w:space="0" w:color="000000"/>
              <w:right w:val="single" w:sz="4" w:space="0" w:color="000000"/>
            </w:tcBorders>
            <w:vAlign w:val="center"/>
            <w:hideMark/>
          </w:tcPr>
          <w:p w14:paraId="4C21DEA5"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Digital/cyber resilience</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4A67398E"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Essential</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7517DFB7"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No</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2FEE553C"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No</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6548AC0C"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Developing</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2FFD2C9D"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Current vulnerability</w:t>
            </w:r>
          </w:p>
        </w:tc>
      </w:tr>
    </w:tbl>
    <w:p w14:paraId="5F24BB61" w14:textId="77777777" w:rsidR="007B6648" w:rsidRPr="00D30F36" w:rsidRDefault="007B6648" w:rsidP="00D30F36">
      <w:pPr>
        <w:spacing w:line="360" w:lineRule="auto"/>
        <w:jc w:val="both"/>
        <w:rPr>
          <w:rFonts w:ascii="Arial" w:hAnsi="Arial" w:cs="Arial"/>
          <w:sz w:val="24"/>
          <w:szCs w:val="24"/>
        </w:rPr>
      </w:pPr>
    </w:p>
    <w:p w14:paraId="491C8CB8" w14:textId="491253C6"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lastRenderedPageBreak/>
        <w:t xml:space="preserve">The VRIO assessment suggests that JLR’s strongest advantages do not come simply from access to EV technology, which competitors can also buy or develop. Range Rover’s brand equity and Defender’s identity are harder to reproduce because they have developed over many years. However, heritage alone is not enough. Loder, </w:t>
      </w:r>
      <w:proofErr w:type="spellStart"/>
      <w:r w:rsidRPr="00D30F36">
        <w:rPr>
          <w:rFonts w:ascii="Arial" w:hAnsi="Arial" w:cs="Arial"/>
          <w:sz w:val="24"/>
          <w:szCs w:val="24"/>
        </w:rPr>
        <w:t>Rinscheid</w:t>
      </w:r>
      <w:proofErr w:type="spellEnd"/>
      <w:r w:rsidRPr="00D30F36">
        <w:rPr>
          <w:rFonts w:ascii="Arial" w:hAnsi="Arial" w:cs="Arial"/>
          <w:sz w:val="24"/>
          <w:szCs w:val="24"/>
        </w:rPr>
        <w:t xml:space="preserve"> and </w:t>
      </w:r>
      <w:proofErr w:type="spellStart"/>
      <w:r w:rsidRPr="00D30F36">
        <w:rPr>
          <w:rFonts w:ascii="Arial" w:hAnsi="Arial" w:cs="Arial"/>
          <w:sz w:val="24"/>
          <w:szCs w:val="24"/>
        </w:rPr>
        <w:t>Wüstenhagen</w:t>
      </w:r>
      <w:proofErr w:type="spellEnd"/>
      <w:r w:rsidRPr="00D30F36">
        <w:rPr>
          <w:rFonts w:ascii="Arial" w:hAnsi="Arial" w:cs="Arial"/>
          <w:sz w:val="24"/>
          <w:szCs w:val="24"/>
        </w:rPr>
        <w:t xml:space="preserve"> (2024) show that automotive electrification also requires firms to develop new capabilities and adjust to technological change. JLR therefore needs to combine its traditional strengths with stronger capabilities in electrification, software and resilience. This also highlights a limitation of a static VRIO assessment: a resource may be valuable today but lose relevance if customer expectations or industry technology change. JLR therefore has to renew its advantages rather than simply protect them.</w:t>
      </w:r>
    </w:p>
    <w:p w14:paraId="674F4AC7" w14:textId="754CE049" w:rsidR="00C7172C" w:rsidRPr="00D30F36" w:rsidRDefault="00C7172C" w:rsidP="00D30F36">
      <w:pPr>
        <w:pStyle w:val="Heading2"/>
        <w:spacing w:line="360" w:lineRule="auto"/>
        <w:jc w:val="both"/>
        <w:rPr>
          <w:rStyle w:val="SubtleEmphasis"/>
          <w:rFonts w:ascii="Arial" w:hAnsi="Arial" w:cs="Arial"/>
          <w:b/>
          <w:bCs/>
          <w:i w:val="0"/>
          <w:iCs w:val="0"/>
          <w:sz w:val="24"/>
          <w:szCs w:val="24"/>
        </w:rPr>
      </w:pPr>
      <w:bookmarkStart w:id="7" w:name="_Toc235945184"/>
      <w:r w:rsidRPr="007B6648">
        <w:rPr>
          <w:rStyle w:val="SubtleEmphasis"/>
          <w:b/>
          <w:bCs/>
          <w:i w:val="0"/>
          <w:iCs w:val="0"/>
          <w:sz w:val="28"/>
          <w:szCs w:val="28"/>
        </w:rPr>
        <w:t>3</w:t>
      </w:r>
      <w:r w:rsidRPr="007B6648">
        <w:rPr>
          <w:rStyle w:val="SubtleEmphasis"/>
          <w:b/>
          <w:bCs/>
          <w:i w:val="0"/>
          <w:iCs w:val="0"/>
          <w:sz w:val="28"/>
          <w:szCs w:val="28"/>
        </w:rPr>
        <w:t xml:space="preserve">.4 </w:t>
      </w:r>
      <w:r w:rsidRPr="00D30F36">
        <w:rPr>
          <w:rStyle w:val="SubtleEmphasis"/>
          <w:rFonts w:ascii="Arial" w:hAnsi="Arial" w:cs="Arial"/>
          <w:b/>
          <w:bCs/>
          <w:i w:val="0"/>
          <w:iCs w:val="0"/>
          <w:sz w:val="28"/>
          <w:szCs w:val="28"/>
        </w:rPr>
        <w:t>SWOT Analysis</w:t>
      </w:r>
      <w:bookmarkEnd w:id="7"/>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4508"/>
        <w:gridCol w:w="4508"/>
      </w:tblGrid>
      <w:tr w:rsidR="00C7172C" w:rsidRPr="00D30F36" w14:paraId="441824B2" w14:textId="77777777">
        <w:tc>
          <w:tcPr>
            <w:tcW w:w="4680" w:type="dxa"/>
            <w:tcBorders>
              <w:top w:val="single" w:sz="4" w:space="0" w:color="000000"/>
              <w:left w:val="single" w:sz="4" w:space="0" w:color="000000"/>
              <w:bottom w:val="single" w:sz="4" w:space="0" w:color="000000"/>
              <w:right w:val="single" w:sz="4" w:space="0" w:color="000000"/>
            </w:tcBorders>
            <w:vAlign w:val="center"/>
            <w:hideMark/>
          </w:tcPr>
          <w:p w14:paraId="67F4AF9F"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b/>
                <w:bCs/>
                <w:sz w:val="24"/>
                <w:szCs w:val="24"/>
              </w:rPr>
              <w:t>Strengths</w:t>
            </w:r>
          </w:p>
        </w:tc>
        <w:tc>
          <w:tcPr>
            <w:tcW w:w="4680" w:type="dxa"/>
            <w:tcBorders>
              <w:top w:val="single" w:sz="4" w:space="0" w:color="000000"/>
              <w:left w:val="single" w:sz="4" w:space="0" w:color="000000"/>
              <w:bottom w:val="single" w:sz="4" w:space="0" w:color="000000"/>
              <w:right w:val="single" w:sz="4" w:space="0" w:color="000000"/>
            </w:tcBorders>
            <w:vAlign w:val="center"/>
            <w:hideMark/>
          </w:tcPr>
          <w:p w14:paraId="31026637"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b/>
                <w:bCs/>
                <w:sz w:val="24"/>
                <w:szCs w:val="24"/>
              </w:rPr>
              <w:t>Weaknesses</w:t>
            </w:r>
          </w:p>
        </w:tc>
      </w:tr>
      <w:tr w:rsidR="00C7172C" w:rsidRPr="00D30F36" w14:paraId="5ACF55CF" w14:textId="77777777">
        <w:tc>
          <w:tcPr>
            <w:tcW w:w="4680" w:type="dxa"/>
            <w:tcBorders>
              <w:top w:val="single" w:sz="4" w:space="0" w:color="000000"/>
              <w:left w:val="single" w:sz="4" w:space="0" w:color="000000"/>
              <w:bottom w:val="single" w:sz="4" w:space="0" w:color="000000"/>
              <w:right w:val="single" w:sz="4" w:space="0" w:color="000000"/>
            </w:tcBorders>
            <w:vAlign w:val="center"/>
            <w:hideMark/>
          </w:tcPr>
          <w:p w14:paraId="6D449CE6"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Strong Range Rover and Defender brands</w:t>
            </w:r>
          </w:p>
        </w:tc>
        <w:tc>
          <w:tcPr>
            <w:tcW w:w="4680" w:type="dxa"/>
            <w:tcBorders>
              <w:top w:val="single" w:sz="4" w:space="0" w:color="000000"/>
              <w:left w:val="single" w:sz="4" w:space="0" w:color="000000"/>
              <w:bottom w:val="single" w:sz="4" w:space="0" w:color="000000"/>
              <w:right w:val="single" w:sz="4" w:space="0" w:color="000000"/>
            </w:tcBorders>
            <w:vAlign w:val="center"/>
            <w:hideMark/>
          </w:tcPr>
          <w:p w14:paraId="7C441465"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Smaller scale than major global competitors</w:t>
            </w:r>
          </w:p>
        </w:tc>
      </w:tr>
      <w:tr w:rsidR="00C7172C" w:rsidRPr="00D30F36" w14:paraId="2DAB21BC" w14:textId="77777777">
        <w:tc>
          <w:tcPr>
            <w:tcW w:w="4680" w:type="dxa"/>
            <w:tcBorders>
              <w:top w:val="single" w:sz="4" w:space="0" w:color="000000"/>
              <w:left w:val="single" w:sz="4" w:space="0" w:color="000000"/>
              <w:bottom w:val="single" w:sz="4" w:space="0" w:color="000000"/>
              <w:right w:val="single" w:sz="4" w:space="0" w:color="000000"/>
            </w:tcBorders>
            <w:vAlign w:val="center"/>
            <w:hideMark/>
          </w:tcPr>
          <w:p w14:paraId="5F1BCE6C"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British luxury heritage and distinctive positioning</w:t>
            </w:r>
          </w:p>
        </w:tc>
        <w:tc>
          <w:tcPr>
            <w:tcW w:w="4680" w:type="dxa"/>
            <w:tcBorders>
              <w:top w:val="single" w:sz="4" w:space="0" w:color="000000"/>
              <w:left w:val="single" w:sz="4" w:space="0" w:color="000000"/>
              <w:bottom w:val="single" w:sz="4" w:space="0" w:color="000000"/>
              <w:right w:val="single" w:sz="4" w:space="0" w:color="000000"/>
            </w:tcBorders>
            <w:vAlign w:val="center"/>
            <w:hideMark/>
          </w:tcPr>
          <w:p w14:paraId="48CAF879"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Cyber and operational weakness exposed in 2025</w:t>
            </w:r>
          </w:p>
        </w:tc>
      </w:tr>
      <w:tr w:rsidR="00C7172C" w:rsidRPr="00D30F36" w14:paraId="2892444D" w14:textId="77777777">
        <w:tc>
          <w:tcPr>
            <w:tcW w:w="4680" w:type="dxa"/>
            <w:tcBorders>
              <w:top w:val="single" w:sz="4" w:space="0" w:color="000000"/>
              <w:left w:val="single" w:sz="4" w:space="0" w:color="000000"/>
              <w:bottom w:val="single" w:sz="4" w:space="0" w:color="000000"/>
              <w:right w:val="single" w:sz="4" w:space="0" w:color="000000"/>
            </w:tcBorders>
            <w:vAlign w:val="center"/>
            <w:hideMark/>
          </w:tcPr>
          <w:p w14:paraId="1939F2BB"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Design, engineering and off-road expertise</w:t>
            </w:r>
          </w:p>
        </w:tc>
        <w:tc>
          <w:tcPr>
            <w:tcW w:w="4680" w:type="dxa"/>
            <w:tcBorders>
              <w:top w:val="single" w:sz="4" w:space="0" w:color="000000"/>
              <w:left w:val="single" w:sz="4" w:space="0" w:color="000000"/>
              <w:bottom w:val="single" w:sz="4" w:space="0" w:color="000000"/>
              <w:right w:val="single" w:sz="4" w:space="0" w:color="000000"/>
            </w:tcBorders>
            <w:vAlign w:val="center"/>
            <w:hideMark/>
          </w:tcPr>
          <w:p w14:paraId="5F21A3B5"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High cost and complexity of transformation</w:t>
            </w:r>
          </w:p>
        </w:tc>
      </w:tr>
      <w:tr w:rsidR="00C7172C" w:rsidRPr="00D30F36" w14:paraId="67AD53E5" w14:textId="77777777">
        <w:tc>
          <w:tcPr>
            <w:tcW w:w="4680" w:type="dxa"/>
            <w:tcBorders>
              <w:top w:val="single" w:sz="4" w:space="0" w:color="000000"/>
              <w:left w:val="single" w:sz="4" w:space="0" w:color="000000"/>
              <w:bottom w:val="single" w:sz="4" w:space="0" w:color="000000"/>
              <w:right w:val="single" w:sz="4" w:space="0" w:color="000000"/>
            </w:tcBorders>
            <w:vAlign w:val="center"/>
            <w:hideMark/>
          </w:tcPr>
          <w:p w14:paraId="0E5306E2"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Tata group support and major investment capacity</w:t>
            </w:r>
          </w:p>
        </w:tc>
        <w:tc>
          <w:tcPr>
            <w:tcW w:w="4680" w:type="dxa"/>
            <w:tcBorders>
              <w:top w:val="single" w:sz="4" w:space="0" w:color="000000"/>
              <w:left w:val="single" w:sz="4" w:space="0" w:color="000000"/>
              <w:bottom w:val="single" w:sz="4" w:space="0" w:color="000000"/>
              <w:right w:val="single" w:sz="4" w:space="0" w:color="000000"/>
            </w:tcBorders>
            <w:vAlign w:val="center"/>
            <w:hideMark/>
          </w:tcPr>
          <w:p w14:paraId="223BB577"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Dependence on premium and luxury markets</w:t>
            </w:r>
          </w:p>
        </w:tc>
      </w:tr>
      <w:tr w:rsidR="00C7172C" w:rsidRPr="00D30F36" w14:paraId="3ADEAFC9" w14:textId="77777777">
        <w:tc>
          <w:tcPr>
            <w:tcW w:w="4680" w:type="dxa"/>
            <w:tcBorders>
              <w:top w:val="single" w:sz="4" w:space="0" w:color="000000"/>
              <w:left w:val="single" w:sz="4" w:space="0" w:color="000000"/>
              <w:bottom w:val="single" w:sz="4" w:space="0" w:color="000000"/>
              <w:right w:val="single" w:sz="4" w:space="0" w:color="000000"/>
            </w:tcBorders>
            <w:vAlign w:val="center"/>
            <w:hideMark/>
          </w:tcPr>
          <w:p w14:paraId="7F7864D5"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b/>
                <w:bCs/>
                <w:sz w:val="24"/>
                <w:szCs w:val="24"/>
              </w:rPr>
              <w:t>Opportunities</w:t>
            </w:r>
          </w:p>
        </w:tc>
        <w:tc>
          <w:tcPr>
            <w:tcW w:w="4680" w:type="dxa"/>
            <w:tcBorders>
              <w:top w:val="single" w:sz="4" w:space="0" w:color="000000"/>
              <w:left w:val="single" w:sz="4" w:space="0" w:color="000000"/>
              <w:bottom w:val="single" w:sz="4" w:space="0" w:color="000000"/>
              <w:right w:val="single" w:sz="4" w:space="0" w:color="000000"/>
            </w:tcBorders>
            <w:vAlign w:val="center"/>
            <w:hideMark/>
          </w:tcPr>
          <w:p w14:paraId="48C14E1E"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b/>
                <w:bCs/>
                <w:sz w:val="24"/>
                <w:szCs w:val="24"/>
              </w:rPr>
              <w:t>Threats</w:t>
            </w:r>
          </w:p>
        </w:tc>
      </w:tr>
      <w:tr w:rsidR="00C7172C" w:rsidRPr="00D30F36" w14:paraId="04FDB022" w14:textId="77777777">
        <w:tc>
          <w:tcPr>
            <w:tcW w:w="4680" w:type="dxa"/>
            <w:tcBorders>
              <w:top w:val="single" w:sz="4" w:space="0" w:color="000000"/>
              <w:left w:val="single" w:sz="4" w:space="0" w:color="000000"/>
              <w:bottom w:val="single" w:sz="4" w:space="0" w:color="000000"/>
              <w:right w:val="single" w:sz="4" w:space="0" w:color="000000"/>
            </w:tcBorders>
            <w:vAlign w:val="center"/>
            <w:hideMark/>
          </w:tcPr>
          <w:p w14:paraId="0C0A9886"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Growth in premium electrified vehicles</w:t>
            </w:r>
          </w:p>
        </w:tc>
        <w:tc>
          <w:tcPr>
            <w:tcW w:w="4680" w:type="dxa"/>
            <w:tcBorders>
              <w:top w:val="single" w:sz="4" w:space="0" w:color="000000"/>
              <w:left w:val="single" w:sz="4" w:space="0" w:color="000000"/>
              <w:bottom w:val="single" w:sz="4" w:space="0" w:color="000000"/>
              <w:right w:val="single" w:sz="4" w:space="0" w:color="000000"/>
            </w:tcBorders>
            <w:vAlign w:val="center"/>
            <w:hideMark/>
          </w:tcPr>
          <w:p w14:paraId="0D8A12BE"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Established premium and Chinese EV competitors</w:t>
            </w:r>
          </w:p>
        </w:tc>
      </w:tr>
      <w:tr w:rsidR="00C7172C" w:rsidRPr="00D30F36" w14:paraId="78DF2ADD" w14:textId="77777777">
        <w:tc>
          <w:tcPr>
            <w:tcW w:w="4680" w:type="dxa"/>
            <w:tcBorders>
              <w:top w:val="single" w:sz="4" w:space="0" w:color="000000"/>
              <w:left w:val="single" w:sz="4" w:space="0" w:color="000000"/>
              <w:bottom w:val="single" w:sz="4" w:space="0" w:color="000000"/>
              <w:right w:val="single" w:sz="4" w:space="0" w:color="000000"/>
            </w:tcBorders>
            <w:vAlign w:val="center"/>
            <w:hideMark/>
          </w:tcPr>
          <w:p w14:paraId="135AC92B"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Range Rover Electric and new-generation Jaguar</w:t>
            </w:r>
          </w:p>
        </w:tc>
        <w:tc>
          <w:tcPr>
            <w:tcW w:w="4680" w:type="dxa"/>
            <w:tcBorders>
              <w:top w:val="single" w:sz="4" w:space="0" w:color="000000"/>
              <w:left w:val="single" w:sz="4" w:space="0" w:color="000000"/>
              <w:bottom w:val="single" w:sz="4" w:space="0" w:color="000000"/>
              <w:right w:val="single" w:sz="4" w:space="0" w:color="000000"/>
            </w:tcBorders>
            <w:vAlign w:val="center"/>
            <w:hideMark/>
          </w:tcPr>
          <w:p w14:paraId="1CE42EAC"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Trade tariffs and geopolitical uncertainty</w:t>
            </w:r>
          </w:p>
        </w:tc>
      </w:tr>
      <w:tr w:rsidR="00C7172C" w:rsidRPr="00D30F36" w14:paraId="3F83CD5C" w14:textId="77777777">
        <w:tc>
          <w:tcPr>
            <w:tcW w:w="4680" w:type="dxa"/>
            <w:tcBorders>
              <w:top w:val="single" w:sz="4" w:space="0" w:color="000000"/>
              <w:left w:val="single" w:sz="4" w:space="0" w:color="000000"/>
              <w:bottom w:val="single" w:sz="4" w:space="0" w:color="000000"/>
              <w:right w:val="single" w:sz="4" w:space="0" w:color="000000"/>
            </w:tcBorders>
            <w:vAlign w:val="center"/>
            <w:hideMark/>
          </w:tcPr>
          <w:p w14:paraId="247C4AD6"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Growth opportunities in North America</w:t>
            </w:r>
          </w:p>
        </w:tc>
        <w:tc>
          <w:tcPr>
            <w:tcW w:w="4680" w:type="dxa"/>
            <w:tcBorders>
              <w:top w:val="single" w:sz="4" w:space="0" w:color="000000"/>
              <w:left w:val="single" w:sz="4" w:space="0" w:color="000000"/>
              <w:bottom w:val="single" w:sz="4" w:space="0" w:color="000000"/>
              <w:right w:val="single" w:sz="4" w:space="0" w:color="000000"/>
            </w:tcBorders>
            <w:vAlign w:val="center"/>
            <w:hideMark/>
          </w:tcPr>
          <w:p w14:paraId="4F4FB29B"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Battery and semiconductor supply risk</w:t>
            </w:r>
          </w:p>
        </w:tc>
      </w:tr>
      <w:tr w:rsidR="00C7172C" w:rsidRPr="00D30F36" w14:paraId="1F233B82" w14:textId="77777777">
        <w:tc>
          <w:tcPr>
            <w:tcW w:w="4680" w:type="dxa"/>
            <w:tcBorders>
              <w:top w:val="single" w:sz="4" w:space="0" w:color="000000"/>
              <w:left w:val="single" w:sz="4" w:space="0" w:color="000000"/>
              <w:bottom w:val="single" w:sz="4" w:space="0" w:color="000000"/>
              <w:right w:val="single" w:sz="4" w:space="0" w:color="000000"/>
            </w:tcBorders>
            <w:vAlign w:val="center"/>
            <w:hideMark/>
          </w:tcPr>
          <w:p w14:paraId="3E6A0F39"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lastRenderedPageBreak/>
              <w:t>AI, connected vehicles and technology partnerships</w:t>
            </w:r>
          </w:p>
        </w:tc>
        <w:tc>
          <w:tcPr>
            <w:tcW w:w="4680" w:type="dxa"/>
            <w:tcBorders>
              <w:top w:val="single" w:sz="4" w:space="0" w:color="000000"/>
              <w:left w:val="single" w:sz="4" w:space="0" w:color="000000"/>
              <w:bottom w:val="single" w:sz="4" w:space="0" w:color="000000"/>
              <w:right w:val="single" w:sz="4" w:space="0" w:color="000000"/>
            </w:tcBorders>
            <w:vAlign w:val="center"/>
            <w:hideMark/>
          </w:tcPr>
          <w:p w14:paraId="05D6DE85"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Uneven EV demand and tighter regulation</w:t>
            </w:r>
          </w:p>
        </w:tc>
      </w:tr>
    </w:tbl>
    <w:p w14:paraId="3680B9F3" w14:textId="77777777" w:rsidR="00C7172C" w:rsidRPr="00D30F36" w:rsidRDefault="00C7172C" w:rsidP="00D30F36">
      <w:pPr>
        <w:spacing w:line="360" w:lineRule="auto"/>
        <w:jc w:val="both"/>
        <w:rPr>
          <w:rFonts w:ascii="Arial" w:hAnsi="Arial" w:cs="Arial"/>
          <w:sz w:val="24"/>
          <w:szCs w:val="24"/>
        </w:rPr>
      </w:pPr>
    </w:p>
    <w:p w14:paraId="1E398B62"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The SWOT analysis shows a clear strategic tension. JLR still possesses resources that competitors find difficult to copy, but the basis of competition is changing. The company therefore needs to modernise what already makes Range Rover and Defender distinctive while building the technological and operational capabilities required by an increasingly electrified and digital industry.</w:t>
      </w:r>
    </w:p>
    <w:p w14:paraId="36E1F431" w14:textId="2DEA42C9" w:rsidR="00C7172C" w:rsidRPr="00D30F36" w:rsidRDefault="00C7172C" w:rsidP="00D30F36">
      <w:pPr>
        <w:pStyle w:val="Heading1"/>
        <w:numPr>
          <w:ilvl w:val="0"/>
          <w:numId w:val="6"/>
        </w:numPr>
        <w:spacing w:line="360" w:lineRule="auto"/>
        <w:jc w:val="both"/>
        <w:rPr>
          <w:rFonts w:ascii="Arial" w:hAnsi="Arial" w:cs="Arial"/>
        </w:rPr>
      </w:pPr>
      <w:bookmarkStart w:id="8" w:name="_Toc235945185"/>
      <w:r w:rsidRPr="00D30F36">
        <w:rPr>
          <w:rFonts w:ascii="Arial" w:hAnsi="Arial" w:cs="Arial"/>
        </w:rPr>
        <w:t>Strategy Formulation</w:t>
      </w:r>
      <w:bookmarkEnd w:id="8"/>
    </w:p>
    <w:p w14:paraId="1561D950"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Three realistic strategic options can be considered.</w:t>
      </w:r>
    </w:p>
    <w:p w14:paraId="65DA9FE9"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The first is to accelerate towards a predominantly BEV portfolio. This would align JLR closely with long-term regulation and EV growth, but the timing is risky. Adoption differs substantially between China, Europe and the United States (IEA, 2026), so moving too quickly could leave JLR with high investment costs and products that some markets are not yet ready to adopt at sufficient scale.</w:t>
      </w:r>
    </w:p>
    <w:p w14:paraId="0F35A349"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The second option is to maintain modern-luxury differentiation while using greater propulsion flexibility. JLR is already moving in this direction: Range Rover, Defender and Discovery are expected to offer combinations of MHEV, HEV, PHEV and BEV technology, while Jaguar will remain electric (JLR, 2026b). This approach protects JLR’s strongest source of advantage—its distinctive brands—without assuming that every market will electrify at the same speed. Its main weakness is complexity, as several powertrain technologies increase development and manufacturing costs. JLR is therefore targeting £1.7 billion in cost reductions and aims to lower its breakeven point towards 300,000 vehicles over the next two years (JLR, 2026b).</w:t>
      </w:r>
    </w:p>
    <w:p w14:paraId="17C5E1BE"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 xml:space="preserve">The third option is greater use of strategic technology partnerships. Collaboration can reduce development costs and provide faster access to specialist knowledge. Hu et al. (2024) identify collaborative networks as an important contributor to EV innovation, while JLR is exploring product and technology collaboration with Stellantis in the United States (JLR, 2026c). However, partnerships are not automatically a substitute for internal capability. Lin (2009) found no significant association between </w:t>
      </w:r>
      <w:r w:rsidRPr="00D30F36">
        <w:rPr>
          <w:rFonts w:ascii="Arial" w:hAnsi="Arial" w:cs="Arial"/>
          <w:sz w:val="24"/>
          <w:szCs w:val="24"/>
        </w:rPr>
        <w:lastRenderedPageBreak/>
        <w:t>technological cooperation and stronger internal technological innovation in the global automotive industry.</w:t>
      </w:r>
    </w:p>
    <w:p w14:paraId="1D71EEAC"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Overall, the second option offers the best strategic fit, supported selectively by the third. It protects JLR’s luxury differentiation while preserving flexibility during an uncertain EV transition. For this strategy to work, JLR must prevent propulsion flexibility from becoming strategic delay and offset the additional complexity through cost control, common architectures and stronger operational resilience.</w:t>
      </w:r>
    </w:p>
    <w:p w14:paraId="36DDFC40" w14:textId="33A139BB" w:rsidR="00C7172C" w:rsidRPr="00D30F36" w:rsidRDefault="00C7172C" w:rsidP="00D30F36">
      <w:pPr>
        <w:pStyle w:val="Heading1"/>
        <w:numPr>
          <w:ilvl w:val="0"/>
          <w:numId w:val="6"/>
        </w:numPr>
        <w:spacing w:line="360" w:lineRule="auto"/>
        <w:jc w:val="both"/>
        <w:rPr>
          <w:rFonts w:ascii="Arial" w:hAnsi="Arial" w:cs="Arial"/>
        </w:rPr>
      </w:pPr>
      <w:bookmarkStart w:id="9" w:name="_Toc235945186"/>
      <w:r w:rsidRPr="00D30F36">
        <w:rPr>
          <w:rFonts w:ascii="Arial" w:hAnsi="Arial" w:cs="Arial"/>
        </w:rPr>
        <w:t>Conclusion and Recommendations</w:t>
      </w:r>
      <w:bookmarkEnd w:id="9"/>
    </w:p>
    <w:p w14:paraId="7D22ECD4"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JLR retains important competitive strengths through its brands, heritage, design and engineering capabilities. However, FY2025/26 showed that these resources are not enough on their own. Electrification, digital technology, regulation, trade uncertainty and supply-chain resilience are becoming increasingly important to future competitiveness.</w:t>
      </w:r>
    </w:p>
    <w:p w14:paraId="3FE46917"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JLR should therefore pursue differentiated modern luxury supported by propulsion flexibility. BEV development should continue strongly, while hybrid alternatives remain available where demand justifies them; however, flexibility should not become an excuse to delay future electric capability.</w:t>
      </w:r>
    </w:p>
    <w:p w14:paraId="38A07CBC"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Cybersecurity, business continuity and supply-chain resilience should also become core strategic priorities following the weaknesses exposed in 2025. Finally, JLR should use technology partnerships where they reduce risk or accelerate innovation, while keeping internal control over capabilities that directly influence its brands, design, engineering, software and customer experience.</w:t>
      </w:r>
    </w:p>
    <w:p w14:paraId="7FDE08EB"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This approach would allow JLR to build on what already makes the company distinctive while adapting those strengths to a very different automotive market.</w:t>
      </w:r>
    </w:p>
    <w:p w14:paraId="65054520" w14:textId="77777777" w:rsidR="00C7172C" w:rsidRDefault="00C7172C" w:rsidP="00C7172C">
      <w:pPr>
        <w:rPr>
          <w:b/>
          <w:bCs/>
        </w:rPr>
      </w:pPr>
    </w:p>
    <w:p w14:paraId="438651F3" w14:textId="77777777" w:rsidR="00C7172C" w:rsidRDefault="00C7172C" w:rsidP="00C7172C">
      <w:pPr>
        <w:rPr>
          <w:b/>
          <w:bCs/>
        </w:rPr>
      </w:pPr>
    </w:p>
    <w:p w14:paraId="676333D0" w14:textId="77777777" w:rsidR="00C7172C" w:rsidRDefault="00C7172C" w:rsidP="00C7172C">
      <w:pPr>
        <w:rPr>
          <w:b/>
          <w:bCs/>
        </w:rPr>
      </w:pPr>
    </w:p>
    <w:p w14:paraId="31B21BE9" w14:textId="77777777" w:rsidR="00C7172C" w:rsidRDefault="00C7172C" w:rsidP="007B6648">
      <w:pPr>
        <w:pStyle w:val="Subtitle"/>
      </w:pPr>
    </w:p>
    <w:p w14:paraId="72F48147" w14:textId="77777777" w:rsidR="00D30F36" w:rsidRPr="00D30F36" w:rsidRDefault="00D30F36" w:rsidP="00D30F36"/>
    <w:p w14:paraId="04090A4C" w14:textId="373C1B52" w:rsidR="00C7172C" w:rsidRPr="00DA3455" w:rsidRDefault="00C7172C" w:rsidP="00D30F36">
      <w:pPr>
        <w:pStyle w:val="Heading1"/>
        <w:numPr>
          <w:ilvl w:val="0"/>
          <w:numId w:val="6"/>
        </w:numPr>
        <w:spacing w:line="360" w:lineRule="auto"/>
        <w:jc w:val="both"/>
        <w:rPr>
          <w:rFonts w:ascii="Arial" w:hAnsi="Arial" w:cs="Arial"/>
        </w:rPr>
      </w:pPr>
      <w:bookmarkStart w:id="10" w:name="_Toc235945187"/>
      <w:r w:rsidRPr="00DA3455">
        <w:rPr>
          <w:rFonts w:ascii="Arial" w:hAnsi="Arial" w:cs="Arial"/>
        </w:rPr>
        <w:lastRenderedPageBreak/>
        <w:t>Reference List</w:t>
      </w:r>
      <w:bookmarkEnd w:id="10"/>
    </w:p>
    <w:p w14:paraId="69DCC0E0"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ACEA – European Automobile Manufacturers’ Association (2026) ‘New car registrations: +1.8% in 2025; battery-electric 17.4% market share’, 27 January.</w:t>
      </w:r>
    </w:p>
    <w:p w14:paraId="54E04537"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Barney, J.B. (1991) ‘Firm resources and sustained competitive advantage’, Journal of Management, 17(1), pp. 99–120.</w:t>
      </w:r>
    </w:p>
    <w:p w14:paraId="3ACC21C7"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Cheng, A.L., Fuchs, E.R.H., Karplus, V.J. and Michalek, J.J. (2024) ‘Electric vehicle battery chemistry affects supply chain disruption vulnerabilities’, Nature Communications, 15, Article 2143.</w:t>
      </w:r>
    </w:p>
    <w:p w14:paraId="44389E1E"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Department for Transport (2025) Updates to the Vehicle Emissions Trading Schemes (VETS) Order 2023. London: Department for Transport.</w:t>
      </w:r>
    </w:p>
    <w:p w14:paraId="4B16C209"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 xml:space="preserve">Grant, R.M. (2024) Contemporary Strategy Analysis. 12th </w:t>
      </w:r>
      <w:proofErr w:type="spellStart"/>
      <w:r w:rsidRPr="00D30F36">
        <w:rPr>
          <w:rFonts w:ascii="Arial" w:hAnsi="Arial" w:cs="Arial"/>
          <w:sz w:val="24"/>
          <w:szCs w:val="24"/>
        </w:rPr>
        <w:t>edn</w:t>
      </w:r>
      <w:proofErr w:type="spellEnd"/>
      <w:r w:rsidRPr="00D30F36">
        <w:rPr>
          <w:rFonts w:ascii="Arial" w:hAnsi="Arial" w:cs="Arial"/>
          <w:sz w:val="24"/>
          <w:szCs w:val="24"/>
        </w:rPr>
        <w:t>. Hoboken, NJ: John Wiley &amp; Sons.</w:t>
      </w:r>
    </w:p>
    <w:p w14:paraId="431EA4A4"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Hu, W., Liu, Y., Li, Y. and Chen, D. (2024) ‘Work together, walk forward: Unveiling collaborative innovation networks and mapping paths to breakthrough innovation in electric vehicles’, Journal of Cleaner Production, 480, Article 144077.</w:t>
      </w:r>
    </w:p>
    <w:p w14:paraId="099F0B76"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International Energy Agency (IEA) (2026) Global EV Outlook 2026. Paris: International Energy Agency.</w:t>
      </w:r>
    </w:p>
    <w:p w14:paraId="35876637" w14:textId="77777777" w:rsidR="00C7172C" w:rsidRPr="00D30F36" w:rsidRDefault="00C7172C" w:rsidP="00D30F36">
      <w:pPr>
        <w:spacing w:line="360" w:lineRule="auto"/>
        <w:jc w:val="both"/>
        <w:rPr>
          <w:rFonts w:ascii="Arial" w:hAnsi="Arial" w:cs="Arial"/>
          <w:sz w:val="24"/>
          <w:szCs w:val="24"/>
        </w:rPr>
      </w:pPr>
      <w:proofErr w:type="spellStart"/>
      <w:r w:rsidRPr="00D30F36">
        <w:rPr>
          <w:rFonts w:ascii="Arial" w:hAnsi="Arial" w:cs="Arial"/>
          <w:sz w:val="24"/>
          <w:szCs w:val="24"/>
        </w:rPr>
        <w:t>Jagani</w:t>
      </w:r>
      <w:proofErr w:type="spellEnd"/>
      <w:r w:rsidRPr="00D30F36">
        <w:rPr>
          <w:rFonts w:ascii="Arial" w:hAnsi="Arial" w:cs="Arial"/>
          <w:sz w:val="24"/>
          <w:szCs w:val="24"/>
        </w:rPr>
        <w:t xml:space="preserve">, S., </w:t>
      </w:r>
      <w:proofErr w:type="spellStart"/>
      <w:r w:rsidRPr="00D30F36">
        <w:rPr>
          <w:rFonts w:ascii="Arial" w:hAnsi="Arial" w:cs="Arial"/>
          <w:sz w:val="24"/>
          <w:szCs w:val="24"/>
        </w:rPr>
        <w:t>Marsillac</w:t>
      </w:r>
      <w:proofErr w:type="spellEnd"/>
      <w:r w:rsidRPr="00D30F36">
        <w:rPr>
          <w:rFonts w:ascii="Arial" w:hAnsi="Arial" w:cs="Arial"/>
          <w:sz w:val="24"/>
          <w:szCs w:val="24"/>
        </w:rPr>
        <w:t>, E. and Hong, P. (2024) ‘The electric vehicle supply chain ecosystem: Changing roles of automotive suppliers’, Sustainability, 16(4), Article 1570.</w:t>
      </w:r>
    </w:p>
    <w:p w14:paraId="2669163C"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Jaguar Land Rover Automotive plc (JLR) (2026a) Annual Report 2026. Gaydon: Jaguar Land Rover Automotive plc.</w:t>
      </w:r>
    </w:p>
    <w:p w14:paraId="2886D5DD"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Jaguar Land Rover Automotive plc (JLR) (2026b) ‘JLR sets out path to double digit revenue growth through greater propulsion flexibility and increased focus on North America’, 17 June.</w:t>
      </w:r>
    </w:p>
    <w:p w14:paraId="57C73F7F"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Jaguar Land Rover Automotive plc (JLR) (2026c) ‘Stellantis and JLR to explore collaboration synergies for product development in the U.S.’, 20 May.</w:t>
      </w:r>
    </w:p>
    <w:p w14:paraId="11DBDE88"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Jaguar Land Rover Automotive plc (JLR) (n.d.-a) Our Purpose.</w:t>
      </w:r>
    </w:p>
    <w:p w14:paraId="3AF4B065"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Jaguar Land Rover Automotive plc (JLR) (n.d.-b) Sustainability.</w:t>
      </w:r>
    </w:p>
    <w:p w14:paraId="581FD3E1"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lastRenderedPageBreak/>
        <w:t>Lin, L-H. (2009) ‘Mergers and acquisitions, alliances and technology development: an empirical study of the global auto industry’, International Journal of Technology Management, 48(3), pp. 295–307.</w:t>
      </w:r>
    </w:p>
    <w:p w14:paraId="581039A0"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 xml:space="preserve">Loder, J., </w:t>
      </w:r>
      <w:proofErr w:type="spellStart"/>
      <w:r w:rsidRPr="00D30F36">
        <w:rPr>
          <w:rFonts w:ascii="Arial" w:hAnsi="Arial" w:cs="Arial"/>
          <w:sz w:val="24"/>
          <w:szCs w:val="24"/>
        </w:rPr>
        <w:t>Rinscheid</w:t>
      </w:r>
      <w:proofErr w:type="spellEnd"/>
      <w:r w:rsidRPr="00D30F36">
        <w:rPr>
          <w:rFonts w:ascii="Arial" w:hAnsi="Arial" w:cs="Arial"/>
          <w:sz w:val="24"/>
          <w:szCs w:val="24"/>
        </w:rPr>
        <w:t xml:space="preserve">, A. and </w:t>
      </w:r>
      <w:proofErr w:type="spellStart"/>
      <w:r w:rsidRPr="00D30F36">
        <w:rPr>
          <w:rFonts w:ascii="Arial" w:hAnsi="Arial" w:cs="Arial"/>
          <w:sz w:val="24"/>
          <w:szCs w:val="24"/>
        </w:rPr>
        <w:t>Wüstenhagen</w:t>
      </w:r>
      <w:proofErr w:type="spellEnd"/>
      <w:r w:rsidRPr="00D30F36">
        <w:rPr>
          <w:rFonts w:ascii="Arial" w:hAnsi="Arial" w:cs="Arial"/>
          <w:sz w:val="24"/>
          <w:szCs w:val="24"/>
        </w:rPr>
        <w:t>, R. (2024) ‘Why do (some) German car manufacturers go electric? The role of dynamic capabilities and cognitive frames’, Business Strategy and the Environment, 33(2), pp. 1129–1143.</w:t>
      </w:r>
    </w:p>
    <w:p w14:paraId="017F95A2"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Lopez-Vega, H. and Moodysson, J. (2023) ‘Digital transformation of the automotive industry: An integrating framework to analyse technological novelty and breadth’, Industry and Innovation, 30(1), pp. 67–102.</w:t>
      </w:r>
    </w:p>
    <w:p w14:paraId="169C078D"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 xml:space="preserve">Porter, M.E. (1980) Competitive Strategy: Techniques for </w:t>
      </w:r>
      <w:proofErr w:type="spellStart"/>
      <w:r w:rsidRPr="00D30F36">
        <w:rPr>
          <w:rFonts w:ascii="Arial" w:hAnsi="Arial" w:cs="Arial"/>
          <w:sz w:val="24"/>
          <w:szCs w:val="24"/>
        </w:rPr>
        <w:t>Analyzing</w:t>
      </w:r>
      <w:proofErr w:type="spellEnd"/>
      <w:r w:rsidRPr="00D30F36">
        <w:rPr>
          <w:rFonts w:ascii="Arial" w:hAnsi="Arial" w:cs="Arial"/>
          <w:sz w:val="24"/>
          <w:szCs w:val="24"/>
        </w:rPr>
        <w:t xml:space="preserve"> Industries and Competitors. New York: Free Press.</w:t>
      </w:r>
    </w:p>
    <w:p w14:paraId="7ADA5954"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Porter, M.E. (1985) Competitive Advantage: Creating and Sustaining Superior Performance. New York: Free Press.</w:t>
      </w:r>
    </w:p>
    <w:p w14:paraId="25A1DE32" w14:textId="77777777"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Society of Motor Manufacturers and Traders (SMMT) (2026) UK Car Manufacturing and Production Data.</w:t>
      </w:r>
    </w:p>
    <w:p w14:paraId="4DD5EAF9" w14:textId="5BE074CF"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 xml:space="preserve">Teece, D.J. (2007) ‘Explicating dynamic capabilities: The nature and </w:t>
      </w:r>
      <w:r w:rsidRPr="00D30F36">
        <w:rPr>
          <w:rFonts w:ascii="Arial" w:hAnsi="Arial" w:cs="Arial"/>
          <w:sz w:val="24"/>
          <w:szCs w:val="24"/>
        </w:rPr>
        <w:t>micro foundations</w:t>
      </w:r>
      <w:r w:rsidRPr="00D30F36">
        <w:rPr>
          <w:rFonts w:ascii="Arial" w:hAnsi="Arial" w:cs="Arial"/>
          <w:sz w:val="24"/>
          <w:szCs w:val="24"/>
        </w:rPr>
        <w:t xml:space="preserve"> of (sustainable) enterprise performance’, Strategic Management Journal, 28(13), pp. 1319–1350.</w:t>
      </w:r>
    </w:p>
    <w:p w14:paraId="22A41EE3" w14:textId="7F7F8951" w:rsidR="00C7172C" w:rsidRPr="00D30F36" w:rsidRDefault="00C7172C" w:rsidP="00D30F36">
      <w:pPr>
        <w:spacing w:line="360" w:lineRule="auto"/>
        <w:jc w:val="both"/>
        <w:rPr>
          <w:rFonts w:ascii="Arial" w:hAnsi="Arial" w:cs="Arial"/>
          <w:sz w:val="24"/>
          <w:szCs w:val="24"/>
        </w:rPr>
      </w:pPr>
      <w:r w:rsidRPr="00D30F36">
        <w:rPr>
          <w:rFonts w:ascii="Arial" w:hAnsi="Arial" w:cs="Arial"/>
          <w:sz w:val="24"/>
          <w:szCs w:val="24"/>
        </w:rPr>
        <w:t xml:space="preserve">Whittington, R., </w:t>
      </w:r>
      <w:proofErr w:type="spellStart"/>
      <w:r w:rsidRPr="00D30F36">
        <w:rPr>
          <w:rFonts w:ascii="Arial" w:hAnsi="Arial" w:cs="Arial"/>
          <w:sz w:val="24"/>
          <w:szCs w:val="24"/>
        </w:rPr>
        <w:t>Regnér</w:t>
      </w:r>
      <w:proofErr w:type="spellEnd"/>
      <w:r w:rsidRPr="00D30F36">
        <w:rPr>
          <w:rFonts w:ascii="Arial" w:hAnsi="Arial" w:cs="Arial"/>
          <w:sz w:val="24"/>
          <w:szCs w:val="24"/>
        </w:rPr>
        <w:t>, P., Angwin, D., Johnson, G. and Scholes, K. (2023) Exploring Strategy: Text and Cases. 13th ed. Harlow: Pearson Education.</w:t>
      </w:r>
    </w:p>
    <w:p w14:paraId="28B3C318" w14:textId="77777777" w:rsidR="00E94A6B" w:rsidRDefault="00E94A6B"/>
    <w:sectPr w:rsidR="00E94A6B">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D2F855" w14:textId="77777777" w:rsidR="00E7198F" w:rsidRDefault="00E7198F" w:rsidP="00C7172C">
      <w:pPr>
        <w:spacing w:after="0" w:line="240" w:lineRule="auto"/>
      </w:pPr>
      <w:r>
        <w:separator/>
      </w:r>
    </w:p>
  </w:endnote>
  <w:endnote w:type="continuationSeparator" w:id="0">
    <w:p w14:paraId="5D7B084C" w14:textId="77777777" w:rsidR="00E7198F" w:rsidRDefault="00E7198F" w:rsidP="00C717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1486078"/>
      <w:docPartObj>
        <w:docPartGallery w:val="Page Numbers (Bottom of Page)"/>
        <w:docPartUnique/>
      </w:docPartObj>
    </w:sdtPr>
    <w:sdtEndPr>
      <w:rPr>
        <w:noProof/>
      </w:rPr>
    </w:sdtEndPr>
    <w:sdtContent>
      <w:p w14:paraId="1BCC7DFE" w14:textId="63691BCA" w:rsidR="00DA3455" w:rsidRDefault="00DA345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58F50D9" w14:textId="77777777" w:rsidR="00DA3455" w:rsidRDefault="00DA34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FB21B5" w14:textId="77777777" w:rsidR="00E7198F" w:rsidRDefault="00E7198F" w:rsidP="00C7172C">
      <w:pPr>
        <w:spacing w:after="0" w:line="240" w:lineRule="auto"/>
      </w:pPr>
      <w:r>
        <w:separator/>
      </w:r>
    </w:p>
  </w:footnote>
  <w:footnote w:type="continuationSeparator" w:id="0">
    <w:p w14:paraId="07CFAF65" w14:textId="77777777" w:rsidR="00E7198F" w:rsidRDefault="00E7198F" w:rsidP="00C717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05773"/>
    <w:multiLevelType w:val="hybridMultilevel"/>
    <w:tmpl w:val="1D943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80501F"/>
    <w:multiLevelType w:val="hybridMultilevel"/>
    <w:tmpl w:val="7310A316"/>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C61057"/>
    <w:multiLevelType w:val="hybridMultilevel"/>
    <w:tmpl w:val="000072AC"/>
    <w:lvl w:ilvl="0" w:tplc="80023DF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D41A68"/>
    <w:multiLevelType w:val="hybridMultilevel"/>
    <w:tmpl w:val="40B834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07408E"/>
    <w:multiLevelType w:val="hybridMultilevel"/>
    <w:tmpl w:val="1DCEBE5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6D6D11"/>
    <w:multiLevelType w:val="hybridMultilevel"/>
    <w:tmpl w:val="D21AD1B8"/>
    <w:lvl w:ilvl="0" w:tplc="57885D12">
      <w:start w:val="4"/>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22994843">
    <w:abstractNumId w:val="2"/>
  </w:num>
  <w:num w:numId="2" w16cid:durableId="388068654">
    <w:abstractNumId w:val="5"/>
  </w:num>
  <w:num w:numId="3" w16cid:durableId="1336306748">
    <w:abstractNumId w:val="0"/>
  </w:num>
  <w:num w:numId="4" w16cid:durableId="2067333314">
    <w:abstractNumId w:val="1"/>
  </w:num>
  <w:num w:numId="5" w16cid:durableId="2121366853">
    <w:abstractNumId w:val="3"/>
  </w:num>
  <w:num w:numId="6" w16cid:durableId="6118592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72C"/>
    <w:rsid w:val="007B6648"/>
    <w:rsid w:val="008A24B1"/>
    <w:rsid w:val="00C7172C"/>
    <w:rsid w:val="00C85E11"/>
    <w:rsid w:val="00C92A5E"/>
    <w:rsid w:val="00D30F36"/>
    <w:rsid w:val="00DA3455"/>
    <w:rsid w:val="00E7198F"/>
    <w:rsid w:val="00E94A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1FD4F"/>
  <w15:chartTrackingRefBased/>
  <w15:docId w15:val="{BB1DB9D8-2C9A-487A-8A98-5E887759B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172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7172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7172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7172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7172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717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17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17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17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172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C7172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7172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7172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7172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717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17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17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172C"/>
    <w:rPr>
      <w:rFonts w:eastAsiaTheme="majorEastAsia" w:cstheme="majorBidi"/>
      <w:color w:val="272727" w:themeColor="text1" w:themeTint="D8"/>
    </w:rPr>
  </w:style>
  <w:style w:type="paragraph" w:styleId="Title">
    <w:name w:val="Title"/>
    <w:basedOn w:val="Normal"/>
    <w:next w:val="Normal"/>
    <w:link w:val="TitleChar"/>
    <w:uiPriority w:val="10"/>
    <w:qFormat/>
    <w:rsid w:val="00C717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17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17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17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172C"/>
    <w:pPr>
      <w:spacing w:before="160"/>
      <w:jc w:val="center"/>
    </w:pPr>
    <w:rPr>
      <w:i/>
      <w:iCs/>
      <w:color w:val="404040" w:themeColor="text1" w:themeTint="BF"/>
    </w:rPr>
  </w:style>
  <w:style w:type="character" w:customStyle="1" w:styleId="QuoteChar">
    <w:name w:val="Quote Char"/>
    <w:basedOn w:val="DefaultParagraphFont"/>
    <w:link w:val="Quote"/>
    <w:uiPriority w:val="29"/>
    <w:rsid w:val="00C7172C"/>
    <w:rPr>
      <w:i/>
      <w:iCs/>
      <w:color w:val="404040" w:themeColor="text1" w:themeTint="BF"/>
    </w:rPr>
  </w:style>
  <w:style w:type="paragraph" w:styleId="ListParagraph">
    <w:name w:val="List Paragraph"/>
    <w:basedOn w:val="Normal"/>
    <w:uiPriority w:val="34"/>
    <w:qFormat/>
    <w:rsid w:val="00C7172C"/>
    <w:pPr>
      <w:ind w:left="720"/>
      <w:contextualSpacing/>
    </w:pPr>
  </w:style>
  <w:style w:type="character" w:styleId="IntenseEmphasis">
    <w:name w:val="Intense Emphasis"/>
    <w:basedOn w:val="DefaultParagraphFont"/>
    <w:uiPriority w:val="21"/>
    <w:qFormat/>
    <w:rsid w:val="00C7172C"/>
    <w:rPr>
      <w:i/>
      <w:iCs/>
      <w:color w:val="2F5496" w:themeColor="accent1" w:themeShade="BF"/>
    </w:rPr>
  </w:style>
  <w:style w:type="paragraph" w:styleId="IntenseQuote">
    <w:name w:val="Intense Quote"/>
    <w:basedOn w:val="Normal"/>
    <w:next w:val="Normal"/>
    <w:link w:val="IntenseQuoteChar"/>
    <w:uiPriority w:val="30"/>
    <w:qFormat/>
    <w:rsid w:val="00C7172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7172C"/>
    <w:rPr>
      <w:i/>
      <w:iCs/>
      <w:color w:val="2F5496" w:themeColor="accent1" w:themeShade="BF"/>
    </w:rPr>
  </w:style>
  <w:style w:type="character" w:styleId="IntenseReference">
    <w:name w:val="Intense Reference"/>
    <w:basedOn w:val="DefaultParagraphFont"/>
    <w:uiPriority w:val="32"/>
    <w:qFormat/>
    <w:rsid w:val="00C7172C"/>
    <w:rPr>
      <w:b/>
      <w:bCs/>
      <w:smallCaps/>
      <w:color w:val="2F5496" w:themeColor="accent1" w:themeShade="BF"/>
      <w:spacing w:val="5"/>
    </w:rPr>
  </w:style>
  <w:style w:type="paragraph" w:styleId="Header">
    <w:name w:val="header"/>
    <w:basedOn w:val="Normal"/>
    <w:link w:val="HeaderChar"/>
    <w:uiPriority w:val="99"/>
    <w:unhideWhenUsed/>
    <w:rsid w:val="00C717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172C"/>
  </w:style>
  <w:style w:type="paragraph" w:styleId="Footer">
    <w:name w:val="footer"/>
    <w:basedOn w:val="Normal"/>
    <w:link w:val="FooterChar"/>
    <w:uiPriority w:val="99"/>
    <w:unhideWhenUsed/>
    <w:rsid w:val="00C717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172C"/>
  </w:style>
  <w:style w:type="character" w:styleId="SubtleEmphasis">
    <w:name w:val="Subtle Emphasis"/>
    <w:basedOn w:val="DefaultParagraphFont"/>
    <w:uiPriority w:val="19"/>
    <w:qFormat/>
    <w:rsid w:val="007B6648"/>
    <w:rPr>
      <w:i/>
      <w:iCs/>
      <w:color w:val="404040" w:themeColor="text1" w:themeTint="BF"/>
    </w:rPr>
  </w:style>
  <w:style w:type="paragraph" w:styleId="TOCHeading">
    <w:name w:val="TOC Heading"/>
    <w:basedOn w:val="Heading1"/>
    <w:next w:val="Normal"/>
    <w:uiPriority w:val="39"/>
    <w:unhideWhenUsed/>
    <w:qFormat/>
    <w:rsid w:val="007B6648"/>
    <w:pPr>
      <w:spacing w:before="240" w:after="0"/>
      <w:outlineLvl w:val="9"/>
    </w:pPr>
    <w:rPr>
      <w:kern w:val="0"/>
      <w:sz w:val="32"/>
      <w:szCs w:val="32"/>
      <w:lang w:val="en-US"/>
    </w:rPr>
  </w:style>
  <w:style w:type="paragraph" w:styleId="TOC1">
    <w:name w:val="toc 1"/>
    <w:basedOn w:val="Normal"/>
    <w:next w:val="Normal"/>
    <w:autoRedefine/>
    <w:uiPriority w:val="39"/>
    <w:unhideWhenUsed/>
    <w:rsid w:val="007B6648"/>
    <w:pPr>
      <w:spacing w:after="100"/>
    </w:pPr>
  </w:style>
  <w:style w:type="character" w:styleId="Hyperlink">
    <w:name w:val="Hyperlink"/>
    <w:basedOn w:val="DefaultParagraphFont"/>
    <w:uiPriority w:val="99"/>
    <w:unhideWhenUsed/>
    <w:rsid w:val="007B6648"/>
    <w:rPr>
      <w:color w:val="0563C1" w:themeColor="hyperlink"/>
      <w:u w:val="single"/>
    </w:rPr>
  </w:style>
  <w:style w:type="paragraph" w:styleId="TOC2">
    <w:name w:val="toc 2"/>
    <w:basedOn w:val="Normal"/>
    <w:next w:val="Normal"/>
    <w:autoRedefine/>
    <w:uiPriority w:val="39"/>
    <w:unhideWhenUsed/>
    <w:rsid w:val="00D30F3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1DF8C99-7CE3-4823-B8E9-230427AAE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2910</Words>
  <Characters>16588</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 Dascalu</dc:creator>
  <cp:keywords/>
  <dc:description/>
  <cp:lastModifiedBy>Sorin Dascalu</cp:lastModifiedBy>
  <cp:revision>2</cp:revision>
  <dcterms:created xsi:type="dcterms:W3CDTF">2026-07-26T07:05:00Z</dcterms:created>
  <dcterms:modified xsi:type="dcterms:W3CDTF">2026-07-26T07:05:00Z</dcterms:modified>
</cp:coreProperties>
</file>