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2FD64" w14:textId="67A0F3FD" w:rsidR="00170BB1" w:rsidRPr="00EC5E32" w:rsidRDefault="00FD2D65" w:rsidP="00FD2D65">
      <w:pPr>
        <w:jc w:val="center"/>
        <w:rPr>
          <w:rFonts w:eastAsia="Times New Roman"/>
          <w:b/>
          <w:sz w:val="28"/>
          <w:szCs w:val="32"/>
          <w:lang w:val="en-GB"/>
        </w:rPr>
      </w:pPr>
      <w:r>
        <w:fldChar w:fldCharType="begin"/>
      </w:r>
      <w:r>
        <w:instrText xml:space="preserve"> INCLUDEPICTURE "https://walesdtp-legacy.cardiff.ac.uk/wp-content/uploads/2023/10/university-of-wales-trinity-saint-david-logo-vector.png" \* MERGEFORMATINET </w:instrText>
      </w:r>
      <w:r>
        <w:fldChar w:fldCharType="separate"/>
      </w:r>
      <w:r>
        <w:rPr>
          <w:noProof/>
        </w:rPr>
        <w:drawing>
          <wp:inline distT="0" distB="0" distL="0" distR="0" wp14:anchorId="47C5FCFD" wp14:editId="6702BEE3">
            <wp:extent cx="2395057" cy="1330075"/>
            <wp:effectExtent l="0" t="0" r="0" b="0"/>
            <wp:docPr id="980962270" name="Picture 1" descr="university-of-wales-trinity-saint-david-logo-vector | ESRC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95057" cy="1330075"/>
                    </a:xfrm>
                    <a:prstGeom prst="rect">
                      <a:avLst/>
                    </a:prstGeom>
                    <a:noFill/>
                    <a:ln>
                      <a:noFill/>
                    </a:ln>
                  </pic:spPr>
                </pic:pic>
              </a:graphicData>
            </a:graphic>
          </wp:inline>
        </w:drawing>
      </w:r>
      <w:r>
        <w:fldChar w:fldCharType="end"/>
      </w:r>
    </w:p>
    <w:p w14:paraId="51CFE7B4" w14:textId="0B90D975" w:rsidR="00170BB1" w:rsidRPr="00FD2D65" w:rsidRDefault="00FD2D65" w:rsidP="00D92A1E">
      <w:pPr>
        <w:jc w:val="center"/>
        <w:rPr>
          <w:rFonts w:eastAsia="Times New Roman"/>
          <w:b/>
          <w:sz w:val="32"/>
          <w:szCs w:val="32"/>
          <w:lang w:val="en-GB"/>
        </w:rPr>
      </w:pPr>
      <w:r w:rsidRPr="00FD2D65">
        <w:rPr>
          <w:rFonts w:eastAsia="Times New Roman"/>
          <w:b/>
          <w:sz w:val="32"/>
          <w:szCs w:val="32"/>
          <w:lang w:val="en-GB"/>
        </w:rPr>
        <w:t>Programme: Master of Business Administration</w:t>
      </w:r>
    </w:p>
    <w:p w14:paraId="494C0D23" w14:textId="77777777" w:rsidR="00A415CD" w:rsidRPr="00FD2D65" w:rsidRDefault="00A415CD" w:rsidP="00FD2D65">
      <w:pPr>
        <w:rPr>
          <w:rFonts w:eastAsia="Times New Roman"/>
          <w:b/>
          <w:sz w:val="28"/>
          <w:szCs w:val="28"/>
          <w:lang w:val="en-GB"/>
        </w:rPr>
      </w:pPr>
    </w:p>
    <w:p w14:paraId="4553F440" w14:textId="337827B9" w:rsidR="00F23E67" w:rsidRPr="00FD2D65" w:rsidRDefault="00F23E67" w:rsidP="00D92A1E">
      <w:pPr>
        <w:jc w:val="center"/>
        <w:rPr>
          <w:rFonts w:eastAsia="Times New Roman"/>
          <w:b/>
          <w:sz w:val="28"/>
          <w:szCs w:val="28"/>
          <w:lang w:val="en-GB"/>
        </w:rPr>
      </w:pPr>
      <w:r w:rsidRPr="00FD2D65">
        <w:rPr>
          <w:rFonts w:eastAsia="Times New Roman"/>
          <w:b/>
          <w:sz w:val="28"/>
          <w:szCs w:val="28"/>
          <w:lang w:val="en-GB"/>
        </w:rPr>
        <w:t>Financial Management</w:t>
      </w:r>
    </w:p>
    <w:p w14:paraId="47E5E089" w14:textId="40CE0954" w:rsidR="00E5548A" w:rsidRDefault="00F23E67" w:rsidP="00D92A1E">
      <w:pPr>
        <w:jc w:val="center"/>
        <w:rPr>
          <w:rFonts w:eastAsia="Times New Roman"/>
          <w:b/>
          <w:sz w:val="28"/>
          <w:szCs w:val="28"/>
          <w:lang w:val="en-GB"/>
        </w:rPr>
      </w:pPr>
      <w:r w:rsidRPr="00FD2D65">
        <w:rPr>
          <w:rFonts w:eastAsia="Times New Roman"/>
          <w:b/>
          <w:sz w:val="28"/>
          <w:szCs w:val="28"/>
          <w:lang w:val="en-GB"/>
        </w:rPr>
        <w:t>Module code: LCMB7002</w:t>
      </w:r>
    </w:p>
    <w:p w14:paraId="2FF25792" w14:textId="77777777" w:rsidR="00FD2D65" w:rsidRPr="00FD2D65" w:rsidRDefault="00FD2D65" w:rsidP="00FD2D65">
      <w:pPr>
        <w:rPr>
          <w:rFonts w:eastAsia="Times New Roman"/>
          <w:b/>
          <w:sz w:val="28"/>
          <w:szCs w:val="28"/>
          <w:lang w:val="en-GB"/>
        </w:rPr>
      </w:pPr>
    </w:p>
    <w:p w14:paraId="301761E2" w14:textId="77777777" w:rsidR="00F23E67" w:rsidRPr="00FD2D65" w:rsidRDefault="00F23E67" w:rsidP="00D92A1E">
      <w:pPr>
        <w:jc w:val="center"/>
        <w:rPr>
          <w:rFonts w:eastAsia="Times New Roman"/>
          <w:b/>
          <w:sz w:val="28"/>
          <w:szCs w:val="28"/>
          <w:lang w:val="en-GB"/>
        </w:rPr>
      </w:pPr>
    </w:p>
    <w:p w14:paraId="036FCBCD" w14:textId="3F2BAC79" w:rsidR="00F23E67" w:rsidRDefault="00F23E67" w:rsidP="00D92A1E">
      <w:pPr>
        <w:jc w:val="center"/>
        <w:rPr>
          <w:rFonts w:eastAsia="Times New Roman"/>
          <w:b/>
          <w:iCs/>
          <w:sz w:val="28"/>
          <w:szCs w:val="28"/>
          <w:lang w:val="en-GB"/>
        </w:rPr>
      </w:pPr>
      <w:r w:rsidRPr="00FD2D65">
        <w:rPr>
          <w:rFonts w:eastAsia="Times New Roman"/>
          <w:b/>
          <w:iCs/>
          <w:sz w:val="28"/>
          <w:szCs w:val="28"/>
          <w:lang w:val="en-GB"/>
        </w:rPr>
        <w:t>Assessment component: Financial performance and management</w:t>
      </w:r>
      <w:r w:rsidR="0038461A" w:rsidRPr="00FD2D65">
        <w:rPr>
          <w:rFonts w:eastAsia="Times New Roman"/>
          <w:b/>
          <w:iCs/>
          <w:sz w:val="28"/>
          <w:szCs w:val="28"/>
          <w:lang w:val="en-GB"/>
        </w:rPr>
        <w:t xml:space="preserve"> of </w:t>
      </w:r>
      <w:r w:rsidR="00EF5DA0" w:rsidRPr="00FD2D65">
        <w:rPr>
          <w:rFonts w:eastAsia="Times New Roman"/>
          <w:b/>
          <w:iCs/>
          <w:sz w:val="28"/>
          <w:szCs w:val="28"/>
          <w:lang w:val="en-GB"/>
        </w:rPr>
        <w:t>Volkswagen AG</w:t>
      </w:r>
    </w:p>
    <w:p w14:paraId="1362D306" w14:textId="77777777" w:rsidR="00FD2D65" w:rsidRDefault="00FD2D65" w:rsidP="00D92A1E">
      <w:pPr>
        <w:jc w:val="center"/>
        <w:rPr>
          <w:rFonts w:eastAsia="Times New Roman"/>
          <w:b/>
          <w:iCs/>
          <w:sz w:val="28"/>
          <w:szCs w:val="28"/>
          <w:lang w:val="en-GB"/>
        </w:rPr>
      </w:pPr>
    </w:p>
    <w:p w14:paraId="2A30025B" w14:textId="4829C5C1" w:rsidR="00FD2D65" w:rsidRPr="00FD2D65" w:rsidRDefault="00FD2D65" w:rsidP="00FD2D65">
      <w:pPr>
        <w:jc w:val="center"/>
        <w:rPr>
          <w:rFonts w:eastAsia="Times New Roman"/>
          <w:b/>
          <w:iCs/>
          <w:sz w:val="28"/>
          <w:szCs w:val="28"/>
          <w:lang w:val="en-GB"/>
        </w:rPr>
      </w:pPr>
      <w:r w:rsidRPr="00FD2D65">
        <w:rPr>
          <w:rFonts w:eastAsia="Times New Roman"/>
          <w:b/>
          <w:iCs/>
          <w:sz w:val="28"/>
          <w:szCs w:val="28"/>
          <w:lang w:val="en-GB"/>
        </w:rPr>
        <w:t>Lecturer:</w:t>
      </w:r>
    </w:p>
    <w:p w14:paraId="0ED73554" w14:textId="77777777" w:rsidR="00FD2D65" w:rsidRPr="00FD2D65" w:rsidRDefault="00FD2D65" w:rsidP="00FD2D65">
      <w:pPr>
        <w:jc w:val="center"/>
        <w:rPr>
          <w:rFonts w:eastAsia="Times New Roman"/>
          <w:b/>
          <w:iCs/>
          <w:sz w:val="28"/>
          <w:szCs w:val="28"/>
          <w:lang w:val="en-GB"/>
        </w:rPr>
      </w:pPr>
      <w:r w:rsidRPr="00FD2D65">
        <w:rPr>
          <w:rFonts w:eastAsia="Times New Roman"/>
          <w:b/>
          <w:iCs/>
          <w:sz w:val="28"/>
          <w:szCs w:val="28"/>
          <w:lang w:val="en-GB"/>
        </w:rPr>
        <w:t>Shengfeng Mei</w:t>
      </w:r>
    </w:p>
    <w:p w14:paraId="0D8D5154" w14:textId="1C34E342" w:rsidR="00FD2D65" w:rsidRPr="00FD2D65" w:rsidRDefault="00FD2D65" w:rsidP="00FD2D65">
      <w:pPr>
        <w:jc w:val="center"/>
        <w:rPr>
          <w:rFonts w:eastAsia="Times New Roman"/>
          <w:b/>
          <w:iCs/>
          <w:sz w:val="28"/>
          <w:szCs w:val="28"/>
          <w:lang w:val="en-GB"/>
        </w:rPr>
      </w:pPr>
    </w:p>
    <w:p w14:paraId="58E3BE76" w14:textId="77777777" w:rsidR="00E5548A" w:rsidRPr="00FD2D65" w:rsidRDefault="00E5548A" w:rsidP="00D92A1E">
      <w:pPr>
        <w:jc w:val="center"/>
        <w:rPr>
          <w:rFonts w:eastAsia="Times New Roman"/>
          <w:b/>
          <w:sz w:val="28"/>
          <w:szCs w:val="28"/>
          <w:lang w:val="en-GB"/>
        </w:rPr>
      </w:pPr>
    </w:p>
    <w:p w14:paraId="340E94C7" w14:textId="77777777" w:rsidR="00E5548A" w:rsidRPr="00EC5E32" w:rsidRDefault="00E5548A" w:rsidP="00D92A1E">
      <w:pPr>
        <w:jc w:val="center"/>
        <w:rPr>
          <w:rFonts w:eastAsia="Times New Roman"/>
          <w:sz w:val="28"/>
          <w:szCs w:val="32"/>
          <w:lang w:val="en-GB"/>
        </w:rPr>
      </w:pPr>
    </w:p>
    <w:p w14:paraId="5BF988EE" w14:textId="77874524" w:rsidR="00FD2D65" w:rsidRPr="00FD2D65" w:rsidRDefault="00FD2D65" w:rsidP="00FD2D65">
      <w:pPr>
        <w:spacing w:line="480" w:lineRule="auto"/>
        <w:jc w:val="center"/>
        <w:rPr>
          <w:rFonts w:eastAsia="Times New Roman"/>
          <w:b/>
          <w:bCs/>
          <w:sz w:val="28"/>
          <w:szCs w:val="32"/>
          <w:lang w:val="en-GB"/>
        </w:rPr>
      </w:pPr>
      <w:r w:rsidRPr="00FD2D65">
        <w:rPr>
          <w:rFonts w:eastAsia="Times New Roman"/>
          <w:b/>
          <w:bCs/>
          <w:sz w:val="28"/>
          <w:szCs w:val="32"/>
          <w:lang w:val="en-GB"/>
        </w:rPr>
        <w:t>Student Name: Panchal Avani Dilipbhai</w:t>
      </w:r>
    </w:p>
    <w:p w14:paraId="2E6E5CF4" w14:textId="00A2CCBE" w:rsidR="008E55FE" w:rsidRDefault="00FD2D65" w:rsidP="00FD2D65">
      <w:pPr>
        <w:spacing w:line="480" w:lineRule="auto"/>
        <w:jc w:val="center"/>
        <w:rPr>
          <w:rFonts w:eastAsia="Times New Roman"/>
          <w:b/>
          <w:bCs/>
          <w:sz w:val="28"/>
          <w:szCs w:val="32"/>
          <w:lang w:val="en-GB"/>
        </w:rPr>
      </w:pPr>
      <w:r w:rsidRPr="00FD2D65">
        <w:rPr>
          <w:rFonts w:eastAsia="Times New Roman"/>
          <w:b/>
          <w:bCs/>
          <w:sz w:val="28"/>
          <w:szCs w:val="32"/>
          <w:lang w:val="en-GB"/>
        </w:rPr>
        <w:t>Student ID: 2527582</w:t>
      </w:r>
    </w:p>
    <w:p w14:paraId="188DAB6A" w14:textId="77777777" w:rsidR="00CF4755" w:rsidRDefault="00CF4755" w:rsidP="00FD2D65">
      <w:pPr>
        <w:spacing w:line="480" w:lineRule="auto"/>
        <w:jc w:val="center"/>
        <w:rPr>
          <w:rFonts w:eastAsia="Times New Roman"/>
          <w:b/>
          <w:bCs/>
          <w:sz w:val="28"/>
          <w:szCs w:val="32"/>
          <w:lang w:val="en-GB"/>
        </w:rPr>
      </w:pPr>
    </w:p>
    <w:p w14:paraId="287FFE73" w14:textId="03E3B35C" w:rsidR="00CF4755" w:rsidRPr="00FD2D65" w:rsidRDefault="00CF4755" w:rsidP="00FD2D65">
      <w:pPr>
        <w:spacing w:line="480" w:lineRule="auto"/>
        <w:jc w:val="center"/>
        <w:rPr>
          <w:rFonts w:eastAsia="Times New Roman"/>
          <w:b/>
          <w:bCs/>
          <w:sz w:val="28"/>
          <w:szCs w:val="32"/>
          <w:lang w:val="en-GB"/>
        </w:rPr>
      </w:pPr>
      <w:r>
        <w:rPr>
          <w:rFonts w:eastAsia="Times New Roman"/>
          <w:b/>
          <w:bCs/>
          <w:sz w:val="28"/>
          <w:szCs w:val="32"/>
          <w:lang w:val="en-GB"/>
        </w:rPr>
        <w:t>Words:5296</w:t>
      </w:r>
    </w:p>
    <w:p w14:paraId="5AF0BB21" w14:textId="77777777" w:rsidR="007C5FD8" w:rsidRPr="00FD2D65" w:rsidRDefault="007C5FD8" w:rsidP="00FD2D65">
      <w:pPr>
        <w:spacing w:line="480" w:lineRule="auto"/>
        <w:jc w:val="center"/>
        <w:rPr>
          <w:rFonts w:eastAsia="Times New Roman"/>
          <w:b/>
          <w:bCs/>
          <w:sz w:val="28"/>
          <w:szCs w:val="32"/>
          <w:lang w:val="en-GB"/>
        </w:rPr>
      </w:pPr>
    </w:p>
    <w:p w14:paraId="0DC8CB93" w14:textId="059469D7" w:rsidR="009D28DC" w:rsidRPr="00F90D24" w:rsidRDefault="008D5B62" w:rsidP="00F90D24">
      <w:pPr>
        <w:jc w:val="center"/>
        <w:rPr>
          <w:rFonts w:eastAsia="Times New Roman"/>
          <w:sz w:val="28"/>
          <w:szCs w:val="32"/>
          <w:lang w:val="en-GB"/>
        </w:rPr>
      </w:pPr>
      <w:r w:rsidRPr="00EC5E32">
        <w:rPr>
          <w:rFonts w:eastAsia="Times New Roman"/>
          <w:b/>
          <w:sz w:val="28"/>
          <w:szCs w:val="28"/>
          <w:lang w:val="en-GB"/>
        </w:rPr>
        <w:br w:type="page"/>
      </w:r>
    </w:p>
    <w:p w14:paraId="6B368D35" w14:textId="77777777" w:rsidR="00AF1747" w:rsidRPr="00EC5E32" w:rsidRDefault="00D202CE" w:rsidP="00D92A1E">
      <w:pPr>
        <w:jc w:val="center"/>
        <w:rPr>
          <w:rFonts w:eastAsia="Times New Roman"/>
          <w:b/>
          <w:sz w:val="28"/>
          <w:szCs w:val="28"/>
          <w:lang w:val="en-GB"/>
        </w:rPr>
      </w:pPr>
      <w:r w:rsidRPr="00EC5E32">
        <w:rPr>
          <w:rFonts w:eastAsia="Times New Roman"/>
          <w:b/>
          <w:sz w:val="28"/>
          <w:szCs w:val="28"/>
          <w:lang w:val="en-GB"/>
        </w:rPr>
        <w:lastRenderedPageBreak/>
        <w:t>Executive Summary</w:t>
      </w:r>
    </w:p>
    <w:p w14:paraId="326B1354" w14:textId="6B7EDD2E" w:rsidR="002D3011" w:rsidRPr="00EC5E32" w:rsidRDefault="00EF5DA0" w:rsidP="00D92A1E">
      <w:pPr>
        <w:rPr>
          <w:rFonts w:eastAsia="Times New Roman"/>
          <w:szCs w:val="24"/>
          <w:lang w:val="en-GB"/>
        </w:rPr>
      </w:pPr>
      <w:r w:rsidRPr="00EF5DA0">
        <w:rPr>
          <w:szCs w:val="24"/>
        </w:rPr>
        <w:t>This report critically measures the financial ability of Volkswagen AG. Identify the financial strategic position this study has considered, based on the data report of the previous five years. Findings of the study have revealed declining profitability and weak liquidity. After the consideration, it can be figured out that they are improving their sensitivity gearing operations. Working capital analysis represents an improvement in payment collection from debtors. On the other hand, a clear investment appraisal technique has been implemented for the study. Application of the investment appraisal technique reveals that project C is considered the most appropriate project. This project contains better liquidity and a low rate of risk. Based on the overall study, it can be revealed that the report proposes a strong recommendation to adopt flexible strategies that will support the transition of Volkswagen AG. In the future, the company has a good opportunity to get a stand in the current market environment.</w:t>
      </w:r>
      <w:r w:rsidR="002D3011" w:rsidRPr="00EC5E32">
        <w:rPr>
          <w:rFonts w:eastAsia="Times New Roman"/>
          <w:szCs w:val="24"/>
          <w:lang w:val="en-GB"/>
        </w:rPr>
        <w:br w:type="page"/>
      </w:r>
    </w:p>
    <w:sdt>
      <w:sdtPr>
        <w:rPr>
          <w:rFonts w:ascii="Arial" w:eastAsia="Arial" w:hAnsi="Arial" w:cs="Arial"/>
          <w:b w:val="0"/>
          <w:bCs w:val="0"/>
          <w:color w:val="000000" w:themeColor="text1"/>
          <w:sz w:val="22"/>
          <w:szCs w:val="22"/>
          <w:lang w:val="en-GB"/>
        </w:rPr>
        <w:id w:val="-89012636"/>
        <w:docPartObj>
          <w:docPartGallery w:val="Table of Contents"/>
          <w:docPartUnique/>
        </w:docPartObj>
      </w:sdtPr>
      <w:sdtEndPr>
        <w:rPr>
          <w:noProof/>
          <w:sz w:val="24"/>
        </w:rPr>
      </w:sdtEndPr>
      <w:sdtContent>
        <w:p w14:paraId="50D1394F" w14:textId="77777777" w:rsidR="00862893" w:rsidRPr="00EC5E32" w:rsidRDefault="00862893" w:rsidP="00D92A1E">
          <w:pPr>
            <w:pStyle w:val="TOCHeading"/>
            <w:spacing w:line="360" w:lineRule="auto"/>
            <w:jc w:val="center"/>
            <w:rPr>
              <w:rFonts w:ascii="Arial" w:hAnsi="Arial" w:cs="Arial"/>
              <w:color w:val="000000" w:themeColor="text1"/>
              <w:lang w:val="en-GB"/>
            </w:rPr>
          </w:pPr>
          <w:r w:rsidRPr="00EC5E32">
            <w:rPr>
              <w:rFonts w:ascii="Arial" w:hAnsi="Arial" w:cs="Arial"/>
              <w:color w:val="000000" w:themeColor="text1"/>
              <w:lang w:val="en-GB"/>
            </w:rPr>
            <w:t>Table of Contents</w:t>
          </w:r>
        </w:p>
        <w:p w14:paraId="05EA0BC8" w14:textId="77777777" w:rsidR="00A377B2" w:rsidRDefault="00862893">
          <w:pPr>
            <w:pStyle w:val="TOC1"/>
            <w:tabs>
              <w:tab w:val="right" w:leader="dot" w:pos="9350"/>
            </w:tabs>
            <w:rPr>
              <w:rFonts w:asciiTheme="minorHAnsi" w:eastAsiaTheme="minorEastAsia" w:hAnsiTheme="minorHAnsi" w:cstheme="minorBidi"/>
              <w:noProof/>
              <w:color w:val="auto"/>
              <w:sz w:val="22"/>
              <w:lang w:val="en-IN" w:eastAsia="en-IN"/>
            </w:rPr>
          </w:pPr>
          <w:r w:rsidRPr="00EC5E32">
            <w:rPr>
              <w:lang w:val="en-GB"/>
            </w:rPr>
            <w:fldChar w:fldCharType="begin"/>
          </w:r>
          <w:r w:rsidRPr="00EC5E32">
            <w:rPr>
              <w:lang w:val="en-GB"/>
            </w:rPr>
            <w:instrText xml:space="preserve"> TOC \o "1-3" \h \z \u </w:instrText>
          </w:r>
          <w:r w:rsidRPr="00EC5E32">
            <w:rPr>
              <w:lang w:val="en-GB"/>
            </w:rPr>
            <w:fldChar w:fldCharType="separate"/>
          </w:r>
          <w:hyperlink w:anchor="_Toc227851285" w:history="1">
            <w:r w:rsidR="00A377B2" w:rsidRPr="009E21DB">
              <w:rPr>
                <w:rStyle w:val="Hyperlink"/>
                <w:noProof/>
              </w:rPr>
              <w:t>1. Introduction</w:t>
            </w:r>
            <w:r w:rsidR="00A377B2">
              <w:rPr>
                <w:noProof/>
                <w:webHidden/>
              </w:rPr>
              <w:tab/>
            </w:r>
            <w:r w:rsidR="00A377B2">
              <w:rPr>
                <w:noProof/>
                <w:webHidden/>
              </w:rPr>
              <w:fldChar w:fldCharType="begin"/>
            </w:r>
            <w:r w:rsidR="00A377B2">
              <w:rPr>
                <w:noProof/>
                <w:webHidden/>
              </w:rPr>
              <w:instrText xml:space="preserve"> PAGEREF _Toc227851285 \h </w:instrText>
            </w:r>
            <w:r w:rsidR="00A377B2">
              <w:rPr>
                <w:noProof/>
                <w:webHidden/>
              </w:rPr>
            </w:r>
            <w:r w:rsidR="00A377B2">
              <w:rPr>
                <w:noProof/>
                <w:webHidden/>
              </w:rPr>
              <w:fldChar w:fldCharType="separate"/>
            </w:r>
            <w:r w:rsidR="00A377B2">
              <w:rPr>
                <w:noProof/>
                <w:webHidden/>
              </w:rPr>
              <w:t>5</w:t>
            </w:r>
            <w:r w:rsidR="00A377B2">
              <w:rPr>
                <w:noProof/>
                <w:webHidden/>
              </w:rPr>
              <w:fldChar w:fldCharType="end"/>
            </w:r>
          </w:hyperlink>
        </w:p>
        <w:p w14:paraId="7ED2A5E2" w14:textId="77777777" w:rsidR="00A377B2" w:rsidRDefault="00A377B2">
          <w:pPr>
            <w:pStyle w:val="TOC1"/>
            <w:tabs>
              <w:tab w:val="right" w:leader="dot" w:pos="9350"/>
            </w:tabs>
            <w:rPr>
              <w:rFonts w:asciiTheme="minorHAnsi" w:eastAsiaTheme="minorEastAsia" w:hAnsiTheme="minorHAnsi" w:cstheme="minorBidi"/>
              <w:noProof/>
              <w:color w:val="auto"/>
              <w:sz w:val="22"/>
              <w:lang w:val="en-IN" w:eastAsia="en-IN"/>
            </w:rPr>
          </w:pPr>
          <w:hyperlink w:anchor="_Toc227851286" w:history="1">
            <w:r w:rsidRPr="009E21DB">
              <w:rPr>
                <w:rStyle w:val="Hyperlink"/>
                <w:noProof/>
              </w:rPr>
              <w:t>2. Financial Health Check</w:t>
            </w:r>
            <w:r>
              <w:rPr>
                <w:noProof/>
                <w:webHidden/>
              </w:rPr>
              <w:tab/>
            </w:r>
            <w:r>
              <w:rPr>
                <w:noProof/>
                <w:webHidden/>
              </w:rPr>
              <w:fldChar w:fldCharType="begin"/>
            </w:r>
            <w:r>
              <w:rPr>
                <w:noProof/>
                <w:webHidden/>
              </w:rPr>
              <w:instrText xml:space="preserve"> PAGEREF _Toc227851286 \h </w:instrText>
            </w:r>
            <w:r>
              <w:rPr>
                <w:noProof/>
                <w:webHidden/>
              </w:rPr>
            </w:r>
            <w:r>
              <w:rPr>
                <w:noProof/>
                <w:webHidden/>
              </w:rPr>
              <w:fldChar w:fldCharType="separate"/>
            </w:r>
            <w:r>
              <w:rPr>
                <w:noProof/>
                <w:webHidden/>
              </w:rPr>
              <w:t>5</w:t>
            </w:r>
            <w:r>
              <w:rPr>
                <w:noProof/>
                <w:webHidden/>
              </w:rPr>
              <w:fldChar w:fldCharType="end"/>
            </w:r>
          </w:hyperlink>
        </w:p>
        <w:p w14:paraId="7232D213"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87" w:history="1">
            <w:r w:rsidRPr="009E21DB">
              <w:rPr>
                <w:rStyle w:val="Hyperlink"/>
                <w:noProof/>
              </w:rPr>
              <w:t>2.1 Profitability Analysis</w:t>
            </w:r>
            <w:r>
              <w:rPr>
                <w:noProof/>
                <w:webHidden/>
              </w:rPr>
              <w:tab/>
            </w:r>
            <w:r>
              <w:rPr>
                <w:noProof/>
                <w:webHidden/>
              </w:rPr>
              <w:fldChar w:fldCharType="begin"/>
            </w:r>
            <w:r>
              <w:rPr>
                <w:noProof/>
                <w:webHidden/>
              </w:rPr>
              <w:instrText xml:space="preserve"> PAGEREF _Toc227851287 \h </w:instrText>
            </w:r>
            <w:r>
              <w:rPr>
                <w:noProof/>
                <w:webHidden/>
              </w:rPr>
            </w:r>
            <w:r>
              <w:rPr>
                <w:noProof/>
                <w:webHidden/>
              </w:rPr>
              <w:fldChar w:fldCharType="separate"/>
            </w:r>
            <w:r>
              <w:rPr>
                <w:noProof/>
                <w:webHidden/>
              </w:rPr>
              <w:t>5</w:t>
            </w:r>
            <w:r>
              <w:rPr>
                <w:noProof/>
                <w:webHidden/>
              </w:rPr>
              <w:fldChar w:fldCharType="end"/>
            </w:r>
          </w:hyperlink>
        </w:p>
        <w:p w14:paraId="22B2103A"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88" w:history="1">
            <w:r w:rsidRPr="009E21DB">
              <w:rPr>
                <w:rStyle w:val="Hyperlink"/>
                <w:noProof/>
              </w:rPr>
              <w:t>2.2 Liquidity Analysis</w:t>
            </w:r>
            <w:r>
              <w:rPr>
                <w:noProof/>
                <w:webHidden/>
              </w:rPr>
              <w:tab/>
            </w:r>
            <w:r>
              <w:rPr>
                <w:noProof/>
                <w:webHidden/>
              </w:rPr>
              <w:fldChar w:fldCharType="begin"/>
            </w:r>
            <w:r>
              <w:rPr>
                <w:noProof/>
                <w:webHidden/>
              </w:rPr>
              <w:instrText xml:space="preserve"> PAGEREF _Toc227851288 \h </w:instrText>
            </w:r>
            <w:r>
              <w:rPr>
                <w:noProof/>
                <w:webHidden/>
              </w:rPr>
            </w:r>
            <w:r>
              <w:rPr>
                <w:noProof/>
                <w:webHidden/>
              </w:rPr>
              <w:fldChar w:fldCharType="separate"/>
            </w:r>
            <w:r>
              <w:rPr>
                <w:noProof/>
                <w:webHidden/>
              </w:rPr>
              <w:t>6</w:t>
            </w:r>
            <w:r>
              <w:rPr>
                <w:noProof/>
                <w:webHidden/>
              </w:rPr>
              <w:fldChar w:fldCharType="end"/>
            </w:r>
          </w:hyperlink>
        </w:p>
        <w:p w14:paraId="24253526"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89" w:history="1">
            <w:r w:rsidRPr="009E21DB">
              <w:rPr>
                <w:rStyle w:val="Hyperlink"/>
                <w:noProof/>
              </w:rPr>
              <w:t>2.3 Gearing &amp; Risk Analysis</w:t>
            </w:r>
            <w:r>
              <w:rPr>
                <w:noProof/>
                <w:webHidden/>
              </w:rPr>
              <w:tab/>
            </w:r>
            <w:r>
              <w:rPr>
                <w:noProof/>
                <w:webHidden/>
              </w:rPr>
              <w:fldChar w:fldCharType="begin"/>
            </w:r>
            <w:r>
              <w:rPr>
                <w:noProof/>
                <w:webHidden/>
              </w:rPr>
              <w:instrText xml:space="preserve"> PAGEREF _Toc227851289 \h </w:instrText>
            </w:r>
            <w:r>
              <w:rPr>
                <w:noProof/>
                <w:webHidden/>
              </w:rPr>
            </w:r>
            <w:r>
              <w:rPr>
                <w:noProof/>
                <w:webHidden/>
              </w:rPr>
              <w:fldChar w:fldCharType="separate"/>
            </w:r>
            <w:r>
              <w:rPr>
                <w:noProof/>
                <w:webHidden/>
              </w:rPr>
              <w:t>7</w:t>
            </w:r>
            <w:r>
              <w:rPr>
                <w:noProof/>
                <w:webHidden/>
              </w:rPr>
              <w:fldChar w:fldCharType="end"/>
            </w:r>
          </w:hyperlink>
        </w:p>
        <w:p w14:paraId="4274AF7F"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90" w:history="1">
            <w:r w:rsidRPr="009E21DB">
              <w:rPr>
                <w:rStyle w:val="Hyperlink"/>
                <w:noProof/>
              </w:rPr>
              <w:t>2.4 Efficiency Analysis</w:t>
            </w:r>
            <w:r>
              <w:rPr>
                <w:noProof/>
                <w:webHidden/>
              </w:rPr>
              <w:tab/>
            </w:r>
            <w:r>
              <w:rPr>
                <w:noProof/>
                <w:webHidden/>
              </w:rPr>
              <w:fldChar w:fldCharType="begin"/>
            </w:r>
            <w:r>
              <w:rPr>
                <w:noProof/>
                <w:webHidden/>
              </w:rPr>
              <w:instrText xml:space="preserve"> PAGEREF _Toc227851290 \h </w:instrText>
            </w:r>
            <w:r>
              <w:rPr>
                <w:noProof/>
                <w:webHidden/>
              </w:rPr>
            </w:r>
            <w:r>
              <w:rPr>
                <w:noProof/>
                <w:webHidden/>
              </w:rPr>
              <w:fldChar w:fldCharType="separate"/>
            </w:r>
            <w:r>
              <w:rPr>
                <w:noProof/>
                <w:webHidden/>
              </w:rPr>
              <w:t>8</w:t>
            </w:r>
            <w:r>
              <w:rPr>
                <w:noProof/>
                <w:webHidden/>
              </w:rPr>
              <w:fldChar w:fldCharType="end"/>
            </w:r>
          </w:hyperlink>
        </w:p>
        <w:p w14:paraId="117D79ED"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91" w:history="1">
            <w:r w:rsidRPr="009E21DB">
              <w:rPr>
                <w:rStyle w:val="Hyperlink"/>
                <w:noProof/>
              </w:rPr>
              <w:t>2.5 Investment &amp; Market Ratios</w:t>
            </w:r>
            <w:r>
              <w:rPr>
                <w:noProof/>
                <w:webHidden/>
              </w:rPr>
              <w:tab/>
            </w:r>
            <w:r>
              <w:rPr>
                <w:noProof/>
                <w:webHidden/>
              </w:rPr>
              <w:fldChar w:fldCharType="begin"/>
            </w:r>
            <w:r>
              <w:rPr>
                <w:noProof/>
                <w:webHidden/>
              </w:rPr>
              <w:instrText xml:space="preserve"> PAGEREF _Toc227851291 \h </w:instrText>
            </w:r>
            <w:r>
              <w:rPr>
                <w:noProof/>
                <w:webHidden/>
              </w:rPr>
            </w:r>
            <w:r>
              <w:rPr>
                <w:noProof/>
                <w:webHidden/>
              </w:rPr>
              <w:fldChar w:fldCharType="separate"/>
            </w:r>
            <w:r>
              <w:rPr>
                <w:noProof/>
                <w:webHidden/>
              </w:rPr>
              <w:t>8</w:t>
            </w:r>
            <w:r>
              <w:rPr>
                <w:noProof/>
                <w:webHidden/>
              </w:rPr>
              <w:fldChar w:fldCharType="end"/>
            </w:r>
          </w:hyperlink>
        </w:p>
        <w:p w14:paraId="15BB23F6"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92" w:history="1">
            <w:r w:rsidRPr="009E21DB">
              <w:rPr>
                <w:rStyle w:val="Hyperlink"/>
                <w:noProof/>
              </w:rPr>
              <w:t>2.6 Overall Financial Diagnosis</w:t>
            </w:r>
            <w:r>
              <w:rPr>
                <w:noProof/>
                <w:webHidden/>
              </w:rPr>
              <w:tab/>
            </w:r>
            <w:r>
              <w:rPr>
                <w:noProof/>
                <w:webHidden/>
              </w:rPr>
              <w:fldChar w:fldCharType="begin"/>
            </w:r>
            <w:r>
              <w:rPr>
                <w:noProof/>
                <w:webHidden/>
              </w:rPr>
              <w:instrText xml:space="preserve"> PAGEREF _Toc227851292 \h </w:instrText>
            </w:r>
            <w:r>
              <w:rPr>
                <w:noProof/>
                <w:webHidden/>
              </w:rPr>
            </w:r>
            <w:r>
              <w:rPr>
                <w:noProof/>
                <w:webHidden/>
              </w:rPr>
              <w:fldChar w:fldCharType="separate"/>
            </w:r>
            <w:r>
              <w:rPr>
                <w:noProof/>
                <w:webHidden/>
              </w:rPr>
              <w:t>9</w:t>
            </w:r>
            <w:r>
              <w:rPr>
                <w:noProof/>
                <w:webHidden/>
              </w:rPr>
              <w:fldChar w:fldCharType="end"/>
            </w:r>
          </w:hyperlink>
        </w:p>
        <w:p w14:paraId="475F43F2" w14:textId="77777777" w:rsidR="00A377B2" w:rsidRDefault="00A377B2">
          <w:pPr>
            <w:pStyle w:val="TOC1"/>
            <w:tabs>
              <w:tab w:val="right" w:leader="dot" w:pos="9350"/>
            </w:tabs>
            <w:rPr>
              <w:rFonts w:asciiTheme="minorHAnsi" w:eastAsiaTheme="minorEastAsia" w:hAnsiTheme="minorHAnsi" w:cstheme="minorBidi"/>
              <w:noProof/>
              <w:color w:val="auto"/>
              <w:sz w:val="22"/>
              <w:lang w:val="en-IN" w:eastAsia="en-IN"/>
            </w:rPr>
          </w:pPr>
          <w:hyperlink w:anchor="_Toc227851293" w:history="1">
            <w:r w:rsidRPr="009E21DB">
              <w:rPr>
                <w:rStyle w:val="Hyperlink"/>
                <w:noProof/>
              </w:rPr>
              <w:t>3. Working Capital Management Analysis</w:t>
            </w:r>
            <w:r>
              <w:rPr>
                <w:noProof/>
                <w:webHidden/>
              </w:rPr>
              <w:tab/>
            </w:r>
            <w:r>
              <w:rPr>
                <w:noProof/>
                <w:webHidden/>
              </w:rPr>
              <w:fldChar w:fldCharType="begin"/>
            </w:r>
            <w:r>
              <w:rPr>
                <w:noProof/>
                <w:webHidden/>
              </w:rPr>
              <w:instrText xml:space="preserve"> PAGEREF _Toc227851293 \h </w:instrText>
            </w:r>
            <w:r>
              <w:rPr>
                <w:noProof/>
                <w:webHidden/>
              </w:rPr>
            </w:r>
            <w:r>
              <w:rPr>
                <w:noProof/>
                <w:webHidden/>
              </w:rPr>
              <w:fldChar w:fldCharType="separate"/>
            </w:r>
            <w:r>
              <w:rPr>
                <w:noProof/>
                <w:webHidden/>
              </w:rPr>
              <w:t>10</w:t>
            </w:r>
            <w:r>
              <w:rPr>
                <w:noProof/>
                <w:webHidden/>
              </w:rPr>
              <w:fldChar w:fldCharType="end"/>
            </w:r>
          </w:hyperlink>
        </w:p>
        <w:p w14:paraId="2CBE81DE"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94" w:history="1">
            <w:r w:rsidRPr="009E21DB">
              <w:rPr>
                <w:rStyle w:val="Hyperlink"/>
                <w:noProof/>
              </w:rPr>
              <w:t>3.1 Cash Conversion Cycle Analysis</w:t>
            </w:r>
            <w:r>
              <w:rPr>
                <w:noProof/>
                <w:webHidden/>
              </w:rPr>
              <w:tab/>
            </w:r>
            <w:r>
              <w:rPr>
                <w:noProof/>
                <w:webHidden/>
              </w:rPr>
              <w:fldChar w:fldCharType="begin"/>
            </w:r>
            <w:r>
              <w:rPr>
                <w:noProof/>
                <w:webHidden/>
              </w:rPr>
              <w:instrText xml:space="preserve"> PAGEREF _Toc227851294 \h </w:instrText>
            </w:r>
            <w:r>
              <w:rPr>
                <w:noProof/>
                <w:webHidden/>
              </w:rPr>
            </w:r>
            <w:r>
              <w:rPr>
                <w:noProof/>
                <w:webHidden/>
              </w:rPr>
              <w:fldChar w:fldCharType="separate"/>
            </w:r>
            <w:r>
              <w:rPr>
                <w:noProof/>
                <w:webHidden/>
              </w:rPr>
              <w:t>10</w:t>
            </w:r>
            <w:r>
              <w:rPr>
                <w:noProof/>
                <w:webHidden/>
              </w:rPr>
              <w:fldChar w:fldCharType="end"/>
            </w:r>
          </w:hyperlink>
        </w:p>
        <w:p w14:paraId="2388EB28"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95" w:history="1">
            <w:r w:rsidRPr="009E21DB">
              <w:rPr>
                <w:rStyle w:val="Hyperlink"/>
                <w:noProof/>
              </w:rPr>
              <w:t>3.2 Key Issues Identification</w:t>
            </w:r>
            <w:r>
              <w:rPr>
                <w:noProof/>
                <w:webHidden/>
              </w:rPr>
              <w:tab/>
            </w:r>
            <w:r>
              <w:rPr>
                <w:noProof/>
                <w:webHidden/>
              </w:rPr>
              <w:fldChar w:fldCharType="begin"/>
            </w:r>
            <w:r>
              <w:rPr>
                <w:noProof/>
                <w:webHidden/>
              </w:rPr>
              <w:instrText xml:space="preserve"> PAGEREF _Toc227851295 \h </w:instrText>
            </w:r>
            <w:r>
              <w:rPr>
                <w:noProof/>
                <w:webHidden/>
              </w:rPr>
            </w:r>
            <w:r>
              <w:rPr>
                <w:noProof/>
                <w:webHidden/>
              </w:rPr>
              <w:fldChar w:fldCharType="separate"/>
            </w:r>
            <w:r>
              <w:rPr>
                <w:noProof/>
                <w:webHidden/>
              </w:rPr>
              <w:t>11</w:t>
            </w:r>
            <w:r>
              <w:rPr>
                <w:noProof/>
                <w:webHidden/>
              </w:rPr>
              <w:fldChar w:fldCharType="end"/>
            </w:r>
          </w:hyperlink>
        </w:p>
        <w:p w14:paraId="56B21846"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96" w:history="1">
            <w:r w:rsidRPr="009E21DB">
              <w:rPr>
                <w:rStyle w:val="Hyperlink"/>
                <w:noProof/>
              </w:rPr>
              <w:t>3.3 Strategic Recommendations</w:t>
            </w:r>
            <w:r>
              <w:rPr>
                <w:noProof/>
                <w:webHidden/>
              </w:rPr>
              <w:tab/>
            </w:r>
            <w:r>
              <w:rPr>
                <w:noProof/>
                <w:webHidden/>
              </w:rPr>
              <w:fldChar w:fldCharType="begin"/>
            </w:r>
            <w:r>
              <w:rPr>
                <w:noProof/>
                <w:webHidden/>
              </w:rPr>
              <w:instrText xml:space="preserve"> PAGEREF _Toc227851296 \h </w:instrText>
            </w:r>
            <w:r>
              <w:rPr>
                <w:noProof/>
                <w:webHidden/>
              </w:rPr>
            </w:r>
            <w:r>
              <w:rPr>
                <w:noProof/>
                <w:webHidden/>
              </w:rPr>
              <w:fldChar w:fldCharType="separate"/>
            </w:r>
            <w:r>
              <w:rPr>
                <w:noProof/>
                <w:webHidden/>
              </w:rPr>
              <w:t>11</w:t>
            </w:r>
            <w:r>
              <w:rPr>
                <w:noProof/>
                <w:webHidden/>
              </w:rPr>
              <w:fldChar w:fldCharType="end"/>
            </w:r>
          </w:hyperlink>
        </w:p>
        <w:p w14:paraId="095A1EDC"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97" w:history="1">
            <w:r w:rsidRPr="009E21DB">
              <w:rPr>
                <w:rStyle w:val="Hyperlink"/>
                <w:noProof/>
              </w:rPr>
              <w:t>3.4 Financing Strategy Comparison</w:t>
            </w:r>
            <w:r>
              <w:rPr>
                <w:noProof/>
                <w:webHidden/>
              </w:rPr>
              <w:tab/>
            </w:r>
            <w:r>
              <w:rPr>
                <w:noProof/>
                <w:webHidden/>
              </w:rPr>
              <w:fldChar w:fldCharType="begin"/>
            </w:r>
            <w:r>
              <w:rPr>
                <w:noProof/>
                <w:webHidden/>
              </w:rPr>
              <w:instrText xml:space="preserve"> PAGEREF _Toc227851297 \h </w:instrText>
            </w:r>
            <w:r>
              <w:rPr>
                <w:noProof/>
                <w:webHidden/>
              </w:rPr>
            </w:r>
            <w:r>
              <w:rPr>
                <w:noProof/>
                <w:webHidden/>
              </w:rPr>
              <w:fldChar w:fldCharType="separate"/>
            </w:r>
            <w:r>
              <w:rPr>
                <w:noProof/>
                <w:webHidden/>
              </w:rPr>
              <w:t>12</w:t>
            </w:r>
            <w:r>
              <w:rPr>
                <w:noProof/>
                <w:webHidden/>
              </w:rPr>
              <w:fldChar w:fldCharType="end"/>
            </w:r>
          </w:hyperlink>
        </w:p>
        <w:p w14:paraId="615E80D6" w14:textId="77777777" w:rsidR="00A377B2" w:rsidRDefault="00A377B2">
          <w:pPr>
            <w:pStyle w:val="TOC1"/>
            <w:tabs>
              <w:tab w:val="right" w:leader="dot" w:pos="9350"/>
            </w:tabs>
            <w:rPr>
              <w:rFonts w:asciiTheme="minorHAnsi" w:eastAsiaTheme="minorEastAsia" w:hAnsiTheme="minorHAnsi" w:cstheme="minorBidi"/>
              <w:noProof/>
              <w:color w:val="auto"/>
              <w:sz w:val="22"/>
              <w:lang w:val="en-IN" w:eastAsia="en-IN"/>
            </w:rPr>
          </w:pPr>
          <w:hyperlink w:anchor="_Toc227851298" w:history="1">
            <w:r w:rsidRPr="009E21DB">
              <w:rPr>
                <w:rStyle w:val="Hyperlink"/>
                <w:noProof/>
              </w:rPr>
              <w:t>4. Strategic Financial Restructuring Plan</w:t>
            </w:r>
            <w:r>
              <w:rPr>
                <w:noProof/>
                <w:webHidden/>
              </w:rPr>
              <w:tab/>
            </w:r>
            <w:r>
              <w:rPr>
                <w:noProof/>
                <w:webHidden/>
              </w:rPr>
              <w:fldChar w:fldCharType="begin"/>
            </w:r>
            <w:r>
              <w:rPr>
                <w:noProof/>
                <w:webHidden/>
              </w:rPr>
              <w:instrText xml:space="preserve"> PAGEREF _Toc227851298 \h </w:instrText>
            </w:r>
            <w:r>
              <w:rPr>
                <w:noProof/>
                <w:webHidden/>
              </w:rPr>
            </w:r>
            <w:r>
              <w:rPr>
                <w:noProof/>
                <w:webHidden/>
              </w:rPr>
              <w:fldChar w:fldCharType="separate"/>
            </w:r>
            <w:r>
              <w:rPr>
                <w:noProof/>
                <w:webHidden/>
              </w:rPr>
              <w:t>13</w:t>
            </w:r>
            <w:r>
              <w:rPr>
                <w:noProof/>
                <w:webHidden/>
              </w:rPr>
              <w:fldChar w:fldCharType="end"/>
            </w:r>
          </w:hyperlink>
        </w:p>
        <w:p w14:paraId="01818450"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299" w:history="1">
            <w:r w:rsidRPr="009E21DB">
              <w:rPr>
                <w:rStyle w:val="Hyperlink"/>
                <w:noProof/>
              </w:rPr>
              <w:t>4.1 Identified Strategic Problems</w:t>
            </w:r>
            <w:r>
              <w:rPr>
                <w:noProof/>
                <w:webHidden/>
              </w:rPr>
              <w:tab/>
            </w:r>
            <w:r>
              <w:rPr>
                <w:noProof/>
                <w:webHidden/>
              </w:rPr>
              <w:fldChar w:fldCharType="begin"/>
            </w:r>
            <w:r>
              <w:rPr>
                <w:noProof/>
                <w:webHidden/>
              </w:rPr>
              <w:instrText xml:space="preserve"> PAGEREF _Toc227851299 \h </w:instrText>
            </w:r>
            <w:r>
              <w:rPr>
                <w:noProof/>
                <w:webHidden/>
              </w:rPr>
            </w:r>
            <w:r>
              <w:rPr>
                <w:noProof/>
                <w:webHidden/>
              </w:rPr>
              <w:fldChar w:fldCharType="separate"/>
            </w:r>
            <w:r>
              <w:rPr>
                <w:noProof/>
                <w:webHidden/>
              </w:rPr>
              <w:t>13</w:t>
            </w:r>
            <w:r>
              <w:rPr>
                <w:noProof/>
                <w:webHidden/>
              </w:rPr>
              <w:fldChar w:fldCharType="end"/>
            </w:r>
          </w:hyperlink>
        </w:p>
        <w:p w14:paraId="60BD9A1F"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0" w:history="1">
            <w:r w:rsidRPr="009E21DB">
              <w:rPr>
                <w:rStyle w:val="Hyperlink"/>
                <w:noProof/>
              </w:rPr>
              <w:t>4.2 Recommended Strategies</w:t>
            </w:r>
            <w:r>
              <w:rPr>
                <w:noProof/>
                <w:webHidden/>
              </w:rPr>
              <w:tab/>
            </w:r>
            <w:r>
              <w:rPr>
                <w:noProof/>
                <w:webHidden/>
              </w:rPr>
              <w:fldChar w:fldCharType="begin"/>
            </w:r>
            <w:r>
              <w:rPr>
                <w:noProof/>
                <w:webHidden/>
              </w:rPr>
              <w:instrText xml:space="preserve"> PAGEREF _Toc227851300 \h </w:instrText>
            </w:r>
            <w:r>
              <w:rPr>
                <w:noProof/>
                <w:webHidden/>
              </w:rPr>
            </w:r>
            <w:r>
              <w:rPr>
                <w:noProof/>
                <w:webHidden/>
              </w:rPr>
              <w:fldChar w:fldCharType="separate"/>
            </w:r>
            <w:r>
              <w:rPr>
                <w:noProof/>
                <w:webHidden/>
              </w:rPr>
              <w:t>14</w:t>
            </w:r>
            <w:r>
              <w:rPr>
                <w:noProof/>
                <w:webHidden/>
              </w:rPr>
              <w:fldChar w:fldCharType="end"/>
            </w:r>
          </w:hyperlink>
        </w:p>
        <w:p w14:paraId="64CE85C8"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1" w:history="1">
            <w:r w:rsidRPr="009E21DB">
              <w:rPr>
                <w:rStyle w:val="Hyperlink"/>
                <w:noProof/>
              </w:rPr>
              <w:t>4.3 Impact Evaluation</w:t>
            </w:r>
            <w:r>
              <w:rPr>
                <w:noProof/>
                <w:webHidden/>
              </w:rPr>
              <w:tab/>
            </w:r>
            <w:r>
              <w:rPr>
                <w:noProof/>
                <w:webHidden/>
              </w:rPr>
              <w:fldChar w:fldCharType="begin"/>
            </w:r>
            <w:r>
              <w:rPr>
                <w:noProof/>
                <w:webHidden/>
              </w:rPr>
              <w:instrText xml:space="preserve"> PAGEREF _Toc227851301 \h </w:instrText>
            </w:r>
            <w:r>
              <w:rPr>
                <w:noProof/>
                <w:webHidden/>
              </w:rPr>
            </w:r>
            <w:r>
              <w:rPr>
                <w:noProof/>
                <w:webHidden/>
              </w:rPr>
              <w:fldChar w:fldCharType="separate"/>
            </w:r>
            <w:r>
              <w:rPr>
                <w:noProof/>
                <w:webHidden/>
              </w:rPr>
              <w:t>15</w:t>
            </w:r>
            <w:r>
              <w:rPr>
                <w:noProof/>
                <w:webHidden/>
              </w:rPr>
              <w:fldChar w:fldCharType="end"/>
            </w:r>
          </w:hyperlink>
        </w:p>
        <w:p w14:paraId="61EF2BE3"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2" w:history="1">
            <w:r w:rsidRPr="009E21DB">
              <w:rPr>
                <w:rStyle w:val="Hyperlink"/>
                <w:noProof/>
              </w:rPr>
              <w:t>4.4 International &amp; Ethical Considerations</w:t>
            </w:r>
            <w:r>
              <w:rPr>
                <w:noProof/>
                <w:webHidden/>
              </w:rPr>
              <w:tab/>
            </w:r>
            <w:r>
              <w:rPr>
                <w:noProof/>
                <w:webHidden/>
              </w:rPr>
              <w:fldChar w:fldCharType="begin"/>
            </w:r>
            <w:r>
              <w:rPr>
                <w:noProof/>
                <w:webHidden/>
              </w:rPr>
              <w:instrText xml:space="preserve"> PAGEREF _Toc227851302 \h </w:instrText>
            </w:r>
            <w:r>
              <w:rPr>
                <w:noProof/>
                <w:webHidden/>
              </w:rPr>
            </w:r>
            <w:r>
              <w:rPr>
                <w:noProof/>
                <w:webHidden/>
              </w:rPr>
              <w:fldChar w:fldCharType="separate"/>
            </w:r>
            <w:r>
              <w:rPr>
                <w:noProof/>
                <w:webHidden/>
              </w:rPr>
              <w:t>16</w:t>
            </w:r>
            <w:r>
              <w:rPr>
                <w:noProof/>
                <w:webHidden/>
              </w:rPr>
              <w:fldChar w:fldCharType="end"/>
            </w:r>
          </w:hyperlink>
        </w:p>
        <w:p w14:paraId="2F738253" w14:textId="77777777" w:rsidR="00A377B2" w:rsidRDefault="00A377B2">
          <w:pPr>
            <w:pStyle w:val="TOC1"/>
            <w:tabs>
              <w:tab w:val="right" w:leader="dot" w:pos="9350"/>
            </w:tabs>
            <w:rPr>
              <w:rFonts w:asciiTheme="minorHAnsi" w:eastAsiaTheme="minorEastAsia" w:hAnsiTheme="minorHAnsi" w:cstheme="minorBidi"/>
              <w:noProof/>
              <w:color w:val="auto"/>
              <w:sz w:val="22"/>
              <w:lang w:val="en-IN" w:eastAsia="en-IN"/>
            </w:rPr>
          </w:pPr>
          <w:hyperlink w:anchor="_Toc227851303" w:history="1">
            <w:r w:rsidRPr="009E21DB">
              <w:rPr>
                <w:rStyle w:val="Hyperlink"/>
                <w:noProof/>
              </w:rPr>
              <w:t>5. Investment Appraisal and Capital Budgeting</w:t>
            </w:r>
            <w:r>
              <w:rPr>
                <w:noProof/>
                <w:webHidden/>
              </w:rPr>
              <w:tab/>
            </w:r>
            <w:r>
              <w:rPr>
                <w:noProof/>
                <w:webHidden/>
              </w:rPr>
              <w:fldChar w:fldCharType="begin"/>
            </w:r>
            <w:r>
              <w:rPr>
                <w:noProof/>
                <w:webHidden/>
              </w:rPr>
              <w:instrText xml:space="preserve"> PAGEREF _Toc227851303 \h </w:instrText>
            </w:r>
            <w:r>
              <w:rPr>
                <w:noProof/>
                <w:webHidden/>
              </w:rPr>
            </w:r>
            <w:r>
              <w:rPr>
                <w:noProof/>
                <w:webHidden/>
              </w:rPr>
              <w:fldChar w:fldCharType="separate"/>
            </w:r>
            <w:r>
              <w:rPr>
                <w:noProof/>
                <w:webHidden/>
              </w:rPr>
              <w:t>17</w:t>
            </w:r>
            <w:r>
              <w:rPr>
                <w:noProof/>
                <w:webHidden/>
              </w:rPr>
              <w:fldChar w:fldCharType="end"/>
            </w:r>
          </w:hyperlink>
        </w:p>
        <w:p w14:paraId="7D5B8257"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4" w:history="1">
            <w:r w:rsidRPr="009E21DB">
              <w:rPr>
                <w:rStyle w:val="Hyperlink"/>
                <w:noProof/>
              </w:rPr>
              <w:t>5.1 Purpose and Decision Context</w:t>
            </w:r>
            <w:r>
              <w:rPr>
                <w:noProof/>
                <w:webHidden/>
              </w:rPr>
              <w:tab/>
            </w:r>
            <w:r>
              <w:rPr>
                <w:noProof/>
                <w:webHidden/>
              </w:rPr>
              <w:fldChar w:fldCharType="begin"/>
            </w:r>
            <w:r>
              <w:rPr>
                <w:noProof/>
                <w:webHidden/>
              </w:rPr>
              <w:instrText xml:space="preserve"> PAGEREF _Toc227851304 \h </w:instrText>
            </w:r>
            <w:r>
              <w:rPr>
                <w:noProof/>
                <w:webHidden/>
              </w:rPr>
            </w:r>
            <w:r>
              <w:rPr>
                <w:noProof/>
                <w:webHidden/>
              </w:rPr>
              <w:fldChar w:fldCharType="separate"/>
            </w:r>
            <w:r>
              <w:rPr>
                <w:noProof/>
                <w:webHidden/>
              </w:rPr>
              <w:t>17</w:t>
            </w:r>
            <w:r>
              <w:rPr>
                <w:noProof/>
                <w:webHidden/>
              </w:rPr>
              <w:fldChar w:fldCharType="end"/>
            </w:r>
          </w:hyperlink>
        </w:p>
        <w:p w14:paraId="3AA43BCB"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5" w:history="1">
            <w:r w:rsidRPr="009E21DB">
              <w:rPr>
                <w:rStyle w:val="Hyperlink"/>
                <w:noProof/>
              </w:rPr>
              <w:t>5.2 Consolidated Results Overview</w:t>
            </w:r>
            <w:r>
              <w:rPr>
                <w:noProof/>
                <w:webHidden/>
              </w:rPr>
              <w:tab/>
            </w:r>
            <w:r>
              <w:rPr>
                <w:noProof/>
                <w:webHidden/>
              </w:rPr>
              <w:fldChar w:fldCharType="begin"/>
            </w:r>
            <w:r>
              <w:rPr>
                <w:noProof/>
                <w:webHidden/>
              </w:rPr>
              <w:instrText xml:space="preserve"> PAGEREF _Toc227851305 \h </w:instrText>
            </w:r>
            <w:r>
              <w:rPr>
                <w:noProof/>
                <w:webHidden/>
              </w:rPr>
            </w:r>
            <w:r>
              <w:rPr>
                <w:noProof/>
                <w:webHidden/>
              </w:rPr>
              <w:fldChar w:fldCharType="separate"/>
            </w:r>
            <w:r>
              <w:rPr>
                <w:noProof/>
                <w:webHidden/>
              </w:rPr>
              <w:t>18</w:t>
            </w:r>
            <w:r>
              <w:rPr>
                <w:noProof/>
                <w:webHidden/>
              </w:rPr>
              <w:fldChar w:fldCharType="end"/>
            </w:r>
          </w:hyperlink>
        </w:p>
        <w:p w14:paraId="49969BB5"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6" w:history="1">
            <w:r w:rsidRPr="009E21DB">
              <w:rPr>
                <w:rStyle w:val="Hyperlink"/>
                <w:noProof/>
              </w:rPr>
              <w:t>5.3 Critical Evaluation of Investment Techniques</w:t>
            </w:r>
            <w:r>
              <w:rPr>
                <w:noProof/>
                <w:webHidden/>
              </w:rPr>
              <w:tab/>
            </w:r>
            <w:r>
              <w:rPr>
                <w:noProof/>
                <w:webHidden/>
              </w:rPr>
              <w:fldChar w:fldCharType="begin"/>
            </w:r>
            <w:r>
              <w:rPr>
                <w:noProof/>
                <w:webHidden/>
              </w:rPr>
              <w:instrText xml:space="preserve"> PAGEREF _Toc227851306 \h </w:instrText>
            </w:r>
            <w:r>
              <w:rPr>
                <w:noProof/>
                <w:webHidden/>
              </w:rPr>
            </w:r>
            <w:r>
              <w:rPr>
                <w:noProof/>
                <w:webHidden/>
              </w:rPr>
              <w:fldChar w:fldCharType="separate"/>
            </w:r>
            <w:r>
              <w:rPr>
                <w:noProof/>
                <w:webHidden/>
              </w:rPr>
              <w:t>18</w:t>
            </w:r>
            <w:r>
              <w:rPr>
                <w:noProof/>
                <w:webHidden/>
              </w:rPr>
              <w:fldChar w:fldCharType="end"/>
            </w:r>
          </w:hyperlink>
        </w:p>
        <w:p w14:paraId="31E05B1A"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7" w:history="1">
            <w:r w:rsidRPr="009E21DB">
              <w:rPr>
                <w:rStyle w:val="Hyperlink"/>
                <w:noProof/>
              </w:rPr>
              <w:t>5.4 Project Recommendation</w:t>
            </w:r>
            <w:r>
              <w:rPr>
                <w:noProof/>
                <w:webHidden/>
              </w:rPr>
              <w:tab/>
            </w:r>
            <w:r>
              <w:rPr>
                <w:noProof/>
                <w:webHidden/>
              </w:rPr>
              <w:fldChar w:fldCharType="begin"/>
            </w:r>
            <w:r>
              <w:rPr>
                <w:noProof/>
                <w:webHidden/>
              </w:rPr>
              <w:instrText xml:space="preserve"> PAGEREF _Toc227851307 \h </w:instrText>
            </w:r>
            <w:r>
              <w:rPr>
                <w:noProof/>
                <w:webHidden/>
              </w:rPr>
            </w:r>
            <w:r>
              <w:rPr>
                <w:noProof/>
                <w:webHidden/>
              </w:rPr>
              <w:fldChar w:fldCharType="separate"/>
            </w:r>
            <w:r>
              <w:rPr>
                <w:noProof/>
                <w:webHidden/>
              </w:rPr>
              <w:t>19</w:t>
            </w:r>
            <w:r>
              <w:rPr>
                <w:noProof/>
                <w:webHidden/>
              </w:rPr>
              <w:fldChar w:fldCharType="end"/>
            </w:r>
          </w:hyperlink>
        </w:p>
        <w:p w14:paraId="0713C0F3"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8" w:history="1">
            <w:r w:rsidRPr="009E21DB">
              <w:rPr>
                <w:rStyle w:val="Hyperlink"/>
                <w:noProof/>
              </w:rPr>
              <w:t>5.5 Capital Rationing Decision</w:t>
            </w:r>
            <w:r>
              <w:rPr>
                <w:noProof/>
                <w:webHidden/>
              </w:rPr>
              <w:tab/>
            </w:r>
            <w:r>
              <w:rPr>
                <w:noProof/>
                <w:webHidden/>
              </w:rPr>
              <w:fldChar w:fldCharType="begin"/>
            </w:r>
            <w:r>
              <w:rPr>
                <w:noProof/>
                <w:webHidden/>
              </w:rPr>
              <w:instrText xml:space="preserve"> PAGEREF _Toc227851308 \h </w:instrText>
            </w:r>
            <w:r>
              <w:rPr>
                <w:noProof/>
                <w:webHidden/>
              </w:rPr>
            </w:r>
            <w:r>
              <w:rPr>
                <w:noProof/>
                <w:webHidden/>
              </w:rPr>
              <w:fldChar w:fldCharType="separate"/>
            </w:r>
            <w:r>
              <w:rPr>
                <w:noProof/>
                <w:webHidden/>
              </w:rPr>
              <w:t>21</w:t>
            </w:r>
            <w:r>
              <w:rPr>
                <w:noProof/>
                <w:webHidden/>
              </w:rPr>
              <w:fldChar w:fldCharType="end"/>
            </w:r>
          </w:hyperlink>
        </w:p>
        <w:p w14:paraId="1BDDEF37"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09" w:history="1">
            <w:r w:rsidRPr="009E21DB">
              <w:rPr>
                <w:rStyle w:val="Hyperlink"/>
                <w:noProof/>
              </w:rPr>
              <w:t>5.6 Integrated Strategic Justification</w:t>
            </w:r>
            <w:r>
              <w:rPr>
                <w:noProof/>
                <w:webHidden/>
              </w:rPr>
              <w:tab/>
            </w:r>
            <w:r>
              <w:rPr>
                <w:noProof/>
                <w:webHidden/>
              </w:rPr>
              <w:fldChar w:fldCharType="begin"/>
            </w:r>
            <w:r>
              <w:rPr>
                <w:noProof/>
                <w:webHidden/>
              </w:rPr>
              <w:instrText xml:space="preserve"> PAGEREF _Toc227851309 \h </w:instrText>
            </w:r>
            <w:r>
              <w:rPr>
                <w:noProof/>
                <w:webHidden/>
              </w:rPr>
            </w:r>
            <w:r>
              <w:rPr>
                <w:noProof/>
                <w:webHidden/>
              </w:rPr>
              <w:fldChar w:fldCharType="separate"/>
            </w:r>
            <w:r>
              <w:rPr>
                <w:noProof/>
                <w:webHidden/>
              </w:rPr>
              <w:t>22</w:t>
            </w:r>
            <w:r>
              <w:rPr>
                <w:noProof/>
                <w:webHidden/>
              </w:rPr>
              <w:fldChar w:fldCharType="end"/>
            </w:r>
          </w:hyperlink>
        </w:p>
        <w:p w14:paraId="2C2EC8A7" w14:textId="77777777" w:rsidR="00A377B2" w:rsidRDefault="00A377B2">
          <w:pPr>
            <w:pStyle w:val="TOC1"/>
            <w:tabs>
              <w:tab w:val="right" w:leader="dot" w:pos="9350"/>
            </w:tabs>
            <w:rPr>
              <w:rFonts w:asciiTheme="minorHAnsi" w:eastAsiaTheme="minorEastAsia" w:hAnsiTheme="minorHAnsi" w:cstheme="minorBidi"/>
              <w:noProof/>
              <w:color w:val="auto"/>
              <w:sz w:val="22"/>
              <w:lang w:val="en-IN" w:eastAsia="en-IN"/>
            </w:rPr>
          </w:pPr>
          <w:hyperlink w:anchor="_Toc227851310" w:history="1">
            <w:r w:rsidRPr="009E21DB">
              <w:rPr>
                <w:rStyle w:val="Hyperlink"/>
                <w:noProof/>
              </w:rPr>
              <w:t>6. Conclusion</w:t>
            </w:r>
            <w:r>
              <w:rPr>
                <w:noProof/>
                <w:webHidden/>
              </w:rPr>
              <w:tab/>
            </w:r>
            <w:r>
              <w:rPr>
                <w:noProof/>
                <w:webHidden/>
              </w:rPr>
              <w:fldChar w:fldCharType="begin"/>
            </w:r>
            <w:r>
              <w:rPr>
                <w:noProof/>
                <w:webHidden/>
              </w:rPr>
              <w:instrText xml:space="preserve"> PAGEREF _Toc227851310 \h </w:instrText>
            </w:r>
            <w:r>
              <w:rPr>
                <w:noProof/>
                <w:webHidden/>
              </w:rPr>
            </w:r>
            <w:r>
              <w:rPr>
                <w:noProof/>
                <w:webHidden/>
              </w:rPr>
              <w:fldChar w:fldCharType="separate"/>
            </w:r>
            <w:r>
              <w:rPr>
                <w:noProof/>
                <w:webHidden/>
              </w:rPr>
              <w:t>22</w:t>
            </w:r>
            <w:r>
              <w:rPr>
                <w:noProof/>
                <w:webHidden/>
              </w:rPr>
              <w:fldChar w:fldCharType="end"/>
            </w:r>
          </w:hyperlink>
        </w:p>
        <w:p w14:paraId="19D486F0" w14:textId="77777777" w:rsidR="00A377B2" w:rsidRDefault="00A377B2">
          <w:pPr>
            <w:pStyle w:val="TOC1"/>
            <w:tabs>
              <w:tab w:val="right" w:leader="dot" w:pos="9350"/>
            </w:tabs>
            <w:rPr>
              <w:rFonts w:asciiTheme="minorHAnsi" w:eastAsiaTheme="minorEastAsia" w:hAnsiTheme="minorHAnsi" w:cstheme="minorBidi"/>
              <w:noProof/>
              <w:color w:val="auto"/>
              <w:sz w:val="22"/>
              <w:lang w:val="en-IN" w:eastAsia="en-IN"/>
            </w:rPr>
          </w:pPr>
          <w:hyperlink w:anchor="_Toc227851311" w:history="1">
            <w:r w:rsidRPr="009E21DB">
              <w:rPr>
                <w:rStyle w:val="Hyperlink"/>
                <w:noProof/>
                <w:lang w:val="en-GB"/>
              </w:rPr>
              <w:t>7. References</w:t>
            </w:r>
            <w:r>
              <w:rPr>
                <w:noProof/>
                <w:webHidden/>
              </w:rPr>
              <w:tab/>
            </w:r>
            <w:r>
              <w:rPr>
                <w:noProof/>
                <w:webHidden/>
              </w:rPr>
              <w:fldChar w:fldCharType="begin"/>
            </w:r>
            <w:r>
              <w:rPr>
                <w:noProof/>
                <w:webHidden/>
              </w:rPr>
              <w:instrText xml:space="preserve"> PAGEREF _Toc227851311 \h </w:instrText>
            </w:r>
            <w:r>
              <w:rPr>
                <w:noProof/>
                <w:webHidden/>
              </w:rPr>
            </w:r>
            <w:r>
              <w:rPr>
                <w:noProof/>
                <w:webHidden/>
              </w:rPr>
              <w:fldChar w:fldCharType="separate"/>
            </w:r>
            <w:r>
              <w:rPr>
                <w:noProof/>
                <w:webHidden/>
              </w:rPr>
              <w:t>23</w:t>
            </w:r>
            <w:r>
              <w:rPr>
                <w:noProof/>
                <w:webHidden/>
              </w:rPr>
              <w:fldChar w:fldCharType="end"/>
            </w:r>
          </w:hyperlink>
        </w:p>
        <w:p w14:paraId="0949579E" w14:textId="77777777" w:rsidR="00A377B2" w:rsidRDefault="00A377B2">
          <w:pPr>
            <w:pStyle w:val="TOC1"/>
            <w:tabs>
              <w:tab w:val="right" w:leader="dot" w:pos="9350"/>
            </w:tabs>
            <w:rPr>
              <w:rFonts w:asciiTheme="minorHAnsi" w:eastAsiaTheme="minorEastAsia" w:hAnsiTheme="minorHAnsi" w:cstheme="minorBidi"/>
              <w:noProof/>
              <w:color w:val="auto"/>
              <w:sz w:val="22"/>
              <w:lang w:val="en-IN" w:eastAsia="en-IN"/>
            </w:rPr>
          </w:pPr>
          <w:hyperlink w:anchor="_Toc227851312" w:history="1">
            <w:r w:rsidRPr="009E21DB">
              <w:rPr>
                <w:rStyle w:val="Hyperlink"/>
                <w:noProof/>
                <w:lang w:val="en-GB"/>
              </w:rPr>
              <w:t>8. Appendices</w:t>
            </w:r>
            <w:r>
              <w:rPr>
                <w:noProof/>
                <w:webHidden/>
              </w:rPr>
              <w:tab/>
            </w:r>
            <w:r>
              <w:rPr>
                <w:noProof/>
                <w:webHidden/>
              </w:rPr>
              <w:fldChar w:fldCharType="begin"/>
            </w:r>
            <w:r>
              <w:rPr>
                <w:noProof/>
                <w:webHidden/>
              </w:rPr>
              <w:instrText xml:space="preserve"> PAGEREF _Toc227851312 \h </w:instrText>
            </w:r>
            <w:r>
              <w:rPr>
                <w:noProof/>
                <w:webHidden/>
              </w:rPr>
            </w:r>
            <w:r>
              <w:rPr>
                <w:noProof/>
                <w:webHidden/>
              </w:rPr>
              <w:fldChar w:fldCharType="separate"/>
            </w:r>
            <w:r>
              <w:rPr>
                <w:noProof/>
                <w:webHidden/>
              </w:rPr>
              <w:t>28</w:t>
            </w:r>
            <w:r>
              <w:rPr>
                <w:noProof/>
                <w:webHidden/>
              </w:rPr>
              <w:fldChar w:fldCharType="end"/>
            </w:r>
          </w:hyperlink>
        </w:p>
        <w:p w14:paraId="5DB3053D"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13" w:history="1">
            <w:r w:rsidRPr="009E21DB">
              <w:rPr>
                <w:rStyle w:val="Hyperlink"/>
                <w:noProof/>
                <w:lang w:val="en-GB"/>
              </w:rPr>
              <w:t xml:space="preserve">Appendix 1: Ratio calculation of </w:t>
            </w:r>
            <w:r w:rsidRPr="009E21DB">
              <w:rPr>
                <w:rStyle w:val="Hyperlink"/>
                <w:noProof/>
              </w:rPr>
              <w:t xml:space="preserve">Volkswagen AG </w:t>
            </w:r>
            <w:r w:rsidRPr="009E21DB">
              <w:rPr>
                <w:rStyle w:val="Hyperlink"/>
                <w:noProof/>
                <w:lang w:val="en-GB"/>
              </w:rPr>
              <w:t>from 2020-2024</w:t>
            </w:r>
            <w:r>
              <w:rPr>
                <w:noProof/>
                <w:webHidden/>
              </w:rPr>
              <w:tab/>
            </w:r>
            <w:r>
              <w:rPr>
                <w:noProof/>
                <w:webHidden/>
              </w:rPr>
              <w:fldChar w:fldCharType="begin"/>
            </w:r>
            <w:r>
              <w:rPr>
                <w:noProof/>
                <w:webHidden/>
              </w:rPr>
              <w:instrText xml:space="preserve"> PAGEREF _Toc227851313 \h </w:instrText>
            </w:r>
            <w:r>
              <w:rPr>
                <w:noProof/>
                <w:webHidden/>
              </w:rPr>
            </w:r>
            <w:r>
              <w:rPr>
                <w:noProof/>
                <w:webHidden/>
              </w:rPr>
              <w:fldChar w:fldCharType="separate"/>
            </w:r>
            <w:r>
              <w:rPr>
                <w:noProof/>
                <w:webHidden/>
              </w:rPr>
              <w:t>28</w:t>
            </w:r>
            <w:r>
              <w:rPr>
                <w:noProof/>
                <w:webHidden/>
              </w:rPr>
              <w:fldChar w:fldCharType="end"/>
            </w:r>
          </w:hyperlink>
        </w:p>
        <w:p w14:paraId="37DCE1E2" w14:textId="77777777" w:rsidR="00A377B2" w:rsidRDefault="00A377B2">
          <w:pPr>
            <w:pStyle w:val="TOC2"/>
            <w:tabs>
              <w:tab w:val="right" w:leader="dot" w:pos="9350"/>
            </w:tabs>
            <w:rPr>
              <w:rFonts w:asciiTheme="minorHAnsi" w:eastAsiaTheme="minorEastAsia" w:hAnsiTheme="minorHAnsi" w:cstheme="minorBidi"/>
              <w:noProof/>
              <w:color w:val="auto"/>
              <w:sz w:val="22"/>
              <w:lang w:val="en-IN" w:eastAsia="en-IN"/>
            </w:rPr>
          </w:pPr>
          <w:hyperlink w:anchor="_Toc227851314" w:history="1">
            <w:r w:rsidRPr="009E21DB">
              <w:rPr>
                <w:rStyle w:val="Hyperlink"/>
                <w:noProof/>
                <w:lang w:val="en-GB"/>
              </w:rPr>
              <w:t>Appendix 2: Calculation of IRR, PBP, ARR, NPV, and PI</w:t>
            </w:r>
            <w:r>
              <w:rPr>
                <w:noProof/>
                <w:webHidden/>
              </w:rPr>
              <w:tab/>
            </w:r>
            <w:r>
              <w:rPr>
                <w:noProof/>
                <w:webHidden/>
              </w:rPr>
              <w:fldChar w:fldCharType="begin"/>
            </w:r>
            <w:r>
              <w:rPr>
                <w:noProof/>
                <w:webHidden/>
              </w:rPr>
              <w:instrText xml:space="preserve"> PAGEREF _Toc227851314 \h </w:instrText>
            </w:r>
            <w:r>
              <w:rPr>
                <w:noProof/>
                <w:webHidden/>
              </w:rPr>
            </w:r>
            <w:r>
              <w:rPr>
                <w:noProof/>
                <w:webHidden/>
              </w:rPr>
              <w:fldChar w:fldCharType="separate"/>
            </w:r>
            <w:r>
              <w:rPr>
                <w:noProof/>
                <w:webHidden/>
              </w:rPr>
              <w:t>31</w:t>
            </w:r>
            <w:r>
              <w:rPr>
                <w:noProof/>
                <w:webHidden/>
              </w:rPr>
              <w:fldChar w:fldCharType="end"/>
            </w:r>
          </w:hyperlink>
        </w:p>
        <w:p w14:paraId="68AE634B" w14:textId="7D2B1B79" w:rsidR="00AF1747" w:rsidRPr="00EC5E32" w:rsidRDefault="00862893" w:rsidP="00D92A1E">
          <w:pPr>
            <w:rPr>
              <w:sz w:val="22"/>
              <w:lang w:val="en-GB"/>
            </w:rPr>
          </w:pPr>
          <w:r w:rsidRPr="00EC5E32">
            <w:rPr>
              <w:b/>
              <w:bCs/>
              <w:noProof/>
              <w:lang w:val="en-GB"/>
            </w:rPr>
            <w:fldChar w:fldCharType="end"/>
          </w:r>
        </w:p>
      </w:sdtContent>
    </w:sdt>
    <w:p w14:paraId="7DC86980" w14:textId="77777777" w:rsidR="00B97539" w:rsidRDefault="00B97539">
      <w:pPr>
        <w:spacing w:line="276" w:lineRule="auto"/>
        <w:jc w:val="left"/>
        <w:rPr>
          <w:b/>
          <w:sz w:val="28"/>
          <w:szCs w:val="40"/>
          <w:lang w:val="en-GB"/>
        </w:rPr>
      </w:pPr>
      <w:r>
        <w:rPr>
          <w:lang w:val="en-GB"/>
        </w:rPr>
        <w:br w:type="page"/>
      </w:r>
    </w:p>
    <w:p w14:paraId="76B1D68C" w14:textId="77777777" w:rsidR="00EF5DA0" w:rsidRDefault="00EF5DA0" w:rsidP="00EF5DA0">
      <w:pPr>
        <w:pStyle w:val="Heading1"/>
      </w:pPr>
      <w:bookmarkStart w:id="0" w:name="_l9woy7x1egsn" w:colFirst="0" w:colLast="0"/>
      <w:bookmarkStart w:id="1" w:name="_Toc227851285"/>
      <w:bookmarkEnd w:id="0"/>
      <w:r>
        <w:lastRenderedPageBreak/>
        <w:t>1. Introduction</w:t>
      </w:r>
      <w:bookmarkEnd w:id="1"/>
      <w:r>
        <w:t xml:space="preserve"> </w:t>
      </w:r>
    </w:p>
    <w:p w14:paraId="1F80A0CA" w14:textId="77777777" w:rsidR="00EF5DA0" w:rsidRDefault="00EF5DA0" w:rsidP="00EF5DA0">
      <w:pPr>
        <w:spacing w:before="240" w:after="240"/>
        <w:rPr>
          <w:szCs w:val="24"/>
        </w:rPr>
      </w:pPr>
      <w:r>
        <w:rPr>
          <w:szCs w:val="24"/>
        </w:rPr>
        <w:t>The current report compares the financial performance of Volkswagen AG over five years. It has considered data and information from the financial years 2021 to 2025 to review financial standing. It analyses liquidity, profitability, working capital, and restructuring of strategies. Investment decisions are also evaluated in terms of capital budgeting methods. It effectively allows us to decide on the best method to improve financial stability and enable long-term growth in the competitive EV industry.</w:t>
      </w:r>
    </w:p>
    <w:p w14:paraId="24A51676" w14:textId="77777777" w:rsidR="00EF5DA0" w:rsidRDefault="00EF5DA0" w:rsidP="00EF5DA0">
      <w:pPr>
        <w:pStyle w:val="Heading1"/>
      </w:pPr>
      <w:bookmarkStart w:id="2" w:name="_uzza9s4kecm4" w:colFirst="0" w:colLast="0"/>
      <w:bookmarkStart w:id="3" w:name="_Toc227851286"/>
      <w:bookmarkEnd w:id="2"/>
      <w:r>
        <w:t>2. Financial Health Check</w:t>
      </w:r>
      <w:bookmarkEnd w:id="3"/>
    </w:p>
    <w:p w14:paraId="6C5B85BB" w14:textId="77777777" w:rsidR="00EF5DA0" w:rsidRDefault="00EF5DA0" w:rsidP="00EF5DA0">
      <w:pPr>
        <w:pStyle w:val="Heading2"/>
      </w:pPr>
      <w:bookmarkStart w:id="4" w:name="_rguvoi5nx9rp" w:colFirst="0" w:colLast="0"/>
      <w:bookmarkStart w:id="5" w:name="_Toc227851287"/>
      <w:bookmarkEnd w:id="4"/>
      <w:r>
        <w:t>2.1 Profitability Analysis</w:t>
      </w:r>
      <w:bookmarkEnd w:id="5"/>
    </w:p>
    <w:p w14:paraId="2FD26415" w14:textId="108FA550" w:rsidR="00A377B2" w:rsidRDefault="00A377B2" w:rsidP="00EF5DA0">
      <w:pPr>
        <w:spacing w:after="200"/>
        <w:jc w:val="center"/>
        <w:rPr>
          <w:b/>
          <w:bCs/>
          <w:szCs w:val="24"/>
        </w:rPr>
      </w:pPr>
      <w:r>
        <w:rPr>
          <w:noProof/>
          <w:lang w:val="en-IN" w:eastAsia="en-IN"/>
        </w:rPr>
        <w:drawing>
          <wp:inline distT="0" distB="0" distL="0" distR="0" wp14:anchorId="71C5A5BB" wp14:editId="23659F11">
            <wp:extent cx="5485951" cy="4932680"/>
            <wp:effectExtent l="0" t="0" r="635" b="0"/>
            <wp:docPr id="1"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E26411C" w14:textId="77777777" w:rsidR="00EF5DA0" w:rsidRDefault="00EF5DA0" w:rsidP="00EF5DA0">
      <w:pPr>
        <w:spacing w:after="200"/>
        <w:jc w:val="center"/>
        <w:rPr>
          <w:b/>
          <w:bCs/>
          <w:szCs w:val="24"/>
        </w:rPr>
      </w:pPr>
      <w:r>
        <w:rPr>
          <w:b/>
          <w:bCs/>
          <w:szCs w:val="24"/>
        </w:rPr>
        <w:lastRenderedPageBreak/>
        <w:t>Figure 1: Visualization of profitability ratio across five years</w:t>
      </w:r>
    </w:p>
    <w:p w14:paraId="6C9C917B" w14:textId="77777777" w:rsidR="00EF5DA0" w:rsidRDefault="00EF5DA0" w:rsidP="00EF5DA0">
      <w:pPr>
        <w:spacing w:after="200"/>
        <w:jc w:val="center"/>
        <w:rPr>
          <w:szCs w:val="24"/>
        </w:rPr>
      </w:pPr>
      <w:r>
        <w:rPr>
          <w:szCs w:val="24"/>
        </w:rPr>
        <w:t>(Source: Volkswagen, 2025; Yahoo Finance, 2025; Volkswagen, 2023; Volkswagen Group, 2022)</w:t>
      </w:r>
    </w:p>
    <w:p w14:paraId="4D86125F" w14:textId="77777777" w:rsidR="00EF5DA0" w:rsidRDefault="00EF5DA0" w:rsidP="00EF5DA0">
      <w:pPr>
        <w:spacing w:after="200"/>
        <w:rPr>
          <w:szCs w:val="24"/>
        </w:rPr>
      </w:pPr>
      <w:r>
        <w:rPr>
          <w:szCs w:val="24"/>
        </w:rPr>
        <w:t>The profitability trend of Volkswagen AG is evidently decreasing between 2021 and 2025. From the developed graph, it can be seen that gross margin has decreased from 19% in 2021 to 16% in 2025. This indicates the corporation is incurring increased manufacturing expenditure or less pricing strength. Operating margin also reduced to 3%, which reported a sharp decline in core business efficiency. The net profit margin has fallen to 2% in 2025. Furthermore, the ratio of return on equity (ROE) declined by 9%, and the ratio of return on assets (ROA) declined by 3%. The changes indicate that Volkswagen is reaping very few returns on its assets and on the investment of its shareholders.</w:t>
      </w:r>
    </w:p>
    <w:p w14:paraId="2B7B9590" w14:textId="77777777" w:rsidR="00EF5DA0" w:rsidRDefault="00EF5DA0" w:rsidP="00EF5DA0">
      <w:pPr>
        <w:spacing w:after="200"/>
        <w:rPr>
          <w:szCs w:val="24"/>
        </w:rPr>
      </w:pPr>
      <w:r>
        <w:rPr>
          <w:szCs w:val="24"/>
        </w:rPr>
        <w:t>There are a number of industry and company factors that can be attributed to this decrease in profitability. To begin with, Volkswagen has placed a considerable amount of funds into the development of electric vehicles (EVs), such as battery and digital technologies. These investments are associated with a high cost in the short run. Nor Adila Zulkifli and Noor (2025) explain that the growth of EVs on the international level needs a large amount of initial investments that tend to decrease short-term profitability. Second, disruption of the supply chain and inflation have added to the costs of inputs, particularly the materials such as lithium and semiconductors. Third, good competition by other firms like Tesla, Inc., and BYD Company has resulted in price cuts, resulting in a decrease in profit margins. As McKinsey (2023) indicates, the EV market is putting pressure on the margins of traditional automakers due to price competition.</w:t>
      </w:r>
    </w:p>
    <w:p w14:paraId="3F2580FE" w14:textId="40C95115" w:rsidR="00EF5DA0" w:rsidRDefault="00EF5DA0" w:rsidP="00EF5DA0">
      <w:pPr>
        <w:spacing w:after="200"/>
        <w:rPr>
          <w:szCs w:val="24"/>
        </w:rPr>
      </w:pPr>
      <w:r>
        <w:rPr>
          <w:szCs w:val="24"/>
        </w:rPr>
        <w:t xml:space="preserve">In critical terms, the shift towards decreasing profitability is a concern. The ongoing downward trend over five years indicates more structural problems, and although some reduction is expected as part of a transition period, a decline is observed worldwide. The margins seem to be the weakest among the industry leaders in EV efficiency. It might not mean failure, but it can be a strategic transition period. Ding </w:t>
      </w:r>
      <w:r w:rsidR="000D1D54" w:rsidRPr="000D1D54">
        <w:rPr>
          <w:i/>
          <w:szCs w:val="24"/>
        </w:rPr>
        <w:t>et al.</w:t>
      </w:r>
      <w:r>
        <w:rPr>
          <w:szCs w:val="24"/>
        </w:rPr>
        <w:t xml:space="preserve"> (2024) state that companies that invest in future development usually face short-term losses in profits. Based on the discussion, transformation pressure is evidenced by Volkswagen's </w:t>
      </w:r>
      <w:r>
        <w:rPr>
          <w:szCs w:val="24"/>
        </w:rPr>
        <w:lastRenderedPageBreak/>
        <w:t>profitability erosion, although, unless handled with care, it can result in weakness in margins in the long run.</w:t>
      </w:r>
    </w:p>
    <w:p w14:paraId="1CD25549" w14:textId="77777777" w:rsidR="00EF5DA0" w:rsidRDefault="00EF5DA0" w:rsidP="00EF5DA0">
      <w:pPr>
        <w:pStyle w:val="Heading2"/>
      </w:pPr>
      <w:bookmarkStart w:id="6" w:name="_lbccl6ze3yfs" w:colFirst="0" w:colLast="0"/>
      <w:bookmarkStart w:id="7" w:name="_Toc227851288"/>
      <w:bookmarkEnd w:id="6"/>
      <w:r>
        <w:t>2.2 Liquidity Analysis</w:t>
      </w:r>
      <w:bookmarkEnd w:id="7"/>
      <w:r>
        <w:t xml:space="preserve"> </w:t>
      </w:r>
    </w:p>
    <w:p w14:paraId="3A2B1AEE" w14:textId="72B26F84" w:rsidR="00A377B2" w:rsidRDefault="00A377B2" w:rsidP="00EF5DA0">
      <w:pPr>
        <w:spacing w:after="200"/>
        <w:jc w:val="center"/>
        <w:rPr>
          <w:b/>
          <w:bCs/>
          <w:szCs w:val="24"/>
        </w:rPr>
      </w:pPr>
      <w:r>
        <w:rPr>
          <w:noProof/>
          <w:lang w:val="en-IN" w:eastAsia="en-IN"/>
        </w:rPr>
        <w:drawing>
          <wp:inline distT="0" distB="0" distL="0" distR="0" wp14:anchorId="426D17DC" wp14:editId="3EF7ECB1">
            <wp:extent cx="5037667" cy="2879272"/>
            <wp:effectExtent l="0" t="0" r="0" b="0"/>
            <wp:docPr id="9" name="Chart 9">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C1E9029" w14:textId="77777777" w:rsidR="00EF5DA0" w:rsidRDefault="00EF5DA0" w:rsidP="00EF5DA0">
      <w:pPr>
        <w:spacing w:after="200"/>
        <w:jc w:val="center"/>
        <w:rPr>
          <w:b/>
          <w:bCs/>
          <w:szCs w:val="24"/>
        </w:rPr>
      </w:pPr>
      <w:r>
        <w:rPr>
          <w:b/>
          <w:bCs/>
          <w:szCs w:val="24"/>
        </w:rPr>
        <w:t>Figure 2: Visualization of liquidity ratio across five years</w:t>
      </w:r>
    </w:p>
    <w:p w14:paraId="4B8D490A" w14:textId="77777777" w:rsidR="00EF5DA0" w:rsidRDefault="00EF5DA0" w:rsidP="00EF5DA0">
      <w:pPr>
        <w:spacing w:after="200"/>
        <w:jc w:val="center"/>
        <w:rPr>
          <w:szCs w:val="24"/>
        </w:rPr>
      </w:pPr>
      <w:r>
        <w:rPr>
          <w:szCs w:val="24"/>
        </w:rPr>
        <w:t>(Source: Volkswagen, 2025; Yahoo Finance, 2025; Volkswagen, 2023; Volkswagen Group, 2022)</w:t>
      </w:r>
    </w:p>
    <w:p w14:paraId="0637DDCD" w14:textId="77777777" w:rsidR="00EF5DA0" w:rsidRDefault="00EF5DA0" w:rsidP="00EF5DA0">
      <w:pPr>
        <w:spacing w:before="240" w:after="240"/>
        <w:rPr>
          <w:szCs w:val="24"/>
        </w:rPr>
      </w:pPr>
      <w:r>
        <w:rPr>
          <w:szCs w:val="24"/>
        </w:rPr>
        <w:t>Liquidity at Volkswagen AG has declined slowly over the last five years. The current ratio was lower than last year, 1.22 in 2021 and 1.09 in 2025, which implies that the company is less liquid to offset short-term liabilities with its current assets. The quick ratio also declined, dropping to 0.87 as compared to 0.95, which is lower than the standard figure of 1. This implies that Volkswagen is very dependent on its inventory in order to cover short-term commitments. The cash ratio was low and volatile during this period, which indicated a low access to ready cash.</w:t>
      </w:r>
    </w:p>
    <w:p w14:paraId="2844BACB" w14:textId="77777777" w:rsidR="00EF5DA0" w:rsidRDefault="00EF5DA0" w:rsidP="00EF5DA0">
      <w:pPr>
        <w:spacing w:before="240" w:after="240"/>
        <w:rPr>
          <w:szCs w:val="24"/>
        </w:rPr>
      </w:pPr>
      <w:r>
        <w:rPr>
          <w:szCs w:val="24"/>
        </w:rPr>
        <w:t xml:space="preserve">This trend indicates the characteristic of the automotive industry, which is characterised by large working capital investment. The company has huge sums of money in stock, particularly in the move towards electric vehicles. The duration of production cycles and inventory costs are greater in EV production because there is battery storage and a </w:t>
      </w:r>
      <w:r>
        <w:rPr>
          <w:szCs w:val="24"/>
        </w:rPr>
        <w:lastRenderedPageBreak/>
        <w:t>complicated supply chain. The IEA (2023) states that the high initial expenses and slower payback times of EVs place a greater strain on capital in the short term because of the large initial investment. Moreover, sales and receivables delays might be a slowdown in cash inflows.</w:t>
      </w:r>
    </w:p>
    <w:p w14:paraId="6FBED5DC" w14:textId="77777777" w:rsidR="00EF5DA0" w:rsidRDefault="00EF5DA0" w:rsidP="00EF5DA0">
      <w:pPr>
        <w:spacing w:before="240" w:after="240"/>
        <w:rPr>
          <w:szCs w:val="24"/>
        </w:rPr>
      </w:pPr>
      <w:r>
        <w:rPr>
          <w:szCs w:val="24"/>
        </w:rPr>
        <w:t>The liquidity of Volkswagen is satisfactory but strained by its indication of pressure, though, from a critical perspective. The current ratio is higher than 1, indicating that the company is not on the verge of bankruptcy. Nonetheless, the low level of the prompt ratio points to a possible short-run risk in case the stocks are unable to be converted into cash in time. In general, Volkswagen seems to be liquid but inefficient in its operations, and the short-term cash management is to be improved.</w:t>
      </w:r>
    </w:p>
    <w:p w14:paraId="071F4A24" w14:textId="77777777" w:rsidR="00EF5DA0" w:rsidRDefault="00EF5DA0" w:rsidP="00EF5DA0">
      <w:pPr>
        <w:pStyle w:val="Heading2"/>
      </w:pPr>
      <w:bookmarkStart w:id="8" w:name="_gxgw9r9bou61" w:colFirst="0" w:colLast="0"/>
      <w:bookmarkStart w:id="9" w:name="_Toc227851289"/>
      <w:bookmarkEnd w:id="8"/>
      <w:r>
        <w:t>2.3 Gearing &amp; Risk Analysis</w:t>
      </w:r>
      <w:bookmarkEnd w:id="9"/>
      <w:r>
        <w:t xml:space="preserve"> </w:t>
      </w:r>
    </w:p>
    <w:p w14:paraId="48402714" w14:textId="1C7744CF" w:rsidR="00A377B2" w:rsidRDefault="00A377B2" w:rsidP="00EF5DA0">
      <w:pPr>
        <w:spacing w:after="200"/>
        <w:jc w:val="center"/>
        <w:rPr>
          <w:b/>
          <w:bCs/>
          <w:szCs w:val="24"/>
        </w:rPr>
      </w:pPr>
      <w:r>
        <w:rPr>
          <w:noProof/>
          <w:lang w:val="en-IN" w:eastAsia="en-IN"/>
        </w:rPr>
        <w:drawing>
          <wp:inline distT="0" distB="0" distL="0" distR="0" wp14:anchorId="26978AB9" wp14:editId="65289D5C">
            <wp:extent cx="5010563" cy="3336966"/>
            <wp:effectExtent l="0" t="0" r="0" b="0"/>
            <wp:docPr id="10" name="Chart 10">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6C0C3C" w14:textId="77777777" w:rsidR="00EF5DA0" w:rsidRDefault="00EF5DA0" w:rsidP="00EF5DA0">
      <w:pPr>
        <w:spacing w:after="200"/>
        <w:jc w:val="center"/>
        <w:rPr>
          <w:b/>
          <w:bCs/>
          <w:szCs w:val="24"/>
        </w:rPr>
      </w:pPr>
      <w:r>
        <w:rPr>
          <w:b/>
          <w:bCs/>
          <w:szCs w:val="24"/>
        </w:rPr>
        <w:t>Figure 3: Visualization of gearing ratio across five years</w:t>
      </w:r>
    </w:p>
    <w:p w14:paraId="0A1E4CBE" w14:textId="77777777" w:rsidR="00EF5DA0" w:rsidRDefault="00EF5DA0" w:rsidP="00EF5DA0">
      <w:pPr>
        <w:spacing w:after="200"/>
        <w:jc w:val="center"/>
        <w:rPr>
          <w:szCs w:val="24"/>
        </w:rPr>
      </w:pPr>
      <w:r>
        <w:rPr>
          <w:szCs w:val="24"/>
        </w:rPr>
        <w:t>(Source: Volkswagen, 2025; Yahoo Finance, 2025; Volkswagen, 2023; Volkswagen Group, 2022)</w:t>
      </w:r>
    </w:p>
    <w:p w14:paraId="4772BA90" w14:textId="77777777" w:rsidR="00EF5DA0" w:rsidRDefault="00EF5DA0" w:rsidP="00EF5DA0">
      <w:pPr>
        <w:spacing w:before="240" w:after="240"/>
        <w:rPr>
          <w:szCs w:val="24"/>
        </w:rPr>
      </w:pPr>
      <w:r>
        <w:rPr>
          <w:szCs w:val="24"/>
        </w:rPr>
        <w:lastRenderedPageBreak/>
        <w:t>Structural performance in terms of gearing position of Volkswagen AG demonstrates a positive change in 2021 and 2025. The debt to equity increased to 0.97 as compared to 2.62 in 2021 to 2025. This means that it has minimized its debt financing and enhanced its equity status. The lower leverage level tends to decrease financial risk and enhance stability in the long run. But the interest coverage ratio indicates the contrary. It declined from 8.10 in 2021 to 3.33 in 2025, implying that the company is less able to cater to its interest charges using operating income.</w:t>
      </w:r>
    </w:p>
    <w:p w14:paraId="176C003B" w14:textId="77777777" w:rsidR="00EF5DA0" w:rsidRDefault="00EF5DA0" w:rsidP="00EF5DA0">
      <w:pPr>
        <w:spacing w:before="240" w:after="240"/>
        <w:rPr>
          <w:szCs w:val="24"/>
        </w:rPr>
      </w:pPr>
      <w:r>
        <w:rPr>
          <w:szCs w:val="24"/>
        </w:rPr>
        <w:t>An amalgamation of strategic and external aspects can explain this pattern. VW seems to have adhered to a debt-reducing strategy, perhaps to reduce risk in the process of its EV transition. Meanwhile, the interest rates in the world have been on the rise, hence increasing the cost of borrowing. More significantly, the ability to service the debt has decreased with declining operating profits (EBIT). Kurnia (2022) notes that earnings performance is very sensitive to interest coverage.</w:t>
      </w:r>
    </w:p>
    <w:p w14:paraId="255189B6" w14:textId="77777777" w:rsidR="00EF5DA0" w:rsidRDefault="00EF5DA0" w:rsidP="00EF5DA0">
      <w:pPr>
        <w:spacing w:before="240" w:after="240"/>
        <w:rPr>
          <w:szCs w:val="24"/>
        </w:rPr>
      </w:pPr>
      <w:r>
        <w:rPr>
          <w:szCs w:val="24"/>
        </w:rPr>
        <w:t>From a critical viewpoint, the capital structure of Volkswagen is healthier, yet the financial risk has not gone away. Reduced income puts a strain on debt repayment. Altogether, increased leverage is a good feature, yet the declining profitability restricts fiscal solvency.</w:t>
      </w:r>
    </w:p>
    <w:p w14:paraId="441CE063" w14:textId="77777777" w:rsidR="00EF5DA0" w:rsidRDefault="00EF5DA0" w:rsidP="00EF5DA0">
      <w:pPr>
        <w:pStyle w:val="Heading2"/>
      </w:pPr>
      <w:bookmarkStart w:id="10" w:name="_ui7yiil414xz" w:colFirst="0" w:colLast="0"/>
      <w:bookmarkStart w:id="11" w:name="_Toc227851290"/>
      <w:bookmarkEnd w:id="10"/>
      <w:r>
        <w:t>2.4 Efficiency Analysis</w:t>
      </w:r>
      <w:bookmarkEnd w:id="11"/>
      <w:r>
        <w:t xml:space="preserve"> </w:t>
      </w:r>
    </w:p>
    <w:p w14:paraId="17DAA268" w14:textId="3A79408F" w:rsidR="00A377B2" w:rsidRDefault="00A377B2" w:rsidP="00EF5DA0">
      <w:pPr>
        <w:spacing w:after="200"/>
        <w:jc w:val="center"/>
        <w:rPr>
          <w:b/>
          <w:bCs/>
          <w:szCs w:val="24"/>
        </w:rPr>
      </w:pPr>
      <w:r>
        <w:rPr>
          <w:noProof/>
          <w:lang w:val="en-IN" w:eastAsia="en-IN"/>
        </w:rPr>
        <w:drawing>
          <wp:inline distT="0" distB="0" distL="0" distR="0" wp14:anchorId="58AE853D" wp14:editId="7285C413">
            <wp:extent cx="4777620" cy="3080810"/>
            <wp:effectExtent l="0" t="0" r="0" b="0"/>
            <wp:docPr id="11" name="Chart 1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2D90491" w14:textId="77777777" w:rsidR="00EF5DA0" w:rsidRDefault="00EF5DA0" w:rsidP="00EF5DA0">
      <w:pPr>
        <w:spacing w:after="200"/>
        <w:jc w:val="center"/>
        <w:rPr>
          <w:b/>
          <w:bCs/>
          <w:szCs w:val="24"/>
        </w:rPr>
      </w:pPr>
      <w:r>
        <w:rPr>
          <w:b/>
          <w:bCs/>
          <w:szCs w:val="24"/>
        </w:rPr>
        <w:lastRenderedPageBreak/>
        <w:t>Figure 4: Visualization of efficiency ratio across five years</w:t>
      </w:r>
    </w:p>
    <w:p w14:paraId="7A90F6E7" w14:textId="77777777" w:rsidR="00EF5DA0" w:rsidRDefault="00EF5DA0" w:rsidP="00EF5DA0">
      <w:pPr>
        <w:spacing w:after="200"/>
        <w:jc w:val="center"/>
        <w:rPr>
          <w:szCs w:val="24"/>
        </w:rPr>
      </w:pPr>
      <w:r>
        <w:rPr>
          <w:szCs w:val="24"/>
        </w:rPr>
        <w:t>(Source: Volkswagen, 2025; Yahoo Finance, 2025; Volkswagen, 2023; Volkswagen Group, 2022)</w:t>
      </w:r>
    </w:p>
    <w:p w14:paraId="265D0005" w14:textId="77777777" w:rsidR="00EF5DA0" w:rsidRDefault="00EF5DA0" w:rsidP="00EF5DA0">
      <w:pPr>
        <w:spacing w:before="240" w:after="240"/>
        <w:rPr>
          <w:szCs w:val="24"/>
        </w:rPr>
      </w:pPr>
      <w:r>
        <w:rPr>
          <w:szCs w:val="24"/>
        </w:rPr>
        <w:t>The efficiency performance of Volkswagen AG only improves slightly during the five years of 2021-2025. There was a reduction in inventory days (82 days in 2021 to approximately 69 days in 2025). This shows that the company is better managing its inventory as well as changing its stock into sales faster. On the other hand, receivables days were not that unstable, ranging 2730 days. This implies that Volkswagen has been operating a stable credit policy and gathering the payments among the customers within a stable period.</w:t>
      </w:r>
    </w:p>
    <w:p w14:paraId="58D67C48" w14:textId="3A982C71" w:rsidR="00EF5DA0" w:rsidRDefault="00EF5DA0" w:rsidP="00EF5DA0">
      <w:pPr>
        <w:spacing w:before="240" w:after="240"/>
        <w:rPr>
          <w:szCs w:val="24"/>
        </w:rPr>
      </w:pPr>
      <w:r>
        <w:rPr>
          <w:szCs w:val="24"/>
        </w:rPr>
        <w:t xml:space="preserve">This can be attributed to enhanced inventory management due to more coordination in the supply chain and digital inventory management systems. Khan </w:t>
      </w:r>
      <w:r w:rsidR="000D1D54" w:rsidRPr="000D1D54">
        <w:rPr>
          <w:i/>
          <w:szCs w:val="24"/>
        </w:rPr>
        <w:t>et al.</w:t>
      </w:r>
      <w:r>
        <w:rPr>
          <w:szCs w:val="24"/>
        </w:rPr>
        <w:t xml:space="preserve"> (2021) suggest that automotive supply chains undergo digitalization to assist companies in the minimization of unnecessary stock and operational efficiency. However, critically, there are only restricted gains in efficiency. The increased inventory control has not been robust enough to counter the substantial drop in profitability.</w:t>
      </w:r>
    </w:p>
    <w:p w14:paraId="376AC666" w14:textId="77777777" w:rsidR="00EF5DA0" w:rsidRDefault="00EF5DA0" w:rsidP="00EF5DA0">
      <w:pPr>
        <w:pStyle w:val="Heading2"/>
      </w:pPr>
      <w:bookmarkStart w:id="12" w:name="_954wo5ic7lk3" w:colFirst="0" w:colLast="0"/>
      <w:bookmarkStart w:id="13" w:name="_Toc227851291"/>
      <w:bookmarkEnd w:id="12"/>
      <w:r>
        <w:t>2.5 Investment &amp; Market Ratios</w:t>
      </w:r>
      <w:bookmarkEnd w:id="13"/>
      <w:r>
        <w:t xml:space="preserve"> </w:t>
      </w:r>
    </w:p>
    <w:p w14:paraId="10BFEFF6" w14:textId="5392A579" w:rsidR="00A377B2" w:rsidRDefault="00A377B2" w:rsidP="00EF5DA0">
      <w:pPr>
        <w:spacing w:after="200"/>
        <w:jc w:val="center"/>
        <w:rPr>
          <w:b/>
          <w:bCs/>
          <w:szCs w:val="24"/>
        </w:rPr>
      </w:pPr>
      <w:r>
        <w:rPr>
          <w:noProof/>
          <w:lang w:val="en-IN" w:eastAsia="en-IN"/>
        </w:rPr>
        <w:drawing>
          <wp:inline distT="0" distB="0" distL="0" distR="0" wp14:anchorId="3BE2EB00" wp14:editId="05B50204">
            <wp:extent cx="4951186" cy="2824480"/>
            <wp:effectExtent l="0" t="0" r="0" b="0"/>
            <wp:docPr id="12" name="Chart 12">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4A14A5" w14:textId="77777777" w:rsidR="00EF5DA0" w:rsidRDefault="00EF5DA0" w:rsidP="00EF5DA0">
      <w:pPr>
        <w:spacing w:after="200"/>
        <w:jc w:val="center"/>
        <w:rPr>
          <w:b/>
          <w:bCs/>
          <w:szCs w:val="24"/>
        </w:rPr>
      </w:pPr>
      <w:r>
        <w:rPr>
          <w:b/>
          <w:bCs/>
          <w:szCs w:val="24"/>
        </w:rPr>
        <w:t>Figure 5: Visualization of market ratio across five years</w:t>
      </w:r>
    </w:p>
    <w:p w14:paraId="3306AC66" w14:textId="77777777" w:rsidR="00EF5DA0" w:rsidRDefault="00EF5DA0" w:rsidP="00EF5DA0">
      <w:pPr>
        <w:spacing w:after="200"/>
        <w:jc w:val="center"/>
        <w:rPr>
          <w:szCs w:val="24"/>
        </w:rPr>
      </w:pPr>
      <w:r>
        <w:rPr>
          <w:szCs w:val="24"/>
        </w:rPr>
        <w:lastRenderedPageBreak/>
        <w:t>(Source: Volkswagen, 2025; Yahoo Finance, 2025; Volkswagen, 2023; Volkswagen Group, 2022)</w:t>
      </w:r>
    </w:p>
    <w:p w14:paraId="22109036" w14:textId="77777777" w:rsidR="00EF5DA0" w:rsidRDefault="00EF5DA0" w:rsidP="00EF5DA0">
      <w:pPr>
        <w:spacing w:before="240" w:after="240"/>
        <w:rPr>
          <w:szCs w:val="24"/>
        </w:rPr>
      </w:pPr>
      <w:r>
        <w:rPr>
          <w:szCs w:val="24"/>
        </w:rPr>
        <w:t>Both investment and performance of the market of Volkswagen AG are mixed indicators between 2021 and 2025. The earnings per share (EPS) decreased drastically to 14.61 in 2025 relative to 38.45 in 2021, which shows a considerable decline in the shareholder returns. Conversely, the price to earnings (P/E) ratio was more somber as it rose by 2.7 to 12.12 in the same time. This implies that investors will sacrifice the falling profitability to be prepared to spend more on one unit of earnings. Simultaneously, book value per share was going upward and upward, and this is an indication of an increase in the net asset base of the company.</w:t>
      </w:r>
    </w:p>
    <w:p w14:paraId="70792235" w14:textId="77777777" w:rsidR="00EF5DA0" w:rsidRDefault="00EF5DA0" w:rsidP="00EF5DA0">
      <w:pPr>
        <w:spacing w:before="240" w:after="240"/>
        <w:rPr>
          <w:szCs w:val="24"/>
        </w:rPr>
      </w:pPr>
      <w:r>
        <w:rPr>
          <w:szCs w:val="24"/>
        </w:rPr>
        <w:t>This tendency can be attributed to the fact that market expectations about the future of Volkswagen in the electric vehicle market are high. Investors could be positive regarding the long-term growth, in particular in EV technology and sustainability. The IEA (2023) continues to claim that the EV market is projected to grow at a rate that could impact investor sentiment.</w:t>
      </w:r>
    </w:p>
    <w:p w14:paraId="72224D1A" w14:textId="77777777" w:rsidR="00EF5DA0" w:rsidRDefault="00EF5DA0" w:rsidP="00EF5DA0">
      <w:pPr>
        <w:spacing w:before="240" w:after="240"/>
        <w:rPr>
          <w:szCs w:val="24"/>
        </w:rPr>
      </w:pPr>
      <w:r>
        <w:rPr>
          <w:szCs w:val="24"/>
        </w:rPr>
        <w:t>Nonetheless, critically speaking, this raises a concern. The increase in P/E, even though the EPS is decreasing, also shows that there is a potential risk of overvaluation. The current financial performance and the market expectations are widely different.</w:t>
      </w:r>
    </w:p>
    <w:p w14:paraId="28F4D668" w14:textId="77777777" w:rsidR="00EF5DA0" w:rsidRDefault="00EF5DA0" w:rsidP="00EF5DA0">
      <w:pPr>
        <w:pStyle w:val="Heading2"/>
      </w:pPr>
      <w:bookmarkStart w:id="14" w:name="_j8ll2gg0uz5b" w:colFirst="0" w:colLast="0"/>
      <w:bookmarkStart w:id="15" w:name="_Toc227851292"/>
      <w:bookmarkEnd w:id="14"/>
      <w:r>
        <w:t>2.6 Overall Financial Diagnosis</w:t>
      </w:r>
      <w:bookmarkEnd w:id="15"/>
      <w:r>
        <w:t xml:space="preserve"> </w:t>
      </w:r>
    </w:p>
    <w:p w14:paraId="53D22647" w14:textId="77777777" w:rsidR="00EF5DA0" w:rsidRDefault="00EF5DA0" w:rsidP="00EF5DA0">
      <w:pPr>
        <w:spacing w:before="240" w:after="240"/>
        <w:rPr>
          <w:szCs w:val="24"/>
        </w:rPr>
      </w:pPr>
      <w:r>
        <w:rPr>
          <w:szCs w:val="24"/>
        </w:rPr>
        <w:t>Over the five years, the overall financial position of Volkswagen AG portrays a concerning mix but a picture. The financial problem that is the greatest factor of unfavorable performance is the reduced profitability. The liquidity is currently manageable but slowly declining, showing increasing short-term pressure. This has raised performance by a few notches, particularly in managing inventory, but the effects are minimal. Simultaneously, the capital structure is now stronger as a result of a decrease in leverage. Although these have been improved, there is increased pressure due to the increasing expectations in the market. From a basic point of view, Volkswagen is experiencing a financially strained situation of profit motive regardless of its improved efficiency and financial organization.</w:t>
      </w:r>
    </w:p>
    <w:p w14:paraId="40134B1C" w14:textId="77777777" w:rsidR="00EF5DA0" w:rsidRDefault="00EF5DA0" w:rsidP="00EF5DA0">
      <w:pPr>
        <w:pStyle w:val="Heading1"/>
        <w:spacing w:before="240" w:after="240"/>
      </w:pPr>
      <w:bookmarkStart w:id="16" w:name="_q95e7jfob620" w:colFirst="0" w:colLast="0"/>
      <w:bookmarkStart w:id="17" w:name="_Toc227851293"/>
      <w:bookmarkEnd w:id="16"/>
      <w:r>
        <w:lastRenderedPageBreak/>
        <w:t>3. Working Capital Management Analysis</w:t>
      </w:r>
      <w:bookmarkEnd w:id="17"/>
    </w:p>
    <w:p w14:paraId="3F35386E" w14:textId="77777777" w:rsidR="00EF5DA0" w:rsidRDefault="00EF5DA0" w:rsidP="00EF5DA0">
      <w:pPr>
        <w:pStyle w:val="Heading2"/>
        <w:spacing w:before="240" w:after="240"/>
      </w:pPr>
      <w:bookmarkStart w:id="18" w:name="_lgod0b4vbuvo" w:colFirst="0" w:colLast="0"/>
      <w:bookmarkStart w:id="19" w:name="_Toc227851294"/>
      <w:bookmarkEnd w:id="18"/>
      <w:r>
        <w:t>3.1 Cash Conversion Cycle Analysis</w:t>
      </w:r>
      <w:bookmarkEnd w:id="19"/>
      <w:r>
        <w:t xml:space="preserve"> </w:t>
      </w:r>
    </w:p>
    <w:p w14:paraId="0C1B0FEC" w14:textId="1C11F7D1" w:rsidR="00A377B2" w:rsidRDefault="00A377B2" w:rsidP="00EF5DA0">
      <w:pPr>
        <w:spacing w:after="200"/>
        <w:jc w:val="center"/>
        <w:rPr>
          <w:b/>
          <w:bCs/>
          <w:szCs w:val="24"/>
        </w:rPr>
      </w:pPr>
      <w:r>
        <w:rPr>
          <w:noProof/>
          <w:lang w:val="en-IN" w:eastAsia="en-IN"/>
        </w:rPr>
        <w:drawing>
          <wp:inline distT="0" distB="0" distL="0" distR="0" wp14:anchorId="785CDFF1" wp14:editId="66085CDF">
            <wp:extent cx="5521655" cy="3787775"/>
            <wp:effectExtent l="0" t="0" r="0" b="0"/>
            <wp:docPr id="13" name="Chart 13">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7C2A3D5" w14:textId="77777777" w:rsidR="00EF5DA0" w:rsidRDefault="00EF5DA0" w:rsidP="00EF5DA0">
      <w:pPr>
        <w:spacing w:after="200"/>
        <w:jc w:val="center"/>
        <w:rPr>
          <w:b/>
          <w:bCs/>
          <w:szCs w:val="24"/>
        </w:rPr>
      </w:pPr>
      <w:r>
        <w:rPr>
          <w:b/>
          <w:bCs/>
          <w:szCs w:val="24"/>
        </w:rPr>
        <w:t>Figure 6: Visualization of CCC across five years</w:t>
      </w:r>
    </w:p>
    <w:p w14:paraId="01141459" w14:textId="77777777" w:rsidR="00EF5DA0" w:rsidRDefault="00EF5DA0" w:rsidP="00EF5DA0">
      <w:pPr>
        <w:spacing w:after="200"/>
        <w:jc w:val="center"/>
        <w:rPr>
          <w:szCs w:val="24"/>
        </w:rPr>
      </w:pPr>
      <w:r>
        <w:rPr>
          <w:szCs w:val="24"/>
        </w:rPr>
        <w:t>(Source: Volkswagen, 2025; Yahoo Finance, 2025; Volkswagen, 2023; Volkswagen Group, 2022)</w:t>
      </w:r>
    </w:p>
    <w:p w14:paraId="7A5D5872" w14:textId="77777777" w:rsidR="00EF5DA0" w:rsidRDefault="00EF5DA0" w:rsidP="00EF5DA0">
      <w:pPr>
        <w:spacing w:before="240" w:after="240"/>
        <w:rPr>
          <w:szCs w:val="24"/>
        </w:rPr>
      </w:pPr>
      <w:r>
        <w:rPr>
          <w:szCs w:val="24"/>
        </w:rPr>
        <w:t>The five-year cash conversion cycle (CCC) at Volkswagen AG has improved between FY2021 to FY2025. The CCC decreased from 213 days in 2021 to 120 days in 2025. This implies that the company is spending less time transforming its investments in its ingredients as well as other resources into cash flows. A shorter cash cycle is usually good as it enhances more liquidity and decreases external financing requirements.</w:t>
      </w:r>
    </w:p>
    <w:p w14:paraId="6A16FD81" w14:textId="77777777" w:rsidR="00EF5DA0" w:rsidRDefault="00EF5DA0" w:rsidP="00EF5DA0">
      <w:pPr>
        <w:spacing w:before="240" w:after="240"/>
        <w:rPr>
          <w:szCs w:val="24"/>
        </w:rPr>
      </w:pPr>
      <w:r>
        <w:rPr>
          <w:szCs w:val="24"/>
        </w:rPr>
        <w:t xml:space="preserve">This trend can be further broken down. The days of inventory have decreased dramatically, compared to 414 days in 2021, and reaching its highest point in 2022, 464 days of inventory. This indicates that Volkswagen has now optimized its inventory and is </w:t>
      </w:r>
      <w:r>
        <w:rPr>
          <w:szCs w:val="24"/>
        </w:rPr>
        <w:lastRenderedPageBreak/>
        <w:t>minimizing surplus inventory over the years. There was no major variation in the receivables days that did not exceed 23-25 days, which represents effective control of the credit. But the number of payables days dropped to 139 days in 2025 as compared to 224 days in 2021. The company is paying suppliers at a faster rate, and less trade credit is being used to finance the company.</w:t>
      </w:r>
    </w:p>
    <w:p w14:paraId="0F083F6B" w14:textId="696054E9" w:rsidR="00EF5DA0" w:rsidRDefault="00EF5DA0" w:rsidP="00EF5DA0">
      <w:pPr>
        <w:spacing w:before="240" w:after="240"/>
        <w:rPr>
          <w:szCs w:val="24"/>
        </w:rPr>
      </w:pPr>
      <w:r>
        <w:rPr>
          <w:szCs w:val="24"/>
        </w:rPr>
        <w:t xml:space="preserve">Interpretively, the shrinkage of CCC is more representative of improved efficiency in its operations and speedy cash recovery. Nevertheless, the cycle is still quite long (120 days), which puts into perspective the capital-intensive character of the automotive industry. Tébar-Rubio </w:t>
      </w:r>
      <w:r w:rsidR="000D1D54" w:rsidRPr="000D1D54">
        <w:rPr>
          <w:i/>
          <w:szCs w:val="24"/>
        </w:rPr>
        <w:t>et al.</w:t>
      </w:r>
      <w:r>
        <w:rPr>
          <w:szCs w:val="24"/>
        </w:rPr>
        <w:t xml:space="preserve"> (2022) state that automotive companies usually have a long cash cycle because of complex processes that are involved in production. In general, Volkswagen is a business model that is cash-heavy, although its cash cycle is improving.</w:t>
      </w:r>
    </w:p>
    <w:p w14:paraId="4A75A185" w14:textId="77777777" w:rsidR="00EF5DA0" w:rsidRDefault="00EF5DA0" w:rsidP="00EF5DA0">
      <w:pPr>
        <w:pStyle w:val="Heading2"/>
        <w:spacing w:before="240" w:after="240"/>
      </w:pPr>
      <w:bookmarkStart w:id="20" w:name="_5mnpm3zi2b4l" w:colFirst="0" w:colLast="0"/>
      <w:bookmarkStart w:id="21" w:name="_Toc227851295"/>
      <w:bookmarkEnd w:id="20"/>
      <w:r>
        <w:t>3.2 Key Issues Identification</w:t>
      </w:r>
      <w:bookmarkEnd w:id="21"/>
      <w:r>
        <w:t xml:space="preserve"> </w:t>
      </w:r>
    </w:p>
    <w:p w14:paraId="1DC24741" w14:textId="1BFAAEE8" w:rsidR="00EF5DA0" w:rsidRDefault="00EF5DA0" w:rsidP="00EF5DA0">
      <w:pPr>
        <w:spacing w:before="240" w:after="240"/>
        <w:rPr>
          <w:szCs w:val="24"/>
        </w:rPr>
      </w:pPr>
      <w:r>
        <w:rPr>
          <w:szCs w:val="24"/>
        </w:rPr>
        <w:t xml:space="preserve">Similar to the current working capital status of Volkswagen AG, there are some issues that may be noted. There is the issue of surplus inventory. Though inventory days have increased, they remain high because of the uncertainty in the demand for EVs. As an illustration, it is reported that certain EV models could experience slower sales in Europe in the period between 2023 and 2024, resulting in unsold inventory and production changes (IEA, 2024). On the other side, less supplier credit is also observed as a result of a decline in the payables days between 224 and 139. This implies that Volkswagen has been making payments to the suppliers at a quicker rate, thus minimizing temporary funding assistance. However, a vast sum of capital is held up in the operations, particularly in inventory and production. Fasano </w:t>
      </w:r>
      <w:r w:rsidR="000D1D54" w:rsidRPr="000D1D54">
        <w:rPr>
          <w:i/>
          <w:szCs w:val="24"/>
        </w:rPr>
        <w:t>et al.</w:t>
      </w:r>
      <w:r>
        <w:rPr>
          <w:szCs w:val="24"/>
        </w:rPr>
        <w:t xml:space="preserve"> (2023) assert that the automotive companies have demanding working capital due to their complicated supply chains. These problems augment financial strain and restrict liquidity adaptability.</w:t>
      </w:r>
    </w:p>
    <w:p w14:paraId="41345D95" w14:textId="77777777" w:rsidR="00EF5DA0" w:rsidRDefault="00EF5DA0" w:rsidP="00EF5DA0">
      <w:pPr>
        <w:pStyle w:val="Heading2"/>
        <w:spacing w:before="240" w:after="240"/>
      </w:pPr>
      <w:bookmarkStart w:id="22" w:name="_2xd91aetnh1" w:colFirst="0" w:colLast="0"/>
      <w:bookmarkStart w:id="23" w:name="_Toc227851296"/>
      <w:bookmarkEnd w:id="22"/>
      <w:r>
        <w:t>3.3 Strategic Recommendations</w:t>
      </w:r>
      <w:bookmarkEnd w:id="23"/>
      <w:r>
        <w:t xml:space="preserve"> </w:t>
      </w:r>
    </w:p>
    <w:p w14:paraId="10F6F639" w14:textId="77777777" w:rsidR="00EF5DA0" w:rsidRDefault="00EF5DA0" w:rsidP="00EF5DA0">
      <w:pPr>
        <w:spacing w:before="240" w:after="240"/>
        <w:rPr>
          <w:b/>
          <w:bCs/>
          <w:szCs w:val="24"/>
        </w:rPr>
      </w:pPr>
      <w:r>
        <w:rPr>
          <w:b/>
          <w:bCs/>
          <w:szCs w:val="24"/>
        </w:rPr>
        <w:t>Recommendation 1. Adopt Just-in-time (JIT) inventory systems to minimize excess inventory and carrying costs</w:t>
      </w:r>
    </w:p>
    <w:p w14:paraId="6D509B0E" w14:textId="669697E7" w:rsidR="00EF5DA0" w:rsidRDefault="00EF5DA0" w:rsidP="00EF5DA0">
      <w:pPr>
        <w:spacing w:before="240" w:after="240"/>
        <w:rPr>
          <w:szCs w:val="24"/>
        </w:rPr>
      </w:pPr>
      <w:r>
        <w:rPr>
          <w:szCs w:val="24"/>
        </w:rPr>
        <w:lastRenderedPageBreak/>
        <w:t xml:space="preserve">Volkswagen needs to consolidate its JIT inventory strategy to decrease excess inventory and enhance cash flow. There has been a reduction in inventory days, although the levels are still high. Misaligning production and the real-time demand can be prevented, meaning that the company can continue to produce without overproduction, particularly in the EV segment, which still has some ambiguity in terms of demand. Susanti </w:t>
      </w:r>
      <w:r w:rsidR="000D1D54" w:rsidRPr="000D1D54">
        <w:rPr>
          <w:i/>
          <w:szCs w:val="24"/>
        </w:rPr>
        <w:t>et al.</w:t>
      </w:r>
      <w:r>
        <w:rPr>
          <w:szCs w:val="24"/>
        </w:rPr>
        <w:t xml:space="preserve"> (2025) assert that JIT systems can assist companies in minimizing the cost of storage and enhancing their efficiency. Indicatively, JIT has helped Toyota to keep lean inventories. </w:t>
      </w:r>
    </w:p>
    <w:p w14:paraId="48596AB0" w14:textId="77777777" w:rsidR="00EF5DA0" w:rsidRDefault="00EF5DA0" w:rsidP="00EF5DA0">
      <w:pPr>
        <w:spacing w:before="240" w:after="240"/>
        <w:rPr>
          <w:b/>
          <w:bCs/>
          <w:szCs w:val="24"/>
        </w:rPr>
      </w:pPr>
      <w:r>
        <w:rPr>
          <w:b/>
          <w:bCs/>
          <w:szCs w:val="24"/>
        </w:rPr>
        <w:t>Recommendation 2. Restructure supplier contracts to enhance short-term liquidity</w:t>
      </w:r>
    </w:p>
    <w:p w14:paraId="295EAC7E" w14:textId="6A1A2A86" w:rsidR="00EF5DA0" w:rsidRDefault="00EF5DA0" w:rsidP="00EF5DA0">
      <w:pPr>
        <w:spacing w:before="240" w:after="240"/>
        <w:rPr>
          <w:szCs w:val="24"/>
        </w:rPr>
      </w:pPr>
      <w:r>
        <w:rPr>
          <w:szCs w:val="24"/>
        </w:rPr>
        <w:t xml:space="preserve">VW ought to renegotiate payment terms with the suppliers so as to raise payables days. The decrease in payables days (224-139) indicates less utilization of supplier credit, which strains cash flow. Lengthening payment terms is a way of financing short-term without accruing debt. Olaiya </w:t>
      </w:r>
      <w:r w:rsidR="000D1D54" w:rsidRPr="000D1D54">
        <w:rPr>
          <w:i/>
          <w:szCs w:val="24"/>
        </w:rPr>
        <w:t>et al.</w:t>
      </w:r>
      <w:r>
        <w:rPr>
          <w:szCs w:val="24"/>
        </w:rPr>
        <w:t xml:space="preserve"> (2024) indicated that one of the tools that would be effective in working capital is effective payables management. </w:t>
      </w:r>
    </w:p>
    <w:p w14:paraId="300C2D59" w14:textId="77777777" w:rsidR="00EF5DA0" w:rsidRDefault="00EF5DA0" w:rsidP="00EF5DA0">
      <w:pPr>
        <w:spacing w:before="240" w:after="240"/>
        <w:rPr>
          <w:b/>
          <w:bCs/>
          <w:szCs w:val="24"/>
        </w:rPr>
      </w:pPr>
      <w:r>
        <w:rPr>
          <w:b/>
          <w:bCs/>
          <w:szCs w:val="24"/>
        </w:rPr>
        <w:t>Recommendation 3. Employ digital supply chain systems and dynamic pricing to enhance efficiency and sales</w:t>
      </w:r>
    </w:p>
    <w:p w14:paraId="5E34856C" w14:textId="549B2F11" w:rsidR="00EF5DA0" w:rsidRDefault="00EF5DA0" w:rsidP="00EF5DA0">
      <w:pPr>
        <w:spacing w:before="240" w:after="240"/>
        <w:rPr>
          <w:szCs w:val="24"/>
        </w:rPr>
      </w:pPr>
      <w:r>
        <w:rPr>
          <w:szCs w:val="24"/>
        </w:rPr>
        <w:t xml:space="preserve">The company needs to have fluctuating pricing strategies whereby they clear off lagging inventory, particularly the EV segment. The change of price on the basis of demand will aid in accelerating sales and decreasing stocks. Moreover, the demand forecasting and coordination can be enhanced by investing in digital supply chain systems. Lundström </w:t>
      </w:r>
      <w:r w:rsidR="000D1D54" w:rsidRPr="000D1D54">
        <w:rPr>
          <w:i/>
          <w:szCs w:val="24"/>
        </w:rPr>
        <w:t>et al.</w:t>
      </w:r>
      <w:r>
        <w:rPr>
          <w:szCs w:val="24"/>
        </w:rPr>
        <w:t xml:space="preserve"> (2023) pinpoint the opportunities provided by digital tools as making supply chains more visible and minimising inefficiencies. Combined, the combination of these strategies have the potential to enhance the cash flow and operation.</w:t>
      </w:r>
    </w:p>
    <w:p w14:paraId="1FEF7520" w14:textId="77777777" w:rsidR="00EF5DA0" w:rsidRDefault="00EF5DA0" w:rsidP="00EF5DA0">
      <w:pPr>
        <w:pStyle w:val="Heading2"/>
        <w:spacing w:before="240" w:after="240"/>
      </w:pPr>
      <w:bookmarkStart w:id="24" w:name="_gok7kirpbiiy" w:colFirst="0" w:colLast="0"/>
      <w:bookmarkStart w:id="25" w:name="_Toc227851297"/>
      <w:bookmarkEnd w:id="24"/>
      <w:r>
        <w:t>3.4 Financing Strategy Comparison</w:t>
      </w:r>
      <w:bookmarkEnd w:id="25"/>
      <w:r>
        <w:t xml:space="preserve"> </w:t>
      </w:r>
    </w:p>
    <w:tbl>
      <w:tblPr>
        <w:tblStyle w:val="GridTable5Dark"/>
        <w:tblW w:w="0" w:type="auto"/>
        <w:jc w:val="center"/>
        <w:tblLook w:val="0600" w:firstRow="0" w:lastRow="0" w:firstColumn="0" w:lastColumn="0" w:noHBand="1" w:noVBand="1"/>
      </w:tblPr>
      <w:tblGrid>
        <w:gridCol w:w="2448"/>
        <w:gridCol w:w="3282"/>
        <w:gridCol w:w="3620"/>
      </w:tblGrid>
      <w:tr w:rsidR="00EF5DA0" w14:paraId="6CAA316A" w14:textId="77777777" w:rsidTr="00EF5DA0">
        <w:trPr>
          <w:trHeight w:val="515"/>
          <w:jc w:val="center"/>
        </w:trPr>
        <w:tc>
          <w:tcPr>
            <w:tcW w:w="0" w:type="auto"/>
          </w:tcPr>
          <w:p w14:paraId="406D0DE3" w14:textId="77777777" w:rsidR="00EF5DA0" w:rsidRDefault="00EF5DA0" w:rsidP="007979B1">
            <w:pPr>
              <w:jc w:val="center"/>
              <w:rPr>
                <w:szCs w:val="24"/>
              </w:rPr>
            </w:pPr>
            <w:r>
              <w:rPr>
                <w:b/>
                <w:bCs/>
                <w:szCs w:val="24"/>
              </w:rPr>
              <w:t>Aspect</w:t>
            </w:r>
          </w:p>
        </w:tc>
        <w:tc>
          <w:tcPr>
            <w:tcW w:w="0" w:type="auto"/>
          </w:tcPr>
          <w:p w14:paraId="32BA9F53" w14:textId="77777777" w:rsidR="00EF5DA0" w:rsidRDefault="00EF5DA0" w:rsidP="007979B1">
            <w:pPr>
              <w:jc w:val="center"/>
              <w:rPr>
                <w:szCs w:val="24"/>
              </w:rPr>
            </w:pPr>
            <w:r>
              <w:rPr>
                <w:b/>
                <w:bCs/>
                <w:szCs w:val="24"/>
              </w:rPr>
              <w:t>Short-Term Financing</w:t>
            </w:r>
          </w:p>
        </w:tc>
        <w:tc>
          <w:tcPr>
            <w:tcW w:w="0" w:type="auto"/>
          </w:tcPr>
          <w:p w14:paraId="3C7EEF2C" w14:textId="77777777" w:rsidR="00EF5DA0" w:rsidRDefault="00EF5DA0" w:rsidP="007979B1">
            <w:pPr>
              <w:jc w:val="center"/>
              <w:rPr>
                <w:szCs w:val="24"/>
              </w:rPr>
            </w:pPr>
            <w:r>
              <w:rPr>
                <w:b/>
                <w:bCs/>
                <w:szCs w:val="24"/>
              </w:rPr>
              <w:t>Long-Term Financing</w:t>
            </w:r>
          </w:p>
        </w:tc>
      </w:tr>
      <w:tr w:rsidR="00EF5DA0" w14:paraId="5E73E947" w14:textId="77777777" w:rsidTr="00EF5DA0">
        <w:trPr>
          <w:trHeight w:val="515"/>
          <w:jc w:val="center"/>
        </w:trPr>
        <w:tc>
          <w:tcPr>
            <w:tcW w:w="0" w:type="auto"/>
          </w:tcPr>
          <w:p w14:paraId="5836A5D2" w14:textId="77777777" w:rsidR="00EF5DA0" w:rsidRDefault="00EF5DA0" w:rsidP="007979B1">
            <w:pPr>
              <w:rPr>
                <w:szCs w:val="24"/>
              </w:rPr>
            </w:pPr>
            <w:r>
              <w:rPr>
                <w:szCs w:val="24"/>
              </w:rPr>
              <w:t>Main Sources</w:t>
            </w:r>
          </w:p>
        </w:tc>
        <w:tc>
          <w:tcPr>
            <w:tcW w:w="0" w:type="auto"/>
          </w:tcPr>
          <w:p w14:paraId="43843BEF" w14:textId="77777777" w:rsidR="00EF5DA0" w:rsidRDefault="00EF5DA0" w:rsidP="007979B1">
            <w:pPr>
              <w:rPr>
                <w:szCs w:val="24"/>
              </w:rPr>
            </w:pPr>
            <w:r>
              <w:rPr>
                <w:szCs w:val="24"/>
              </w:rPr>
              <w:t>Overdrafts, Trade Credit</w:t>
            </w:r>
          </w:p>
        </w:tc>
        <w:tc>
          <w:tcPr>
            <w:tcW w:w="0" w:type="auto"/>
          </w:tcPr>
          <w:p w14:paraId="42FC2713" w14:textId="77777777" w:rsidR="00EF5DA0" w:rsidRDefault="00EF5DA0" w:rsidP="007979B1">
            <w:pPr>
              <w:rPr>
                <w:szCs w:val="24"/>
              </w:rPr>
            </w:pPr>
            <w:r>
              <w:rPr>
                <w:szCs w:val="24"/>
              </w:rPr>
              <w:t>Bonds, Equity</w:t>
            </w:r>
          </w:p>
        </w:tc>
      </w:tr>
      <w:tr w:rsidR="00EF5DA0" w14:paraId="3EA557A4" w14:textId="77777777" w:rsidTr="00EF5DA0">
        <w:trPr>
          <w:trHeight w:val="515"/>
          <w:jc w:val="center"/>
        </w:trPr>
        <w:tc>
          <w:tcPr>
            <w:tcW w:w="0" w:type="auto"/>
          </w:tcPr>
          <w:p w14:paraId="1FC93FC8" w14:textId="77777777" w:rsidR="00EF5DA0" w:rsidRDefault="00EF5DA0" w:rsidP="007979B1">
            <w:pPr>
              <w:rPr>
                <w:szCs w:val="24"/>
              </w:rPr>
            </w:pPr>
            <w:r>
              <w:rPr>
                <w:szCs w:val="24"/>
              </w:rPr>
              <w:lastRenderedPageBreak/>
              <w:t>Purpose</w:t>
            </w:r>
          </w:p>
        </w:tc>
        <w:tc>
          <w:tcPr>
            <w:tcW w:w="0" w:type="auto"/>
          </w:tcPr>
          <w:p w14:paraId="06A0A038" w14:textId="77777777" w:rsidR="00EF5DA0" w:rsidRDefault="00EF5DA0" w:rsidP="007979B1">
            <w:pPr>
              <w:rPr>
                <w:szCs w:val="24"/>
              </w:rPr>
            </w:pPr>
            <w:r>
              <w:rPr>
                <w:szCs w:val="24"/>
              </w:rPr>
              <w:t>Day-to-day operations</w:t>
            </w:r>
          </w:p>
        </w:tc>
        <w:tc>
          <w:tcPr>
            <w:tcW w:w="0" w:type="auto"/>
          </w:tcPr>
          <w:p w14:paraId="5B2F3F89" w14:textId="77777777" w:rsidR="00EF5DA0" w:rsidRDefault="00EF5DA0" w:rsidP="007979B1">
            <w:pPr>
              <w:rPr>
                <w:szCs w:val="24"/>
              </w:rPr>
            </w:pPr>
            <w:r>
              <w:rPr>
                <w:szCs w:val="24"/>
              </w:rPr>
              <w:t>Strategic investments (EV, R&amp;D)</w:t>
            </w:r>
          </w:p>
        </w:tc>
      </w:tr>
      <w:tr w:rsidR="00EF5DA0" w14:paraId="58F1C5C8" w14:textId="77777777" w:rsidTr="00EF5DA0">
        <w:trPr>
          <w:trHeight w:val="515"/>
          <w:jc w:val="center"/>
        </w:trPr>
        <w:tc>
          <w:tcPr>
            <w:tcW w:w="0" w:type="auto"/>
          </w:tcPr>
          <w:p w14:paraId="6820057E" w14:textId="77777777" w:rsidR="00EF5DA0" w:rsidRDefault="00EF5DA0" w:rsidP="007979B1">
            <w:pPr>
              <w:rPr>
                <w:szCs w:val="24"/>
              </w:rPr>
            </w:pPr>
            <w:r>
              <w:rPr>
                <w:szCs w:val="24"/>
              </w:rPr>
              <w:t>Flexibility</w:t>
            </w:r>
          </w:p>
        </w:tc>
        <w:tc>
          <w:tcPr>
            <w:tcW w:w="0" w:type="auto"/>
          </w:tcPr>
          <w:p w14:paraId="2F7FA797" w14:textId="77777777" w:rsidR="00EF5DA0" w:rsidRDefault="00EF5DA0" w:rsidP="007979B1">
            <w:pPr>
              <w:rPr>
                <w:szCs w:val="24"/>
              </w:rPr>
            </w:pPr>
            <w:r>
              <w:rPr>
                <w:szCs w:val="24"/>
              </w:rPr>
              <w:t>High (quick access)</w:t>
            </w:r>
          </w:p>
        </w:tc>
        <w:tc>
          <w:tcPr>
            <w:tcW w:w="0" w:type="auto"/>
          </w:tcPr>
          <w:p w14:paraId="4F4D0626" w14:textId="77777777" w:rsidR="00EF5DA0" w:rsidRDefault="00EF5DA0" w:rsidP="007979B1">
            <w:pPr>
              <w:rPr>
                <w:szCs w:val="24"/>
              </w:rPr>
            </w:pPr>
            <w:r>
              <w:rPr>
                <w:szCs w:val="24"/>
              </w:rPr>
              <w:t>Low to moderate</w:t>
            </w:r>
          </w:p>
        </w:tc>
      </w:tr>
      <w:tr w:rsidR="00EF5DA0" w14:paraId="30468B2F" w14:textId="77777777" w:rsidTr="00EF5DA0">
        <w:trPr>
          <w:trHeight w:val="515"/>
          <w:jc w:val="center"/>
        </w:trPr>
        <w:tc>
          <w:tcPr>
            <w:tcW w:w="0" w:type="auto"/>
          </w:tcPr>
          <w:p w14:paraId="4E3D6BA9" w14:textId="77777777" w:rsidR="00EF5DA0" w:rsidRDefault="00EF5DA0" w:rsidP="007979B1">
            <w:pPr>
              <w:rPr>
                <w:szCs w:val="24"/>
              </w:rPr>
            </w:pPr>
            <w:r>
              <w:rPr>
                <w:szCs w:val="24"/>
              </w:rPr>
              <w:t>Cost</w:t>
            </w:r>
          </w:p>
        </w:tc>
        <w:tc>
          <w:tcPr>
            <w:tcW w:w="0" w:type="auto"/>
          </w:tcPr>
          <w:p w14:paraId="255822B7" w14:textId="77777777" w:rsidR="00EF5DA0" w:rsidRDefault="00EF5DA0" w:rsidP="007979B1">
            <w:pPr>
              <w:rPr>
                <w:szCs w:val="24"/>
              </w:rPr>
            </w:pPr>
            <w:r>
              <w:rPr>
                <w:szCs w:val="24"/>
              </w:rPr>
              <w:t>Higher (interest, renewal risk)</w:t>
            </w:r>
          </w:p>
        </w:tc>
        <w:tc>
          <w:tcPr>
            <w:tcW w:w="0" w:type="auto"/>
          </w:tcPr>
          <w:p w14:paraId="413884AC" w14:textId="77777777" w:rsidR="00EF5DA0" w:rsidRDefault="00EF5DA0" w:rsidP="007979B1">
            <w:pPr>
              <w:rPr>
                <w:szCs w:val="24"/>
              </w:rPr>
            </w:pPr>
            <w:r>
              <w:rPr>
                <w:szCs w:val="24"/>
              </w:rPr>
              <w:t>Lower over time</w:t>
            </w:r>
          </w:p>
        </w:tc>
      </w:tr>
      <w:tr w:rsidR="00EF5DA0" w14:paraId="42DA2871" w14:textId="77777777" w:rsidTr="00EF5DA0">
        <w:trPr>
          <w:trHeight w:val="515"/>
          <w:jc w:val="center"/>
        </w:trPr>
        <w:tc>
          <w:tcPr>
            <w:tcW w:w="0" w:type="auto"/>
          </w:tcPr>
          <w:p w14:paraId="1D56559B" w14:textId="77777777" w:rsidR="00EF5DA0" w:rsidRDefault="00EF5DA0" w:rsidP="007979B1">
            <w:pPr>
              <w:rPr>
                <w:szCs w:val="24"/>
              </w:rPr>
            </w:pPr>
            <w:r>
              <w:rPr>
                <w:szCs w:val="24"/>
              </w:rPr>
              <w:t>Risk Level</w:t>
            </w:r>
          </w:p>
        </w:tc>
        <w:tc>
          <w:tcPr>
            <w:tcW w:w="0" w:type="auto"/>
          </w:tcPr>
          <w:p w14:paraId="141ED262" w14:textId="77777777" w:rsidR="00EF5DA0" w:rsidRDefault="00EF5DA0" w:rsidP="007979B1">
            <w:pPr>
              <w:rPr>
                <w:szCs w:val="24"/>
              </w:rPr>
            </w:pPr>
            <w:r>
              <w:rPr>
                <w:szCs w:val="24"/>
              </w:rPr>
              <w:t>Higher liquidity risk</w:t>
            </w:r>
          </w:p>
        </w:tc>
        <w:tc>
          <w:tcPr>
            <w:tcW w:w="0" w:type="auto"/>
          </w:tcPr>
          <w:p w14:paraId="7D79C07B" w14:textId="77777777" w:rsidR="00EF5DA0" w:rsidRDefault="00EF5DA0" w:rsidP="007979B1">
            <w:pPr>
              <w:rPr>
                <w:szCs w:val="24"/>
              </w:rPr>
            </w:pPr>
            <w:r>
              <w:rPr>
                <w:szCs w:val="24"/>
              </w:rPr>
              <w:t>Lower financial risk</w:t>
            </w:r>
          </w:p>
        </w:tc>
      </w:tr>
      <w:tr w:rsidR="00EF5DA0" w14:paraId="5C75E17D" w14:textId="77777777" w:rsidTr="00EF5DA0">
        <w:trPr>
          <w:trHeight w:val="515"/>
          <w:jc w:val="center"/>
        </w:trPr>
        <w:tc>
          <w:tcPr>
            <w:tcW w:w="0" w:type="auto"/>
          </w:tcPr>
          <w:p w14:paraId="464E5755" w14:textId="77777777" w:rsidR="00EF5DA0" w:rsidRDefault="00EF5DA0" w:rsidP="007979B1">
            <w:pPr>
              <w:rPr>
                <w:szCs w:val="24"/>
              </w:rPr>
            </w:pPr>
            <w:r>
              <w:rPr>
                <w:szCs w:val="24"/>
              </w:rPr>
              <w:t>Repayment Period</w:t>
            </w:r>
          </w:p>
        </w:tc>
        <w:tc>
          <w:tcPr>
            <w:tcW w:w="0" w:type="auto"/>
          </w:tcPr>
          <w:p w14:paraId="46794161" w14:textId="77777777" w:rsidR="00EF5DA0" w:rsidRDefault="00EF5DA0" w:rsidP="007979B1">
            <w:pPr>
              <w:rPr>
                <w:szCs w:val="24"/>
              </w:rPr>
            </w:pPr>
            <w:r>
              <w:rPr>
                <w:szCs w:val="24"/>
              </w:rPr>
              <w:t>Short-term</w:t>
            </w:r>
          </w:p>
        </w:tc>
        <w:tc>
          <w:tcPr>
            <w:tcW w:w="0" w:type="auto"/>
          </w:tcPr>
          <w:p w14:paraId="34CDF67D" w14:textId="77777777" w:rsidR="00EF5DA0" w:rsidRDefault="00EF5DA0" w:rsidP="007979B1">
            <w:pPr>
              <w:rPr>
                <w:szCs w:val="24"/>
              </w:rPr>
            </w:pPr>
            <w:r>
              <w:rPr>
                <w:szCs w:val="24"/>
              </w:rPr>
              <w:t>Long-term</w:t>
            </w:r>
          </w:p>
        </w:tc>
      </w:tr>
      <w:tr w:rsidR="00EF5DA0" w14:paraId="7697437E" w14:textId="77777777" w:rsidTr="00EF5DA0">
        <w:trPr>
          <w:trHeight w:val="515"/>
          <w:jc w:val="center"/>
        </w:trPr>
        <w:tc>
          <w:tcPr>
            <w:tcW w:w="0" w:type="auto"/>
          </w:tcPr>
          <w:p w14:paraId="31586E93" w14:textId="77777777" w:rsidR="00EF5DA0" w:rsidRDefault="00EF5DA0" w:rsidP="007979B1">
            <w:pPr>
              <w:rPr>
                <w:szCs w:val="24"/>
              </w:rPr>
            </w:pPr>
            <w:r>
              <w:rPr>
                <w:szCs w:val="24"/>
              </w:rPr>
              <w:t>Impact on Ownership</w:t>
            </w:r>
          </w:p>
        </w:tc>
        <w:tc>
          <w:tcPr>
            <w:tcW w:w="0" w:type="auto"/>
          </w:tcPr>
          <w:p w14:paraId="2896C20A" w14:textId="77777777" w:rsidR="00EF5DA0" w:rsidRDefault="00EF5DA0" w:rsidP="007979B1">
            <w:pPr>
              <w:rPr>
                <w:szCs w:val="24"/>
              </w:rPr>
            </w:pPr>
            <w:r>
              <w:rPr>
                <w:szCs w:val="24"/>
              </w:rPr>
              <w:t>No dilution</w:t>
            </w:r>
          </w:p>
        </w:tc>
        <w:tc>
          <w:tcPr>
            <w:tcW w:w="0" w:type="auto"/>
          </w:tcPr>
          <w:p w14:paraId="3A9EBBCC" w14:textId="77777777" w:rsidR="00EF5DA0" w:rsidRDefault="00EF5DA0" w:rsidP="007979B1">
            <w:pPr>
              <w:rPr>
                <w:szCs w:val="24"/>
              </w:rPr>
            </w:pPr>
            <w:r>
              <w:rPr>
                <w:szCs w:val="24"/>
              </w:rPr>
              <w:t>Equity may dilute control</w:t>
            </w:r>
          </w:p>
        </w:tc>
      </w:tr>
      <w:tr w:rsidR="00EF5DA0" w14:paraId="4AFC6B7B" w14:textId="77777777" w:rsidTr="00EF5DA0">
        <w:trPr>
          <w:trHeight w:val="515"/>
          <w:jc w:val="center"/>
        </w:trPr>
        <w:tc>
          <w:tcPr>
            <w:tcW w:w="0" w:type="auto"/>
          </w:tcPr>
          <w:p w14:paraId="2405366E" w14:textId="77777777" w:rsidR="00EF5DA0" w:rsidRDefault="00EF5DA0" w:rsidP="007979B1">
            <w:pPr>
              <w:rPr>
                <w:szCs w:val="24"/>
              </w:rPr>
            </w:pPr>
            <w:r>
              <w:rPr>
                <w:szCs w:val="24"/>
              </w:rPr>
              <w:t>Financial Stability</w:t>
            </w:r>
          </w:p>
        </w:tc>
        <w:tc>
          <w:tcPr>
            <w:tcW w:w="0" w:type="auto"/>
          </w:tcPr>
          <w:p w14:paraId="7705E4F6" w14:textId="77777777" w:rsidR="00EF5DA0" w:rsidRDefault="00EF5DA0" w:rsidP="007979B1">
            <w:pPr>
              <w:rPr>
                <w:szCs w:val="24"/>
              </w:rPr>
            </w:pPr>
            <w:r>
              <w:rPr>
                <w:szCs w:val="24"/>
              </w:rPr>
              <w:t>Temporary support</w:t>
            </w:r>
          </w:p>
        </w:tc>
        <w:tc>
          <w:tcPr>
            <w:tcW w:w="0" w:type="auto"/>
          </w:tcPr>
          <w:p w14:paraId="382DAAC0" w14:textId="77777777" w:rsidR="00EF5DA0" w:rsidRDefault="00EF5DA0" w:rsidP="007979B1">
            <w:pPr>
              <w:rPr>
                <w:szCs w:val="24"/>
              </w:rPr>
            </w:pPr>
            <w:r>
              <w:rPr>
                <w:szCs w:val="24"/>
              </w:rPr>
              <w:t>Long-term stability</w:t>
            </w:r>
          </w:p>
        </w:tc>
      </w:tr>
    </w:tbl>
    <w:p w14:paraId="50B41E75" w14:textId="44EFACCA" w:rsidR="00EF5DA0" w:rsidRDefault="00EF5DA0" w:rsidP="00EF5DA0">
      <w:pPr>
        <w:spacing w:before="240" w:after="240"/>
        <w:jc w:val="center"/>
        <w:rPr>
          <w:b/>
          <w:bCs/>
          <w:szCs w:val="24"/>
        </w:rPr>
      </w:pPr>
      <w:r>
        <w:rPr>
          <w:b/>
          <w:bCs/>
          <w:szCs w:val="24"/>
        </w:rPr>
        <w:t>Table</w:t>
      </w:r>
      <w:r w:rsidR="00AF04D6">
        <w:rPr>
          <w:b/>
          <w:bCs/>
          <w:szCs w:val="24"/>
        </w:rPr>
        <w:t xml:space="preserve"> 1</w:t>
      </w:r>
      <w:r>
        <w:rPr>
          <w:b/>
          <w:bCs/>
          <w:szCs w:val="24"/>
        </w:rPr>
        <w:t xml:space="preserve">: Comparison of financing strategy </w:t>
      </w:r>
    </w:p>
    <w:p w14:paraId="29014100" w14:textId="77777777" w:rsidR="00EF5DA0" w:rsidRDefault="00EF5DA0" w:rsidP="00EF5DA0">
      <w:pPr>
        <w:spacing w:before="240" w:after="240"/>
        <w:rPr>
          <w:szCs w:val="24"/>
        </w:rPr>
      </w:pPr>
      <w:r>
        <w:rPr>
          <w:szCs w:val="24"/>
        </w:rPr>
        <w:t>Short-term sources of finance, like trade credit and overdraft, can be used to give an immediate source of liquidity support to Volkswagen AG. These are flexible sources and can be used to run the daily operations of the business, mostly in a business whose cash conversion cycle is long (Gandhi, 2025). It tends to be more costly as they have higher interest rates with frequent refinancing requirements. Over-reliance on short-term finance can also enhance liquidity risks. On the contrary, long-term financing methods like bonds and equity are more consistent financing. According to Guedes and Pinto (2023), the company is able to obtain substantial sums of money at fairly predictable costs through bonds, whereas equity minimizes financial risk by reducing the obligation of debt. Yet, these variants are more complicated with time to organize and can dilute ownership in case of equity.</w:t>
      </w:r>
    </w:p>
    <w:p w14:paraId="30277651" w14:textId="77777777" w:rsidR="00EF5DA0" w:rsidRDefault="00EF5DA0" w:rsidP="00EF5DA0">
      <w:pPr>
        <w:spacing w:before="240" w:after="240"/>
        <w:rPr>
          <w:szCs w:val="24"/>
        </w:rPr>
      </w:pPr>
      <w:r>
        <w:rPr>
          <w:szCs w:val="24"/>
        </w:rPr>
        <w:t>Critically, neither of the above is enough. Short-term finance capital is used to bring flexibility in operations, and long-term capital is used to bring stability in strategic operations. Thus, a balanced approach to financing that uses both methods is implemented by Volkswagen to enable effective management of liquidity.</w:t>
      </w:r>
    </w:p>
    <w:p w14:paraId="74F2C8AE" w14:textId="77777777" w:rsidR="00EF5DA0" w:rsidRDefault="00EF5DA0" w:rsidP="00EF5DA0">
      <w:pPr>
        <w:pStyle w:val="Heading1"/>
        <w:spacing w:before="240" w:after="240"/>
      </w:pPr>
      <w:bookmarkStart w:id="26" w:name="_f7098o8indff" w:colFirst="0" w:colLast="0"/>
      <w:bookmarkStart w:id="27" w:name="_Toc227851298"/>
      <w:bookmarkEnd w:id="26"/>
      <w:r>
        <w:lastRenderedPageBreak/>
        <w:t>4. Strategic Financial Restructuring Plan</w:t>
      </w:r>
      <w:bookmarkEnd w:id="27"/>
    </w:p>
    <w:p w14:paraId="2109B173" w14:textId="77777777" w:rsidR="00EF5DA0" w:rsidRDefault="00EF5DA0" w:rsidP="00EF5DA0">
      <w:pPr>
        <w:pStyle w:val="Heading2"/>
        <w:spacing w:after="80"/>
      </w:pPr>
      <w:bookmarkStart w:id="28" w:name="_s7p5jhdn8iwl" w:colFirst="0" w:colLast="0"/>
      <w:bookmarkStart w:id="29" w:name="_Toc227851299"/>
      <w:bookmarkEnd w:id="28"/>
      <w:r>
        <w:t>4.1 Identified Strategic Problems</w:t>
      </w:r>
      <w:bookmarkEnd w:id="29"/>
    </w:p>
    <w:p w14:paraId="0BE95489" w14:textId="77777777" w:rsidR="00EF5DA0" w:rsidRDefault="00EF5DA0" w:rsidP="00EF5DA0">
      <w:pPr>
        <w:spacing w:before="240" w:after="240"/>
        <w:rPr>
          <w:szCs w:val="24"/>
        </w:rPr>
      </w:pPr>
      <w:r>
        <w:rPr>
          <w:szCs w:val="24"/>
        </w:rPr>
        <w:t xml:space="preserve">The financial analysis of Volkswagen AG also indicates that there are some vital strategic issues. The falling profitability is the most crucial problem. Net profit margin decreased according to a five year trend of 8% to 2%, whereas the operating margin decreased by 6 percent to 3 percent (Volkswagen, 2025). This indicates that the firm is experiencing a difficult time of keeping earnings amid high revenues. The high cost of switching to electric vehicles is among the factors that have led to this decline. </w:t>
      </w:r>
    </w:p>
    <w:p w14:paraId="115CB163" w14:textId="77777777" w:rsidR="00EF5DA0" w:rsidRDefault="00EF5DA0" w:rsidP="00EF5DA0">
      <w:pPr>
        <w:spacing w:before="240" w:after="240"/>
        <w:rPr>
          <w:szCs w:val="24"/>
        </w:rPr>
      </w:pPr>
      <w:r>
        <w:rPr>
          <w:szCs w:val="24"/>
        </w:rPr>
        <w:t>Meanwhile, the competition is high in the company. Tesla, Inc. and BYD Company are among the firms that are increasingly competing by providing low prices and expedited innovations in the EV market. This culminates in Volkswagen having to lower prices, which further pinches down margins. The McKinsey &amp; Company report (2024) lists price competition and increased input costs as the main issues of the EV industry. The fall in profitability, transition costs, and rising rivalry are posing a big financial stress on Volkswagen.</w:t>
      </w:r>
    </w:p>
    <w:p w14:paraId="2C0DDD7C" w14:textId="77777777" w:rsidR="00EF5DA0" w:rsidRDefault="00EF5DA0" w:rsidP="00EF5DA0">
      <w:pPr>
        <w:pStyle w:val="Heading2"/>
        <w:spacing w:before="240" w:after="240"/>
      </w:pPr>
      <w:bookmarkStart w:id="30" w:name="_p43v64837goc" w:colFirst="0" w:colLast="0"/>
      <w:bookmarkStart w:id="31" w:name="_Toc227851300"/>
      <w:bookmarkEnd w:id="30"/>
      <w:r>
        <w:t>4.2 Recommended Strategies</w:t>
      </w:r>
      <w:bookmarkEnd w:id="31"/>
    </w:p>
    <w:p w14:paraId="2AF6B291" w14:textId="77777777" w:rsidR="00EF5DA0" w:rsidRDefault="00EF5DA0" w:rsidP="00EF5DA0">
      <w:pPr>
        <w:spacing w:before="240" w:after="240"/>
        <w:rPr>
          <w:b/>
          <w:bCs/>
          <w:szCs w:val="24"/>
        </w:rPr>
      </w:pPr>
      <w:r>
        <w:rPr>
          <w:b/>
          <w:bCs/>
          <w:szCs w:val="24"/>
        </w:rPr>
        <w:t>Recommended strategy 1. The underperforming brands should be divested through portfolio restructuring and enhanced financial focus</w:t>
      </w:r>
    </w:p>
    <w:p w14:paraId="552D3A51" w14:textId="77777777" w:rsidR="00EF5DA0" w:rsidRDefault="00EF5DA0" w:rsidP="00EF5DA0">
      <w:pPr>
        <w:spacing w:before="240" w:after="240"/>
        <w:rPr>
          <w:szCs w:val="24"/>
        </w:rPr>
      </w:pPr>
      <w:r>
        <w:rPr>
          <w:szCs w:val="24"/>
        </w:rPr>
        <w:t>Volkswagen operates numerous brands, although they do not perform equally. Marketing or merging underperforming brands would make business easier and release capital. One such move is the partial listing of Porsche. According to Umar (2023), restructuring portfolios can assist firms in concentrating on their areas of strength and enhancing efficiency. This strategy can increase profit margins and enable Volkswagen to invest more efforts in its electric transition.</w:t>
      </w:r>
    </w:p>
    <w:p w14:paraId="432326DE" w14:textId="77777777" w:rsidR="00EF5DA0" w:rsidRDefault="00EF5DA0" w:rsidP="00EF5DA0">
      <w:pPr>
        <w:spacing w:before="240" w:after="240"/>
        <w:rPr>
          <w:b/>
          <w:bCs/>
          <w:szCs w:val="24"/>
        </w:rPr>
      </w:pPr>
      <w:r>
        <w:rPr>
          <w:b/>
          <w:bCs/>
          <w:szCs w:val="24"/>
        </w:rPr>
        <w:t>Recommended strategy 2. Investment in EV-related sectors to ensure long-term benefit</w:t>
      </w:r>
    </w:p>
    <w:p w14:paraId="3696ECA3" w14:textId="49B05BFC" w:rsidR="00EF5DA0" w:rsidRDefault="00EF5DA0" w:rsidP="00EF5DA0">
      <w:pPr>
        <w:spacing w:before="240" w:after="240"/>
        <w:rPr>
          <w:szCs w:val="24"/>
        </w:rPr>
      </w:pPr>
      <w:r>
        <w:rPr>
          <w:szCs w:val="24"/>
        </w:rPr>
        <w:lastRenderedPageBreak/>
        <w:t xml:space="preserve">Further investment in EVs, battery technology, and software is crucial to Volkswagen. Such investments can lower short-term profits, yet they are required to grow in the long-term. According to the IEA (2023), the crucial aspects of EV success include cost and efficiency of batteries. The example of Tesla has established a powerful market presence due to innovative battery technology (Liu </w:t>
      </w:r>
      <w:r w:rsidR="000D1D54" w:rsidRPr="000D1D54">
        <w:rPr>
          <w:i/>
          <w:szCs w:val="24"/>
        </w:rPr>
        <w:t>et al.</w:t>
      </w:r>
      <w:r>
        <w:rPr>
          <w:szCs w:val="24"/>
        </w:rPr>
        <w:t>, 2025). One of the areas that Volkswagen needs to work more on is its research and development in a bid to remain competitive at the world level.</w:t>
      </w:r>
    </w:p>
    <w:p w14:paraId="570108D2" w14:textId="77777777" w:rsidR="00EF5DA0" w:rsidRDefault="00EF5DA0" w:rsidP="00EF5DA0">
      <w:pPr>
        <w:spacing w:before="240" w:after="240"/>
        <w:rPr>
          <w:b/>
          <w:bCs/>
          <w:szCs w:val="24"/>
        </w:rPr>
      </w:pPr>
      <w:r>
        <w:rPr>
          <w:b/>
          <w:bCs/>
          <w:szCs w:val="24"/>
        </w:rPr>
        <w:t>Recommended strategy 3. Standardisation of costs with automation and lean production should be adopted to enhance efficiency</w:t>
      </w:r>
    </w:p>
    <w:p w14:paraId="5DBC57CC" w14:textId="769DBF2A" w:rsidR="00EF5DA0" w:rsidRDefault="00EF5DA0" w:rsidP="00EF5DA0">
      <w:pPr>
        <w:spacing w:before="240" w:after="240"/>
        <w:rPr>
          <w:szCs w:val="24"/>
        </w:rPr>
      </w:pPr>
      <w:r>
        <w:rPr>
          <w:szCs w:val="24"/>
        </w:rPr>
        <w:t xml:space="preserve">The fall in the operating margin is an indication of the necessity to enhance control of costs. VW ought to embrace more automation and lean manufacturing in order to minimize the amount of wastage and enhance productivity. Habib </w:t>
      </w:r>
      <w:r w:rsidR="000D1D54" w:rsidRPr="000D1D54">
        <w:rPr>
          <w:i/>
          <w:szCs w:val="24"/>
        </w:rPr>
        <w:t>et al.</w:t>
      </w:r>
      <w:r>
        <w:rPr>
          <w:szCs w:val="24"/>
        </w:rPr>
        <w:t xml:space="preserve"> (2023) allege that lean systems assist companies in reducing inefficiency and decreasing the cost of production. Labour costs can also be decreased, and production speed can be increased through automation. This plan will help in the marginal improvement and efficiency of the operation.</w:t>
      </w:r>
    </w:p>
    <w:p w14:paraId="1D812273" w14:textId="77777777" w:rsidR="00EF5DA0" w:rsidRDefault="00EF5DA0" w:rsidP="00EF5DA0">
      <w:pPr>
        <w:spacing w:before="240" w:after="240"/>
        <w:rPr>
          <w:b/>
          <w:bCs/>
          <w:szCs w:val="24"/>
        </w:rPr>
      </w:pPr>
      <w:r>
        <w:rPr>
          <w:b/>
          <w:bCs/>
          <w:szCs w:val="24"/>
        </w:rPr>
        <w:t>Recommended strategy 4. Risk-sharing and innovation should be carried out by means of equity injection and strategic partnerships</w:t>
      </w:r>
    </w:p>
    <w:p w14:paraId="7E135A7C" w14:textId="65604AC9" w:rsidR="00EF5DA0" w:rsidRDefault="00EF5DA0" w:rsidP="00EF5DA0">
      <w:pPr>
        <w:spacing w:before="240" w:after="240"/>
        <w:rPr>
          <w:szCs w:val="24"/>
        </w:rPr>
      </w:pPr>
      <w:r>
        <w:rPr>
          <w:szCs w:val="24"/>
        </w:rPr>
        <w:t xml:space="preserve">VW ought to seek joint ventures and collaborations, particularly in battery manufacturing and artificial intelligence. This will be able to minimize financial risk and access new technologies. As an illustration, alliances with battery companies can also be done to ensure that supplies are secured and costs are minimized. Kim </w:t>
      </w:r>
      <w:r w:rsidR="000D1D54" w:rsidRPr="000D1D54">
        <w:rPr>
          <w:i/>
          <w:szCs w:val="24"/>
        </w:rPr>
        <w:t>et al.</w:t>
      </w:r>
      <w:r>
        <w:rPr>
          <w:szCs w:val="24"/>
        </w:rPr>
        <w:t xml:space="preserve"> (2026) emphasize that partnerships are a necessity in the EV ecosystem since investors require vast sums of money to invest. Moreover, equity financing has the ability to make the balance sheet strong and less dependent on debt.</w:t>
      </w:r>
    </w:p>
    <w:p w14:paraId="4783368A" w14:textId="77777777" w:rsidR="00EF5DA0" w:rsidRDefault="00EF5DA0" w:rsidP="00EF5DA0">
      <w:pPr>
        <w:pStyle w:val="Heading2"/>
        <w:spacing w:after="80"/>
      </w:pPr>
      <w:bookmarkStart w:id="32" w:name="_57ethtneuskr" w:colFirst="0" w:colLast="0"/>
      <w:bookmarkStart w:id="33" w:name="_Toc227851301"/>
      <w:bookmarkEnd w:id="32"/>
      <w:r>
        <w:t>4.3 Impact Evaluation</w:t>
      </w:r>
      <w:bookmarkEnd w:id="33"/>
    </w:p>
    <w:p w14:paraId="0FD030C4" w14:textId="77777777" w:rsidR="00EF5DA0" w:rsidRDefault="00EF5DA0" w:rsidP="00EF5DA0">
      <w:pPr>
        <w:spacing w:before="240" w:after="240"/>
        <w:rPr>
          <w:b/>
          <w:bCs/>
          <w:szCs w:val="24"/>
        </w:rPr>
      </w:pPr>
      <w:r>
        <w:rPr>
          <w:b/>
          <w:bCs/>
          <w:szCs w:val="24"/>
        </w:rPr>
        <w:t>(A) Impact on Shareholder Value</w:t>
      </w:r>
    </w:p>
    <w:p w14:paraId="40EB8082" w14:textId="77777777" w:rsidR="00EF5DA0" w:rsidRDefault="00EF5DA0" w:rsidP="00EF5DA0">
      <w:pPr>
        <w:spacing w:before="240" w:after="240"/>
        <w:rPr>
          <w:szCs w:val="24"/>
        </w:rPr>
      </w:pPr>
      <w:r>
        <w:rPr>
          <w:szCs w:val="24"/>
        </w:rPr>
        <w:lastRenderedPageBreak/>
        <w:t>The strategies suggested will most probably enhance shareholder value in the long run. Portfolio restructuring can be used to generate value by concentrating on strong brands and eliminating weak divisions. This assists in increasing profits and payback. Investment in EEVscan lead to decreased short-term profits, though it facilitates long-term growth and positioning on the market. Zumente and Bistrova (2021) claim that investing in high-growth areas can generate long-term shareholder value even when it is under pressure in the short term. Risk minimization and enhanced innovation through strategic alliances also reduce risk and heighten innovativeness, which is generally highly appreciated by investors.</w:t>
      </w:r>
    </w:p>
    <w:p w14:paraId="25ADC2A3" w14:textId="77777777" w:rsidR="00EF5DA0" w:rsidRDefault="00EF5DA0" w:rsidP="00EF5DA0">
      <w:pPr>
        <w:spacing w:before="240" w:after="240"/>
        <w:rPr>
          <w:b/>
          <w:bCs/>
          <w:szCs w:val="24"/>
        </w:rPr>
      </w:pPr>
      <w:r>
        <w:rPr>
          <w:b/>
          <w:bCs/>
          <w:szCs w:val="24"/>
        </w:rPr>
        <w:t>(B) Impact on Debt Levels</w:t>
      </w:r>
    </w:p>
    <w:p w14:paraId="16109EAA" w14:textId="77777777" w:rsidR="00EF5DA0" w:rsidRDefault="00EF5DA0" w:rsidP="00EF5DA0">
      <w:pPr>
        <w:spacing w:before="240" w:after="240"/>
        <w:rPr>
          <w:szCs w:val="24"/>
        </w:rPr>
      </w:pPr>
      <w:r>
        <w:rPr>
          <w:szCs w:val="24"/>
        </w:rPr>
        <w:t xml:space="preserve">Such measures can be used to deal with financial risk and mitigate it. The sale of non-performing performance units can help create cash, which can then be utilized to pay off debt. The capital structure will be enhanced through equity injection as well because the degree of dependency on borrowing will decrease. It is significant because the interest coverage of Volkswagen has already decreased (Almanaseer, 2024). Nevertheless, EV investments might need large initial investments that can create debt in case of failure to manage them. </w:t>
      </w:r>
    </w:p>
    <w:p w14:paraId="16A3A31F" w14:textId="77777777" w:rsidR="00EF5DA0" w:rsidRDefault="00EF5DA0" w:rsidP="00EF5DA0">
      <w:pPr>
        <w:spacing w:before="240" w:after="240"/>
        <w:rPr>
          <w:b/>
          <w:bCs/>
          <w:szCs w:val="24"/>
        </w:rPr>
      </w:pPr>
      <w:r>
        <w:rPr>
          <w:b/>
          <w:bCs/>
          <w:szCs w:val="24"/>
        </w:rPr>
        <w:t>(C) Impact on Operational Flexibility</w:t>
      </w:r>
    </w:p>
    <w:p w14:paraId="1EB59B0E" w14:textId="77777777" w:rsidR="00EF5DA0" w:rsidRDefault="00EF5DA0" w:rsidP="00EF5DA0">
      <w:pPr>
        <w:spacing w:before="240" w:after="240"/>
        <w:rPr>
          <w:szCs w:val="24"/>
        </w:rPr>
      </w:pPr>
      <w:r>
        <w:rPr>
          <w:szCs w:val="24"/>
        </w:rPr>
        <w:t>With these strategies, operational flexibility will be enhanced. Automation and lean systems can help to restructure costs to make operations more efficient and flexible. Since it is stated by Mutambik (2024), flexibility with the help of strategic collaboration also enhances the ability to share resources and capabilities. As an example, joint ventures enable the companies to be quicker in responding to technological changes. The industrial agility of the EV on a collaborative level is enhanced. All in all, the strategies can assist Volkswagen in becoming a more flexible and resilient business model.</w:t>
      </w:r>
    </w:p>
    <w:p w14:paraId="380A23CE" w14:textId="77777777" w:rsidR="00EF5DA0" w:rsidRDefault="00EF5DA0" w:rsidP="00EF5DA0">
      <w:pPr>
        <w:pStyle w:val="Heading2"/>
        <w:spacing w:after="80"/>
      </w:pPr>
      <w:bookmarkStart w:id="34" w:name="_js0mf2j7991e" w:colFirst="0" w:colLast="0"/>
      <w:bookmarkStart w:id="35" w:name="_Toc227851302"/>
      <w:bookmarkEnd w:id="34"/>
      <w:r>
        <w:t>4.4 International &amp; Ethical Considerations</w:t>
      </w:r>
      <w:bookmarkEnd w:id="35"/>
    </w:p>
    <w:p w14:paraId="780C66C1" w14:textId="77777777" w:rsidR="00EF5DA0" w:rsidRDefault="00EF5DA0" w:rsidP="00EF5DA0">
      <w:pPr>
        <w:spacing w:before="240" w:after="240"/>
        <w:rPr>
          <w:b/>
          <w:bCs/>
          <w:szCs w:val="24"/>
        </w:rPr>
      </w:pPr>
      <w:r>
        <w:rPr>
          <w:b/>
          <w:bCs/>
          <w:szCs w:val="24"/>
        </w:rPr>
        <w:t>Currency Risk and Global Operations</w:t>
      </w:r>
    </w:p>
    <w:p w14:paraId="0ECF00EA" w14:textId="77777777" w:rsidR="00EF5DA0" w:rsidRDefault="00EF5DA0" w:rsidP="00EF5DA0">
      <w:pPr>
        <w:spacing w:before="240" w:after="240"/>
        <w:rPr>
          <w:szCs w:val="24"/>
        </w:rPr>
      </w:pPr>
      <w:r>
        <w:rPr>
          <w:szCs w:val="24"/>
        </w:rPr>
        <w:lastRenderedPageBreak/>
        <w:t>VWG is present in a lot of countries and, as such, it is exposed to currency risk. Sensitivity to exchange rates may have an impact on revenue, expenses, and profit in terms of dispersing earnings into euros. Considering these, a weaker euro can boost export incomes and vice versa. Despite that, a stronger euro can decrease competitiveness. The IMF (2023) notes that one significant risk to multinational firms is exchange rate volatility. To counter this risk, Volkswagen should employ hedging instruments and diversify its market.</w:t>
      </w:r>
    </w:p>
    <w:p w14:paraId="3662BBCB" w14:textId="77777777" w:rsidR="00EF5DA0" w:rsidRDefault="00EF5DA0" w:rsidP="00EF5DA0">
      <w:pPr>
        <w:spacing w:before="240" w:after="240"/>
        <w:rPr>
          <w:b/>
          <w:bCs/>
          <w:szCs w:val="24"/>
        </w:rPr>
      </w:pPr>
      <w:r>
        <w:rPr>
          <w:b/>
          <w:bCs/>
          <w:szCs w:val="24"/>
        </w:rPr>
        <w:t>Inflation and Cost Pressure</w:t>
      </w:r>
    </w:p>
    <w:p w14:paraId="04CB29B9" w14:textId="452B5E2A" w:rsidR="00EF5DA0" w:rsidRDefault="00EF5DA0" w:rsidP="00EF5DA0">
      <w:pPr>
        <w:spacing w:before="240" w:after="240"/>
        <w:rPr>
          <w:szCs w:val="24"/>
        </w:rPr>
      </w:pPr>
      <w:r>
        <w:rPr>
          <w:szCs w:val="24"/>
        </w:rPr>
        <w:t xml:space="preserve">The problem of inflation has enhanced the prices of raw materials, energy, and labour. This has a direct impact on the cost of production. In the manufacture of EVs, battery materials are costly. Increased costs lower profit margins when they are unable to be reflected on to customers. Oduor </w:t>
      </w:r>
      <w:r w:rsidR="000D1D54" w:rsidRPr="000D1D54">
        <w:rPr>
          <w:i/>
          <w:szCs w:val="24"/>
        </w:rPr>
        <w:t>et al.</w:t>
      </w:r>
      <w:r>
        <w:rPr>
          <w:szCs w:val="24"/>
        </w:rPr>
        <w:t xml:space="preserve"> (2021) noted that manufacturing industries around the world have been virtually affected by inflation. Cost-efficient and implementing pricing strategies are considered potential strategies that can eventually allow VG to control the rising pressure.</w:t>
      </w:r>
    </w:p>
    <w:p w14:paraId="010C62EC" w14:textId="77777777" w:rsidR="00EF5DA0" w:rsidRDefault="00EF5DA0" w:rsidP="00EF5DA0">
      <w:pPr>
        <w:spacing w:before="240" w:after="240"/>
        <w:rPr>
          <w:b/>
          <w:bCs/>
          <w:szCs w:val="24"/>
        </w:rPr>
      </w:pPr>
      <w:r>
        <w:rPr>
          <w:b/>
          <w:bCs/>
          <w:szCs w:val="24"/>
        </w:rPr>
        <w:t>ESG and Sustainability Responsibilities</w:t>
      </w:r>
    </w:p>
    <w:p w14:paraId="533B9A80" w14:textId="77777777" w:rsidR="00EF5DA0" w:rsidRDefault="00EF5DA0" w:rsidP="00EF5DA0">
      <w:pPr>
        <w:spacing w:before="240" w:after="240"/>
        <w:rPr>
          <w:szCs w:val="24"/>
        </w:rPr>
      </w:pPr>
      <w:r>
        <w:rPr>
          <w:szCs w:val="24"/>
        </w:rPr>
        <w:t>ESG factors have become of great significance to investors and regulators. VW must reduce its carbon footprint and shift towards cleaner production practices. Transition to EVs contributes to the environmental ambitions, and the production methods need to be enhanced as well. According to the IEA (2023), sustainable production might become one of the sources of the long-term success of the EV sector.</w:t>
      </w:r>
    </w:p>
    <w:p w14:paraId="30A30522" w14:textId="77777777" w:rsidR="00EF5DA0" w:rsidRDefault="00EF5DA0" w:rsidP="00EF5DA0">
      <w:pPr>
        <w:spacing w:before="240" w:after="240"/>
        <w:rPr>
          <w:b/>
          <w:bCs/>
          <w:szCs w:val="24"/>
        </w:rPr>
      </w:pPr>
      <w:r>
        <w:rPr>
          <w:b/>
          <w:bCs/>
          <w:szCs w:val="24"/>
        </w:rPr>
        <w:t>Ethical Sourcing of Battery Materials</w:t>
      </w:r>
    </w:p>
    <w:p w14:paraId="7908A61E" w14:textId="77777777" w:rsidR="00EF5DA0" w:rsidRDefault="00EF5DA0" w:rsidP="00EF5DA0">
      <w:pPr>
        <w:spacing w:before="240" w:after="240"/>
        <w:rPr>
          <w:szCs w:val="24"/>
        </w:rPr>
      </w:pPr>
      <w:r>
        <w:rPr>
          <w:szCs w:val="24"/>
        </w:rPr>
        <w:t>The manufacturing of batteries relies on such materials as cobalt and lithium, which, in many cases, are produced in areas with severe ethical issues. As Ulimwengu and Sanginga (2025) point out, there are very poor working conditions when mining cobalt in some countries. Volkswagen needs to impose strict standards on suppliers and undertake frequent audits. This is necessary to safeguard its reputation and exceed ethical expectations in international markets.</w:t>
      </w:r>
    </w:p>
    <w:p w14:paraId="5BD9B2A6" w14:textId="77777777" w:rsidR="00EF5DA0" w:rsidRDefault="00EF5DA0" w:rsidP="00EF5DA0">
      <w:pPr>
        <w:pStyle w:val="Heading1"/>
        <w:spacing w:before="240" w:after="240"/>
      </w:pPr>
      <w:bookmarkStart w:id="36" w:name="_9zstqdxmug4s" w:colFirst="0" w:colLast="0"/>
      <w:bookmarkStart w:id="37" w:name="_Toc227851303"/>
      <w:bookmarkEnd w:id="36"/>
      <w:r>
        <w:lastRenderedPageBreak/>
        <w:t>5. Investment Appraisal and Capital Budgeting</w:t>
      </w:r>
      <w:bookmarkEnd w:id="37"/>
    </w:p>
    <w:p w14:paraId="49A77DEB" w14:textId="77777777" w:rsidR="00EF5DA0" w:rsidRDefault="00EF5DA0" w:rsidP="00EF5DA0">
      <w:pPr>
        <w:pStyle w:val="Heading2"/>
        <w:spacing w:before="240" w:after="240"/>
      </w:pPr>
      <w:bookmarkStart w:id="38" w:name="_ea45ot43gxph" w:colFirst="0" w:colLast="0"/>
      <w:bookmarkStart w:id="39" w:name="_Toc227851304"/>
      <w:bookmarkEnd w:id="38"/>
      <w:r>
        <w:t>5.1 Purpose and Decision Context</w:t>
      </w:r>
      <w:bookmarkEnd w:id="39"/>
    </w:p>
    <w:p w14:paraId="399684A0" w14:textId="77777777" w:rsidR="00EF5DA0" w:rsidRDefault="00EF5DA0" w:rsidP="00EF5DA0">
      <w:pPr>
        <w:spacing w:before="240" w:after="240"/>
        <w:rPr>
          <w:szCs w:val="24"/>
        </w:rPr>
      </w:pPr>
      <w:r>
        <w:rPr>
          <w:szCs w:val="24"/>
        </w:rPr>
        <w:t>Capital budgeting is a very important strategic activity (Purnamasari, 2024). In the case of Volkswagen AG, the company is in its capital-intensive process of shifting to electric vehicles. In this section, we will be considering three competing investment projects (A, B, and C), which demand an initial investment of £50 million, and the capital limit is set at 100 million. Its main aim is to maximise the market value of shareholders and to be financially disciplined. This move should be based on the recent financial performance of Volkswagen, indicating decreasing profitability, deteriorating liquidity, and an improving though fragile gearing position.</w:t>
      </w:r>
    </w:p>
    <w:p w14:paraId="5E6AC950" w14:textId="77777777" w:rsidR="00EF5DA0" w:rsidRDefault="00EF5DA0" w:rsidP="00EF5DA0">
      <w:pPr>
        <w:pStyle w:val="Heading2"/>
        <w:spacing w:before="240" w:after="240"/>
      </w:pPr>
      <w:bookmarkStart w:id="40" w:name="_w00aph6ijyob" w:colFirst="0" w:colLast="0"/>
      <w:bookmarkStart w:id="41" w:name="_Toc227851305"/>
      <w:bookmarkEnd w:id="40"/>
      <w:r>
        <w:t>5.2 Consolidated Results Overview</w:t>
      </w:r>
      <w:bookmarkEnd w:id="41"/>
    </w:p>
    <w:tbl>
      <w:tblPr>
        <w:tblStyle w:val="GridTable5Dark"/>
        <w:tblW w:w="0" w:type="auto"/>
        <w:jc w:val="center"/>
        <w:tblLook w:val="0600" w:firstRow="0" w:lastRow="0" w:firstColumn="0" w:lastColumn="0" w:noHBand="1" w:noVBand="1"/>
      </w:tblPr>
      <w:tblGrid>
        <w:gridCol w:w="1270"/>
        <w:gridCol w:w="1270"/>
        <w:gridCol w:w="1270"/>
        <w:gridCol w:w="1270"/>
        <w:gridCol w:w="3191"/>
      </w:tblGrid>
      <w:tr w:rsidR="00EF5DA0" w14:paraId="0581C227" w14:textId="77777777" w:rsidTr="00EF5DA0">
        <w:trPr>
          <w:trHeight w:val="515"/>
          <w:jc w:val="center"/>
        </w:trPr>
        <w:tc>
          <w:tcPr>
            <w:tcW w:w="0" w:type="auto"/>
          </w:tcPr>
          <w:p w14:paraId="41B9DE13" w14:textId="77777777" w:rsidR="00EF5DA0" w:rsidRDefault="00EF5DA0" w:rsidP="007979B1">
            <w:pPr>
              <w:jc w:val="center"/>
              <w:rPr>
                <w:szCs w:val="24"/>
              </w:rPr>
            </w:pPr>
            <w:r>
              <w:rPr>
                <w:b/>
                <w:bCs/>
                <w:szCs w:val="24"/>
              </w:rPr>
              <w:t>Criteria</w:t>
            </w:r>
          </w:p>
        </w:tc>
        <w:tc>
          <w:tcPr>
            <w:tcW w:w="0" w:type="auto"/>
          </w:tcPr>
          <w:p w14:paraId="12895AD8" w14:textId="77777777" w:rsidR="00EF5DA0" w:rsidRDefault="00EF5DA0" w:rsidP="007979B1">
            <w:pPr>
              <w:jc w:val="center"/>
              <w:rPr>
                <w:szCs w:val="24"/>
              </w:rPr>
            </w:pPr>
            <w:r>
              <w:rPr>
                <w:b/>
                <w:bCs/>
                <w:szCs w:val="24"/>
              </w:rPr>
              <w:t>Project A</w:t>
            </w:r>
          </w:p>
        </w:tc>
        <w:tc>
          <w:tcPr>
            <w:tcW w:w="0" w:type="auto"/>
          </w:tcPr>
          <w:p w14:paraId="3A6EBF13" w14:textId="77777777" w:rsidR="00EF5DA0" w:rsidRDefault="00EF5DA0" w:rsidP="007979B1">
            <w:pPr>
              <w:jc w:val="center"/>
              <w:rPr>
                <w:szCs w:val="24"/>
              </w:rPr>
            </w:pPr>
            <w:r>
              <w:rPr>
                <w:b/>
                <w:bCs/>
                <w:szCs w:val="24"/>
              </w:rPr>
              <w:t>Project B</w:t>
            </w:r>
          </w:p>
        </w:tc>
        <w:tc>
          <w:tcPr>
            <w:tcW w:w="0" w:type="auto"/>
          </w:tcPr>
          <w:p w14:paraId="45A514FE" w14:textId="77777777" w:rsidR="00EF5DA0" w:rsidRDefault="00EF5DA0" w:rsidP="007979B1">
            <w:pPr>
              <w:jc w:val="center"/>
              <w:rPr>
                <w:szCs w:val="24"/>
              </w:rPr>
            </w:pPr>
            <w:r>
              <w:rPr>
                <w:b/>
                <w:bCs/>
                <w:szCs w:val="24"/>
              </w:rPr>
              <w:t>Project C</w:t>
            </w:r>
          </w:p>
        </w:tc>
        <w:tc>
          <w:tcPr>
            <w:tcW w:w="0" w:type="auto"/>
          </w:tcPr>
          <w:p w14:paraId="69232CFD" w14:textId="77777777" w:rsidR="00EF5DA0" w:rsidRDefault="00EF5DA0" w:rsidP="007979B1">
            <w:pPr>
              <w:jc w:val="center"/>
              <w:rPr>
                <w:szCs w:val="24"/>
              </w:rPr>
            </w:pPr>
            <w:r>
              <w:rPr>
                <w:b/>
                <w:bCs/>
                <w:szCs w:val="24"/>
              </w:rPr>
              <w:t>Key Insight</w:t>
            </w:r>
          </w:p>
        </w:tc>
      </w:tr>
      <w:tr w:rsidR="00EF5DA0" w14:paraId="22A2C717" w14:textId="77777777" w:rsidTr="00EF5DA0">
        <w:trPr>
          <w:trHeight w:val="515"/>
          <w:jc w:val="center"/>
        </w:trPr>
        <w:tc>
          <w:tcPr>
            <w:tcW w:w="0" w:type="auto"/>
          </w:tcPr>
          <w:p w14:paraId="5E01F648" w14:textId="77777777" w:rsidR="00EF5DA0" w:rsidRDefault="00EF5DA0" w:rsidP="007979B1">
            <w:pPr>
              <w:rPr>
                <w:szCs w:val="24"/>
              </w:rPr>
            </w:pPr>
            <w:r>
              <w:rPr>
                <w:szCs w:val="24"/>
              </w:rPr>
              <w:t>PBP</w:t>
            </w:r>
          </w:p>
        </w:tc>
        <w:tc>
          <w:tcPr>
            <w:tcW w:w="0" w:type="auto"/>
          </w:tcPr>
          <w:p w14:paraId="0C521721" w14:textId="77777777" w:rsidR="00EF5DA0" w:rsidRDefault="00EF5DA0" w:rsidP="007979B1">
            <w:pPr>
              <w:rPr>
                <w:szCs w:val="24"/>
              </w:rPr>
            </w:pPr>
            <w:r>
              <w:rPr>
                <w:szCs w:val="24"/>
              </w:rPr>
              <w:t>4.50</w:t>
            </w:r>
          </w:p>
        </w:tc>
        <w:tc>
          <w:tcPr>
            <w:tcW w:w="0" w:type="auto"/>
          </w:tcPr>
          <w:p w14:paraId="444E00D7" w14:textId="77777777" w:rsidR="00EF5DA0" w:rsidRDefault="00EF5DA0" w:rsidP="007979B1">
            <w:pPr>
              <w:rPr>
                <w:szCs w:val="24"/>
              </w:rPr>
            </w:pPr>
            <w:r>
              <w:rPr>
                <w:szCs w:val="24"/>
              </w:rPr>
              <w:t>4.55</w:t>
            </w:r>
          </w:p>
        </w:tc>
        <w:tc>
          <w:tcPr>
            <w:tcW w:w="0" w:type="auto"/>
          </w:tcPr>
          <w:p w14:paraId="7F830641" w14:textId="77777777" w:rsidR="00EF5DA0" w:rsidRDefault="00EF5DA0" w:rsidP="007979B1">
            <w:pPr>
              <w:rPr>
                <w:szCs w:val="24"/>
              </w:rPr>
            </w:pPr>
            <w:r>
              <w:rPr>
                <w:b/>
                <w:bCs/>
                <w:szCs w:val="24"/>
              </w:rPr>
              <w:t>3.60</w:t>
            </w:r>
          </w:p>
        </w:tc>
        <w:tc>
          <w:tcPr>
            <w:tcW w:w="0" w:type="auto"/>
          </w:tcPr>
          <w:p w14:paraId="6093D6C2" w14:textId="77777777" w:rsidR="00EF5DA0" w:rsidRDefault="00EF5DA0" w:rsidP="007979B1">
            <w:pPr>
              <w:rPr>
                <w:szCs w:val="24"/>
              </w:rPr>
            </w:pPr>
            <w:r>
              <w:rPr>
                <w:szCs w:val="24"/>
              </w:rPr>
              <w:t>C best (liquidity)</w:t>
            </w:r>
          </w:p>
        </w:tc>
      </w:tr>
      <w:tr w:rsidR="00EF5DA0" w14:paraId="5F4CB577" w14:textId="77777777" w:rsidTr="00EF5DA0">
        <w:trPr>
          <w:trHeight w:val="515"/>
          <w:jc w:val="center"/>
        </w:trPr>
        <w:tc>
          <w:tcPr>
            <w:tcW w:w="0" w:type="auto"/>
          </w:tcPr>
          <w:p w14:paraId="59BC856F" w14:textId="77777777" w:rsidR="00EF5DA0" w:rsidRDefault="00EF5DA0" w:rsidP="007979B1">
            <w:pPr>
              <w:rPr>
                <w:szCs w:val="24"/>
              </w:rPr>
            </w:pPr>
            <w:r>
              <w:rPr>
                <w:szCs w:val="24"/>
              </w:rPr>
              <w:t>ARR</w:t>
            </w:r>
          </w:p>
        </w:tc>
        <w:tc>
          <w:tcPr>
            <w:tcW w:w="0" w:type="auto"/>
          </w:tcPr>
          <w:p w14:paraId="3057E97D" w14:textId="77777777" w:rsidR="00EF5DA0" w:rsidRDefault="00EF5DA0" w:rsidP="007979B1">
            <w:pPr>
              <w:rPr>
                <w:szCs w:val="24"/>
              </w:rPr>
            </w:pPr>
            <w:r>
              <w:rPr>
                <w:szCs w:val="24"/>
              </w:rPr>
              <w:t>21.6%</w:t>
            </w:r>
          </w:p>
        </w:tc>
        <w:tc>
          <w:tcPr>
            <w:tcW w:w="0" w:type="auto"/>
          </w:tcPr>
          <w:p w14:paraId="37A5250C" w14:textId="77777777" w:rsidR="00EF5DA0" w:rsidRDefault="00EF5DA0" w:rsidP="007979B1">
            <w:pPr>
              <w:rPr>
                <w:szCs w:val="24"/>
              </w:rPr>
            </w:pPr>
            <w:r>
              <w:rPr>
                <w:szCs w:val="24"/>
              </w:rPr>
              <w:t>22%</w:t>
            </w:r>
          </w:p>
        </w:tc>
        <w:tc>
          <w:tcPr>
            <w:tcW w:w="0" w:type="auto"/>
          </w:tcPr>
          <w:p w14:paraId="558AFF85" w14:textId="77777777" w:rsidR="00EF5DA0" w:rsidRDefault="00EF5DA0" w:rsidP="007979B1">
            <w:pPr>
              <w:rPr>
                <w:szCs w:val="24"/>
              </w:rPr>
            </w:pPr>
            <w:r>
              <w:rPr>
                <w:b/>
                <w:bCs/>
                <w:szCs w:val="24"/>
              </w:rPr>
              <w:t>26%</w:t>
            </w:r>
          </w:p>
        </w:tc>
        <w:tc>
          <w:tcPr>
            <w:tcW w:w="0" w:type="auto"/>
          </w:tcPr>
          <w:p w14:paraId="50797A11" w14:textId="77777777" w:rsidR="00EF5DA0" w:rsidRDefault="00EF5DA0" w:rsidP="007979B1">
            <w:pPr>
              <w:rPr>
                <w:szCs w:val="24"/>
              </w:rPr>
            </w:pPr>
            <w:r>
              <w:rPr>
                <w:szCs w:val="24"/>
              </w:rPr>
              <w:t>C best (accounting return)</w:t>
            </w:r>
          </w:p>
        </w:tc>
      </w:tr>
      <w:tr w:rsidR="00EF5DA0" w14:paraId="4126BB63" w14:textId="77777777" w:rsidTr="00EF5DA0">
        <w:trPr>
          <w:trHeight w:val="515"/>
          <w:jc w:val="center"/>
        </w:trPr>
        <w:tc>
          <w:tcPr>
            <w:tcW w:w="0" w:type="auto"/>
          </w:tcPr>
          <w:p w14:paraId="1CDA8786" w14:textId="77777777" w:rsidR="00EF5DA0" w:rsidRDefault="00EF5DA0" w:rsidP="007979B1">
            <w:pPr>
              <w:rPr>
                <w:szCs w:val="24"/>
              </w:rPr>
            </w:pPr>
            <w:r>
              <w:rPr>
                <w:szCs w:val="24"/>
              </w:rPr>
              <w:t>NPV (£m)</w:t>
            </w:r>
          </w:p>
        </w:tc>
        <w:tc>
          <w:tcPr>
            <w:tcW w:w="0" w:type="auto"/>
          </w:tcPr>
          <w:p w14:paraId="068DEBBC" w14:textId="77777777" w:rsidR="00EF5DA0" w:rsidRDefault="00EF5DA0" w:rsidP="007979B1">
            <w:pPr>
              <w:rPr>
                <w:szCs w:val="24"/>
              </w:rPr>
            </w:pPr>
            <w:r>
              <w:rPr>
                <w:szCs w:val="24"/>
              </w:rPr>
              <w:t>-8.69</w:t>
            </w:r>
          </w:p>
        </w:tc>
        <w:tc>
          <w:tcPr>
            <w:tcW w:w="0" w:type="auto"/>
          </w:tcPr>
          <w:p w14:paraId="0D994CCA" w14:textId="77777777" w:rsidR="00EF5DA0" w:rsidRDefault="00EF5DA0" w:rsidP="007979B1">
            <w:pPr>
              <w:rPr>
                <w:szCs w:val="24"/>
              </w:rPr>
            </w:pPr>
            <w:r>
              <w:rPr>
                <w:szCs w:val="24"/>
              </w:rPr>
              <w:t>-8.31</w:t>
            </w:r>
          </w:p>
        </w:tc>
        <w:tc>
          <w:tcPr>
            <w:tcW w:w="0" w:type="auto"/>
          </w:tcPr>
          <w:p w14:paraId="4D238B6B" w14:textId="77777777" w:rsidR="00EF5DA0" w:rsidRDefault="00EF5DA0" w:rsidP="007979B1">
            <w:pPr>
              <w:rPr>
                <w:szCs w:val="24"/>
              </w:rPr>
            </w:pPr>
            <w:r>
              <w:rPr>
                <w:b/>
                <w:bCs/>
                <w:szCs w:val="24"/>
              </w:rPr>
              <w:t>-2.00</w:t>
            </w:r>
          </w:p>
        </w:tc>
        <w:tc>
          <w:tcPr>
            <w:tcW w:w="0" w:type="auto"/>
          </w:tcPr>
          <w:p w14:paraId="67A85DE3" w14:textId="77777777" w:rsidR="00EF5DA0" w:rsidRDefault="00EF5DA0" w:rsidP="007979B1">
            <w:pPr>
              <w:rPr>
                <w:szCs w:val="24"/>
              </w:rPr>
            </w:pPr>
            <w:r>
              <w:rPr>
                <w:szCs w:val="24"/>
              </w:rPr>
              <w:t>All destroy value</w:t>
            </w:r>
          </w:p>
        </w:tc>
      </w:tr>
      <w:tr w:rsidR="00EF5DA0" w14:paraId="5DC7E841" w14:textId="77777777" w:rsidTr="00EF5DA0">
        <w:trPr>
          <w:trHeight w:val="515"/>
          <w:jc w:val="center"/>
        </w:trPr>
        <w:tc>
          <w:tcPr>
            <w:tcW w:w="0" w:type="auto"/>
          </w:tcPr>
          <w:p w14:paraId="05EF8A5A" w14:textId="77777777" w:rsidR="00EF5DA0" w:rsidRDefault="00EF5DA0" w:rsidP="007979B1">
            <w:pPr>
              <w:rPr>
                <w:szCs w:val="24"/>
              </w:rPr>
            </w:pPr>
            <w:r>
              <w:rPr>
                <w:szCs w:val="24"/>
              </w:rPr>
              <w:t>IRR</w:t>
            </w:r>
          </w:p>
        </w:tc>
        <w:tc>
          <w:tcPr>
            <w:tcW w:w="0" w:type="auto"/>
          </w:tcPr>
          <w:p w14:paraId="519B59D0" w14:textId="77777777" w:rsidR="00EF5DA0" w:rsidRDefault="00EF5DA0" w:rsidP="007979B1">
            <w:pPr>
              <w:rPr>
                <w:szCs w:val="24"/>
              </w:rPr>
            </w:pPr>
            <w:r>
              <w:rPr>
                <w:b/>
                <w:bCs/>
                <w:szCs w:val="24"/>
              </w:rPr>
              <w:t>10.37%</w:t>
            </w:r>
          </w:p>
        </w:tc>
        <w:tc>
          <w:tcPr>
            <w:tcW w:w="0" w:type="auto"/>
          </w:tcPr>
          <w:p w14:paraId="4FD16677" w14:textId="77777777" w:rsidR="00EF5DA0" w:rsidRDefault="00EF5DA0" w:rsidP="007979B1">
            <w:pPr>
              <w:rPr>
                <w:szCs w:val="24"/>
              </w:rPr>
            </w:pPr>
            <w:r>
              <w:rPr>
                <w:szCs w:val="24"/>
              </w:rPr>
              <w:t>3.54%</w:t>
            </w:r>
          </w:p>
        </w:tc>
        <w:tc>
          <w:tcPr>
            <w:tcW w:w="0" w:type="auto"/>
          </w:tcPr>
          <w:p w14:paraId="2F54BE45" w14:textId="77777777" w:rsidR="00EF5DA0" w:rsidRDefault="00EF5DA0" w:rsidP="007979B1">
            <w:pPr>
              <w:rPr>
                <w:szCs w:val="24"/>
              </w:rPr>
            </w:pPr>
            <w:r>
              <w:rPr>
                <w:szCs w:val="24"/>
              </w:rPr>
              <w:t>4.26%</w:t>
            </w:r>
          </w:p>
        </w:tc>
        <w:tc>
          <w:tcPr>
            <w:tcW w:w="0" w:type="auto"/>
          </w:tcPr>
          <w:p w14:paraId="61142B24" w14:textId="77777777" w:rsidR="00EF5DA0" w:rsidRDefault="00EF5DA0" w:rsidP="007979B1">
            <w:pPr>
              <w:rPr>
                <w:szCs w:val="24"/>
              </w:rPr>
            </w:pPr>
            <w:r>
              <w:rPr>
                <w:szCs w:val="24"/>
              </w:rPr>
              <w:t>Only project A is acceptable</w:t>
            </w:r>
          </w:p>
        </w:tc>
      </w:tr>
      <w:tr w:rsidR="00EF5DA0" w14:paraId="20ED3983" w14:textId="77777777" w:rsidTr="00EF5DA0">
        <w:trPr>
          <w:trHeight w:val="515"/>
          <w:jc w:val="center"/>
        </w:trPr>
        <w:tc>
          <w:tcPr>
            <w:tcW w:w="0" w:type="auto"/>
          </w:tcPr>
          <w:p w14:paraId="59260032" w14:textId="77777777" w:rsidR="00EF5DA0" w:rsidRDefault="00EF5DA0" w:rsidP="007979B1">
            <w:pPr>
              <w:rPr>
                <w:szCs w:val="24"/>
              </w:rPr>
            </w:pPr>
            <w:r>
              <w:rPr>
                <w:szCs w:val="24"/>
              </w:rPr>
              <w:t>PI</w:t>
            </w:r>
          </w:p>
        </w:tc>
        <w:tc>
          <w:tcPr>
            <w:tcW w:w="0" w:type="auto"/>
          </w:tcPr>
          <w:p w14:paraId="21E25E4D" w14:textId="77777777" w:rsidR="00EF5DA0" w:rsidRDefault="00EF5DA0" w:rsidP="007979B1">
            <w:pPr>
              <w:rPr>
                <w:szCs w:val="24"/>
              </w:rPr>
            </w:pPr>
            <w:r>
              <w:rPr>
                <w:szCs w:val="24"/>
              </w:rPr>
              <w:t>&lt;1</w:t>
            </w:r>
          </w:p>
        </w:tc>
        <w:tc>
          <w:tcPr>
            <w:tcW w:w="0" w:type="auto"/>
          </w:tcPr>
          <w:p w14:paraId="0448652D" w14:textId="77777777" w:rsidR="00EF5DA0" w:rsidRDefault="00EF5DA0" w:rsidP="007979B1">
            <w:pPr>
              <w:rPr>
                <w:szCs w:val="24"/>
              </w:rPr>
            </w:pPr>
            <w:r>
              <w:rPr>
                <w:szCs w:val="24"/>
              </w:rPr>
              <w:t>&lt;1</w:t>
            </w:r>
          </w:p>
        </w:tc>
        <w:tc>
          <w:tcPr>
            <w:tcW w:w="0" w:type="auto"/>
          </w:tcPr>
          <w:p w14:paraId="685E2179" w14:textId="77777777" w:rsidR="00EF5DA0" w:rsidRDefault="00EF5DA0" w:rsidP="007979B1">
            <w:pPr>
              <w:rPr>
                <w:szCs w:val="24"/>
              </w:rPr>
            </w:pPr>
            <w:r>
              <w:rPr>
                <w:szCs w:val="24"/>
              </w:rPr>
              <w:t>&lt;1</w:t>
            </w:r>
          </w:p>
        </w:tc>
        <w:tc>
          <w:tcPr>
            <w:tcW w:w="0" w:type="auto"/>
          </w:tcPr>
          <w:p w14:paraId="7E370CA6" w14:textId="77777777" w:rsidR="00EF5DA0" w:rsidRDefault="00EF5DA0" w:rsidP="007979B1">
            <w:pPr>
              <w:rPr>
                <w:szCs w:val="24"/>
              </w:rPr>
            </w:pPr>
            <w:r>
              <w:rPr>
                <w:szCs w:val="24"/>
              </w:rPr>
              <w:t>Reject all</w:t>
            </w:r>
          </w:p>
        </w:tc>
      </w:tr>
    </w:tbl>
    <w:p w14:paraId="47C41E25" w14:textId="77777777" w:rsidR="00EF5DA0" w:rsidRDefault="00EF5DA0" w:rsidP="00EF5DA0">
      <w:pPr>
        <w:spacing w:before="240" w:after="240"/>
        <w:rPr>
          <w:szCs w:val="24"/>
        </w:rPr>
      </w:pPr>
      <w:r>
        <w:rPr>
          <w:szCs w:val="24"/>
        </w:rPr>
        <w:t>The comparison indicates discrepant indications between evaluation methods. Although Project C seems to be better in the liquidity (PBP) and accounting profitability (ARR) studies, all three projects yield negative NPVs, which implies that they destroy value at the cut-off 10% return. On the other hand, IRR proposes Project A, which is acceptable, thus introducing a discrepancy in decision-making.</w:t>
      </w:r>
    </w:p>
    <w:p w14:paraId="49C55D30" w14:textId="77777777" w:rsidR="00EF5DA0" w:rsidRDefault="00EF5DA0" w:rsidP="00EF5DA0">
      <w:pPr>
        <w:spacing w:before="240" w:after="240"/>
        <w:rPr>
          <w:i/>
          <w:iCs/>
          <w:szCs w:val="24"/>
        </w:rPr>
      </w:pPr>
      <w:r>
        <w:rPr>
          <w:i/>
          <w:iCs/>
          <w:szCs w:val="24"/>
        </w:rPr>
        <w:t>This disagreement has to be assessed critically in order to establish the most cost-saving and strategic choice.</w:t>
      </w:r>
    </w:p>
    <w:p w14:paraId="3394DBEC" w14:textId="77777777" w:rsidR="00EF5DA0" w:rsidRDefault="00EF5DA0" w:rsidP="00EF5DA0">
      <w:pPr>
        <w:pStyle w:val="Heading2"/>
        <w:spacing w:before="240" w:after="240"/>
      </w:pPr>
      <w:bookmarkStart w:id="42" w:name="_v67fa33ahm36" w:colFirst="0" w:colLast="0"/>
      <w:bookmarkStart w:id="43" w:name="_Toc227851306"/>
      <w:bookmarkEnd w:id="42"/>
      <w:r>
        <w:lastRenderedPageBreak/>
        <w:t>5.3 Critical Evaluation of Investment Techniques</w:t>
      </w:r>
      <w:bookmarkEnd w:id="43"/>
      <w:r>
        <w:t xml:space="preserve"> </w:t>
      </w:r>
    </w:p>
    <w:p w14:paraId="70C5AC45" w14:textId="3DBF3236" w:rsidR="00EF5DA0" w:rsidRDefault="00EF5DA0" w:rsidP="00EF5DA0">
      <w:pPr>
        <w:spacing w:before="240" w:after="240"/>
        <w:rPr>
          <w:szCs w:val="24"/>
        </w:rPr>
      </w:pPr>
      <w:r>
        <w:rPr>
          <w:szCs w:val="24"/>
        </w:rPr>
        <w:t xml:space="preserve">The outcomes of the evaluation of Volkswagen AG show that there are significant discrepancies in terms of assessment methods. It also emphasizes the significance of a critical comparison of methods over interpreting it without references to other methods (Silva </w:t>
      </w:r>
      <w:r w:rsidR="000D1D54" w:rsidRPr="000D1D54">
        <w:rPr>
          <w:i/>
          <w:szCs w:val="24"/>
        </w:rPr>
        <w:t>et al.</w:t>
      </w:r>
      <w:r>
        <w:rPr>
          <w:szCs w:val="24"/>
        </w:rPr>
        <w:t>, 2023). Net Present Value (NPV) is considered the most theoretically sound method. These methods revealed that all three projects give negative value on the 10-percent discount rate. This report suggests that every project lowers shareholder wealth and would be rejected by strict financial standards.</w:t>
      </w:r>
    </w:p>
    <w:p w14:paraId="6A6ED477" w14:textId="77777777" w:rsidR="00EF5DA0" w:rsidRDefault="00EF5DA0" w:rsidP="00EF5DA0">
      <w:pPr>
        <w:spacing w:before="240" w:after="240"/>
        <w:rPr>
          <w:szCs w:val="24"/>
        </w:rPr>
      </w:pPr>
      <w:r>
        <w:rPr>
          <w:szCs w:val="24"/>
        </w:rPr>
        <w:t>However, the opposite scenario is in the case of the Internal Rate of Return (IRR), wherein Project A slightly surpasses the necessary rate of return (10.37%). But in this case, IRR may be misleading with its implicit reinvestment assumption, and it is sensitive to the timing of cash flows, which puts IRR at a disadvantage compared to NPV, which is much more reliable. In the meantime, the Payback Period (PBP) would prefer Project C, because of the quicker payoff period, which is reflective of a liquidity-oriented outlook, which might be particularly pertinent to Volkswagen, which has a narrowed liquidity status. On the same note, ARR will recognize Project C as the most appealing one, although it is computed using accounting profits and does not take into account the time value of money.</w:t>
      </w:r>
    </w:p>
    <w:p w14:paraId="38D9CDBF" w14:textId="77777777" w:rsidR="00EF5DA0" w:rsidRDefault="00EF5DA0" w:rsidP="00EF5DA0">
      <w:pPr>
        <w:spacing w:before="240" w:after="240"/>
        <w:rPr>
          <w:szCs w:val="24"/>
        </w:rPr>
      </w:pPr>
      <w:r>
        <w:rPr>
          <w:szCs w:val="24"/>
        </w:rPr>
        <w:t>Together, these disparities demonstrate that non-discounting approaches are more inclined to emphasize short-term or accounting-based performance, and NPV is based on long-term value creation.</w:t>
      </w:r>
    </w:p>
    <w:p w14:paraId="16B6DD2C" w14:textId="77777777" w:rsidR="00EF5DA0" w:rsidRDefault="00EF5DA0" w:rsidP="00EF5DA0">
      <w:pPr>
        <w:pStyle w:val="Heading2"/>
        <w:spacing w:before="240" w:after="240"/>
      </w:pPr>
      <w:bookmarkStart w:id="44" w:name="_3lecf2dz87f9" w:colFirst="0" w:colLast="0"/>
      <w:bookmarkStart w:id="45" w:name="_Toc227851307"/>
      <w:bookmarkEnd w:id="44"/>
      <w:r>
        <w:t>5.4 Project Recommendation</w:t>
      </w:r>
      <w:bookmarkEnd w:id="45"/>
      <w:r>
        <w:t xml:space="preserve"> </w:t>
      </w:r>
    </w:p>
    <w:p w14:paraId="004FB116" w14:textId="77777777" w:rsidR="00EF5DA0" w:rsidRDefault="00EF5DA0" w:rsidP="00EF5DA0">
      <w:pPr>
        <w:spacing w:before="280"/>
        <w:rPr>
          <w:b/>
          <w:bCs/>
          <w:szCs w:val="24"/>
        </w:rPr>
      </w:pPr>
      <w:r>
        <w:rPr>
          <w:b/>
          <w:bCs/>
          <w:szCs w:val="24"/>
        </w:rPr>
        <w:t>Financial Decision Rule vs Strategic Reality</w:t>
      </w:r>
    </w:p>
    <w:p w14:paraId="0C495324" w14:textId="77777777" w:rsidR="00EF5DA0" w:rsidRDefault="00EF5DA0" w:rsidP="00EF5DA0">
      <w:pPr>
        <w:spacing w:before="240" w:after="240"/>
        <w:rPr>
          <w:szCs w:val="24"/>
        </w:rPr>
      </w:pPr>
      <w:r>
        <w:rPr>
          <w:szCs w:val="24"/>
        </w:rPr>
        <w:t xml:space="preserve">Using the Net Present Value (NPV) rule, each of the three projects is to be rejected since they bring about negative NPVs at the 10% discounted rate, and none of these projects would bring about shareholder value. This would be the right thing to do, sheer on theoretical grounds. This would be too narrow a policy when it comes to Volkswagen AG, </w:t>
      </w:r>
      <w:r>
        <w:rPr>
          <w:szCs w:val="24"/>
        </w:rPr>
        <w:lastRenderedPageBreak/>
        <w:t>which is in the process of making a major strategic shift towards electric vehicles (EVs), where this strategy is on a large scale. This shift demands a long-term investment of capital even amid financial strains in the short term, especially considering the dwindling profitability, declining liquidity, and the still-vulnerable gearing model of the firm.</w:t>
      </w:r>
    </w:p>
    <w:p w14:paraId="74073DC1" w14:textId="77777777" w:rsidR="00EF5DA0" w:rsidRDefault="00EF5DA0" w:rsidP="00EF5DA0">
      <w:pPr>
        <w:spacing w:before="280"/>
        <w:rPr>
          <w:b/>
          <w:bCs/>
          <w:szCs w:val="24"/>
        </w:rPr>
      </w:pPr>
      <w:r>
        <w:rPr>
          <w:b/>
          <w:bCs/>
          <w:szCs w:val="24"/>
        </w:rPr>
        <w:t>Financial Justification of Project Choice</w:t>
      </w:r>
    </w:p>
    <w:p w14:paraId="54D90DBD" w14:textId="77777777" w:rsidR="00EF5DA0" w:rsidRDefault="00EF5DA0" w:rsidP="00EF5DA0">
      <w:pPr>
        <w:spacing w:before="240" w:after="240"/>
        <w:rPr>
          <w:szCs w:val="24"/>
        </w:rPr>
      </w:pPr>
      <w:r>
        <w:rPr>
          <w:szCs w:val="24"/>
        </w:rPr>
        <w:t>Out of the three options, Project C proves to be the most moderate choice as both financial and strategic aspects are put in consideration. Its NPV is not only negative (£-2.00m) but also much less value-destructive than Projects A and B, hence erosion of shareholder wealth by declining margins and lower returns (ROE and ROA) is reduced to a minimum. Moreover, Project C has the shortest payback (3.6 years), which is specifically relevant in the case of Volkswagen, which has been seen to tighten its liquidity stance, as indicated in the decreasing current and quick ratios. Quick cash recovery is proposed as a solution to working capital management and helps avoid the financial stress in the short-term, as Silva and Silva (2026) propose. Moreover, the comparatively extended cash conversion cycle of Volkswagen requires a better cash flow timing, and Project C meets this requirement, speeding up cash inflows compared to the alternatives.</w:t>
      </w:r>
    </w:p>
    <w:p w14:paraId="25F0E74D" w14:textId="77777777" w:rsidR="00EF5DA0" w:rsidRDefault="00EF5DA0" w:rsidP="00EF5DA0">
      <w:pPr>
        <w:spacing w:before="280"/>
        <w:rPr>
          <w:b/>
          <w:bCs/>
          <w:szCs w:val="24"/>
        </w:rPr>
      </w:pPr>
      <w:r>
        <w:rPr>
          <w:b/>
          <w:bCs/>
          <w:szCs w:val="24"/>
        </w:rPr>
        <w:t>Non-Financial and Strategic Considerations</w:t>
      </w:r>
    </w:p>
    <w:p w14:paraId="25E62E12" w14:textId="77777777" w:rsidR="00EF5DA0" w:rsidRDefault="00EF5DA0" w:rsidP="00EF5DA0">
      <w:pPr>
        <w:spacing w:before="240" w:after="240"/>
        <w:rPr>
          <w:szCs w:val="24"/>
        </w:rPr>
      </w:pPr>
      <w:r>
        <w:rPr>
          <w:szCs w:val="24"/>
        </w:rPr>
        <w:t>In terms of the wider strategic context, Project C fits better with the external operating environment of Volkswagen as well. The international EV market is extremely dynamic, with Tesla and BYD as prime competitors (IEA, 2024). The great opportunity is perceived to be the rapid change in technologies, battery efficiency, and the change in consumer demand for affordable and eco-friendly products. Such an environment makes it harder to face technological obsolescence and demand uncertainty because of the desire to make long-term and inelastic investments. Project C, which has a faster payback profile, will enable Volkswagen to be flexible and still invest in innovation.</w:t>
      </w:r>
    </w:p>
    <w:p w14:paraId="0A822BC1" w14:textId="7EB3473B" w:rsidR="00EF5DA0" w:rsidRDefault="00EF5DA0" w:rsidP="00EF5DA0">
      <w:pPr>
        <w:spacing w:before="240" w:after="240"/>
        <w:rPr>
          <w:szCs w:val="24"/>
        </w:rPr>
      </w:pPr>
      <w:r>
        <w:rPr>
          <w:szCs w:val="24"/>
        </w:rPr>
        <w:t xml:space="preserve">Furthermore, the automotive industry is sensitive to the intervention of governmental regulations and geopolitical circumstances. It also contains standards of emissions in the European Union, subsidies toward EV adoption, and lithium and cobalt risks in the supply </w:t>
      </w:r>
      <w:r>
        <w:rPr>
          <w:szCs w:val="24"/>
        </w:rPr>
        <w:lastRenderedPageBreak/>
        <w:t xml:space="preserve">chain. A little shorter investment period minimises regulatory changes and political risks (Dima </w:t>
      </w:r>
      <w:r w:rsidR="000D1D54" w:rsidRPr="000D1D54">
        <w:rPr>
          <w:i/>
          <w:szCs w:val="24"/>
        </w:rPr>
        <w:t>et al.</w:t>
      </w:r>
      <w:r>
        <w:rPr>
          <w:szCs w:val="24"/>
        </w:rPr>
        <w:t>, 2024). Also, developing customer demands requires strategic flexibility for companies. Project C helps in this aspect by allowing Volkswagen to be better geared to react to changes in markets without committing to long-term capital in uncertain circumstances.</w:t>
      </w:r>
    </w:p>
    <w:p w14:paraId="3ED53BF8" w14:textId="77777777" w:rsidR="00EF5DA0" w:rsidRDefault="00EF5DA0" w:rsidP="00EF5DA0">
      <w:pPr>
        <w:spacing w:before="280"/>
        <w:rPr>
          <w:b/>
          <w:bCs/>
          <w:szCs w:val="24"/>
        </w:rPr>
      </w:pPr>
      <w:r>
        <w:rPr>
          <w:b/>
          <w:bCs/>
          <w:szCs w:val="24"/>
        </w:rPr>
        <w:t>Final Recommendation</w:t>
      </w:r>
    </w:p>
    <w:p w14:paraId="156A5D0E" w14:textId="77777777" w:rsidR="00EF5DA0" w:rsidRDefault="00EF5DA0" w:rsidP="00EF5DA0">
      <w:pPr>
        <w:spacing w:before="240" w:after="240"/>
        <w:rPr>
          <w:i/>
          <w:iCs/>
          <w:szCs w:val="24"/>
        </w:rPr>
      </w:pPr>
      <w:r>
        <w:rPr>
          <w:i/>
          <w:iCs/>
          <w:szCs w:val="24"/>
        </w:rPr>
        <w:t>Project C is the best choice since it meets the financial requirements and strategic focus of Volkswagen more effectively, can recover in a shorter period, is less likely to lose value, and project C is more flexible to cope with an unpredictable and changing market based on EV.</w:t>
      </w:r>
    </w:p>
    <w:p w14:paraId="2C80B243" w14:textId="77777777" w:rsidR="00EF5DA0" w:rsidRDefault="00EF5DA0" w:rsidP="00EF5DA0">
      <w:pPr>
        <w:pStyle w:val="Heading2"/>
        <w:spacing w:before="240" w:after="240"/>
      </w:pPr>
      <w:bookmarkStart w:id="46" w:name="_9fp0u13oo5yd" w:colFirst="0" w:colLast="0"/>
      <w:bookmarkStart w:id="47" w:name="_Toc227851308"/>
      <w:bookmarkEnd w:id="46"/>
      <w:r>
        <w:t>5.5 Capital Rationing Decision</w:t>
      </w:r>
      <w:bookmarkEnd w:id="47"/>
      <w:r>
        <w:t xml:space="preserve"> </w:t>
      </w:r>
    </w:p>
    <w:p w14:paraId="60437573" w14:textId="77777777" w:rsidR="00EF5DA0" w:rsidRDefault="00EF5DA0" w:rsidP="00EF5DA0">
      <w:pPr>
        <w:spacing w:before="240" w:after="240"/>
        <w:rPr>
          <w:szCs w:val="24"/>
        </w:rPr>
      </w:pPr>
      <w:r>
        <w:rPr>
          <w:szCs w:val="24"/>
        </w:rPr>
        <w:t>The investment budget is capped at 100 million pounds under capital rationing, and each project will cost 50 million pounds under capital rationing. Hence, the company will only have a choice of two projects, and this means that the decision can only be made by determining which combination will reduce the financial loss whilst not compromising the strategic goals.</w:t>
      </w:r>
    </w:p>
    <w:p w14:paraId="16FDB710" w14:textId="4558B8D4" w:rsidR="00EF5DA0" w:rsidRDefault="00EF5DA0" w:rsidP="00EF5DA0">
      <w:pPr>
        <w:spacing w:before="280" w:after="200"/>
        <w:jc w:val="center"/>
        <w:rPr>
          <w:b/>
          <w:bCs/>
          <w:szCs w:val="24"/>
        </w:rPr>
      </w:pPr>
      <w:r>
        <w:rPr>
          <w:b/>
          <w:bCs/>
          <w:szCs w:val="24"/>
        </w:rPr>
        <w:t>Table</w:t>
      </w:r>
      <w:r w:rsidR="00AF04D6">
        <w:rPr>
          <w:b/>
          <w:bCs/>
          <w:szCs w:val="24"/>
        </w:rPr>
        <w:t xml:space="preserve"> 2</w:t>
      </w:r>
      <w:r>
        <w:rPr>
          <w:b/>
          <w:bCs/>
          <w:szCs w:val="24"/>
        </w:rPr>
        <w:t>: Evaluation of Project Combinations</w:t>
      </w:r>
    </w:p>
    <w:tbl>
      <w:tblPr>
        <w:tblStyle w:val="GridTable5Dark"/>
        <w:tblW w:w="5000" w:type="pct"/>
        <w:tblLook w:val="0600" w:firstRow="0" w:lastRow="0" w:firstColumn="0" w:lastColumn="0" w:noHBand="1" w:noVBand="1"/>
      </w:tblPr>
      <w:tblGrid>
        <w:gridCol w:w="1941"/>
        <w:gridCol w:w="3086"/>
        <w:gridCol w:w="2949"/>
        <w:gridCol w:w="1374"/>
      </w:tblGrid>
      <w:tr w:rsidR="00EF5DA0" w14:paraId="531797C4" w14:textId="77777777" w:rsidTr="00EF5DA0">
        <w:trPr>
          <w:trHeight w:val="515"/>
        </w:trPr>
        <w:tc>
          <w:tcPr>
            <w:tcW w:w="1038" w:type="pct"/>
          </w:tcPr>
          <w:p w14:paraId="1E64A513" w14:textId="77777777" w:rsidR="00EF5DA0" w:rsidRDefault="00EF5DA0" w:rsidP="007979B1">
            <w:pPr>
              <w:jc w:val="center"/>
              <w:rPr>
                <w:szCs w:val="24"/>
              </w:rPr>
            </w:pPr>
            <w:r>
              <w:rPr>
                <w:b/>
                <w:bCs/>
                <w:szCs w:val="24"/>
              </w:rPr>
              <w:t>Combination</w:t>
            </w:r>
          </w:p>
        </w:tc>
        <w:tc>
          <w:tcPr>
            <w:tcW w:w="1650" w:type="pct"/>
          </w:tcPr>
          <w:p w14:paraId="161D8F97" w14:textId="77777777" w:rsidR="00EF5DA0" w:rsidRDefault="00EF5DA0" w:rsidP="007979B1">
            <w:pPr>
              <w:jc w:val="center"/>
              <w:rPr>
                <w:szCs w:val="24"/>
              </w:rPr>
            </w:pPr>
            <w:r>
              <w:rPr>
                <w:b/>
                <w:bCs/>
                <w:szCs w:val="24"/>
              </w:rPr>
              <w:t>Total Investment (£m)</w:t>
            </w:r>
          </w:p>
        </w:tc>
        <w:tc>
          <w:tcPr>
            <w:tcW w:w="1577" w:type="pct"/>
          </w:tcPr>
          <w:p w14:paraId="071A447D" w14:textId="77777777" w:rsidR="00EF5DA0" w:rsidRDefault="00EF5DA0" w:rsidP="007979B1">
            <w:pPr>
              <w:jc w:val="center"/>
              <w:rPr>
                <w:szCs w:val="24"/>
              </w:rPr>
            </w:pPr>
            <w:r>
              <w:rPr>
                <w:b/>
                <w:bCs/>
                <w:szCs w:val="24"/>
              </w:rPr>
              <w:t>Combined NPV (£m)</w:t>
            </w:r>
          </w:p>
        </w:tc>
        <w:tc>
          <w:tcPr>
            <w:tcW w:w="735" w:type="pct"/>
          </w:tcPr>
          <w:p w14:paraId="15C21E78" w14:textId="77777777" w:rsidR="00EF5DA0" w:rsidRDefault="00EF5DA0" w:rsidP="007979B1">
            <w:pPr>
              <w:jc w:val="center"/>
              <w:rPr>
                <w:szCs w:val="24"/>
              </w:rPr>
            </w:pPr>
            <w:r>
              <w:rPr>
                <w:b/>
                <w:bCs/>
                <w:szCs w:val="24"/>
              </w:rPr>
              <w:t>Ranking</w:t>
            </w:r>
          </w:p>
        </w:tc>
      </w:tr>
      <w:tr w:rsidR="00EF5DA0" w14:paraId="2E47974D" w14:textId="77777777" w:rsidTr="00EF5DA0">
        <w:trPr>
          <w:trHeight w:val="515"/>
        </w:trPr>
        <w:tc>
          <w:tcPr>
            <w:tcW w:w="1038" w:type="pct"/>
          </w:tcPr>
          <w:p w14:paraId="4B26208E" w14:textId="77777777" w:rsidR="00EF5DA0" w:rsidRDefault="00EF5DA0" w:rsidP="007979B1">
            <w:pPr>
              <w:rPr>
                <w:szCs w:val="24"/>
              </w:rPr>
            </w:pPr>
            <w:r>
              <w:rPr>
                <w:szCs w:val="24"/>
              </w:rPr>
              <w:t>A + B</w:t>
            </w:r>
          </w:p>
        </w:tc>
        <w:tc>
          <w:tcPr>
            <w:tcW w:w="1650" w:type="pct"/>
          </w:tcPr>
          <w:p w14:paraId="10BBC613" w14:textId="77777777" w:rsidR="00EF5DA0" w:rsidRDefault="00EF5DA0" w:rsidP="007979B1">
            <w:pPr>
              <w:rPr>
                <w:szCs w:val="24"/>
              </w:rPr>
            </w:pPr>
            <w:r>
              <w:rPr>
                <w:szCs w:val="24"/>
              </w:rPr>
              <w:t>100</w:t>
            </w:r>
          </w:p>
        </w:tc>
        <w:tc>
          <w:tcPr>
            <w:tcW w:w="1577" w:type="pct"/>
          </w:tcPr>
          <w:p w14:paraId="0EAA7C41" w14:textId="77777777" w:rsidR="00EF5DA0" w:rsidRDefault="00EF5DA0" w:rsidP="007979B1">
            <w:pPr>
              <w:rPr>
                <w:szCs w:val="24"/>
              </w:rPr>
            </w:pPr>
            <w:r>
              <w:rPr>
                <w:szCs w:val="24"/>
              </w:rPr>
              <w:t>-17.00</w:t>
            </w:r>
          </w:p>
        </w:tc>
        <w:tc>
          <w:tcPr>
            <w:tcW w:w="735" w:type="pct"/>
          </w:tcPr>
          <w:p w14:paraId="3D6D89AD" w14:textId="77777777" w:rsidR="00EF5DA0" w:rsidRDefault="00EF5DA0" w:rsidP="007979B1">
            <w:pPr>
              <w:rPr>
                <w:szCs w:val="24"/>
              </w:rPr>
            </w:pPr>
            <w:r>
              <w:rPr>
                <w:szCs w:val="24"/>
              </w:rPr>
              <w:t>Worst</w:t>
            </w:r>
          </w:p>
        </w:tc>
      </w:tr>
      <w:tr w:rsidR="00EF5DA0" w14:paraId="37BAE950" w14:textId="77777777" w:rsidTr="00EF5DA0">
        <w:trPr>
          <w:trHeight w:val="515"/>
        </w:trPr>
        <w:tc>
          <w:tcPr>
            <w:tcW w:w="1038" w:type="pct"/>
          </w:tcPr>
          <w:p w14:paraId="0B843C91" w14:textId="77777777" w:rsidR="00EF5DA0" w:rsidRDefault="00EF5DA0" w:rsidP="007979B1">
            <w:pPr>
              <w:rPr>
                <w:szCs w:val="24"/>
              </w:rPr>
            </w:pPr>
            <w:r>
              <w:rPr>
                <w:szCs w:val="24"/>
              </w:rPr>
              <w:t>A + C</w:t>
            </w:r>
          </w:p>
        </w:tc>
        <w:tc>
          <w:tcPr>
            <w:tcW w:w="1650" w:type="pct"/>
          </w:tcPr>
          <w:p w14:paraId="6B14471D" w14:textId="77777777" w:rsidR="00EF5DA0" w:rsidRDefault="00EF5DA0" w:rsidP="007979B1">
            <w:pPr>
              <w:rPr>
                <w:szCs w:val="24"/>
              </w:rPr>
            </w:pPr>
            <w:r>
              <w:rPr>
                <w:szCs w:val="24"/>
              </w:rPr>
              <w:t>100</w:t>
            </w:r>
          </w:p>
        </w:tc>
        <w:tc>
          <w:tcPr>
            <w:tcW w:w="1577" w:type="pct"/>
          </w:tcPr>
          <w:p w14:paraId="03F90578" w14:textId="77777777" w:rsidR="00EF5DA0" w:rsidRDefault="00EF5DA0" w:rsidP="007979B1">
            <w:pPr>
              <w:rPr>
                <w:szCs w:val="24"/>
              </w:rPr>
            </w:pPr>
            <w:r>
              <w:rPr>
                <w:szCs w:val="24"/>
              </w:rPr>
              <w:t>-10.69</w:t>
            </w:r>
          </w:p>
        </w:tc>
        <w:tc>
          <w:tcPr>
            <w:tcW w:w="735" w:type="pct"/>
          </w:tcPr>
          <w:p w14:paraId="03538FA9" w14:textId="77777777" w:rsidR="00EF5DA0" w:rsidRDefault="00EF5DA0" w:rsidP="007979B1">
            <w:pPr>
              <w:rPr>
                <w:szCs w:val="24"/>
              </w:rPr>
            </w:pPr>
            <w:r>
              <w:rPr>
                <w:szCs w:val="24"/>
              </w:rPr>
              <w:t>Medium</w:t>
            </w:r>
          </w:p>
        </w:tc>
      </w:tr>
      <w:tr w:rsidR="00EF5DA0" w14:paraId="2DC37862" w14:textId="77777777" w:rsidTr="00EF5DA0">
        <w:trPr>
          <w:trHeight w:val="515"/>
        </w:trPr>
        <w:tc>
          <w:tcPr>
            <w:tcW w:w="1038" w:type="pct"/>
          </w:tcPr>
          <w:p w14:paraId="18956E45" w14:textId="77777777" w:rsidR="00EF5DA0" w:rsidRDefault="00EF5DA0" w:rsidP="007979B1">
            <w:pPr>
              <w:rPr>
                <w:szCs w:val="24"/>
              </w:rPr>
            </w:pPr>
            <w:r>
              <w:rPr>
                <w:szCs w:val="24"/>
              </w:rPr>
              <w:t>B + C</w:t>
            </w:r>
          </w:p>
        </w:tc>
        <w:tc>
          <w:tcPr>
            <w:tcW w:w="1650" w:type="pct"/>
          </w:tcPr>
          <w:p w14:paraId="37B40D22" w14:textId="77777777" w:rsidR="00EF5DA0" w:rsidRDefault="00EF5DA0" w:rsidP="007979B1">
            <w:pPr>
              <w:rPr>
                <w:szCs w:val="24"/>
              </w:rPr>
            </w:pPr>
            <w:r>
              <w:rPr>
                <w:szCs w:val="24"/>
              </w:rPr>
              <w:t>100</w:t>
            </w:r>
          </w:p>
        </w:tc>
        <w:tc>
          <w:tcPr>
            <w:tcW w:w="1577" w:type="pct"/>
          </w:tcPr>
          <w:p w14:paraId="11689072" w14:textId="77777777" w:rsidR="00EF5DA0" w:rsidRDefault="00EF5DA0" w:rsidP="007979B1">
            <w:pPr>
              <w:rPr>
                <w:szCs w:val="24"/>
              </w:rPr>
            </w:pPr>
            <w:r>
              <w:rPr>
                <w:b/>
                <w:bCs/>
                <w:szCs w:val="24"/>
              </w:rPr>
              <w:t>-10.31</w:t>
            </w:r>
          </w:p>
        </w:tc>
        <w:tc>
          <w:tcPr>
            <w:tcW w:w="735" w:type="pct"/>
          </w:tcPr>
          <w:p w14:paraId="737A16A4" w14:textId="77777777" w:rsidR="00EF5DA0" w:rsidRDefault="00EF5DA0" w:rsidP="007979B1">
            <w:pPr>
              <w:rPr>
                <w:szCs w:val="24"/>
              </w:rPr>
            </w:pPr>
            <w:r>
              <w:rPr>
                <w:szCs w:val="24"/>
              </w:rPr>
              <w:t>Best</w:t>
            </w:r>
          </w:p>
        </w:tc>
      </w:tr>
    </w:tbl>
    <w:p w14:paraId="3EEE032C" w14:textId="77777777" w:rsidR="00EF5DA0" w:rsidRDefault="00EF5DA0" w:rsidP="00EF5DA0">
      <w:pPr>
        <w:spacing w:before="240" w:after="240"/>
        <w:rPr>
          <w:szCs w:val="24"/>
        </w:rPr>
      </w:pPr>
      <w:r>
        <w:rPr>
          <w:szCs w:val="24"/>
        </w:rPr>
        <w:t>The analysis demonstrates that all combinations destroy values just to be valued at the 10% discount rate. Furthermore, the B + C combination results in the least negative NPV and is therefore the most acceptable in terms of finance using limited resources.</w:t>
      </w:r>
    </w:p>
    <w:p w14:paraId="4BFC71F8" w14:textId="77777777" w:rsidR="00EF5DA0" w:rsidRDefault="00EF5DA0" w:rsidP="00EF5DA0">
      <w:pPr>
        <w:spacing w:before="280"/>
        <w:rPr>
          <w:b/>
          <w:bCs/>
          <w:szCs w:val="24"/>
        </w:rPr>
      </w:pPr>
      <w:r>
        <w:rPr>
          <w:b/>
          <w:bCs/>
          <w:szCs w:val="24"/>
        </w:rPr>
        <w:t>Strategic Justification</w:t>
      </w:r>
    </w:p>
    <w:p w14:paraId="2EAD1FC5" w14:textId="77777777" w:rsidR="00EF5DA0" w:rsidRDefault="00EF5DA0" w:rsidP="00EF5DA0">
      <w:pPr>
        <w:spacing w:before="240" w:after="240"/>
        <w:rPr>
          <w:szCs w:val="24"/>
        </w:rPr>
      </w:pPr>
      <w:r>
        <w:rPr>
          <w:szCs w:val="24"/>
        </w:rPr>
        <w:lastRenderedPageBreak/>
        <w:t>This dominance of the B + C mix goes well beyond financial measures. Project B offers reliable and moderate cash inflows, improving predictability and facilitating the financial plan, whereas Project C offers quicker payback, which boosts liquidity. This balance will provide a balance between the stability of cash flows and the rapidity of recovery, which is necessary considering the deteriorating liquidity of Volkswagen.</w:t>
      </w:r>
    </w:p>
    <w:p w14:paraId="42A898E4" w14:textId="0159BFE0" w:rsidR="00EF5DA0" w:rsidRDefault="00EF5DA0" w:rsidP="00EF5DA0">
      <w:pPr>
        <w:spacing w:before="240" w:after="240"/>
        <w:rPr>
          <w:szCs w:val="24"/>
        </w:rPr>
      </w:pPr>
      <w:r>
        <w:rPr>
          <w:szCs w:val="24"/>
        </w:rPr>
        <w:t xml:space="preserve">Besides, two complementary projects will ensure a better risk diversification, decreasing reliance on one investment, and increasing operational resilience. Financially, the diminished profitability of Volkswagen means it needs restrained investment choices and the constrained liquidity needs both consistent and consistent inflows. Gearing is observed to have improved, but as Mathews </w:t>
      </w:r>
      <w:r w:rsidR="000D1D54" w:rsidRPr="000D1D54">
        <w:rPr>
          <w:i/>
          <w:szCs w:val="24"/>
        </w:rPr>
        <w:t>et al.</w:t>
      </w:r>
      <w:r>
        <w:rPr>
          <w:szCs w:val="24"/>
        </w:rPr>
        <w:t xml:space="preserve"> (2025) note, it is not resistant, which validates the importance of not pursuing overly forceful expansion tactics.</w:t>
      </w:r>
    </w:p>
    <w:p w14:paraId="58FE31E0" w14:textId="77777777" w:rsidR="00EF5DA0" w:rsidRDefault="00EF5DA0" w:rsidP="00EF5DA0">
      <w:pPr>
        <w:spacing w:before="240" w:after="240"/>
        <w:rPr>
          <w:i/>
          <w:iCs/>
          <w:szCs w:val="24"/>
        </w:rPr>
      </w:pPr>
      <w:r>
        <w:rPr>
          <w:i/>
          <w:iCs/>
          <w:szCs w:val="24"/>
        </w:rPr>
        <w:t>Project B + C under capital rationing would be the best economically prudent option as it reduces value erosion and balances liquidity, risk diversification, and stable cash flows.</w:t>
      </w:r>
    </w:p>
    <w:p w14:paraId="2ACC506B" w14:textId="77777777" w:rsidR="00EF5DA0" w:rsidRDefault="00EF5DA0" w:rsidP="00EF5DA0">
      <w:pPr>
        <w:pStyle w:val="Heading2"/>
        <w:spacing w:before="240" w:after="240"/>
      </w:pPr>
      <w:bookmarkStart w:id="48" w:name="_vqd14oihwqe3" w:colFirst="0" w:colLast="0"/>
      <w:bookmarkStart w:id="49" w:name="_Toc227851309"/>
      <w:bookmarkEnd w:id="48"/>
      <w:r>
        <w:t>5.6 Integrated Strategic Justification</w:t>
      </w:r>
      <w:bookmarkEnd w:id="49"/>
      <w:r>
        <w:t xml:space="preserve"> </w:t>
      </w:r>
    </w:p>
    <w:p w14:paraId="7B35DDE0" w14:textId="2D73F204" w:rsidR="00EF5DA0" w:rsidRDefault="00EF5DA0" w:rsidP="00EF5DA0">
      <w:pPr>
        <w:spacing w:before="240" w:after="240"/>
        <w:rPr>
          <w:szCs w:val="24"/>
        </w:rPr>
      </w:pPr>
      <w:r>
        <w:rPr>
          <w:szCs w:val="24"/>
        </w:rPr>
        <w:t xml:space="preserve">The last decision on investment should be treated as a whole within the framework of the current financial and strategic circumstances of Volkswagen AG. The persistence of financial shortage claims the necessity of high cash flow stability and quick capital recuperation (Xuan </w:t>
      </w:r>
      <w:r w:rsidR="000D1D54" w:rsidRPr="000D1D54">
        <w:rPr>
          <w:i/>
          <w:szCs w:val="24"/>
        </w:rPr>
        <w:t>et al.</w:t>
      </w:r>
      <w:r>
        <w:rPr>
          <w:szCs w:val="24"/>
        </w:rPr>
        <w:t>, 2025). Simultaneously, the shift of Volkswagen to the electric vehicle (EV) market requires constant investment to be competitive, even in the short run, in the face of financial pressure.</w:t>
      </w:r>
    </w:p>
    <w:p w14:paraId="5C8DE5BD" w14:textId="77777777" w:rsidR="00EF5DA0" w:rsidRDefault="00EF5DA0" w:rsidP="00EF5DA0">
      <w:pPr>
        <w:spacing w:before="240" w:after="240"/>
        <w:rPr>
          <w:szCs w:val="24"/>
        </w:rPr>
      </w:pPr>
      <w:r>
        <w:rPr>
          <w:szCs w:val="24"/>
        </w:rPr>
        <w:t>As the level of market uncertainty is high, with technological disruption and unstable consumer demand, it is important to avoid rigid commitments in the long term. Here, Project C gives liquidity power in the short term, whereas Project B gives predictable and steady returns. The combination of the two forms an ideal risk and return balance.</w:t>
      </w:r>
    </w:p>
    <w:p w14:paraId="4AB37E2B" w14:textId="77777777" w:rsidR="00EF5DA0" w:rsidRDefault="00EF5DA0" w:rsidP="00EF5DA0">
      <w:pPr>
        <w:spacing w:before="240" w:after="240"/>
        <w:rPr>
          <w:i/>
          <w:iCs/>
          <w:szCs w:val="24"/>
        </w:rPr>
      </w:pPr>
      <w:r>
        <w:rPr>
          <w:i/>
          <w:iCs/>
          <w:szCs w:val="24"/>
        </w:rPr>
        <w:t>This integrated investment approach is consistent with Volkswagen's need to face financial pressure and continue to strategically grow in the EV sector.</w:t>
      </w:r>
    </w:p>
    <w:p w14:paraId="62FC10C9" w14:textId="77777777" w:rsidR="00EF5DA0" w:rsidRDefault="00EF5DA0" w:rsidP="00EF5DA0">
      <w:pPr>
        <w:pStyle w:val="Heading1"/>
        <w:spacing w:before="240" w:after="240"/>
      </w:pPr>
      <w:bookmarkStart w:id="50" w:name="_jn8tqg92p1vo" w:colFirst="0" w:colLast="0"/>
      <w:bookmarkStart w:id="51" w:name="_Toc227851310"/>
      <w:bookmarkEnd w:id="50"/>
      <w:r>
        <w:lastRenderedPageBreak/>
        <w:t>6. Conclusion</w:t>
      </w:r>
      <w:bookmarkEnd w:id="51"/>
    </w:p>
    <w:p w14:paraId="355AB1AE" w14:textId="7B1CCEB3" w:rsidR="00D44929" w:rsidRPr="00EC5E32" w:rsidRDefault="00EF5DA0" w:rsidP="00EF5DA0">
      <w:pPr>
        <w:spacing w:before="240" w:after="240"/>
        <w:rPr>
          <w:szCs w:val="24"/>
          <w:lang w:val="en-GB"/>
        </w:rPr>
      </w:pPr>
      <w:r>
        <w:rPr>
          <w:szCs w:val="24"/>
        </w:rPr>
        <w:t>Improving liquidity and profitability difficulties of the EV transition are the primary reasons why Volkswagen is under financial pressure. Despite the fact that efficiency and the capital structure have been improved, there are risks. Investment analysis indicates that Project C is the most likely, and a combination of Projects B and C is the best in case of budget constraints. All in all, Volkswagen needs to work on optimizing cash flow, cost control, and wise investment choices to attain long-term stability of its financial position and competitiveness in the changing EV market.</w:t>
      </w:r>
    </w:p>
    <w:p w14:paraId="735F1E79" w14:textId="77777777" w:rsidR="009D28DC" w:rsidRPr="00EC5E32" w:rsidRDefault="009D28DC" w:rsidP="00D92A1E">
      <w:pPr>
        <w:rPr>
          <w:rFonts w:eastAsia="Times New Roman"/>
          <w:szCs w:val="24"/>
          <w:lang w:val="en-GB"/>
        </w:rPr>
      </w:pPr>
      <w:r w:rsidRPr="00EC5E32">
        <w:rPr>
          <w:rFonts w:eastAsia="Times New Roman"/>
          <w:szCs w:val="24"/>
          <w:lang w:val="en-GB"/>
        </w:rPr>
        <w:br w:type="page"/>
      </w:r>
    </w:p>
    <w:p w14:paraId="232105FD" w14:textId="77777777" w:rsidR="003C683A" w:rsidRPr="00EC5E32" w:rsidRDefault="002661DA" w:rsidP="00D92A1E">
      <w:pPr>
        <w:pStyle w:val="Heading1"/>
        <w:rPr>
          <w:lang w:val="en-GB"/>
        </w:rPr>
      </w:pPr>
      <w:bookmarkStart w:id="52" w:name="_Toc227851311"/>
      <w:r w:rsidRPr="00EC5E32">
        <w:rPr>
          <w:lang w:val="en-GB"/>
        </w:rPr>
        <w:lastRenderedPageBreak/>
        <w:t xml:space="preserve">7. </w:t>
      </w:r>
      <w:r w:rsidR="009D28DC" w:rsidRPr="00EC5E32">
        <w:rPr>
          <w:lang w:val="en-GB"/>
        </w:rPr>
        <w:t>References</w:t>
      </w:r>
      <w:bookmarkEnd w:id="52"/>
      <w:r w:rsidR="009D28DC" w:rsidRPr="00EC5E32">
        <w:rPr>
          <w:lang w:val="en-GB"/>
        </w:rPr>
        <w:t xml:space="preserve"> </w:t>
      </w:r>
    </w:p>
    <w:p w14:paraId="492C72DD" w14:textId="77777777" w:rsidR="002012A0" w:rsidRDefault="002012A0" w:rsidP="002012A0">
      <w:pPr>
        <w:spacing w:after="240"/>
        <w:rPr>
          <w:szCs w:val="24"/>
        </w:rPr>
      </w:pPr>
      <w:r>
        <w:rPr>
          <w:szCs w:val="24"/>
        </w:rPr>
        <w:t xml:space="preserve">Almanaseer, S. (2024). The Impact of Equity Financing on Financial Performance: Evidence from Jordan. </w:t>
      </w:r>
      <w:r>
        <w:rPr>
          <w:i/>
          <w:iCs/>
          <w:szCs w:val="24"/>
        </w:rPr>
        <w:t>Foundations of Management</w:t>
      </w:r>
      <w:r>
        <w:rPr>
          <w:szCs w:val="24"/>
        </w:rPr>
        <w:t>, [online] 16(1), pp.157–176. doi:</w:t>
      </w:r>
      <w:hyperlink r:id="rId14">
        <w:r>
          <w:rPr>
            <w:color w:val="1155CC"/>
            <w:szCs w:val="24"/>
            <w:u w:val="single"/>
          </w:rPr>
          <w:t>https://doi.org/10.2478/fman-2024-0010</w:t>
        </w:r>
      </w:hyperlink>
      <w:r>
        <w:rPr>
          <w:szCs w:val="24"/>
        </w:rPr>
        <w:t xml:space="preserve">. </w:t>
      </w:r>
    </w:p>
    <w:p w14:paraId="493F6652" w14:textId="77777777" w:rsidR="002012A0" w:rsidRDefault="002012A0" w:rsidP="002012A0">
      <w:pPr>
        <w:spacing w:after="240"/>
        <w:rPr>
          <w:szCs w:val="24"/>
        </w:rPr>
      </w:pPr>
      <w:r>
        <w:rPr>
          <w:szCs w:val="24"/>
        </w:rPr>
        <w:t xml:space="preserve">Dima, B., Dima, Ş.M. and Ioan, R. (2024). The short-run impact of investor expectations’ past volatility on current predictions: The case of VIX. </w:t>
      </w:r>
      <w:r>
        <w:rPr>
          <w:i/>
          <w:iCs/>
          <w:szCs w:val="24"/>
        </w:rPr>
        <w:t>Journal of International Financial Markets, Institutions and Money</w:t>
      </w:r>
      <w:r>
        <w:rPr>
          <w:szCs w:val="24"/>
        </w:rPr>
        <w:t>, [online] 98, p.102084. doi:</w:t>
      </w:r>
      <w:hyperlink r:id="rId15">
        <w:r>
          <w:rPr>
            <w:color w:val="1155CC"/>
            <w:szCs w:val="24"/>
            <w:u w:val="single"/>
          </w:rPr>
          <w:t>https://doi.org/10.1016/j.intfin.2024.102084</w:t>
        </w:r>
      </w:hyperlink>
      <w:r>
        <w:rPr>
          <w:szCs w:val="24"/>
        </w:rPr>
        <w:t xml:space="preserve">. </w:t>
      </w:r>
    </w:p>
    <w:p w14:paraId="2045300F" w14:textId="77777777" w:rsidR="002012A0" w:rsidRDefault="002012A0" w:rsidP="002012A0">
      <w:pPr>
        <w:spacing w:after="240"/>
        <w:rPr>
          <w:szCs w:val="24"/>
        </w:rPr>
      </w:pPr>
      <w:r>
        <w:rPr>
          <w:szCs w:val="24"/>
        </w:rPr>
        <w:t xml:space="preserve">Ding, Y., Chen, F., Feng, J. and Cheng, H. (2024). Competition and Pricing Strategy of Electric Vehicle Charging Services Considering Mobile Charging. </w:t>
      </w:r>
      <w:r>
        <w:rPr>
          <w:i/>
          <w:iCs/>
          <w:szCs w:val="24"/>
        </w:rPr>
        <w:t>IEEE Access</w:t>
      </w:r>
      <w:r>
        <w:rPr>
          <w:szCs w:val="24"/>
        </w:rPr>
        <w:t>, [online] 12, pp.88739–88755. doi:</w:t>
      </w:r>
      <w:hyperlink r:id="rId16">
        <w:r>
          <w:rPr>
            <w:color w:val="1155CC"/>
            <w:szCs w:val="24"/>
            <w:u w:val="single"/>
          </w:rPr>
          <w:t>https://doi.org/10.1109/access.2024.3418996</w:t>
        </w:r>
      </w:hyperlink>
      <w:r>
        <w:rPr>
          <w:szCs w:val="24"/>
        </w:rPr>
        <w:t xml:space="preserve">. </w:t>
      </w:r>
    </w:p>
    <w:p w14:paraId="195161E1" w14:textId="77777777" w:rsidR="002012A0" w:rsidRDefault="002012A0" w:rsidP="002012A0">
      <w:pPr>
        <w:spacing w:after="240"/>
        <w:rPr>
          <w:szCs w:val="24"/>
        </w:rPr>
      </w:pPr>
      <w:r>
        <w:rPr>
          <w:szCs w:val="24"/>
        </w:rPr>
        <w:t xml:space="preserve">Fasano, F., Rocca, M.L. and Rizzo, F. (2023). Working capital determinants in the automotive industry: an empirical analysis. </w:t>
      </w:r>
      <w:r>
        <w:rPr>
          <w:i/>
          <w:iCs/>
          <w:szCs w:val="24"/>
        </w:rPr>
        <w:t>International Journal of Automotive Technology and Management</w:t>
      </w:r>
      <w:r>
        <w:rPr>
          <w:szCs w:val="24"/>
        </w:rPr>
        <w:t xml:space="preserve">, [online] 23(2-3). Available at: </w:t>
      </w:r>
      <w:hyperlink r:id="rId17">
        <w:r>
          <w:rPr>
            <w:color w:val="1155CC"/>
            <w:szCs w:val="24"/>
            <w:u w:val="single"/>
          </w:rPr>
          <w:t>https://trid.trb.org/View/2248932</w:t>
        </w:r>
      </w:hyperlink>
      <w:r>
        <w:rPr>
          <w:szCs w:val="24"/>
        </w:rPr>
        <w:t xml:space="preserve"> [Accessed 23 Apr. 2026].</w:t>
      </w:r>
    </w:p>
    <w:p w14:paraId="6224B194" w14:textId="77777777" w:rsidR="002012A0" w:rsidRDefault="002012A0" w:rsidP="002012A0">
      <w:pPr>
        <w:spacing w:after="240"/>
        <w:rPr>
          <w:szCs w:val="24"/>
        </w:rPr>
      </w:pPr>
      <w:r>
        <w:rPr>
          <w:szCs w:val="24"/>
        </w:rPr>
        <w:t xml:space="preserve">Gandhi, J. (2025). Comparison of Short- Term Financing Options; Factoring As the Best Alternative. </w:t>
      </w:r>
      <w:r>
        <w:rPr>
          <w:i/>
          <w:iCs/>
          <w:szCs w:val="24"/>
        </w:rPr>
        <w:t>Journal of Information Systems Engineering &amp; Management</w:t>
      </w:r>
      <w:r>
        <w:rPr>
          <w:szCs w:val="24"/>
        </w:rPr>
        <w:t>, [online] 10(40s), pp.166–175. doi:</w:t>
      </w:r>
      <w:hyperlink r:id="rId18">
        <w:r>
          <w:rPr>
            <w:color w:val="1155CC"/>
            <w:szCs w:val="24"/>
            <w:u w:val="single"/>
          </w:rPr>
          <w:t>https://doi.org/10.52783/jisem.v10i40s.7261</w:t>
        </w:r>
      </w:hyperlink>
      <w:r>
        <w:rPr>
          <w:szCs w:val="24"/>
        </w:rPr>
        <w:t xml:space="preserve">. </w:t>
      </w:r>
    </w:p>
    <w:p w14:paraId="34BD677D" w14:textId="77777777" w:rsidR="002012A0" w:rsidRDefault="002012A0" w:rsidP="002012A0">
      <w:pPr>
        <w:spacing w:after="240"/>
        <w:rPr>
          <w:szCs w:val="24"/>
        </w:rPr>
      </w:pPr>
      <w:r>
        <w:rPr>
          <w:szCs w:val="24"/>
        </w:rPr>
        <w:t xml:space="preserve">Guedes, S. and Pinto, J. (2023). Pricing of project finance bonds: A comparative analysis of primary market spreads. </w:t>
      </w:r>
      <w:r>
        <w:rPr>
          <w:i/>
          <w:iCs/>
          <w:szCs w:val="24"/>
        </w:rPr>
        <w:t>Journal of Corporate Finance</w:t>
      </w:r>
      <w:r>
        <w:rPr>
          <w:szCs w:val="24"/>
        </w:rPr>
        <w:t>, 82, pp.102429–102429. doi:</w:t>
      </w:r>
      <w:hyperlink r:id="rId19">
        <w:r>
          <w:rPr>
            <w:color w:val="1155CC"/>
            <w:szCs w:val="24"/>
            <w:u w:val="single"/>
          </w:rPr>
          <w:t>https://doi.org/10.1016/j.jcorpfin.2023.102429</w:t>
        </w:r>
      </w:hyperlink>
      <w:r>
        <w:rPr>
          <w:szCs w:val="24"/>
        </w:rPr>
        <w:t xml:space="preserve">. </w:t>
      </w:r>
    </w:p>
    <w:p w14:paraId="6137EF63" w14:textId="77777777" w:rsidR="002012A0" w:rsidRDefault="002012A0" w:rsidP="002012A0">
      <w:pPr>
        <w:spacing w:after="240"/>
        <w:rPr>
          <w:szCs w:val="24"/>
        </w:rPr>
      </w:pPr>
      <w:r>
        <w:rPr>
          <w:szCs w:val="24"/>
        </w:rPr>
        <w:t xml:space="preserve">Habib, M.A., Rizvan, R. and Ahmed, S. (2023). Implementing lean manufacturing for improvement of operational performance in a labeling and packaging plant: A case study in Bangladesh. </w:t>
      </w:r>
      <w:r>
        <w:rPr>
          <w:i/>
          <w:iCs/>
          <w:szCs w:val="24"/>
        </w:rPr>
        <w:t>Results in Engineering</w:t>
      </w:r>
      <w:r>
        <w:rPr>
          <w:szCs w:val="24"/>
        </w:rPr>
        <w:t xml:space="preserve">, [online] 17(1), p.100818. Available at: </w:t>
      </w:r>
      <w:hyperlink r:id="rId20">
        <w:r>
          <w:rPr>
            <w:color w:val="1155CC"/>
            <w:szCs w:val="24"/>
            <w:u w:val="single"/>
          </w:rPr>
          <w:t>https://www.sciencedirect.com/science/article/pii/S2590123022004881</w:t>
        </w:r>
      </w:hyperlink>
      <w:r>
        <w:rPr>
          <w:szCs w:val="24"/>
        </w:rPr>
        <w:t xml:space="preserve">. </w:t>
      </w:r>
    </w:p>
    <w:p w14:paraId="39E7A605" w14:textId="77777777" w:rsidR="002012A0" w:rsidRDefault="002012A0" w:rsidP="002012A0">
      <w:pPr>
        <w:spacing w:after="240"/>
        <w:rPr>
          <w:szCs w:val="24"/>
        </w:rPr>
      </w:pPr>
      <w:r>
        <w:rPr>
          <w:szCs w:val="24"/>
        </w:rPr>
        <w:lastRenderedPageBreak/>
        <w:t xml:space="preserve">IEA (2024a). </w:t>
      </w:r>
      <w:r>
        <w:rPr>
          <w:i/>
          <w:iCs/>
          <w:szCs w:val="24"/>
        </w:rPr>
        <w:t>Trends in Electric Cars</w:t>
      </w:r>
      <w:r>
        <w:rPr>
          <w:szCs w:val="24"/>
        </w:rPr>
        <w:t xml:space="preserve">. [online] IEA. Available at: </w:t>
      </w:r>
      <w:hyperlink r:id="rId21">
        <w:r>
          <w:rPr>
            <w:color w:val="1155CC"/>
            <w:szCs w:val="24"/>
            <w:u w:val="single"/>
          </w:rPr>
          <w:t>https://www.iea.org/reports/global-ev-outlook-2024/trends-in-electric-cars</w:t>
        </w:r>
      </w:hyperlink>
      <w:r>
        <w:rPr>
          <w:szCs w:val="24"/>
        </w:rPr>
        <w:t xml:space="preserve"> [Accessed 23 Apr. 2026].</w:t>
      </w:r>
    </w:p>
    <w:p w14:paraId="06D8EDBA" w14:textId="77777777" w:rsidR="002012A0" w:rsidRDefault="002012A0" w:rsidP="002012A0">
      <w:pPr>
        <w:spacing w:after="240"/>
        <w:rPr>
          <w:szCs w:val="24"/>
        </w:rPr>
      </w:pPr>
      <w:r>
        <w:rPr>
          <w:szCs w:val="24"/>
        </w:rPr>
        <w:t xml:space="preserve">IEA (2024b). </w:t>
      </w:r>
      <w:r>
        <w:rPr>
          <w:i/>
          <w:iCs/>
          <w:szCs w:val="24"/>
        </w:rPr>
        <w:t>Trends in the electric vehicle industry</w:t>
      </w:r>
      <w:r>
        <w:rPr>
          <w:szCs w:val="24"/>
        </w:rPr>
        <w:t xml:space="preserve">. [online] IEA. Available at: </w:t>
      </w:r>
      <w:hyperlink r:id="rId22">
        <w:r>
          <w:rPr>
            <w:color w:val="1155CC"/>
            <w:szCs w:val="24"/>
            <w:u w:val="single"/>
          </w:rPr>
          <w:t>https://www.iea.org/reports/global-ev-outlook-2024/trends-in-the-electric-vehicle-industry</w:t>
        </w:r>
      </w:hyperlink>
      <w:r>
        <w:rPr>
          <w:szCs w:val="24"/>
        </w:rPr>
        <w:t xml:space="preserve"> [Accessed 23 Apr. 2026].</w:t>
      </w:r>
    </w:p>
    <w:p w14:paraId="4B24BF3A" w14:textId="77777777" w:rsidR="002012A0" w:rsidRDefault="002012A0" w:rsidP="002012A0">
      <w:pPr>
        <w:spacing w:after="240"/>
        <w:rPr>
          <w:szCs w:val="24"/>
        </w:rPr>
      </w:pPr>
      <w:r>
        <w:rPr>
          <w:szCs w:val="24"/>
        </w:rPr>
        <w:t xml:space="preserve">IMF. (2023). </w:t>
      </w:r>
      <w:r>
        <w:rPr>
          <w:i/>
          <w:iCs/>
          <w:szCs w:val="24"/>
        </w:rPr>
        <w:t>Dollar Exchange Rate volatility and Productivity Growth in Emerging Markets: Evidence from Firm Level Data</w:t>
      </w:r>
      <w:r>
        <w:rPr>
          <w:szCs w:val="24"/>
        </w:rPr>
        <w:t xml:space="preserve">. [online] Available at: </w:t>
      </w:r>
      <w:hyperlink r:id="rId23">
        <w:r>
          <w:rPr>
            <w:color w:val="1155CC"/>
            <w:szCs w:val="24"/>
            <w:u w:val="single"/>
          </w:rPr>
          <w:t>https://www.imf.org/en/Publications/WP/Issues/2023/05/26/Dollar-Exchange-Rate-volatility-and-Productivity-Growth-in-Emerging-Markets-Evidence-from-533847</w:t>
        </w:r>
      </w:hyperlink>
      <w:r>
        <w:rPr>
          <w:szCs w:val="24"/>
        </w:rPr>
        <w:t xml:space="preserve"> [Accessed 23 Apr. 2026].</w:t>
      </w:r>
    </w:p>
    <w:p w14:paraId="5BC8F8EC" w14:textId="77777777" w:rsidR="002012A0" w:rsidRDefault="002012A0" w:rsidP="002012A0">
      <w:pPr>
        <w:spacing w:after="240"/>
        <w:rPr>
          <w:szCs w:val="24"/>
        </w:rPr>
      </w:pPr>
      <w:r>
        <w:rPr>
          <w:szCs w:val="24"/>
        </w:rPr>
        <w:t xml:space="preserve">International Energy Agency (2023). </w:t>
      </w:r>
      <w:r>
        <w:rPr>
          <w:i/>
          <w:iCs/>
          <w:szCs w:val="24"/>
        </w:rPr>
        <w:t xml:space="preserve">World Energy Outlook 2023 </w:t>
      </w:r>
      <w:r>
        <w:rPr>
          <w:szCs w:val="24"/>
        </w:rPr>
        <w:t xml:space="preserve">. [online] IEA. Available at: </w:t>
      </w:r>
      <w:hyperlink r:id="rId24">
        <w:r>
          <w:rPr>
            <w:color w:val="1155CC"/>
            <w:szCs w:val="24"/>
            <w:u w:val="single"/>
          </w:rPr>
          <w:t>https://www.iea.org/reports/world-energy-outlook-2023</w:t>
        </w:r>
      </w:hyperlink>
      <w:r>
        <w:rPr>
          <w:szCs w:val="24"/>
        </w:rPr>
        <w:t xml:space="preserve"> [Accessed 23 Apr. 2026].</w:t>
      </w:r>
    </w:p>
    <w:p w14:paraId="4802624E" w14:textId="77777777" w:rsidR="002012A0" w:rsidRDefault="002012A0" w:rsidP="002012A0">
      <w:pPr>
        <w:spacing w:after="240"/>
        <w:rPr>
          <w:szCs w:val="24"/>
        </w:rPr>
      </w:pPr>
      <w:r>
        <w:rPr>
          <w:szCs w:val="24"/>
        </w:rPr>
        <w:t xml:space="preserve">Khan, R., Taqi, M. and Saba, A. (2021). The role of digitization in the automotive industry: The Indian perspective. </w:t>
      </w:r>
      <w:r>
        <w:rPr>
          <w:i/>
          <w:iCs/>
          <w:szCs w:val="24"/>
        </w:rPr>
        <w:t>International Journal of Business Ecosystem &amp; Strategy (2687-2293)</w:t>
      </w:r>
      <w:r>
        <w:rPr>
          <w:szCs w:val="24"/>
        </w:rPr>
        <w:t>, 3(4), pp.20–29. doi:</w:t>
      </w:r>
      <w:hyperlink r:id="rId25">
        <w:r>
          <w:rPr>
            <w:color w:val="1155CC"/>
            <w:szCs w:val="24"/>
            <w:u w:val="single"/>
          </w:rPr>
          <w:t>https://doi.org/10.36096/ijbes.v3i4.277</w:t>
        </w:r>
      </w:hyperlink>
      <w:r>
        <w:rPr>
          <w:szCs w:val="24"/>
        </w:rPr>
        <w:t xml:space="preserve">. </w:t>
      </w:r>
    </w:p>
    <w:p w14:paraId="1E822BBF" w14:textId="77777777" w:rsidR="002012A0" w:rsidRDefault="002012A0" w:rsidP="002012A0">
      <w:pPr>
        <w:spacing w:after="240"/>
        <w:rPr>
          <w:szCs w:val="24"/>
        </w:rPr>
      </w:pPr>
      <w:r>
        <w:rPr>
          <w:szCs w:val="24"/>
        </w:rPr>
        <w:t xml:space="preserve">Kim, B., Gong, Y., Choi, W. and Kim, I. (2026). Electric vehicle charging ecosystems: Integrated review of infrastructure development and pricing mechanisms. </w:t>
      </w:r>
      <w:r>
        <w:rPr>
          <w:i/>
          <w:iCs/>
          <w:szCs w:val="24"/>
        </w:rPr>
        <w:t>Energy Strategy Reviews</w:t>
      </w:r>
      <w:r>
        <w:rPr>
          <w:szCs w:val="24"/>
        </w:rPr>
        <w:t>, 64, p.102149. doi:</w:t>
      </w:r>
      <w:hyperlink r:id="rId26">
        <w:r>
          <w:rPr>
            <w:color w:val="1155CC"/>
            <w:szCs w:val="24"/>
            <w:u w:val="single"/>
          </w:rPr>
          <w:t>https://doi.org/10.1016/j.esr.2026.102149</w:t>
        </w:r>
      </w:hyperlink>
      <w:r>
        <w:rPr>
          <w:szCs w:val="24"/>
        </w:rPr>
        <w:t xml:space="preserve">. </w:t>
      </w:r>
    </w:p>
    <w:p w14:paraId="02D4F6F6" w14:textId="77777777" w:rsidR="002012A0" w:rsidRDefault="002012A0" w:rsidP="002012A0">
      <w:pPr>
        <w:spacing w:after="240"/>
        <w:rPr>
          <w:szCs w:val="24"/>
        </w:rPr>
      </w:pPr>
      <w:r>
        <w:rPr>
          <w:szCs w:val="24"/>
        </w:rPr>
        <w:t xml:space="preserve">Kurnia, M.R. (2022). The Effect of Interest Coverage Ratio, Basic Earning Power and Earning Per Share on Stock Price at PT. Indofood Sukses Makmur Tbk. </w:t>
      </w:r>
      <w:r>
        <w:rPr>
          <w:i/>
          <w:iCs/>
          <w:szCs w:val="24"/>
        </w:rPr>
        <w:t>Jurnal Simki Economic</w:t>
      </w:r>
      <w:r>
        <w:rPr>
          <w:szCs w:val="24"/>
        </w:rPr>
        <w:t>, 5(1), pp.50–59. doi:</w:t>
      </w:r>
      <w:hyperlink r:id="rId27">
        <w:r>
          <w:rPr>
            <w:color w:val="1155CC"/>
            <w:szCs w:val="24"/>
            <w:u w:val="single"/>
          </w:rPr>
          <w:t>https://doi.org/10.29407/jse.v5i1.127</w:t>
        </w:r>
      </w:hyperlink>
      <w:r>
        <w:rPr>
          <w:szCs w:val="24"/>
        </w:rPr>
        <w:t xml:space="preserve">. </w:t>
      </w:r>
    </w:p>
    <w:p w14:paraId="3F12F42A" w14:textId="77777777" w:rsidR="002012A0" w:rsidRDefault="002012A0" w:rsidP="002012A0">
      <w:pPr>
        <w:spacing w:after="240"/>
        <w:rPr>
          <w:szCs w:val="24"/>
        </w:rPr>
      </w:pPr>
      <w:r>
        <w:rPr>
          <w:szCs w:val="24"/>
        </w:rPr>
        <w:t xml:space="preserve">Liu, C.C., Boothman, S.G. and Graham, J.D. (2025). The Rise and Recent Decline of Tesla’s Share of the U.S. Electric Vehicle Market. </w:t>
      </w:r>
      <w:r>
        <w:rPr>
          <w:i/>
          <w:iCs/>
          <w:szCs w:val="24"/>
        </w:rPr>
        <w:t>World Electric Vehicle Journal</w:t>
      </w:r>
      <w:r>
        <w:rPr>
          <w:szCs w:val="24"/>
        </w:rPr>
        <w:t>, [online] 16(2), pp.90–90. doi:</w:t>
      </w:r>
      <w:hyperlink r:id="rId28">
        <w:r>
          <w:rPr>
            <w:color w:val="1155CC"/>
            <w:szCs w:val="24"/>
            <w:u w:val="single"/>
          </w:rPr>
          <w:t>https://doi.org/10.3390/wevj16020090</w:t>
        </w:r>
      </w:hyperlink>
      <w:r>
        <w:rPr>
          <w:szCs w:val="24"/>
        </w:rPr>
        <w:t xml:space="preserve">. </w:t>
      </w:r>
    </w:p>
    <w:p w14:paraId="552DBCF6" w14:textId="77777777" w:rsidR="002012A0" w:rsidRDefault="002012A0" w:rsidP="002012A0">
      <w:pPr>
        <w:spacing w:after="240"/>
        <w:rPr>
          <w:szCs w:val="24"/>
        </w:rPr>
      </w:pPr>
      <w:r>
        <w:rPr>
          <w:szCs w:val="24"/>
        </w:rPr>
        <w:lastRenderedPageBreak/>
        <w:t xml:space="preserve">Lundström, E., Jansson, F. and Andersson, M. (2023). Digital Transformation and Its Role in Enhancing Supply Chain Efficiency. </w:t>
      </w:r>
      <w:r>
        <w:rPr>
          <w:i/>
          <w:iCs/>
          <w:szCs w:val="24"/>
        </w:rPr>
        <w:t>International Journal of Economics, Management and Accounting</w:t>
      </w:r>
      <w:r>
        <w:rPr>
          <w:szCs w:val="24"/>
        </w:rPr>
        <w:t>, 1(1), pp.11–15. doi:</w:t>
      </w:r>
      <w:hyperlink r:id="rId29">
        <w:r>
          <w:rPr>
            <w:color w:val="1155CC"/>
            <w:szCs w:val="24"/>
            <w:u w:val="single"/>
          </w:rPr>
          <w:t>https://doi.org/10.61132/ijema.v1i1.318</w:t>
        </w:r>
      </w:hyperlink>
      <w:r>
        <w:rPr>
          <w:szCs w:val="24"/>
        </w:rPr>
        <w:t xml:space="preserve">. </w:t>
      </w:r>
    </w:p>
    <w:p w14:paraId="56B701B5" w14:textId="77777777" w:rsidR="002012A0" w:rsidRDefault="002012A0" w:rsidP="002012A0">
      <w:pPr>
        <w:spacing w:after="240"/>
        <w:rPr>
          <w:szCs w:val="24"/>
        </w:rPr>
      </w:pPr>
      <w:r>
        <w:rPr>
          <w:szCs w:val="24"/>
        </w:rPr>
        <w:t xml:space="preserve">Mathews, M., Krishnan, V., Malek, B.A. and Joseph, B. (2025). The relationship between gearing ratio and return on equity (ROE) ratio to earnings per share (EPS). </w:t>
      </w:r>
      <w:r>
        <w:rPr>
          <w:i/>
          <w:iCs/>
          <w:szCs w:val="24"/>
        </w:rPr>
        <w:t>Journal of Infrastructure, Policy and Development</w:t>
      </w:r>
      <w:r>
        <w:rPr>
          <w:szCs w:val="24"/>
        </w:rPr>
        <w:t>, 9(2), p.10071. doi:</w:t>
      </w:r>
      <w:hyperlink r:id="rId30">
        <w:r>
          <w:rPr>
            <w:color w:val="1155CC"/>
            <w:szCs w:val="24"/>
            <w:u w:val="single"/>
          </w:rPr>
          <w:t>https://doi.org/10.24294/jipd10071</w:t>
        </w:r>
      </w:hyperlink>
      <w:r>
        <w:rPr>
          <w:szCs w:val="24"/>
        </w:rPr>
        <w:t xml:space="preserve">. </w:t>
      </w:r>
    </w:p>
    <w:p w14:paraId="45C95C83" w14:textId="77777777" w:rsidR="002012A0" w:rsidRDefault="002012A0" w:rsidP="002012A0">
      <w:pPr>
        <w:spacing w:after="240"/>
        <w:rPr>
          <w:szCs w:val="24"/>
        </w:rPr>
      </w:pPr>
      <w:r>
        <w:rPr>
          <w:szCs w:val="24"/>
        </w:rPr>
        <w:t xml:space="preserve">McKinsey &amp; Company (2024). </w:t>
      </w:r>
      <w:r>
        <w:rPr>
          <w:i/>
          <w:iCs/>
          <w:szCs w:val="24"/>
        </w:rPr>
        <w:t>The Trends Transforming mobility, Electric vehicles, Autonomous driving, and Micromobility | McKinsey</w:t>
      </w:r>
      <w:r>
        <w:rPr>
          <w:szCs w:val="24"/>
        </w:rPr>
        <w:t xml:space="preserve">. [online] www.mckinsey.com. Available at: </w:t>
      </w:r>
      <w:hyperlink r:id="rId31">
        <w:r>
          <w:rPr>
            <w:color w:val="1155CC"/>
            <w:szCs w:val="24"/>
            <w:u w:val="single"/>
          </w:rPr>
          <w:t>https://www.mckinsey.com/industries/automotive-and-assembly/our-insights/spotlight-on-mobility-trends</w:t>
        </w:r>
      </w:hyperlink>
      <w:r>
        <w:rPr>
          <w:szCs w:val="24"/>
        </w:rPr>
        <w:t xml:space="preserve"> [Accessed 23 Apr. 2026].</w:t>
      </w:r>
    </w:p>
    <w:p w14:paraId="58EEECAC" w14:textId="77777777" w:rsidR="002012A0" w:rsidRDefault="002012A0" w:rsidP="002012A0">
      <w:pPr>
        <w:spacing w:after="240"/>
        <w:rPr>
          <w:szCs w:val="24"/>
        </w:rPr>
      </w:pPr>
      <w:r>
        <w:rPr>
          <w:szCs w:val="24"/>
        </w:rPr>
        <w:t xml:space="preserve">Mutambik, I. (2024). The Role of Strategic Partnerships and Digital Transformation in Enhancing Supply Chain Agility and Performance. </w:t>
      </w:r>
      <w:r>
        <w:rPr>
          <w:i/>
          <w:iCs/>
          <w:szCs w:val="24"/>
        </w:rPr>
        <w:t>Systems</w:t>
      </w:r>
      <w:r>
        <w:rPr>
          <w:szCs w:val="24"/>
        </w:rPr>
        <w:t>, [online] 12(11), pp.456–456. doi:</w:t>
      </w:r>
      <w:hyperlink r:id="rId32">
        <w:r>
          <w:rPr>
            <w:color w:val="1155CC"/>
            <w:szCs w:val="24"/>
            <w:u w:val="single"/>
          </w:rPr>
          <w:t>https://doi.org/10.3390/systems12110456</w:t>
        </w:r>
      </w:hyperlink>
      <w:r>
        <w:rPr>
          <w:szCs w:val="24"/>
        </w:rPr>
        <w:t xml:space="preserve">. </w:t>
      </w:r>
    </w:p>
    <w:p w14:paraId="60FA6F94" w14:textId="77777777" w:rsidR="002012A0" w:rsidRDefault="002012A0" w:rsidP="002012A0">
      <w:pPr>
        <w:spacing w:after="240"/>
        <w:rPr>
          <w:szCs w:val="24"/>
        </w:rPr>
      </w:pPr>
      <w:r>
        <w:rPr>
          <w:szCs w:val="24"/>
        </w:rPr>
        <w:t xml:space="preserve">Nor Adila Zulkifli and Noor (2025). Budgeting and Forecasting Challenges for EV Startups in a Capital-Intensive Market. </w:t>
      </w:r>
      <w:r>
        <w:rPr>
          <w:i/>
          <w:iCs/>
          <w:szCs w:val="24"/>
        </w:rPr>
        <w:t>International Journal of Research and Innovation in Social Science</w:t>
      </w:r>
      <w:r>
        <w:rPr>
          <w:szCs w:val="24"/>
        </w:rPr>
        <w:t>, [online] 9(10), pp.2091–2106. doi:</w:t>
      </w:r>
      <w:hyperlink r:id="rId33">
        <w:r>
          <w:rPr>
            <w:color w:val="1155CC"/>
            <w:szCs w:val="24"/>
            <w:u w:val="single"/>
          </w:rPr>
          <w:t>https://doi.org/10.47772/ijriss.2025.910000175</w:t>
        </w:r>
      </w:hyperlink>
      <w:r>
        <w:rPr>
          <w:szCs w:val="24"/>
        </w:rPr>
        <w:t xml:space="preserve">. </w:t>
      </w:r>
    </w:p>
    <w:p w14:paraId="02976C97" w14:textId="77777777" w:rsidR="002012A0" w:rsidRDefault="002012A0" w:rsidP="002012A0">
      <w:pPr>
        <w:spacing w:after="240"/>
        <w:rPr>
          <w:szCs w:val="24"/>
        </w:rPr>
      </w:pPr>
      <w:r>
        <w:rPr>
          <w:szCs w:val="24"/>
        </w:rPr>
        <w:t xml:space="preserve">Oduor, J.W., Ngala, C., Ruto, R. and Abdillahi, U.A. (2021). Effect of Inflation On Growth of Manufacturing Sector in Kenya (2008-2017). </w:t>
      </w:r>
      <w:r>
        <w:rPr>
          <w:i/>
          <w:iCs/>
          <w:szCs w:val="24"/>
        </w:rPr>
        <w:t>Asian Journal of Economics, Business and Accounting</w:t>
      </w:r>
      <w:r>
        <w:rPr>
          <w:szCs w:val="24"/>
        </w:rPr>
        <w:t>, pp.17–34. doi:</w:t>
      </w:r>
      <w:hyperlink r:id="rId34">
        <w:r>
          <w:rPr>
            <w:color w:val="1155CC"/>
            <w:szCs w:val="24"/>
            <w:u w:val="single"/>
          </w:rPr>
          <w:t>https://doi.org/10.9734/ajeba/2021/v21i1030428</w:t>
        </w:r>
      </w:hyperlink>
      <w:r>
        <w:rPr>
          <w:szCs w:val="24"/>
        </w:rPr>
        <w:t xml:space="preserve">. </w:t>
      </w:r>
    </w:p>
    <w:p w14:paraId="062D9EF2" w14:textId="77777777" w:rsidR="002012A0" w:rsidRDefault="002012A0" w:rsidP="002012A0">
      <w:pPr>
        <w:spacing w:after="240"/>
        <w:rPr>
          <w:szCs w:val="24"/>
        </w:rPr>
      </w:pPr>
      <w:r>
        <w:rPr>
          <w:szCs w:val="24"/>
        </w:rPr>
        <w:t xml:space="preserve">Olaiya, P., Olayinka, N., None Temitayo Oluwadamilola Adesoga, Ajayi, O., None Fehintola Moyosore Sotomi and Olagunju, D. (2024). Evaluating the influence of working capital management on corporate performance. </w:t>
      </w:r>
      <w:r>
        <w:rPr>
          <w:i/>
          <w:iCs/>
          <w:szCs w:val="24"/>
        </w:rPr>
        <w:t>World Journal of Advanced Research and Reviews</w:t>
      </w:r>
      <w:r>
        <w:rPr>
          <w:szCs w:val="24"/>
        </w:rPr>
        <w:t>, 22(3), pp.2030–2037. doi:</w:t>
      </w:r>
      <w:hyperlink r:id="rId35">
        <w:r>
          <w:rPr>
            <w:color w:val="1155CC"/>
            <w:szCs w:val="24"/>
            <w:u w:val="single"/>
          </w:rPr>
          <w:t>https://doi.org/10.30574/wjarr.2024.22.3.1974</w:t>
        </w:r>
      </w:hyperlink>
      <w:r>
        <w:rPr>
          <w:szCs w:val="24"/>
        </w:rPr>
        <w:t xml:space="preserve">. </w:t>
      </w:r>
    </w:p>
    <w:p w14:paraId="1F376556" w14:textId="77777777" w:rsidR="002012A0" w:rsidRDefault="002012A0" w:rsidP="002012A0">
      <w:pPr>
        <w:spacing w:after="240"/>
        <w:rPr>
          <w:szCs w:val="24"/>
        </w:rPr>
      </w:pPr>
      <w:r>
        <w:rPr>
          <w:szCs w:val="24"/>
        </w:rPr>
        <w:lastRenderedPageBreak/>
        <w:t xml:space="preserve">Purnamasari, P. (2024). Capital budgeting techniques and financial performance: a comparison between SMEs and large listed firms. </w:t>
      </w:r>
      <w:r>
        <w:rPr>
          <w:i/>
          <w:iCs/>
          <w:szCs w:val="24"/>
        </w:rPr>
        <w:t>Cogent Economics &amp; Finance</w:t>
      </w:r>
      <w:r>
        <w:rPr>
          <w:szCs w:val="24"/>
        </w:rPr>
        <w:t>, 12(1). doi:</w:t>
      </w:r>
      <w:hyperlink r:id="rId36">
        <w:r>
          <w:rPr>
            <w:color w:val="1155CC"/>
            <w:szCs w:val="24"/>
            <w:u w:val="single"/>
          </w:rPr>
          <w:t>https://doi.org/10.1080/23322039.2024.2404707</w:t>
        </w:r>
      </w:hyperlink>
      <w:r>
        <w:rPr>
          <w:szCs w:val="24"/>
        </w:rPr>
        <w:t xml:space="preserve">. </w:t>
      </w:r>
    </w:p>
    <w:p w14:paraId="2B376049" w14:textId="77777777" w:rsidR="002012A0" w:rsidRDefault="002012A0" w:rsidP="002012A0">
      <w:pPr>
        <w:spacing w:after="240"/>
        <w:rPr>
          <w:szCs w:val="24"/>
        </w:rPr>
      </w:pPr>
      <w:r>
        <w:rPr>
          <w:szCs w:val="24"/>
        </w:rPr>
        <w:t xml:space="preserve">Silva, F. and Silva, S. (2026). Working Capital Management and Corporate Performance: The Role of Financial Constraints. </w:t>
      </w:r>
      <w:r>
        <w:rPr>
          <w:i/>
          <w:iCs/>
          <w:szCs w:val="24"/>
        </w:rPr>
        <w:t>International Review of Economics &amp; Finance</w:t>
      </w:r>
      <w:r>
        <w:rPr>
          <w:szCs w:val="24"/>
        </w:rPr>
        <w:t>, pp.104926–104926. doi:</w:t>
      </w:r>
      <w:hyperlink r:id="rId37">
        <w:r>
          <w:rPr>
            <w:color w:val="1155CC"/>
            <w:szCs w:val="24"/>
            <w:u w:val="single"/>
          </w:rPr>
          <w:t>https://doi.org/10.1016/j.iref.2026.104926</w:t>
        </w:r>
      </w:hyperlink>
      <w:r>
        <w:rPr>
          <w:szCs w:val="24"/>
        </w:rPr>
        <w:t xml:space="preserve">. </w:t>
      </w:r>
    </w:p>
    <w:p w14:paraId="0675A920" w14:textId="77777777" w:rsidR="002012A0" w:rsidRDefault="002012A0" w:rsidP="002012A0">
      <w:pPr>
        <w:spacing w:after="240"/>
        <w:rPr>
          <w:szCs w:val="24"/>
        </w:rPr>
      </w:pPr>
      <w:r>
        <w:rPr>
          <w:szCs w:val="24"/>
        </w:rPr>
        <w:t xml:space="preserve">Silva, N.F., dos Santos, M., Gomes, C.F.S. and de Andrade, L.P. (2023). An integrated CRITIC and Grey Relational Analysis approach for investment portfolio selection. </w:t>
      </w:r>
      <w:r>
        <w:rPr>
          <w:i/>
          <w:iCs/>
          <w:szCs w:val="24"/>
        </w:rPr>
        <w:t>Decision Analytics Journal</w:t>
      </w:r>
      <w:r>
        <w:rPr>
          <w:szCs w:val="24"/>
        </w:rPr>
        <w:t>, [online] 8, p.100285. doi:</w:t>
      </w:r>
      <w:hyperlink r:id="rId38">
        <w:r>
          <w:rPr>
            <w:color w:val="1155CC"/>
            <w:szCs w:val="24"/>
            <w:u w:val="single"/>
          </w:rPr>
          <w:t>https://doi.org/10.1016/j.dajour.2023.100285</w:t>
        </w:r>
      </w:hyperlink>
      <w:r>
        <w:rPr>
          <w:szCs w:val="24"/>
        </w:rPr>
        <w:t xml:space="preserve">. </w:t>
      </w:r>
    </w:p>
    <w:p w14:paraId="6AE5EF3A" w14:textId="77777777" w:rsidR="002012A0" w:rsidRDefault="002012A0" w:rsidP="002012A0">
      <w:pPr>
        <w:spacing w:after="240"/>
        <w:rPr>
          <w:szCs w:val="24"/>
        </w:rPr>
      </w:pPr>
      <w:r>
        <w:rPr>
          <w:szCs w:val="24"/>
        </w:rPr>
        <w:t xml:space="preserve">Susanti, T., Rionaldi, R., Aristiawan, D., Taufid, H. and Lusiana, L. (2025). Implementation Of Just-In-Time (Jit) In Inventory Management: A Case Study In A Manufacturing Company. </w:t>
      </w:r>
      <w:r>
        <w:rPr>
          <w:i/>
          <w:iCs/>
          <w:szCs w:val="24"/>
        </w:rPr>
        <w:t>Eduvest - Journal Of Universal Studies</w:t>
      </w:r>
      <w:r>
        <w:rPr>
          <w:szCs w:val="24"/>
        </w:rPr>
        <w:t>, 5(7), pp.6208–6216. doi:</w:t>
      </w:r>
      <w:hyperlink r:id="rId39">
        <w:r>
          <w:rPr>
            <w:color w:val="1155CC"/>
            <w:szCs w:val="24"/>
            <w:u w:val="single"/>
          </w:rPr>
          <w:t>https://doi.org/10.59188/eduvest.v5i7.51625</w:t>
        </w:r>
      </w:hyperlink>
      <w:r>
        <w:rPr>
          <w:szCs w:val="24"/>
        </w:rPr>
        <w:t xml:space="preserve">. </w:t>
      </w:r>
    </w:p>
    <w:p w14:paraId="121767EA" w14:textId="77777777" w:rsidR="002012A0" w:rsidRDefault="002012A0" w:rsidP="002012A0">
      <w:pPr>
        <w:spacing w:after="240"/>
        <w:rPr>
          <w:szCs w:val="24"/>
        </w:rPr>
      </w:pPr>
      <w:r>
        <w:rPr>
          <w:szCs w:val="24"/>
        </w:rPr>
        <w:t xml:space="preserve">Tébar-Rubio, J.V., Ramírez, F.J. and Ruiz-Ortega, M.J. (2022). Conducting Action Research to Improve Operational Efficiency in Manufacturing: The Case of a First-Tier Automotive Supplier. </w:t>
      </w:r>
      <w:r>
        <w:rPr>
          <w:i/>
          <w:iCs/>
          <w:szCs w:val="24"/>
        </w:rPr>
        <w:t>Systemic Practice and Action Research</w:t>
      </w:r>
      <w:r>
        <w:rPr>
          <w:szCs w:val="24"/>
        </w:rPr>
        <w:t>. doi:</w:t>
      </w:r>
      <w:hyperlink r:id="rId40">
        <w:r>
          <w:rPr>
            <w:color w:val="1155CC"/>
            <w:szCs w:val="24"/>
            <w:u w:val="single"/>
          </w:rPr>
          <w:t>https://doi.org/10.1007/s11213-022-09616-w</w:t>
        </w:r>
      </w:hyperlink>
      <w:r>
        <w:rPr>
          <w:szCs w:val="24"/>
        </w:rPr>
        <w:t xml:space="preserve">. </w:t>
      </w:r>
    </w:p>
    <w:p w14:paraId="26FA442A" w14:textId="77777777" w:rsidR="002012A0" w:rsidRDefault="002012A0" w:rsidP="002012A0">
      <w:pPr>
        <w:spacing w:after="240"/>
        <w:rPr>
          <w:szCs w:val="24"/>
        </w:rPr>
      </w:pPr>
      <w:r>
        <w:rPr>
          <w:szCs w:val="24"/>
        </w:rPr>
        <w:t xml:space="preserve">Ulimwengu, J.M. and Sanginga, B. (2025). The complex economics of a complete ban on child labor in the cobalt supply chain: The case of the DR Congo. </w:t>
      </w:r>
      <w:r>
        <w:rPr>
          <w:i/>
          <w:iCs/>
          <w:szCs w:val="24"/>
        </w:rPr>
        <w:t>The Extractive Industries and Society</w:t>
      </w:r>
      <w:r>
        <w:rPr>
          <w:szCs w:val="24"/>
        </w:rPr>
        <w:t>, [online] 23, p.101687. doi:</w:t>
      </w:r>
      <w:hyperlink r:id="rId41">
        <w:r>
          <w:rPr>
            <w:color w:val="1155CC"/>
            <w:szCs w:val="24"/>
            <w:u w:val="single"/>
          </w:rPr>
          <w:t>https://doi.org/10.1016/j.exis.2025.101687</w:t>
        </w:r>
      </w:hyperlink>
      <w:r>
        <w:rPr>
          <w:szCs w:val="24"/>
        </w:rPr>
        <w:t xml:space="preserve">. </w:t>
      </w:r>
    </w:p>
    <w:p w14:paraId="6A15D606" w14:textId="77777777" w:rsidR="002012A0" w:rsidRDefault="002012A0" w:rsidP="002012A0">
      <w:pPr>
        <w:spacing w:after="240"/>
        <w:rPr>
          <w:szCs w:val="24"/>
        </w:rPr>
      </w:pPr>
      <w:r>
        <w:rPr>
          <w:szCs w:val="24"/>
        </w:rPr>
        <w:t xml:space="preserve">Umar, M.A. (2023). Corporate Restructuring. </w:t>
      </w:r>
      <w:r>
        <w:rPr>
          <w:i/>
          <w:iCs/>
          <w:szCs w:val="24"/>
        </w:rPr>
        <w:t>International Journal of Strategic Decision Sciences</w:t>
      </w:r>
      <w:r>
        <w:rPr>
          <w:szCs w:val="24"/>
        </w:rPr>
        <w:t>, [online] 14(1), pp.1–11. doi:</w:t>
      </w:r>
      <w:hyperlink r:id="rId42">
        <w:r>
          <w:rPr>
            <w:color w:val="1155CC"/>
            <w:szCs w:val="24"/>
            <w:u w:val="single"/>
          </w:rPr>
          <w:t>https://doi.org/10.4018/ijsds.319974</w:t>
        </w:r>
      </w:hyperlink>
      <w:r>
        <w:rPr>
          <w:szCs w:val="24"/>
        </w:rPr>
        <w:t xml:space="preserve">. </w:t>
      </w:r>
    </w:p>
    <w:p w14:paraId="62C08B0E" w14:textId="77777777" w:rsidR="002012A0" w:rsidRDefault="002012A0" w:rsidP="002012A0">
      <w:pPr>
        <w:spacing w:after="240"/>
        <w:rPr>
          <w:szCs w:val="24"/>
        </w:rPr>
      </w:pPr>
      <w:r>
        <w:rPr>
          <w:szCs w:val="24"/>
        </w:rPr>
        <w:t xml:space="preserve">Volkswagen (2023). </w:t>
      </w:r>
      <w:r>
        <w:rPr>
          <w:i/>
          <w:iCs/>
          <w:szCs w:val="24"/>
        </w:rPr>
        <w:t>Balance Sheet</w:t>
      </w:r>
      <w:r>
        <w:rPr>
          <w:szCs w:val="24"/>
        </w:rPr>
        <w:t xml:space="preserve">. [online] VW Annual Report 2023. Available at: </w:t>
      </w:r>
      <w:hyperlink r:id="rId43">
        <w:r>
          <w:rPr>
            <w:color w:val="1155CC"/>
            <w:szCs w:val="24"/>
            <w:u w:val="single"/>
          </w:rPr>
          <w:t>https://annualreport2023.volkswagen-group.com/consolidated-financial-statements/balance-sheet.html</w:t>
        </w:r>
      </w:hyperlink>
      <w:r>
        <w:rPr>
          <w:szCs w:val="24"/>
        </w:rPr>
        <w:t xml:space="preserve"> [Accessed 23 Apr. 2026].</w:t>
      </w:r>
    </w:p>
    <w:p w14:paraId="0FA380FD" w14:textId="77777777" w:rsidR="002012A0" w:rsidRDefault="002012A0" w:rsidP="002012A0">
      <w:pPr>
        <w:spacing w:after="240"/>
        <w:rPr>
          <w:szCs w:val="24"/>
        </w:rPr>
      </w:pPr>
      <w:r>
        <w:rPr>
          <w:szCs w:val="24"/>
        </w:rPr>
        <w:lastRenderedPageBreak/>
        <w:t xml:space="preserve">Volkswagen (2025). </w:t>
      </w:r>
      <w:r>
        <w:rPr>
          <w:i/>
          <w:iCs/>
          <w:szCs w:val="24"/>
        </w:rPr>
        <w:t>Cash Flow Statement - Volkswagen Group Annual Report 2025</w:t>
      </w:r>
      <w:r>
        <w:rPr>
          <w:szCs w:val="24"/>
        </w:rPr>
        <w:t xml:space="preserve">. [online] Volkswagen Group Annual Report 2025. Available at: </w:t>
      </w:r>
      <w:hyperlink r:id="rId44">
        <w:r>
          <w:rPr>
            <w:color w:val="1155CC"/>
            <w:szCs w:val="24"/>
            <w:u w:val="single"/>
          </w:rPr>
          <w:t>https://annualreport2025.volkswagen-group.com/consolidated-financial-statements/cash-flow-statement.html</w:t>
        </w:r>
      </w:hyperlink>
      <w:r>
        <w:rPr>
          <w:szCs w:val="24"/>
        </w:rPr>
        <w:t xml:space="preserve"> [Accessed 23 Apr. 2026].</w:t>
      </w:r>
    </w:p>
    <w:p w14:paraId="0E9828C7" w14:textId="77777777" w:rsidR="002012A0" w:rsidRDefault="002012A0" w:rsidP="002012A0">
      <w:pPr>
        <w:spacing w:after="240"/>
        <w:rPr>
          <w:szCs w:val="24"/>
        </w:rPr>
      </w:pPr>
      <w:r>
        <w:rPr>
          <w:szCs w:val="24"/>
        </w:rPr>
        <w:t xml:space="preserve">Volkswagen Group (2022). </w:t>
      </w:r>
      <w:r>
        <w:rPr>
          <w:i/>
          <w:iCs/>
          <w:szCs w:val="24"/>
        </w:rPr>
        <w:t>Annual Report 2021 | Volkswagen Group</w:t>
      </w:r>
      <w:r>
        <w:rPr>
          <w:szCs w:val="24"/>
        </w:rPr>
        <w:t xml:space="preserve">. [online] Volkswagen-group.com. Available at: </w:t>
      </w:r>
      <w:hyperlink r:id="rId45">
        <w:r>
          <w:rPr>
            <w:color w:val="1155CC"/>
            <w:szCs w:val="24"/>
            <w:u w:val="single"/>
          </w:rPr>
          <w:t>https://www.volkswagen-group.com/en/publications/more/annual-report-2021-1791</w:t>
        </w:r>
      </w:hyperlink>
      <w:r>
        <w:rPr>
          <w:szCs w:val="24"/>
        </w:rPr>
        <w:t xml:space="preserve">. </w:t>
      </w:r>
    </w:p>
    <w:p w14:paraId="7E611CFA" w14:textId="77777777" w:rsidR="002012A0" w:rsidRDefault="002012A0" w:rsidP="002012A0">
      <w:pPr>
        <w:spacing w:after="240"/>
        <w:rPr>
          <w:szCs w:val="24"/>
        </w:rPr>
      </w:pPr>
      <w:r>
        <w:rPr>
          <w:szCs w:val="24"/>
        </w:rPr>
        <w:t xml:space="preserve">Xuan, T., Thu, T. and Nguyen, C.V. (2025). The impact of working capital management on the financial performance of listed enterprises: empirical evidence from Vietnam. </w:t>
      </w:r>
      <w:r>
        <w:rPr>
          <w:i/>
          <w:iCs/>
          <w:szCs w:val="24"/>
        </w:rPr>
        <w:t>Cogent Business &amp; Management</w:t>
      </w:r>
      <w:r>
        <w:rPr>
          <w:szCs w:val="24"/>
        </w:rPr>
        <w:t>, [online] 12(1). doi:</w:t>
      </w:r>
      <w:hyperlink r:id="rId46">
        <w:r>
          <w:rPr>
            <w:color w:val="1155CC"/>
            <w:szCs w:val="24"/>
            <w:u w:val="single"/>
          </w:rPr>
          <w:t>https://doi.org/10.1080/23311975.2025.2473033</w:t>
        </w:r>
      </w:hyperlink>
      <w:r>
        <w:rPr>
          <w:szCs w:val="24"/>
        </w:rPr>
        <w:t xml:space="preserve">. </w:t>
      </w:r>
    </w:p>
    <w:p w14:paraId="6EA195FC" w14:textId="77777777" w:rsidR="002012A0" w:rsidRDefault="002012A0" w:rsidP="002012A0">
      <w:pPr>
        <w:spacing w:after="240"/>
        <w:rPr>
          <w:szCs w:val="24"/>
        </w:rPr>
      </w:pPr>
      <w:r>
        <w:rPr>
          <w:szCs w:val="24"/>
        </w:rPr>
        <w:t xml:space="preserve">Yahoo Finance (2025). </w:t>
      </w:r>
      <w:r>
        <w:rPr>
          <w:i/>
          <w:iCs/>
          <w:szCs w:val="24"/>
        </w:rPr>
        <w:t>Volkswagen AG (VOW3.DE) Income Statement - Yahoo Finance</w:t>
      </w:r>
      <w:r>
        <w:rPr>
          <w:szCs w:val="24"/>
        </w:rPr>
        <w:t xml:space="preserve">. [online] finance.yahoo.com. Available at: </w:t>
      </w:r>
      <w:hyperlink r:id="rId47">
        <w:r>
          <w:rPr>
            <w:color w:val="1155CC"/>
            <w:szCs w:val="24"/>
            <w:u w:val="single"/>
          </w:rPr>
          <w:t>https://finance.yahoo.com/quote/VOW3.DE/financials/</w:t>
        </w:r>
      </w:hyperlink>
      <w:r>
        <w:rPr>
          <w:szCs w:val="24"/>
        </w:rPr>
        <w:t xml:space="preserve"> [Accessed 23 Apr. 2026].</w:t>
      </w:r>
    </w:p>
    <w:p w14:paraId="4803C56E" w14:textId="77777777" w:rsidR="002012A0" w:rsidRDefault="002012A0" w:rsidP="002012A0">
      <w:pPr>
        <w:spacing w:after="240"/>
        <w:rPr>
          <w:szCs w:val="24"/>
        </w:rPr>
      </w:pPr>
      <w:r>
        <w:rPr>
          <w:szCs w:val="24"/>
        </w:rPr>
        <w:t xml:space="preserve">Zumente, I. and Bistrova, J. (2021). ESG Importance for Long-Term Shareholder Value Creation: Literature vs. Practice. </w:t>
      </w:r>
      <w:r>
        <w:rPr>
          <w:i/>
          <w:iCs/>
          <w:szCs w:val="24"/>
        </w:rPr>
        <w:t>Journal of Open Innovation: Technology, Market, and Complexity</w:t>
      </w:r>
      <w:r>
        <w:rPr>
          <w:szCs w:val="24"/>
        </w:rPr>
        <w:t>, [online] 7(2), p.127.</w:t>
      </w:r>
      <w:hyperlink r:id="rId48">
        <w:r>
          <w:rPr>
            <w:color w:val="1155CC"/>
            <w:szCs w:val="24"/>
            <w:u w:val="single"/>
          </w:rPr>
          <w:t>https://doi.org/10.3390/joitmc7020127</w:t>
        </w:r>
      </w:hyperlink>
      <w:r>
        <w:rPr>
          <w:szCs w:val="24"/>
        </w:rPr>
        <w:t xml:space="preserve">. </w:t>
      </w:r>
    </w:p>
    <w:p w14:paraId="63A46203" w14:textId="4380ABE4" w:rsidR="00371BCD" w:rsidRPr="008D4372" w:rsidRDefault="00371BCD" w:rsidP="008D4372">
      <w:pPr>
        <w:spacing w:after="240"/>
        <w:rPr>
          <w:rFonts w:eastAsia="Times New Roman"/>
          <w:color w:val="auto"/>
          <w:szCs w:val="24"/>
          <w:lang w:val="en-IN" w:eastAsia="en-IN"/>
        </w:rPr>
      </w:pPr>
    </w:p>
    <w:p w14:paraId="48F252FA" w14:textId="77777777" w:rsidR="0038461A" w:rsidRPr="00EC5E32" w:rsidRDefault="0038461A" w:rsidP="00D92A1E">
      <w:pPr>
        <w:jc w:val="left"/>
        <w:rPr>
          <w:b/>
          <w:sz w:val="28"/>
          <w:szCs w:val="40"/>
          <w:lang w:val="en-GB"/>
        </w:rPr>
      </w:pPr>
      <w:r w:rsidRPr="00EC5E32">
        <w:rPr>
          <w:lang w:val="en-GB"/>
        </w:rPr>
        <w:br w:type="page"/>
      </w:r>
    </w:p>
    <w:p w14:paraId="65667842" w14:textId="284DBA57" w:rsidR="00A3388C" w:rsidRPr="00EC5E32" w:rsidRDefault="002661DA" w:rsidP="00D92A1E">
      <w:pPr>
        <w:pStyle w:val="Heading1"/>
        <w:rPr>
          <w:lang w:val="en-GB"/>
        </w:rPr>
      </w:pPr>
      <w:bookmarkStart w:id="53" w:name="_Toc227851312"/>
      <w:r w:rsidRPr="00EC5E32">
        <w:rPr>
          <w:lang w:val="en-GB"/>
        </w:rPr>
        <w:lastRenderedPageBreak/>
        <w:t xml:space="preserve">8. </w:t>
      </w:r>
      <w:r w:rsidR="00FC7212" w:rsidRPr="00EC5E32">
        <w:rPr>
          <w:lang w:val="en-GB"/>
        </w:rPr>
        <w:t>Appendices</w:t>
      </w:r>
      <w:bookmarkEnd w:id="53"/>
    </w:p>
    <w:p w14:paraId="272074FD" w14:textId="628428DA" w:rsidR="00FC7212" w:rsidRPr="00EC5E32" w:rsidRDefault="00FC7212" w:rsidP="00D92A1E">
      <w:pPr>
        <w:pStyle w:val="Heading2"/>
        <w:rPr>
          <w:lang w:val="en-GB"/>
        </w:rPr>
      </w:pPr>
      <w:bookmarkStart w:id="54" w:name="_Toc227851313"/>
      <w:r w:rsidRPr="00EC5E32">
        <w:rPr>
          <w:lang w:val="en-GB"/>
        </w:rPr>
        <w:t xml:space="preserve">Appendix 1: Ratio calculation of </w:t>
      </w:r>
      <w:r w:rsidR="0040737D" w:rsidRPr="00EF5DA0">
        <w:rPr>
          <w:szCs w:val="24"/>
        </w:rPr>
        <w:t>Volkswagen AG</w:t>
      </w:r>
      <w:r w:rsidR="0040737D">
        <w:rPr>
          <w:szCs w:val="24"/>
        </w:rPr>
        <w:t xml:space="preserve"> </w:t>
      </w:r>
      <w:r w:rsidR="008D4372">
        <w:rPr>
          <w:lang w:val="en-GB"/>
        </w:rPr>
        <w:t>from 2020-2024</w:t>
      </w:r>
      <w:bookmarkEnd w:id="54"/>
      <w:r w:rsidR="008D4372">
        <w:rPr>
          <w:lang w:val="en-GB"/>
        </w:rPr>
        <w:t xml:space="preserve"> </w:t>
      </w:r>
    </w:p>
    <w:tbl>
      <w:tblPr>
        <w:tblW w:w="5000" w:type="pct"/>
        <w:tblLook w:val="04A0" w:firstRow="1" w:lastRow="0" w:firstColumn="1" w:lastColumn="0" w:noHBand="0" w:noVBand="1"/>
      </w:tblPr>
      <w:tblGrid>
        <w:gridCol w:w="4612"/>
        <w:gridCol w:w="268"/>
        <w:gridCol w:w="896"/>
        <w:gridCol w:w="896"/>
        <w:gridCol w:w="896"/>
        <w:gridCol w:w="896"/>
        <w:gridCol w:w="896"/>
      </w:tblGrid>
      <w:tr w:rsidR="0040737D" w:rsidRPr="0040737D" w14:paraId="04F8C32A" w14:textId="77777777" w:rsidTr="0040737D">
        <w:trPr>
          <w:trHeight w:val="315"/>
        </w:trPr>
        <w:tc>
          <w:tcPr>
            <w:tcW w:w="2555" w:type="pct"/>
            <w:tcBorders>
              <w:top w:val="nil"/>
              <w:left w:val="nil"/>
              <w:bottom w:val="nil"/>
              <w:right w:val="nil"/>
            </w:tcBorders>
            <w:noWrap/>
            <w:vAlign w:val="bottom"/>
            <w:hideMark/>
          </w:tcPr>
          <w:p w14:paraId="0FCA5477" w14:textId="77777777" w:rsidR="0040737D" w:rsidRPr="0040737D" w:rsidRDefault="0040737D" w:rsidP="0040737D">
            <w:pPr>
              <w:spacing w:line="240" w:lineRule="auto"/>
              <w:jc w:val="left"/>
              <w:rPr>
                <w:rFonts w:eastAsia="Times New Roman"/>
                <w:b/>
                <w:bCs/>
                <w:color w:val="000000"/>
                <w:szCs w:val="24"/>
                <w:lang w:val="en-IN" w:eastAsia="en-IN"/>
              </w:rPr>
            </w:pPr>
            <w:bookmarkStart w:id="55" w:name="_Toc220521397"/>
            <w:r w:rsidRPr="0040737D">
              <w:rPr>
                <w:rFonts w:eastAsia="Times New Roman"/>
                <w:b/>
                <w:bCs/>
                <w:color w:val="000000"/>
                <w:szCs w:val="24"/>
                <w:lang w:val="en-IN" w:eastAsia="en-IN"/>
              </w:rPr>
              <w:t>CALCULATIONS:</w:t>
            </w:r>
          </w:p>
        </w:tc>
        <w:tc>
          <w:tcPr>
            <w:tcW w:w="168" w:type="pct"/>
            <w:tcBorders>
              <w:top w:val="nil"/>
              <w:left w:val="nil"/>
              <w:bottom w:val="nil"/>
              <w:right w:val="nil"/>
            </w:tcBorders>
            <w:noWrap/>
            <w:vAlign w:val="bottom"/>
            <w:hideMark/>
          </w:tcPr>
          <w:p w14:paraId="60171ACB" w14:textId="77777777" w:rsidR="0040737D" w:rsidRPr="0040737D" w:rsidRDefault="0040737D" w:rsidP="0040737D">
            <w:pPr>
              <w:spacing w:line="240" w:lineRule="auto"/>
              <w:jc w:val="left"/>
              <w:rPr>
                <w:rFonts w:eastAsia="Times New Roman"/>
                <w:b/>
                <w:bCs/>
                <w:color w:val="000000"/>
                <w:szCs w:val="24"/>
                <w:lang w:val="en-IN" w:eastAsia="en-IN"/>
              </w:rPr>
            </w:pPr>
          </w:p>
        </w:tc>
        <w:tc>
          <w:tcPr>
            <w:tcW w:w="455" w:type="pct"/>
            <w:tcBorders>
              <w:top w:val="nil"/>
              <w:left w:val="nil"/>
              <w:bottom w:val="nil"/>
              <w:right w:val="nil"/>
            </w:tcBorders>
            <w:noWrap/>
            <w:vAlign w:val="bottom"/>
            <w:hideMark/>
          </w:tcPr>
          <w:p w14:paraId="716BB51C"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C0FEB6E"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19C7C955"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20838AB6"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716D30DF"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30FCFA8F" w14:textId="77777777" w:rsidTr="0040737D">
        <w:trPr>
          <w:trHeight w:val="315"/>
        </w:trPr>
        <w:tc>
          <w:tcPr>
            <w:tcW w:w="2555" w:type="pct"/>
            <w:tcBorders>
              <w:top w:val="nil"/>
              <w:left w:val="nil"/>
              <w:bottom w:val="nil"/>
              <w:right w:val="nil"/>
            </w:tcBorders>
            <w:noWrap/>
            <w:vAlign w:val="bottom"/>
            <w:hideMark/>
          </w:tcPr>
          <w:p w14:paraId="5663E851" w14:textId="77777777" w:rsidR="0040737D" w:rsidRPr="0040737D" w:rsidRDefault="0040737D" w:rsidP="0040737D">
            <w:pPr>
              <w:spacing w:line="240" w:lineRule="auto"/>
              <w:jc w:val="left"/>
              <w:rPr>
                <w:rFonts w:eastAsia="Times New Roman"/>
                <w:color w:val="auto"/>
                <w:szCs w:val="24"/>
                <w:lang w:val="en-IN" w:eastAsia="en-IN"/>
              </w:rPr>
            </w:pPr>
          </w:p>
        </w:tc>
        <w:tc>
          <w:tcPr>
            <w:tcW w:w="168" w:type="pct"/>
            <w:tcBorders>
              <w:top w:val="nil"/>
              <w:left w:val="nil"/>
              <w:bottom w:val="nil"/>
              <w:right w:val="nil"/>
            </w:tcBorders>
            <w:noWrap/>
            <w:vAlign w:val="bottom"/>
            <w:hideMark/>
          </w:tcPr>
          <w:p w14:paraId="51D43EE5" w14:textId="77777777" w:rsidR="0040737D" w:rsidRPr="0040737D" w:rsidRDefault="0040737D" w:rsidP="0040737D">
            <w:pPr>
              <w:spacing w:line="240" w:lineRule="auto"/>
              <w:jc w:val="left"/>
              <w:rPr>
                <w:rFonts w:eastAsia="Times New Roman"/>
                <w:color w:val="auto"/>
                <w:szCs w:val="24"/>
                <w:lang w:val="en-IN" w:eastAsia="en-IN"/>
              </w:rPr>
            </w:pPr>
          </w:p>
        </w:tc>
        <w:tc>
          <w:tcPr>
            <w:tcW w:w="2277" w:type="pct"/>
            <w:gridSpan w:val="5"/>
            <w:tcBorders>
              <w:top w:val="nil"/>
              <w:left w:val="nil"/>
              <w:bottom w:val="nil"/>
              <w:right w:val="nil"/>
            </w:tcBorders>
            <w:shd w:val="clear" w:color="000000" w:fill="C6E0B4"/>
            <w:noWrap/>
            <w:vAlign w:val="bottom"/>
            <w:hideMark/>
          </w:tcPr>
          <w:p w14:paraId="567DBE5E" w14:textId="77777777" w:rsidR="0040737D" w:rsidRPr="0040737D" w:rsidRDefault="0040737D" w:rsidP="0040737D">
            <w:pPr>
              <w:spacing w:line="240" w:lineRule="auto"/>
              <w:jc w:val="center"/>
              <w:rPr>
                <w:rFonts w:eastAsia="Times New Roman"/>
                <w:b/>
                <w:bCs/>
                <w:color w:val="auto"/>
                <w:szCs w:val="24"/>
                <w:lang w:val="en-IN" w:eastAsia="en-IN"/>
              </w:rPr>
            </w:pPr>
            <w:r w:rsidRPr="0040737D">
              <w:rPr>
                <w:rFonts w:eastAsia="Times New Roman"/>
                <w:b/>
                <w:bCs/>
                <w:color w:val="auto"/>
                <w:szCs w:val="24"/>
                <w:lang w:val="en-IN" w:eastAsia="en-IN"/>
              </w:rPr>
              <w:t>Volkswagen AG</w:t>
            </w:r>
          </w:p>
        </w:tc>
      </w:tr>
      <w:tr w:rsidR="0040737D" w:rsidRPr="0040737D" w14:paraId="21D9A1E9" w14:textId="77777777" w:rsidTr="0040737D">
        <w:trPr>
          <w:trHeight w:val="315"/>
        </w:trPr>
        <w:tc>
          <w:tcPr>
            <w:tcW w:w="2555" w:type="pct"/>
            <w:tcBorders>
              <w:top w:val="nil"/>
              <w:left w:val="nil"/>
              <w:bottom w:val="nil"/>
              <w:right w:val="nil"/>
            </w:tcBorders>
            <w:shd w:val="clear" w:color="000000" w:fill="DBDBDB"/>
            <w:noWrap/>
            <w:vAlign w:val="bottom"/>
            <w:hideMark/>
          </w:tcPr>
          <w:p w14:paraId="742514B1"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Input data for Liquidity Ratios:</w:t>
            </w:r>
          </w:p>
        </w:tc>
        <w:tc>
          <w:tcPr>
            <w:tcW w:w="168" w:type="pct"/>
            <w:tcBorders>
              <w:top w:val="nil"/>
              <w:left w:val="nil"/>
              <w:bottom w:val="nil"/>
              <w:right w:val="nil"/>
            </w:tcBorders>
            <w:shd w:val="clear" w:color="000000" w:fill="DBDBDB"/>
            <w:noWrap/>
            <w:vAlign w:val="bottom"/>
            <w:hideMark/>
          </w:tcPr>
          <w:p w14:paraId="4D97B4D9"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BDBDB"/>
            <w:noWrap/>
            <w:vAlign w:val="bottom"/>
            <w:hideMark/>
          </w:tcPr>
          <w:p w14:paraId="5001CE0F"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nil"/>
              <w:left w:val="nil"/>
              <w:bottom w:val="nil"/>
              <w:right w:val="nil"/>
            </w:tcBorders>
            <w:shd w:val="clear" w:color="000000" w:fill="DBDBDB"/>
            <w:noWrap/>
            <w:vAlign w:val="bottom"/>
            <w:hideMark/>
          </w:tcPr>
          <w:p w14:paraId="704AFE7F"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nil"/>
              <w:left w:val="nil"/>
              <w:bottom w:val="nil"/>
              <w:right w:val="nil"/>
            </w:tcBorders>
            <w:shd w:val="clear" w:color="000000" w:fill="DBDBDB"/>
            <w:noWrap/>
            <w:vAlign w:val="bottom"/>
            <w:hideMark/>
          </w:tcPr>
          <w:p w14:paraId="0812414E"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nil"/>
              <w:left w:val="nil"/>
              <w:bottom w:val="nil"/>
              <w:right w:val="nil"/>
            </w:tcBorders>
            <w:shd w:val="clear" w:color="000000" w:fill="DBDBDB"/>
            <w:noWrap/>
            <w:vAlign w:val="bottom"/>
            <w:hideMark/>
          </w:tcPr>
          <w:p w14:paraId="3F6007DB"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nil"/>
              <w:left w:val="nil"/>
              <w:bottom w:val="nil"/>
              <w:right w:val="nil"/>
            </w:tcBorders>
            <w:shd w:val="clear" w:color="000000" w:fill="DBDBDB"/>
            <w:noWrap/>
            <w:vAlign w:val="bottom"/>
            <w:hideMark/>
          </w:tcPr>
          <w:p w14:paraId="621A3113"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0F75CEAC" w14:textId="77777777" w:rsidTr="0040737D">
        <w:trPr>
          <w:trHeight w:val="315"/>
        </w:trPr>
        <w:tc>
          <w:tcPr>
            <w:tcW w:w="2555" w:type="pct"/>
            <w:tcBorders>
              <w:top w:val="nil"/>
              <w:left w:val="nil"/>
              <w:bottom w:val="nil"/>
              <w:right w:val="nil"/>
            </w:tcBorders>
            <w:noWrap/>
            <w:vAlign w:val="bottom"/>
            <w:hideMark/>
          </w:tcPr>
          <w:p w14:paraId="352532B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Current Assets</w:t>
            </w:r>
          </w:p>
        </w:tc>
        <w:tc>
          <w:tcPr>
            <w:tcW w:w="168" w:type="pct"/>
            <w:tcBorders>
              <w:top w:val="nil"/>
              <w:left w:val="nil"/>
              <w:bottom w:val="nil"/>
              <w:right w:val="nil"/>
            </w:tcBorders>
            <w:noWrap/>
            <w:vAlign w:val="bottom"/>
            <w:hideMark/>
          </w:tcPr>
          <w:p w14:paraId="6F17BD32"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7CC206C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247,865</w:t>
            </w:r>
          </w:p>
        </w:tc>
        <w:tc>
          <w:tcPr>
            <w:tcW w:w="455" w:type="pct"/>
            <w:tcBorders>
              <w:top w:val="nil"/>
              <w:left w:val="nil"/>
              <w:bottom w:val="nil"/>
              <w:right w:val="nil"/>
            </w:tcBorders>
            <w:noWrap/>
            <w:vAlign w:val="bottom"/>
            <w:hideMark/>
          </w:tcPr>
          <w:p w14:paraId="3A8AAB1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245,231</w:t>
            </w:r>
          </w:p>
        </w:tc>
        <w:tc>
          <w:tcPr>
            <w:tcW w:w="455" w:type="pct"/>
            <w:tcBorders>
              <w:top w:val="nil"/>
              <w:left w:val="nil"/>
              <w:bottom w:val="nil"/>
              <w:right w:val="nil"/>
            </w:tcBorders>
            <w:noWrap/>
            <w:vAlign w:val="bottom"/>
            <w:hideMark/>
          </w:tcPr>
          <w:p w14:paraId="74D1ED5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239,644</w:t>
            </w:r>
          </w:p>
        </w:tc>
        <w:tc>
          <w:tcPr>
            <w:tcW w:w="455" w:type="pct"/>
            <w:tcBorders>
              <w:top w:val="nil"/>
              <w:left w:val="nil"/>
              <w:bottom w:val="nil"/>
              <w:right w:val="nil"/>
            </w:tcBorders>
            <w:noWrap/>
            <w:vAlign w:val="bottom"/>
            <w:hideMark/>
          </w:tcPr>
          <w:p w14:paraId="348A081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224,159</w:t>
            </w:r>
          </w:p>
        </w:tc>
        <w:tc>
          <w:tcPr>
            <w:tcW w:w="455" w:type="pct"/>
            <w:tcBorders>
              <w:top w:val="nil"/>
              <w:left w:val="nil"/>
              <w:bottom w:val="nil"/>
              <w:right w:val="nil"/>
            </w:tcBorders>
            <w:noWrap/>
            <w:vAlign w:val="bottom"/>
            <w:hideMark/>
          </w:tcPr>
          <w:p w14:paraId="2E65B8F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200,347</w:t>
            </w:r>
          </w:p>
        </w:tc>
      </w:tr>
      <w:tr w:rsidR="0040737D" w:rsidRPr="0040737D" w14:paraId="0F1A6C58" w14:textId="77777777" w:rsidTr="0040737D">
        <w:trPr>
          <w:trHeight w:val="315"/>
        </w:trPr>
        <w:tc>
          <w:tcPr>
            <w:tcW w:w="2555" w:type="pct"/>
            <w:tcBorders>
              <w:top w:val="nil"/>
              <w:left w:val="nil"/>
              <w:bottom w:val="nil"/>
              <w:right w:val="nil"/>
            </w:tcBorders>
            <w:noWrap/>
            <w:vAlign w:val="bottom"/>
            <w:hideMark/>
          </w:tcPr>
          <w:p w14:paraId="3586686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Current Liabilities</w:t>
            </w:r>
          </w:p>
        </w:tc>
        <w:tc>
          <w:tcPr>
            <w:tcW w:w="168" w:type="pct"/>
            <w:tcBorders>
              <w:top w:val="nil"/>
              <w:left w:val="nil"/>
              <w:bottom w:val="nil"/>
              <w:right w:val="nil"/>
            </w:tcBorders>
            <w:noWrap/>
            <w:vAlign w:val="bottom"/>
            <w:hideMark/>
          </w:tcPr>
          <w:p w14:paraId="005F77E2"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6986CB6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226,525</w:t>
            </w:r>
          </w:p>
        </w:tc>
        <w:tc>
          <w:tcPr>
            <w:tcW w:w="455" w:type="pct"/>
            <w:tcBorders>
              <w:top w:val="nil"/>
              <w:left w:val="nil"/>
              <w:bottom w:val="nil"/>
              <w:right w:val="nil"/>
            </w:tcBorders>
            <w:noWrap/>
            <w:vAlign w:val="bottom"/>
            <w:hideMark/>
          </w:tcPr>
          <w:p w14:paraId="73351D8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217,039</w:t>
            </w:r>
          </w:p>
        </w:tc>
        <w:tc>
          <w:tcPr>
            <w:tcW w:w="455" w:type="pct"/>
            <w:tcBorders>
              <w:top w:val="nil"/>
              <w:left w:val="nil"/>
              <w:bottom w:val="nil"/>
              <w:right w:val="nil"/>
            </w:tcBorders>
            <w:noWrap/>
            <w:vAlign w:val="bottom"/>
            <w:hideMark/>
          </w:tcPr>
          <w:p w14:paraId="57B9E13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206,036</w:t>
            </w:r>
          </w:p>
        </w:tc>
        <w:tc>
          <w:tcPr>
            <w:tcW w:w="455" w:type="pct"/>
            <w:tcBorders>
              <w:top w:val="nil"/>
              <w:left w:val="nil"/>
              <w:bottom w:val="nil"/>
              <w:right w:val="nil"/>
            </w:tcBorders>
            <w:noWrap/>
            <w:vAlign w:val="bottom"/>
            <w:hideMark/>
          </w:tcPr>
          <w:p w14:paraId="1101BE7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182,723</w:t>
            </w:r>
          </w:p>
        </w:tc>
        <w:tc>
          <w:tcPr>
            <w:tcW w:w="455" w:type="pct"/>
            <w:tcBorders>
              <w:top w:val="nil"/>
              <w:left w:val="nil"/>
              <w:bottom w:val="nil"/>
              <w:right w:val="nil"/>
            </w:tcBorders>
            <w:noWrap/>
            <w:vAlign w:val="bottom"/>
            <w:hideMark/>
          </w:tcPr>
          <w:p w14:paraId="0AF5B48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164,393</w:t>
            </w:r>
          </w:p>
        </w:tc>
      </w:tr>
      <w:tr w:rsidR="0040737D" w:rsidRPr="0040737D" w14:paraId="48E102CA" w14:textId="77777777" w:rsidTr="0040737D">
        <w:trPr>
          <w:trHeight w:val="315"/>
        </w:trPr>
        <w:tc>
          <w:tcPr>
            <w:tcW w:w="2555" w:type="pct"/>
            <w:tcBorders>
              <w:top w:val="nil"/>
              <w:left w:val="nil"/>
              <w:bottom w:val="nil"/>
              <w:right w:val="nil"/>
            </w:tcBorders>
            <w:noWrap/>
            <w:vAlign w:val="bottom"/>
            <w:hideMark/>
          </w:tcPr>
          <w:p w14:paraId="03BB1748"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Inventories</w:t>
            </w:r>
          </w:p>
        </w:tc>
        <w:tc>
          <w:tcPr>
            <w:tcW w:w="168" w:type="pct"/>
            <w:tcBorders>
              <w:top w:val="nil"/>
              <w:left w:val="nil"/>
              <w:bottom w:val="nil"/>
              <w:right w:val="nil"/>
            </w:tcBorders>
            <w:noWrap/>
            <w:vAlign w:val="bottom"/>
            <w:hideMark/>
          </w:tcPr>
          <w:p w14:paraId="3B78D82F"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260A514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51,775</w:t>
            </w:r>
          </w:p>
        </w:tc>
        <w:tc>
          <w:tcPr>
            <w:tcW w:w="455" w:type="pct"/>
            <w:tcBorders>
              <w:top w:val="nil"/>
              <w:left w:val="nil"/>
              <w:bottom w:val="nil"/>
              <w:right w:val="nil"/>
            </w:tcBorders>
            <w:noWrap/>
            <w:vAlign w:val="bottom"/>
            <w:hideMark/>
          </w:tcPr>
          <w:p w14:paraId="74DDC2B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53,132</w:t>
            </w:r>
          </w:p>
        </w:tc>
        <w:tc>
          <w:tcPr>
            <w:tcW w:w="455" w:type="pct"/>
            <w:tcBorders>
              <w:top w:val="nil"/>
              <w:left w:val="nil"/>
              <w:bottom w:val="nil"/>
              <w:right w:val="nil"/>
            </w:tcBorders>
            <w:noWrap/>
            <w:vAlign w:val="bottom"/>
            <w:hideMark/>
          </w:tcPr>
          <w:p w14:paraId="7A84258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51,953</w:t>
            </w:r>
          </w:p>
        </w:tc>
        <w:tc>
          <w:tcPr>
            <w:tcW w:w="455" w:type="pct"/>
            <w:tcBorders>
              <w:top w:val="nil"/>
              <w:left w:val="nil"/>
              <w:bottom w:val="nil"/>
              <w:right w:val="nil"/>
            </w:tcBorders>
            <w:noWrap/>
            <w:vAlign w:val="bottom"/>
            <w:hideMark/>
          </w:tcPr>
          <w:p w14:paraId="3AA14CE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51,109</w:t>
            </w:r>
          </w:p>
        </w:tc>
        <w:tc>
          <w:tcPr>
            <w:tcW w:w="455" w:type="pct"/>
            <w:tcBorders>
              <w:top w:val="nil"/>
              <w:left w:val="nil"/>
              <w:bottom w:val="nil"/>
              <w:right w:val="nil"/>
            </w:tcBorders>
            <w:noWrap/>
            <w:vAlign w:val="bottom"/>
            <w:hideMark/>
          </w:tcPr>
          <w:p w14:paraId="590FA95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43,725</w:t>
            </w:r>
          </w:p>
        </w:tc>
      </w:tr>
      <w:tr w:rsidR="0040737D" w:rsidRPr="0040737D" w14:paraId="2C56F752" w14:textId="77777777" w:rsidTr="0040737D">
        <w:trPr>
          <w:trHeight w:val="300"/>
        </w:trPr>
        <w:tc>
          <w:tcPr>
            <w:tcW w:w="2555" w:type="pct"/>
            <w:tcBorders>
              <w:top w:val="nil"/>
              <w:left w:val="nil"/>
              <w:bottom w:val="nil"/>
              <w:right w:val="nil"/>
            </w:tcBorders>
            <w:noWrap/>
            <w:vAlign w:val="bottom"/>
            <w:hideMark/>
          </w:tcPr>
          <w:p w14:paraId="7B34ED7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Cash</w:t>
            </w:r>
          </w:p>
        </w:tc>
        <w:tc>
          <w:tcPr>
            <w:tcW w:w="168" w:type="pct"/>
            <w:tcBorders>
              <w:top w:val="nil"/>
              <w:left w:val="nil"/>
              <w:bottom w:val="nil"/>
              <w:right w:val="nil"/>
            </w:tcBorders>
            <w:noWrap/>
            <w:vAlign w:val="bottom"/>
            <w:hideMark/>
          </w:tcPr>
          <w:p w14:paraId="38864E76"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137CDE1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38,801</w:t>
            </w:r>
          </w:p>
        </w:tc>
        <w:tc>
          <w:tcPr>
            <w:tcW w:w="455" w:type="pct"/>
            <w:tcBorders>
              <w:top w:val="nil"/>
              <w:left w:val="nil"/>
              <w:bottom w:val="nil"/>
              <w:right w:val="nil"/>
            </w:tcBorders>
            <w:noWrap/>
            <w:vAlign w:val="bottom"/>
            <w:hideMark/>
          </w:tcPr>
          <w:p w14:paraId="3861987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40,296</w:t>
            </w:r>
          </w:p>
        </w:tc>
        <w:tc>
          <w:tcPr>
            <w:tcW w:w="455" w:type="pct"/>
            <w:tcBorders>
              <w:top w:val="nil"/>
              <w:left w:val="nil"/>
              <w:bottom w:val="nil"/>
              <w:right w:val="nil"/>
            </w:tcBorders>
            <w:noWrap/>
            <w:vAlign w:val="bottom"/>
            <w:hideMark/>
          </w:tcPr>
          <w:p w14:paraId="1322BAD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43,449</w:t>
            </w:r>
          </w:p>
        </w:tc>
        <w:tc>
          <w:tcPr>
            <w:tcW w:w="455" w:type="pct"/>
            <w:tcBorders>
              <w:top w:val="nil"/>
              <w:left w:val="nil"/>
              <w:bottom w:val="nil"/>
              <w:right w:val="nil"/>
            </w:tcBorders>
            <w:noWrap/>
            <w:vAlign w:val="bottom"/>
            <w:hideMark/>
          </w:tcPr>
          <w:p w14:paraId="36677B8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29,172</w:t>
            </w:r>
          </w:p>
        </w:tc>
        <w:tc>
          <w:tcPr>
            <w:tcW w:w="455" w:type="pct"/>
            <w:tcBorders>
              <w:top w:val="nil"/>
              <w:left w:val="nil"/>
              <w:bottom w:val="nil"/>
              <w:right w:val="nil"/>
            </w:tcBorders>
            <w:noWrap/>
            <w:vAlign w:val="bottom"/>
            <w:hideMark/>
          </w:tcPr>
          <w:p w14:paraId="3AFA388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39,723</w:t>
            </w:r>
          </w:p>
        </w:tc>
      </w:tr>
      <w:tr w:rsidR="0040737D" w:rsidRPr="0040737D" w14:paraId="02BB5D23" w14:textId="77777777" w:rsidTr="0040737D">
        <w:trPr>
          <w:trHeight w:val="300"/>
        </w:trPr>
        <w:tc>
          <w:tcPr>
            <w:tcW w:w="2555" w:type="pct"/>
            <w:tcBorders>
              <w:top w:val="nil"/>
              <w:left w:val="nil"/>
              <w:bottom w:val="single" w:sz="4" w:space="0" w:color="auto"/>
              <w:right w:val="nil"/>
            </w:tcBorders>
            <w:noWrap/>
            <w:vAlign w:val="bottom"/>
            <w:hideMark/>
          </w:tcPr>
          <w:p w14:paraId="1F5AD6B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168" w:type="pct"/>
            <w:tcBorders>
              <w:top w:val="nil"/>
              <w:left w:val="nil"/>
              <w:bottom w:val="single" w:sz="4" w:space="0" w:color="auto"/>
              <w:right w:val="nil"/>
            </w:tcBorders>
            <w:noWrap/>
            <w:vAlign w:val="bottom"/>
            <w:hideMark/>
          </w:tcPr>
          <w:p w14:paraId="7AEAE5D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noWrap/>
            <w:vAlign w:val="bottom"/>
            <w:hideMark/>
          </w:tcPr>
          <w:p w14:paraId="20815DE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noWrap/>
            <w:vAlign w:val="bottom"/>
            <w:hideMark/>
          </w:tcPr>
          <w:p w14:paraId="1DFB275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noWrap/>
            <w:vAlign w:val="bottom"/>
            <w:hideMark/>
          </w:tcPr>
          <w:p w14:paraId="472089E5"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noWrap/>
            <w:vAlign w:val="bottom"/>
            <w:hideMark/>
          </w:tcPr>
          <w:p w14:paraId="465701D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noWrap/>
            <w:vAlign w:val="bottom"/>
            <w:hideMark/>
          </w:tcPr>
          <w:p w14:paraId="12EF55C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43E3293A" w14:textId="77777777" w:rsidTr="0040737D">
        <w:trPr>
          <w:trHeight w:val="315"/>
        </w:trPr>
        <w:tc>
          <w:tcPr>
            <w:tcW w:w="2555" w:type="pct"/>
            <w:tcBorders>
              <w:top w:val="nil"/>
              <w:left w:val="nil"/>
              <w:bottom w:val="single" w:sz="4" w:space="0" w:color="auto"/>
              <w:right w:val="nil"/>
            </w:tcBorders>
            <w:shd w:val="clear" w:color="000000" w:fill="DBDBDB"/>
            <w:noWrap/>
            <w:vAlign w:val="bottom"/>
            <w:hideMark/>
          </w:tcPr>
          <w:p w14:paraId="68F0BC03"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LIQUIDITY RATIOS:</w:t>
            </w:r>
          </w:p>
        </w:tc>
        <w:tc>
          <w:tcPr>
            <w:tcW w:w="168" w:type="pct"/>
            <w:tcBorders>
              <w:top w:val="nil"/>
              <w:left w:val="nil"/>
              <w:bottom w:val="single" w:sz="4" w:space="0" w:color="auto"/>
              <w:right w:val="nil"/>
            </w:tcBorders>
            <w:shd w:val="clear" w:color="000000" w:fill="DBDBDB"/>
            <w:noWrap/>
            <w:vAlign w:val="bottom"/>
            <w:hideMark/>
          </w:tcPr>
          <w:p w14:paraId="7669B70D"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50A05725"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nil"/>
              <w:left w:val="nil"/>
              <w:bottom w:val="single" w:sz="4" w:space="0" w:color="auto"/>
              <w:right w:val="nil"/>
            </w:tcBorders>
            <w:shd w:val="clear" w:color="000000" w:fill="DBDBDB"/>
            <w:noWrap/>
            <w:vAlign w:val="bottom"/>
            <w:hideMark/>
          </w:tcPr>
          <w:p w14:paraId="323C1629"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nil"/>
              <w:left w:val="nil"/>
              <w:bottom w:val="single" w:sz="4" w:space="0" w:color="auto"/>
              <w:right w:val="nil"/>
            </w:tcBorders>
            <w:shd w:val="clear" w:color="000000" w:fill="DBDBDB"/>
            <w:noWrap/>
            <w:vAlign w:val="bottom"/>
            <w:hideMark/>
          </w:tcPr>
          <w:p w14:paraId="462AF611"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nil"/>
              <w:left w:val="nil"/>
              <w:bottom w:val="single" w:sz="4" w:space="0" w:color="auto"/>
              <w:right w:val="nil"/>
            </w:tcBorders>
            <w:shd w:val="clear" w:color="000000" w:fill="DBDBDB"/>
            <w:noWrap/>
            <w:vAlign w:val="bottom"/>
            <w:hideMark/>
          </w:tcPr>
          <w:p w14:paraId="792EB57A"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nil"/>
              <w:left w:val="nil"/>
              <w:bottom w:val="single" w:sz="4" w:space="0" w:color="auto"/>
              <w:right w:val="nil"/>
            </w:tcBorders>
            <w:shd w:val="clear" w:color="000000" w:fill="DBDBDB"/>
            <w:noWrap/>
            <w:vAlign w:val="bottom"/>
            <w:hideMark/>
          </w:tcPr>
          <w:p w14:paraId="0FF4F838"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46C40BEF" w14:textId="77777777" w:rsidTr="0040737D">
        <w:trPr>
          <w:trHeight w:val="315"/>
        </w:trPr>
        <w:tc>
          <w:tcPr>
            <w:tcW w:w="2555" w:type="pct"/>
            <w:tcBorders>
              <w:top w:val="nil"/>
              <w:left w:val="nil"/>
              <w:bottom w:val="nil"/>
              <w:right w:val="nil"/>
            </w:tcBorders>
            <w:shd w:val="clear" w:color="000000" w:fill="DBDBDB"/>
            <w:noWrap/>
            <w:vAlign w:val="bottom"/>
            <w:hideMark/>
          </w:tcPr>
          <w:p w14:paraId="7CB16857"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Current Ratio</w:t>
            </w:r>
          </w:p>
        </w:tc>
        <w:tc>
          <w:tcPr>
            <w:tcW w:w="168" w:type="pct"/>
            <w:tcBorders>
              <w:top w:val="nil"/>
              <w:left w:val="nil"/>
              <w:bottom w:val="nil"/>
              <w:right w:val="nil"/>
            </w:tcBorders>
            <w:shd w:val="clear" w:color="000000" w:fill="DBDBDB"/>
            <w:noWrap/>
            <w:vAlign w:val="bottom"/>
            <w:hideMark/>
          </w:tcPr>
          <w:p w14:paraId="3CFCBC61"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BDBDB"/>
            <w:noWrap/>
            <w:vAlign w:val="bottom"/>
            <w:hideMark/>
          </w:tcPr>
          <w:p w14:paraId="46D3A8E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1.09</w:t>
            </w:r>
          </w:p>
        </w:tc>
        <w:tc>
          <w:tcPr>
            <w:tcW w:w="455" w:type="pct"/>
            <w:tcBorders>
              <w:top w:val="nil"/>
              <w:left w:val="nil"/>
              <w:bottom w:val="nil"/>
              <w:right w:val="nil"/>
            </w:tcBorders>
            <w:shd w:val="clear" w:color="000000" w:fill="DBDBDB"/>
            <w:noWrap/>
            <w:vAlign w:val="bottom"/>
            <w:hideMark/>
          </w:tcPr>
          <w:p w14:paraId="4104AE8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1.13</w:t>
            </w:r>
          </w:p>
        </w:tc>
        <w:tc>
          <w:tcPr>
            <w:tcW w:w="455" w:type="pct"/>
            <w:tcBorders>
              <w:top w:val="nil"/>
              <w:left w:val="nil"/>
              <w:bottom w:val="nil"/>
              <w:right w:val="nil"/>
            </w:tcBorders>
            <w:shd w:val="clear" w:color="000000" w:fill="DBDBDB"/>
            <w:noWrap/>
            <w:vAlign w:val="bottom"/>
            <w:hideMark/>
          </w:tcPr>
          <w:p w14:paraId="6BA8DC8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1.16</w:t>
            </w:r>
          </w:p>
        </w:tc>
        <w:tc>
          <w:tcPr>
            <w:tcW w:w="455" w:type="pct"/>
            <w:tcBorders>
              <w:top w:val="nil"/>
              <w:left w:val="nil"/>
              <w:bottom w:val="nil"/>
              <w:right w:val="nil"/>
            </w:tcBorders>
            <w:shd w:val="clear" w:color="000000" w:fill="DBDBDB"/>
            <w:noWrap/>
            <w:vAlign w:val="bottom"/>
            <w:hideMark/>
          </w:tcPr>
          <w:p w14:paraId="4821965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1.23</w:t>
            </w:r>
          </w:p>
        </w:tc>
        <w:tc>
          <w:tcPr>
            <w:tcW w:w="455" w:type="pct"/>
            <w:tcBorders>
              <w:top w:val="nil"/>
              <w:left w:val="nil"/>
              <w:bottom w:val="nil"/>
              <w:right w:val="nil"/>
            </w:tcBorders>
            <w:shd w:val="clear" w:color="000000" w:fill="DBDBDB"/>
            <w:noWrap/>
            <w:vAlign w:val="bottom"/>
            <w:hideMark/>
          </w:tcPr>
          <w:p w14:paraId="4B924DE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1.22</w:t>
            </w:r>
          </w:p>
        </w:tc>
      </w:tr>
      <w:tr w:rsidR="0040737D" w:rsidRPr="0040737D" w14:paraId="1F117420" w14:textId="77777777" w:rsidTr="0040737D">
        <w:trPr>
          <w:trHeight w:val="300"/>
        </w:trPr>
        <w:tc>
          <w:tcPr>
            <w:tcW w:w="2555" w:type="pct"/>
            <w:tcBorders>
              <w:top w:val="nil"/>
              <w:left w:val="nil"/>
              <w:bottom w:val="single" w:sz="4" w:space="0" w:color="auto"/>
              <w:right w:val="nil"/>
            </w:tcBorders>
            <w:shd w:val="clear" w:color="000000" w:fill="DBDBDB"/>
            <w:noWrap/>
            <w:vAlign w:val="bottom"/>
            <w:hideMark/>
          </w:tcPr>
          <w:p w14:paraId="6A0AA85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Current Assets/Current Liabilities</w:t>
            </w:r>
          </w:p>
        </w:tc>
        <w:tc>
          <w:tcPr>
            <w:tcW w:w="168" w:type="pct"/>
            <w:tcBorders>
              <w:top w:val="nil"/>
              <w:left w:val="nil"/>
              <w:bottom w:val="single" w:sz="4" w:space="0" w:color="auto"/>
              <w:right w:val="nil"/>
            </w:tcBorders>
            <w:shd w:val="clear" w:color="000000" w:fill="DBDBDB"/>
            <w:noWrap/>
            <w:vAlign w:val="bottom"/>
            <w:hideMark/>
          </w:tcPr>
          <w:p w14:paraId="35E7F2C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1E58D35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50AFB845"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003D13D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422F2B1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2694371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235F6E89" w14:textId="77777777" w:rsidTr="0040737D">
        <w:trPr>
          <w:trHeight w:val="315"/>
        </w:trPr>
        <w:tc>
          <w:tcPr>
            <w:tcW w:w="2555" w:type="pct"/>
            <w:tcBorders>
              <w:top w:val="nil"/>
              <w:left w:val="nil"/>
              <w:bottom w:val="nil"/>
              <w:right w:val="nil"/>
            </w:tcBorders>
            <w:shd w:val="clear" w:color="000000" w:fill="DBDBDB"/>
            <w:noWrap/>
            <w:vAlign w:val="bottom"/>
            <w:hideMark/>
          </w:tcPr>
          <w:p w14:paraId="7BA0A725"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Quick Ratio (or Acid Test Ratio)</w:t>
            </w:r>
          </w:p>
        </w:tc>
        <w:tc>
          <w:tcPr>
            <w:tcW w:w="168" w:type="pct"/>
            <w:tcBorders>
              <w:top w:val="nil"/>
              <w:left w:val="nil"/>
              <w:bottom w:val="nil"/>
              <w:right w:val="nil"/>
            </w:tcBorders>
            <w:shd w:val="clear" w:color="000000" w:fill="DBDBDB"/>
            <w:noWrap/>
            <w:vAlign w:val="bottom"/>
            <w:hideMark/>
          </w:tcPr>
          <w:p w14:paraId="5D392722"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BDBDB"/>
            <w:noWrap/>
            <w:vAlign w:val="bottom"/>
            <w:hideMark/>
          </w:tcPr>
          <w:p w14:paraId="749F246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0.87</w:t>
            </w:r>
          </w:p>
        </w:tc>
        <w:tc>
          <w:tcPr>
            <w:tcW w:w="455" w:type="pct"/>
            <w:tcBorders>
              <w:top w:val="nil"/>
              <w:left w:val="nil"/>
              <w:bottom w:val="nil"/>
              <w:right w:val="nil"/>
            </w:tcBorders>
            <w:shd w:val="clear" w:color="000000" w:fill="DBDBDB"/>
            <w:noWrap/>
            <w:vAlign w:val="bottom"/>
            <w:hideMark/>
          </w:tcPr>
          <w:p w14:paraId="1843A60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0.89</w:t>
            </w:r>
          </w:p>
        </w:tc>
        <w:tc>
          <w:tcPr>
            <w:tcW w:w="455" w:type="pct"/>
            <w:tcBorders>
              <w:top w:val="nil"/>
              <w:left w:val="nil"/>
              <w:bottom w:val="nil"/>
              <w:right w:val="nil"/>
            </w:tcBorders>
            <w:shd w:val="clear" w:color="000000" w:fill="DBDBDB"/>
            <w:noWrap/>
            <w:vAlign w:val="bottom"/>
            <w:hideMark/>
          </w:tcPr>
          <w:p w14:paraId="76465AF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0.91</w:t>
            </w:r>
          </w:p>
        </w:tc>
        <w:tc>
          <w:tcPr>
            <w:tcW w:w="455" w:type="pct"/>
            <w:tcBorders>
              <w:top w:val="nil"/>
              <w:left w:val="nil"/>
              <w:bottom w:val="nil"/>
              <w:right w:val="nil"/>
            </w:tcBorders>
            <w:shd w:val="clear" w:color="000000" w:fill="DBDBDB"/>
            <w:noWrap/>
            <w:vAlign w:val="bottom"/>
            <w:hideMark/>
          </w:tcPr>
          <w:p w14:paraId="041DE8C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0.95</w:t>
            </w:r>
          </w:p>
        </w:tc>
        <w:tc>
          <w:tcPr>
            <w:tcW w:w="455" w:type="pct"/>
            <w:tcBorders>
              <w:top w:val="nil"/>
              <w:left w:val="nil"/>
              <w:bottom w:val="nil"/>
              <w:right w:val="nil"/>
            </w:tcBorders>
            <w:shd w:val="clear" w:color="000000" w:fill="DBDBDB"/>
            <w:noWrap/>
            <w:vAlign w:val="bottom"/>
            <w:hideMark/>
          </w:tcPr>
          <w:p w14:paraId="0A77720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0.95</w:t>
            </w:r>
          </w:p>
        </w:tc>
      </w:tr>
      <w:tr w:rsidR="0040737D" w:rsidRPr="0040737D" w14:paraId="02181FF8" w14:textId="77777777" w:rsidTr="0040737D">
        <w:trPr>
          <w:trHeight w:val="300"/>
        </w:trPr>
        <w:tc>
          <w:tcPr>
            <w:tcW w:w="2555" w:type="pct"/>
            <w:tcBorders>
              <w:top w:val="nil"/>
              <w:left w:val="nil"/>
              <w:bottom w:val="single" w:sz="4" w:space="0" w:color="auto"/>
              <w:right w:val="nil"/>
            </w:tcBorders>
            <w:shd w:val="clear" w:color="000000" w:fill="DBDBDB"/>
            <w:noWrap/>
            <w:vAlign w:val="bottom"/>
            <w:hideMark/>
          </w:tcPr>
          <w:p w14:paraId="1F204361"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(Current Assets-Inventories)/Current Liabilities</w:t>
            </w:r>
          </w:p>
        </w:tc>
        <w:tc>
          <w:tcPr>
            <w:tcW w:w="168" w:type="pct"/>
            <w:tcBorders>
              <w:top w:val="nil"/>
              <w:left w:val="nil"/>
              <w:bottom w:val="single" w:sz="4" w:space="0" w:color="auto"/>
              <w:right w:val="nil"/>
            </w:tcBorders>
            <w:shd w:val="clear" w:color="000000" w:fill="DBDBDB"/>
            <w:noWrap/>
            <w:vAlign w:val="bottom"/>
            <w:hideMark/>
          </w:tcPr>
          <w:p w14:paraId="33C5B04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4207D3E1"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41583AE6"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70D8736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3AD10FB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0153ACC8"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40E61101" w14:textId="77777777" w:rsidTr="0040737D">
        <w:trPr>
          <w:trHeight w:val="315"/>
        </w:trPr>
        <w:tc>
          <w:tcPr>
            <w:tcW w:w="2555" w:type="pct"/>
            <w:tcBorders>
              <w:top w:val="nil"/>
              <w:left w:val="nil"/>
              <w:bottom w:val="nil"/>
              <w:right w:val="nil"/>
            </w:tcBorders>
            <w:shd w:val="clear" w:color="000000" w:fill="DBDBDB"/>
            <w:noWrap/>
            <w:vAlign w:val="bottom"/>
            <w:hideMark/>
          </w:tcPr>
          <w:p w14:paraId="728F201E"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Cash Ratio</w:t>
            </w:r>
          </w:p>
        </w:tc>
        <w:tc>
          <w:tcPr>
            <w:tcW w:w="168" w:type="pct"/>
            <w:tcBorders>
              <w:top w:val="nil"/>
              <w:left w:val="nil"/>
              <w:bottom w:val="nil"/>
              <w:right w:val="nil"/>
            </w:tcBorders>
            <w:shd w:val="clear" w:color="000000" w:fill="DBDBDB"/>
            <w:noWrap/>
            <w:vAlign w:val="bottom"/>
            <w:hideMark/>
          </w:tcPr>
          <w:p w14:paraId="77D01EFC"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BDBDB"/>
            <w:noWrap/>
            <w:vAlign w:val="bottom"/>
            <w:hideMark/>
          </w:tcPr>
          <w:p w14:paraId="0641936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0.17</w:t>
            </w:r>
          </w:p>
        </w:tc>
        <w:tc>
          <w:tcPr>
            <w:tcW w:w="455" w:type="pct"/>
            <w:tcBorders>
              <w:top w:val="nil"/>
              <w:left w:val="nil"/>
              <w:bottom w:val="nil"/>
              <w:right w:val="nil"/>
            </w:tcBorders>
            <w:shd w:val="clear" w:color="000000" w:fill="DBDBDB"/>
            <w:noWrap/>
            <w:vAlign w:val="bottom"/>
            <w:hideMark/>
          </w:tcPr>
          <w:p w14:paraId="1CC1630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0.19</w:t>
            </w:r>
          </w:p>
        </w:tc>
        <w:tc>
          <w:tcPr>
            <w:tcW w:w="455" w:type="pct"/>
            <w:tcBorders>
              <w:top w:val="nil"/>
              <w:left w:val="nil"/>
              <w:bottom w:val="nil"/>
              <w:right w:val="nil"/>
            </w:tcBorders>
            <w:shd w:val="clear" w:color="000000" w:fill="DBDBDB"/>
            <w:noWrap/>
            <w:vAlign w:val="bottom"/>
            <w:hideMark/>
          </w:tcPr>
          <w:p w14:paraId="4201311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0.21</w:t>
            </w:r>
          </w:p>
        </w:tc>
        <w:tc>
          <w:tcPr>
            <w:tcW w:w="455" w:type="pct"/>
            <w:tcBorders>
              <w:top w:val="nil"/>
              <w:left w:val="nil"/>
              <w:bottom w:val="nil"/>
              <w:right w:val="nil"/>
            </w:tcBorders>
            <w:shd w:val="clear" w:color="000000" w:fill="DBDBDB"/>
            <w:noWrap/>
            <w:vAlign w:val="bottom"/>
            <w:hideMark/>
          </w:tcPr>
          <w:p w14:paraId="42C499D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0.16</w:t>
            </w:r>
          </w:p>
        </w:tc>
        <w:tc>
          <w:tcPr>
            <w:tcW w:w="455" w:type="pct"/>
            <w:tcBorders>
              <w:top w:val="nil"/>
              <w:left w:val="nil"/>
              <w:bottom w:val="nil"/>
              <w:right w:val="nil"/>
            </w:tcBorders>
            <w:shd w:val="clear" w:color="000000" w:fill="DBDBDB"/>
            <w:noWrap/>
            <w:vAlign w:val="bottom"/>
            <w:hideMark/>
          </w:tcPr>
          <w:p w14:paraId="0B4DC0B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0.24</w:t>
            </w:r>
          </w:p>
        </w:tc>
      </w:tr>
      <w:tr w:rsidR="0040737D" w:rsidRPr="0040737D" w14:paraId="2AACC200" w14:textId="77777777" w:rsidTr="0040737D">
        <w:trPr>
          <w:trHeight w:val="315"/>
        </w:trPr>
        <w:tc>
          <w:tcPr>
            <w:tcW w:w="2555" w:type="pct"/>
            <w:tcBorders>
              <w:top w:val="nil"/>
              <w:left w:val="nil"/>
              <w:bottom w:val="single" w:sz="4" w:space="0" w:color="auto"/>
              <w:right w:val="nil"/>
            </w:tcBorders>
            <w:shd w:val="clear" w:color="000000" w:fill="DBDBDB"/>
            <w:noWrap/>
            <w:vAlign w:val="bottom"/>
            <w:hideMark/>
          </w:tcPr>
          <w:p w14:paraId="552730D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Cash/Current Liabilities</w:t>
            </w:r>
          </w:p>
        </w:tc>
        <w:tc>
          <w:tcPr>
            <w:tcW w:w="168" w:type="pct"/>
            <w:tcBorders>
              <w:top w:val="nil"/>
              <w:left w:val="nil"/>
              <w:bottom w:val="single" w:sz="4" w:space="0" w:color="auto"/>
              <w:right w:val="nil"/>
            </w:tcBorders>
            <w:shd w:val="clear" w:color="000000" w:fill="DBDBDB"/>
            <w:noWrap/>
            <w:vAlign w:val="bottom"/>
            <w:hideMark/>
          </w:tcPr>
          <w:p w14:paraId="5B8ACF3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773CB357"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6EB9178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4DC95B4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40C0AC8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BDBDB"/>
            <w:noWrap/>
            <w:vAlign w:val="bottom"/>
            <w:hideMark/>
          </w:tcPr>
          <w:p w14:paraId="3AA6C3A7"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390C5CA9" w14:textId="77777777" w:rsidTr="0040737D">
        <w:trPr>
          <w:trHeight w:val="300"/>
        </w:trPr>
        <w:tc>
          <w:tcPr>
            <w:tcW w:w="2555" w:type="pct"/>
            <w:tcBorders>
              <w:top w:val="nil"/>
              <w:left w:val="nil"/>
              <w:bottom w:val="nil"/>
              <w:right w:val="nil"/>
            </w:tcBorders>
            <w:noWrap/>
            <w:vAlign w:val="bottom"/>
            <w:hideMark/>
          </w:tcPr>
          <w:p w14:paraId="409B35CB" w14:textId="77777777" w:rsidR="0040737D" w:rsidRPr="0040737D" w:rsidRDefault="0040737D" w:rsidP="0040737D">
            <w:pPr>
              <w:spacing w:line="240" w:lineRule="auto"/>
              <w:jc w:val="left"/>
              <w:rPr>
                <w:rFonts w:eastAsia="Times New Roman"/>
                <w:color w:val="000000"/>
                <w:szCs w:val="24"/>
                <w:lang w:val="en-IN" w:eastAsia="en-IN"/>
              </w:rPr>
            </w:pPr>
          </w:p>
        </w:tc>
        <w:tc>
          <w:tcPr>
            <w:tcW w:w="168" w:type="pct"/>
            <w:tcBorders>
              <w:top w:val="nil"/>
              <w:left w:val="nil"/>
              <w:bottom w:val="nil"/>
              <w:right w:val="nil"/>
            </w:tcBorders>
            <w:noWrap/>
            <w:vAlign w:val="bottom"/>
            <w:hideMark/>
          </w:tcPr>
          <w:p w14:paraId="1D6B84A4"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0CC3D87"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7661357D"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0A4DE743"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69ADA9B6"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654AA0C"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08E87ED8" w14:textId="77777777" w:rsidTr="0040737D">
        <w:trPr>
          <w:trHeight w:val="315"/>
        </w:trPr>
        <w:tc>
          <w:tcPr>
            <w:tcW w:w="2555" w:type="pct"/>
            <w:tcBorders>
              <w:top w:val="nil"/>
              <w:left w:val="nil"/>
              <w:bottom w:val="nil"/>
              <w:right w:val="nil"/>
            </w:tcBorders>
            <w:shd w:val="clear" w:color="000000" w:fill="D6DCE4"/>
            <w:noWrap/>
            <w:vAlign w:val="bottom"/>
            <w:hideMark/>
          </w:tcPr>
          <w:p w14:paraId="2A4B921E"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Input data for Profitability Ratios:</w:t>
            </w:r>
          </w:p>
        </w:tc>
        <w:tc>
          <w:tcPr>
            <w:tcW w:w="168" w:type="pct"/>
            <w:tcBorders>
              <w:top w:val="nil"/>
              <w:left w:val="nil"/>
              <w:bottom w:val="nil"/>
              <w:right w:val="nil"/>
            </w:tcBorders>
            <w:shd w:val="clear" w:color="000000" w:fill="B4C6E7"/>
            <w:noWrap/>
            <w:vAlign w:val="bottom"/>
            <w:hideMark/>
          </w:tcPr>
          <w:p w14:paraId="303150C2"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B4C6E7"/>
            <w:noWrap/>
            <w:vAlign w:val="bottom"/>
            <w:hideMark/>
          </w:tcPr>
          <w:p w14:paraId="6EF3DD5E"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nil"/>
              <w:left w:val="nil"/>
              <w:bottom w:val="nil"/>
              <w:right w:val="nil"/>
            </w:tcBorders>
            <w:shd w:val="clear" w:color="000000" w:fill="B4C6E7"/>
            <w:noWrap/>
            <w:vAlign w:val="bottom"/>
            <w:hideMark/>
          </w:tcPr>
          <w:p w14:paraId="1C805683"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nil"/>
              <w:left w:val="nil"/>
              <w:bottom w:val="nil"/>
              <w:right w:val="nil"/>
            </w:tcBorders>
            <w:shd w:val="clear" w:color="000000" w:fill="B4C6E7"/>
            <w:noWrap/>
            <w:vAlign w:val="bottom"/>
            <w:hideMark/>
          </w:tcPr>
          <w:p w14:paraId="0283A0B5"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nil"/>
              <w:left w:val="nil"/>
              <w:bottom w:val="nil"/>
              <w:right w:val="nil"/>
            </w:tcBorders>
            <w:shd w:val="clear" w:color="000000" w:fill="B4C6E7"/>
            <w:noWrap/>
            <w:vAlign w:val="bottom"/>
            <w:hideMark/>
          </w:tcPr>
          <w:p w14:paraId="0EB8ED50"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nil"/>
              <w:left w:val="nil"/>
              <w:bottom w:val="nil"/>
              <w:right w:val="nil"/>
            </w:tcBorders>
            <w:shd w:val="clear" w:color="000000" w:fill="B4C6E7"/>
            <w:noWrap/>
            <w:vAlign w:val="bottom"/>
            <w:hideMark/>
          </w:tcPr>
          <w:p w14:paraId="6774DA53"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2BF72B7C" w14:textId="77777777" w:rsidTr="0040737D">
        <w:trPr>
          <w:trHeight w:val="315"/>
        </w:trPr>
        <w:tc>
          <w:tcPr>
            <w:tcW w:w="2555" w:type="pct"/>
            <w:tcBorders>
              <w:top w:val="nil"/>
              <w:left w:val="nil"/>
              <w:bottom w:val="nil"/>
              <w:right w:val="nil"/>
            </w:tcBorders>
            <w:noWrap/>
            <w:vAlign w:val="bottom"/>
            <w:hideMark/>
          </w:tcPr>
          <w:p w14:paraId="5A56CC08"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Gross Profit</w:t>
            </w:r>
          </w:p>
        </w:tc>
        <w:tc>
          <w:tcPr>
            <w:tcW w:w="168" w:type="pct"/>
            <w:tcBorders>
              <w:top w:val="nil"/>
              <w:left w:val="nil"/>
              <w:bottom w:val="nil"/>
              <w:right w:val="nil"/>
            </w:tcBorders>
            <w:noWrap/>
            <w:vAlign w:val="bottom"/>
            <w:hideMark/>
          </w:tcPr>
          <w:p w14:paraId="4EDE2526"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3B43FF4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51,242</w:t>
            </w:r>
          </w:p>
        </w:tc>
        <w:tc>
          <w:tcPr>
            <w:tcW w:w="455" w:type="pct"/>
            <w:tcBorders>
              <w:top w:val="nil"/>
              <w:left w:val="nil"/>
              <w:bottom w:val="nil"/>
              <w:right w:val="nil"/>
            </w:tcBorders>
            <w:noWrap/>
            <w:vAlign w:val="bottom"/>
            <w:hideMark/>
          </w:tcPr>
          <w:p w14:paraId="3AA4B31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59,471</w:t>
            </w:r>
          </w:p>
        </w:tc>
        <w:tc>
          <w:tcPr>
            <w:tcW w:w="455" w:type="pct"/>
            <w:tcBorders>
              <w:top w:val="nil"/>
              <w:left w:val="nil"/>
              <w:bottom w:val="nil"/>
              <w:right w:val="nil"/>
            </w:tcBorders>
            <w:noWrap/>
            <w:vAlign w:val="bottom"/>
            <w:hideMark/>
          </w:tcPr>
          <w:p w14:paraId="5B77359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60,985</w:t>
            </w:r>
          </w:p>
        </w:tc>
        <w:tc>
          <w:tcPr>
            <w:tcW w:w="455" w:type="pct"/>
            <w:tcBorders>
              <w:top w:val="nil"/>
              <w:left w:val="nil"/>
              <w:bottom w:val="nil"/>
              <w:right w:val="nil"/>
            </w:tcBorders>
            <w:noWrap/>
            <w:vAlign w:val="bottom"/>
            <w:hideMark/>
          </w:tcPr>
          <w:p w14:paraId="075009E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52,184</w:t>
            </w:r>
          </w:p>
        </w:tc>
        <w:tc>
          <w:tcPr>
            <w:tcW w:w="455" w:type="pct"/>
            <w:tcBorders>
              <w:top w:val="nil"/>
              <w:left w:val="nil"/>
              <w:bottom w:val="nil"/>
              <w:right w:val="nil"/>
            </w:tcBorders>
            <w:noWrap/>
            <w:vAlign w:val="bottom"/>
            <w:hideMark/>
          </w:tcPr>
          <w:p w14:paraId="2499665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47,241</w:t>
            </w:r>
          </w:p>
        </w:tc>
      </w:tr>
      <w:tr w:rsidR="0040737D" w:rsidRPr="0040737D" w14:paraId="18983769" w14:textId="77777777" w:rsidTr="0040737D">
        <w:trPr>
          <w:trHeight w:val="315"/>
        </w:trPr>
        <w:tc>
          <w:tcPr>
            <w:tcW w:w="2555" w:type="pct"/>
            <w:tcBorders>
              <w:top w:val="nil"/>
              <w:left w:val="nil"/>
              <w:bottom w:val="nil"/>
              <w:right w:val="nil"/>
            </w:tcBorders>
            <w:noWrap/>
            <w:vAlign w:val="bottom"/>
            <w:hideMark/>
          </w:tcPr>
          <w:p w14:paraId="444C09C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Operating Income</w:t>
            </w:r>
          </w:p>
        </w:tc>
        <w:tc>
          <w:tcPr>
            <w:tcW w:w="168" w:type="pct"/>
            <w:tcBorders>
              <w:top w:val="nil"/>
              <w:left w:val="nil"/>
              <w:bottom w:val="nil"/>
              <w:right w:val="nil"/>
            </w:tcBorders>
            <w:noWrap/>
            <w:vAlign w:val="bottom"/>
            <w:hideMark/>
          </w:tcPr>
          <w:p w14:paraId="341F7640"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36084B1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10,794</w:t>
            </w:r>
          </w:p>
        </w:tc>
        <w:tc>
          <w:tcPr>
            <w:tcW w:w="455" w:type="pct"/>
            <w:tcBorders>
              <w:top w:val="nil"/>
              <w:left w:val="nil"/>
              <w:bottom w:val="nil"/>
              <w:right w:val="nil"/>
            </w:tcBorders>
            <w:noWrap/>
            <w:vAlign w:val="bottom"/>
            <w:hideMark/>
          </w:tcPr>
          <w:p w14:paraId="77369DE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21,664</w:t>
            </w:r>
          </w:p>
        </w:tc>
        <w:tc>
          <w:tcPr>
            <w:tcW w:w="455" w:type="pct"/>
            <w:tcBorders>
              <w:top w:val="nil"/>
              <w:left w:val="nil"/>
              <w:bottom w:val="nil"/>
              <w:right w:val="nil"/>
            </w:tcBorders>
            <w:noWrap/>
            <w:vAlign w:val="bottom"/>
            <w:hideMark/>
          </w:tcPr>
          <w:p w14:paraId="0553B4B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25,699</w:t>
            </w:r>
          </w:p>
        </w:tc>
        <w:tc>
          <w:tcPr>
            <w:tcW w:w="455" w:type="pct"/>
            <w:tcBorders>
              <w:top w:val="nil"/>
              <w:left w:val="nil"/>
              <w:bottom w:val="nil"/>
              <w:right w:val="nil"/>
            </w:tcBorders>
            <w:noWrap/>
            <w:vAlign w:val="bottom"/>
            <w:hideMark/>
          </w:tcPr>
          <w:p w14:paraId="7749244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18,488</w:t>
            </w:r>
          </w:p>
        </w:tc>
        <w:tc>
          <w:tcPr>
            <w:tcW w:w="455" w:type="pct"/>
            <w:tcBorders>
              <w:top w:val="nil"/>
              <w:left w:val="nil"/>
              <w:bottom w:val="nil"/>
              <w:right w:val="nil"/>
            </w:tcBorders>
            <w:noWrap/>
            <w:vAlign w:val="bottom"/>
            <w:hideMark/>
          </w:tcPr>
          <w:p w14:paraId="4C028AE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14,731</w:t>
            </w:r>
          </w:p>
        </w:tc>
      </w:tr>
      <w:tr w:rsidR="0040737D" w:rsidRPr="0040737D" w14:paraId="599DA1D8" w14:textId="77777777" w:rsidTr="0040737D">
        <w:trPr>
          <w:trHeight w:val="315"/>
        </w:trPr>
        <w:tc>
          <w:tcPr>
            <w:tcW w:w="2555" w:type="pct"/>
            <w:tcBorders>
              <w:top w:val="nil"/>
              <w:left w:val="nil"/>
              <w:bottom w:val="nil"/>
              <w:right w:val="nil"/>
            </w:tcBorders>
            <w:noWrap/>
            <w:vAlign w:val="bottom"/>
            <w:hideMark/>
          </w:tcPr>
          <w:p w14:paraId="2292690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Pre Tax Income</w:t>
            </w:r>
          </w:p>
        </w:tc>
        <w:tc>
          <w:tcPr>
            <w:tcW w:w="168" w:type="pct"/>
            <w:tcBorders>
              <w:top w:val="nil"/>
              <w:left w:val="nil"/>
              <w:bottom w:val="nil"/>
              <w:right w:val="nil"/>
            </w:tcBorders>
            <w:noWrap/>
            <w:vAlign w:val="bottom"/>
            <w:hideMark/>
          </w:tcPr>
          <w:p w14:paraId="65D4CA26"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2F5BF70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9,307</w:t>
            </w:r>
          </w:p>
        </w:tc>
        <w:tc>
          <w:tcPr>
            <w:tcW w:w="455" w:type="pct"/>
            <w:tcBorders>
              <w:top w:val="nil"/>
              <w:left w:val="nil"/>
              <w:bottom w:val="nil"/>
              <w:right w:val="nil"/>
            </w:tcBorders>
            <w:noWrap/>
            <w:vAlign w:val="bottom"/>
            <w:hideMark/>
          </w:tcPr>
          <w:p w14:paraId="761FF47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16,806</w:t>
            </w:r>
          </w:p>
        </w:tc>
        <w:tc>
          <w:tcPr>
            <w:tcW w:w="455" w:type="pct"/>
            <w:tcBorders>
              <w:top w:val="nil"/>
              <w:left w:val="nil"/>
              <w:bottom w:val="nil"/>
              <w:right w:val="nil"/>
            </w:tcBorders>
            <w:noWrap/>
            <w:vAlign w:val="bottom"/>
            <w:hideMark/>
          </w:tcPr>
          <w:p w14:paraId="42F1A8C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23,099</w:t>
            </w:r>
          </w:p>
        </w:tc>
        <w:tc>
          <w:tcPr>
            <w:tcW w:w="455" w:type="pct"/>
            <w:tcBorders>
              <w:top w:val="nil"/>
              <w:left w:val="nil"/>
              <w:bottom w:val="nil"/>
              <w:right w:val="nil"/>
            </w:tcBorders>
            <w:noWrap/>
            <w:vAlign w:val="bottom"/>
            <w:hideMark/>
          </w:tcPr>
          <w:p w14:paraId="4BE3F15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22,070</w:t>
            </w:r>
          </w:p>
        </w:tc>
        <w:tc>
          <w:tcPr>
            <w:tcW w:w="455" w:type="pct"/>
            <w:tcBorders>
              <w:top w:val="nil"/>
              <w:left w:val="nil"/>
              <w:bottom w:val="nil"/>
              <w:right w:val="nil"/>
            </w:tcBorders>
            <w:noWrap/>
            <w:vAlign w:val="bottom"/>
            <w:hideMark/>
          </w:tcPr>
          <w:p w14:paraId="02AD9E4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20,126</w:t>
            </w:r>
          </w:p>
        </w:tc>
      </w:tr>
      <w:tr w:rsidR="0040737D" w:rsidRPr="0040737D" w14:paraId="4EFFEA3B" w14:textId="77777777" w:rsidTr="0040737D">
        <w:trPr>
          <w:trHeight w:val="315"/>
        </w:trPr>
        <w:tc>
          <w:tcPr>
            <w:tcW w:w="2555" w:type="pct"/>
            <w:tcBorders>
              <w:top w:val="nil"/>
              <w:left w:val="nil"/>
              <w:bottom w:val="nil"/>
              <w:right w:val="nil"/>
            </w:tcBorders>
            <w:noWrap/>
            <w:vAlign w:val="bottom"/>
            <w:hideMark/>
          </w:tcPr>
          <w:p w14:paraId="0F56C11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Net Income</w:t>
            </w:r>
          </w:p>
        </w:tc>
        <w:tc>
          <w:tcPr>
            <w:tcW w:w="168" w:type="pct"/>
            <w:tcBorders>
              <w:top w:val="nil"/>
              <w:left w:val="nil"/>
              <w:bottom w:val="nil"/>
              <w:right w:val="nil"/>
            </w:tcBorders>
            <w:noWrap/>
            <w:vAlign w:val="bottom"/>
            <w:hideMark/>
          </w:tcPr>
          <w:p w14:paraId="0E39CC13"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5A56A40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7,323</w:t>
            </w:r>
          </w:p>
        </w:tc>
        <w:tc>
          <w:tcPr>
            <w:tcW w:w="455" w:type="pct"/>
            <w:tcBorders>
              <w:top w:val="nil"/>
              <w:left w:val="nil"/>
              <w:bottom w:val="nil"/>
              <w:right w:val="nil"/>
            </w:tcBorders>
            <w:noWrap/>
            <w:vAlign w:val="bottom"/>
            <w:hideMark/>
          </w:tcPr>
          <w:p w14:paraId="48DFAA6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11,351</w:t>
            </w:r>
          </w:p>
        </w:tc>
        <w:tc>
          <w:tcPr>
            <w:tcW w:w="455" w:type="pct"/>
            <w:tcBorders>
              <w:top w:val="nil"/>
              <w:left w:val="nil"/>
              <w:bottom w:val="nil"/>
              <w:right w:val="nil"/>
            </w:tcBorders>
            <w:noWrap/>
            <w:vAlign w:val="bottom"/>
            <w:hideMark/>
          </w:tcPr>
          <w:p w14:paraId="4799606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16,532</w:t>
            </w:r>
          </w:p>
        </w:tc>
        <w:tc>
          <w:tcPr>
            <w:tcW w:w="455" w:type="pct"/>
            <w:tcBorders>
              <w:top w:val="nil"/>
              <w:left w:val="nil"/>
              <w:bottom w:val="nil"/>
              <w:right w:val="nil"/>
            </w:tcBorders>
            <w:noWrap/>
            <w:vAlign w:val="bottom"/>
            <w:hideMark/>
          </w:tcPr>
          <w:p w14:paraId="621321B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15,457</w:t>
            </w:r>
          </w:p>
        </w:tc>
        <w:tc>
          <w:tcPr>
            <w:tcW w:w="455" w:type="pct"/>
            <w:tcBorders>
              <w:top w:val="nil"/>
              <w:left w:val="nil"/>
              <w:bottom w:val="nil"/>
              <w:right w:val="nil"/>
            </w:tcBorders>
            <w:noWrap/>
            <w:vAlign w:val="bottom"/>
            <w:hideMark/>
          </w:tcPr>
          <w:p w14:paraId="1302017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19,275</w:t>
            </w:r>
          </w:p>
        </w:tc>
      </w:tr>
      <w:tr w:rsidR="0040737D" w:rsidRPr="0040737D" w14:paraId="5AD4124E" w14:textId="77777777" w:rsidTr="0040737D">
        <w:trPr>
          <w:trHeight w:val="315"/>
        </w:trPr>
        <w:tc>
          <w:tcPr>
            <w:tcW w:w="2555" w:type="pct"/>
            <w:tcBorders>
              <w:top w:val="nil"/>
              <w:left w:val="nil"/>
              <w:bottom w:val="nil"/>
              <w:right w:val="nil"/>
            </w:tcBorders>
            <w:noWrap/>
            <w:vAlign w:val="bottom"/>
            <w:hideMark/>
          </w:tcPr>
          <w:p w14:paraId="4AC9C0C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Sales</w:t>
            </w:r>
          </w:p>
        </w:tc>
        <w:tc>
          <w:tcPr>
            <w:tcW w:w="168" w:type="pct"/>
            <w:tcBorders>
              <w:top w:val="nil"/>
              <w:left w:val="nil"/>
              <w:bottom w:val="nil"/>
              <w:right w:val="nil"/>
            </w:tcBorders>
            <w:noWrap/>
            <w:vAlign w:val="bottom"/>
            <w:hideMark/>
          </w:tcPr>
          <w:p w14:paraId="38F4BED3"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2049712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321,913</w:t>
            </w:r>
          </w:p>
        </w:tc>
        <w:tc>
          <w:tcPr>
            <w:tcW w:w="455" w:type="pct"/>
            <w:tcBorders>
              <w:top w:val="nil"/>
              <w:left w:val="nil"/>
              <w:bottom w:val="nil"/>
              <w:right w:val="nil"/>
            </w:tcBorders>
            <w:noWrap/>
            <w:vAlign w:val="bottom"/>
            <w:hideMark/>
          </w:tcPr>
          <w:p w14:paraId="3C86D07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324,655</w:t>
            </w:r>
          </w:p>
        </w:tc>
        <w:tc>
          <w:tcPr>
            <w:tcW w:w="455" w:type="pct"/>
            <w:tcBorders>
              <w:top w:val="nil"/>
              <w:left w:val="nil"/>
              <w:bottom w:val="nil"/>
              <w:right w:val="nil"/>
            </w:tcBorders>
            <w:noWrap/>
            <w:vAlign w:val="bottom"/>
            <w:hideMark/>
          </w:tcPr>
          <w:p w14:paraId="1AF8434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322,284</w:t>
            </w:r>
          </w:p>
        </w:tc>
        <w:tc>
          <w:tcPr>
            <w:tcW w:w="455" w:type="pct"/>
            <w:tcBorders>
              <w:top w:val="nil"/>
              <w:left w:val="nil"/>
              <w:bottom w:val="nil"/>
              <w:right w:val="nil"/>
            </w:tcBorders>
            <w:noWrap/>
            <w:vAlign w:val="bottom"/>
            <w:hideMark/>
          </w:tcPr>
          <w:p w14:paraId="41395FF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279,050</w:t>
            </w:r>
          </w:p>
        </w:tc>
        <w:tc>
          <w:tcPr>
            <w:tcW w:w="455" w:type="pct"/>
            <w:tcBorders>
              <w:top w:val="nil"/>
              <w:left w:val="nil"/>
              <w:bottom w:val="nil"/>
              <w:right w:val="nil"/>
            </w:tcBorders>
            <w:noWrap/>
            <w:vAlign w:val="bottom"/>
            <w:hideMark/>
          </w:tcPr>
          <w:p w14:paraId="512385E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250,200</w:t>
            </w:r>
          </w:p>
        </w:tc>
      </w:tr>
      <w:tr w:rsidR="0040737D" w:rsidRPr="0040737D" w14:paraId="28876905" w14:textId="77777777" w:rsidTr="0040737D">
        <w:trPr>
          <w:trHeight w:val="315"/>
        </w:trPr>
        <w:tc>
          <w:tcPr>
            <w:tcW w:w="2555" w:type="pct"/>
            <w:tcBorders>
              <w:top w:val="nil"/>
              <w:left w:val="nil"/>
              <w:bottom w:val="nil"/>
              <w:right w:val="nil"/>
            </w:tcBorders>
            <w:noWrap/>
            <w:vAlign w:val="bottom"/>
            <w:hideMark/>
          </w:tcPr>
          <w:p w14:paraId="14CF270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Equity</w:t>
            </w:r>
          </w:p>
        </w:tc>
        <w:tc>
          <w:tcPr>
            <w:tcW w:w="168" w:type="pct"/>
            <w:tcBorders>
              <w:top w:val="nil"/>
              <w:left w:val="nil"/>
              <w:bottom w:val="nil"/>
              <w:right w:val="nil"/>
            </w:tcBorders>
            <w:noWrap/>
            <w:vAlign w:val="bottom"/>
            <w:hideMark/>
          </w:tcPr>
          <w:p w14:paraId="6A1A336D"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0A33D9A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203,054</w:t>
            </w:r>
          </w:p>
        </w:tc>
        <w:tc>
          <w:tcPr>
            <w:tcW w:w="455" w:type="pct"/>
            <w:tcBorders>
              <w:top w:val="nil"/>
              <w:left w:val="nil"/>
              <w:bottom w:val="nil"/>
              <w:right w:val="nil"/>
            </w:tcBorders>
            <w:noWrap/>
            <w:vAlign w:val="bottom"/>
            <w:hideMark/>
          </w:tcPr>
          <w:p w14:paraId="0231BB9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196,731</w:t>
            </w:r>
          </w:p>
        </w:tc>
        <w:tc>
          <w:tcPr>
            <w:tcW w:w="455" w:type="pct"/>
            <w:tcBorders>
              <w:top w:val="nil"/>
              <w:left w:val="nil"/>
              <w:bottom w:val="nil"/>
              <w:right w:val="nil"/>
            </w:tcBorders>
            <w:noWrap/>
            <w:vAlign w:val="bottom"/>
            <w:hideMark/>
          </w:tcPr>
          <w:p w14:paraId="48F5E36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189,186</w:t>
            </w:r>
          </w:p>
        </w:tc>
        <w:tc>
          <w:tcPr>
            <w:tcW w:w="455" w:type="pct"/>
            <w:tcBorders>
              <w:top w:val="nil"/>
              <w:left w:val="nil"/>
              <w:bottom w:val="nil"/>
              <w:right w:val="nil"/>
            </w:tcBorders>
            <w:noWrap/>
            <w:vAlign w:val="bottom"/>
            <w:hideMark/>
          </w:tcPr>
          <w:p w14:paraId="1C228B1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178,328</w:t>
            </w:r>
          </w:p>
        </w:tc>
        <w:tc>
          <w:tcPr>
            <w:tcW w:w="455" w:type="pct"/>
            <w:tcBorders>
              <w:top w:val="nil"/>
              <w:left w:val="nil"/>
              <w:bottom w:val="nil"/>
              <w:right w:val="nil"/>
            </w:tcBorders>
            <w:noWrap/>
            <w:vAlign w:val="bottom"/>
            <w:hideMark/>
          </w:tcPr>
          <w:p w14:paraId="743ECE9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146,154</w:t>
            </w:r>
          </w:p>
        </w:tc>
      </w:tr>
      <w:tr w:rsidR="0040737D" w:rsidRPr="0040737D" w14:paraId="25926039" w14:textId="77777777" w:rsidTr="0040737D">
        <w:trPr>
          <w:trHeight w:val="315"/>
        </w:trPr>
        <w:tc>
          <w:tcPr>
            <w:tcW w:w="2555" w:type="pct"/>
            <w:tcBorders>
              <w:top w:val="nil"/>
              <w:left w:val="nil"/>
              <w:bottom w:val="nil"/>
              <w:right w:val="nil"/>
            </w:tcBorders>
            <w:noWrap/>
            <w:vAlign w:val="bottom"/>
            <w:hideMark/>
          </w:tcPr>
          <w:p w14:paraId="6DD49E4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Assets</w:t>
            </w:r>
          </w:p>
        </w:tc>
        <w:tc>
          <w:tcPr>
            <w:tcW w:w="168" w:type="pct"/>
            <w:tcBorders>
              <w:top w:val="nil"/>
              <w:left w:val="nil"/>
              <w:bottom w:val="nil"/>
              <w:right w:val="nil"/>
            </w:tcBorders>
            <w:noWrap/>
            <w:vAlign w:val="bottom"/>
            <w:hideMark/>
          </w:tcPr>
          <w:p w14:paraId="10C93C93"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1325962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644,467</w:t>
            </w:r>
          </w:p>
        </w:tc>
        <w:tc>
          <w:tcPr>
            <w:tcW w:w="455" w:type="pct"/>
            <w:tcBorders>
              <w:top w:val="nil"/>
              <w:left w:val="nil"/>
              <w:bottom w:val="nil"/>
              <w:right w:val="nil"/>
            </w:tcBorders>
            <w:noWrap/>
            <w:vAlign w:val="bottom"/>
            <w:hideMark/>
          </w:tcPr>
          <w:p w14:paraId="23FE9D0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632,905</w:t>
            </w:r>
          </w:p>
        </w:tc>
        <w:tc>
          <w:tcPr>
            <w:tcW w:w="455" w:type="pct"/>
            <w:tcBorders>
              <w:top w:val="nil"/>
              <w:left w:val="nil"/>
              <w:bottom w:val="nil"/>
              <w:right w:val="nil"/>
            </w:tcBorders>
            <w:noWrap/>
            <w:vAlign w:val="bottom"/>
            <w:hideMark/>
          </w:tcPr>
          <w:p w14:paraId="79DAF23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600,649</w:t>
            </w:r>
          </w:p>
        </w:tc>
        <w:tc>
          <w:tcPr>
            <w:tcW w:w="455" w:type="pct"/>
            <w:tcBorders>
              <w:top w:val="nil"/>
              <w:left w:val="nil"/>
              <w:bottom w:val="nil"/>
              <w:right w:val="nil"/>
            </w:tcBorders>
            <w:noWrap/>
            <w:vAlign w:val="bottom"/>
            <w:hideMark/>
          </w:tcPr>
          <w:p w14:paraId="5F8B8F5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564,013</w:t>
            </w:r>
          </w:p>
        </w:tc>
        <w:tc>
          <w:tcPr>
            <w:tcW w:w="455" w:type="pct"/>
            <w:tcBorders>
              <w:top w:val="nil"/>
              <w:left w:val="nil"/>
              <w:bottom w:val="nil"/>
              <w:right w:val="nil"/>
            </w:tcBorders>
            <w:noWrap/>
            <w:vAlign w:val="bottom"/>
            <w:hideMark/>
          </w:tcPr>
          <w:p w14:paraId="080792A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528,609</w:t>
            </w:r>
          </w:p>
        </w:tc>
      </w:tr>
      <w:tr w:rsidR="0040737D" w:rsidRPr="0040737D" w14:paraId="623E6E55" w14:textId="77777777" w:rsidTr="0040737D">
        <w:trPr>
          <w:trHeight w:val="300"/>
        </w:trPr>
        <w:tc>
          <w:tcPr>
            <w:tcW w:w="2555" w:type="pct"/>
            <w:tcBorders>
              <w:top w:val="nil"/>
              <w:left w:val="nil"/>
              <w:bottom w:val="nil"/>
              <w:right w:val="nil"/>
            </w:tcBorders>
            <w:noWrap/>
            <w:vAlign w:val="bottom"/>
            <w:hideMark/>
          </w:tcPr>
          <w:p w14:paraId="7B8223B9" w14:textId="77777777" w:rsidR="0040737D" w:rsidRPr="0040737D" w:rsidRDefault="0040737D" w:rsidP="0040737D">
            <w:pPr>
              <w:spacing w:line="240" w:lineRule="auto"/>
              <w:jc w:val="right"/>
              <w:rPr>
                <w:rFonts w:eastAsia="Times New Roman"/>
                <w:color w:val="000000"/>
                <w:szCs w:val="24"/>
                <w:lang w:val="en-IN" w:eastAsia="en-IN"/>
              </w:rPr>
            </w:pPr>
          </w:p>
        </w:tc>
        <w:tc>
          <w:tcPr>
            <w:tcW w:w="168" w:type="pct"/>
            <w:tcBorders>
              <w:top w:val="nil"/>
              <w:left w:val="nil"/>
              <w:bottom w:val="nil"/>
              <w:right w:val="nil"/>
            </w:tcBorders>
            <w:noWrap/>
            <w:vAlign w:val="bottom"/>
            <w:hideMark/>
          </w:tcPr>
          <w:p w14:paraId="4AA1792D"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2FB28EB0"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7018B985"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7F921D5F"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237DC1AC"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2A7B9636"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62951E1D" w14:textId="77777777" w:rsidTr="0040737D">
        <w:trPr>
          <w:trHeight w:val="315"/>
        </w:trPr>
        <w:tc>
          <w:tcPr>
            <w:tcW w:w="2555" w:type="pct"/>
            <w:tcBorders>
              <w:top w:val="nil"/>
              <w:left w:val="nil"/>
              <w:bottom w:val="single" w:sz="4" w:space="0" w:color="auto"/>
              <w:right w:val="nil"/>
            </w:tcBorders>
            <w:shd w:val="clear" w:color="000000" w:fill="B4C6E7"/>
            <w:noWrap/>
            <w:vAlign w:val="bottom"/>
            <w:hideMark/>
          </w:tcPr>
          <w:p w14:paraId="101B8F1E"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PROFITABILITY RATIOS:</w:t>
            </w:r>
          </w:p>
        </w:tc>
        <w:tc>
          <w:tcPr>
            <w:tcW w:w="168" w:type="pct"/>
            <w:tcBorders>
              <w:top w:val="nil"/>
              <w:left w:val="nil"/>
              <w:bottom w:val="single" w:sz="4" w:space="0" w:color="auto"/>
              <w:right w:val="nil"/>
            </w:tcBorders>
            <w:shd w:val="clear" w:color="000000" w:fill="B4C6E7"/>
            <w:noWrap/>
            <w:vAlign w:val="bottom"/>
            <w:hideMark/>
          </w:tcPr>
          <w:p w14:paraId="0C4E3C61"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306F1DD8"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nil"/>
              <w:left w:val="nil"/>
              <w:bottom w:val="single" w:sz="4" w:space="0" w:color="auto"/>
              <w:right w:val="nil"/>
            </w:tcBorders>
            <w:shd w:val="clear" w:color="000000" w:fill="B4C6E7"/>
            <w:noWrap/>
            <w:vAlign w:val="bottom"/>
            <w:hideMark/>
          </w:tcPr>
          <w:p w14:paraId="31D8C1AF"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nil"/>
              <w:left w:val="nil"/>
              <w:bottom w:val="single" w:sz="4" w:space="0" w:color="auto"/>
              <w:right w:val="nil"/>
            </w:tcBorders>
            <w:shd w:val="clear" w:color="000000" w:fill="B4C6E7"/>
            <w:noWrap/>
            <w:vAlign w:val="bottom"/>
            <w:hideMark/>
          </w:tcPr>
          <w:p w14:paraId="638B24B9"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nil"/>
              <w:left w:val="nil"/>
              <w:bottom w:val="single" w:sz="4" w:space="0" w:color="auto"/>
              <w:right w:val="nil"/>
            </w:tcBorders>
            <w:shd w:val="clear" w:color="000000" w:fill="B4C6E7"/>
            <w:noWrap/>
            <w:vAlign w:val="bottom"/>
            <w:hideMark/>
          </w:tcPr>
          <w:p w14:paraId="6C0CB85A"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nil"/>
              <w:left w:val="nil"/>
              <w:bottom w:val="single" w:sz="4" w:space="0" w:color="auto"/>
              <w:right w:val="nil"/>
            </w:tcBorders>
            <w:shd w:val="clear" w:color="000000" w:fill="B4C6E7"/>
            <w:noWrap/>
            <w:vAlign w:val="bottom"/>
            <w:hideMark/>
          </w:tcPr>
          <w:p w14:paraId="3F094B28"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6B3668F9" w14:textId="77777777" w:rsidTr="0040737D">
        <w:trPr>
          <w:trHeight w:val="315"/>
        </w:trPr>
        <w:tc>
          <w:tcPr>
            <w:tcW w:w="2555" w:type="pct"/>
            <w:tcBorders>
              <w:top w:val="nil"/>
              <w:left w:val="nil"/>
              <w:bottom w:val="nil"/>
              <w:right w:val="nil"/>
            </w:tcBorders>
            <w:shd w:val="clear" w:color="000000" w:fill="B4C6E7"/>
            <w:noWrap/>
            <w:vAlign w:val="bottom"/>
            <w:hideMark/>
          </w:tcPr>
          <w:p w14:paraId="0DB11D8C"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Gross Margin</w:t>
            </w:r>
          </w:p>
        </w:tc>
        <w:tc>
          <w:tcPr>
            <w:tcW w:w="168" w:type="pct"/>
            <w:tcBorders>
              <w:top w:val="nil"/>
              <w:left w:val="nil"/>
              <w:bottom w:val="nil"/>
              <w:right w:val="nil"/>
            </w:tcBorders>
            <w:shd w:val="clear" w:color="000000" w:fill="B4C6E7"/>
            <w:noWrap/>
            <w:vAlign w:val="bottom"/>
            <w:hideMark/>
          </w:tcPr>
          <w:p w14:paraId="5EC7439F"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B4C6E7"/>
            <w:noWrap/>
            <w:vAlign w:val="bottom"/>
            <w:hideMark/>
          </w:tcPr>
          <w:p w14:paraId="1D7A1AB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16%</w:t>
            </w:r>
          </w:p>
        </w:tc>
        <w:tc>
          <w:tcPr>
            <w:tcW w:w="455" w:type="pct"/>
            <w:tcBorders>
              <w:top w:val="nil"/>
              <w:left w:val="nil"/>
              <w:bottom w:val="nil"/>
              <w:right w:val="nil"/>
            </w:tcBorders>
            <w:shd w:val="clear" w:color="000000" w:fill="B4C6E7"/>
            <w:noWrap/>
            <w:vAlign w:val="bottom"/>
            <w:hideMark/>
          </w:tcPr>
          <w:p w14:paraId="705F537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w:t>
            </w:r>
          </w:p>
        </w:tc>
        <w:tc>
          <w:tcPr>
            <w:tcW w:w="455" w:type="pct"/>
            <w:tcBorders>
              <w:top w:val="nil"/>
              <w:left w:val="nil"/>
              <w:bottom w:val="nil"/>
              <w:right w:val="nil"/>
            </w:tcBorders>
            <w:shd w:val="clear" w:color="000000" w:fill="B4C6E7"/>
            <w:noWrap/>
            <w:vAlign w:val="bottom"/>
            <w:hideMark/>
          </w:tcPr>
          <w:p w14:paraId="1411E18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w:t>
            </w:r>
          </w:p>
        </w:tc>
        <w:tc>
          <w:tcPr>
            <w:tcW w:w="455" w:type="pct"/>
            <w:tcBorders>
              <w:top w:val="nil"/>
              <w:left w:val="nil"/>
              <w:bottom w:val="nil"/>
              <w:right w:val="nil"/>
            </w:tcBorders>
            <w:shd w:val="clear" w:color="000000" w:fill="B4C6E7"/>
            <w:noWrap/>
            <w:vAlign w:val="bottom"/>
            <w:hideMark/>
          </w:tcPr>
          <w:p w14:paraId="0D060E6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w:t>
            </w:r>
          </w:p>
        </w:tc>
        <w:tc>
          <w:tcPr>
            <w:tcW w:w="455" w:type="pct"/>
            <w:tcBorders>
              <w:top w:val="nil"/>
              <w:left w:val="nil"/>
              <w:bottom w:val="nil"/>
              <w:right w:val="nil"/>
            </w:tcBorders>
            <w:shd w:val="clear" w:color="000000" w:fill="B4C6E7"/>
            <w:noWrap/>
            <w:vAlign w:val="bottom"/>
            <w:hideMark/>
          </w:tcPr>
          <w:p w14:paraId="3C64344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w:t>
            </w:r>
          </w:p>
        </w:tc>
      </w:tr>
      <w:tr w:rsidR="0040737D" w:rsidRPr="0040737D" w14:paraId="2080D37F" w14:textId="77777777" w:rsidTr="0040737D">
        <w:trPr>
          <w:trHeight w:val="300"/>
        </w:trPr>
        <w:tc>
          <w:tcPr>
            <w:tcW w:w="2555" w:type="pct"/>
            <w:tcBorders>
              <w:top w:val="nil"/>
              <w:left w:val="nil"/>
              <w:bottom w:val="single" w:sz="4" w:space="0" w:color="auto"/>
              <w:right w:val="nil"/>
            </w:tcBorders>
            <w:shd w:val="clear" w:color="000000" w:fill="B4C6E7"/>
            <w:noWrap/>
            <w:vAlign w:val="bottom"/>
            <w:hideMark/>
          </w:tcPr>
          <w:p w14:paraId="216608D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Gross Profit/Sales</w:t>
            </w:r>
          </w:p>
        </w:tc>
        <w:tc>
          <w:tcPr>
            <w:tcW w:w="168" w:type="pct"/>
            <w:tcBorders>
              <w:top w:val="nil"/>
              <w:left w:val="nil"/>
              <w:bottom w:val="single" w:sz="4" w:space="0" w:color="auto"/>
              <w:right w:val="nil"/>
            </w:tcBorders>
            <w:shd w:val="clear" w:color="000000" w:fill="B4C6E7"/>
            <w:noWrap/>
            <w:vAlign w:val="bottom"/>
            <w:hideMark/>
          </w:tcPr>
          <w:p w14:paraId="626E585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3E4067A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47D4A41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43A8ECD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4291C03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6C876028"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4148E9CC" w14:textId="77777777" w:rsidTr="0040737D">
        <w:trPr>
          <w:trHeight w:val="315"/>
        </w:trPr>
        <w:tc>
          <w:tcPr>
            <w:tcW w:w="2555" w:type="pct"/>
            <w:tcBorders>
              <w:top w:val="nil"/>
              <w:left w:val="nil"/>
              <w:bottom w:val="nil"/>
              <w:right w:val="nil"/>
            </w:tcBorders>
            <w:shd w:val="clear" w:color="000000" w:fill="B4C6E7"/>
            <w:noWrap/>
            <w:vAlign w:val="bottom"/>
            <w:hideMark/>
          </w:tcPr>
          <w:p w14:paraId="093E7772"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lastRenderedPageBreak/>
              <w:t>Operating Margin</w:t>
            </w:r>
          </w:p>
        </w:tc>
        <w:tc>
          <w:tcPr>
            <w:tcW w:w="168" w:type="pct"/>
            <w:tcBorders>
              <w:top w:val="nil"/>
              <w:left w:val="nil"/>
              <w:bottom w:val="nil"/>
              <w:right w:val="nil"/>
            </w:tcBorders>
            <w:shd w:val="clear" w:color="000000" w:fill="B4C6E7"/>
            <w:noWrap/>
            <w:vAlign w:val="bottom"/>
            <w:hideMark/>
          </w:tcPr>
          <w:p w14:paraId="3C790EC1"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B4C6E7"/>
            <w:noWrap/>
            <w:vAlign w:val="bottom"/>
            <w:hideMark/>
          </w:tcPr>
          <w:p w14:paraId="0B37E0C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w:t>
            </w:r>
          </w:p>
        </w:tc>
        <w:tc>
          <w:tcPr>
            <w:tcW w:w="455" w:type="pct"/>
            <w:tcBorders>
              <w:top w:val="nil"/>
              <w:left w:val="nil"/>
              <w:bottom w:val="nil"/>
              <w:right w:val="nil"/>
            </w:tcBorders>
            <w:shd w:val="clear" w:color="000000" w:fill="B4C6E7"/>
            <w:noWrap/>
            <w:vAlign w:val="bottom"/>
            <w:hideMark/>
          </w:tcPr>
          <w:p w14:paraId="79B5E90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w:t>
            </w:r>
          </w:p>
        </w:tc>
        <w:tc>
          <w:tcPr>
            <w:tcW w:w="455" w:type="pct"/>
            <w:tcBorders>
              <w:top w:val="nil"/>
              <w:left w:val="nil"/>
              <w:bottom w:val="nil"/>
              <w:right w:val="nil"/>
            </w:tcBorders>
            <w:shd w:val="clear" w:color="000000" w:fill="B4C6E7"/>
            <w:noWrap/>
            <w:vAlign w:val="bottom"/>
            <w:hideMark/>
          </w:tcPr>
          <w:p w14:paraId="52B9DC7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8%</w:t>
            </w:r>
          </w:p>
        </w:tc>
        <w:tc>
          <w:tcPr>
            <w:tcW w:w="455" w:type="pct"/>
            <w:tcBorders>
              <w:top w:val="nil"/>
              <w:left w:val="nil"/>
              <w:bottom w:val="nil"/>
              <w:right w:val="nil"/>
            </w:tcBorders>
            <w:shd w:val="clear" w:color="000000" w:fill="B4C6E7"/>
            <w:noWrap/>
            <w:vAlign w:val="bottom"/>
            <w:hideMark/>
          </w:tcPr>
          <w:p w14:paraId="3F4B346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w:t>
            </w:r>
          </w:p>
        </w:tc>
        <w:tc>
          <w:tcPr>
            <w:tcW w:w="455" w:type="pct"/>
            <w:tcBorders>
              <w:top w:val="nil"/>
              <w:left w:val="nil"/>
              <w:bottom w:val="nil"/>
              <w:right w:val="nil"/>
            </w:tcBorders>
            <w:shd w:val="clear" w:color="000000" w:fill="B4C6E7"/>
            <w:noWrap/>
            <w:vAlign w:val="bottom"/>
            <w:hideMark/>
          </w:tcPr>
          <w:p w14:paraId="4326C46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w:t>
            </w:r>
          </w:p>
        </w:tc>
      </w:tr>
      <w:tr w:rsidR="0040737D" w:rsidRPr="0040737D" w14:paraId="5711EE6A" w14:textId="77777777" w:rsidTr="0040737D">
        <w:trPr>
          <w:trHeight w:val="300"/>
        </w:trPr>
        <w:tc>
          <w:tcPr>
            <w:tcW w:w="2555" w:type="pct"/>
            <w:tcBorders>
              <w:top w:val="nil"/>
              <w:left w:val="nil"/>
              <w:bottom w:val="single" w:sz="4" w:space="0" w:color="auto"/>
              <w:right w:val="nil"/>
            </w:tcBorders>
            <w:shd w:val="clear" w:color="000000" w:fill="B4C6E7"/>
            <w:noWrap/>
            <w:vAlign w:val="bottom"/>
            <w:hideMark/>
          </w:tcPr>
          <w:p w14:paraId="253E1D2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Operating Income/Sales</w:t>
            </w:r>
          </w:p>
        </w:tc>
        <w:tc>
          <w:tcPr>
            <w:tcW w:w="168" w:type="pct"/>
            <w:tcBorders>
              <w:top w:val="nil"/>
              <w:left w:val="nil"/>
              <w:bottom w:val="single" w:sz="4" w:space="0" w:color="auto"/>
              <w:right w:val="nil"/>
            </w:tcBorders>
            <w:shd w:val="clear" w:color="000000" w:fill="B4C6E7"/>
            <w:noWrap/>
            <w:vAlign w:val="bottom"/>
            <w:hideMark/>
          </w:tcPr>
          <w:p w14:paraId="5AF196D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0135AED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03817967"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191B0B3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3D8ABF37"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0ED68751"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2DCDA704" w14:textId="77777777" w:rsidTr="0040737D">
        <w:trPr>
          <w:trHeight w:val="315"/>
        </w:trPr>
        <w:tc>
          <w:tcPr>
            <w:tcW w:w="2555" w:type="pct"/>
            <w:tcBorders>
              <w:top w:val="nil"/>
              <w:left w:val="nil"/>
              <w:bottom w:val="nil"/>
              <w:right w:val="nil"/>
            </w:tcBorders>
            <w:shd w:val="clear" w:color="000000" w:fill="B4C6E7"/>
            <w:noWrap/>
            <w:vAlign w:val="bottom"/>
            <w:hideMark/>
          </w:tcPr>
          <w:p w14:paraId="65F436FE"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PreTax Margin</w:t>
            </w:r>
          </w:p>
        </w:tc>
        <w:tc>
          <w:tcPr>
            <w:tcW w:w="168" w:type="pct"/>
            <w:tcBorders>
              <w:top w:val="nil"/>
              <w:left w:val="nil"/>
              <w:bottom w:val="nil"/>
              <w:right w:val="nil"/>
            </w:tcBorders>
            <w:shd w:val="clear" w:color="000000" w:fill="B4C6E7"/>
            <w:noWrap/>
            <w:vAlign w:val="bottom"/>
            <w:hideMark/>
          </w:tcPr>
          <w:p w14:paraId="64EE89FC"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B4C6E7"/>
            <w:noWrap/>
            <w:vAlign w:val="bottom"/>
            <w:hideMark/>
          </w:tcPr>
          <w:p w14:paraId="2E306EF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w:t>
            </w:r>
          </w:p>
        </w:tc>
        <w:tc>
          <w:tcPr>
            <w:tcW w:w="455" w:type="pct"/>
            <w:tcBorders>
              <w:top w:val="nil"/>
              <w:left w:val="nil"/>
              <w:bottom w:val="nil"/>
              <w:right w:val="nil"/>
            </w:tcBorders>
            <w:shd w:val="clear" w:color="000000" w:fill="B4C6E7"/>
            <w:noWrap/>
            <w:vAlign w:val="bottom"/>
            <w:hideMark/>
          </w:tcPr>
          <w:p w14:paraId="131E2BE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w:t>
            </w:r>
          </w:p>
        </w:tc>
        <w:tc>
          <w:tcPr>
            <w:tcW w:w="455" w:type="pct"/>
            <w:tcBorders>
              <w:top w:val="nil"/>
              <w:left w:val="nil"/>
              <w:bottom w:val="nil"/>
              <w:right w:val="nil"/>
            </w:tcBorders>
            <w:shd w:val="clear" w:color="000000" w:fill="B4C6E7"/>
            <w:noWrap/>
            <w:vAlign w:val="bottom"/>
            <w:hideMark/>
          </w:tcPr>
          <w:p w14:paraId="0787613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w:t>
            </w:r>
          </w:p>
        </w:tc>
        <w:tc>
          <w:tcPr>
            <w:tcW w:w="455" w:type="pct"/>
            <w:tcBorders>
              <w:top w:val="nil"/>
              <w:left w:val="nil"/>
              <w:bottom w:val="nil"/>
              <w:right w:val="nil"/>
            </w:tcBorders>
            <w:shd w:val="clear" w:color="000000" w:fill="B4C6E7"/>
            <w:noWrap/>
            <w:vAlign w:val="bottom"/>
            <w:hideMark/>
          </w:tcPr>
          <w:p w14:paraId="6FAA219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8%</w:t>
            </w:r>
          </w:p>
        </w:tc>
        <w:tc>
          <w:tcPr>
            <w:tcW w:w="455" w:type="pct"/>
            <w:tcBorders>
              <w:top w:val="nil"/>
              <w:left w:val="nil"/>
              <w:bottom w:val="nil"/>
              <w:right w:val="nil"/>
            </w:tcBorders>
            <w:shd w:val="clear" w:color="000000" w:fill="B4C6E7"/>
            <w:noWrap/>
            <w:vAlign w:val="bottom"/>
            <w:hideMark/>
          </w:tcPr>
          <w:p w14:paraId="6CD7CC8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8%</w:t>
            </w:r>
          </w:p>
        </w:tc>
      </w:tr>
      <w:tr w:rsidR="0040737D" w:rsidRPr="0040737D" w14:paraId="41E9F338" w14:textId="77777777" w:rsidTr="0040737D">
        <w:trPr>
          <w:trHeight w:val="300"/>
        </w:trPr>
        <w:tc>
          <w:tcPr>
            <w:tcW w:w="2555" w:type="pct"/>
            <w:tcBorders>
              <w:top w:val="nil"/>
              <w:left w:val="nil"/>
              <w:bottom w:val="single" w:sz="4" w:space="0" w:color="auto"/>
              <w:right w:val="nil"/>
            </w:tcBorders>
            <w:shd w:val="clear" w:color="000000" w:fill="B4C6E7"/>
            <w:noWrap/>
            <w:vAlign w:val="bottom"/>
            <w:hideMark/>
          </w:tcPr>
          <w:p w14:paraId="458D0DC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PreTax Income/Sales</w:t>
            </w:r>
          </w:p>
        </w:tc>
        <w:tc>
          <w:tcPr>
            <w:tcW w:w="168" w:type="pct"/>
            <w:tcBorders>
              <w:top w:val="nil"/>
              <w:left w:val="nil"/>
              <w:bottom w:val="single" w:sz="4" w:space="0" w:color="auto"/>
              <w:right w:val="nil"/>
            </w:tcBorders>
            <w:shd w:val="clear" w:color="000000" w:fill="B4C6E7"/>
            <w:noWrap/>
            <w:vAlign w:val="bottom"/>
            <w:hideMark/>
          </w:tcPr>
          <w:p w14:paraId="4F57915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6D70B4D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17D57E76"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746121B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4D589505"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5A59CBB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6DBC5519" w14:textId="77777777" w:rsidTr="0040737D">
        <w:trPr>
          <w:trHeight w:val="315"/>
        </w:trPr>
        <w:tc>
          <w:tcPr>
            <w:tcW w:w="2555" w:type="pct"/>
            <w:tcBorders>
              <w:top w:val="nil"/>
              <w:left w:val="nil"/>
              <w:bottom w:val="nil"/>
              <w:right w:val="nil"/>
            </w:tcBorders>
            <w:shd w:val="clear" w:color="000000" w:fill="B4C6E7"/>
            <w:noWrap/>
            <w:vAlign w:val="bottom"/>
            <w:hideMark/>
          </w:tcPr>
          <w:p w14:paraId="472471DA"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Net Profit Margin</w:t>
            </w:r>
          </w:p>
        </w:tc>
        <w:tc>
          <w:tcPr>
            <w:tcW w:w="168" w:type="pct"/>
            <w:tcBorders>
              <w:top w:val="nil"/>
              <w:left w:val="nil"/>
              <w:bottom w:val="nil"/>
              <w:right w:val="nil"/>
            </w:tcBorders>
            <w:shd w:val="clear" w:color="000000" w:fill="B4C6E7"/>
            <w:noWrap/>
            <w:vAlign w:val="bottom"/>
            <w:hideMark/>
          </w:tcPr>
          <w:p w14:paraId="5C308F1C"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B4C6E7"/>
            <w:noWrap/>
            <w:vAlign w:val="bottom"/>
            <w:hideMark/>
          </w:tcPr>
          <w:p w14:paraId="4DEF19F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w:t>
            </w:r>
          </w:p>
        </w:tc>
        <w:tc>
          <w:tcPr>
            <w:tcW w:w="455" w:type="pct"/>
            <w:tcBorders>
              <w:top w:val="nil"/>
              <w:left w:val="nil"/>
              <w:bottom w:val="nil"/>
              <w:right w:val="nil"/>
            </w:tcBorders>
            <w:shd w:val="clear" w:color="000000" w:fill="B4C6E7"/>
            <w:noWrap/>
            <w:vAlign w:val="bottom"/>
            <w:hideMark/>
          </w:tcPr>
          <w:p w14:paraId="68C4B93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w:t>
            </w:r>
          </w:p>
        </w:tc>
        <w:tc>
          <w:tcPr>
            <w:tcW w:w="455" w:type="pct"/>
            <w:tcBorders>
              <w:top w:val="nil"/>
              <w:left w:val="nil"/>
              <w:bottom w:val="nil"/>
              <w:right w:val="nil"/>
            </w:tcBorders>
            <w:shd w:val="clear" w:color="000000" w:fill="B4C6E7"/>
            <w:noWrap/>
            <w:vAlign w:val="bottom"/>
            <w:hideMark/>
          </w:tcPr>
          <w:p w14:paraId="5E01E5D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w:t>
            </w:r>
          </w:p>
        </w:tc>
        <w:tc>
          <w:tcPr>
            <w:tcW w:w="455" w:type="pct"/>
            <w:tcBorders>
              <w:top w:val="nil"/>
              <w:left w:val="nil"/>
              <w:bottom w:val="nil"/>
              <w:right w:val="nil"/>
            </w:tcBorders>
            <w:shd w:val="clear" w:color="000000" w:fill="B4C6E7"/>
            <w:noWrap/>
            <w:vAlign w:val="bottom"/>
            <w:hideMark/>
          </w:tcPr>
          <w:p w14:paraId="09DC57A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w:t>
            </w:r>
          </w:p>
        </w:tc>
        <w:tc>
          <w:tcPr>
            <w:tcW w:w="455" w:type="pct"/>
            <w:tcBorders>
              <w:top w:val="nil"/>
              <w:left w:val="nil"/>
              <w:bottom w:val="nil"/>
              <w:right w:val="nil"/>
            </w:tcBorders>
            <w:shd w:val="clear" w:color="000000" w:fill="B4C6E7"/>
            <w:noWrap/>
            <w:vAlign w:val="bottom"/>
            <w:hideMark/>
          </w:tcPr>
          <w:p w14:paraId="651B91F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8%</w:t>
            </w:r>
          </w:p>
        </w:tc>
      </w:tr>
      <w:tr w:rsidR="0040737D" w:rsidRPr="0040737D" w14:paraId="090374D7" w14:textId="77777777" w:rsidTr="0040737D">
        <w:trPr>
          <w:trHeight w:val="300"/>
        </w:trPr>
        <w:tc>
          <w:tcPr>
            <w:tcW w:w="2555" w:type="pct"/>
            <w:tcBorders>
              <w:top w:val="nil"/>
              <w:left w:val="nil"/>
              <w:bottom w:val="single" w:sz="4" w:space="0" w:color="auto"/>
              <w:right w:val="nil"/>
            </w:tcBorders>
            <w:shd w:val="clear" w:color="000000" w:fill="B4C6E7"/>
            <w:noWrap/>
            <w:vAlign w:val="bottom"/>
            <w:hideMark/>
          </w:tcPr>
          <w:p w14:paraId="6D19972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Net Income/Sales</w:t>
            </w:r>
          </w:p>
        </w:tc>
        <w:tc>
          <w:tcPr>
            <w:tcW w:w="168" w:type="pct"/>
            <w:tcBorders>
              <w:top w:val="nil"/>
              <w:left w:val="nil"/>
              <w:bottom w:val="single" w:sz="4" w:space="0" w:color="auto"/>
              <w:right w:val="nil"/>
            </w:tcBorders>
            <w:shd w:val="clear" w:color="000000" w:fill="B4C6E7"/>
            <w:noWrap/>
            <w:vAlign w:val="bottom"/>
            <w:hideMark/>
          </w:tcPr>
          <w:p w14:paraId="09C8320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6034B47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60FC760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5049A05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339A399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3E9F86C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198AF704" w14:textId="77777777" w:rsidTr="0040737D">
        <w:trPr>
          <w:trHeight w:val="315"/>
        </w:trPr>
        <w:tc>
          <w:tcPr>
            <w:tcW w:w="2555" w:type="pct"/>
            <w:tcBorders>
              <w:top w:val="nil"/>
              <w:left w:val="nil"/>
              <w:bottom w:val="nil"/>
              <w:right w:val="nil"/>
            </w:tcBorders>
            <w:shd w:val="clear" w:color="000000" w:fill="B4C6E7"/>
            <w:noWrap/>
            <w:vAlign w:val="bottom"/>
            <w:hideMark/>
          </w:tcPr>
          <w:p w14:paraId="64A61413"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Return on Equity (ROE)</w:t>
            </w:r>
          </w:p>
        </w:tc>
        <w:tc>
          <w:tcPr>
            <w:tcW w:w="168" w:type="pct"/>
            <w:tcBorders>
              <w:top w:val="nil"/>
              <w:left w:val="nil"/>
              <w:bottom w:val="nil"/>
              <w:right w:val="nil"/>
            </w:tcBorders>
            <w:shd w:val="clear" w:color="000000" w:fill="B4C6E7"/>
            <w:noWrap/>
            <w:vAlign w:val="bottom"/>
            <w:hideMark/>
          </w:tcPr>
          <w:p w14:paraId="525D110A"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B4C6E7"/>
            <w:noWrap/>
            <w:vAlign w:val="bottom"/>
            <w:hideMark/>
          </w:tcPr>
          <w:p w14:paraId="57639B4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4%</w:t>
            </w:r>
          </w:p>
        </w:tc>
        <w:tc>
          <w:tcPr>
            <w:tcW w:w="455" w:type="pct"/>
            <w:tcBorders>
              <w:top w:val="nil"/>
              <w:left w:val="nil"/>
              <w:bottom w:val="nil"/>
              <w:right w:val="nil"/>
            </w:tcBorders>
            <w:shd w:val="clear" w:color="000000" w:fill="B4C6E7"/>
            <w:noWrap/>
            <w:vAlign w:val="bottom"/>
            <w:hideMark/>
          </w:tcPr>
          <w:p w14:paraId="2349BDA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w:t>
            </w:r>
          </w:p>
        </w:tc>
        <w:tc>
          <w:tcPr>
            <w:tcW w:w="455" w:type="pct"/>
            <w:tcBorders>
              <w:top w:val="nil"/>
              <w:left w:val="nil"/>
              <w:bottom w:val="nil"/>
              <w:right w:val="nil"/>
            </w:tcBorders>
            <w:shd w:val="clear" w:color="000000" w:fill="B4C6E7"/>
            <w:noWrap/>
            <w:vAlign w:val="bottom"/>
            <w:hideMark/>
          </w:tcPr>
          <w:p w14:paraId="5EFE747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9%</w:t>
            </w:r>
          </w:p>
        </w:tc>
        <w:tc>
          <w:tcPr>
            <w:tcW w:w="455" w:type="pct"/>
            <w:tcBorders>
              <w:top w:val="nil"/>
              <w:left w:val="nil"/>
              <w:bottom w:val="nil"/>
              <w:right w:val="nil"/>
            </w:tcBorders>
            <w:shd w:val="clear" w:color="000000" w:fill="B4C6E7"/>
            <w:noWrap/>
            <w:vAlign w:val="bottom"/>
            <w:hideMark/>
          </w:tcPr>
          <w:p w14:paraId="62C77C5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9%</w:t>
            </w:r>
          </w:p>
        </w:tc>
        <w:tc>
          <w:tcPr>
            <w:tcW w:w="455" w:type="pct"/>
            <w:tcBorders>
              <w:top w:val="nil"/>
              <w:left w:val="nil"/>
              <w:bottom w:val="nil"/>
              <w:right w:val="nil"/>
            </w:tcBorders>
            <w:shd w:val="clear" w:color="000000" w:fill="B4C6E7"/>
            <w:noWrap/>
            <w:vAlign w:val="bottom"/>
            <w:hideMark/>
          </w:tcPr>
          <w:p w14:paraId="19F9A71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13%</w:t>
            </w:r>
          </w:p>
        </w:tc>
      </w:tr>
      <w:tr w:rsidR="0040737D" w:rsidRPr="0040737D" w14:paraId="04C37629" w14:textId="77777777" w:rsidTr="0040737D">
        <w:trPr>
          <w:trHeight w:val="300"/>
        </w:trPr>
        <w:tc>
          <w:tcPr>
            <w:tcW w:w="2555" w:type="pct"/>
            <w:tcBorders>
              <w:top w:val="nil"/>
              <w:left w:val="nil"/>
              <w:bottom w:val="single" w:sz="4" w:space="0" w:color="auto"/>
              <w:right w:val="nil"/>
            </w:tcBorders>
            <w:shd w:val="clear" w:color="000000" w:fill="B4C6E7"/>
            <w:noWrap/>
            <w:vAlign w:val="bottom"/>
            <w:hideMark/>
          </w:tcPr>
          <w:p w14:paraId="03332501"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Net Income/Tot.Equity</w:t>
            </w:r>
          </w:p>
        </w:tc>
        <w:tc>
          <w:tcPr>
            <w:tcW w:w="168" w:type="pct"/>
            <w:tcBorders>
              <w:top w:val="nil"/>
              <w:left w:val="nil"/>
              <w:bottom w:val="single" w:sz="4" w:space="0" w:color="auto"/>
              <w:right w:val="nil"/>
            </w:tcBorders>
            <w:shd w:val="clear" w:color="000000" w:fill="B4C6E7"/>
            <w:noWrap/>
            <w:vAlign w:val="bottom"/>
            <w:hideMark/>
          </w:tcPr>
          <w:p w14:paraId="5C1F54F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390AFA5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7531F8E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19276D7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189F78A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38E3586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0D568C68" w14:textId="77777777" w:rsidTr="0040737D">
        <w:trPr>
          <w:trHeight w:val="315"/>
        </w:trPr>
        <w:tc>
          <w:tcPr>
            <w:tcW w:w="2555" w:type="pct"/>
            <w:tcBorders>
              <w:top w:val="nil"/>
              <w:left w:val="nil"/>
              <w:bottom w:val="nil"/>
              <w:right w:val="nil"/>
            </w:tcBorders>
            <w:shd w:val="clear" w:color="000000" w:fill="B4C6E7"/>
            <w:noWrap/>
            <w:vAlign w:val="bottom"/>
            <w:hideMark/>
          </w:tcPr>
          <w:p w14:paraId="5998B758"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Return on Assets (ROA)</w:t>
            </w:r>
          </w:p>
        </w:tc>
        <w:tc>
          <w:tcPr>
            <w:tcW w:w="168" w:type="pct"/>
            <w:tcBorders>
              <w:top w:val="nil"/>
              <w:left w:val="nil"/>
              <w:bottom w:val="nil"/>
              <w:right w:val="nil"/>
            </w:tcBorders>
            <w:shd w:val="clear" w:color="000000" w:fill="B4C6E7"/>
            <w:noWrap/>
            <w:vAlign w:val="bottom"/>
            <w:hideMark/>
          </w:tcPr>
          <w:p w14:paraId="52BE8A80"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B4C6E7"/>
            <w:noWrap/>
            <w:vAlign w:val="bottom"/>
            <w:hideMark/>
          </w:tcPr>
          <w:p w14:paraId="72D4410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w:t>
            </w:r>
          </w:p>
        </w:tc>
        <w:tc>
          <w:tcPr>
            <w:tcW w:w="455" w:type="pct"/>
            <w:tcBorders>
              <w:top w:val="nil"/>
              <w:left w:val="nil"/>
              <w:bottom w:val="nil"/>
              <w:right w:val="nil"/>
            </w:tcBorders>
            <w:shd w:val="clear" w:color="000000" w:fill="B4C6E7"/>
            <w:noWrap/>
            <w:vAlign w:val="bottom"/>
            <w:hideMark/>
          </w:tcPr>
          <w:p w14:paraId="53D0161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w:t>
            </w:r>
          </w:p>
        </w:tc>
        <w:tc>
          <w:tcPr>
            <w:tcW w:w="455" w:type="pct"/>
            <w:tcBorders>
              <w:top w:val="nil"/>
              <w:left w:val="nil"/>
              <w:bottom w:val="nil"/>
              <w:right w:val="nil"/>
            </w:tcBorders>
            <w:shd w:val="clear" w:color="000000" w:fill="B4C6E7"/>
            <w:noWrap/>
            <w:vAlign w:val="bottom"/>
            <w:hideMark/>
          </w:tcPr>
          <w:p w14:paraId="70EC5B2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w:t>
            </w:r>
          </w:p>
        </w:tc>
        <w:tc>
          <w:tcPr>
            <w:tcW w:w="455" w:type="pct"/>
            <w:tcBorders>
              <w:top w:val="nil"/>
              <w:left w:val="nil"/>
              <w:bottom w:val="nil"/>
              <w:right w:val="nil"/>
            </w:tcBorders>
            <w:shd w:val="clear" w:color="000000" w:fill="B4C6E7"/>
            <w:noWrap/>
            <w:vAlign w:val="bottom"/>
            <w:hideMark/>
          </w:tcPr>
          <w:p w14:paraId="3670D49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w:t>
            </w:r>
          </w:p>
        </w:tc>
        <w:tc>
          <w:tcPr>
            <w:tcW w:w="455" w:type="pct"/>
            <w:tcBorders>
              <w:top w:val="nil"/>
              <w:left w:val="nil"/>
              <w:bottom w:val="nil"/>
              <w:right w:val="nil"/>
            </w:tcBorders>
            <w:shd w:val="clear" w:color="000000" w:fill="B4C6E7"/>
            <w:noWrap/>
            <w:vAlign w:val="bottom"/>
            <w:hideMark/>
          </w:tcPr>
          <w:p w14:paraId="2199336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4%</w:t>
            </w:r>
          </w:p>
        </w:tc>
      </w:tr>
      <w:tr w:rsidR="0040737D" w:rsidRPr="0040737D" w14:paraId="1B7F43A7" w14:textId="77777777" w:rsidTr="0040737D">
        <w:trPr>
          <w:trHeight w:val="300"/>
        </w:trPr>
        <w:tc>
          <w:tcPr>
            <w:tcW w:w="2555" w:type="pct"/>
            <w:tcBorders>
              <w:top w:val="nil"/>
              <w:left w:val="nil"/>
              <w:bottom w:val="single" w:sz="4" w:space="0" w:color="auto"/>
              <w:right w:val="nil"/>
            </w:tcBorders>
            <w:shd w:val="clear" w:color="000000" w:fill="B4C6E7"/>
            <w:noWrap/>
            <w:vAlign w:val="bottom"/>
            <w:hideMark/>
          </w:tcPr>
          <w:p w14:paraId="4C5520E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Net Income/Tot.Assets</w:t>
            </w:r>
          </w:p>
        </w:tc>
        <w:tc>
          <w:tcPr>
            <w:tcW w:w="168" w:type="pct"/>
            <w:tcBorders>
              <w:top w:val="nil"/>
              <w:left w:val="nil"/>
              <w:bottom w:val="single" w:sz="4" w:space="0" w:color="auto"/>
              <w:right w:val="nil"/>
            </w:tcBorders>
            <w:shd w:val="clear" w:color="000000" w:fill="B4C6E7"/>
            <w:noWrap/>
            <w:vAlign w:val="bottom"/>
            <w:hideMark/>
          </w:tcPr>
          <w:p w14:paraId="78DC6E25"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3B7A8A0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670E5A3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2CA75C0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2B832C6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B4C6E7"/>
            <w:noWrap/>
            <w:vAlign w:val="bottom"/>
            <w:hideMark/>
          </w:tcPr>
          <w:p w14:paraId="624C12E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438E1DD0" w14:textId="77777777" w:rsidTr="0040737D">
        <w:trPr>
          <w:trHeight w:val="300"/>
        </w:trPr>
        <w:tc>
          <w:tcPr>
            <w:tcW w:w="2555" w:type="pct"/>
            <w:tcBorders>
              <w:top w:val="nil"/>
              <w:left w:val="nil"/>
              <w:bottom w:val="nil"/>
              <w:right w:val="nil"/>
            </w:tcBorders>
            <w:noWrap/>
            <w:vAlign w:val="bottom"/>
            <w:hideMark/>
          </w:tcPr>
          <w:p w14:paraId="7C531590" w14:textId="77777777" w:rsidR="0040737D" w:rsidRPr="0040737D" w:rsidRDefault="0040737D" w:rsidP="0040737D">
            <w:pPr>
              <w:spacing w:line="240" w:lineRule="auto"/>
              <w:jc w:val="left"/>
              <w:rPr>
                <w:rFonts w:eastAsia="Times New Roman"/>
                <w:color w:val="000000"/>
                <w:szCs w:val="24"/>
                <w:lang w:val="en-IN" w:eastAsia="en-IN"/>
              </w:rPr>
            </w:pPr>
          </w:p>
        </w:tc>
        <w:tc>
          <w:tcPr>
            <w:tcW w:w="168" w:type="pct"/>
            <w:tcBorders>
              <w:top w:val="nil"/>
              <w:left w:val="nil"/>
              <w:bottom w:val="nil"/>
              <w:right w:val="nil"/>
            </w:tcBorders>
            <w:noWrap/>
            <w:vAlign w:val="bottom"/>
            <w:hideMark/>
          </w:tcPr>
          <w:p w14:paraId="1A6F227C"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348ABB8D"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949D528"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30833D91"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35DDBBF1"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167FE558"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1AA9C498" w14:textId="77777777" w:rsidTr="0040737D">
        <w:trPr>
          <w:trHeight w:val="315"/>
        </w:trPr>
        <w:tc>
          <w:tcPr>
            <w:tcW w:w="2555" w:type="pct"/>
            <w:tcBorders>
              <w:top w:val="nil"/>
              <w:left w:val="nil"/>
              <w:bottom w:val="nil"/>
              <w:right w:val="nil"/>
            </w:tcBorders>
            <w:shd w:val="clear" w:color="000000" w:fill="D9D9D9"/>
            <w:noWrap/>
            <w:vAlign w:val="bottom"/>
            <w:hideMark/>
          </w:tcPr>
          <w:p w14:paraId="3E1A7AEC"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GEARING RATIOS Input:</w:t>
            </w:r>
          </w:p>
        </w:tc>
        <w:tc>
          <w:tcPr>
            <w:tcW w:w="168" w:type="pct"/>
            <w:tcBorders>
              <w:top w:val="nil"/>
              <w:left w:val="nil"/>
              <w:bottom w:val="nil"/>
              <w:right w:val="nil"/>
            </w:tcBorders>
            <w:shd w:val="clear" w:color="000000" w:fill="D9D9D9"/>
            <w:noWrap/>
            <w:vAlign w:val="bottom"/>
            <w:hideMark/>
          </w:tcPr>
          <w:p w14:paraId="18EA78B8"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9D9D9"/>
            <w:noWrap/>
            <w:vAlign w:val="bottom"/>
            <w:hideMark/>
          </w:tcPr>
          <w:p w14:paraId="7625DB2B"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nil"/>
              <w:left w:val="nil"/>
              <w:bottom w:val="nil"/>
              <w:right w:val="nil"/>
            </w:tcBorders>
            <w:shd w:val="clear" w:color="000000" w:fill="D9D9D9"/>
            <w:noWrap/>
            <w:vAlign w:val="bottom"/>
            <w:hideMark/>
          </w:tcPr>
          <w:p w14:paraId="255606E5"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nil"/>
              <w:left w:val="nil"/>
              <w:bottom w:val="nil"/>
              <w:right w:val="nil"/>
            </w:tcBorders>
            <w:shd w:val="clear" w:color="000000" w:fill="D9D9D9"/>
            <w:noWrap/>
            <w:vAlign w:val="bottom"/>
            <w:hideMark/>
          </w:tcPr>
          <w:p w14:paraId="705345D9"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nil"/>
              <w:left w:val="nil"/>
              <w:bottom w:val="nil"/>
              <w:right w:val="nil"/>
            </w:tcBorders>
            <w:shd w:val="clear" w:color="000000" w:fill="D9D9D9"/>
            <w:noWrap/>
            <w:vAlign w:val="bottom"/>
            <w:hideMark/>
          </w:tcPr>
          <w:p w14:paraId="45AB7AAF"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nil"/>
              <w:left w:val="nil"/>
              <w:bottom w:val="nil"/>
              <w:right w:val="nil"/>
            </w:tcBorders>
            <w:shd w:val="clear" w:color="000000" w:fill="D9D9D9"/>
            <w:noWrap/>
            <w:vAlign w:val="bottom"/>
            <w:hideMark/>
          </w:tcPr>
          <w:p w14:paraId="5E8E784B"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3DE0B1A5" w14:textId="77777777" w:rsidTr="0040737D">
        <w:trPr>
          <w:trHeight w:val="315"/>
        </w:trPr>
        <w:tc>
          <w:tcPr>
            <w:tcW w:w="2555" w:type="pct"/>
            <w:tcBorders>
              <w:top w:val="nil"/>
              <w:left w:val="nil"/>
              <w:bottom w:val="nil"/>
              <w:right w:val="nil"/>
            </w:tcBorders>
            <w:noWrap/>
            <w:vAlign w:val="bottom"/>
            <w:hideMark/>
          </w:tcPr>
          <w:p w14:paraId="7DE7AB8B"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Debt</w:t>
            </w:r>
          </w:p>
        </w:tc>
        <w:tc>
          <w:tcPr>
            <w:tcW w:w="168" w:type="pct"/>
            <w:tcBorders>
              <w:top w:val="nil"/>
              <w:left w:val="nil"/>
              <w:bottom w:val="nil"/>
              <w:right w:val="nil"/>
            </w:tcBorders>
            <w:noWrap/>
            <w:vAlign w:val="bottom"/>
            <w:hideMark/>
          </w:tcPr>
          <w:p w14:paraId="3BACF9C5"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75F6C13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196,357</w:t>
            </w:r>
          </w:p>
        </w:tc>
        <w:tc>
          <w:tcPr>
            <w:tcW w:w="455" w:type="pct"/>
            <w:tcBorders>
              <w:top w:val="nil"/>
              <w:left w:val="nil"/>
              <w:bottom w:val="nil"/>
              <w:right w:val="nil"/>
            </w:tcBorders>
            <w:noWrap/>
            <w:vAlign w:val="bottom"/>
            <w:hideMark/>
          </w:tcPr>
          <w:p w14:paraId="165F8C9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196,520</w:t>
            </w:r>
          </w:p>
        </w:tc>
        <w:tc>
          <w:tcPr>
            <w:tcW w:w="455" w:type="pct"/>
            <w:tcBorders>
              <w:top w:val="nil"/>
              <w:left w:val="nil"/>
              <w:bottom w:val="nil"/>
              <w:right w:val="nil"/>
            </w:tcBorders>
            <w:noWrap/>
            <w:vAlign w:val="bottom"/>
            <w:hideMark/>
          </w:tcPr>
          <w:p w14:paraId="6AA036A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193,972</w:t>
            </w:r>
          </w:p>
        </w:tc>
        <w:tc>
          <w:tcPr>
            <w:tcW w:w="455" w:type="pct"/>
            <w:tcBorders>
              <w:top w:val="nil"/>
              <w:left w:val="nil"/>
              <w:bottom w:val="nil"/>
              <w:right w:val="nil"/>
            </w:tcBorders>
            <w:noWrap/>
            <w:vAlign w:val="bottom"/>
            <w:hideMark/>
          </w:tcPr>
          <w:p w14:paraId="1F5E2D7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178,436</w:t>
            </w:r>
          </w:p>
        </w:tc>
        <w:tc>
          <w:tcPr>
            <w:tcW w:w="455" w:type="pct"/>
            <w:tcBorders>
              <w:top w:val="nil"/>
              <w:left w:val="nil"/>
              <w:bottom w:val="nil"/>
              <w:right w:val="nil"/>
            </w:tcBorders>
            <w:noWrap/>
            <w:vAlign w:val="bottom"/>
            <w:hideMark/>
          </w:tcPr>
          <w:p w14:paraId="7B0304E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382,455</w:t>
            </w:r>
          </w:p>
        </w:tc>
      </w:tr>
      <w:tr w:rsidR="0040737D" w:rsidRPr="0040737D" w14:paraId="28FF8FB8" w14:textId="77777777" w:rsidTr="0040737D">
        <w:trPr>
          <w:trHeight w:val="315"/>
        </w:trPr>
        <w:tc>
          <w:tcPr>
            <w:tcW w:w="2555" w:type="pct"/>
            <w:tcBorders>
              <w:top w:val="nil"/>
              <w:left w:val="nil"/>
              <w:bottom w:val="nil"/>
              <w:right w:val="nil"/>
            </w:tcBorders>
            <w:noWrap/>
            <w:vAlign w:val="bottom"/>
            <w:hideMark/>
          </w:tcPr>
          <w:p w14:paraId="700BCD9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Equity</w:t>
            </w:r>
          </w:p>
        </w:tc>
        <w:tc>
          <w:tcPr>
            <w:tcW w:w="168" w:type="pct"/>
            <w:tcBorders>
              <w:top w:val="nil"/>
              <w:left w:val="nil"/>
              <w:bottom w:val="nil"/>
              <w:right w:val="nil"/>
            </w:tcBorders>
            <w:noWrap/>
            <w:vAlign w:val="bottom"/>
            <w:hideMark/>
          </w:tcPr>
          <w:p w14:paraId="0FDB4B70"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6AE9CE0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203,054</w:t>
            </w:r>
          </w:p>
        </w:tc>
        <w:tc>
          <w:tcPr>
            <w:tcW w:w="455" w:type="pct"/>
            <w:tcBorders>
              <w:top w:val="nil"/>
              <w:left w:val="nil"/>
              <w:bottom w:val="nil"/>
              <w:right w:val="nil"/>
            </w:tcBorders>
            <w:noWrap/>
            <w:vAlign w:val="bottom"/>
            <w:hideMark/>
          </w:tcPr>
          <w:p w14:paraId="26926B5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196,731</w:t>
            </w:r>
          </w:p>
        </w:tc>
        <w:tc>
          <w:tcPr>
            <w:tcW w:w="455" w:type="pct"/>
            <w:tcBorders>
              <w:top w:val="nil"/>
              <w:left w:val="nil"/>
              <w:bottom w:val="nil"/>
              <w:right w:val="nil"/>
            </w:tcBorders>
            <w:noWrap/>
            <w:vAlign w:val="bottom"/>
            <w:hideMark/>
          </w:tcPr>
          <w:p w14:paraId="5A2CBF7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189,186</w:t>
            </w:r>
          </w:p>
        </w:tc>
        <w:tc>
          <w:tcPr>
            <w:tcW w:w="455" w:type="pct"/>
            <w:tcBorders>
              <w:top w:val="nil"/>
              <w:left w:val="nil"/>
              <w:bottom w:val="nil"/>
              <w:right w:val="nil"/>
            </w:tcBorders>
            <w:noWrap/>
            <w:vAlign w:val="bottom"/>
            <w:hideMark/>
          </w:tcPr>
          <w:p w14:paraId="01B9664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178,328</w:t>
            </w:r>
          </w:p>
        </w:tc>
        <w:tc>
          <w:tcPr>
            <w:tcW w:w="455" w:type="pct"/>
            <w:tcBorders>
              <w:top w:val="nil"/>
              <w:left w:val="nil"/>
              <w:bottom w:val="nil"/>
              <w:right w:val="nil"/>
            </w:tcBorders>
            <w:noWrap/>
            <w:vAlign w:val="bottom"/>
            <w:hideMark/>
          </w:tcPr>
          <w:p w14:paraId="4094D6C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146,154</w:t>
            </w:r>
          </w:p>
        </w:tc>
      </w:tr>
      <w:tr w:rsidR="0040737D" w:rsidRPr="0040737D" w14:paraId="7712316F" w14:textId="77777777" w:rsidTr="0040737D">
        <w:trPr>
          <w:trHeight w:val="315"/>
        </w:trPr>
        <w:tc>
          <w:tcPr>
            <w:tcW w:w="2555" w:type="pct"/>
            <w:tcBorders>
              <w:top w:val="nil"/>
              <w:left w:val="nil"/>
              <w:bottom w:val="nil"/>
              <w:right w:val="nil"/>
            </w:tcBorders>
            <w:noWrap/>
            <w:vAlign w:val="bottom"/>
            <w:hideMark/>
          </w:tcPr>
          <w:p w14:paraId="6F395C0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Assets</w:t>
            </w:r>
          </w:p>
        </w:tc>
        <w:tc>
          <w:tcPr>
            <w:tcW w:w="168" w:type="pct"/>
            <w:tcBorders>
              <w:top w:val="nil"/>
              <w:left w:val="nil"/>
              <w:bottom w:val="nil"/>
              <w:right w:val="nil"/>
            </w:tcBorders>
            <w:noWrap/>
            <w:vAlign w:val="bottom"/>
            <w:hideMark/>
          </w:tcPr>
          <w:p w14:paraId="068BB496"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389B9BB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644,467</w:t>
            </w:r>
          </w:p>
        </w:tc>
        <w:tc>
          <w:tcPr>
            <w:tcW w:w="455" w:type="pct"/>
            <w:tcBorders>
              <w:top w:val="nil"/>
              <w:left w:val="nil"/>
              <w:bottom w:val="nil"/>
              <w:right w:val="nil"/>
            </w:tcBorders>
            <w:noWrap/>
            <w:vAlign w:val="bottom"/>
            <w:hideMark/>
          </w:tcPr>
          <w:p w14:paraId="44B157F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632,905</w:t>
            </w:r>
          </w:p>
        </w:tc>
        <w:tc>
          <w:tcPr>
            <w:tcW w:w="455" w:type="pct"/>
            <w:tcBorders>
              <w:top w:val="nil"/>
              <w:left w:val="nil"/>
              <w:bottom w:val="nil"/>
              <w:right w:val="nil"/>
            </w:tcBorders>
            <w:noWrap/>
            <w:vAlign w:val="bottom"/>
            <w:hideMark/>
          </w:tcPr>
          <w:p w14:paraId="6288066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600,649</w:t>
            </w:r>
          </w:p>
        </w:tc>
        <w:tc>
          <w:tcPr>
            <w:tcW w:w="455" w:type="pct"/>
            <w:tcBorders>
              <w:top w:val="nil"/>
              <w:left w:val="nil"/>
              <w:bottom w:val="nil"/>
              <w:right w:val="nil"/>
            </w:tcBorders>
            <w:noWrap/>
            <w:vAlign w:val="bottom"/>
            <w:hideMark/>
          </w:tcPr>
          <w:p w14:paraId="17698FC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564,013</w:t>
            </w:r>
          </w:p>
        </w:tc>
        <w:tc>
          <w:tcPr>
            <w:tcW w:w="455" w:type="pct"/>
            <w:tcBorders>
              <w:top w:val="nil"/>
              <w:left w:val="nil"/>
              <w:bottom w:val="nil"/>
              <w:right w:val="nil"/>
            </w:tcBorders>
            <w:noWrap/>
            <w:vAlign w:val="bottom"/>
            <w:hideMark/>
          </w:tcPr>
          <w:p w14:paraId="47BEA02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528,609</w:t>
            </w:r>
          </w:p>
        </w:tc>
      </w:tr>
      <w:tr w:rsidR="0040737D" w:rsidRPr="0040737D" w14:paraId="7F7DEF5D" w14:textId="77777777" w:rsidTr="0040737D">
        <w:trPr>
          <w:trHeight w:val="315"/>
        </w:trPr>
        <w:tc>
          <w:tcPr>
            <w:tcW w:w="2555" w:type="pct"/>
            <w:tcBorders>
              <w:top w:val="nil"/>
              <w:left w:val="nil"/>
              <w:bottom w:val="nil"/>
              <w:right w:val="nil"/>
            </w:tcBorders>
            <w:noWrap/>
            <w:vAlign w:val="bottom"/>
            <w:hideMark/>
          </w:tcPr>
          <w:p w14:paraId="0FFF5D8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EBIT (Operating income)</w:t>
            </w:r>
          </w:p>
        </w:tc>
        <w:tc>
          <w:tcPr>
            <w:tcW w:w="168" w:type="pct"/>
            <w:tcBorders>
              <w:top w:val="nil"/>
              <w:left w:val="nil"/>
              <w:bottom w:val="nil"/>
              <w:right w:val="nil"/>
            </w:tcBorders>
            <w:noWrap/>
            <w:vAlign w:val="bottom"/>
            <w:hideMark/>
          </w:tcPr>
          <w:p w14:paraId="52B47ED4"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717262F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10,794</w:t>
            </w:r>
          </w:p>
        </w:tc>
        <w:tc>
          <w:tcPr>
            <w:tcW w:w="455" w:type="pct"/>
            <w:tcBorders>
              <w:top w:val="nil"/>
              <w:left w:val="nil"/>
              <w:bottom w:val="nil"/>
              <w:right w:val="nil"/>
            </w:tcBorders>
            <w:noWrap/>
            <w:vAlign w:val="bottom"/>
            <w:hideMark/>
          </w:tcPr>
          <w:p w14:paraId="4C4C1A7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21,664</w:t>
            </w:r>
          </w:p>
        </w:tc>
        <w:tc>
          <w:tcPr>
            <w:tcW w:w="455" w:type="pct"/>
            <w:tcBorders>
              <w:top w:val="nil"/>
              <w:left w:val="nil"/>
              <w:bottom w:val="nil"/>
              <w:right w:val="nil"/>
            </w:tcBorders>
            <w:noWrap/>
            <w:vAlign w:val="bottom"/>
            <w:hideMark/>
          </w:tcPr>
          <w:p w14:paraId="1EA014A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25,699</w:t>
            </w:r>
          </w:p>
        </w:tc>
        <w:tc>
          <w:tcPr>
            <w:tcW w:w="455" w:type="pct"/>
            <w:tcBorders>
              <w:top w:val="nil"/>
              <w:left w:val="nil"/>
              <w:bottom w:val="nil"/>
              <w:right w:val="nil"/>
            </w:tcBorders>
            <w:noWrap/>
            <w:vAlign w:val="bottom"/>
            <w:hideMark/>
          </w:tcPr>
          <w:p w14:paraId="7E4456A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18,488</w:t>
            </w:r>
          </w:p>
        </w:tc>
        <w:tc>
          <w:tcPr>
            <w:tcW w:w="455" w:type="pct"/>
            <w:tcBorders>
              <w:top w:val="nil"/>
              <w:left w:val="nil"/>
              <w:bottom w:val="nil"/>
              <w:right w:val="nil"/>
            </w:tcBorders>
            <w:noWrap/>
            <w:vAlign w:val="bottom"/>
            <w:hideMark/>
          </w:tcPr>
          <w:p w14:paraId="1EBE242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14,731</w:t>
            </w:r>
          </w:p>
        </w:tc>
      </w:tr>
      <w:tr w:rsidR="0040737D" w:rsidRPr="0040737D" w14:paraId="51AD4C98" w14:textId="77777777" w:rsidTr="0040737D">
        <w:trPr>
          <w:trHeight w:val="315"/>
        </w:trPr>
        <w:tc>
          <w:tcPr>
            <w:tcW w:w="2555" w:type="pct"/>
            <w:tcBorders>
              <w:top w:val="nil"/>
              <w:left w:val="nil"/>
              <w:bottom w:val="nil"/>
              <w:right w:val="nil"/>
            </w:tcBorders>
            <w:noWrap/>
            <w:vAlign w:val="bottom"/>
            <w:hideMark/>
          </w:tcPr>
          <w:p w14:paraId="1D54C50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Interest Expense</w:t>
            </w:r>
          </w:p>
        </w:tc>
        <w:tc>
          <w:tcPr>
            <w:tcW w:w="168" w:type="pct"/>
            <w:tcBorders>
              <w:top w:val="nil"/>
              <w:left w:val="nil"/>
              <w:bottom w:val="nil"/>
              <w:right w:val="nil"/>
            </w:tcBorders>
            <w:noWrap/>
            <w:vAlign w:val="bottom"/>
            <w:hideMark/>
          </w:tcPr>
          <w:p w14:paraId="5816D23D"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7E8C594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3,244</w:t>
            </w:r>
          </w:p>
        </w:tc>
        <w:tc>
          <w:tcPr>
            <w:tcW w:w="455" w:type="pct"/>
            <w:tcBorders>
              <w:top w:val="nil"/>
              <w:left w:val="nil"/>
              <w:bottom w:val="nil"/>
              <w:right w:val="nil"/>
            </w:tcBorders>
            <w:noWrap/>
            <w:vAlign w:val="bottom"/>
            <w:hideMark/>
          </w:tcPr>
          <w:p w14:paraId="694AFBCC"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3,447</w:t>
            </w:r>
          </w:p>
        </w:tc>
        <w:tc>
          <w:tcPr>
            <w:tcW w:w="455" w:type="pct"/>
            <w:tcBorders>
              <w:top w:val="nil"/>
              <w:left w:val="nil"/>
              <w:bottom w:val="nil"/>
              <w:right w:val="nil"/>
            </w:tcBorders>
            <w:noWrap/>
            <w:vAlign w:val="bottom"/>
            <w:hideMark/>
          </w:tcPr>
          <w:p w14:paraId="7CAAA1B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3,640</w:t>
            </w:r>
          </w:p>
        </w:tc>
        <w:tc>
          <w:tcPr>
            <w:tcW w:w="455" w:type="pct"/>
            <w:tcBorders>
              <w:top w:val="nil"/>
              <w:left w:val="nil"/>
              <w:bottom w:val="nil"/>
              <w:right w:val="nil"/>
            </w:tcBorders>
            <w:noWrap/>
            <w:vAlign w:val="bottom"/>
            <w:hideMark/>
          </w:tcPr>
          <w:p w14:paraId="3909E25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1,644</w:t>
            </w:r>
          </w:p>
        </w:tc>
        <w:tc>
          <w:tcPr>
            <w:tcW w:w="455" w:type="pct"/>
            <w:tcBorders>
              <w:top w:val="nil"/>
              <w:left w:val="nil"/>
              <w:bottom w:val="nil"/>
              <w:right w:val="nil"/>
            </w:tcBorders>
            <w:noWrap/>
            <w:vAlign w:val="bottom"/>
            <w:hideMark/>
          </w:tcPr>
          <w:p w14:paraId="4B3BD6D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1,818</w:t>
            </w:r>
          </w:p>
        </w:tc>
      </w:tr>
      <w:tr w:rsidR="0040737D" w:rsidRPr="0040737D" w14:paraId="62D26E2C" w14:textId="77777777" w:rsidTr="0040737D">
        <w:trPr>
          <w:trHeight w:val="300"/>
        </w:trPr>
        <w:tc>
          <w:tcPr>
            <w:tcW w:w="2555" w:type="pct"/>
            <w:tcBorders>
              <w:top w:val="nil"/>
              <w:left w:val="nil"/>
              <w:bottom w:val="nil"/>
              <w:right w:val="nil"/>
            </w:tcBorders>
            <w:noWrap/>
            <w:vAlign w:val="bottom"/>
            <w:hideMark/>
          </w:tcPr>
          <w:p w14:paraId="00604B4C" w14:textId="77777777" w:rsidR="0040737D" w:rsidRPr="0040737D" w:rsidRDefault="0040737D" w:rsidP="0040737D">
            <w:pPr>
              <w:spacing w:line="240" w:lineRule="auto"/>
              <w:jc w:val="right"/>
              <w:rPr>
                <w:rFonts w:eastAsia="Times New Roman"/>
                <w:color w:val="000000"/>
                <w:szCs w:val="24"/>
                <w:lang w:val="en-IN" w:eastAsia="en-IN"/>
              </w:rPr>
            </w:pPr>
          </w:p>
        </w:tc>
        <w:tc>
          <w:tcPr>
            <w:tcW w:w="168" w:type="pct"/>
            <w:tcBorders>
              <w:top w:val="nil"/>
              <w:left w:val="nil"/>
              <w:bottom w:val="nil"/>
              <w:right w:val="nil"/>
            </w:tcBorders>
            <w:noWrap/>
            <w:vAlign w:val="bottom"/>
            <w:hideMark/>
          </w:tcPr>
          <w:p w14:paraId="0935618E"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5FEC27E1"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01C2B9CD"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265E9436"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1568B1F1"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6C7F1841"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0284526A" w14:textId="77777777" w:rsidTr="0040737D">
        <w:trPr>
          <w:trHeight w:val="315"/>
        </w:trPr>
        <w:tc>
          <w:tcPr>
            <w:tcW w:w="2555" w:type="pct"/>
            <w:tcBorders>
              <w:top w:val="single" w:sz="4" w:space="0" w:color="auto"/>
              <w:left w:val="nil"/>
              <w:bottom w:val="single" w:sz="4" w:space="0" w:color="auto"/>
              <w:right w:val="nil"/>
            </w:tcBorders>
            <w:shd w:val="clear" w:color="000000" w:fill="D9D9D9"/>
            <w:noWrap/>
            <w:vAlign w:val="bottom"/>
            <w:hideMark/>
          </w:tcPr>
          <w:p w14:paraId="3DD971DD"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GEARING RATIOS:</w:t>
            </w:r>
          </w:p>
        </w:tc>
        <w:tc>
          <w:tcPr>
            <w:tcW w:w="168" w:type="pct"/>
            <w:tcBorders>
              <w:top w:val="single" w:sz="4" w:space="0" w:color="auto"/>
              <w:left w:val="nil"/>
              <w:bottom w:val="single" w:sz="4" w:space="0" w:color="auto"/>
              <w:right w:val="nil"/>
            </w:tcBorders>
            <w:shd w:val="clear" w:color="000000" w:fill="D9D9D9"/>
            <w:noWrap/>
            <w:vAlign w:val="bottom"/>
            <w:hideMark/>
          </w:tcPr>
          <w:p w14:paraId="59F209FE"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single" w:sz="4" w:space="0" w:color="auto"/>
              <w:left w:val="nil"/>
              <w:bottom w:val="single" w:sz="4" w:space="0" w:color="auto"/>
              <w:right w:val="nil"/>
            </w:tcBorders>
            <w:shd w:val="clear" w:color="000000" w:fill="D9D9D9"/>
            <w:noWrap/>
            <w:vAlign w:val="bottom"/>
            <w:hideMark/>
          </w:tcPr>
          <w:p w14:paraId="357645E4"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single" w:sz="4" w:space="0" w:color="auto"/>
              <w:left w:val="nil"/>
              <w:bottom w:val="single" w:sz="4" w:space="0" w:color="auto"/>
              <w:right w:val="nil"/>
            </w:tcBorders>
            <w:shd w:val="clear" w:color="000000" w:fill="D9D9D9"/>
            <w:noWrap/>
            <w:vAlign w:val="bottom"/>
            <w:hideMark/>
          </w:tcPr>
          <w:p w14:paraId="156415E5"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single" w:sz="4" w:space="0" w:color="auto"/>
              <w:left w:val="nil"/>
              <w:bottom w:val="single" w:sz="4" w:space="0" w:color="auto"/>
              <w:right w:val="nil"/>
            </w:tcBorders>
            <w:shd w:val="clear" w:color="000000" w:fill="D9D9D9"/>
            <w:noWrap/>
            <w:vAlign w:val="bottom"/>
            <w:hideMark/>
          </w:tcPr>
          <w:p w14:paraId="3BA8B268"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single" w:sz="4" w:space="0" w:color="auto"/>
              <w:left w:val="nil"/>
              <w:bottom w:val="single" w:sz="4" w:space="0" w:color="auto"/>
              <w:right w:val="nil"/>
            </w:tcBorders>
            <w:shd w:val="clear" w:color="000000" w:fill="D9D9D9"/>
            <w:noWrap/>
            <w:vAlign w:val="bottom"/>
            <w:hideMark/>
          </w:tcPr>
          <w:p w14:paraId="51D10CCF"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single" w:sz="4" w:space="0" w:color="auto"/>
              <w:left w:val="nil"/>
              <w:bottom w:val="single" w:sz="4" w:space="0" w:color="auto"/>
              <w:right w:val="nil"/>
            </w:tcBorders>
            <w:shd w:val="clear" w:color="000000" w:fill="D9D9D9"/>
            <w:noWrap/>
            <w:vAlign w:val="bottom"/>
            <w:hideMark/>
          </w:tcPr>
          <w:p w14:paraId="5BE5308C"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69796226" w14:textId="77777777" w:rsidTr="0040737D">
        <w:trPr>
          <w:trHeight w:val="315"/>
        </w:trPr>
        <w:tc>
          <w:tcPr>
            <w:tcW w:w="2555" w:type="pct"/>
            <w:tcBorders>
              <w:top w:val="nil"/>
              <w:left w:val="nil"/>
              <w:bottom w:val="nil"/>
              <w:right w:val="nil"/>
            </w:tcBorders>
            <w:shd w:val="clear" w:color="000000" w:fill="D9D9D9"/>
            <w:noWrap/>
            <w:vAlign w:val="bottom"/>
            <w:hideMark/>
          </w:tcPr>
          <w:p w14:paraId="295A6109"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Debt/Equity Ratio</w:t>
            </w:r>
          </w:p>
        </w:tc>
        <w:tc>
          <w:tcPr>
            <w:tcW w:w="168" w:type="pct"/>
            <w:tcBorders>
              <w:top w:val="nil"/>
              <w:left w:val="nil"/>
              <w:bottom w:val="nil"/>
              <w:right w:val="nil"/>
            </w:tcBorders>
            <w:shd w:val="clear" w:color="000000" w:fill="D9D9D9"/>
            <w:noWrap/>
            <w:vAlign w:val="bottom"/>
            <w:hideMark/>
          </w:tcPr>
          <w:p w14:paraId="0B49566A"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9D9D9"/>
            <w:noWrap/>
            <w:vAlign w:val="bottom"/>
            <w:hideMark/>
          </w:tcPr>
          <w:p w14:paraId="1784D73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0.97</w:t>
            </w:r>
          </w:p>
        </w:tc>
        <w:tc>
          <w:tcPr>
            <w:tcW w:w="455" w:type="pct"/>
            <w:tcBorders>
              <w:top w:val="nil"/>
              <w:left w:val="nil"/>
              <w:bottom w:val="nil"/>
              <w:right w:val="nil"/>
            </w:tcBorders>
            <w:shd w:val="clear" w:color="000000" w:fill="D9D9D9"/>
            <w:noWrap/>
            <w:vAlign w:val="bottom"/>
            <w:hideMark/>
          </w:tcPr>
          <w:p w14:paraId="5E40D6A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1.00</w:t>
            </w:r>
          </w:p>
        </w:tc>
        <w:tc>
          <w:tcPr>
            <w:tcW w:w="455" w:type="pct"/>
            <w:tcBorders>
              <w:top w:val="nil"/>
              <w:left w:val="nil"/>
              <w:bottom w:val="nil"/>
              <w:right w:val="nil"/>
            </w:tcBorders>
            <w:shd w:val="clear" w:color="000000" w:fill="D9D9D9"/>
            <w:noWrap/>
            <w:vAlign w:val="bottom"/>
            <w:hideMark/>
          </w:tcPr>
          <w:p w14:paraId="7877D30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1.03</w:t>
            </w:r>
          </w:p>
        </w:tc>
        <w:tc>
          <w:tcPr>
            <w:tcW w:w="455" w:type="pct"/>
            <w:tcBorders>
              <w:top w:val="nil"/>
              <w:left w:val="nil"/>
              <w:bottom w:val="nil"/>
              <w:right w:val="nil"/>
            </w:tcBorders>
            <w:shd w:val="clear" w:color="000000" w:fill="D9D9D9"/>
            <w:noWrap/>
            <w:vAlign w:val="bottom"/>
            <w:hideMark/>
          </w:tcPr>
          <w:p w14:paraId="27E7B83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1.00</w:t>
            </w:r>
          </w:p>
        </w:tc>
        <w:tc>
          <w:tcPr>
            <w:tcW w:w="455" w:type="pct"/>
            <w:tcBorders>
              <w:top w:val="nil"/>
              <w:left w:val="nil"/>
              <w:bottom w:val="nil"/>
              <w:right w:val="nil"/>
            </w:tcBorders>
            <w:shd w:val="clear" w:color="000000" w:fill="D9D9D9"/>
            <w:noWrap/>
            <w:vAlign w:val="bottom"/>
            <w:hideMark/>
          </w:tcPr>
          <w:p w14:paraId="7F93F05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2.62</w:t>
            </w:r>
          </w:p>
        </w:tc>
      </w:tr>
      <w:tr w:rsidR="0040737D" w:rsidRPr="0040737D" w14:paraId="6E1B7A15" w14:textId="77777777" w:rsidTr="0040737D">
        <w:trPr>
          <w:trHeight w:val="300"/>
        </w:trPr>
        <w:tc>
          <w:tcPr>
            <w:tcW w:w="2555" w:type="pct"/>
            <w:tcBorders>
              <w:top w:val="nil"/>
              <w:left w:val="nil"/>
              <w:bottom w:val="single" w:sz="4" w:space="0" w:color="auto"/>
              <w:right w:val="nil"/>
            </w:tcBorders>
            <w:shd w:val="clear" w:color="000000" w:fill="D9D9D9"/>
            <w:noWrap/>
            <w:vAlign w:val="bottom"/>
            <w:hideMark/>
          </w:tcPr>
          <w:p w14:paraId="70B72C8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Debt/Total Equity</w:t>
            </w:r>
          </w:p>
        </w:tc>
        <w:tc>
          <w:tcPr>
            <w:tcW w:w="168" w:type="pct"/>
            <w:tcBorders>
              <w:top w:val="nil"/>
              <w:left w:val="nil"/>
              <w:bottom w:val="single" w:sz="4" w:space="0" w:color="auto"/>
              <w:right w:val="nil"/>
            </w:tcBorders>
            <w:shd w:val="clear" w:color="000000" w:fill="D9D9D9"/>
            <w:noWrap/>
            <w:vAlign w:val="bottom"/>
            <w:hideMark/>
          </w:tcPr>
          <w:p w14:paraId="3E3470B7"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7CD4FA8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119B723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1379A74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3D13664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2C485617"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0BB4EFB2" w14:textId="77777777" w:rsidTr="0040737D">
        <w:trPr>
          <w:trHeight w:val="315"/>
        </w:trPr>
        <w:tc>
          <w:tcPr>
            <w:tcW w:w="2555" w:type="pct"/>
            <w:tcBorders>
              <w:top w:val="nil"/>
              <w:left w:val="nil"/>
              <w:bottom w:val="nil"/>
              <w:right w:val="nil"/>
            </w:tcBorders>
            <w:shd w:val="clear" w:color="000000" w:fill="D9D9D9"/>
            <w:noWrap/>
            <w:vAlign w:val="bottom"/>
            <w:hideMark/>
          </w:tcPr>
          <w:p w14:paraId="2F276DA4"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Debt/Capital Ratio</w:t>
            </w:r>
          </w:p>
        </w:tc>
        <w:tc>
          <w:tcPr>
            <w:tcW w:w="168" w:type="pct"/>
            <w:tcBorders>
              <w:top w:val="nil"/>
              <w:left w:val="nil"/>
              <w:bottom w:val="nil"/>
              <w:right w:val="nil"/>
            </w:tcBorders>
            <w:shd w:val="clear" w:color="000000" w:fill="D9D9D9"/>
            <w:noWrap/>
            <w:vAlign w:val="bottom"/>
            <w:hideMark/>
          </w:tcPr>
          <w:p w14:paraId="16A609B8"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9D9D9"/>
            <w:noWrap/>
            <w:vAlign w:val="bottom"/>
            <w:hideMark/>
          </w:tcPr>
          <w:p w14:paraId="7ACF82D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0.49</w:t>
            </w:r>
          </w:p>
        </w:tc>
        <w:tc>
          <w:tcPr>
            <w:tcW w:w="455" w:type="pct"/>
            <w:tcBorders>
              <w:top w:val="nil"/>
              <w:left w:val="nil"/>
              <w:bottom w:val="nil"/>
              <w:right w:val="nil"/>
            </w:tcBorders>
            <w:shd w:val="clear" w:color="000000" w:fill="D9D9D9"/>
            <w:noWrap/>
            <w:vAlign w:val="bottom"/>
            <w:hideMark/>
          </w:tcPr>
          <w:p w14:paraId="05DBC91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0.50</w:t>
            </w:r>
          </w:p>
        </w:tc>
        <w:tc>
          <w:tcPr>
            <w:tcW w:w="455" w:type="pct"/>
            <w:tcBorders>
              <w:top w:val="nil"/>
              <w:left w:val="nil"/>
              <w:bottom w:val="nil"/>
              <w:right w:val="nil"/>
            </w:tcBorders>
            <w:shd w:val="clear" w:color="000000" w:fill="D9D9D9"/>
            <w:noWrap/>
            <w:vAlign w:val="bottom"/>
            <w:hideMark/>
          </w:tcPr>
          <w:p w14:paraId="5BBDBCA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0.51</w:t>
            </w:r>
          </w:p>
        </w:tc>
        <w:tc>
          <w:tcPr>
            <w:tcW w:w="455" w:type="pct"/>
            <w:tcBorders>
              <w:top w:val="nil"/>
              <w:left w:val="nil"/>
              <w:bottom w:val="nil"/>
              <w:right w:val="nil"/>
            </w:tcBorders>
            <w:shd w:val="clear" w:color="000000" w:fill="D9D9D9"/>
            <w:noWrap/>
            <w:vAlign w:val="bottom"/>
            <w:hideMark/>
          </w:tcPr>
          <w:p w14:paraId="18FC7D2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0.50</w:t>
            </w:r>
          </w:p>
        </w:tc>
        <w:tc>
          <w:tcPr>
            <w:tcW w:w="455" w:type="pct"/>
            <w:tcBorders>
              <w:top w:val="nil"/>
              <w:left w:val="nil"/>
              <w:bottom w:val="nil"/>
              <w:right w:val="nil"/>
            </w:tcBorders>
            <w:shd w:val="clear" w:color="000000" w:fill="D9D9D9"/>
            <w:noWrap/>
            <w:vAlign w:val="bottom"/>
            <w:hideMark/>
          </w:tcPr>
          <w:p w14:paraId="295A63D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0.72</w:t>
            </w:r>
          </w:p>
        </w:tc>
      </w:tr>
      <w:tr w:rsidR="0040737D" w:rsidRPr="0040737D" w14:paraId="624912C0" w14:textId="77777777" w:rsidTr="0040737D">
        <w:trPr>
          <w:trHeight w:val="300"/>
        </w:trPr>
        <w:tc>
          <w:tcPr>
            <w:tcW w:w="2555" w:type="pct"/>
            <w:tcBorders>
              <w:top w:val="nil"/>
              <w:left w:val="nil"/>
              <w:bottom w:val="single" w:sz="4" w:space="0" w:color="auto"/>
              <w:right w:val="nil"/>
            </w:tcBorders>
            <w:shd w:val="clear" w:color="000000" w:fill="D9D9D9"/>
            <w:noWrap/>
            <w:vAlign w:val="bottom"/>
            <w:hideMark/>
          </w:tcPr>
          <w:p w14:paraId="375C492B"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Debt/(Tot.Equity+Tot.Debt)</w:t>
            </w:r>
          </w:p>
        </w:tc>
        <w:tc>
          <w:tcPr>
            <w:tcW w:w="168" w:type="pct"/>
            <w:tcBorders>
              <w:top w:val="nil"/>
              <w:left w:val="nil"/>
              <w:bottom w:val="single" w:sz="4" w:space="0" w:color="auto"/>
              <w:right w:val="nil"/>
            </w:tcBorders>
            <w:shd w:val="clear" w:color="000000" w:fill="D9D9D9"/>
            <w:noWrap/>
            <w:vAlign w:val="bottom"/>
            <w:hideMark/>
          </w:tcPr>
          <w:p w14:paraId="6A6FD7B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5FB3E3F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133E76EB"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5E64E19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5F2E93D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18E9F42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24E5B87D" w14:textId="77777777" w:rsidTr="0040737D">
        <w:trPr>
          <w:trHeight w:val="315"/>
        </w:trPr>
        <w:tc>
          <w:tcPr>
            <w:tcW w:w="2555" w:type="pct"/>
            <w:tcBorders>
              <w:top w:val="nil"/>
              <w:left w:val="nil"/>
              <w:bottom w:val="nil"/>
              <w:right w:val="nil"/>
            </w:tcBorders>
            <w:shd w:val="clear" w:color="000000" w:fill="D9D9D9"/>
            <w:noWrap/>
            <w:vAlign w:val="bottom"/>
            <w:hideMark/>
          </w:tcPr>
          <w:p w14:paraId="286136A1"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Equity Multiplier</w:t>
            </w:r>
          </w:p>
        </w:tc>
        <w:tc>
          <w:tcPr>
            <w:tcW w:w="168" w:type="pct"/>
            <w:tcBorders>
              <w:top w:val="nil"/>
              <w:left w:val="nil"/>
              <w:bottom w:val="nil"/>
              <w:right w:val="nil"/>
            </w:tcBorders>
            <w:shd w:val="clear" w:color="000000" w:fill="D9D9D9"/>
            <w:noWrap/>
            <w:vAlign w:val="bottom"/>
            <w:hideMark/>
          </w:tcPr>
          <w:p w14:paraId="34798107"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9D9D9"/>
            <w:noWrap/>
            <w:vAlign w:val="bottom"/>
            <w:hideMark/>
          </w:tcPr>
          <w:p w14:paraId="3457A86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3.17</w:t>
            </w:r>
          </w:p>
        </w:tc>
        <w:tc>
          <w:tcPr>
            <w:tcW w:w="455" w:type="pct"/>
            <w:tcBorders>
              <w:top w:val="nil"/>
              <w:left w:val="nil"/>
              <w:bottom w:val="nil"/>
              <w:right w:val="nil"/>
            </w:tcBorders>
            <w:shd w:val="clear" w:color="000000" w:fill="D9D9D9"/>
            <w:noWrap/>
            <w:vAlign w:val="bottom"/>
            <w:hideMark/>
          </w:tcPr>
          <w:p w14:paraId="21E486D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3.22</w:t>
            </w:r>
          </w:p>
        </w:tc>
        <w:tc>
          <w:tcPr>
            <w:tcW w:w="455" w:type="pct"/>
            <w:tcBorders>
              <w:top w:val="nil"/>
              <w:left w:val="nil"/>
              <w:bottom w:val="nil"/>
              <w:right w:val="nil"/>
            </w:tcBorders>
            <w:shd w:val="clear" w:color="000000" w:fill="D9D9D9"/>
            <w:noWrap/>
            <w:vAlign w:val="bottom"/>
            <w:hideMark/>
          </w:tcPr>
          <w:p w14:paraId="5715662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3.17</w:t>
            </w:r>
          </w:p>
        </w:tc>
        <w:tc>
          <w:tcPr>
            <w:tcW w:w="455" w:type="pct"/>
            <w:tcBorders>
              <w:top w:val="nil"/>
              <w:left w:val="nil"/>
              <w:bottom w:val="nil"/>
              <w:right w:val="nil"/>
            </w:tcBorders>
            <w:shd w:val="clear" w:color="000000" w:fill="D9D9D9"/>
            <w:noWrap/>
            <w:vAlign w:val="bottom"/>
            <w:hideMark/>
          </w:tcPr>
          <w:p w14:paraId="6AFDD38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3.16</w:t>
            </w:r>
          </w:p>
        </w:tc>
        <w:tc>
          <w:tcPr>
            <w:tcW w:w="455" w:type="pct"/>
            <w:tcBorders>
              <w:top w:val="nil"/>
              <w:left w:val="nil"/>
              <w:bottom w:val="nil"/>
              <w:right w:val="nil"/>
            </w:tcBorders>
            <w:shd w:val="clear" w:color="000000" w:fill="D9D9D9"/>
            <w:noWrap/>
            <w:vAlign w:val="bottom"/>
            <w:hideMark/>
          </w:tcPr>
          <w:p w14:paraId="26A862D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3.62</w:t>
            </w:r>
          </w:p>
        </w:tc>
      </w:tr>
      <w:tr w:rsidR="0040737D" w:rsidRPr="0040737D" w14:paraId="3FEE933E" w14:textId="77777777" w:rsidTr="0040737D">
        <w:trPr>
          <w:trHeight w:val="300"/>
        </w:trPr>
        <w:tc>
          <w:tcPr>
            <w:tcW w:w="2555" w:type="pct"/>
            <w:tcBorders>
              <w:top w:val="nil"/>
              <w:left w:val="nil"/>
              <w:bottom w:val="single" w:sz="4" w:space="0" w:color="auto"/>
              <w:right w:val="nil"/>
            </w:tcBorders>
            <w:shd w:val="clear" w:color="000000" w:fill="D9D9D9"/>
            <w:noWrap/>
            <w:vAlign w:val="bottom"/>
            <w:hideMark/>
          </w:tcPr>
          <w:p w14:paraId="1BE36516"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Assets/Total Equity</w:t>
            </w:r>
          </w:p>
        </w:tc>
        <w:tc>
          <w:tcPr>
            <w:tcW w:w="168" w:type="pct"/>
            <w:tcBorders>
              <w:top w:val="nil"/>
              <w:left w:val="nil"/>
              <w:bottom w:val="single" w:sz="4" w:space="0" w:color="auto"/>
              <w:right w:val="nil"/>
            </w:tcBorders>
            <w:shd w:val="clear" w:color="000000" w:fill="D9D9D9"/>
            <w:noWrap/>
            <w:vAlign w:val="bottom"/>
            <w:hideMark/>
          </w:tcPr>
          <w:p w14:paraId="7DA9B00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71D27E0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333A37C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5B798CC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611B7C5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767D4C8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0C9B7DE0" w14:textId="77777777" w:rsidTr="0040737D">
        <w:trPr>
          <w:trHeight w:val="315"/>
        </w:trPr>
        <w:tc>
          <w:tcPr>
            <w:tcW w:w="2555" w:type="pct"/>
            <w:tcBorders>
              <w:top w:val="nil"/>
              <w:left w:val="nil"/>
              <w:bottom w:val="nil"/>
              <w:right w:val="nil"/>
            </w:tcBorders>
            <w:shd w:val="clear" w:color="000000" w:fill="D9D9D9"/>
            <w:noWrap/>
            <w:vAlign w:val="bottom"/>
            <w:hideMark/>
          </w:tcPr>
          <w:p w14:paraId="3E937915"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Interest Coverage Ratio</w:t>
            </w:r>
          </w:p>
        </w:tc>
        <w:tc>
          <w:tcPr>
            <w:tcW w:w="168" w:type="pct"/>
            <w:tcBorders>
              <w:top w:val="nil"/>
              <w:left w:val="nil"/>
              <w:bottom w:val="nil"/>
              <w:right w:val="nil"/>
            </w:tcBorders>
            <w:shd w:val="clear" w:color="000000" w:fill="D9D9D9"/>
            <w:noWrap/>
            <w:vAlign w:val="bottom"/>
            <w:hideMark/>
          </w:tcPr>
          <w:p w14:paraId="3A98E003"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D9D9D9"/>
            <w:noWrap/>
            <w:vAlign w:val="bottom"/>
            <w:hideMark/>
          </w:tcPr>
          <w:p w14:paraId="15D6B49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3.33</w:t>
            </w:r>
          </w:p>
        </w:tc>
        <w:tc>
          <w:tcPr>
            <w:tcW w:w="455" w:type="pct"/>
            <w:tcBorders>
              <w:top w:val="nil"/>
              <w:left w:val="nil"/>
              <w:bottom w:val="nil"/>
              <w:right w:val="nil"/>
            </w:tcBorders>
            <w:shd w:val="clear" w:color="000000" w:fill="D9D9D9"/>
            <w:noWrap/>
            <w:vAlign w:val="bottom"/>
            <w:hideMark/>
          </w:tcPr>
          <w:p w14:paraId="68DA2AF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6.28</w:t>
            </w:r>
          </w:p>
        </w:tc>
        <w:tc>
          <w:tcPr>
            <w:tcW w:w="455" w:type="pct"/>
            <w:tcBorders>
              <w:top w:val="nil"/>
              <w:left w:val="nil"/>
              <w:bottom w:val="nil"/>
              <w:right w:val="nil"/>
            </w:tcBorders>
            <w:shd w:val="clear" w:color="000000" w:fill="D9D9D9"/>
            <w:noWrap/>
            <w:vAlign w:val="bottom"/>
            <w:hideMark/>
          </w:tcPr>
          <w:p w14:paraId="14AE3A9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7.06</w:t>
            </w:r>
          </w:p>
        </w:tc>
        <w:tc>
          <w:tcPr>
            <w:tcW w:w="455" w:type="pct"/>
            <w:tcBorders>
              <w:top w:val="nil"/>
              <w:left w:val="nil"/>
              <w:bottom w:val="nil"/>
              <w:right w:val="nil"/>
            </w:tcBorders>
            <w:shd w:val="clear" w:color="000000" w:fill="D9D9D9"/>
            <w:noWrap/>
            <w:vAlign w:val="bottom"/>
            <w:hideMark/>
          </w:tcPr>
          <w:p w14:paraId="7B0A80E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11.25</w:t>
            </w:r>
          </w:p>
        </w:tc>
        <w:tc>
          <w:tcPr>
            <w:tcW w:w="455" w:type="pct"/>
            <w:tcBorders>
              <w:top w:val="nil"/>
              <w:left w:val="nil"/>
              <w:bottom w:val="nil"/>
              <w:right w:val="nil"/>
            </w:tcBorders>
            <w:shd w:val="clear" w:color="000000" w:fill="D9D9D9"/>
            <w:noWrap/>
            <w:vAlign w:val="bottom"/>
            <w:hideMark/>
          </w:tcPr>
          <w:p w14:paraId="5D010EA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8.10</w:t>
            </w:r>
          </w:p>
        </w:tc>
      </w:tr>
      <w:tr w:rsidR="0040737D" w:rsidRPr="0040737D" w14:paraId="305F95E2" w14:textId="77777777" w:rsidTr="0040737D">
        <w:trPr>
          <w:trHeight w:val="300"/>
        </w:trPr>
        <w:tc>
          <w:tcPr>
            <w:tcW w:w="2555" w:type="pct"/>
            <w:tcBorders>
              <w:top w:val="nil"/>
              <w:left w:val="nil"/>
              <w:bottom w:val="single" w:sz="4" w:space="0" w:color="auto"/>
              <w:right w:val="nil"/>
            </w:tcBorders>
            <w:shd w:val="clear" w:color="000000" w:fill="D9D9D9"/>
            <w:noWrap/>
            <w:vAlign w:val="bottom"/>
            <w:hideMark/>
          </w:tcPr>
          <w:p w14:paraId="4438BB1D"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EBIT/Interest Expense</w:t>
            </w:r>
          </w:p>
        </w:tc>
        <w:tc>
          <w:tcPr>
            <w:tcW w:w="168" w:type="pct"/>
            <w:tcBorders>
              <w:top w:val="nil"/>
              <w:left w:val="nil"/>
              <w:bottom w:val="single" w:sz="4" w:space="0" w:color="auto"/>
              <w:right w:val="nil"/>
            </w:tcBorders>
            <w:shd w:val="clear" w:color="000000" w:fill="D9D9D9"/>
            <w:noWrap/>
            <w:vAlign w:val="bottom"/>
            <w:hideMark/>
          </w:tcPr>
          <w:p w14:paraId="4F6F1EF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750435A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3D8C64C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4E01DC1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3864222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D9D9D9"/>
            <w:noWrap/>
            <w:vAlign w:val="bottom"/>
            <w:hideMark/>
          </w:tcPr>
          <w:p w14:paraId="747E67C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02F6E967" w14:textId="77777777" w:rsidTr="0040737D">
        <w:trPr>
          <w:trHeight w:val="300"/>
        </w:trPr>
        <w:tc>
          <w:tcPr>
            <w:tcW w:w="2555" w:type="pct"/>
            <w:tcBorders>
              <w:top w:val="nil"/>
              <w:left w:val="nil"/>
              <w:bottom w:val="nil"/>
              <w:right w:val="nil"/>
            </w:tcBorders>
            <w:noWrap/>
            <w:vAlign w:val="bottom"/>
            <w:hideMark/>
          </w:tcPr>
          <w:p w14:paraId="5E05C442" w14:textId="77777777" w:rsidR="0040737D" w:rsidRPr="0040737D" w:rsidRDefault="0040737D" w:rsidP="0040737D">
            <w:pPr>
              <w:spacing w:line="240" w:lineRule="auto"/>
              <w:jc w:val="left"/>
              <w:rPr>
                <w:rFonts w:eastAsia="Times New Roman"/>
                <w:color w:val="000000"/>
                <w:szCs w:val="24"/>
                <w:lang w:val="en-IN" w:eastAsia="en-IN"/>
              </w:rPr>
            </w:pPr>
          </w:p>
        </w:tc>
        <w:tc>
          <w:tcPr>
            <w:tcW w:w="168" w:type="pct"/>
            <w:tcBorders>
              <w:top w:val="nil"/>
              <w:left w:val="nil"/>
              <w:bottom w:val="nil"/>
              <w:right w:val="nil"/>
            </w:tcBorders>
            <w:noWrap/>
            <w:vAlign w:val="bottom"/>
            <w:hideMark/>
          </w:tcPr>
          <w:p w14:paraId="1E470AEB"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267AA546"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A234858"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69B309C"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AA4A5F1"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297EDD27"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26359A79" w14:textId="77777777" w:rsidTr="0040737D">
        <w:trPr>
          <w:trHeight w:val="315"/>
        </w:trPr>
        <w:tc>
          <w:tcPr>
            <w:tcW w:w="2555" w:type="pct"/>
            <w:tcBorders>
              <w:top w:val="nil"/>
              <w:left w:val="nil"/>
              <w:bottom w:val="nil"/>
              <w:right w:val="nil"/>
            </w:tcBorders>
            <w:shd w:val="clear" w:color="000000" w:fill="C6E0B4"/>
            <w:noWrap/>
            <w:vAlign w:val="bottom"/>
            <w:hideMark/>
          </w:tcPr>
          <w:p w14:paraId="5564CBCA"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Input data for Efficiency Ratios:</w:t>
            </w:r>
          </w:p>
        </w:tc>
        <w:tc>
          <w:tcPr>
            <w:tcW w:w="168" w:type="pct"/>
            <w:tcBorders>
              <w:top w:val="nil"/>
              <w:left w:val="nil"/>
              <w:bottom w:val="nil"/>
              <w:right w:val="nil"/>
            </w:tcBorders>
            <w:shd w:val="clear" w:color="000000" w:fill="C6E0B4"/>
            <w:noWrap/>
            <w:vAlign w:val="bottom"/>
            <w:hideMark/>
          </w:tcPr>
          <w:p w14:paraId="16EAE725"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C6E0B4"/>
            <w:noWrap/>
            <w:vAlign w:val="bottom"/>
            <w:hideMark/>
          </w:tcPr>
          <w:p w14:paraId="4CB229FE"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nil"/>
              <w:left w:val="nil"/>
              <w:bottom w:val="nil"/>
              <w:right w:val="nil"/>
            </w:tcBorders>
            <w:shd w:val="clear" w:color="000000" w:fill="C6E0B4"/>
            <w:noWrap/>
            <w:vAlign w:val="bottom"/>
            <w:hideMark/>
          </w:tcPr>
          <w:p w14:paraId="6A01CDE9"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nil"/>
              <w:left w:val="nil"/>
              <w:bottom w:val="nil"/>
              <w:right w:val="nil"/>
            </w:tcBorders>
            <w:shd w:val="clear" w:color="000000" w:fill="C6E0B4"/>
            <w:noWrap/>
            <w:vAlign w:val="bottom"/>
            <w:hideMark/>
          </w:tcPr>
          <w:p w14:paraId="62455F46"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nil"/>
              <w:left w:val="nil"/>
              <w:bottom w:val="nil"/>
              <w:right w:val="nil"/>
            </w:tcBorders>
            <w:shd w:val="clear" w:color="000000" w:fill="C6E0B4"/>
            <w:noWrap/>
            <w:vAlign w:val="bottom"/>
            <w:hideMark/>
          </w:tcPr>
          <w:p w14:paraId="1A64F565"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nil"/>
              <w:left w:val="nil"/>
              <w:bottom w:val="nil"/>
              <w:right w:val="nil"/>
            </w:tcBorders>
            <w:shd w:val="clear" w:color="000000" w:fill="C6E0B4"/>
            <w:noWrap/>
            <w:vAlign w:val="bottom"/>
            <w:hideMark/>
          </w:tcPr>
          <w:p w14:paraId="2E26EBEC"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02AE9D85" w14:textId="77777777" w:rsidTr="0040737D">
        <w:trPr>
          <w:trHeight w:val="300"/>
        </w:trPr>
        <w:tc>
          <w:tcPr>
            <w:tcW w:w="2555" w:type="pct"/>
            <w:tcBorders>
              <w:top w:val="nil"/>
              <w:left w:val="nil"/>
              <w:bottom w:val="nil"/>
              <w:right w:val="nil"/>
            </w:tcBorders>
            <w:noWrap/>
            <w:vAlign w:val="bottom"/>
            <w:hideMark/>
          </w:tcPr>
          <w:p w14:paraId="7173D05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Inventories</w:t>
            </w:r>
          </w:p>
        </w:tc>
        <w:tc>
          <w:tcPr>
            <w:tcW w:w="168" w:type="pct"/>
            <w:tcBorders>
              <w:top w:val="nil"/>
              <w:left w:val="nil"/>
              <w:bottom w:val="nil"/>
              <w:right w:val="nil"/>
            </w:tcBorders>
            <w:noWrap/>
            <w:vAlign w:val="bottom"/>
            <w:hideMark/>
          </w:tcPr>
          <w:p w14:paraId="030CCF9C"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1D854F1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51,775</w:t>
            </w:r>
          </w:p>
        </w:tc>
        <w:tc>
          <w:tcPr>
            <w:tcW w:w="455" w:type="pct"/>
            <w:tcBorders>
              <w:top w:val="nil"/>
              <w:left w:val="nil"/>
              <w:bottom w:val="nil"/>
              <w:right w:val="nil"/>
            </w:tcBorders>
            <w:noWrap/>
            <w:vAlign w:val="bottom"/>
            <w:hideMark/>
          </w:tcPr>
          <w:p w14:paraId="1E3800C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53,132</w:t>
            </w:r>
          </w:p>
        </w:tc>
        <w:tc>
          <w:tcPr>
            <w:tcW w:w="455" w:type="pct"/>
            <w:tcBorders>
              <w:top w:val="nil"/>
              <w:left w:val="nil"/>
              <w:bottom w:val="nil"/>
              <w:right w:val="nil"/>
            </w:tcBorders>
            <w:noWrap/>
            <w:vAlign w:val="bottom"/>
            <w:hideMark/>
          </w:tcPr>
          <w:p w14:paraId="6582671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51,953</w:t>
            </w:r>
          </w:p>
        </w:tc>
        <w:tc>
          <w:tcPr>
            <w:tcW w:w="455" w:type="pct"/>
            <w:tcBorders>
              <w:top w:val="nil"/>
              <w:left w:val="nil"/>
              <w:bottom w:val="nil"/>
              <w:right w:val="nil"/>
            </w:tcBorders>
            <w:noWrap/>
            <w:vAlign w:val="bottom"/>
            <w:hideMark/>
          </w:tcPr>
          <w:p w14:paraId="56BAFD2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51,109</w:t>
            </w:r>
          </w:p>
        </w:tc>
        <w:tc>
          <w:tcPr>
            <w:tcW w:w="455" w:type="pct"/>
            <w:tcBorders>
              <w:top w:val="nil"/>
              <w:left w:val="nil"/>
              <w:bottom w:val="nil"/>
              <w:right w:val="nil"/>
            </w:tcBorders>
            <w:noWrap/>
            <w:vAlign w:val="bottom"/>
            <w:hideMark/>
          </w:tcPr>
          <w:p w14:paraId="5E8DD84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43,725</w:t>
            </w:r>
          </w:p>
        </w:tc>
      </w:tr>
      <w:tr w:rsidR="0040737D" w:rsidRPr="0040737D" w14:paraId="20BC1ACD" w14:textId="77777777" w:rsidTr="0040737D">
        <w:trPr>
          <w:trHeight w:val="315"/>
        </w:trPr>
        <w:tc>
          <w:tcPr>
            <w:tcW w:w="2555" w:type="pct"/>
            <w:tcBorders>
              <w:top w:val="nil"/>
              <w:left w:val="nil"/>
              <w:bottom w:val="nil"/>
              <w:right w:val="nil"/>
            </w:tcBorders>
            <w:noWrap/>
            <w:vAlign w:val="bottom"/>
            <w:hideMark/>
          </w:tcPr>
          <w:p w14:paraId="7FDDB19B"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Account Receivables</w:t>
            </w:r>
          </w:p>
        </w:tc>
        <w:tc>
          <w:tcPr>
            <w:tcW w:w="168" w:type="pct"/>
            <w:tcBorders>
              <w:top w:val="nil"/>
              <w:left w:val="nil"/>
              <w:bottom w:val="nil"/>
              <w:right w:val="nil"/>
            </w:tcBorders>
            <w:noWrap/>
            <w:vAlign w:val="bottom"/>
            <w:hideMark/>
          </w:tcPr>
          <w:p w14:paraId="76F393A6"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79744050"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20,760</w:t>
            </w:r>
          </w:p>
        </w:tc>
        <w:tc>
          <w:tcPr>
            <w:tcW w:w="455" w:type="pct"/>
            <w:tcBorders>
              <w:top w:val="nil"/>
              <w:left w:val="nil"/>
              <w:bottom w:val="nil"/>
              <w:right w:val="nil"/>
            </w:tcBorders>
            <w:noWrap/>
            <w:vAlign w:val="bottom"/>
            <w:hideMark/>
          </w:tcPr>
          <w:p w14:paraId="7BD4246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21,130</w:t>
            </w:r>
          </w:p>
        </w:tc>
        <w:tc>
          <w:tcPr>
            <w:tcW w:w="455" w:type="pct"/>
            <w:tcBorders>
              <w:top w:val="nil"/>
              <w:left w:val="nil"/>
              <w:bottom w:val="nil"/>
              <w:right w:val="nil"/>
            </w:tcBorders>
            <w:noWrap/>
            <w:vAlign w:val="bottom"/>
            <w:hideMark/>
          </w:tcPr>
          <w:p w14:paraId="1484D66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21,849</w:t>
            </w:r>
          </w:p>
        </w:tc>
        <w:tc>
          <w:tcPr>
            <w:tcW w:w="455" w:type="pct"/>
            <w:tcBorders>
              <w:top w:val="nil"/>
              <w:left w:val="nil"/>
              <w:bottom w:val="nil"/>
              <w:right w:val="nil"/>
            </w:tcBorders>
            <w:noWrap/>
            <w:vAlign w:val="bottom"/>
            <w:hideMark/>
          </w:tcPr>
          <w:p w14:paraId="4721678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18,534</w:t>
            </w:r>
          </w:p>
        </w:tc>
        <w:tc>
          <w:tcPr>
            <w:tcW w:w="455" w:type="pct"/>
            <w:tcBorders>
              <w:top w:val="nil"/>
              <w:left w:val="nil"/>
              <w:bottom w:val="nil"/>
              <w:right w:val="nil"/>
            </w:tcBorders>
            <w:noWrap/>
            <w:vAlign w:val="bottom"/>
            <w:hideMark/>
          </w:tcPr>
          <w:p w14:paraId="678CD45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15,521</w:t>
            </w:r>
          </w:p>
        </w:tc>
      </w:tr>
      <w:tr w:rsidR="0040737D" w:rsidRPr="0040737D" w14:paraId="2B098D21" w14:textId="77777777" w:rsidTr="0040737D">
        <w:trPr>
          <w:trHeight w:val="315"/>
        </w:trPr>
        <w:tc>
          <w:tcPr>
            <w:tcW w:w="2555" w:type="pct"/>
            <w:tcBorders>
              <w:top w:val="nil"/>
              <w:left w:val="nil"/>
              <w:bottom w:val="nil"/>
              <w:right w:val="nil"/>
            </w:tcBorders>
            <w:noWrap/>
            <w:vAlign w:val="bottom"/>
            <w:hideMark/>
          </w:tcPr>
          <w:p w14:paraId="6B5CFF97"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Account Payables</w:t>
            </w:r>
          </w:p>
        </w:tc>
        <w:tc>
          <w:tcPr>
            <w:tcW w:w="168" w:type="pct"/>
            <w:tcBorders>
              <w:top w:val="nil"/>
              <w:left w:val="nil"/>
              <w:bottom w:val="nil"/>
              <w:right w:val="nil"/>
            </w:tcBorders>
            <w:noWrap/>
            <w:vAlign w:val="bottom"/>
            <w:hideMark/>
          </w:tcPr>
          <w:p w14:paraId="69C62AE1"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7267F0A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30,490</w:t>
            </w:r>
          </w:p>
        </w:tc>
        <w:tc>
          <w:tcPr>
            <w:tcW w:w="455" w:type="pct"/>
            <w:tcBorders>
              <w:top w:val="nil"/>
              <w:left w:val="nil"/>
              <w:bottom w:val="nil"/>
              <w:right w:val="nil"/>
            </w:tcBorders>
            <w:noWrap/>
            <w:vAlign w:val="bottom"/>
            <w:hideMark/>
          </w:tcPr>
          <w:p w14:paraId="1887F44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29,772</w:t>
            </w:r>
          </w:p>
        </w:tc>
        <w:tc>
          <w:tcPr>
            <w:tcW w:w="455" w:type="pct"/>
            <w:tcBorders>
              <w:top w:val="nil"/>
              <w:left w:val="nil"/>
              <w:bottom w:val="nil"/>
              <w:right w:val="nil"/>
            </w:tcBorders>
            <w:noWrap/>
            <w:vAlign w:val="bottom"/>
            <w:hideMark/>
          </w:tcPr>
          <w:p w14:paraId="32B26DC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30,901</w:t>
            </w:r>
          </w:p>
        </w:tc>
        <w:tc>
          <w:tcPr>
            <w:tcW w:w="455" w:type="pct"/>
            <w:tcBorders>
              <w:top w:val="nil"/>
              <w:left w:val="nil"/>
              <w:bottom w:val="nil"/>
              <w:right w:val="nil"/>
            </w:tcBorders>
            <w:noWrap/>
            <w:vAlign w:val="bottom"/>
            <w:hideMark/>
          </w:tcPr>
          <w:p w14:paraId="022B4BE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28,738</w:t>
            </w:r>
          </w:p>
        </w:tc>
        <w:tc>
          <w:tcPr>
            <w:tcW w:w="455" w:type="pct"/>
            <w:tcBorders>
              <w:top w:val="nil"/>
              <w:left w:val="nil"/>
              <w:bottom w:val="nil"/>
              <w:right w:val="nil"/>
            </w:tcBorders>
            <w:noWrap/>
            <w:vAlign w:val="bottom"/>
            <w:hideMark/>
          </w:tcPr>
          <w:p w14:paraId="520BD57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23,624</w:t>
            </w:r>
          </w:p>
        </w:tc>
      </w:tr>
      <w:tr w:rsidR="0040737D" w:rsidRPr="0040737D" w14:paraId="42019BB7" w14:textId="77777777" w:rsidTr="0040737D">
        <w:trPr>
          <w:trHeight w:val="315"/>
        </w:trPr>
        <w:tc>
          <w:tcPr>
            <w:tcW w:w="2555" w:type="pct"/>
            <w:tcBorders>
              <w:top w:val="nil"/>
              <w:left w:val="nil"/>
              <w:bottom w:val="nil"/>
              <w:right w:val="nil"/>
            </w:tcBorders>
            <w:noWrap/>
            <w:vAlign w:val="bottom"/>
            <w:hideMark/>
          </w:tcPr>
          <w:p w14:paraId="2877F35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Cost of Sales</w:t>
            </w:r>
          </w:p>
        </w:tc>
        <w:tc>
          <w:tcPr>
            <w:tcW w:w="168" w:type="pct"/>
            <w:tcBorders>
              <w:top w:val="nil"/>
              <w:left w:val="nil"/>
              <w:bottom w:val="nil"/>
              <w:right w:val="nil"/>
            </w:tcBorders>
            <w:noWrap/>
            <w:vAlign w:val="bottom"/>
            <w:hideMark/>
          </w:tcPr>
          <w:p w14:paraId="1CC048D3"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17B67AC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270,671</w:t>
            </w:r>
          </w:p>
        </w:tc>
        <w:tc>
          <w:tcPr>
            <w:tcW w:w="455" w:type="pct"/>
            <w:tcBorders>
              <w:top w:val="nil"/>
              <w:left w:val="nil"/>
              <w:bottom w:val="nil"/>
              <w:right w:val="nil"/>
            </w:tcBorders>
            <w:noWrap/>
            <w:vAlign w:val="bottom"/>
            <w:hideMark/>
          </w:tcPr>
          <w:p w14:paraId="4E91F47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265,184</w:t>
            </w:r>
          </w:p>
        </w:tc>
        <w:tc>
          <w:tcPr>
            <w:tcW w:w="455" w:type="pct"/>
            <w:tcBorders>
              <w:top w:val="nil"/>
              <w:left w:val="nil"/>
              <w:bottom w:val="nil"/>
              <w:right w:val="nil"/>
            </w:tcBorders>
            <w:noWrap/>
            <w:vAlign w:val="bottom"/>
            <w:hideMark/>
          </w:tcPr>
          <w:p w14:paraId="505D86C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261,299</w:t>
            </w:r>
          </w:p>
        </w:tc>
        <w:tc>
          <w:tcPr>
            <w:tcW w:w="455" w:type="pct"/>
            <w:tcBorders>
              <w:top w:val="nil"/>
              <w:left w:val="nil"/>
              <w:bottom w:val="nil"/>
              <w:right w:val="nil"/>
            </w:tcBorders>
            <w:noWrap/>
            <w:vAlign w:val="bottom"/>
            <w:hideMark/>
          </w:tcPr>
          <w:p w14:paraId="2F09381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226,866</w:t>
            </w:r>
          </w:p>
        </w:tc>
        <w:tc>
          <w:tcPr>
            <w:tcW w:w="455" w:type="pct"/>
            <w:tcBorders>
              <w:top w:val="nil"/>
              <w:left w:val="nil"/>
              <w:bottom w:val="nil"/>
              <w:right w:val="nil"/>
            </w:tcBorders>
            <w:noWrap/>
            <w:vAlign w:val="bottom"/>
            <w:hideMark/>
          </w:tcPr>
          <w:p w14:paraId="0FB8DCF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202,959</w:t>
            </w:r>
          </w:p>
        </w:tc>
      </w:tr>
      <w:tr w:rsidR="0040737D" w:rsidRPr="0040737D" w14:paraId="76EA5CF8" w14:textId="77777777" w:rsidTr="0040737D">
        <w:trPr>
          <w:trHeight w:val="300"/>
        </w:trPr>
        <w:tc>
          <w:tcPr>
            <w:tcW w:w="2555" w:type="pct"/>
            <w:tcBorders>
              <w:top w:val="nil"/>
              <w:left w:val="nil"/>
              <w:bottom w:val="nil"/>
              <w:right w:val="nil"/>
            </w:tcBorders>
            <w:noWrap/>
            <w:vAlign w:val="bottom"/>
            <w:hideMark/>
          </w:tcPr>
          <w:p w14:paraId="52BF86DC" w14:textId="77777777" w:rsidR="0040737D" w:rsidRPr="0040737D" w:rsidRDefault="0040737D" w:rsidP="0040737D">
            <w:pPr>
              <w:spacing w:line="240" w:lineRule="auto"/>
              <w:jc w:val="right"/>
              <w:rPr>
                <w:rFonts w:eastAsia="Times New Roman"/>
                <w:color w:val="000000"/>
                <w:szCs w:val="24"/>
                <w:lang w:val="en-IN" w:eastAsia="en-IN"/>
              </w:rPr>
            </w:pPr>
          </w:p>
        </w:tc>
        <w:tc>
          <w:tcPr>
            <w:tcW w:w="168" w:type="pct"/>
            <w:tcBorders>
              <w:top w:val="nil"/>
              <w:left w:val="nil"/>
              <w:bottom w:val="nil"/>
              <w:right w:val="nil"/>
            </w:tcBorders>
            <w:noWrap/>
            <w:vAlign w:val="bottom"/>
            <w:hideMark/>
          </w:tcPr>
          <w:p w14:paraId="18A5756C"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1E967F5C"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0EA0BF12"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7CED66D"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6504F8F9"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0AD05F72"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1BDB97A4" w14:textId="77777777" w:rsidTr="0040737D">
        <w:trPr>
          <w:trHeight w:val="315"/>
        </w:trPr>
        <w:tc>
          <w:tcPr>
            <w:tcW w:w="2555" w:type="pct"/>
            <w:tcBorders>
              <w:top w:val="single" w:sz="4" w:space="0" w:color="auto"/>
              <w:left w:val="nil"/>
              <w:bottom w:val="single" w:sz="4" w:space="0" w:color="auto"/>
              <w:right w:val="nil"/>
            </w:tcBorders>
            <w:shd w:val="clear" w:color="000000" w:fill="C6E0B4"/>
            <w:noWrap/>
            <w:vAlign w:val="bottom"/>
            <w:hideMark/>
          </w:tcPr>
          <w:p w14:paraId="17FD9E04"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Efficiency RATIOS:</w:t>
            </w:r>
          </w:p>
        </w:tc>
        <w:tc>
          <w:tcPr>
            <w:tcW w:w="168" w:type="pct"/>
            <w:tcBorders>
              <w:top w:val="single" w:sz="4" w:space="0" w:color="auto"/>
              <w:left w:val="nil"/>
              <w:bottom w:val="single" w:sz="4" w:space="0" w:color="auto"/>
              <w:right w:val="nil"/>
            </w:tcBorders>
            <w:shd w:val="clear" w:color="000000" w:fill="C6E0B4"/>
            <w:noWrap/>
            <w:vAlign w:val="bottom"/>
            <w:hideMark/>
          </w:tcPr>
          <w:p w14:paraId="77A3C61C"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single" w:sz="4" w:space="0" w:color="auto"/>
              <w:left w:val="nil"/>
              <w:bottom w:val="single" w:sz="4" w:space="0" w:color="auto"/>
              <w:right w:val="nil"/>
            </w:tcBorders>
            <w:shd w:val="clear" w:color="000000" w:fill="C6E0B4"/>
            <w:noWrap/>
            <w:vAlign w:val="bottom"/>
            <w:hideMark/>
          </w:tcPr>
          <w:p w14:paraId="60F40506"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single" w:sz="4" w:space="0" w:color="auto"/>
              <w:left w:val="nil"/>
              <w:bottom w:val="single" w:sz="4" w:space="0" w:color="auto"/>
              <w:right w:val="nil"/>
            </w:tcBorders>
            <w:shd w:val="clear" w:color="000000" w:fill="C6E0B4"/>
            <w:noWrap/>
            <w:vAlign w:val="bottom"/>
            <w:hideMark/>
          </w:tcPr>
          <w:p w14:paraId="0C71A3E7"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single" w:sz="4" w:space="0" w:color="auto"/>
              <w:left w:val="nil"/>
              <w:bottom w:val="single" w:sz="4" w:space="0" w:color="auto"/>
              <w:right w:val="nil"/>
            </w:tcBorders>
            <w:shd w:val="clear" w:color="000000" w:fill="C6E0B4"/>
            <w:noWrap/>
            <w:vAlign w:val="bottom"/>
            <w:hideMark/>
          </w:tcPr>
          <w:p w14:paraId="7EA99DE5"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single" w:sz="4" w:space="0" w:color="auto"/>
              <w:left w:val="nil"/>
              <w:bottom w:val="single" w:sz="4" w:space="0" w:color="auto"/>
              <w:right w:val="nil"/>
            </w:tcBorders>
            <w:shd w:val="clear" w:color="000000" w:fill="C6E0B4"/>
            <w:noWrap/>
            <w:vAlign w:val="bottom"/>
            <w:hideMark/>
          </w:tcPr>
          <w:p w14:paraId="4C1B573F"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single" w:sz="4" w:space="0" w:color="auto"/>
              <w:left w:val="nil"/>
              <w:bottom w:val="single" w:sz="4" w:space="0" w:color="auto"/>
              <w:right w:val="nil"/>
            </w:tcBorders>
            <w:shd w:val="clear" w:color="000000" w:fill="C6E0B4"/>
            <w:noWrap/>
            <w:vAlign w:val="bottom"/>
            <w:hideMark/>
          </w:tcPr>
          <w:p w14:paraId="4FEEEBDF"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1F106F7B" w14:textId="77777777" w:rsidTr="0040737D">
        <w:trPr>
          <w:trHeight w:val="315"/>
        </w:trPr>
        <w:tc>
          <w:tcPr>
            <w:tcW w:w="2555" w:type="pct"/>
            <w:tcBorders>
              <w:top w:val="nil"/>
              <w:left w:val="nil"/>
              <w:bottom w:val="nil"/>
              <w:right w:val="nil"/>
            </w:tcBorders>
            <w:shd w:val="clear" w:color="000000" w:fill="C6E0B4"/>
            <w:noWrap/>
            <w:vAlign w:val="bottom"/>
            <w:hideMark/>
          </w:tcPr>
          <w:p w14:paraId="525528F2"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lastRenderedPageBreak/>
              <w:t>Average Inventories Turnover Period</w:t>
            </w:r>
          </w:p>
        </w:tc>
        <w:tc>
          <w:tcPr>
            <w:tcW w:w="168" w:type="pct"/>
            <w:tcBorders>
              <w:top w:val="nil"/>
              <w:left w:val="nil"/>
              <w:bottom w:val="nil"/>
              <w:right w:val="nil"/>
            </w:tcBorders>
            <w:shd w:val="clear" w:color="000000" w:fill="C6E0B4"/>
            <w:noWrap/>
            <w:vAlign w:val="bottom"/>
            <w:hideMark/>
          </w:tcPr>
          <w:p w14:paraId="2810B8DD"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C6E0B4"/>
            <w:noWrap/>
            <w:vAlign w:val="bottom"/>
            <w:hideMark/>
          </w:tcPr>
          <w:p w14:paraId="2490ADC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69.82</w:t>
            </w:r>
          </w:p>
        </w:tc>
        <w:tc>
          <w:tcPr>
            <w:tcW w:w="455" w:type="pct"/>
            <w:tcBorders>
              <w:top w:val="nil"/>
              <w:left w:val="nil"/>
              <w:bottom w:val="nil"/>
              <w:right w:val="nil"/>
            </w:tcBorders>
            <w:shd w:val="clear" w:color="000000" w:fill="C6E0B4"/>
            <w:noWrap/>
            <w:vAlign w:val="bottom"/>
            <w:hideMark/>
          </w:tcPr>
          <w:p w14:paraId="5D68A88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73.13</w:t>
            </w:r>
          </w:p>
        </w:tc>
        <w:tc>
          <w:tcPr>
            <w:tcW w:w="455" w:type="pct"/>
            <w:tcBorders>
              <w:top w:val="nil"/>
              <w:left w:val="nil"/>
              <w:bottom w:val="nil"/>
              <w:right w:val="nil"/>
            </w:tcBorders>
            <w:shd w:val="clear" w:color="000000" w:fill="C6E0B4"/>
            <w:noWrap/>
            <w:vAlign w:val="bottom"/>
            <w:hideMark/>
          </w:tcPr>
          <w:p w14:paraId="1316241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72.57</w:t>
            </w:r>
          </w:p>
        </w:tc>
        <w:tc>
          <w:tcPr>
            <w:tcW w:w="455" w:type="pct"/>
            <w:tcBorders>
              <w:top w:val="nil"/>
              <w:left w:val="nil"/>
              <w:bottom w:val="nil"/>
              <w:right w:val="nil"/>
            </w:tcBorders>
            <w:shd w:val="clear" w:color="000000" w:fill="C6E0B4"/>
            <w:noWrap/>
            <w:vAlign w:val="bottom"/>
            <w:hideMark/>
          </w:tcPr>
          <w:p w14:paraId="5372CF5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82.23</w:t>
            </w:r>
          </w:p>
        </w:tc>
        <w:tc>
          <w:tcPr>
            <w:tcW w:w="455" w:type="pct"/>
            <w:tcBorders>
              <w:top w:val="nil"/>
              <w:left w:val="nil"/>
              <w:bottom w:val="nil"/>
              <w:right w:val="nil"/>
            </w:tcBorders>
            <w:shd w:val="clear" w:color="000000" w:fill="C6E0B4"/>
            <w:noWrap/>
            <w:vAlign w:val="bottom"/>
            <w:hideMark/>
          </w:tcPr>
          <w:p w14:paraId="7689C9D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78.63</w:t>
            </w:r>
          </w:p>
        </w:tc>
      </w:tr>
      <w:tr w:rsidR="0040737D" w:rsidRPr="0040737D" w14:paraId="7EDEFBD7" w14:textId="77777777" w:rsidTr="0040737D">
        <w:trPr>
          <w:trHeight w:val="300"/>
        </w:trPr>
        <w:tc>
          <w:tcPr>
            <w:tcW w:w="2555" w:type="pct"/>
            <w:tcBorders>
              <w:top w:val="nil"/>
              <w:left w:val="nil"/>
              <w:bottom w:val="single" w:sz="4" w:space="0" w:color="auto"/>
              <w:right w:val="nil"/>
            </w:tcBorders>
            <w:shd w:val="clear" w:color="000000" w:fill="C6E0B4"/>
            <w:noWrap/>
            <w:vAlign w:val="bottom"/>
            <w:hideMark/>
          </w:tcPr>
          <w:p w14:paraId="549194A1"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(Inventories/Cost of Sales) x 365</w:t>
            </w:r>
          </w:p>
        </w:tc>
        <w:tc>
          <w:tcPr>
            <w:tcW w:w="168" w:type="pct"/>
            <w:tcBorders>
              <w:top w:val="nil"/>
              <w:left w:val="nil"/>
              <w:bottom w:val="single" w:sz="4" w:space="0" w:color="auto"/>
              <w:right w:val="nil"/>
            </w:tcBorders>
            <w:shd w:val="clear" w:color="000000" w:fill="C6E0B4"/>
            <w:noWrap/>
            <w:vAlign w:val="bottom"/>
            <w:hideMark/>
          </w:tcPr>
          <w:p w14:paraId="6FFFC13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41A58925"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068B22A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22BCAB05"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3AF9B68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18DD5A5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0979C393" w14:textId="77777777" w:rsidTr="0040737D">
        <w:trPr>
          <w:trHeight w:val="315"/>
        </w:trPr>
        <w:tc>
          <w:tcPr>
            <w:tcW w:w="2555" w:type="pct"/>
            <w:tcBorders>
              <w:top w:val="nil"/>
              <w:left w:val="nil"/>
              <w:bottom w:val="nil"/>
              <w:right w:val="nil"/>
            </w:tcBorders>
            <w:shd w:val="clear" w:color="000000" w:fill="C6E0B4"/>
            <w:noWrap/>
            <w:vAlign w:val="bottom"/>
            <w:hideMark/>
          </w:tcPr>
          <w:p w14:paraId="4B705134"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Average Settlement Period for Trade Receivables</w:t>
            </w:r>
          </w:p>
        </w:tc>
        <w:tc>
          <w:tcPr>
            <w:tcW w:w="168" w:type="pct"/>
            <w:tcBorders>
              <w:top w:val="nil"/>
              <w:left w:val="nil"/>
              <w:bottom w:val="nil"/>
              <w:right w:val="nil"/>
            </w:tcBorders>
            <w:shd w:val="clear" w:color="000000" w:fill="C6E0B4"/>
            <w:noWrap/>
            <w:vAlign w:val="bottom"/>
            <w:hideMark/>
          </w:tcPr>
          <w:p w14:paraId="2EE81986"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C6E0B4"/>
            <w:noWrap/>
            <w:vAlign w:val="bottom"/>
            <w:hideMark/>
          </w:tcPr>
          <w:p w14:paraId="1927F72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27.61</w:t>
            </w:r>
          </w:p>
        </w:tc>
        <w:tc>
          <w:tcPr>
            <w:tcW w:w="455" w:type="pct"/>
            <w:tcBorders>
              <w:top w:val="nil"/>
              <w:left w:val="nil"/>
              <w:bottom w:val="nil"/>
              <w:right w:val="nil"/>
            </w:tcBorders>
            <w:shd w:val="clear" w:color="000000" w:fill="C6E0B4"/>
            <w:noWrap/>
            <w:vAlign w:val="bottom"/>
            <w:hideMark/>
          </w:tcPr>
          <w:p w14:paraId="2D418C5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28.68</w:t>
            </w:r>
          </w:p>
        </w:tc>
        <w:tc>
          <w:tcPr>
            <w:tcW w:w="455" w:type="pct"/>
            <w:tcBorders>
              <w:top w:val="nil"/>
              <w:left w:val="nil"/>
              <w:bottom w:val="nil"/>
              <w:right w:val="nil"/>
            </w:tcBorders>
            <w:shd w:val="clear" w:color="000000" w:fill="C6E0B4"/>
            <w:noWrap/>
            <w:vAlign w:val="bottom"/>
            <w:hideMark/>
          </w:tcPr>
          <w:p w14:paraId="46B1415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30.10</w:t>
            </w:r>
          </w:p>
        </w:tc>
        <w:tc>
          <w:tcPr>
            <w:tcW w:w="455" w:type="pct"/>
            <w:tcBorders>
              <w:top w:val="nil"/>
              <w:left w:val="nil"/>
              <w:bottom w:val="nil"/>
              <w:right w:val="nil"/>
            </w:tcBorders>
            <w:shd w:val="clear" w:color="000000" w:fill="C6E0B4"/>
            <w:noWrap/>
            <w:vAlign w:val="bottom"/>
            <w:hideMark/>
          </w:tcPr>
          <w:p w14:paraId="192483B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29.41</w:t>
            </w:r>
          </w:p>
        </w:tc>
        <w:tc>
          <w:tcPr>
            <w:tcW w:w="455" w:type="pct"/>
            <w:tcBorders>
              <w:top w:val="nil"/>
              <w:left w:val="nil"/>
              <w:bottom w:val="nil"/>
              <w:right w:val="nil"/>
            </w:tcBorders>
            <w:shd w:val="clear" w:color="000000" w:fill="C6E0B4"/>
            <w:noWrap/>
            <w:vAlign w:val="bottom"/>
            <w:hideMark/>
          </w:tcPr>
          <w:p w14:paraId="28DEE16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27.53</w:t>
            </w:r>
          </w:p>
        </w:tc>
      </w:tr>
      <w:tr w:rsidR="0040737D" w:rsidRPr="0040737D" w14:paraId="5E4D2A9A" w14:textId="77777777" w:rsidTr="0040737D">
        <w:trPr>
          <w:trHeight w:val="300"/>
        </w:trPr>
        <w:tc>
          <w:tcPr>
            <w:tcW w:w="2555" w:type="pct"/>
            <w:tcBorders>
              <w:top w:val="nil"/>
              <w:left w:val="nil"/>
              <w:bottom w:val="single" w:sz="4" w:space="0" w:color="auto"/>
              <w:right w:val="nil"/>
            </w:tcBorders>
            <w:shd w:val="clear" w:color="000000" w:fill="C6E0B4"/>
            <w:noWrap/>
            <w:vAlign w:val="bottom"/>
            <w:hideMark/>
          </w:tcPr>
          <w:p w14:paraId="1F5096C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(Account Receivable/Sales) x 365</w:t>
            </w:r>
          </w:p>
        </w:tc>
        <w:tc>
          <w:tcPr>
            <w:tcW w:w="168" w:type="pct"/>
            <w:tcBorders>
              <w:top w:val="nil"/>
              <w:left w:val="nil"/>
              <w:bottom w:val="single" w:sz="4" w:space="0" w:color="auto"/>
              <w:right w:val="nil"/>
            </w:tcBorders>
            <w:shd w:val="clear" w:color="000000" w:fill="C6E0B4"/>
            <w:noWrap/>
            <w:vAlign w:val="bottom"/>
            <w:hideMark/>
          </w:tcPr>
          <w:p w14:paraId="71B40E00"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238A166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038B3A5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0F495D1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0C860F0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C6E0B4"/>
            <w:noWrap/>
            <w:vAlign w:val="bottom"/>
            <w:hideMark/>
          </w:tcPr>
          <w:p w14:paraId="0DFA81AB"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2CC09CD2" w14:textId="77777777" w:rsidTr="0040737D">
        <w:trPr>
          <w:trHeight w:val="300"/>
        </w:trPr>
        <w:tc>
          <w:tcPr>
            <w:tcW w:w="2555" w:type="pct"/>
            <w:tcBorders>
              <w:top w:val="nil"/>
              <w:left w:val="nil"/>
              <w:bottom w:val="nil"/>
              <w:right w:val="nil"/>
            </w:tcBorders>
            <w:noWrap/>
            <w:vAlign w:val="bottom"/>
            <w:hideMark/>
          </w:tcPr>
          <w:p w14:paraId="51683999" w14:textId="77777777" w:rsidR="0040737D" w:rsidRPr="0040737D" w:rsidRDefault="0040737D" w:rsidP="0040737D">
            <w:pPr>
              <w:spacing w:line="240" w:lineRule="auto"/>
              <w:jc w:val="left"/>
              <w:rPr>
                <w:rFonts w:eastAsia="Times New Roman"/>
                <w:color w:val="000000"/>
                <w:szCs w:val="24"/>
                <w:lang w:val="en-IN" w:eastAsia="en-IN"/>
              </w:rPr>
            </w:pPr>
          </w:p>
        </w:tc>
        <w:tc>
          <w:tcPr>
            <w:tcW w:w="168" w:type="pct"/>
            <w:tcBorders>
              <w:top w:val="nil"/>
              <w:left w:val="nil"/>
              <w:bottom w:val="nil"/>
              <w:right w:val="nil"/>
            </w:tcBorders>
            <w:noWrap/>
            <w:vAlign w:val="bottom"/>
            <w:hideMark/>
          </w:tcPr>
          <w:p w14:paraId="267692C0"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2DE8A65E"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51433D16"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1B8B6623"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DDA0AD4"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0DE571C"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643583B6" w14:textId="77777777" w:rsidTr="0040737D">
        <w:trPr>
          <w:trHeight w:val="315"/>
        </w:trPr>
        <w:tc>
          <w:tcPr>
            <w:tcW w:w="2555" w:type="pct"/>
            <w:tcBorders>
              <w:top w:val="nil"/>
              <w:left w:val="nil"/>
              <w:bottom w:val="nil"/>
              <w:right w:val="nil"/>
            </w:tcBorders>
            <w:shd w:val="clear" w:color="000000" w:fill="AEAAAA"/>
            <w:noWrap/>
            <w:vAlign w:val="bottom"/>
            <w:hideMark/>
          </w:tcPr>
          <w:p w14:paraId="744D0159"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INVESTMENT RATIOS Input:</w:t>
            </w:r>
          </w:p>
        </w:tc>
        <w:tc>
          <w:tcPr>
            <w:tcW w:w="168" w:type="pct"/>
            <w:tcBorders>
              <w:top w:val="nil"/>
              <w:left w:val="nil"/>
              <w:bottom w:val="nil"/>
              <w:right w:val="nil"/>
            </w:tcBorders>
            <w:shd w:val="clear" w:color="000000" w:fill="AEAAAA"/>
            <w:noWrap/>
            <w:vAlign w:val="bottom"/>
            <w:hideMark/>
          </w:tcPr>
          <w:p w14:paraId="4939A419"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AEAAAA"/>
            <w:noWrap/>
            <w:vAlign w:val="bottom"/>
            <w:hideMark/>
          </w:tcPr>
          <w:p w14:paraId="43593B28"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nil"/>
              <w:left w:val="nil"/>
              <w:bottom w:val="nil"/>
              <w:right w:val="nil"/>
            </w:tcBorders>
            <w:shd w:val="clear" w:color="000000" w:fill="AEAAAA"/>
            <w:noWrap/>
            <w:vAlign w:val="bottom"/>
            <w:hideMark/>
          </w:tcPr>
          <w:p w14:paraId="513F52D5"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nil"/>
              <w:left w:val="nil"/>
              <w:bottom w:val="nil"/>
              <w:right w:val="nil"/>
            </w:tcBorders>
            <w:shd w:val="clear" w:color="000000" w:fill="AEAAAA"/>
            <w:noWrap/>
            <w:vAlign w:val="bottom"/>
            <w:hideMark/>
          </w:tcPr>
          <w:p w14:paraId="0559A567"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nil"/>
              <w:left w:val="nil"/>
              <w:bottom w:val="nil"/>
              <w:right w:val="nil"/>
            </w:tcBorders>
            <w:shd w:val="clear" w:color="000000" w:fill="AEAAAA"/>
            <w:noWrap/>
            <w:vAlign w:val="bottom"/>
            <w:hideMark/>
          </w:tcPr>
          <w:p w14:paraId="5B2B02BC"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nil"/>
              <w:left w:val="nil"/>
              <w:bottom w:val="nil"/>
              <w:right w:val="nil"/>
            </w:tcBorders>
            <w:shd w:val="clear" w:color="000000" w:fill="AEAAAA"/>
            <w:noWrap/>
            <w:vAlign w:val="bottom"/>
            <w:hideMark/>
          </w:tcPr>
          <w:p w14:paraId="1C14C77B"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2806BA3F" w14:textId="77777777" w:rsidTr="0040737D">
        <w:trPr>
          <w:trHeight w:val="300"/>
        </w:trPr>
        <w:tc>
          <w:tcPr>
            <w:tcW w:w="2555" w:type="pct"/>
            <w:tcBorders>
              <w:top w:val="nil"/>
              <w:left w:val="nil"/>
              <w:bottom w:val="nil"/>
              <w:right w:val="nil"/>
            </w:tcBorders>
            <w:noWrap/>
            <w:vAlign w:val="bottom"/>
            <w:hideMark/>
          </w:tcPr>
          <w:p w14:paraId="740AC8A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Earnings (Net Income)</w:t>
            </w:r>
          </w:p>
        </w:tc>
        <w:tc>
          <w:tcPr>
            <w:tcW w:w="168" w:type="pct"/>
            <w:tcBorders>
              <w:top w:val="nil"/>
              <w:left w:val="nil"/>
              <w:bottom w:val="nil"/>
              <w:right w:val="nil"/>
            </w:tcBorders>
            <w:noWrap/>
            <w:vAlign w:val="bottom"/>
            <w:hideMark/>
          </w:tcPr>
          <w:p w14:paraId="5CC00827"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4E05B29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7,323</w:t>
            </w:r>
          </w:p>
        </w:tc>
        <w:tc>
          <w:tcPr>
            <w:tcW w:w="455" w:type="pct"/>
            <w:tcBorders>
              <w:top w:val="nil"/>
              <w:left w:val="nil"/>
              <w:bottom w:val="nil"/>
              <w:right w:val="nil"/>
            </w:tcBorders>
            <w:noWrap/>
            <w:vAlign w:val="bottom"/>
            <w:hideMark/>
          </w:tcPr>
          <w:p w14:paraId="4BA0E5F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11,351</w:t>
            </w:r>
          </w:p>
        </w:tc>
        <w:tc>
          <w:tcPr>
            <w:tcW w:w="455" w:type="pct"/>
            <w:tcBorders>
              <w:top w:val="nil"/>
              <w:left w:val="nil"/>
              <w:bottom w:val="nil"/>
              <w:right w:val="nil"/>
            </w:tcBorders>
            <w:noWrap/>
            <w:vAlign w:val="bottom"/>
            <w:hideMark/>
          </w:tcPr>
          <w:p w14:paraId="76A39E9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16,532</w:t>
            </w:r>
          </w:p>
        </w:tc>
        <w:tc>
          <w:tcPr>
            <w:tcW w:w="455" w:type="pct"/>
            <w:tcBorders>
              <w:top w:val="nil"/>
              <w:left w:val="nil"/>
              <w:bottom w:val="nil"/>
              <w:right w:val="nil"/>
            </w:tcBorders>
            <w:noWrap/>
            <w:vAlign w:val="bottom"/>
            <w:hideMark/>
          </w:tcPr>
          <w:p w14:paraId="7E07902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15,457</w:t>
            </w:r>
          </w:p>
        </w:tc>
        <w:tc>
          <w:tcPr>
            <w:tcW w:w="455" w:type="pct"/>
            <w:tcBorders>
              <w:top w:val="nil"/>
              <w:left w:val="nil"/>
              <w:bottom w:val="nil"/>
              <w:right w:val="nil"/>
            </w:tcBorders>
            <w:noWrap/>
            <w:vAlign w:val="bottom"/>
            <w:hideMark/>
          </w:tcPr>
          <w:p w14:paraId="0331C95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19,275</w:t>
            </w:r>
          </w:p>
        </w:tc>
      </w:tr>
      <w:tr w:rsidR="0040737D" w:rsidRPr="0040737D" w14:paraId="4577FD75" w14:textId="77777777" w:rsidTr="0040737D">
        <w:trPr>
          <w:trHeight w:val="300"/>
        </w:trPr>
        <w:tc>
          <w:tcPr>
            <w:tcW w:w="2555" w:type="pct"/>
            <w:tcBorders>
              <w:top w:val="nil"/>
              <w:left w:val="nil"/>
              <w:bottom w:val="nil"/>
              <w:right w:val="nil"/>
            </w:tcBorders>
            <w:noWrap/>
            <w:vAlign w:val="bottom"/>
            <w:hideMark/>
          </w:tcPr>
          <w:p w14:paraId="2523C4F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Shares Outstanding</w:t>
            </w:r>
          </w:p>
        </w:tc>
        <w:tc>
          <w:tcPr>
            <w:tcW w:w="168" w:type="pct"/>
            <w:tcBorders>
              <w:top w:val="nil"/>
              <w:left w:val="nil"/>
              <w:bottom w:val="nil"/>
              <w:right w:val="nil"/>
            </w:tcBorders>
            <w:noWrap/>
            <w:vAlign w:val="bottom"/>
            <w:hideMark/>
          </w:tcPr>
          <w:p w14:paraId="68487D3D"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3FF985D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501.30</w:t>
            </w:r>
          </w:p>
        </w:tc>
        <w:tc>
          <w:tcPr>
            <w:tcW w:w="455" w:type="pct"/>
            <w:tcBorders>
              <w:top w:val="nil"/>
              <w:left w:val="nil"/>
              <w:bottom w:val="nil"/>
              <w:right w:val="nil"/>
            </w:tcBorders>
            <w:noWrap/>
            <w:vAlign w:val="bottom"/>
            <w:hideMark/>
          </w:tcPr>
          <w:p w14:paraId="6291876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501.30</w:t>
            </w:r>
          </w:p>
        </w:tc>
        <w:tc>
          <w:tcPr>
            <w:tcW w:w="455" w:type="pct"/>
            <w:tcBorders>
              <w:top w:val="nil"/>
              <w:left w:val="nil"/>
              <w:bottom w:val="nil"/>
              <w:right w:val="nil"/>
            </w:tcBorders>
            <w:noWrap/>
            <w:vAlign w:val="bottom"/>
            <w:hideMark/>
          </w:tcPr>
          <w:p w14:paraId="0403D6D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501.30</w:t>
            </w:r>
          </w:p>
        </w:tc>
        <w:tc>
          <w:tcPr>
            <w:tcW w:w="455" w:type="pct"/>
            <w:tcBorders>
              <w:top w:val="nil"/>
              <w:left w:val="nil"/>
              <w:bottom w:val="nil"/>
              <w:right w:val="nil"/>
            </w:tcBorders>
            <w:noWrap/>
            <w:vAlign w:val="bottom"/>
            <w:hideMark/>
          </w:tcPr>
          <w:p w14:paraId="2255522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501.30</w:t>
            </w:r>
          </w:p>
        </w:tc>
        <w:tc>
          <w:tcPr>
            <w:tcW w:w="455" w:type="pct"/>
            <w:tcBorders>
              <w:top w:val="nil"/>
              <w:left w:val="nil"/>
              <w:bottom w:val="nil"/>
              <w:right w:val="nil"/>
            </w:tcBorders>
            <w:noWrap/>
            <w:vAlign w:val="bottom"/>
            <w:hideMark/>
          </w:tcPr>
          <w:p w14:paraId="3E3D01B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501.30</w:t>
            </w:r>
          </w:p>
        </w:tc>
      </w:tr>
      <w:tr w:rsidR="0040737D" w:rsidRPr="0040737D" w14:paraId="422389C8" w14:textId="77777777" w:rsidTr="0040737D">
        <w:trPr>
          <w:trHeight w:val="300"/>
        </w:trPr>
        <w:tc>
          <w:tcPr>
            <w:tcW w:w="2555" w:type="pct"/>
            <w:tcBorders>
              <w:top w:val="nil"/>
              <w:left w:val="nil"/>
              <w:bottom w:val="nil"/>
              <w:right w:val="nil"/>
            </w:tcBorders>
            <w:noWrap/>
            <w:vAlign w:val="bottom"/>
            <w:hideMark/>
          </w:tcPr>
          <w:p w14:paraId="274356E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Current market price</w:t>
            </w:r>
          </w:p>
        </w:tc>
        <w:tc>
          <w:tcPr>
            <w:tcW w:w="168" w:type="pct"/>
            <w:tcBorders>
              <w:top w:val="nil"/>
              <w:left w:val="nil"/>
              <w:bottom w:val="nil"/>
              <w:right w:val="nil"/>
            </w:tcBorders>
            <w:noWrap/>
            <w:vAlign w:val="bottom"/>
            <w:hideMark/>
          </w:tcPr>
          <w:p w14:paraId="5D68ECB9"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1D4E602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177</w:t>
            </w:r>
          </w:p>
        </w:tc>
        <w:tc>
          <w:tcPr>
            <w:tcW w:w="455" w:type="pct"/>
            <w:tcBorders>
              <w:top w:val="nil"/>
              <w:left w:val="nil"/>
              <w:bottom w:val="nil"/>
              <w:right w:val="nil"/>
            </w:tcBorders>
            <w:noWrap/>
            <w:vAlign w:val="bottom"/>
            <w:hideMark/>
          </w:tcPr>
          <w:p w14:paraId="62CAB38B"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148</w:t>
            </w:r>
          </w:p>
        </w:tc>
        <w:tc>
          <w:tcPr>
            <w:tcW w:w="455" w:type="pct"/>
            <w:tcBorders>
              <w:top w:val="nil"/>
              <w:left w:val="nil"/>
              <w:bottom w:val="nil"/>
              <w:right w:val="nil"/>
            </w:tcBorders>
            <w:noWrap/>
            <w:vAlign w:val="bottom"/>
            <w:hideMark/>
          </w:tcPr>
          <w:p w14:paraId="1556C85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119</w:t>
            </w:r>
          </w:p>
        </w:tc>
        <w:tc>
          <w:tcPr>
            <w:tcW w:w="455" w:type="pct"/>
            <w:tcBorders>
              <w:top w:val="nil"/>
              <w:left w:val="nil"/>
              <w:bottom w:val="nil"/>
              <w:right w:val="nil"/>
            </w:tcBorders>
            <w:noWrap/>
            <w:vAlign w:val="bottom"/>
            <w:hideMark/>
          </w:tcPr>
          <w:p w14:paraId="3D519511"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92</w:t>
            </w:r>
          </w:p>
        </w:tc>
        <w:tc>
          <w:tcPr>
            <w:tcW w:w="455" w:type="pct"/>
            <w:tcBorders>
              <w:top w:val="nil"/>
              <w:left w:val="nil"/>
              <w:bottom w:val="nil"/>
              <w:right w:val="nil"/>
            </w:tcBorders>
            <w:noWrap/>
            <w:vAlign w:val="bottom"/>
            <w:hideMark/>
          </w:tcPr>
          <w:p w14:paraId="7DD07B9F"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104</w:t>
            </w:r>
          </w:p>
        </w:tc>
      </w:tr>
      <w:tr w:rsidR="0040737D" w:rsidRPr="0040737D" w14:paraId="2CE49337" w14:textId="77777777" w:rsidTr="0040737D">
        <w:trPr>
          <w:trHeight w:val="315"/>
        </w:trPr>
        <w:tc>
          <w:tcPr>
            <w:tcW w:w="2555" w:type="pct"/>
            <w:tcBorders>
              <w:top w:val="nil"/>
              <w:left w:val="nil"/>
              <w:bottom w:val="nil"/>
              <w:right w:val="nil"/>
            </w:tcBorders>
            <w:noWrap/>
            <w:vAlign w:val="bottom"/>
            <w:hideMark/>
          </w:tcPr>
          <w:p w14:paraId="6869A3C8"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Total Equity</w:t>
            </w:r>
          </w:p>
        </w:tc>
        <w:tc>
          <w:tcPr>
            <w:tcW w:w="168" w:type="pct"/>
            <w:tcBorders>
              <w:top w:val="nil"/>
              <w:left w:val="nil"/>
              <w:bottom w:val="nil"/>
              <w:right w:val="nil"/>
            </w:tcBorders>
            <w:noWrap/>
            <w:vAlign w:val="bottom"/>
            <w:hideMark/>
          </w:tcPr>
          <w:p w14:paraId="37BD1F9A" w14:textId="77777777" w:rsidR="0040737D" w:rsidRPr="0040737D" w:rsidRDefault="0040737D" w:rsidP="0040737D">
            <w:pPr>
              <w:spacing w:line="240" w:lineRule="auto"/>
              <w:jc w:val="left"/>
              <w:rPr>
                <w:rFonts w:eastAsia="Times New Roman"/>
                <w:color w:val="000000"/>
                <w:szCs w:val="24"/>
                <w:lang w:val="en-IN" w:eastAsia="en-IN"/>
              </w:rPr>
            </w:pPr>
          </w:p>
        </w:tc>
        <w:tc>
          <w:tcPr>
            <w:tcW w:w="455" w:type="pct"/>
            <w:tcBorders>
              <w:top w:val="nil"/>
              <w:left w:val="nil"/>
              <w:bottom w:val="nil"/>
              <w:right w:val="nil"/>
            </w:tcBorders>
            <w:noWrap/>
            <w:vAlign w:val="bottom"/>
            <w:hideMark/>
          </w:tcPr>
          <w:p w14:paraId="6D7218A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203,054</w:t>
            </w:r>
          </w:p>
        </w:tc>
        <w:tc>
          <w:tcPr>
            <w:tcW w:w="455" w:type="pct"/>
            <w:tcBorders>
              <w:top w:val="nil"/>
              <w:left w:val="nil"/>
              <w:bottom w:val="nil"/>
              <w:right w:val="nil"/>
            </w:tcBorders>
            <w:noWrap/>
            <w:vAlign w:val="bottom"/>
            <w:hideMark/>
          </w:tcPr>
          <w:p w14:paraId="4D28CA5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196,731</w:t>
            </w:r>
          </w:p>
        </w:tc>
        <w:tc>
          <w:tcPr>
            <w:tcW w:w="455" w:type="pct"/>
            <w:tcBorders>
              <w:top w:val="nil"/>
              <w:left w:val="nil"/>
              <w:bottom w:val="nil"/>
              <w:right w:val="nil"/>
            </w:tcBorders>
            <w:noWrap/>
            <w:vAlign w:val="bottom"/>
            <w:hideMark/>
          </w:tcPr>
          <w:p w14:paraId="30E70EE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189,186</w:t>
            </w:r>
          </w:p>
        </w:tc>
        <w:tc>
          <w:tcPr>
            <w:tcW w:w="455" w:type="pct"/>
            <w:tcBorders>
              <w:top w:val="nil"/>
              <w:left w:val="nil"/>
              <w:bottom w:val="nil"/>
              <w:right w:val="nil"/>
            </w:tcBorders>
            <w:noWrap/>
            <w:vAlign w:val="bottom"/>
            <w:hideMark/>
          </w:tcPr>
          <w:p w14:paraId="2B33563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178,328</w:t>
            </w:r>
          </w:p>
        </w:tc>
        <w:tc>
          <w:tcPr>
            <w:tcW w:w="455" w:type="pct"/>
            <w:tcBorders>
              <w:top w:val="nil"/>
              <w:left w:val="nil"/>
              <w:bottom w:val="nil"/>
              <w:right w:val="nil"/>
            </w:tcBorders>
            <w:noWrap/>
            <w:vAlign w:val="bottom"/>
            <w:hideMark/>
          </w:tcPr>
          <w:p w14:paraId="6B801CFA"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146,154</w:t>
            </w:r>
          </w:p>
        </w:tc>
      </w:tr>
      <w:tr w:rsidR="0040737D" w:rsidRPr="0040737D" w14:paraId="65ECB398" w14:textId="77777777" w:rsidTr="0040737D">
        <w:trPr>
          <w:trHeight w:val="315"/>
        </w:trPr>
        <w:tc>
          <w:tcPr>
            <w:tcW w:w="2555" w:type="pct"/>
            <w:tcBorders>
              <w:top w:val="nil"/>
              <w:left w:val="nil"/>
              <w:bottom w:val="nil"/>
              <w:right w:val="nil"/>
            </w:tcBorders>
            <w:noWrap/>
            <w:vAlign w:val="bottom"/>
            <w:hideMark/>
          </w:tcPr>
          <w:p w14:paraId="57F06A23" w14:textId="77777777" w:rsidR="0040737D" w:rsidRPr="0040737D" w:rsidRDefault="0040737D" w:rsidP="0040737D">
            <w:pPr>
              <w:spacing w:line="240" w:lineRule="auto"/>
              <w:jc w:val="right"/>
              <w:rPr>
                <w:rFonts w:eastAsia="Times New Roman"/>
                <w:color w:val="000000"/>
                <w:szCs w:val="24"/>
                <w:lang w:val="en-IN" w:eastAsia="en-IN"/>
              </w:rPr>
            </w:pPr>
          </w:p>
        </w:tc>
        <w:tc>
          <w:tcPr>
            <w:tcW w:w="168" w:type="pct"/>
            <w:tcBorders>
              <w:top w:val="nil"/>
              <w:left w:val="nil"/>
              <w:bottom w:val="nil"/>
              <w:right w:val="nil"/>
            </w:tcBorders>
            <w:noWrap/>
            <w:vAlign w:val="bottom"/>
            <w:hideMark/>
          </w:tcPr>
          <w:p w14:paraId="3D24B3A8"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40CFFEF"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41C34DBD"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7C8A244C"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5A9F733D" w14:textId="77777777" w:rsidR="0040737D" w:rsidRPr="0040737D" w:rsidRDefault="0040737D" w:rsidP="0040737D">
            <w:pPr>
              <w:spacing w:line="240" w:lineRule="auto"/>
              <w:jc w:val="left"/>
              <w:rPr>
                <w:rFonts w:eastAsia="Times New Roman"/>
                <w:color w:val="auto"/>
                <w:szCs w:val="24"/>
                <w:lang w:val="en-IN" w:eastAsia="en-IN"/>
              </w:rPr>
            </w:pPr>
          </w:p>
        </w:tc>
        <w:tc>
          <w:tcPr>
            <w:tcW w:w="455" w:type="pct"/>
            <w:tcBorders>
              <w:top w:val="nil"/>
              <w:left w:val="nil"/>
              <w:bottom w:val="nil"/>
              <w:right w:val="nil"/>
            </w:tcBorders>
            <w:noWrap/>
            <w:vAlign w:val="bottom"/>
            <w:hideMark/>
          </w:tcPr>
          <w:p w14:paraId="3214E046" w14:textId="77777777" w:rsidR="0040737D" w:rsidRPr="0040737D" w:rsidRDefault="0040737D" w:rsidP="0040737D">
            <w:pPr>
              <w:spacing w:line="240" w:lineRule="auto"/>
              <w:jc w:val="left"/>
              <w:rPr>
                <w:rFonts w:eastAsia="Times New Roman"/>
                <w:color w:val="auto"/>
                <w:szCs w:val="24"/>
                <w:lang w:val="en-IN" w:eastAsia="en-IN"/>
              </w:rPr>
            </w:pPr>
          </w:p>
        </w:tc>
      </w:tr>
      <w:tr w:rsidR="0040737D" w:rsidRPr="0040737D" w14:paraId="3159E322" w14:textId="77777777" w:rsidTr="0040737D">
        <w:trPr>
          <w:trHeight w:val="315"/>
        </w:trPr>
        <w:tc>
          <w:tcPr>
            <w:tcW w:w="2555" w:type="pct"/>
            <w:tcBorders>
              <w:top w:val="single" w:sz="4" w:space="0" w:color="auto"/>
              <w:left w:val="nil"/>
              <w:bottom w:val="nil"/>
              <w:right w:val="nil"/>
            </w:tcBorders>
            <w:shd w:val="clear" w:color="000000" w:fill="AEAAAA"/>
            <w:noWrap/>
            <w:vAlign w:val="bottom"/>
            <w:hideMark/>
          </w:tcPr>
          <w:p w14:paraId="44B2CA13"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INVESTMENT RATIOS:</w:t>
            </w:r>
          </w:p>
        </w:tc>
        <w:tc>
          <w:tcPr>
            <w:tcW w:w="168" w:type="pct"/>
            <w:tcBorders>
              <w:top w:val="single" w:sz="4" w:space="0" w:color="auto"/>
              <w:left w:val="nil"/>
              <w:bottom w:val="nil"/>
              <w:right w:val="nil"/>
            </w:tcBorders>
            <w:shd w:val="clear" w:color="000000" w:fill="AEAAAA"/>
            <w:noWrap/>
            <w:vAlign w:val="bottom"/>
            <w:hideMark/>
          </w:tcPr>
          <w:p w14:paraId="19FF1E69"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single" w:sz="4" w:space="0" w:color="auto"/>
              <w:left w:val="nil"/>
              <w:bottom w:val="nil"/>
              <w:right w:val="nil"/>
            </w:tcBorders>
            <w:shd w:val="clear" w:color="000000" w:fill="AEAAAA"/>
            <w:noWrap/>
            <w:vAlign w:val="bottom"/>
            <w:hideMark/>
          </w:tcPr>
          <w:p w14:paraId="6B3E5E03"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2025</w:t>
            </w:r>
          </w:p>
        </w:tc>
        <w:tc>
          <w:tcPr>
            <w:tcW w:w="455" w:type="pct"/>
            <w:tcBorders>
              <w:top w:val="single" w:sz="4" w:space="0" w:color="auto"/>
              <w:left w:val="nil"/>
              <w:bottom w:val="nil"/>
              <w:right w:val="nil"/>
            </w:tcBorders>
            <w:shd w:val="clear" w:color="000000" w:fill="AEAAAA"/>
            <w:noWrap/>
            <w:vAlign w:val="bottom"/>
            <w:hideMark/>
          </w:tcPr>
          <w:p w14:paraId="52A977F3"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2024</w:t>
            </w:r>
          </w:p>
        </w:tc>
        <w:tc>
          <w:tcPr>
            <w:tcW w:w="455" w:type="pct"/>
            <w:tcBorders>
              <w:top w:val="single" w:sz="4" w:space="0" w:color="auto"/>
              <w:left w:val="nil"/>
              <w:bottom w:val="nil"/>
              <w:right w:val="nil"/>
            </w:tcBorders>
            <w:shd w:val="clear" w:color="000000" w:fill="AEAAAA"/>
            <w:noWrap/>
            <w:vAlign w:val="bottom"/>
            <w:hideMark/>
          </w:tcPr>
          <w:p w14:paraId="4A6B7D9E"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2023</w:t>
            </w:r>
          </w:p>
        </w:tc>
        <w:tc>
          <w:tcPr>
            <w:tcW w:w="455" w:type="pct"/>
            <w:tcBorders>
              <w:top w:val="single" w:sz="4" w:space="0" w:color="auto"/>
              <w:left w:val="nil"/>
              <w:bottom w:val="nil"/>
              <w:right w:val="nil"/>
            </w:tcBorders>
            <w:shd w:val="clear" w:color="000000" w:fill="AEAAAA"/>
            <w:noWrap/>
            <w:vAlign w:val="bottom"/>
            <w:hideMark/>
          </w:tcPr>
          <w:p w14:paraId="18BEF629"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2022</w:t>
            </w:r>
          </w:p>
        </w:tc>
        <w:tc>
          <w:tcPr>
            <w:tcW w:w="455" w:type="pct"/>
            <w:tcBorders>
              <w:top w:val="single" w:sz="4" w:space="0" w:color="auto"/>
              <w:left w:val="nil"/>
              <w:bottom w:val="nil"/>
              <w:right w:val="nil"/>
            </w:tcBorders>
            <w:shd w:val="clear" w:color="000000" w:fill="AEAAAA"/>
            <w:noWrap/>
            <w:vAlign w:val="bottom"/>
            <w:hideMark/>
          </w:tcPr>
          <w:p w14:paraId="70F63B9D" w14:textId="77777777" w:rsidR="0040737D" w:rsidRPr="0040737D" w:rsidRDefault="0040737D" w:rsidP="0040737D">
            <w:pPr>
              <w:spacing w:line="240" w:lineRule="auto"/>
              <w:jc w:val="right"/>
              <w:rPr>
                <w:rFonts w:eastAsia="Times New Roman"/>
                <w:b/>
                <w:bCs/>
                <w:color w:val="000000"/>
                <w:szCs w:val="24"/>
                <w:lang w:val="en-IN" w:eastAsia="en-IN"/>
              </w:rPr>
            </w:pPr>
            <w:r w:rsidRPr="0040737D">
              <w:rPr>
                <w:rFonts w:eastAsia="Times New Roman"/>
                <w:b/>
                <w:bCs/>
                <w:color w:val="000000"/>
                <w:szCs w:val="24"/>
                <w:lang w:val="en-IN" w:eastAsia="en-IN"/>
              </w:rPr>
              <w:t>2021</w:t>
            </w:r>
          </w:p>
        </w:tc>
      </w:tr>
      <w:tr w:rsidR="0040737D" w:rsidRPr="0040737D" w14:paraId="190E3258" w14:textId="77777777" w:rsidTr="0040737D">
        <w:trPr>
          <w:trHeight w:val="315"/>
        </w:trPr>
        <w:tc>
          <w:tcPr>
            <w:tcW w:w="2555" w:type="pct"/>
            <w:tcBorders>
              <w:top w:val="single" w:sz="4" w:space="0" w:color="auto"/>
              <w:left w:val="nil"/>
              <w:bottom w:val="nil"/>
              <w:right w:val="nil"/>
            </w:tcBorders>
            <w:shd w:val="clear" w:color="000000" w:fill="AEAAAA"/>
            <w:noWrap/>
            <w:vAlign w:val="bottom"/>
            <w:hideMark/>
          </w:tcPr>
          <w:p w14:paraId="606B54CF"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Earnings per share</w:t>
            </w:r>
          </w:p>
        </w:tc>
        <w:tc>
          <w:tcPr>
            <w:tcW w:w="168" w:type="pct"/>
            <w:tcBorders>
              <w:top w:val="single" w:sz="4" w:space="0" w:color="auto"/>
              <w:left w:val="nil"/>
              <w:bottom w:val="nil"/>
              <w:right w:val="nil"/>
            </w:tcBorders>
            <w:shd w:val="clear" w:color="000000" w:fill="AEAAAA"/>
            <w:noWrap/>
            <w:vAlign w:val="bottom"/>
            <w:hideMark/>
          </w:tcPr>
          <w:p w14:paraId="10A171A7"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single" w:sz="4" w:space="0" w:color="auto"/>
              <w:left w:val="nil"/>
              <w:bottom w:val="nil"/>
              <w:right w:val="nil"/>
            </w:tcBorders>
            <w:shd w:val="clear" w:color="000000" w:fill="AEAAAA"/>
            <w:noWrap/>
            <w:vAlign w:val="bottom"/>
            <w:hideMark/>
          </w:tcPr>
          <w:p w14:paraId="1C91CF17"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14.61</w:t>
            </w:r>
          </w:p>
        </w:tc>
        <w:tc>
          <w:tcPr>
            <w:tcW w:w="455" w:type="pct"/>
            <w:tcBorders>
              <w:top w:val="single" w:sz="4" w:space="0" w:color="auto"/>
              <w:left w:val="nil"/>
              <w:bottom w:val="nil"/>
              <w:right w:val="nil"/>
            </w:tcBorders>
            <w:shd w:val="clear" w:color="000000" w:fill="AEAAAA"/>
            <w:noWrap/>
            <w:vAlign w:val="bottom"/>
            <w:hideMark/>
          </w:tcPr>
          <w:p w14:paraId="20C25A6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22.64</w:t>
            </w:r>
          </w:p>
        </w:tc>
        <w:tc>
          <w:tcPr>
            <w:tcW w:w="455" w:type="pct"/>
            <w:tcBorders>
              <w:top w:val="single" w:sz="4" w:space="0" w:color="auto"/>
              <w:left w:val="nil"/>
              <w:bottom w:val="nil"/>
              <w:right w:val="nil"/>
            </w:tcBorders>
            <w:shd w:val="clear" w:color="000000" w:fill="AEAAAA"/>
            <w:noWrap/>
            <w:vAlign w:val="bottom"/>
            <w:hideMark/>
          </w:tcPr>
          <w:p w14:paraId="5B13125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32.98</w:t>
            </w:r>
          </w:p>
        </w:tc>
        <w:tc>
          <w:tcPr>
            <w:tcW w:w="455" w:type="pct"/>
            <w:tcBorders>
              <w:top w:val="single" w:sz="4" w:space="0" w:color="auto"/>
              <w:left w:val="nil"/>
              <w:bottom w:val="nil"/>
              <w:right w:val="nil"/>
            </w:tcBorders>
            <w:shd w:val="clear" w:color="000000" w:fill="AEAAAA"/>
            <w:noWrap/>
            <w:vAlign w:val="bottom"/>
            <w:hideMark/>
          </w:tcPr>
          <w:p w14:paraId="05B33CD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30.83</w:t>
            </w:r>
          </w:p>
        </w:tc>
        <w:tc>
          <w:tcPr>
            <w:tcW w:w="455" w:type="pct"/>
            <w:tcBorders>
              <w:top w:val="single" w:sz="4" w:space="0" w:color="auto"/>
              <w:left w:val="nil"/>
              <w:bottom w:val="nil"/>
              <w:right w:val="nil"/>
            </w:tcBorders>
            <w:shd w:val="clear" w:color="000000" w:fill="AEAAAA"/>
            <w:noWrap/>
            <w:vAlign w:val="bottom"/>
            <w:hideMark/>
          </w:tcPr>
          <w:p w14:paraId="4830F405"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38.45</w:t>
            </w:r>
          </w:p>
        </w:tc>
      </w:tr>
      <w:tr w:rsidR="0040737D" w:rsidRPr="0040737D" w14:paraId="1CA1BFB0" w14:textId="77777777" w:rsidTr="0040737D">
        <w:trPr>
          <w:trHeight w:val="300"/>
        </w:trPr>
        <w:tc>
          <w:tcPr>
            <w:tcW w:w="2555" w:type="pct"/>
            <w:tcBorders>
              <w:top w:val="nil"/>
              <w:left w:val="nil"/>
              <w:bottom w:val="single" w:sz="4" w:space="0" w:color="auto"/>
              <w:right w:val="nil"/>
            </w:tcBorders>
            <w:shd w:val="clear" w:color="000000" w:fill="AEAAAA"/>
            <w:noWrap/>
            <w:vAlign w:val="bottom"/>
            <w:hideMark/>
          </w:tcPr>
          <w:p w14:paraId="50AE1B3B"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Earnings/Tot.SharesOutstanding</w:t>
            </w:r>
          </w:p>
        </w:tc>
        <w:tc>
          <w:tcPr>
            <w:tcW w:w="168" w:type="pct"/>
            <w:tcBorders>
              <w:top w:val="nil"/>
              <w:left w:val="nil"/>
              <w:bottom w:val="single" w:sz="4" w:space="0" w:color="auto"/>
              <w:right w:val="nil"/>
            </w:tcBorders>
            <w:shd w:val="clear" w:color="000000" w:fill="AEAAAA"/>
            <w:noWrap/>
            <w:vAlign w:val="bottom"/>
            <w:hideMark/>
          </w:tcPr>
          <w:p w14:paraId="4257884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3314614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2FE4342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60B0F2A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7F5A365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42E314CC"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70DEF5CA" w14:textId="77777777" w:rsidTr="0040737D">
        <w:trPr>
          <w:trHeight w:val="315"/>
        </w:trPr>
        <w:tc>
          <w:tcPr>
            <w:tcW w:w="2555" w:type="pct"/>
            <w:tcBorders>
              <w:top w:val="nil"/>
              <w:left w:val="nil"/>
              <w:bottom w:val="nil"/>
              <w:right w:val="nil"/>
            </w:tcBorders>
            <w:shd w:val="clear" w:color="000000" w:fill="AEAAAA"/>
            <w:noWrap/>
            <w:vAlign w:val="bottom"/>
            <w:hideMark/>
          </w:tcPr>
          <w:p w14:paraId="044373CB"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Price/Earnings Ratio</w:t>
            </w:r>
          </w:p>
        </w:tc>
        <w:tc>
          <w:tcPr>
            <w:tcW w:w="168" w:type="pct"/>
            <w:tcBorders>
              <w:top w:val="nil"/>
              <w:left w:val="nil"/>
              <w:bottom w:val="nil"/>
              <w:right w:val="nil"/>
            </w:tcBorders>
            <w:shd w:val="clear" w:color="000000" w:fill="AEAAAA"/>
            <w:noWrap/>
            <w:vAlign w:val="bottom"/>
            <w:hideMark/>
          </w:tcPr>
          <w:p w14:paraId="2ABDF6B5"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AEAAAA"/>
            <w:noWrap/>
            <w:vAlign w:val="bottom"/>
            <w:hideMark/>
          </w:tcPr>
          <w:p w14:paraId="54AE4DED"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12.12</w:t>
            </w:r>
          </w:p>
        </w:tc>
        <w:tc>
          <w:tcPr>
            <w:tcW w:w="455" w:type="pct"/>
            <w:tcBorders>
              <w:top w:val="nil"/>
              <w:left w:val="nil"/>
              <w:bottom w:val="nil"/>
              <w:right w:val="nil"/>
            </w:tcBorders>
            <w:shd w:val="clear" w:color="000000" w:fill="AEAAAA"/>
            <w:noWrap/>
            <w:vAlign w:val="bottom"/>
            <w:hideMark/>
          </w:tcPr>
          <w:p w14:paraId="3DF06493"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6.54</w:t>
            </w:r>
          </w:p>
        </w:tc>
        <w:tc>
          <w:tcPr>
            <w:tcW w:w="455" w:type="pct"/>
            <w:tcBorders>
              <w:top w:val="nil"/>
              <w:left w:val="nil"/>
              <w:bottom w:val="nil"/>
              <w:right w:val="nil"/>
            </w:tcBorders>
            <w:shd w:val="clear" w:color="000000" w:fill="AEAAAA"/>
            <w:noWrap/>
            <w:vAlign w:val="bottom"/>
            <w:hideMark/>
          </w:tcPr>
          <w:p w14:paraId="4A4F2F5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3.61</w:t>
            </w:r>
          </w:p>
        </w:tc>
        <w:tc>
          <w:tcPr>
            <w:tcW w:w="455" w:type="pct"/>
            <w:tcBorders>
              <w:top w:val="nil"/>
              <w:left w:val="nil"/>
              <w:bottom w:val="nil"/>
              <w:right w:val="nil"/>
            </w:tcBorders>
            <w:shd w:val="clear" w:color="000000" w:fill="AEAAAA"/>
            <w:noWrap/>
            <w:vAlign w:val="bottom"/>
            <w:hideMark/>
          </w:tcPr>
          <w:p w14:paraId="5AD74769"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2.98</w:t>
            </w:r>
          </w:p>
        </w:tc>
        <w:tc>
          <w:tcPr>
            <w:tcW w:w="455" w:type="pct"/>
            <w:tcBorders>
              <w:top w:val="nil"/>
              <w:left w:val="nil"/>
              <w:bottom w:val="nil"/>
              <w:right w:val="nil"/>
            </w:tcBorders>
            <w:shd w:val="clear" w:color="000000" w:fill="AEAAAA"/>
            <w:noWrap/>
            <w:vAlign w:val="bottom"/>
            <w:hideMark/>
          </w:tcPr>
          <w:p w14:paraId="0FDB7332"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2.70</w:t>
            </w:r>
          </w:p>
        </w:tc>
      </w:tr>
      <w:tr w:rsidR="0040737D" w:rsidRPr="0040737D" w14:paraId="3B4C4732" w14:textId="77777777" w:rsidTr="0040737D">
        <w:trPr>
          <w:trHeight w:val="300"/>
        </w:trPr>
        <w:tc>
          <w:tcPr>
            <w:tcW w:w="2555" w:type="pct"/>
            <w:tcBorders>
              <w:top w:val="nil"/>
              <w:left w:val="nil"/>
              <w:bottom w:val="single" w:sz="4" w:space="0" w:color="auto"/>
              <w:right w:val="nil"/>
            </w:tcBorders>
            <w:shd w:val="clear" w:color="000000" w:fill="AEAAAA"/>
            <w:noWrap/>
            <w:vAlign w:val="bottom"/>
            <w:hideMark/>
          </w:tcPr>
          <w:p w14:paraId="3488422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Market price/Earnings per share</w:t>
            </w:r>
          </w:p>
        </w:tc>
        <w:tc>
          <w:tcPr>
            <w:tcW w:w="168" w:type="pct"/>
            <w:tcBorders>
              <w:top w:val="nil"/>
              <w:left w:val="nil"/>
              <w:bottom w:val="single" w:sz="4" w:space="0" w:color="auto"/>
              <w:right w:val="nil"/>
            </w:tcBorders>
            <w:shd w:val="clear" w:color="000000" w:fill="AEAAAA"/>
            <w:noWrap/>
            <w:vAlign w:val="bottom"/>
            <w:hideMark/>
          </w:tcPr>
          <w:p w14:paraId="6A5F21CB"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5EA04F19"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47075091"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7EAAA66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73BE0A64"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5CA183DB"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r w:rsidR="0040737D" w:rsidRPr="0040737D" w14:paraId="4E62B695" w14:textId="77777777" w:rsidTr="0040737D">
        <w:trPr>
          <w:trHeight w:val="315"/>
        </w:trPr>
        <w:tc>
          <w:tcPr>
            <w:tcW w:w="2555" w:type="pct"/>
            <w:tcBorders>
              <w:top w:val="nil"/>
              <w:left w:val="nil"/>
              <w:bottom w:val="nil"/>
              <w:right w:val="nil"/>
            </w:tcBorders>
            <w:shd w:val="clear" w:color="000000" w:fill="AEAAAA"/>
            <w:noWrap/>
            <w:vAlign w:val="bottom"/>
            <w:hideMark/>
          </w:tcPr>
          <w:p w14:paraId="78540C72"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Book Value per Share</w:t>
            </w:r>
          </w:p>
        </w:tc>
        <w:tc>
          <w:tcPr>
            <w:tcW w:w="168" w:type="pct"/>
            <w:tcBorders>
              <w:top w:val="nil"/>
              <w:left w:val="nil"/>
              <w:bottom w:val="nil"/>
              <w:right w:val="nil"/>
            </w:tcBorders>
            <w:shd w:val="clear" w:color="000000" w:fill="AEAAAA"/>
            <w:noWrap/>
            <w:vAlign w:val="bottom"/>
            <w:hideMark/>
          </w:tcPr>
          <w:p w14:paraId="4B6E75F6" w14:textId="77777777" w:rsidR="0040737D" w:rsidRPr="0040737D" w:rsidRDefault="0040737D" w:rsidP="0040737D">
            <w:pPr>
              <w:spacing w:line="240" w:lineRule="auto"/>
              <w:jc w:val="left"/>
              <w:rPr>
                <w:rFonts w:eastAsia="Times New Roman"/>
                <w:b/>
                <w:bCs/>
                <w:color w:val="000000"/>
                <w:szCs w:val="24"/>
                <w:lang w:val="en-IN" w:eastAsia="en-IN"/>
              </w:rPr>
            </w:pPr>
            <w:r w:rsidRPr="0040737D">
              <w:rPr>
                <w:rFonts w:eastAsia="Times New Roman"/>
                <w:b/>
                <w:bCs/>
                <w:color w:val="000000"/>
                <w:szCs w:val="24"/>
                <w:lang w:val="en-IN" w:eastAsia="en-IN"/>
              </w:rPr>
              <w:t> </w:t>
            </w:r>
          </w:p>
        </w:tc>
        <w:tc>
          <w:tcPr>
            <w:tcW w:w="455" w:type="pct"/>
            <w:tcBorders>
              <w:top w:val="nil"/>
              <w:left w:val="nil"/>
              <w:bottom w:val="nil"/>
              <w:right w:val="nil"/>
            </w:tcBorders>
            <w:shd w:val="clear" w:color="000000" w:fill="AEAAAA"/>
            <w:noWrap/>
            <w:vAlign w:val="bottom"/>
            <w:hideMark/>
          </w:tcPr>
          <w:p w14:paraId="67B044A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405.05</w:t>
            </w:r>
          </w:p>
        </w:tc>
        <w:tc>
          <w:tcPr>
            <w:tcW w:w="455" w:type="pct"/>
            <w:tcBorders>
              <w:top w:val="nil"/>
              <w:left w:val="nil"/>
              <w:bottom w:val="nil"/>
              <w:right w:val="nil"/>
            </w:tcBorders>
            <w:shd w:val="clear" w:color="000000" w:fill="AEAAAA"/>
            <w:noWrap/>
            <w:vAlign w:val="bottom"/>
            <w:hideMark/>
          </w:tcPr>
          <w:p w14:paraId="70464574"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392.44</w:t>
            </w:r>
          </w:p>
        </w:tc>
        <w:tc>
          <w:tcPr>
            <w:tcW w:w="455" w:type="pct"/>
            <w:tcBorders>
              <w:top w:val="nil"/>
              <w:left w:val="nil"/>
              <w:bottom w:val="nil"/>
              <w:right w:val="nil"/>
            </w:tcBorders>
            <w:shd w:val="clear" w:color="000000" w:fill="AEAAAA"/>
            <w:noWrap/>
            <w:vAlign w:val="bottom"/>
            <w:hideMark/>
          </w:tcPr>
          <w:p w14:paraId="52E37956"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377.39</w:t>
            </w:r>
          </w:p>
        </w:tc>
        <w:tc>
          <w:tcPr>
            <w:tcW w:w="455" w:type="pct"/>
            <w:tcBorders>
              <w:top w:val="nil"/>
              <w:left w:val="nil"/>
              <w:bottom w:val="nil"/>
              <w:right w:val="nil"/>
            </w:tcBorders>
            <w:shd w:val="clear" w:color="000000" w:fill="AEAAAA"/>
            <w:noWrap/>
            <w:vAlign w:val="bottom"/>
            <w:hideMark/>
          </w:tcPr>
          <w:p w14:paraId="7BB2BE5E"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355.73</w:t>
            </w:r>
          </w:p>
        </w:tc>
        <w:tc>
          <w:tcPr>
            <w:tcW w:w="455" w:type="pct"/>
            <w:tcBorders>
              <w:top w:val="nil"/>
              <w:left w:val="nil"/>
              <w:bottom w:val="nil"/>
              <w:right w:val="nil"/>
            </w:tcBorders>
            <w:shd w:val="clear" w:color="000000" w:fill="AEAAAA"/>
            <w:noWrap/>
            <w:vAlign w:val="bottom"/>
            <w:hideMark/>
          </w:tcPr>
          <w:p w14:paraId="133E0C18" w14:textId="77777777" w:rsidR="0040737D" w:rsidRPr="0040737D" w:rsidRDefault="0040737D" w:rsidP="0040737D">
            <w:pPr>
              <w:spacing w:line="240" w:lineRule="auto"/>
              <w:jc w:val="right"/>
              <w:rPr>
                <w:rFonts w:eastAsia="Times New Roman"/>
                <w:color w:val="000000"/>
                <w:szCs w:val="24"/>
                <w:lang w:val="en-IN" w:eastAsia="en-IN"/>
              </w:rPr>
            </w:pPr>
            <w:r w:rsidRPr="0040737D">
              <w:rPr>
                <w:rFonts w:eastAsia="Times New Roman"/>
                <w:color w:val="000000"/>
                <w:szCs w:val="24"/>
                <w:lang w:val="en-IN" w:eastAsia="en-IN"/>
              </w:rPr>
              <w:t>291.55</w:t>
            </w:r>
          </w:p>
        </w:tc>
      </w:tr>
      <w:tr w:rsidR="0040737D" w:rsidRPr="0040737D" w14:paraId="450F150D" w14:textId="77777777" w:rsidTr="0040737D">
        <w:trPr>
          <w:trHeight w:val="300"/>
        </w:trPr>
        <w:tc>
          <w:tcPr>
            <w:tcW w:w="2555" w:type="pct"/>
            <w:tcBorders>
              <w:top w:val="nil"/>
              <w:left w:val="nil"/>
              <w:bottom w:val="single" w:sz="4" w:space="0" w:color="auto"/>
              <w:right w:val="nil"/>
            </w:tcBorders>
            <w:shd w:val="clear" w:color="000000" w:fill="AEAAAA"/>
            <w:noWrap/>
            <w:vAlign w:val="bottom"/>
            <w:hideMark/>
          </w:tcPr>
          <w:p w14:paraId="3C033F0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Tot.Equity/Tot.SharesOutstanding</w:t>
            </w:r>
          </w:p>
        </w:tc>
        <w:tc>
          <w:tcPr>
            <w:tcW w:w="168" w:type="pct"/>
            <w:tcBorders>
              <w:top w:val="nil"/>
              <w:left w:val="nil"/>
              <w:bottom w:val="single" w:sz="4" w:space="0" w:color="auto"/>
              <w:right w:val="nil"/>
            </w:tcBorders>
            <w:shd w:val="clear" w:color="000000" w:fill="AEAAAA"/>
            <w:noWrap/>
            <w:vAlign w:val="bottom"/>
            <w:hideMark/>
          </w:tcPr>
          <w:p w14:paraId="6394F123"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63F3BB82"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186D445E"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32E49155"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05A832CA"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c>
          <w:tcPr>
            <w:tcW w:w="455" w:type="pct"/>
            <w:tcBorders>
              <w:top w:val="nil"/>
              <w:left w:val="nil"/>
              <w:bottom w:val="single" w:sz="4" w:space="0" w:color="auto"/>
              <w:right w:val="nil"/>
            </w:tcBorders>
            <w:shd w:val="clear" w:color="000000" w:fill="AEAAAA"/>
            <w:noWrap/>
            <w:vAlign w:val="bottom"/>
            <w:hideMark/>
          </w:tcPr>
          <w:p w14:paraId="20B118BF" w14:textId="77777777" w:rsidR="0040737D" w:rsidRPr="0040737D" w:rsidRDefault="0040737D" w:rsidP="0040737D">
            <w:pPr>
              <w:spacing w:line="240" w:lineRule="auto"/>
              <w:jc w:val="left"/>
              <w:rPr>
                <w:rFonts w:eastAsia="Times New Roman"/>
                <w:color w:val="000000"/>
                <w:szCs w:val="24"/>
                <w:lang w:val="en-IN" w:eastAsia="en-IN"/>
              </w:rPr>
            </w:pPr>
            <w:r w:rsidRPr="0040737D">
              <w:rPr>
                <w:rFonts w:eastAsia="Times New Roman"/>
                <w:color w:val="000000"/>
                <w:szCs w:val="24"/>
                <w:lang w:val="en-IN" w:eastAsia="en-IN"/>
              </w:rPr>
              <w:t> </w:t>
            </w:r>
          </w:p>
        </w:tc>
      </w:tr>
    </w:tbl>
    <w:p w14:paraId="0BE8BB47" w14:textId="76BB2DC6" w:rsidR="0038461A" w:rsidRPr="0040737D" w:rsidRDefault="0038461A" w:rsidP="0040737D">
      <w:pPr>
        <w:spacing w:before="240"/>
        <w:jc w:val="center"/>
        <w:rPr>
          <w:b/>
        </w:rPr>
      </w:pPr>
      <w:r w:rsidRPr="0040737D">
        <w:rPr>
          <w:b/>
        </w:rPr>
        <w:t>Table 3: Ratio calculation of Tesla based on 5-Year Financial Statements</w:t>
      </w:r>
      <w:bookmarkEnd w:id="55"/>
    </w:p>
    <w:p w14:paraId="3C78D509" w14:textId="1FD5E1D6" w:rsidR="0038461A" w:rsidRPr="00EC5E32" w:rsidRDefault="00AB29C7" w:rsidP="0040737D">
      <w:pPr>
        <w:pStyle w:val="NormalWeb"/>
        <w:spacing w:before="240" w:beforeAutospacing="0" w:after="0" w:afterAutospacing="0" w:line="360" w:lineRule="auto"/>
        <w:jc w:val="center"/>
        <w:rPr>
          <w:rFonts w:ascii="Arial" w:hAnsi="Arial" w:cs="Arial"/>
          <w:lang w:val="en-GB"/>
        </w:rPr>
      </w:pPr>
      <w:r w:rsidRPr="00EC5E32">
        <w:rPr>
          <w:rFonts w:ascii="Arial" w:hAnsi="Arial" w:cs="Arial"/>
          <w:lang w:val="en-GB"/>
        </w:rPr>
        <w:t xml:space="preserve">(Source: </w:t>
      </w:r>
      <w:r w:rsidR="0040737D" w:rsidRPr="0040737D">
        <w:rPr>
          <w:rFonts w:ascii="Arial" w:hAnsi="Arial" w:cs="Arial"/>
          <w:lang w:val="en-GB"/>
        </w:rPr>
        <w:t>Volkswagen, 2025; Yahoo Finance, 2025; Volkswagen, 2023; Volkswagen Group, 2022</w:t>
      </w:r>
      <w:r w:rsidRPr="00EC5E32">
        <w:rPr>
          <w:rFonts w:ascii="Arial" w:hAnsi="Arial" w:cs="Arial"/>
          <w:lang w:val="en-GB"/>
        </w:rPr>
        <w:t>)</w:t>
      </w:r>
    </w:p>
    <w:p w14:paraId="69C41107" w14:textId="77777777" w:rsidR="0038461A" w:rsidRPr="00EC5E32" w:rsidRDefault="0038461A" w:rsidP="00D92A1E">
      <w:pPr>
        <w:jc w:val="left"/>
        <w:rPr>
          <w:rFonts w:eastAsia="Times New Roman"/>
          <w:szCs w:val="24"/>
          <w:lang w:val="en-GB" w:eastAsia="en-IN"/>
        </w:rPr>
      </w:pPr>
      <w:r w:rsidRPr="00EC5E32">
        <w:rPr>
          <w:lang w:val="en-GB"/>
        </w:rPr>
        <w:br w:type="page"/>
      </w:r>
    </w:p>
    <w:p w14:paraId="29F35685" w14:textId="03202E02" w:rsidR="0038461A" w:rsidRPr="0040737D" w:rsidRDefault="0038461A" w:rsidP="0040737D">
      <w:pPr>
        <w:pStyle w:val="Heading2"/>
        <w:rPr>
          <w:lang w:val="en-GB"/>
        </w:rPr>
      </w:pPr>
      <w:bookmarkStart w:id="56" w:name="_Toc227851314"/>
      <w:r w:rsidRPr="00EC5E32">
        <w:rPr>
          <w:lang w:val="en-GB"/>
        </w:rPr>
        <w:lastRenderedPageBreak/>
        <w:t>Appendix 2: Calculation of IRR, PBP, ARR, NPV, and PI</w:t>
      </w:r>
      <w:bookmarkEnd w:id="56"/>
    </w:p>
    <w:tbl>
      <w:tblPr>
        <w:tblW w:w="5000" w:type="pct"/>
        <w:tblLook w:val="04A0" w:firstRow="1" w:lastRow="0" w:firstColumn="1" w:lastColumn="0" w:noHBand="0" w:noVBand="1"/>
      </w:tblPr>
      <w:tblGrid>
        <w:gridCol w:w="487"/>
        <w:gridCol w:w="1060"/>
        <w:gridCol w:w="2129"/>
        <w:gridCol w:w="2146"/>
        <w:gridCol w:w="1372"/>
        <w:gridCol w:w="2146"/>
      </w:tblGrid>
      <w:tr w:rsidR="0080195A" w:rsidRPr="0080195A" w14:paraId="10601D37" w14:textId="77777777" w:rsidTr="0080195A">
        <w:trPr>
          <w:trHeight w:val="315"/>
        </w:trPr>
        <w:tc>
          <w:tcPr>
            <w:tcW w:w="5000" w:type="pct"/>
            <w:gridSpan w:val="6"/>
            <w:tcBorders>
              <w:top w:val="single" w:sz="8" w:space="0" w:color="auto"/>
              <w:left w:val="single" w:sz="8" w:space="0" w:color="auto"/>
              <w:bottom w:val="nil"/>
              <w:right w:val="single" w:sz="8" w:space="0" w:color="000000"/>
            </w:tcBorders>
            <w:shd w:val="clear" w:color="000000" w:fill="FFE699"/>
            <w:noWrap/>
            <w:vAlign w:val="bottom"/>
            <w:hideMark/>
          </w:tcPr>
          <w:p w14:paraId="1C12980E" w14:textId="77777777" w:rsidR="0080195A" w:rsidRPr="0080195A" w:rsidRDefault="0080195A" w:rsidP="0080195A">
            <w:pPr>
              <w:spacing w:line="240" w:lineRule="auto"/>
              <w:jc w:val="center"/>
              <w:rPr>
                <w:rFonts w:eastAsia="Times New Roman"/>
                <w:b/>
                <w:bCs/>
                <w:color w:val="000000"/>
                <w:szCs w:val="24"/>
                <w:lang w:val="en-IN" w:eastAsia="en-IN"/>
              </w:rPr>
            </w:pPr>
            <w:bookmarkStart w:id="57" w:name="_Toc220521398"/>
            <w:r w:rsidRPr="0080195A">
              <w:rPr>
                <w:rFonts w:eastAsia="Times New Roman"/>
                <w:b/>
                <w:bCs/>
                <w:color w:val="000000"/>
                <w:szCs w:val="24"/>
                <w:lang w:val="en-IN" w:eastAsia="en-IN"/>
              </w:rPr>
              <w:t>Calculation of Internal Rate of Return  (IRR)</w:t>
            </w:r>
          </w:p>
        </w:tc>
      </w:tr>
      <w:tr w:rsidR="0080195A" w:rsidRPr="0080195A" w14:paraId="226118CB" w14:textId="77777777" w:rsidTr="0080195A">
        <w:trPr>
          <w:trHeight w:val="315"/>
        </w:trPr>
        <w:tc>
          <w:tcPr>
            <w:tcW w:w="176" w:type="pct"/>
            <w:tcBorders>
              <w:top w:val="nil"/>
              <w:left w:val="single" w:sz="8" w:space="0" w:color="auto"/>
              <w:bottom w:val="nil"/>
              <w:right w:val="nil"/>
            </w:tcBorders>
            <w:shd w:val="clear" w:color="000000" w:fill="FFE699"/>
            <w:noWrap/>
            <w:vAlign w:val="bottom"/>
            <w:hideMark/>
          </w:tcPr>
          <w:p w14:paraId="524D8F6F"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528" w:type="pct"/>
            <w:tcBorders>
              <w:top w:val="nil"/>
              <w:left w:val="nil"/>
              <w:bottom w:val="nil"/>
              <w:right w:val="nil"/>
            </w:tcBorders>
            <w:shd w:val="clear" w:color="000000" w:fill="FFE699"/>
            <w:noWrap/>
            <w:vAlign w:val="bottom"/>
            <w:hideMark/>
          </w:tcPr>
          <w:p w14:paraId="048487F8"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A (£m)</w:t>
            </w:r>
          </w:p>
        </w:tc>
        <w:tc>
          <w:tcPr>
            <w:tcW w:w="1185" w:type="pct"/>
            <w:tcBorders>
              <w:top w:val="nil"/>
              <w:left w:val="nil"/>
              <w:bottom w:val="nil"/>
              <w:right w:val="nil"/>
            </w:tcBorders>
            <w:shd w:val="clear" w:color="000000" w:fill="FFE699"/>
            <w:noWrap/>
            <w:vAlign w:val="bottom"/>
            <w:hideMark/>
          </w:tcPr>
          <w:p w14:paraId="6B60E51F"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196" w:type="pct"/>
            <w:tcBorders>
              <w:top w:val="nil"/>
              <w:left w:val="nil"/>
              <w:bottom w:val="nil"/>
              <w:right w:val="nil"/>
            </w:tcBorders>
            <w:shd w:val="clear" w:color="000000" w:fill="FFE699"/>
            <w:noWrap/>
            <w:vAlign w:val="bottom"/>
            <w:hideMark/>
          </w:tcPr>
          <w:p w14:paraId="7F42C0A8"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c>
          <w:tcPr>
            <w:tcW w:w="720" w:type="pct"/>
            <w:tcBorders>
              <w:top w:val="nil"/>
              <w:left w:val="nil"/>
              <w:bottom w:val="nil"/>
              <w:right w:val="nil"/>
            </w:tcBorders>
            <w:shd w:val="clear" w:color="000000" w:fill="FFE699"/>
            <w:noWrap/>
            <w:vAlign w:val="bottom"/>
            <w:hideMark/>
          </w:tcPr>
          <w:p w14:paraId="3EE5EA89"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 rate at 3%</w:t>
            </w:r>
          </w:p>
        </w:tc>
        <w:tc>
          <w:tcPr>
            <w:tcW w:w="1196" w:type="pct"/>
            <w:tcBorders>
              <w:top w:val="nil"/>
              <w:left w:val="nil"/>
              <w:bottom w:val="nil"/>
              <w:right w:val="single" w:sz="8" w:space="0" w:color="auto"/>
            </w:tcBorders>
            <w:shd w:val="clear" w:color="000000" w:fill="FFE699"/>
            <w:noWrap/>
            <w:vAlign w:val="bottom"/>
            <w:hideMark/>
          </w:tcPr>
          <w:p w14:paraId="15636D34"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65CB1DE7"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0200E05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528" w:type="pct"/>
            <w:tcBorders>
              <w:top w:val="nil"/>
              <w:left w:val="nil"/>
              <w:bottom w:val="nil"/>
              <w:right w:val="nil"/>
            </w:tcBorders>
            <w:shd w:val="clear" w:color="000000" w:fill="AEAAAA"/>
            <w:noWrap/>
            <w:vAlign w:val="bottom"/>
            <w:hideMark/>
          </w:tcPr>
          <w:p w14:paraId="76AC279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1185" w:type="pct"/>
            <w:tcBorders>
              <w:top w:val="nil"/>
              <w:left w:val="nil"/>
              <w:bottom w:val="nil"/>
              <w:right w:val="nil"/>
            </w:tcBorders>
            <w:shd w:val="clear" w:color="000000" w:fill="AEAAAA"/>
            <w:noWrap/>
            <w:vAlign w:val="bottom"/>
            <w:hideMark/>
          </w:tcPr>
          <w:p w14:paraId="4578144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w:t>
            </w:r>
          </w:p>
        </w:tc>
        <w:tc>
          <w:tcPr>
            <w:tcW w:w="1196" w:type="pct"/>
            <w:tcBorders>
              <w:top w:val="nil"/>
              <w:left w:val="nil"/>
              <w:bottom w:val="nil"/>
              <w:right w:val="nil"/>
            </w:tcBorders>
            <w:shd w:val="clear" w:color="000000" w:fill="AEAAAA"/>
            <w:noWrap/>
            <w:vAlign w:val="bottom"/>
            <w:hideMark/>
          </w:tcPr>
          <w:p w14:paraId="2AAF477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-50.00</w:t>
            </w:r>
          </w:p>
        </w:tc>
        <w:tc>
          <w:tcPr>
            <w:tcW w:w="720" w:type="pct"/>
            <w:tcBorders>
              <w:top w:val="nil"/>
              <w:left w:val="nil"/>
              <w:bottom w:val="nil"/>
              <w:right w:val="nil"/>
            </w:tcBorders>
            <w:shd w:val="clear" w:color="000000" w:fill="AEAAAA"/>
            <w:noWrap/>
            <w:vAlign w:val="bottom"/>
            <w:hideMark/>
          </w:tcPr>
          <w:p w14:paraId="21550E8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w:t>
            </w:r>
          </w:p>
        </w:tc>
        <w:tc>
          <w:tcPr>
            <w:tcW w:w="1196" w:type="pct"/>
            <w:tcBorders>
              <w:top w:val="nil"/>
              <w:left w:val="nil"/>
              <w:bottom w:val="nil"/>
              <w:right w:val="single" w:sz="8" w:space="0" w:color="auto"/>
            </w:tcBorders>
            <w:shd w:val="clear" w:color="000000" w:fill="AEAAAA"/>
            <w:noWrap/>
            <w:vAlign w:val="bottom"/>
            <w:hideMark/>
          </w:tcPr>
          <w:p w14:paraId="571BEFC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-50.00</w:t>
            </w:r>
          </w:p>
        </w:tc>
      </w:tr>
      <w:tr w:rsidR="0080195A" w:rsidRPr="0080195A" w14:paraId="02887141"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3C471AF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528" w:type="pct"/>
            <w:tcBorders>
              <w:top w:val="nil"/>
              <w:left w:val="nil"/>
              <w:bottom w:val="nil"/>
              <w:right w:val="nil"/>
            </w:tcBorders>
            <w:shd w:val="clear" w:color="000000" w:fill="AEAAAA"/>
            <w:noWrap/>
            <w:vAlign w:val="bottom"/>
            <w:hideMark/>
          </w:tcPr>
          <w:p w14:paraId="0EE2F6E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1185" w:type="pct"/>
            <w:tcBorders>
              <w:top w:val="nil"/>
              <w:left w:val="nil"/>
              <w:bottom w:val="nil"/>
              <w:right w:val="nil"/>
            </w:tcBorders>
            <w:shd w:val="clear" w:color="000000" w:fill="AEAAAA"/>
            <w:noWrap/>
            <w:vAlign w:val="bottom"/>
            <w:hideMark/>
          </w:tcPr>
          <w:p w14:paraId="342624E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0.91</w:t>
            </w:r>
          </w:p>
        </w:tc>
        <w:tc>
          <w:tcPr>
            <w:tcW w:w="1196" w:type="pct"/>
            <w:tcBorders>
              <w:top w:val="nil"/>
              <w:left w:val="nil"/>
              <w:bottom w:val="nil"/>
              <w:right w:val="nil"/>
            </w:tcBorders>
            <w:shd w:val="clear" w:color="000000" w:fill="AEAAAA"/>
            <w:noWrap/>
            <w:vAlign w:val="bottom"/>
            <w:hideMark/>
          </w:tcPr>
          <w:p w14:paraId="3663765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9.09</w:t>
            </w:r>
          </w:p>
        </w:tc>
        <w:tc>
          <w:tcPr>
            <w:tcW w:w="720" w:type="pct"/>
            <w:tcBorders>
              <w:top w:val="nil"/>
              <w:left w:val="nil"/>
              <w:bottom w:val="nil"/>
              <w:right w:val="nil"/>
            </w:tcBorders>
            <w:shd w:val="clear" w:color="000000" w:fill="AEAAAA"/>
            <w:noWrap/>
            <w:vAlign w:val="bottom"/>
            <w:hideMark/>
          </w:tcPr>
          <w:p w14:paraId="20C06E3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0.97</w:t>
            </w:r>
          </w:p>
        </w:tc>
        <w:tc>
          <w:tcPr>
            <w:tcW w:w="1196" w:type="pct"/>
            <w:tcBorders>
              <w:top w:val="nil"/>
              <w:left w:val="nil"/>
              <w:bottom w:val="nil"/>
              <w:right w:val="single" w:sz="8" w:space="0" w:color="auto"/>
            </w:tcBorders>
            <w:shd w:val="clear" w:color="000000" w:fill="AEAAAA"/>
            <w:noWrap/>
            <w:vAlign w:val="bottom"/>
            <w:hideMark/>
          </w:tcPr>
          <w:p w14:paraId="115199D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9.70</w:t>
            </w:r>
          </w:p>
        </w:tc>
      </w:tr>
      <w:tr w:rsidR="0080195A" w:rsidRPr="0080195A" w14:paraId="42CB9FEB"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476D866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528" w:type="pct"/>
            <w:tcBorders>
              <w:top w:val="nil"/>
              <w:left w:val="nil"/>
              <w:bottom w:val="nil"/>
              <w:right w:val="nil"/>
            </w:tcBorders>
            <w:shd w:val="clear" w:color="000000" w:fill="AEAAAA"/>
            <w:noWrap/>
            <w:vAlign w:val="bottom"/>
            <w:hideMark/>
          </w:tcPr>
          <w:p w14:paraId="4FCA1BA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12</w:t>
            </w:r>
          </w:p>
        </w:tc>
        <w:tc>
          <w:tcPr>
            <w:tcW w:w="1185" w:type="pct"/>
            <w:tcBorders>
              <w:top w:val="nil"/>
              <w:left w:val="nil"/>
              <w:bottom w:val="nil"/>
              <w:right w:val="nil"/>
            </w:tcBorders>
            <w:shd w:val="clear" w:color="000000" w:fill="AEAAAA"/>
            <w:noWrap/>
            <w:vAlign w:val="bottom"/>
            <w:hideMark/>
          </w:tcPr>
          <w:p w14:paraId="179488C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0.83</w:t>
            </w:r>
          </w:p>
        </w:tc>
        <w:tc>
          <w:tcPr>
            <w:tcW w:w="1196" w:type="pct"/>
            <w:tcBorders>
              <w:top w:val="nil"/>
              <w:left w:val="nil"/>
              <w:bottom w:val="nil"/>
              <w:right w:val="nil"/>
            </w:tcBorders>
            <w:shd w:val="clear" w:color="000000" w:fill="AEAAAA"/>
            <w:noWrap/>
            <w:vAlign w:val="bottom"/>
            <w:hideMark/>
          </w:tcPr>
          <w:p w14:paraId="3850E8D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9.91</w:t>
            </w:r>
          </w:p>
        </w:tc>
        <w:tc>
          <w:tcPr>
            <w:tcW w:w="720" w:type="pct"/>
            <w:tcBorders>
              <w:top w:val="nil"/>
              <w:left w:val="nil"/>
              <w:bottom w:val="nil"/>
              <w:right w:val="nil"/>
            </w:tcBorders>
            <w:shd w:val="clear" w:color="000000" w:fill="AEAAAA"/>
            <w:noWrap/>
            <w:vAlign w:val="bottom"/>
            <w:hideMark/>
          </w:tcPr>
          <w:p w14:paraId="1301DED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0.94</w:t>
            </w:r>
          </w:p>
        </w:tc>
        <w:tc>
          <w:tcPr>
            <w:tcW w:w="1196" w:type="pct"/>
            <w:tcBorders>
              <w:top w:val="nil"/>
              <w:left w:val="nil"/>
              <w:bottom w:val="nil"/>
              <w:right w:val="single" w:sz="8" w:space="0" w:color="auto"/>
            </w:tcBorders>
            <w:shd w:val="clear" w:color="000000" w:fill="AEAAAA"/>
            <w:noWrap/>
            <w:vAlign w:val="bottom"/>
            <w:hideMark/>
          </w:tcPr>
          <w:p w14:paraId="49CFC52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11.28</w:t>
            </w:r>
          </w:p>
        </w:tc>
      </w:tr>
      <w:tr w:rsidR="0080195A" w:rsidRPr="0080195A" w14:paraId="7537E337"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18C2D50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528" w:type="pct"/>
            <w:tcBorders>
              <w:top w:val="nil"/>
              <w:left w:val="nil"/>
              <w:bottom w:val="nil"/>
              <w:right w:val="nil"/>
            </w:tcBorders>
            <w:shd w:val="clear" w:color="000000" w:fill="AEAAAA"/>
            <w:noWrap/>
            <w:vAlign w:val="bottom"/>
            <w:hideMark/>
          </w:tcPr>
          <w:p w14:paraId="05738BD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14</w:t>
            </w:r>
          </w:p>
        </w:tc>
        <w:tc>
          <w:tcPr>
            <w:tcW w:w="1185" w:type="pct"/>
            <w:tcBorders>
              <w:top w:val="nil"/>
              <w:left w:val="nil"/>
              <w:bottom w:val="nil"/>
              <w:right w:val="nil"/>
            </w:tcBorders>
            <w:shd w:val="clear" w:color="000000" w:fill="AEAAAA"/>
            <w:noWrap/>
            <w:vAlign w:val="bottom"/>
            <w:hideMark/>
          </w:tcPr>
          <w:p w14:paraId="3CC9961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w:t>
            </w:r>
          </w:p>
        </w:tc>
        <w:tc>
          <w:tcPr>
            <w:tcW w:w="1196" w:type="pct"/>
            <w:tcBorders>
              <w:top w:val="nil"/>
              <w:left w:val="nil"/>
              <w:bottom w:val="nil"/>
              <w:right w:val="nil"/>
            </w:tcBorders>
            <w:shd w:val="clear" w:color="000000" w:fill="AEAAAA"/>
            <w:noWrap/>
            <w:vAlign w:val="bottom"/>
            <w:hideMark/>
          </w:tcPr>
          <w:p w14:paraId="1C8F02E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10.51</w:t>
            </w:r>
          </w:p>
        </w:tc>
        <w:tc>
          <w:tcPr>
            <w:tcW w:w="720" w:type="pct"/>
            <w:tcBorders>
              <w:top w:val="nil"/>
              <w:left w:val="nil"/>
              <w:bottom w:val="nil"/>
              <w:right w:val="nil"/>
            </w:tcBorders>
            <w:shd w:val="clear" w:color="000000" w:fill="AEAAAA"/>
            <w:noWrap/>
            <w:vAlign w:val="bottom"/>
            <w:hideMark/>
          </w:tcPr>
          <w:p w14:paraId="356E89D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0.92</w:t>
            </w:r>
          </w:p>
        </w:tc>
        <w:tc>
          <w:tcPr>
            <w:tcW w:w="1196" w:type="pct"/>
            <w:tcBorders>
              <w:top w:val="nil"/>
              <w:left w:val="nil"/>
              <w:bottom w:val="nil"/>
              <w:right w:val="single" w:sz="8" w:space="0" w:color="auto"/>
            </w:tcBorders>
            <w:shd w:val="clear" w:color="000000" w:fill="AEAAAA"/>
            <w:noWrap/>
            <w:vAlign w:val="bottom"/>
            <w:hideMark/>
          </w:tcPr>
          <w:p w14:paraId="6CAAF2F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12.81</w:t>
            </w:r>
          </w:p>
        </w:tc>
      </w:tr>
      <w:tr w:rsidR="0080195A" w:rsidRPr="0080195A" w14:paraId="59B8F548"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7C14ADF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528" w:type="pct"/>
            <w:tcBorders>
              <w:top w:val="nil"/>
              <w:left w:val="nil"/>
              <w:bottom w:val="nil"/>
              <w:right w:val="nil"/>
            </w:tcBorders>
            <w:shd w:val="clear" w:color="000000" w:fill="AEAAAA"/>
            <w:noWrap/>
            <w:vAlign w:val="bottom"/>
            <w:hideMark/>
          </w:tcPr>
          <w:p w14:paraId="4063AA3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1185" w:type="pct"/>
            <w:tcBorders>
              <w:top w:val="nil"/>
              <w:left w:val="nil"/>
              <w:bottom w:val="nil"/>
              <w:right w:val="nil"/>
            </w:tcBorders>
            <w:shd w:val="clear" w:color="000000" w:fill="AEAAAA"/>
            <w:noWrap/>
            <w:vAlign w:val="bottom"/>
            <w:hideMark/>
          </w:tcPr>
          <w:p w14:paraId="4A86AC3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w:t>
            </w:r>
          </w:p>
        </w:tc>
        <w:tc>
          <w:tcPr>
            <w:tcW w:w="1196" w:type="pct"/>
            <w:tcBorders>
              <w:top w:val="nil"/>
              <w:left w:val="nil"/>
              <w:bottom w:val="nil"/>
              <w:right w:val="nil"/>
            </w:tcBorders>
            <w:shd w:val="clear" w:color="000000" w:fill="AEAAAA"/>
            <w:noWrap/>
            <w:vAlign w:val="bottom"/>
            <w:hideMark/>
          </w:tcPr>
          <w:p w14:paraId="2B89B3D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6.83</w:t>
            </w:r>
          </w:p>
        </w:tc>
        <w:tc>
          <w:tcPr>
            <w:tcW w:w="720" w:type="pct"/>
            <w:tcBorders>
              <w:top w:val="nil"/>
              <w:left w:val="nil"/>
              <w:bottom w:val="nil"/>
              <w:right w:val="nil"/>
            </w:tcBorders>
            <w:shd w:val="clear" w:color="000000" w:fill="AEAAAA"/>
            <w:noWrap/>
            <w:vAlign w:val="bottom"/>
            <w:hideMark/>
          </w:tcPr>
          <w:p w14:paraId="5CC419B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0.89</w:t>
            </w:r>
          </w:p>
        </w:tc>
        <w:tc>
          <w:tcPr>
            <w:tcW w:w="1196" w:type="pct"/>
            <w:tcBorders>
              <w:top w:val="nil"/>
              <w:left w:val="nil"/>
              <w:bottom w:val="nil"/>
              <w:right w:val="single" w:sz="8" w:space="0" w:color="auto"/>
            </w:tcBorders>
            <w:shd w:val="clear" w:color="000000" w:fill="AEAAAA"/>
            <w:noWrap/>
            <w:vAlign w:val="bottom"/>
            <w:hideMark/>
          </w:tcPr>
          <w:p w14:paraId="6A1C461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8.88</w:t>
            </w:r>
          </w:p>
        </w:tc>
      </w:tr>
      <w:tr w:rsidR="0080195A" w:rsidRPr="0080195A" w14:paraId="14B6B798"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27A6B5B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528" w:type="pct"/>
            <w:tcBorders>
              <w:top w:val="nil"/>
              <w:left w:val="nil"/>
              <w:bottom w:val="nil"/>
              <w:right w:val="nil"/>
            </w:tcBorders>
            <w:shd w:val="clear" w:color="000000" w:fill="AEAAAA"/>
            <w:noWrap/>
            <w:vAlign w:val="bottom"/>
            <w:hideMark/>
          </w:tcPr>
          <w:p w14:paraId="41959F7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w:t>
            </w:r>
          </w:p>
        </w:tc>
        <w:tc>
          <w:tcPr>
            <w:tcW w:w="1185" w:type="pct"/>
            <w:tcBorders>
              <w:top w:val="nil"/>
              <w:left w:val="nil"/>
              <w:bottom w:val="nil"/>
              <w:right w:val="nil"/>
            </w:tcBorders>
            <w:shd w:val="clear" w:color="000000" w:fill="AEAAAA"/>
            <w:noWrap/>
            <w:vAlign w:val="bottom"/>
            <w:hideMark/>
          </w:tcPr>
          <w:p w14:paraId="241399B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w:t>
            </w:r>
          </w:p>
        </w:tc>
        <w:tc>
          <w:tcPr>
            <w:tcW w:w="1196" w:type="pct"/>
            <w:tcBorders>
              <w:top w:val="nil"/>
              <w:left w:val="nil"/>
              <w:bottom w:val="nil"/>
              <w:right w:val="nil"/>
            </w:tcBorders>
            <w:shd w:val="clear" w:color="000000" w:fill="AEAAAA"/>
            <w:noWrap/>
            <w:vAlign w:val="bottom"/>
            <w:hideMark/>
          </w:tcPr>
          <w:p w14:paraId="1EFC89C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4.97</w:t>
            </w:r>
          </w:p>
        </w:tc>
        <w:tc>
          <w:tcPr>
            <w:tcW w:w="720" w:type="pct"/>
            <w:tcBorders>
              <w:top w:val="nil"/>
              <w:left w:val="nil"/>
              <w:bottom w:val="nil"/>
              <w:right w:val="nil"/>
            </w:tcBorders>
            <w:shd w:val="clear" w:color="000000" w:fill="AEAAAA"/>
            <w:noWrap/>
            <w:vAlign w:val="bottom"/>
            <w:hideMark/>
          </w:tcPr>
          <w:p w14:paraId="593F372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0.86</w:t>
            </w:r>
          </w:p>
        </w:tc>
        <w:tc>
          <w:tcPr>
            <w:tcW w:w="1196" w:type="pct"/>
            <w:tcBorders>
              <w:top w:val="nil"/>
              <w:left w:val="nil"/>
              <w:bottom w:val="nil"/>
              <w:right w:val="single" w:sz="8" w:space="0" w:color="auto"/>
            </w:tcBorders>
            <w:shd w:val="clear" w:color="000000" w:fill="AEAAAA"/>
            <w:noWrap/>
            <w:vAlign w:val="bottom"/>
            <w:hideMark/>
          </w:tcPr>
          <w:p w14:paraId="6934413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6.90</w:t>
            </w:r>
          </w:p>
        </w:tc>
      </w:tr>
      <w:tr w:rsidR="0080195A" w:rsidRPr="0080195A" w14:paraId="564A1EFD" w14:textId="77777777" w:rsidTr="0080195A">
        <w:trPr>
          <w:trHeight w:val="315"/>
        </w:trPr>
        <w:tc>
          <w:tcPr>
            <w:tcW w:w="176" w:type="pct"/>
            <w:tcBorders>
              <w:top w:val="nil"/>
              <w:left w:val="single" w:sz="8" w:space="0" w:color="auto"/>
              <w:bottom w:val="nil"/>
              <w:right w:val="nil"/>
            </w:tcBorders>
            <w:shd w:val="clear" w:color="000000" w:fill="AEAAAA"/>
            <w:noWrap/>
            <w:vAlign w:val="bottom"/>
            <w:hideMark/>
          </w:tcPr>
          <w:p w14:paraId="40AE092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Ra</w:t>
            </w:r>
          </w:p>
        </w:tc>
        <w:tc>
          <w:tcPr>
            <w:tcW w:w="528" w:type="pct"/>
            <w:tcBorders>
              <w:top w:val="nil"/>
              <w:left w:val="nil"/>
              <w:bottom w:val="nil"/>
              <w:right w:val="nil"/>
            </w:tcBorders>
            <w:shd w:val="clear" w:color="000000" w:fill="AEAAAA"/>
            <w:noWrap/>
            <w:vAlign w:val="bottom"/>
            <w:hideMark/>
          </w:tcPr>
          <w:p w14:paraId="6FA2DDB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1185" w:type="pct"/>
            <w:tcBorders>
              <w:top w:val="nil"/>
              <w:left w:val="nil"/>
              <w:bottom w:val="nil"/>
              <w:right w:val="nil"/>
            </w:tcBorders>
            <w:shd w:val="clear" w:color="000000" w:fill="AEAAAA"/>
            <w:noWrap/>
            <w:vAlign w:val="bottom"/>
            <w:hideMark/>
          </w:tcPr>
          <w:p w14:paraId="56206B34"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NPVa</w:t>
            </w:r>
          </w:p>
        </w:tc>
        <w:tc>
          <w:tcPr>
            <w:tcW w:w="1196" w:type="pct"/>
            <w:tcBorders>
              <w:top w:val="nil"/>
              <w:left w:val="nil"/>
              <w:bottom w:val="nil"/>
              <w:right w:val="nil"/>
            </w:tcBorders>
            <w:shd w:val="clear" w:color="000000" w:fill="AEAAAA"/>
            <w:noWrap/>
            <w:vAlign w:val="bottom"/>
            <w:hideMark/>
          </w:tcPr>
          <w:p w14:paraId="34BD8CD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-8.69</w:t>
            </w:r>
          </w:p>
        </w:tc>
        <w:tc>
          <w:tcPr>
            <w:tcW w:w="720" w:type="pct"/>
            <w:tcBorders>
              <w:top w:val="nil"/>
              <w:left w:val="nil"/>
              <w:bottom w:val="nil"/>
              <w:right w:val="nil"/>
            </w:tcBorders>
            <w:shd w:val="clear" w:color="000000" w:fill="AEAAAA"/>
            <w:noWrap/>
            <w:vAlign w:val="bottom"/>
            <w:hideMark/>
          </w:tcPr>
          <w:p w14:paraId="66D21ED3"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NPVb</w:t>
            </w:r>
          </w:p>
        </w:tc>
        <w:tc>
          <w:tcPr>
            <w:tcW w:w="1196" w:type="pct"/>
            <w:tcBorders>
              <w:top w:val="nil"/>
              <w:left w:val="nil"/>
              <w:bottom w:val="nil"/>
              <w:right w:val="single" w:sz="8" w:space="0" w:color="auto"/>
            </w:tcBorders>
            <w:shd w:val="clear" w:color="000000" w:fill="AEAAAA"/>
            <w:noWrap/>
            <w:vAlign w:val="bottom"/>
            <w:hideMark/>
          </w:tcPr>
          <w:p w14:paraId="25F5805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-0.43</w:t>
            </w:r>
          </w:p>
        </w:tc>
      </w:tr>
      <w:tr w:rsidR="0080195A" w:rsidRPr="0080195A" w14:paraId="74E93E48" w14:textId="77777777" w:rsidTr="0080195A">
        <w:trPr>
          <w:trHeight w:val="330"/>
        </w:trPr>
        <w:tc>
          <w:tcPr>
            <w:tcW w:w="176" w:type="pct"/>
            <w:tcBorders>
              <w:top w:val="nil"/>
              <w:left w:val="single" w:sz="8" w:space="0" w:color="auto"/>
              <w:bottom w:val="nil"/>
              <w:right w:val="nil"/>
            </w:tcBorders>
            <w:shd w:val="clear" w:color="000000" w:fill="AEAAAA"/>
            <w:noWrap/>
            <w:vAlign w:val="bottom"/>
            <w:hideMark/>
          </w:tcPr>
          <w:p w14:paraId="7493BA6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Rb</w:t>
            </w:r>
          </w:p>
        </w:tc>
        <w:tc>
          <w:tcPr>
            <w:tcW w:w="528" w:type="pct"/>
            <w:tcBorders>
              <w:top w:val="nil"/>
              <w:left w:val="nil"/>
              <w:bottom w:val="nil"/>
              <w:right w:val="nil"/>
            </w:tcBorders>
            <w:shd w:val="clear" w:color="000000" w:fill="AEAAAA"/>
            <w:noWrap/>
            <w:vAlign w:val="bottom"/>
            <w:hideMark/>
          </w:tcPr>
          <w:p w14:paraId="62621FB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1185" w:type="pct"/>
            <w:tcBorders>
              <w:top w:val="nil"/>
              <w:left w:val="nil"/>
              <w:bottom w:val="nil"/>
              <w:right w:val="nil"/>
            </w:tcBorders>
            <w:shd w:val="clear" w:color="000000" w:fill="FFE699"/>
            <w:noWrap/>
            <w:vAlign w:val="bottom"/>
            <w:hideMark/>
          </w:tcPr>
          <w:p w14:paraId="69676859"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IRR</w:t>
            </w:r>
          </w:p>
        </w:tc>
        <w:tc>
          <w:tcPr>
            <w:tcW w:w="1196" w:type="pct"/>
            <w:tcBorders>
              <w:top w:val="nil"/>
              <w:left w:val="nil"/>
              <w:bottom w:val="nil"/>
              <w:right w:val="nil"/>
            </w:tcBorders>
            <w:shd w:val="clear" w:color="000000" w:fill="FFE699"/>
            <w:noWrap/>
            <w:vAlign w:val="bottom"/>
            <w:hideMark/>
          </w:tcPr>
          <w:p w14:paraId="3F1B195D"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10.37%</w:t>
            </w:r>
          </w:p>
        </w:tc>
        <w:tc>
          <w:tcPr>
            <w:tcW w:w="720" w:type="pct"/>
            <w:tcBorders>
              <w:top w:val="nil"/>
              <w:left w:val="nil"/>
              <w:bottom w:val="nil"/>
              <w:right w:val="nil"/>
            </w:tcBorders>
            <w:shd w:val="clear" w:color="000000" w:fill="AEAAAA"/>
            <w:noWrap/>
            <w:vAlign w:val="bottom"/>
            <w:hideMark/>
          </w:tcPr>
          <w:p w14:paraId="0DA8E85E"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96" w:type="pct"/>
            <w:tcBorders>
              <w:top w:val="nil"/>
              <w:left w:val="nil"/>
              <w:bottom w:val="nil"/>
              <w:right w:val="single" w:sz="8" w:space="0" w:color="auto"/>
            </w:tcBorders>
            <w:shd w:val="clear" w:color="000000" w:fill="AEAAAA"/>
            <w:noWrap/>
            <w:vAlign w:val="bottom"/>
            <w:hideMark/>
          </w:tcPr>
          <w:p w14:paraId="23E720F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0D0C646C" w14:textId="77777777" w:rsidTr="0080195A">
        <w:trPr>
          <w:trHeight w:val="315"/>
        </w:trPr>
        <w:tc>
          <w:tcPr>
            <w:tcW w:w="176" w:type="pct"/>
            <w:tcBorders>
              <w:top w:val="nil"/>
              <w:left w:val="single" w:sz="8" w:space="0" w:color="auto"/>
              <w:bottom w:val="single" w:sz="8" w:space="0" w:color="auto"/>
              <w:right w:val="nil"/>
            </w:tcBorders>
            <w:shd w:val="clear" w:color="000000" w:fill="AEAAAA"/>
            <w:noWrap/>
            <w:vAlign w:val="bottom"/>
            <w:hideMark/>
          </w:tcPr>
          <w:p w14:paraId="33074F16"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528" w:type="pct"/>
            <w:tcBorders>
              <w:top w:val="nil"/>
              <w:left w:val="nil"/>
              <w:bottom w:val="single" w:sz="8" w:space="0" w:color="auto"/>
              <w:right w:val="nil"/>
            </w:tcBorders>
            <w:shd w:val="clear" w:color="000000" w:fill="AEAAAA"/>
            <w:noWrap/>
            <w:vAlign w:val="bottom"/>
            <w:hideMark/>
          </w:tcPr>
          <w:p w14:paraId="3A71CD7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85" w:type="pct"/>
            <w:tcBorders>
              <w:top w:val="nil"/>
              <w:left w:val="nil"/>
              <w:bottom w:val="single" w:sz="8" w:space="0" w:color="auto"/>
              <w:right w:val="nil"/>
            </w:tcBorders>
            <w:shd w:val="clear" w:color="000000" w:fill="AEAAAA"/>
            <w:noWrap/>
            <w:vAlign w:val="bottom"/>
            <w:hideMark/>
          </w:tcPr>
          <w:p w14:paraId="3AE348B5"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Ra+(NPVa/(NPVA-NPVb)*(Rb-Ra)</w:t>
            </w:r>
          </w:p>
        </w:tc>
        <w:tc>
          <w:tcPr>
            <w:tcW w:w="1196" w:type="pct"/>
            <w:tcBorders>
              <w:top w:val="nil"/>
              <w:left w:val="nil"/>
              <w:bottom w:val="single" w:sz="8" w:space="0" w:color="auto"/>
              <w:right w:val="nil"/>
            </w:tcBorders>
            <w:shd w:val="clear" w:color="000000" w:fill="AEAAAA"/>
            <w:noWrap/>
            <w:vAlign w:val="bottom"/>
            <w:hideMark/>
          </w:tcPr>
          <w:p w14:paraId="3C692DBB"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20" w:type="pct"/>
            <w:tcBorders>
              <w:top w:val="nil"/>
              <w:left w:val="nil"/>
              <w:bottom w:val="single" w:sz="8" w:space="0" w:color="auto"/>
              <w:right w:val="nil"/>
            </w:tcBorders>
            <w:shd w:val="clear" w:color="000000" w:fill="AEAAAA"/>
            <w:noWrap/>
            <w:vAlign w:val="bottom"/>
            <w:hideMark/>
          </w:tcPr>
          <w:p w14:paraId="2A0C40F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96" w:type="pct"/>
            <w:tcBorders>
              <w:top w:val="nil"/>
              <w:left w:val="nil"/>
              <w:bottom w:val="single" w:sz="8" w:space="0" w:color="auto"/>
              <w:right w:val="single" w:sz="8" w:space="0" w:color="auto"/>
            </w:tcBorders>
            <w:shd w:val="clear" w:color="000000" w:fill="AEAAAA"/>
            <w:noWrap/>
            <w:vAlign w:val="bottom"/>
            <w:hideMark/>
          </w:tcPr>
          <w:p w14:paraId="33242782"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33F080F5" w14:textId="77777777" w:rsidTr="0080195A">
        <w:trPr>
          <w:trHeight w:val="330"/>
        </w:trPr>
        <w:tc>
          <w:tcPr>
            <w:tcW w:w="176" w:type="pct"/>
            <w:tcBorders>
              <w:top w:val="nil"/>
              <w:left w:val="nil"/>
              <w:bottom w:val="nil"/>
              <w:right w:val="nil"/>
            </w:tcBorders>
            <w:noWrap/>
            <w:vAlign w:val="bottom"/>
            <w:hideMark/>
          </w:tcPr>
          <w:p w14:paraId="2F752D92" w14:textId="77777777" w:rsidR="0080195A" w:rsidRPr="0080195A" w:rsidRDefault="0080195A" w:rsidP="0080195A">
            <w:pPr>
              <w:spacing w:line="240" w:lineRule="auto"/>
              <w:jc w:val="left"/>
              <w:rPr>
                <w:rFonts w:eastAsia="Times New Roman"/>
                <w:color w:val="000000"/>
                <w:szCs w:val="24"/>
                <w:lang w:val="en-IN" w:eastAsia="en-IN"/>
              </w:rPr>
            </w:pPr>
          </w:p>
        </w:tc>
        <w:tc>
          <w:tcPr>
            <w:tcW w:w="528" w:type="pct"/>
            <w:tcBorders>
              <w:top w:val="nil"/>
              <w:left w:val="nil"/>
              <w:bottom w:val="nil"/>
              <w:right w:val="nil"/>
            </w:tcBorders>
            <w:noWrap/>
            <w:vAlign w:val="bottom"/>
            <w:hideMark/>
          </w:tcPr>
          <w:p w14:paraId="3D620591"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185" w:type="pct"/>
            <w:tcBorders>
              <w:top w:val="nil"/>
              <w:left w:val="nil"/>
              <w:bottom w:val="nil"/>
              <w:right w:val="nil"/>
            </w:tcBorders>
            <w:noWrap/>
            <w:vAlign w:val="bottom"/>
            <w:hideMark/>
          </w:tcPr>
          <w:p w14:paraId="747C691C"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196" w:type="pct"/>
            <w:tcBorders>
              <w:top w:val="nil"/>
              <w:left w:val="nil"/>
              <w:bottom w:val="nil"/>
              <w:right w:val="nil"/>
            </w:tcBorders>
            <w:noWrap/>
            <w:vAlign w:val="bottom"/>
            <w:hideMark/>
          </w:tcPr>
          <w:p w14:paraId="63D9446A"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720" w:type="pct"/>
            <w:tcBorders>
              <w:top w:val="nil"/>
              <w:left w:val="nil"/>
              <w:bottom w:val="nil"/>
              <w:right w:val="nil"/>
            </w:tcBorders>
            <w:noWrap/>
            <w:vAlign w:val="bottom"/>
            <w:hideMark/>
          </w:tcPr>
          <w:p w14:paraId="2122906B"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196" w:type="pct"/>
            <w:tcBorders>
              <w:top w:val="nil"/>
              <w:left w:val="nil"/>
              <w:bottom w:val="nil"/>
              <w:right w:val="nil"/>
            </w:tcBorders>
            <w:noWrap/>
            <w:vAlign w:val="bottom"/>
            <w:hideMark/>
          </w:tcPr>
          <w:p w14:paraId="460B20A7"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r>
      <w:tr w:rsidR="0080195A" w:rsidRPr="0080195A" w14:paraId="2D2DE84A" w14:textId="77777777" w:rsidTr="0080195A">
        <w:trPr>
          <w:trHeight w:val="315"/>
        </w:trPr>
        <w:tc>
          <w:tcPr>
            <w:tcW w:w="5000" w:type="pct"/>
            <w:gridSpan w:val="6"/>
            <w:tcBorders>
              <w:top w:val="single" w:sz="8" w:space="0" w:color="auto"/>
              <w:left w:val="single" w:sz="8" w:space="0" w:color="auto"/>
              <w:bottom w:val="nil"/>
              <w:right w:val="single" w:sz="8" w:space="0" w:color="000000"/>
            </w:tcBorders>
            <w:shd w:val="clear" w:color="000000" w:fill="FFE699"/>
            <w:noWrap/>
            <w:vAlign w:val="bottom"/>
            <w:hideMark/>
          </w:tcPr>
          <w:p w14:paraId="2C900C20"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Internal Rate of Return  (IRR)</w:t>
            </w:r>
          </w:p>
        </w:tc>
      </w:tr>
      <w:tr w:rsidR="0080195A" w:rsidRPr="0080195A" w14:paraId="07170F02" w14:textId="77777777" w:rsidTr="0080195A">
        <w:trPr>
          <w:trHeight w:val="315"/>
        </w:trPr>
        <w:tc>
          <w:tcPr>
            <w:tcW w:w="176" w:type="pct"/>
            <w:tcBorders>
              <w:top w:val="nil"/>
              <w:left w:val="single" w:sz="8" w:space="0" w:color="auto"/>
              <w:bottom w:val="nil"/>
              <w:right w:val="nil"/>
            </w:tcBorders>
            <w:shd w:val="clear" w:color="000000" w:fill="FFE699"/>
            <w:noWrap/>
            <w:vAlign w:val="bottom"/>
            <w:hideMark/>
          </w:tcPr>
          <w:p w14:paraId="55352F5B"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528" w:type="pct"/>
            <w:tcBorders>
              <w:top w:val="nil"/>
              <w:left w:val="nil"/>
              <w:bottom w:val="nil"/>
              <w:right w:val="nil"/>
            </w:tcBorders>
            <w:shd w:val="clear" w:color="000000" w:fill="FFE699"/>
            <w:noWrap/>
            <w:vAlign w:val="bottom"/>
            <w:hideMark/>
          </w:tcPr>
          <w:p w14:paraId="7466930B"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B (£m)</w:t>
            </w:r>
          </w:p>
        </w:tc>
        <w:tc>
          <w:tcPr>
            <w:tcW w:w="1185" w:type="pct"/>
            <w:tcBorders>
              <w:top w:val="nil"/>
              <w:left w:val="nil"/>
              <w:bottom w:val="nil"/>
              <w:right w:val="nil"/>
            </w:tcBorders>
            <w:shd w:val="clear" w:color="000000" w:fill="FFE699"/>
            <w:noWrap/>
            <w:vAlign w:val="bottom"/>
            <w:hideMark/>
          </w:tcPr>
          <w:p w14:paraId="1E23F6CC"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196" w:type="pct"/>
            <w:tcBorders>
              <w:top w:val="nil"/>
              <w:left w:val="nil"/>
              <w:bottom w:val="nil"/>
              <w:right w:val="nil"/>
            </w:tcBorders>
            <w:shd w:val="clear" w:color="000000" w:fill="FFE699"/>
            <w:noWrap/>
            <w:vAlign w:val="bottom"/>
            <w:hideMark/>
          </w:tcPr>
          <w:p w14:paraId="64BFB5DE"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c>
          <w:tcPr>
            <w:tcW w:w="720" w:type="pct"/>
            <w:tcBorders>
              <w:top w:val="nil"/>
              <w:left w:val="nil"/>
              <w:bottom w:val="nil"/>
              <w:right w:val="nil"/>
            </w:tcBorders>
            <w:shd w:val="clear" w:color="000000" w:fill="FFE699"/>
            <w:noWrap/>
            <w:vAlign w:val="bottom"/>
            <w:hideMark/>
          </w:tcPr>
          <w:p w14:paraId="29B0E39C"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 rate at 3%</w:t>
            </w:r>
          </w:p>
        </w:tc>
        <w:tc>
          <w:tcPr>
            <w:tcW w:w="1196" w:type="pct"/>
            <w:tcBorders>
              <w:top w:val="nil"/>
              <w:left w:val="nil"/>
              <w:bottom w:val="nil"/>
              <w:right w:val="single" w:sz="8" w:space="0" w:color="auto"/>
            </w:tcBorders>
            <w:shd w:val="clear" w:color="000000" w:fill="FFE699"/>
            <w:noWrap/>
            <w:vAlign w:val="bottom"/>
            <w:hideMark/>
          </w:tcPr>
          <w:p w14:paraId="0218A8F9"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59F099A1"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1AA77C3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528" w:type="pct"/>
            <w:tcBorders>
              <w:top w:val="nil"/>
              <w:left w:val="nil"/>
              <w:bottom w:val="nil"/>
              <w:right w:val="nil"/>
            </w:tcBorders>
            <w:shd w:val="clear" w:color="000000" w:fill="AEAAAA"/>
            <w:noWrap/>
            <w:vAlign w:val="bottom"/>
            <w:hideMark/>
          </w:tcPr>
          <w:p w14:paraId="26546B0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1185" w:type="pct"/>
            <w:tcBorders>
              <w:top w:val="nil"/>
              <w:left w:val="nil"/>
              <w:bottom w:val="nil"/>
              <w:right w:val="nil"/>
            </w:tcBorders>
            <w:shd w:val="clear" w:color="000000" w:fill="AEAAAA"/>
            <w:noWrap/>
            <w:vAlign w:val="bottom"/>
            <w:hideMark/>
          </w:tcPr>
          <w:p w14:paraId="0F9B23E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w:t>
            </w:r>
          </w:p>
        </w:tc>
        <w:tc>
          <w:tcPr>
            <w:tcW w:w="1196" w:type="pct"/>
            <w:tcBorders>
              <w:top w:val="nil"/>
              <w:left w:val="nil"/>
              <w:bottom w:val="nil"/>
              <w:right w:val="nil"/>
            </w:tcBorders>
            <w:shd w:val="clear" w:color="000000" w:fill="AEAAAA"/>
            <w:noWrap/>
            <w:vAlign w:val="bottom"/>
            <w:hideMark/>
          </w:tcPr>
          <w:p w14:paraId="4DBD3F2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-50.00</w:t>
            </w:r>
          </w:p>
        </w:tc>
        <w:tc>
          <w:tcPr>
            <w:tcW w:w="720" w:type="pct"/>
            <w:tcBorders>
              <w:top w:val="nil"/>
              <w:left w:val="nil"/>
              <w:bottom w:val="nil"/>
              <w:right w:val="nil"/>
            </w:tcBorders>
            <w:shd w:val="clear" w:color="000000" w:fill="AEAAAA"/>
            <w:noWrap/>
            <w:vAlign w:val="bottom"/>
            <w:hideMark/>
          </w:tcPr>
          <w:p w14:paraId="702BADE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w:t>
            </w:r>
          </w:p>
        </w:tc>
        <w:tc>
          <w:tcPr>
            <w:tcW w:w="1196" w:type="pct"/>
            <w:tcBorders>
              <w:top w:val="nil"/>
              <w:left w:val="nil"/>
              <w:bottom w:val="nil"/>
              <w:right w:val="single" w:sz="8" w:space="0" w:color="auto"/>
            </w:tcBorders>
            <w:shd w:val="clear" w:color="000000" w:fill="AEAAAA"/>
            <w:noWrap/>
            <w:vAlign w:val="bottom"/>
            <w:hideMark/>
          </w:tcPr>
          <w:p w14:paraId="56BADE5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50.00</w:t>
            </w:r>
          </w:p>
        </w:tc>
      </w:tr>
      <w:tr w:rsidR="0080195A" w:rsidRPr="0080195A" w14:paraId="4BF06084"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7E42902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528" w:type="pct"/>
            <w:tcBorders>
              <w:top w:val="nil"/>
              <w:left w:val="nil"/>
              <w:bottom w:val="nil"/>
              <w:right w:val="nil"/>
            </w:tcBorders>
            <w:shd w:val="clear" w:color="000000" w:fill="AEAAAA"/>
            <w:noWrap/>
            <w:vAlign w:val="bottom"/>
            <w:hideMark/>
          </w:tcPr>
          <w:p w14:paraId="5AA0F9C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1185" w:type="pct"/>
            <w:tcBorders>
              <w:top w:val="nil"/>
              <w:left w:val="nil"/>
              <w:bottom w:val="nil"/>
              <w:right w:val="nil"/>
            </w:tcBorders>
            <w:shd w:val="clear" w:color="000000" w:fill="AEAAAA"/>
            <w:noWrap/>
            <w:vAlign w:val="bottom"/>
            <w:hideMark/>
          </w:tcPr>
          <w:p w14:paraId="6C9AA6B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0.91</w:t>
            </w:r>
          </w:p>
        </w:tc>
        <w:tc>
          <w:tcPr>
            <w:tcW w:w="1196" w:type="pct"/>
            <w:tcBorders>
              <w:top w:val="nil"/>
              <w:left w:val="nil"/>
              <w:bottom w:val="nil"/>
              <w:right w:val="nil"/>
            </w:tcBorders>
            <w:shd w:val="clear" w:color="000000" w:fill="AEAAAA"/>
            <w:noWrap/>
            <w:vAlign w:val="bottom"/>
            <w:hideMark/>
          </w:tcPr>
          <w:p w14:paraId="03F9FA5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10.00</w:t>
            </w:r>
          </w:p>
        </w:tc>
        <w:tc>
          <w:tcPr>
            <w:tcW w:w="720" w:type="pct"/>
            <w:tcBorders>
              <w:top w:val="nil"/>
              <w:left w:val="nil"/>
              <w:bottom w:val="nil"/>
              <w:right w:val="nil"/>
            </w:tcBorders>
            <w:shd w:val="clear" w:color="000000" w:fill="AEAAAA"/>
            <w:noWrap/>
            <w:vAlign w:val="bottom"/>
            <w:hideMark/>
          </w:tcPr>
          <w:p w14:paraId="2805C93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0.97</w:t>
            </w:r>
          </w:p>
        </w:tc>
        <w:tc>
          <w:tcPr>
            <w:tcW w:w="1196" w:type="pct"/>
            <w:tcBorders>
              <w:top w:val="nil"/>
              <w:left w:val="nil"/>
              <w:bottom w:val="nil"/>
              <w:right w:val="single" w:sz="8" w:space="0" w:color="auto"/>
            </w:tcBorders>
            <w:shd w:val="clear" w:color="000000" w:fill="AEAAAA"/>
            <w:noWrap/>
            <w:vAlign w:val="bottom"/>
            <w:hideMark/>
          </w:tcPr>
          <w:p w14:paraId="010585F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10.67</w:t>
            </w:r>
          </w:p>
        </w:tc>
      </w:tr>
      <w:tr w:rsidR="0080195A" w:rsidRPr="0080195A" w14:paraId="1FD27789"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5FB38C5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528" w:type="pct"/>
            <w:tcBorders>
              <w:top w:val="nil"/>
              <w:left w:val="nil"/>
              <w:bottom w:val="nil"/>
              <w:right w:val="nil"/>
            </w:tcBorders>
            <w:shd w:val="clear" w:color="000000" w:fill="AEAAAA"/>
            <w:noWrap/>
            <w:vAlign w:val="bottom"/>
            <w:hideMark/>
          </w:tcPr>
          <w:p w14:paraId="061C73A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1185" w:type="pct"/>
            <w:tcBorders>
              <w:top w:val="nil"/>
              <w:left w:val="nil"/>
              <w:bottom w:val="nil"/>
              <w:right w:val="nil"/>
            </w:tcBorders>
            <w:shd w:val="clear" w:color="000000" w:fill="AEAAAA"/>
            <w:noWrap/>
            <w:vAlign w:val="bottom"/>
            <w:hideMark/>
          </w:tcPr>
          <w:p w14:paraId="0C8D731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0.83</w:t>
            </w:r>
          </w:p>
        </w:tc>
        <w:tc>
          <w:tcPr>
            <w:tcW w:w="1196" w:type="pct"/>
            <w:tcBorders>
              <w:top w:val="nil"/>
              <w:left w:val="nil"/>
              <w:bottom w:val="nil"/>
              <w:right w:val="nil"/>
            </w:tcBorders>
            <w:shd w:val="clear" w:color="000000" w:fill="AEAAAA"/>
            <w:noWrap/>
            <w:vAlign w:val="bottom"/>
            <w:hideMark/>
          </w:tcPr>
          <w:p w14:paraId="2983D26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9.09</w:t>
            </w:r>
          </w:p>
        </w:tc>
        <w:tc>
          <w:tcPr>
            <w:tcW w:w="720" w:type="pct"/>
            <w:tcBorders>
              <w:top w:val="nil"/>
              <w:left w:val="nil"/>
              <w:bottom w:val="nil"/>
              <w:right w:val="nil"/>
            </w:tcBorders>
            <w:shd w:val="clear" w:color="000000" w:fill="AEAAAA"/>
            <w:noWrap/>
            <w:vAlign w:val="bottom"/>
            <w:hideMark/>
          </w:tcPr>
          <w:p w14:paraId="412C807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0.94</w:t>
            </w:r>
          </w:p>
        </w:tc>
        <w:tc>
          <w:tcPr>
            <w:tcW w:w="1196" w:type="pct"/>
            <w:tcBorders>
              <w:top w:val="nil"/>
              <w:left w:val="nil"/>
              <w:bottom w:val="nil"/>
              <w:right w:val="single" w:sz="8" w:space="0" w:color="auto"/>
            </w:tcBorders>
            <w:shd w:val="clear" w:color="000000" w:fill="AEAAAA"/>
            <w:noWrap/>
            <w:vAlign w:val="bottom"/>
            <w:hideMark/>
          </w:tcPr>
          <w:p w14:paraId="6349C33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10.34</w:t>
            </w:r>
          </w:p>
        </w:tc>
      </w:tr>
      <w:tr w:rsidR="0080195A" w:rsidRPr="0080195A" w14:paraId="3DBB9EF1"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68408DD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528" w:type="pct"/>
            <w:tcBorders>
              <w:top w:val="nil"/>
              <w:left w:val="nil"/>
              <w:bottom w:val="nil"/>
              <w:right w:val="nil"/>
            </w:tcBorders>
            <w:shd w:val="clear" w:color="000000" w:fill="AEAAAA"/>
            <w:noWrap/>
            <w:vAlign w:val="bottom"/>
            <w:hideMark/>
          </w:tcPr>
          <w:p w14:paraId="0F8E97D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1185" w:type="pct"/>
            <w:tcBorders>
              <w:top w:val="nil"/>
              <w:left w:val="nil"/>
              <w:bottom w:val="nil"/>
              <w:right w:val="nil"/>
            </w:tcBorders>
            <w:shd w:val="clear" w:color="000000" w:fill="AEAAAA"/>
            <w:noWrap/>
            <w:vAlign w:val="bottom"/>
            <w:hideMark/>
          </w:tcPr>
          <w:p w14:paraId="6C6332E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w:t>
            </w:r>
          </w:p>
        </w:tc>
        <w:tc>
          <w:tcPr>
            <w:tcW w:w="1196" w:type="pct"/>
            <w:tcBorders>
              <w:top w:val="nil"/>
              <w:left w:val="nil"/>
              <w:bottom w:val="nil"/>
              <w:right w:val="nil"/>
            </w:tcBorders>
            <w:shd w:val="clear" w:color="000000" w:fill="AEAAAA"/>
            <w:noWrap/>
            <w:vAlign w:val="bottom"/>
            <w:hideMark/>
          </w:tcPr>
          <w:p w14:paraId="34A472B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8.26</w:t>
            </w:r>
          </w:p>
        </w:tc>
        <w:tc>
          <w:tcPr>
            <w:tcW w:w="720" w:type="pct"/>
            <w:tcBorders>
              <w:top w:val="nil"/>
              <w:left w:val="nil"/>
              <w:bottom w:val="nil"/>
              <w:right w:val="nil"/>
            </w:tcBorders>
            <w:shd w:val="clear" w:color="000000" w:fill="AEAAAA"/>
            <w:noWrap/>
            <w:vAlign w:val="bottom"/>
            <w:hideMark/>
          </w:tcPr>
          <w:p w14:paraId="23D1327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0.92</w:t>
            </w:r>
          </w:p>
        </w:tc>
        <w:tc>
          <w:tcPr>
            <w:tcW w:w="1196" w:type="pct"/>
            <w:tcBorders>
              <w:top w:val="nil"/>
              <w:left w:val="nil"/>
              <w:bottom w:val="nil"/>
              <w:right w:val="single" w:sz="8" w:space="0" w:color="auto"/>
            </w:tcBorders>
            <w:shd w:val="clear" w:color="000000" w:fill="AEAAAA"/>
            <w:noWrap/>
            <w:vAlign w:val="bottom"/>
            <w:hideMark/>
          </w:tcPr>
          <w:p w14:paraId="2B88E4B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10.07</w:t>
            </w:r>
          </w:p>
        </w:tc>
      </w:tr>
      <w:tr w:rsidR="0080195A" w:rsidRPr="0080195A" w14:paraId="6CCA3E06"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61CD688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528" w:type="pct"/>
            <w:tcBorders>
              <w:top w:val="nil"/>
              <w:left w:val="nil"/>
              <w:bottom w:val="nil"/>
              <w:right w:val="nil"/>
            </w:tcBorders>
            <w:shd w:val="clear" w:color="000000" w:fill="AEAAAA"/>
            <w:noWrap/>
            <w:vAlign w:val="bottom"/>
            <w:hideMark/>
          </w:tcPr>
          <w:p w14:paraId="2030E3B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1185" w:type="pct"/>
            <w:tcBorders>
              <w:top w:val="nil"/>
              <w:left w:val="nil"/>
              <w:bottom w:val="nil"/>
              <w:right w:val="nil"/>
            </w:tcBorders>
            <w:shd w:val="clear" w:color="000000" w:fill="AEAAAA"/>
            <w:noWrap/>
            <w:vAlign w:val="bottom"/>
            <w:hideMark/>
          </w:tcPr>
          <w:p w14:paraId="0E9D561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w:t>
            </w:r>
          </w:p>
        </w:tc>
        <w:tc>
          <w:tcPr>
            <w:tcW w:w="1196" w:type="pct"/>
            <w:tcBorders>
              <w:top w:val="nil"/>
              <w:left w:val="nil"/>
              <w:bottom w:val="nil"/>
              <w:right w:val="nil"/>
            </w:tcBorders>
            <w:shd w:val="clear" w:color="000000" w:fill="AEAAAA"/>
            <w:noWrap/>
            <w:vAlign w:val="bottom"/>
            <w:hideMark/>
          </w:tcPr>
          <w:p w14:paraId="44FCDCC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7.51</w:t>
            </w:r>
          </w:p>
        </w:tc>
        <w:tc>
          <w:tcPr>
            <w:tcW w:w="720" w:type="pct"/>
            <w:tcBorders>
              <w:top w:val="nil"/>
              <w:left w:val="nil"/>
              <w:bottom w:val="nil"/>
              <w:right w:val="nil"/>
            </w:tcBorders>
            <w:shd w:val="clear" w:color="000000" w:fill="AEAAAA"/>
            <w:noWrap/>
            <w:vAlign w:val="bottom"/>
            <w:hideMark/>
          </w:tcPr>
          <w:p w14:paraId="33AE235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0.89</w:t>
            </w:r>
          </w:p>
        </w:tc>
        <w:tc>
          <w:tcPr>
            <w:tcW w:w="1196" w:type="pct"/>
            <w:tcBorders>
              <w:top w:val="nil"/>
              <w:left w:val="nil"/>
              <w:bottom w:val="nil"/>
              <w:right w:val="single" w:sz="8" w:space="0" w:color="auto"/>
            </w:tcBorders>
            <w:shd w:val="clear" w:color="000000" w:fill="AEAAAA"/>
            <w:noWrap/>
            <w:vAlign w:val="bottom"/>
            <w:hideMark/>
          </w:tcPr>
          <w:p w14:paraId="3A8DCBA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9.77</w:t>
            </w:r>
          </w:p>
        </w:tc>
      </w:tr>
      <w:tr w:rsidR="0080195A" w:rsidRPr="0080195A" w14:paraId="3284D705"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25BA582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528" w:type="pct"/>
            <w:tcBorders>
              <w:top w:val="nil"/>
              <w:left w:val="nil"/>
              <w:bottom w:val="nil"/>
              <w:right w:val="nil"/>
            </w:tcBorders>
            <w:shd w:val="clear" w:color="000000" w:fill="AEAAAA"/>
            <w:noWrap/>
            <w:vAlign w:val="bottom"/>
            <w:hideMark/>
          </w:tcPr>
          <w:p w14:paraId="78D4A04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1185" w:type="pct"/>
            <w:tcBorders>
              <w:top w:val="nil"/>
              <w:left w:val="nil"/>
              <w:bottom w:val="nil"/>
              <w:right w:val="nil"/>
            </w:tcBorders>
            <w:shd w:val="clear" w:color="000000" w:fill="AEAAAA"/>
            <w:noWrap/>
            <w:vAlign w:val="bottom"/>
            <w:hideMark/>
          </w:tcPr>
          <w:p w14:paraId="1015313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w:t>
            </w:r>
          </w:p>
        </w:tc>
        <w:tc>
          <w:tcPr>
            <w:tcW w:w="1196" w:type="pct"/>
            <w:tcBorders>
              <w:top w:val="nil"/>
              <w:left w:val="nil"/>
              <w:bottom w:val="nil"/>
              <w:right w:val="nil"/>
            </w:tcBorders>
            <w:shd w:val="clear" w:color="000000" w:fill="AEAAAA"/>
            <w:noWrap/>
            <w:vAlign w:val="bottom"/>
            <w:hideMark/>
          </w:tcPr>
          <w:p w14:paraId="180DBCA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6.83</w:t>
            </w:r>
          </w:p>
        </w:tc>
        <w:tc>
          <w:tcPr>
            <w:tcW w:w="720" w:type="pct"/>
            <w:tcBorders>
              <w:top w:val="nil"/>
              <w:left w:val="nil"/>
              <w:bottom w:val="nil"/>
              <w:right w:val="nil"/>
            </w:tcBorders>
            <w:shd w:val="clear" w:color="000000" w:fill="AEAAAA"/>
            <w:noWrap/>
            <w:vAlign w:val="bottom"/>
            <w:hideMark/>
          </w:tcPr>
          <w:p w14:paraId="620B634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0.86</w:t>
            </w:r>
          </w:p>
        </w:tc>
        <w:tc>
          <w:tcPr>
            <w:tcW w:w="1196" w:type="pct"/>
            <w:tcBorders>
              <w:top w:val="nil"/>
              <w:left w:val="nil"/>
              <w:bottom w:val="nil"/>
              <w:right w:val="single" w:sz="8" w:space="0" w:color="auto"/>
            </w:tcBorders>
            <w:shd w:val="clear" w:color="000000" w:fill="AEAAAA"/>
            <w:noWrap/>
            <w:vAlign w:val="bottom"/>
            <w:hideMark/>
          </w:tcPr>
          <w:p w14:paraId="69EC8A5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9.48</w:t>
            </w:r>
          </w:p>
        </w:tc>
      </w:tr>
      <w:tr w:rsidR="0080195A" w:rsidRPr="0080195A" w14:paraId="51B9FF8C" w14:textId="77777777" w:rsidTr="0080195A">
        <w:trPr>
          <w:trHeight w:val="315"/>
        </w:trPr>
        <w:tc>
          <w:tcPr>
            <w:tcW w:w="176" w:type="pct"/>
            <w:tcBorders>
              <w:top w:val="nil"/>
              <w:left w:val="single" w:sz="8" w:space="0" w:color="auto"/>
              <w:bottom w:val="nil"/>
              <w:right w:val="nil"/>
            </w:tcBorders>
            <w:shd w:val="clear" w:color="000000" w:fill="AEAAAA"/>
            <w:noWrap/>
            <w:vAlign w:val="bottom"/>
            <w:hideMark/>
          </w:tcPr>
          <w:p w14:paraId="2D39AE5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Ra</w:t>
            </w:r>
          </w:p>
        </w:tc>
        <w:tc>
          <w:tcPr>
            <w:tcW w:w="528" w:type="pct"/>
            <w:tcBorders>
              <w:top w:val="nil"/>
              <w:left w:val="nil"/>
              <w:bottom w:val="nil"/>
              <w:right w:val="nil"/>
            </w:tcBorders>
            <w:shd w:val="clear" w:color="000000" w:fill="AEAAAA"/>
            <w:noWrap/>
            <w:vAlign w:val="bottom"/>
            <w:hideMark/>
          </w:tcPr>
          <w:p w14:paraId="18E2ED9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1185" w:type="pct"/>
            <w:tcBorders>
              <w:top w:val="nil"/>
              <w:left w:val="nil"/>
              <w:bottom w:val="nil"/>
              <w:right w:val="nil"/>
            </w:tcBorders>
            <w:shd w:val="clear" w:color="000000" w:fill="AEAAAA"/>
            <w:noWrap/>
            <w:vAlign w:val="bottom"/>
            <w:hideMark/>
          </w:tcPr>
          <w:p w14:paraId="54C0ADF7"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NPVa</w:t>
            </w:r>
          </w:p>
        </w:tc>
        <w:tc>
          <w:tcPr>
            <w:tcW w:w="1196" w:type="pct"/>
            <w:tcBorders>
              <w:top w:val="nil"/>
              <w:left w:val="nil"/>
              <w:bottom w:val="nil"/>
              <w:right w:val="nil"/>
            </w:tcBorders>
            <w:shd w:val="clear" w:color="000000" w:fill="AEAAAA"/>
            <w:noWrap/>
            <w:vAlign w:val="bottom"/>
            <w:hideMark/>
          </w:tcPr>
          <w:p w14:paraId="7EDEB1D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-8.31</w:t>
            </w:r>
          </w:p>
        </w:tc>
        <w:tc>
          <w:tcPr>
            <w:tcW w:w="720" w:type="pct"/>
            <w:tcBorders>
              <w:top w:val="nil"/>
              <w:left w:val="nil"/>
              <w:bottom w:val="nil"/>
              <w:right w:val="nil"/>
            </w:tcBorders>
            <w:shd w:val="clear" w:color="000000" w:fill="AEAAAA"/>
            <w:noWrap/>
            <w:vAlign w:val="bottom"/>
            <w:hideMark/>
          </w:tcPr>
          <w:p w14:paraId="4059B8D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NPVb</w:t>
            </w:r>
          </w:p>
        </w:tc>
        <w:tc>
          <w:tcPr>
            <w:tcW w:w="1196" w:type="pct"/>
            <w:tcBorders>
              <w:top w:val="nil"/>
              <w:left w:val="nil"/>
              <w:bottom w:val="nil"/>
              <w:right w:val="single" w:sz="8" w:space="0" w:color="auto"/>
            </w:tcBorders>
            <w:shd w:val="clear" w:color="000000" w:fill="AEAAAA"/>
            <w:noWrap/>
            <w:vAlign w:val="bottom"/>
            <w:hideMark/>
          </w:tcPr>
          <w:p w14:paraId="4D15A07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100.33</w:t>
            </w:r>
          </w:p>
        </w:tc>
      </w:tr>
      <w:tr w:rsidR="0080195A" w:rsidRPr="0080195A" w14:paraId="614274C8" w14:textId="77777777" w:rsidTr="0080195A">
        <w:trPr>
          <w:trHeight w:val="330"/>
        </w:trPr>
        <w:tc>
          <w:tcPr>
            <w:tcW w:w="176" w:type="pct"/>
            <w:tcBorders>
              <w:top w:val="nil"/>
              <w:left w:val="single" w:sz="8" w:space="0" w:color="auto"/>
              <w:bottom w:val="nil"/>
              <w:right w:val="nil"/>
            </w:tcBorders>
            <w:shd w:val="clear" w:color="000000" w:fill="AEAAAA"/>
            <w:noWrap/>
            <w:vAlign w:val="bottom"/>
            <w:hideMark/>
          </w:tcPr>
          <w:p w14:paraId="678D838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Rb</w:t>
            </w:r>
          </w:p>
        </w:tc>
        <w:tc>
          <w:tcPr>
            <w:tcW w:w="528" w:type="pct"/>
            <w:tcBorders>
              <w:top w:val="nil"/>
              <w:left w:val="nil"/>
              <w:bottom w:val="nil"/>
              <w:right w:val="nil"/>
            </w:tcBorders>
            <w:shd w:val="clear" w:color="000000" w:fill="AEAAAA"/>
            <w:noWrap/>
            <w:vAlign w:val="bottom"/>
            <w:hideMark/>
          </w:tcPr>
          <w:p w14:paraId="3AFC0B4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1185" w:type="pct"/>
            <w:tcBorders>
              <w:top w:val="nil"/>
              <w:left w:val="nil"/>
              <w:bottom w:val="nil"/>
              <w:right w:val="nil"/>
            </w:tcBorders>
            <w:shd w:val="clear" w:color="000000" w:fill="FFE699"/>
            <w:noWrap/>
            <w:vAlign w:val="bottom"/>
            <w:hideMark/>
          </w:tcPr>
          <w:p w14:paraId="72490A24"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IRR</w:t>
            </w:r>
          </w:p>
        </w:tc>
        <w:tc>
          <w:tcPr>
            <w:tcW w:w="1196" w:type="pct"/>
            <w:tcBorders>
              <w:top w:val="nil"/>
              <w:left w:val="nil"/>
              <w:bottom w:val="nil"/>
              <w:right w:val="nil"/>
            </w:tcBorders>
            <w:shd w:val="clear" w:color="000000" w:fill="FFE699"/>
            <w:noWrap/>
            <w:vAlign w:val="bottom"/>
            <w:hideMark/>
          </w:tcPr>
          <w:p w14:paraId="7716EA21"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3.54%</w:t>
            </w:r>
          </w:p>
        </w:tc>
        <w:tc>
          <w:tcPr>
            <w:tcW w:w="720" w:type="pct"/>
            <w:tcBorders>
              <w:top w:val="nil"/>
              <w:left w:val="nil"/>
              <w:bottom w:val="nil"/>
              <w:right w:val="nil"/>
            </w:tcBorders>
            <w:shd w:val="clear" w:color="000000" w:fill="AEAAAA"/>
            <w:noWrap/>
            <w:vAlign w:val="bottom"/>
            <w:hideMark/>
          </w:tcPr>
          <w:p w14:paraId="4520F94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96" w:type="pct"/>
            <w:tcBorders>
              <w:top w:val="nil"/>
              <w:left w:val="nil"/>
              <w:bottom w:val="nil"/>
              <w:right w:val="single" w:sz="8" w:space="0" w:color="auto"/>
            </w:tcBorders>
            <w:shd w:val="clear" w:color="000000" w:fill="AEAAAA"/>
            <w:noWrap/>
            <w:vAlign w:val="bottom"/>
            <w:hideMark/>
          </w:tcPr>
          <w:p w14:paraId="1D0844C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2ACCDEBB" w14:textId="77777777" w:rsidTr="0080195A">
        <w:trPr>
          <w:trHeight w:val="315"/>
        </w:trPr>
        <w:tc>
          <w:tcPr>
            <w:tcW w:w="176" w:type="pct"/>
            <w:tcBorders>
              <w:top w:val="nil"/>
              <w:left w:val="single" w:sz="8" w:space="0" w:color="auto"/>
              <w:bottom w:val="single" w:sz="8" w:space="0" w:color="auto"/>
              <w:right w:val="nil"/>
            </w:tcBorders>
            <w:shd w:val="clear" w:color="000000" w:fill="AEAAAA"/>
            <w:noWrap/>
            <w:vAlign w:val="bottom"/>
            <w:hideMark/>
          </w:tcPr>
          <w:p w14:paraId="4D87003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528" w:type="pct"/>
            <w:tcBorders>
              <w:top w:val="nil"/>
              <w:left w:val="nil"/>
              <w:bottom w:val="single" w:sz="8" w:space="0" w:color="auto"/>
              <w:right w:val="nil"/>
            </w:tcBorders>
            <w:shd w:val="clear" w:color="000000" w:fill="AEAAAA"/>
            <w:noWrap/>
            <w:vAlign w:val="bottom"/>
            <w:hideMark/>
          </w:tcPr>
          <w:p w14:paraId="4F20E6FF"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85" w:type="pct"/>
            <w:tcBorders>
              <w:top w:val="nil"/>
              <w:left w:val="nil"/>
              <w:bottom w:val="single" w:sz="8" w:space="0" w:color="auto"/>
              <w:right w:val="nil"/>
            </w:tcBorders>
            <w:shd w:val="clear" w:color="000000" w:fill="AEAAAA"/>
            <w:noWrap/>
            <w:vAlign w:val="bottom"/>
            <w:hideMark/>
          </w:tcPr>
          <w:p w14:paraId="3C4A9F60"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Ra+(NPVa/(NPVA-NPVb)*(Rb-Ra)</w:t>
            </w:r>
          </w:p>
        </w:tc>
        <w:tc>
          <w:tcPr>
            <w:tcW w:w="1196" w:type="pct"/>
            <w:tcBorders>
              <w:top w:val="nil"/>
              <w:left w:val="nil"/>
              <w:bottom w:val="single" w:sz="8" w:space="0" w:color="auto"/>
              <w:right w:val="nil"/>
            </w:tcBorders>
            <w:shd w:val="clear" w:color="000000" w:fill="AEAAAA"/>
            <w:noWrap/>
            <w:vAlign w:val="bottom"/>
            <w:hideMark/>
          </w:tcPr>
          <w:p w14:paraId="15D0FE7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20" w:type="pct"/>
            <w:tcBorders>
              <w:top w:val="nil"/>
              <w:left w:val="nil"/>
              <w:bottom w:val="single" w:sz="8" w:space="0" w:color="auto"/>
              <w:right w:val="nil"/>
            </w:tcBorders>
            <w:shd w:val="clear" w:color="000000" w:fill="AEAAAA"/>
            <w:noWrap/>
            <w:vAlign w:val="bottom"/>
            <w:hideMark/>
          </w:tcPr>
          <w:p w14:paraId="0DBE035B"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96" w:type="pct"/>
            <w:tcBorders>
              <w:top w:val="nil"/>
              <w:left w:val="nil"/>
              <w:bottom w:val="single" w:sz="8" w:space="0" w:color="auto"/>
              <w:right w:val="single" w:sz="8" w:space="0" w:color="auto"/>
            </w:tcBorders>
            <w:shd w:val="clear" w:color="000000" w:fill="AEAAAA"/>
            <w:noWrap/>
            <w:vAlign w:val="bottom"/>
            <w:hideMark/>
          </w:tcPr>
          <w:p w14:paraId="4D93666A"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7BC6F539" w14:textId="77777777" w:rsidTr="0080195A">
        <w:trPr>
          <w:trHeight w:val="330"/>
        </w:trPr>
        <w:tc>
          <w:tcPr>
            <w:tcW w:w="176" w:type="pct"/>
            <w:tcBorders>
              <w:top w:val="nil"/>
              <w:left w:val="nil"/>
              <w:bottom w:val="nil"/>
              <w:right w:val="nil"/>
            </w:tcBorders>
            <w:noWrap/>
            <w:vAlign w:val="bottom"/>
            <w:hideMark/>
          </w:tcPr>
          <w:p w14:paraId="108966D5" w14:textId="77777777" w:rsidR="0080195A" w:rsidRPr="0080195A" w:rsidRDefault="0080195A" w:rsidP="0080195A">
            <w:pPr>
              <w:spacing w:line="240" w:lineRule="auto"/>
              <w:jc w:val="left"/>
              <w:rPr>
                <w:rFonts w:eastAsia="Times New Roman"/>
                <w:color w:val="000000"/>
                <w:szCs w:val="24"/>
                <w:lang w:val="en-IN" w:eastAsia="en-IN"/>
              </w:rPr>
            </w:pPr>
          </w:p>
        </w:tc>
        <w:tc>
          <w:tcPr>
            <w:tcW w:w="528" w:type="pct"/>
            <w:tcBorders>
              <w:top w:val="nil"/>
              <w:left w:val="nil"/>
              <w:bottom w:val="nil"/>
              <w:right w:val="nil"/>
            </w:tcBorders>
            <w:noWrap/>
            <w:vAlign w:val="bottom"/>
            <w:hideMark/>
          </w:tcPr>
          <w:p w14:paraId="023AA404"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185" w:type="pct"/>
            <w:tcBorders>
              <w:top w:val="nil"/>
              <w:left w:val="nil"/>
              <w:bottom w:val="nil"/>
              <w:right w:val="nil"/>
            </w:tcBorders>
            <w:noWrap/>
            <w:vAlign w:val="bottom"/>
            <w:hideMark/>
          </w:tcPr>
          <w:p w14:paraId="1EB2EE7E"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196" w:type="pct"/>
            <w:tcBorders>
              <w:top w:val="nil"/>
              <w:left w:val="nil"/>
              <w:bottom w:val="nil"/>
              <w:right w:val="nil"/>
            </w:tcBorders>
            <w:noWrap/>
            <w:vAlign w:val="bottom"/>
            <w:hideMark/>
          </w:tcPr>
          <w:p w14:paraId="517424BA"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720" w:type="pct"/>
            <w:tcBorders>
              <w:top w:val="nil"/>
              <w:left w:val="nil"/>
              <w:bottom w:val="nil"/>
              <w:right w:val="nil"/>
            </w:tcBorders>
            <w:noWrap/>
            <w:vAlign w:val="bottom"/>
            <w:hideMark/>
          </w:tcPr>
          <w:p w14:paraId="6FB1D2F4"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196" w:type="pct"/>
            <w:tcBorders>
              <w:top w:val="nil"/>
              <w:left w:val="nil"/>
              <w:bottom w:val="nil"/>
              <w:right w:val="nil"/>
            </w:tcBorders>
            <w:noWrap/>
            <w:vAlign w:val="bottom"/>
            <w:hideMark/>
          </w:tcPr>
          <w:p w14:paraId="13F6BD40"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r>
      <w:tr w:rsidR="0080195A" w:rsidRPr="0080195A" w14:paraId="7E4081DF" w14:textId="77777777" w:rsidTr="0080195A">
        <w:trPr>
          <w:trHeight w:val="315"/>
        </w:trPr>
        <w:tc>
          <w:tcPr>
            <w:tcW w:w="5000" w:type="pct"/>
            <w:gridSpan w:val="6"/>
            <w:tcBorders>
              <w:top w:val="single" w:sz="8" w:space="0" w:color="auto"/>
              <w:left w:val="single" w:sz="8" w:space="0" w:color="auto"/>
              <w:bottom w:val="nil"/>
              <w:right w:val="single" w:sz="8" w:space="0" w:color="000000"/>
            </w:tcBorders>
            <w:shd w:val="clear" w:color="000000" w:fill="FFE699"/>
            <w:noWrap/>
            <w:vAlign w:val="bottom"/>
            <w:hideMark/>
          </w:tcPr>
          <w:p w14:paraId="1ABA75A9"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Internal Rate of Return  (IRR)</w:t>
            </w:r>
          </w:p>
        </w:tc>
      </w:tr>
      <w:tr w:rsidR="0080195A" w:rsidRPr="0080195A" w14:paraId="618F9FAA" w14:textId="77777777" w:rsidTr="0080195A">
        <w:trPr>
          <w:trHeight w:val="315"/>
        </w:trPr>
        <w:tc>
          <w:tcPr>
            <w:tcW w:w="176" w:type="pct"/>
            <w:tcBorders>
              <w:top w:val="nil"/>
              <w:left w:val="single" w:sz="8" w:space="0" w:color="auto"/>
              <w:bottom w:val="nil"/>
              <w:right w:val="nil"/>
            </w:tcBorders>
            <w:shd w:val="clear" w:color="000000" w:fill="FFE699"/>
            <w:noWrap/>
            <w:vAlign w:val="bottom"/>
            <w:hideMark/>
          </w:tcPr>
          <w:p w14:paraId="0BC35208"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528" w:type="pct"/>
            <w:tcBorders>
              <w:top w:val="nil"/>
              <w:left w:val="nil"/>
              <w:bottom w:val="nil"/>
              <w:right w:val="nil"/>
            </w:tcBorders>
            <w:shd w:val="clear" w:color="000000" w:fill="FFE699"/>
            <w:noWrap/>
            <w:vAlign w:val="bottom"/>
            <w:hideMark/>
          </w:tcPr>
          <w:p w14:paraId="5F2EC6DC"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C (£m)</w:t>
            </w:r>
          </w:p>
        </w:tc>
        <w:tc>
          <w:tcPr>
            <w:tcW w:w="1185" w:type="pct"/>
            <w:tcBorders>
              <w:top w:val="nil"/>
              <w:left w:val="nil"/>
              <w:bottom w:val="nil"/>
              <w:right w:val="nil"/>
            </w:tcBorders>
            <w:shd w:val="clear" w:color="000000" w:fill="FFE699"/>
            <w:noWrap/>
            <w:vAlign w:val="bottom"/>
            <w:hideMark/>
          </w:tcPr>
          <w:p w14:paraId="208FCA7A"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196" w:type="pct"/>
            <w:tcBorders>
              <w:top w:val="nil"/>
              <w:left w:val="nil"/>
              <w:bottom w:val="nil"/>
              <w:right w:val="nil"/>
            </w:tcBorders>
            <w:shd w:val="clear" w:color="000000" w:fill="FFE699"/>
            <w:noWrap/>
            <w:vAlign w:val="bottom"/>
            <w:hideMark/>
          </w:tcPr>
          <w:p w14:paraId="47577B05"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c>
          <w:tcPr>
            <w:tcW w:w="720" w:type="pct"/>
            <w:tcBorders>
              <w:top w:val="nil"/>
              <w:left w:val="nil"/>
              <w:bottom w:val="nil"/>
              <w:right w:val="nil"/>
            </w:tcBorders>
            <w:shd w:val="clear" w:color="000000" w:fill="FFE699"/>
            <w:noWrap/>
            <w:vAlign w:val="bottom"/>
            <w:hideMark/>
          </w:tcPr>
          <w:p w14:paraId="02173A59"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 rate at 3%</w:t>
            </w:r>
          </w:p>
        </w:tc>
        <w:tc>
          <w:tcPr>
            <w:tcW w:w="1196" w:type="pct"/>
            <w:tcBorders>
              <w:top w:val="nil"/>
              <w:left w:val="nil"/>
              <w:bottom w:val="nil"/>
              <w:right w:val="single" w:sz="8" w:space="0" w:color="auto"/>
            </w:tcBorders>
            <w:shd w:val="clear" w:color="000000" w:fill="FFE699"/>
            <w:noWrap/>
            <w:vAlign w:val="bottom"/>
            <w:hideMark/>
          </w:tcPr>
          <w:p w14:paraId="50261F67"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6B560FBA"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5DED272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528" w:type="pct"/>
            <w:tcBorders>
              <w:top w:val="nil"/>
              <w:left w:val="nil"/>
              <w:bottom w:val="nil"/>
              <w:right w:val="nil"/>
            </w:tcBorders>
            <w:shd w:val="clear" w:color="000000" w:fill="AEAAAA"/>
            <w:noWrap/>
            <w:vAlign w:val="bottom"/>
            <w:hideMark/>
          </w:tcPr>
          <w:p w14:paraId="6E0400A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1185" w:type="pct"/>
            <w:tcBorders>
              <w:top w:val="nil"/>
              <w:left w:val="nil"/>
              <w:bottom w:val="nil"/>
              <w:right w:val="nil"/>
            </w:tcBorders>
            <w:shd w:val="clear" w:color="000000" w:fill="AEAAAA"/>
            <w:noWrap/>
            <w:vAlign w:val="bottom"/>
            <w:hideMark/>
          </w:tcPr>
          <w:p w14:paraId="2A9AA9D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1196" w:type="pct"/>
            <w:tcBorders>
              <w:top w:val="nil"/>
              <w:left w:val="nil"/>
              <w:bottom w:val="nil"/>
              <w:right w:val="nil"/>
            </w:tcBorders>
            <w:shd w:val="clear" w:color="000000" w:fill="AEAAAA"/>
            <w:noWrap/>
            <w:vAlign w:val="bottom"/>
            <w:hideMark/>
          </w:tcPr>
          <w:p w14:paraId="0A72718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720" w:type="pct"/>
            <w:tcBorders>
              <w:top w:val="nil"/>
              <w:left w:val="nil"/>
              <w:bottom w:val="nil"/>
              <w:right w:val="nil"/>
            </w:tcBorders>
            <w:shd w:val="clear" w:color="000000" w:fill="AEAAAA"/>
            <w:noWrap/>
            <w:vAlign w:val="bottom"/>
            <w:hideMark/>
          </w:tcPr>
          <w:p w14:paraId="637AFCE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w:t>
            </w:r>
          </w:p>
        </w:tc>
        <w:tc>
          <w:tcPr>
            <w:tcW w:w="1196" w:type="pct"/>
            <w:tcBorders>
              <w:top w:val="nil"/>
              <w:left w:val="nil"/>
              <w:bottom w:val="nil"/>
              <w:right w:val="single" w:sz="8" w:space="0" w:color="auto"/>
            </w:tcBorders>
            <w:shd w:val="clear" w:color="000000" w:fill="AEAAAA"/>
            <w:noWrap/>
            <w:vAlign w:val="bottom"/>
            <w:hideMark/>
          </w:tcPr>
          <w:p w14:paraId="0044D2C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-50.00</w:t>
            </w:r>
          </w:p>
        </w:tc>
      </w:tr>
      <w:tr w:rsidR="0080195A" w:rsidRPr="0080195A" w14:paraId="78D53298"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5FA635B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528" w:type="pct"/>
            <w:tcBorders>
              <w:top w:val="nil"/>
              <w:left w:val="nil"/>
              <w:bottom w:val="nil"/>
              <w:right w:val="nil"/>
            </w:tcBorders>
            <w:shd w:val="clear" w:color="000000" w:fill="AEAAAA"/>
            <w:noWrap/>
            <w:vAlign w:val="bottom"/>
            <w:hideMark/>
          </w:tcPr>
          <w:p w14:paraId="0667083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1185" w:type="pct"/>
            <w:tcBorders>
              <w:top w:val="nil"/>
              <w:left w:val="nil"/>
              <w:bottom w:val="nil"/>
              <w:right w:val="nil"/>
            </w:tcBorders>
            <w:shd w:val="clear" w:color="000000" w:fill="AEAAAA"/>
            <w:noWrap/>
            <w:vAlign w:val="bottom"/>
            <w:hideMark/>
          </w:tcPr>
          <w:p w14:paraId="39B401C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0.909</w:t>
            </w:r>
          </w:p>
        </w:tc>
        <w:tc>
          <w:tcPr>
            <w:tcW w:w="1196" w:type="pct"/>
            <w:tcBorders>
              <w:top w:val="nil"/>
              <w:left w:val="nil"/>
              <w:bottom w:val="nil"/>
              <w:right w:val="nil"/>
            </w:tcBorders>
            <w:shd w:val="clear" w:color="000000" w:fill="AEAAAA"/>
            <w:noWrap/>
            <w:vAlign w:val="bottom"/>
            <w:hideMark/>
          </w:tcPr>
          <w:p w14:paraId="49B5CFB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4.545</w:t>
            </w:r>
          </w:p>
        </w:tc>
        <w:tc>
          <w:tcPr>
            <w:tcW w:w="720" w:type="pct"/>
            <w:tcBorders>
              <w:top w:val="nil"/>
              <w:left w:val="nil"/>
              <w:bottom w:val="nil"/>
              <w:right w:val="nil"/>
            </w:tcBorders>
            <w:shd w:val="clear" w:color="000000" w:fill="AEAAAA"/>
            <w:noWrap/>
            <w:vAlign w:val="bottom"/>
            <w:hideMark/>
          </w:tcPr>
          <w:p w14:paraId="5EED984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0.97</w:t>
            </w:r>
          </w:p>
        </w:tc>
        <w:tc>
          <w:tcPr>
            <w:tcW w:w="1196" w:type="pct"/>
            <w:tcBorders>
              <w:top w:val="nil"/>
              <w:left w:val="nil"/>
              <w:bottom w:val="nil"/>
              <w:right w:val="single" w:sz="8" w:space="0" w:color="auto"/>
            </w:tcBorders>
            <w:shd w:val="clear" w:color="000000" w:fill="AEAAAA"/>
            <w:noWrap/>
            <w:vAlign w:val="bottom"/>
            <w:hideMark/>
          </w:tcPr>
          <w:p w14:paraId="5BF8F4D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4.85</w:t>
            </w:r>
          </w:p>
        </w:tc>
      </w:tr>
      <w:tr w:rsidR="0080195A" w:rsidRPr="0080195A" w14:paraId="3BACECF7"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2602D94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528" w:type="pct"/>
            <w:tcBorders>
              <w:top w:val="nil"/>
              <w:left w:val="nil"/>
              <w:bottom w:val="nil"/>
              <w:right w:val="nil"/>
            </w:tcBorders>
            <w:shd w:val="clear" w:color="000000" w:fill="AEAAAA"/>
            <w:noWrap/>
            <w:vAlign w:val="bottom"/>
            <w:hideMark/>
          </w:tcPr>
          <w:p w14:paraId="5656F79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1185" w:type="pct"/>
            <w:tcBorders>
              <w:top w:val="nil"/>
              <w:left w:val="nil"/>
              <w:bottom w:val="nil"/>
              <w:right w:val="nil"/>
            </w:tcBorders>
            <w:shd w:val="clear" w:color="000000" w:fill="AEAAAA"/>
            <w:noWrap/>
            <w:vAlign w:val="bottom"/>
            <w:hideMark/>
          </w:tcPr>
          <w:p w14:paraId="616685B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0.826</w:t>
            </w:r>
          </w:p>
        </w:tc>
        <w:tc>
          <w:tcPr>
            <w:tcW w:w="1196" w:type="pct"/>
            <w:tcBorders>
              <w:top w:val="nil"/>
              <w:left w:val="nil"/>
              <w:bottom w:val="nil"/>
              <w:right w:val="nil"/>
            </w:tcBorders>
            <w:shd w:val="clear" w:color="000000" w:fill="AEAAAA"/>
            <w:noWrap/>
            <w:vAlign w:val="bottom"/>
            <w:hideMark/>
          </w:tcPr>
          <w:p w14:paraId="3525DB4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8.26</w:t>
            </w:r>
          </w:p>
        </w:tc>
        <w:tc>
          <w:tcPr>
            <w:tcW w:w="720" w:type="pct"/>
            <w:tcBorders>
              <w:top w:val="nil"/>
              <w:left w:val="nil"/>
              <w:bottom w:val="nil"/>
              <w:right w:val="nil"/>
            </w:tcBorders>
            <w:shd w:val="clear" w:color="000000" w:fill="AEAAAA"/>
            <w:noWrap/>
            <w:vAlign w:val="bottom"/>
            <w:hideMark/>
          </w:tcPr>
          <w:p w14:paraId="085B474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0.94</w:t>
            </w:r>
          </w:p>
        </w:tc>
        <w:tc>
          <w:tcPr>
            <w:tcW w:w="1196" w:type="pct"/>
            <w:tcBorders>
              <w:top w:val="nil"/>
              <w:left w:val="nil"/>
              <w:bottom w:val="nil"/>
              <w:right w:val="single" w:sz="8" w:space="0" w:color="auto"/>
            </w:tcBorders>
            <w:shd w:val="clear" w:color="000000" w:fill="AEAAAA"/>
            <w:noWrap/>
            <w:vAlign w:val="bottom"/>
            <w:hideMark/>
          </w:tcPr>
          <w:p w14:paraId="30C9757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9.40</w:t>
            </w:r>
          </w:p>
        </w:tc>
      </w:tr>
      <w:tr w:rsidR="0080195A" w:rsidRPr="0080195A" w14:paraId="7917F8DB"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740B8E2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528" w:type="pct"/>
            <w:tcBorders>
              <w:top w:val="nil"/>
              <w:left w:val="nil"/>
              <w:bottom w:val="nil"/>
              <w:right w:val="nil"/>
            </w:tcBorders>
            <w:shd w:val="clear" w:color="000000" w:fill="AEAAAA"/>
            <w:noWrap/>
            <w:vAlign w:val="bottom"/>
            <w:hideMark/>
          </w:tcPr>
          <w:p w14:paraId="7A5A5B5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20</w:t>
            </w:r>
          </w:p>
        </w:tc>
        <w:tc>
          <w:tcPr>
            <w:tcW w:w="1185" w:type="pct"/>
            <w:tcBorders>
              <w:top w:val="nil"/>
              <w:left w:val="nil"/>
              <w:bottom w:val="nil"/>
              <w:right w:val="nil"/>
            </w:tcBorders>
            <w:shd w:val="clear" w:color="000000" w:fill="AEAAAA"/>
            <w:noWrap/>
            <w:vAlign w:val="bottom"/>
            <w:hideMark/>
          </w:tcPr>
          <w:p w14:paraId="77700B4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0.751</w:t>
            </w:r>
          </w:p>
        </w:tc>
        <w:tc>
          <w:tcPr>
            <w:tcW w:w="1196" w:type="pct"/>
            <w:tcBorders>
              <w:top w:val="nil"/>
              <w:left w:val="nil"/>
              <w:bottom w:val="nil"/>
              <w:right w:val="nil"/>
            </w:tcBorders>
            <w:shd w:val="clear" w:color="000000" w:fill="AEAAAA"/>
            <w:noWrap/>
            <w:vAlign w:val="bottom"/>
            <w:hideMark/>
          </w:tcPr>
          <w:p w14:paraId="206D6C7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15.02</w:t>
            </w:r>
          </w:p>
        </w:tc>
        <w:tc>
          <w:tcPr>
            <w:tcW w:w="720" w:type="pct"/>
            <w:tcBorders>
              <w:top w:val="nil"/>
              <w:left w:val="nil"/>
              <w:bottom w:val="nil"/>
              <w:right w:val="nil"/>
            </w:tcBorders>
            <w:shd w:val="clear" w:color="000000" w:fill="AEAAAA"/>
            <w:noWrap/>
            <w:vAlign w:val="bottom"/>
            <w:hideMark/>
          </w:tcPr>
          <w:p w14:paraId="20E6408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0.92</w:t>
            </w:r>
          </w:p>
        </w:tc>
        <w:tc>
          <w:tcPr>
            <w:tcW w:w="1196" w:type="pct"/>
            <w:tcBorders>
              <w:top w:val="nil"/>
              <w:left w:val="nil"/>
              <w:bottom w:val="nil"/>
              <w:right w:val="single" w:sz="8" w:space="0" w:color="auto"/>
            </w:tcBorders>
            <w:shd w:val="clear" w:color="000000" w:fill="AEAAAA"/>
            <w:noWrap/>
            <w:vAlign w:val="bottom"/>
            <w:hideMark/>
          </w:tcPr>
          <w:p w14:paraId="3C46898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18.30</w:t>
            </w:r>
          </w:p>
        </w:tc>
      </w:tr>
      <w:tr w:rsidR="0080195A" w:rsidRPr="0080195A" w14:paraId="7591E26D"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27B2D57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lastRenderedPageBreak/>
              <w:t>4</w:t>
            </w:r>
          </w:p>
        </w:tc>
        <w:tc>
          <w:tcPr>
            <w:tcW w:w="528" w:type="pct"/>
            <w:tcBorders>
              <w:top w:val="nil"/>
              <w:left w:val="nil"/>
              <w:bottom w:val="nil"/>
              <w:right w:val="nil"/>
            </w:tcBorders>
            <w:shd w:val="clear" w:color="000000" w:fill="AEAAAA"/>
            <w:noWrap/>
            <w:vAlign w:val="bottom"/>
            <w:hideMark/>
          </w:tcPr>
          <w:p w14:paraId="12B3B29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25</w:t>
            </w:r>
          </w:p>
        </w:tc>
        <w:tc>
          <w:tcPr>
            <w:tcW w:w="1185" w:type="pct"/>
            <w:tcBorders>
              <w:top w:val="nil"/>
              <w:left w:val="nil"/>
              <w:bottom w:val="nil"/>
              <w:right w:val="nil"/>
            </w:tcBorders>
            <w:shd w:val="clear" w:color="000000" w:fill="AEAAAA"/>
            <w:noWrap/>
            <w:vAlign w:val="bottom"/>
            <w:hideMark/>
          </w:tcPr>
          <w:p w14:paraId="12D5F59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0.683</w:t>
            </w:r>
          </w:p>
        </w:tc>
        <w:tc>
          <w:tcPr>
            <w:tcW w:w="1196" w:type="pct"/>
            <w:tcBorders>
              <w:top w:val="nil"/>
              <w:left w:val="nil"/>
              <w:bottom w:val="nil"/>
              <w:right w:val="nil"/>
            </w:tcBorders>
            <w:shd w:val="clear" w:color="000000" w:fill="AEAAAA"/>
            <w:noWrap/>
            <w:vAlign w:val="bottom"/>
            <w:hideMark/>
          </w:tcPr>
          <w:p w14:paraId="353C3D7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17.075</w:t>
            </w:r>
          </w:p>
        </w:tc>
        <w:tc>
          <w:tcPr>
            <w:tcW w:w="720" w:type="pct"/>
            <w:tcBorders>
              <w:top w:val="nil"/>
              <w:left w:val="nil"/>
              <w:bottom w:val="nil"/>
              <w:right w:val="nil"/>
            </w:tcBorders>
            <w:shd w:val="clear" w:color="000000" w:fill="AEAAAA"/>
            <w:noWrap/>
            <w:vAlign w:val="bottom"/>
            <w:hideMark/>
          </w:tcPr>
          <w:p w14:paraId="630E9EE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0.89</w:t>
            </w:r>
          </w:p>
        </w:tc>
        <w:tc>
          <w:tcPr>
            <w:tcW w:w="1196" w:type="pct"/>
            <w:tcBorders>
              <w:top w:val="nil"/>
              <w:left w:val="nil"/>
              <w:bottom w:val="nil"/>
              <w:right w:val="single" w:sz="8" w:space="0" w:color="auto"/>
            </w:tcBorders>
            <w:shd w:val="clear" w:color="000000" w:fill="AEAAAA"/>
            <w:noWrap/>
            <w:vAlign w:val="bottom"/>
            <w:hideMark/>
          </w:tcPr>
          <w:p w14:paraId="42F2BEE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22.20</w:t>
            </w:r>
          </w:p>
        </w:tc>
      </w:tr>
      <w:tr w:rsidR="0080195A" w:rsidRPr="0080195A" w14:paraId="27278135" w14:textId="77777777" w:rsidTr="0080195A">
        <w:trPr>
          <w:trHeight w:val="300"/>
        </w:trPr>
        <w:tc>
          <w:tcPr>
            <w:tcW w:w="176" w:type="pct"/>
            <w:tcBorders>
              <w:top w:val="nil"/>
              <w:left w:val="single" w:sz="8" w:space="0" w:color="auto"/>
              <w:bottom w:val="nil"/>
              <w:right w:val="nil"/>
            </w:tcBorders>
            <w:shd w:val="clear" w:color="000000" w:fill="AEAAAA"/>
            <w:noWrap/>
            <w:vAlign w:val="bottom"/>
            <w:hideMark/>
          </w:tcPr>
          <w:p w14:paraId="78A8793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528" w:type="pct"/>
            <w:tcBorders>
              <w:top w:val="nil"/>
              <w:left w:val="nil"/>
              <w:bottom w:val="nil"/>
              <w:right w:val="nil"/>
            </w:tcBorders>
            <w:shd w:val="clear" w:color="000000" w:fill="AEAAAA"/>
            <w:noWrap/>
            <w:vAlign w:val="bottom"/>
            <w:hideMark/>
          </w:tcPr>
          <w:p w14:paraId="72400CE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1185" w:type="pct"/>
            <w:tcBorders>
              <w:top w:val="nil"/>
              <w:left w:val="nil"/>
              <w:bottom w:val="nil"/>
              <w:right w:val="nil"/>
            </w:tcBorders>
            <w:shd w:val="clear" w:color="000000" w:fill="AEAAAA"/>
            <w:noWrap/>
            <w:vAlign w:val="bottom"/>
            <w:hideMark/>
          </w:tcPr>
          <w:p w14:paraId="1E3CAC0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0.621</w:t>
            </w:r>
          </w:p>
        </w:tc>
        <w:tc>
          <w:tcPr>
            <w:tcW w:w="1196" w:type="pct"/>
            <w:tcBorders>
              <w:top w:val="nil"/>
              <w:left w:val="nil"/>
              <w:bottom w:val="nil"/>
              <w:right w:val="nil"/>
            </w:tcBorders>
            <w:shd w:val="clear" w:color="000000" w:fill="AEAAAA"/>
            <w:noWrap/>
            <w:vAlign w:val="bottom"/>
            <w:hideMark/>
          </w:tcPr>
          <w:p w14:paraId="189F55F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3.105</w:t>
            </w:r>
          </w:p>
        </w:tc>
        <w:tc>
          <w:tcPr>
            <w:tcW w:w="720" w:type="pct"/>
            <w:tcBorders>
              <w:top w:val="nil"/>
              <w:left w:val="nil"/>
              <w:bottom w:val="nil"/>
              <w:right w:val="nil"/>
            </w:tcBorders>
            <w:shd w:val="clear" w:color="000000" w:fill="AEAAAA"/>
            <w:noWrap/>
            <w:vAlign w:val="bottom"/>
            <w:hideMark/>
          </w:tcPr>
          <w:p w14:paraId="33B2AA8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0.86</w:t>
            </w:r>
          </w:p>
        </w:tc>
        <w:tc>
          <w:tcPr>
            <w:tcW w:w="1196" w:type="pct"/>
            <w:tcBorders>
              <w:top w:val="nil"/>
              <w:left w:val="nil"/>
              <w:bottom w:val="nil"/>
              <w:right w:val="single" w:sz="8" w:space="0" w:color="auto"/>
            </w:tcBorders>
            <w:shd w:val="clear" w:color="000000" w:fill="AEAAAA"/>
            <w:noWrap/>
            <w:vAlign w:val="bottom"/>
            <w:hideMark/>
          </w:tcPr>
          <w:p w14:paraId="6844817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4.31</w:t>
            </w:r>
          </w:p>
        </w:tc>
      </w:tr>
      <w:tr w:rsidR="0080195A" w:rsidRPr="0080195A" w14:paraId="0816FAC3" w14:textId="77777777" w:rsidTr="0080195A">
        <w:trPr>
          <w:trHeight w:val="315"/>
        </w:trPr>
        <w:tc>
          <w:tcPr>
            <w:tcW w:w="176" w:type="pct"/>
            <w:tcBorders>
              <w:top w:val="nil"/>
              <w:left w:val="single" w:sz="8" w:space="0" w:color="auto"/>
              <w:bottom w:val="nil"/>
              <w:right w:val="nil"/>
            </w:tcBorders>
            <w:shd w:val="clear" w:color="000000" w:fill="AEAAAA"/>
            <w:noWrap/>
            <w:vAlign w:val="bottom"/>
            <w:hideMark/>
          </w:tcPr>
          <w:p w14:paraId="319492F7"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Ra</w:t>
            </w:r>
          </w:p>
        </w:tc>
        <w:tc>
          <w:tcPr>
            <w:tcW w:w="528" w:type="pct"/>
            <w:tcBorders>
              <w:top w:val="nil"/>
              <w:left w:val="nil"/>
              <w:bottom w:val="nil"/>
              <w:right w:val="nil"/>
            </w:tcBorders>
            <w:shd w:val="clear" w:color="000000" w:fill="AEAAAA"/>
            <w:noWrap/>
            <w:vAlign w:val="bottom"/>
            <w:hideMark/>
          </w:tcPr>
          <w:p w14:paraId="2BD6D6D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1185" w:type="pct"/>
            <w:tcBorders>
              <w:top w:val="nil"/>
              <w:left w:val="nil"/>
              <w:bottom w:val="nil"/>
              <w:right w:val="nil"/>
            </w:tcBorders>
            <w:shd w:val="clear" w:color="000000" w:fill="AEAAAA"/>
            <w:noWrap/>
            <w:vAlign w:val="bottom"/>
            <w:hideMark/>
          </w:tcPr>
          <w:p w14:paraId="6BFD9A8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NPVa</w:t>
            </w:r>
          </w:p>
        </w:tc>
        <w:tc>
          <w:tcPr>
            <w:tcW w:w="1196" w:type="pct"/>
            <w:tcBorders>
              <w:top w:val="nil"/>
              <w:left w:val="nil"/>
              <w:bottom w:val="nil"/>
              <w:right w:val="nil"/>
            </w:tcBorders>
            <w:shd w:val="clear" w:color="000000" w:fill="AEAAAA"/>
            <w:noWrap/>
            <w:vAlign w:val="bottom"/>
            <w:hideMark/>
          </w:tcPr>
          <w:p w14:paraId="7B1EEAE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-2.00</w:t>
            </w:r>
          </w:p>
        </w:tc>
        <w:tc>
          <w:tcPr>
            <w:tcW w:w="720" w:type="pct"/>
            <w:tcBorders>
              <w:top w:val="nil"/>
              <w:left w:val="nil"/>
              <w:bottom w:val="nil"/>
              <w:right w:val="nil"/>
            </w:tcBorders>
            <w:shd w:val="clear" w:color="000000" w:fill="AEAAAA"/>
            <w:noWrap/>
            <w:vAlign w:val="bottom"/>
            <w:hideMark/>
          </w:tcPr>
          <w:p w14:paraId="6C25F462"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NPVb</w:t>
            </w:r>
          </w:p>
        </w:tc>
        <w:tc>
          <w:tcPr>
            <w:tcW w:w="1196" w:type="pct"/>
            <w:tcBorders>
              <w:top w:val="nil"/>
              <w:left w:val="nil"/>
              <w:bottom w:val="nil"/>
              <w:right w:val="single" w:sz="8" w:space="0" w:color="auto"/>
            </w:tcBorders>
            <w:shd w:val="clear" w:color="000000" w:fill="AEAAAA"/>
            <w:noWrap/>
            <w:vAlign w:val="bottom"/>
            <w:hideMark/>
          </w:tcPr>
          <w:p w14:paraId="071D3F6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9.06</w:t>
            </w:r>
          </w:p>
        </w:tc>
      </w:tr>
      <w:tr w:rsidR="0080195A" w:rsidRPr="0080195A" w14:paraId="29CCA443" w14:textId="77777777" w:rsidTr="0080195A">
        <w:trPr>
          <w:trHeight w:val="330"/>
        </w:trPr>
        <w:tc>
          <w:tcPr>
            <w:tcW w:w="176" w:type="pct"/>
            <w:tcBorders>
              <w:top w:val="nil"/>
              <w:left w:val="single" w:sz="8" w:space="0" w:color="auto"/>
              <w:bottom w:val="nil"/>
              <w:right w:val="nil"/>
            </w:tcBorders>
            <w:shd w:val="clear" w:color="000000" w:fill="AEAAAA"/>
            <w:noWrap/>
            <w:vAlign w:val="bottom"/>
            <w:hideMark/>
          </w:tcPr>
          <w:p w14:paraId="749ECD3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Rb</w:t>
            </w:r>
          </w:p>
        </w:tc>
        <w:tc>
          <w:tcPr>
            <w:tcW w:w="528" w:type="pct"/>
            <w:tcBorders>
              <w:top w:val="nil"/>
              <w:left w:val="nil"/>
              <w:bottom w:val="nil"/>
              <w:right w:val="nil"/>
            </w:tcBorders>
            <w:shd w:val="clear" w:color="000000" w:fill="AEAAAA"/>
            <w:noWrap/>
            <w:vAlign w:val="bottom"/>
            <w:hideMark/>
          </w:tcPr>
          <w:p w14:paraId="0B34015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1185" w:type="pct"/>
            <w:tcBorders>
              <w:top w:val="nil"/>
              <w:left w:val="nil"/>
              <w:bottom w:val="nil"/>
              <w:right w:val="nil"/>
            </w:tcBorders>
            <w:shd w:val="clear" w:color="000000" w:fill="FFE699"/>
            <w:noWrap/>
            <w:vAlign w:val="bottom"/>
            <w:hideMark/>
          </w:tcPr>
          <w:p w14:paraId="652517C9"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IRR</w:t>
            </w:r>
          </w:p>
        </w:tc>
        <w:tc>
          <w:tcPr>
            <w:tcW w:w="1196" w:type="pct"/>
            <w:tcBorders>
              <w:top w:val="nil"/>
              <w:left w:val="nil"/>
              <w:bottom w:val="nil"/>
              <w:right w:val="nil"/>
            </w:tcBorders>
            <w:shd w:val="clear" w:color="000000" w:fill="FFE699"/>
            <w:noWrap/>
            <w:vAlign w:val="bottom"/>
            <w:hideMark/>
          </w:tcPr>
          <w:p w14:paraId="5B0E7367"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4.26%</w:t>
            </w:r>
          </w:p>
        </w:tc>
        <w:tc>
          <w:tcPr>
            <w:tcW w:w="720" w:type="pct"/>
            <w:tcBorders>
              <w:top w:val="nil"/>
              <w:left w:val="nil"/>
              <w:bottom w:val="nil"/>
              <w:right w:val="nil"/>
            </w:tcBorders>
            <w:shd w:val="clear" w:color="000000" w:fill="AEAAAA"/>
            <w:noWrap/>
            <w:vAlign w:val="bottom"/>
            <w:hideMark/>
          </w:tcPr>
          <w:p w14:paraId="546E1A26"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96" w:type="pct"/>
            <w:tcBorders>
              <w:top w:val="nil"/>
              <w:left w:val="nil"/>
              <w:bottom w:val="nil"/>
              <w:right w:val="single" w:sz="8" w:space="0" w:color="auto"/>
            </w:tcBorders>
            <w:shd w:val="clear" w:color="000000" w:fill="AEAAAA"/>
            <w:noWrap/>
            <w:vAlign w:val="bottom"/>
            <w:hideMark/>
          </w:tcPr>
          <w:p w14:paraId="1EEDF494"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43754D8C" w14:textId="77777777" w:rsidTr="0080195A">
        <w:trPr>
          <w:trHeight w:val="315"/>
        </w:trPr>
        <w:tc>
          <w:tcPr>
            <w:tcW w:w="176" w:type="pct"/>
            <w:tcBorders>
              <w:top w:val="nil"/>
              <w:left w:val="single" w:sz="8" w:space="0" w:color="auto"/>
              <w:bottom w:val="single" w:sz="8" w:space="0" w:color="auto"/>
              <w:right w:val="nil"/>
            </w:tcBorders>
            <w:shd w:val="clear" w:color="000000" w:fill="AEAAAA"/>
            <w:noWrap/>
            <w:vAlign w:val="bottom"/>
            <w:hideMark/>
          </w:tcPr>
          <w:p w14:paraId="2AC677A8"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528" w:type="pct"/>
            <w:tcBorders>
              <w:top w:val="nil"/>
              <w:left w:val="nil"/>
              <w:bottom w:val="single" w:sz="8" w:space="0" w:color="auto"/>
              <w:right w:val="nil"/>
            </w:tcBorders>
            <w:shd w:val="clear" w:color="000000" w:fill="AEAAAA"/>
            <w:noWrap/>
            <w:vAlign w:val="bottom"/>
            <w:hideMark/>
          </w:tcPr>
          <w:p w14:paraId="1AE92F4A"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85" w:type="pct"/>
            <w:tcBorders>
              <w:top w:val="nil"/>
              <w:left w:val="nil"/>
              <w:bottom w:val="single" w:sz="8" w:space="0" w:color="auto"/>
              <w:right w:val="nil"/>
            </w:tcBorders>
            <w:shd w:val="clear" w:color="000000" w:fill="AEAAAA"/>
            <w:noWrap/>
            <w:vAlign w:val="bottom"/>
            <w:hideMark/>
          </w:tcPr>
          <w:p w14:paraId="7EC7F9C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Ra+(NPVa/(NPVA-NPVb)*(Rb-Ra)</w:t>
            </w:r>
          </w:p>
        </w:tc>
        <w:tc>
          <w:tcPr>
            <w:tcW w:w="1196" w:type="pct"/>
            <w:tcBorders>
              <w:top w:val="nil"/>
              <w:left w:val="nil"/>
              <w:bottom w:val="single" w:sz="8" w:space="0" w:color="auto"/>
              <w:right w:val="nil"/>
            </w:tcBorders>
            <w:shd w:val="clear" w:color="000000" w:fill="AEAAAA"/>
            <w:noWrap/>
            <w:vAlign w:val="bottom"/>
            <w:hideMark/>
          </w:tcPr>
          <w:p w14:paraId="58C55314"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20" w:type="pct"/>
            <w:tcBorders>
              <w:top w:val="nil"/>
              <w:left w:val="nil"/>
              <w:bottom w:val="single" w:sz="8" w:space="0" w:color="auto"/>
              <w:right w:val="nil"/>
            </w:tcBorders>
            <w:shd w:val="clear" w:color="000000" w:fill="AEAAAA"/>
            <w:noWrap/>
            <w:vAlign w:val="bottom"/>
            <w:hideMark/>
          </w:tcPr>
          <w:p w14:paraId="25110ABF"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1196" w:type="pct"/>
            <w:tcBorders>
              <w:top w:val="nil"/>
              <w:left w:val="nil"/>
              <w:bottom w:val="single" w:sz="8" w:space="0" w:color="auto"/>
              <w:right w:val="single" w:sz="8" w:space="0" w:color="auto"/>
            </w:tcBorders>
            <w:shd w:val="clear" w:color="000000" w:fill="AEAAAA"/>
            <w:noWrap/>
            <w:vAlign w:val="bottom"/>
            <w:hideMark/>
          </w:tcPr>
          <w:p w14:paraId="19D60B1E"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bl>
    <w:p w14:paraId="0491AB0B" w14:textId="77777777" w:rsidR="0040737D" w:rsidRDefault="0040737D" w:rsidP="0040737D"/>
    <w:tbl>
      <w:tblPr>
        <w:tblW w:w="5000" w:type="pct"/>
        <w:tblLook w:val="04A0" w:firstRow="1" w:lastRow="0" w:firstColumn="1" w:lastColumn="0" w:noHBand="0" w:noVBand="1"/>
      </w:tblPr>
      <w:tblGrid>
        <w:gridCol w:w="938"/>
        <w:gridCol w:w="1025"/>
        <w:gridCol w:w="1775"/>
        <w:gridCol w:w="1026"/>
        <w:gridCol w:w="1775"/>
        <w:gridCol w:w="1026"/>
        <w:gridCol w:w="1775"/>
      </w:tblGrid>
      <w:tr w:rsidR="0080195A" w:rsidRPr="0080195A" w14:paraId="26C14A6F" w14:textId="77777777" w:rsidTr="0080195A">
        <w:trPr>
          <w:trHeight w:val="315"/>
        </w:trPr>
        <w:tc>
          <w:tcPr>
            <w:tcW w:w="5000" w:type="pct"/>
            <w:gridSpan w:val="7"/>
            <w:tcBorders>
              <w:top w:val="single" w:sz="8" w:space="0" w:color="auto"/>
              <w:left w:val="single" w:sz="8" w:space="0" w:color="auto"/>
              <w:bottom w:val="nil"/>
              <w:right w:val="single" w:sz="8" w:space="0" w:color="000000"/>
            </w:tcBorders>
            <w:shd w:val="clear" w:color="000000" w:fill="8EA9DB"/>
            <w:noWrap/>
            <w:vAlign w:val="bottom"/>
            <w:hideMark/>
          </w:tcPr>
          <w:p w14:paraId="2C8934F4"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Payback Period (PBP)</w:t>
            </w:r>
          </w:p>
        </w:tc>
      </w:tr>
      <w:tr w:rsidR="0080195A" w:rsidRPr="0080195A" w14:paraId="71FF7A29" w14:textId="77777777" w:rsidTr="0080195A">
        <w:trPr>
          <w:trHeight w:val="315"/>
        </w:trPr>
        <w:tc>
          <w:tcPr>
            <w:tcW w:w="845" w:type="pct"/>
            <w:tcBorders>
              <w:top w:val="nil"/>
              <w:left w:val="single" w:sz="8" w:space="0" w:color="auto"/>
              <w:bottom w:val="nil"/>
              <w:right w:val="nil"/>
            </w:tcBorders>
            <w:shd w:val="clear" w:color="000000" w:fill="8EA9DB"/>
            <w:noWrap/>
            <w:vAlign w:val="bottom"/>
            <w:hideMark/>
          </w:tcPr>
          <w:p w14:paraId="60515D56"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476" w:type="pct"/>
            <w:tcBorders>
              <w:top w:val="nil"/>
              <w:left w:val="nil"/>
              <w:bottom w:val="nil"/>
              <w:right w:val="nil"/>
            </w:tcBorders>
            <w:shd w:val="clear" w:color="000000" w:fill="8EA9DB"/>
            <w:noWrap/>
            <w:vAlign w:val="bottom"/>
            <w:hideMark/>
          </w:tcPr>
          <w:p w14:paraId="2C76A45B"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Project A (£m)</w:t>
            </w:r>
          </w:p>
        </w:tc>
        <w:tc>
          <w:tcPr>
            <w:tcW w:w="909" w:type="pct"/>
            <w:tcBorders>
              <w:top w:val="nil"/>
              <w:left w:val="nil"/>
              <w:bottom w:val="nil"/>
              <w:right w:val="nil"/>
            </w:tcBorders>
            <w:shd w:val="clear" w:color="000000" w:fill="8EA9DB"/>
            <w:noWrap/>
            <w:vAlign w:val="bottom"/>
            <w:hideMark/>
          </w:tcPr>
          <w:p w14:paraId="5E8BF10D"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Cumulative Cash Flow (£m)</w:t>
            </w:r>
          </w:p>
        </w:tc>
        <w:tc>
          <w:tcPr>
            <w:tcW w:w="476" w:type="pct"/>
            <w:tcBorders>
              <w:top w:val="nil"/>
              <w:left w:val="nil"/>
              <w:bottom w:val="nil"/>
              <w:right w:val="nil"/>
            </w:tcBorders>
            <w:shd w:val="clear" w:color="000000" w:fill="8EA9DB"/>
            <w:noWrap/>
            <w:vAlign w:val="bottom"/>
            <w:hideMark/>
          </w:tcPr>
          <w:p w14:paraId="39AB7031"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Project B (£m)</w:t>
            </w:r>
          </w:p>
        </w:tc>
        <w:tc>
          <w:tcPr>
            <w:tcW w:w="909" w:type="pct"/>
            <w:tcBorders>
              <w:top w:val="nil"/>
              <w:left w:val="nil"/>
              <w:bottom w:val="nil"/>
              <w:right w:val="nil"/>
            </w:tcBorders>
            <w:shd w:val="clear" w:color="000000" w:fill="8EA9DB"/>
            <w:noWrap/>
            <w:vAlign w:val="bottom"/>
            <w:hideMark/>
          </w:tcPr>
          <w:p w14:paraId="00FBD3EF"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Cumulative Cash Flow (£m)</w:t>
            </w:r>
          </w:p>
        </w:tc>
        <w:tc>
          <w:tcPr>
            <w:tcW w:w="476" w:type="pct"/>
            <w:tcBorders>
              <w:top w:val="nil"/>
              <w:left w:val="nil"/>
              <w:bottom w:val="nil"/>
              <w:right w:val="nil"/>
            </w:tcBorders>
            <w:shd w:val="clear" w:color="000000" w:fill="8EA9DB"/>
            <w:noWrap/>
            <w:vAlign w:val="bottom"/>
            <w:hideMark/>
          </w:tcPr>
          <w:p w14:paraId="57FE19EA"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Project C (£m)</w:t>
            </w:r>
          </w:p>
        </w:tc>
        <w:tc>
          <w:tcPr>
            <w:tcW w:w="909" w:type="pct"/>
            <w:tcBorders>
              <w:top w:val="nil"/>
              <w:left w:val="nil"/>
              <w:bottom w:val="nil"/>
              <w:right w:val="single" w:sz="8" w:space="0" w:color="auto"/>
            </w:tcBorders>
            <w:shd w:val="clear" w:color="000000" w:fill="8EA9DB"/>
            <w:noWrap/>
            <w:vAlign w:val="bottom"/>
            <w:hideMark/>
          </w:tcPr>
          <w:p w14:paraId="4A3518A6"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Cumulative Cash Flow (£m)</w:t>
            </w:r>
          </w:p>
        </w:tc>
      </w:tr>
      <w:tr w:rsidR="0080195A" w:rsidRPr="0080195A" w14:paraId="32733F04" w14:textId="77777777" w:rsidTr="0080195A">
        <w:trPr>
          <w:trHeight w:val="300"/>
        </w:trPr>
        <w:tc>
          <w:tcPr>
            <w:tcW w:w="845" w:type="pct"/>
            <w:tcBorders>
              <w:top w:val="nil"/>
              <w:left w:val="single" w:sz="8" w:space="0" w:color="auto"/>
              <w:bottom w:val="nil"/>
              <w:right w:val="nil"/>
            </w:tcBorders>
            <w:shd w:val="clear" w:color="000000" w:fill="FCE4D6"/>
            <w:noWrap/>
            <w:vAlign w:val="bottom"/>
            <w:hideMark/>
          </w:tcPr>
          <w:p w14:paraId="70FE594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476" w:type="pct"/>
            <w:tcBorders>
              <w:top w:val="nil"/>
              <w:left w:val="nil"/>
              <w:bottom w:val="nil"/>
              <w:right w:val="nil"/>
            </w:tcBorders>
            <w:shd w:val="clear" w:color="000000" w:fill="FCE4D6"/>
            <w:noWrap/>
            <w:vAlign w:val="bottom"/>
            <w:hideMark/>
          </w:tcPr>
          <w:p w14:paraId="68B3BF4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909" w:type="pct"/>
            <w:tcBorders>
              <w:top w:val="nil"/>
              <w:left w:val="nil"/>
              <w:bottom w:val="nil"/>
              <w:right w:val="nil"/>
            </w:tcBorders>
            <w:shd w:val="clear" w:color="000000" w:fill="FCE4D6"/>
            <w:noWrap/>
            <w:vAlign w:val="bottom"/>
            <w:hideMark/>
          </w:tcPr>
          <w:p w14:paraId="52BEC3F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476" w:type="pct"/>
            <w:tcBorders>
              <w:top w:val="nil"/>
              <w:left w:val="nil"/>
              <w:bottom w:val="nil"/>
              <w:right w:val="nil"/>
            </w:tcBorders>
            <w:shd w:val="clear" w:color="000000" w:fill="FCE4D6"/>
            <w:noWrap/>
            <w:vAlign w:val="bottom"/>
            <w:hideMark/>
          </w:tcPr>
          <w:p w14:paraId="7B70B02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909" w:type="pct"/>
            <w:tcBorders>
              <w:top w:val="nil"/>
              <w:left w:val="nil"/>
              <w:bottom w:val="nil"/>
              <w:right w:val="nil"/>
            </w:tcBorders>
            <w:shd w:val="clear" w:color="000000" w:fill="FCE4D6"/>
            <w:noWrap/>
            <w:vAlign w:val="bottom"/>
            <w:hideMark/>
          </w:tcPr>
          <w:p w14:paraId="2D227E5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476" w:type="pct"/>
            <w:tcBorders>
              <w:top w:val="nil"/>
              <w:left w:val="nil"/>
              <w:bottom w:val="nil"/>
              <w:right w:val="nil"/>
            </w:tcBorders>
            <w:shd w:val="clear" w:color="000000" w:fill="FCE4D6"/>
            <w:noWrap/>
            <w:vAlign w:val="bottom"/>
            <w:hideMark/>
          </w:tcPr>
          <w:p w14:paraId="1F55B60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909" w:type="pct"/>
            <w:tcBorders>
              <w:top w:val="nil"/>
              <w:left w:val="nil"/>
              <w:bottom w:val="nil"/>
              <w:right w:val="single" w:sz="8" w:space="0" w:color="auto"/>
            </w:tcBorders>
            <w:shd w:val="clear" w:color="000000" w:fill="FCE4D6"/>
            <w:noWrap/>
            <w:vAlign w:val="bottom"/>
            <w:hideMark/>
          </w:tcPr>
          <w:p w14:paraId="3635365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59FF69A0" w14:textId="77777777" w:rsidTr="0080195A">
        <w:trPr>
          <w:trHeight w:val="300"/>
        </w:trPr>
        <w:tc>
          <w:tcPr>
            <w:tcW w:w="845" w:type="pct"/>
            <w:tcBorders>
              <w:top w:val="nil"/>
              <w:left w:val="single" w:sz="8" w:space="0" w:color="auto"/>
              <w:bottom w:val="nil"/>
              <w:right w:val="nil"/>
            </w:tcBorders>
            <w:shd w:val="clear" w:color="000000" w:fill="FCE4D6"/>
            <w:noWrap/>
            <w:vAlign w:val="bottom"/>
            <w:hideMark/>
          </w:tcPr>
          <w:p w14:paraId="0A453CE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476" w:type="pct"/>
            <w:tcBorders>
              <w:top w:val="nil"/>
              <w:left w:val="nil"/>
              <w:bottom w:val="nil"/>
              <w:right w:val="nil"/>
            </w:tcBorders>
            <w:shd w:val="clear" w:color="000000" w:fill="FCE4D6"/>
            <w:noWrap/>
            <w:vAlign w:val="bottom"/>
            <w:hideMark/>
          </w:tcPr>
          <w:p w14:paraId="1D3DD8C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909" w:type="pct"/>
            <w:tcBorders>
              <w:top w:val="nil"/>
              <w:left w:val="nil"/>
              <w:bottom w:val="nil"/>
              <w:right w:val="nil"/>
            </w:tcBorders>
            <w:shd w:val="clear" w:color="000000" w:fill="FCE4D6"/>
            <w:noWrap/>
            <w:vAlign w:val="bottom"/>
            <w:hideMark/>
          </w:tcPr>
          <w:p w14:paraId="68B173D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-40</w:t>
            </w:r>
          </w:p>
        </w:tc>
        <w:tc>
          <w:tcPr>
            <w:tcW w:w="476" w:type="pct"/>
            <w:tcBorders>
              <w:top w:val="nil"/>
              <w:left w:val="nil"/>
              <w:bottom w:val="nil"/>
              <w:right w:val="nil"/>
            </w:tcBorders>
            <w:shd w:val="clear" w:color="000000" w:fill="FCE4D6"/>
            <w:noWrap/>
            <w:vAlign w:val="bottom"/>
            <w:hideMark/>
          </w:tcPr>
          <w:p w14:paraId="7AB54E5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909" w:type="pct"/>
            <w:tcBorders>
              <w:top w:val="nil"/>
              <w:left w:val="nil"/>
              <w:bottom w:val="nil"/>
              <w:right w:val="nil"/>
            </w:tcBorders>
            <w:shd w:val="clear" w:color="000000" w:fill="FCE4D6"/>
            <w:noWrap/>
            <w:vAlign w:val="bottom"/>
            <w:hideMark/>
          </w:tcPr>
          <w:p w14:paraId="188ABCD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-39</w:t>
            </w:r>
          </w:p>
        </w:tc>
        <w:tc>
          <w:tcPr>
            <w:tcW w:w="476" w:type="pct"/>
            <w:tcBorders>
              <w:top w:val="nil"/>
              <w:left w:val="nil"/>
              <w:bottom w:val="nil"/>
              <w:right w:val="nil"/>
            </w:tcBorders>
            <w:shd w:val="clear" w:color="000000" w:fill="FCE4D6"/>
            <w:noWrap/>
            <w:vAlign w:val="bottom"/>
            <w:hideMark/>
          </w:tcPr>
          <w:p w14:paraId="1D7B532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909" w:type="pct"/>
            <w:tcBorders>
              <w:top w:val="nil"/>
              <w:left w:val="nil"/>
              <w:bottom w:val="nil"/>
              <w:right w:val="single" w:sz="8" w:space="0" w:color="auto"/>
            </w:tcBorders>
            <w:shd w:val="clear" w:color="000000" w:fill="FCE4D6"/>
            <w:noWrap/>
            <w:vAlign w:val="bottom"/>
            <w:hideMark/>
          </w:tcPr>
          <w:p w14:paraId="1F31F13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-45</w:t>
            </w:r>
          </w:p>
        </w:tc>
      </w:tr>
      <w:tr w:rsidR="0080195A" w:rsidRPr="0080195A" w14:paraId="3FD3673C" w14:textId="77777777" w:rsidTr="0080195A">
        <w:trPr>
          <w:trHeight w:val="300"/>
        </w:trPr>
        <w:tc>
          <w:tcPr>
            <w:tcW w:w="845" w:type="pct"/>
            <w:tcBorders>
              <w:top w:val="nil"/>
              <w:left w:val="single" w:sz="8" w:space="0" w:color="auto"/>
              <w:bottom w:val="nil"/>
              <w:right w:val="nil"/>
            </w:tcBorders>
            <w:shd w:val="clear" w:color="000000" w:fill="FCE4D6"/>
            <w:noWrap/>
            <w:vAlign w:val="bottom"/>
            <w:hideMark/>
          </w:tcPr>
          <w:p w14:paraId="3684042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476" w:type="pct"/>
            <w:tcBorders>
              <w:top w:val="nil"/>
              <w:left w:val="nil"/>
              <w:bottom w:val="nil"/>
              <w:right w:val="nil"/>
            </w:tcBorders>
            <w:shd w:val="clear" w:color="000000" w:fill="FCE4D6"/>
            <w:noWrap/>
            <w:vAlign w:val="bottom"/>
            <w:hideMark/>
          </w:tcPr>
          <w:p w14:paraId="019F3A2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12</w:t>
            </w:r>
          </w:p>
        </w:tc>
        <w:tc>
          <w:tcPr>
            <w:tcW w:w="909" w:type="pct"/>
            <w:tcBorders>
              <w:top w:val="nil"/>
              <w:left w:val="nil"/>
              <w:bottom w:val="nil"/>
              <w:right w:val="nil"/>
            </w:tcBorders>
            <w:shd w:val="clear" w:color="000000" w:fill="FCE4D6"/>
            <w:noWrap/>
            <w:vAlign w:val="bottom"/>
            <w:hideMark/>
          </w:tcPr>
          <w:p w14:paraId="5486038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-28</w:t>
            </w:r>
          </w:p>
        </w:tc>
        <w:tc>
          <w:tcPr>
            <w:tcW w:w="476" w:type="pct"/>
            <w:tcBorders>
              <w:top w:val="nil"/>
              <w:left w:val="nil"/>
              <w:bottom w:val="nil"/>
              <w:right w:val="nil"/>
            </w:tcBorders>
            <w:shd w:val="clear" w:color="000000" w:fill="FCE4D6"/>
            <w:noWrap/>
            <w:vAlign w:val="bottom"/>
            <w:hideMark/>
          </w:tcPr>
          <w:p w14:paraId="3441BEA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909" w:type="pct"/>
            <w:tcBorders>
              <w:top w:val="nil"/>
              <w:left w:val="nil"/>
              <w:bottom w:val="nil"/>
              <w:right w:val="nil"/>
            </w:tcBorders>
            <w:shd w:val="clear" w:color="000000" w:fill="FCE4D6"/>
            <w:noWrap/>
            <w:vAlign w:val="bottom"/>
            <w:hideMark/>
          </w:tcPr>
          <w:p w14:paraId="593B56C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-28</w:t>
            </w:r>
          </w:p>
        </w:tc>
        <w:tc>
          <w:tcPr>
            <w:tcW w:w="476" w:type="pct"/>
            <w:tcBorders>
              <w:top w:val="nil"/>
              <w:left w:val="nil"/>
              <w:bottom w:val="nil"/>
              <w:right w:val="nil"/>
            </w:tcBorders>
            <w:shd w:val="clear" w:color="000000" w:fill="FCE4D6"/>
            <w:noWrap/>
            <w:vAlign w:val="bottom"/>
            <w:hideMark/>
          </w:tcPr>
          <w:p w14:paraId="547D92F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909" w:type="pct"/>
            <w:tcBorders>
              <w:top w:val="nil"/>
              <w:left w:val="nil"/>
              <w:bottom w:val="nil"/>
              <w:right w:val="single" w:sz="8" w:space="0" w:color="auto"/>
            </w:tcBorders>
            <w:shd w:val="clear" w:color="000000" w:fill="FCE4D6"/>
            <w:noWrap/>
            <w:vAlign w:val="bottom"/>
            <w:hideMark/>
          </w:tcPr>
          <w:p w14:paraId="707B28A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-35</w:t>
            </w:r>
          </w:p>
        </w:tc>
      </w:tr>
      <w:tr w:rsidR="0080195A" w:rsidRPr="0080195A" w14:paraId="7D590547" w14:textId="77777777" w:rsidTr="0080195A">
        <w:trPr>
          <w:trHeight w:val="300"/>
        </w:trPr>
        <w:tc>
          <w:tcPr>
            <w:tcW w:w="845" w:type="pct"/>
            <w:tcBorders>
              <w:top w:val="nil"/>
              <w:left w:val="single" w:sz="8" w:space="0" w:color="auto"/>
              <w:bottom w:val="nil"/>
              <w:right w:val="nil"/>
            </w:tcBorders>
            <w:shd w:val="clear" w:color="000000" w:fill="FCE4D6"/>
            <w:noWrap/>
            <w:vAlign w:val="bottom"/>
            <w:hideMark/>
          </w:tcPr>
          <w:p w14:paraId="2C2C374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476" w:type="pct"/>
            <w:tcBorders>
              <w:top w:val="nil"/>
              <w:left w:val="nil"/>
              <w:bottom w:val="nil"/>
              <w:right w:val="nil"/>
            </w:tcBorders>
            <w:shd w:val="clear" w:color="000000" w:fill="FCE4D6"/>
            <w:noWrap/>
            <w:vAlign w:val="bottom"/>
            <w:hideMark/>
          </w:tcPr>
          <w:p w14:paraId="37504C8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14</w:t>
            </w:r>
          </w:p>
        </w:tc>
        <w:tc>
          <w:tcPr>
            <w:tcW w:w="909" w:type="pct"/>
            <w:tcBorders>
              <w:top w:val="nil"/>
              <w:left w:val="nil"/>
              <w:bottom w:val="nil"/>
              <w:right w:val="nil"/>
            </w:tcBorders>
            <w:shd w:val="clear" w:color="000000" w:fill="FCE4D6"/>
            <w:noWrap/>
            <w:vAlign w:val="bottom"/>
            <w:hideMark/>
          </w:tcPr>
          <w:p w14:paraId="1E95567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-14</w:t>
            </w:r>
          </w:p>
        </w:tc>
        <w:tc>
          <w:tcPr>
            <w:tcW w:w="476" w:type="pct"/>
            <w:tcBorders>
              <w:top w:val="nil"/>
              <w:left w:val="nil"/>
              <w:bottom w:val="nil"/>
              <w:right w:val="nil"/>
            </w:tcBorders>
            <w:shd w:val="clear" w:color="000000" w:fill="FCE4D6"/>
            <w:noWrap/>
            <w:vAlign w:val="bottom"/>
            <w:hideMark/>
          </w:tcPr>
          <w:p w14:paraId="622341F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909" w:type="pct"/>
            <w:tcBorders>
              <w:top w:val="nil"/>
              <w:left w:val="nil"/>
              <w:bottom w:val="nil"/>
              <w:right w:val="nil"/>
            </w:tcBorders>
            <w:shd w:val="clear" w:color="000000" w:fill="FCE4D6"/>
            <w:noWrap/>
            <w:vAlign w:val="bottom"/>
            <w:hideMark/>
          </w:tcPr>
          <w:p w14:paraId="7DA66AA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-17</w:t>
            </w:r>
          </w:p>
        </w:tc>
        <w:tc>
          <w:tcPr>
            <w:tcW w:w="476" w:type="pct"/>
            <w:tcBorders>
              <w:top w:val="nil"/>
              <w:left w:val="nil"/>
              <w:bottom w:val="nil"/>
              <w:right w:val="nil"/>
            </w:tcBorders>
            <w:shd w:val="clear" w:color="000000" w:fill="FCE4D6"/>
            <w:noWrap/>
            <w:vAlign w:val="bottom"/>
            <w:hideMark/>
          </w:tcPr>
          <w:p w14:paraId="7457A02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20</w:t>
            </w:r>
          </w:p>
        </w:tc>
        <w:tc>
          <w:tcPr>
            <w:tcW w:w="909" w:type="pct"/>
            <w:tcBorders>
              <w:top w:val="nil"/>
              <w:left w:val="nil"/>
              <w:bottom w:val="nil"/>
              <w:right w:val="single" w:sz="8" w:space="0" w:color="auto"/>
            </w:tcBorders>
            <w:shd w:val="clear" w:color="000000" w:fill="FCE4D6"/>
            <w:noWrap/>
            <w:vAlign w:val="bottom"/>
            <w:hideMark/>
          </w:tcPr>
          <w:p w14:paraId="60A6E2D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-15</w:t>
            </w:r>
          </w:p>
        </w:tc>
      </w:tr>
      <w:tr w:rsidR="0080195A" w:rsidRPr="0080195A" w14:paraId="703FE83F" w14:textId="77777777" w:rsidTr="0080195A">
        <w:trPr>
          <w:trHeight w:val="300"/>
        </w:trPr>
        <w:tc>
          <w:tcPr>
            <w:tcW w:w="845" w:type="pct"/>
            <w:tcBorders>
              <w:top w:val="nil"/>
              <w:left w:val="single" w:sz="8" w:space="0" w:color="auto"/>
              <w:bottom w:val="nil"/>
              <w:right w:val="nil"/>
            </w:tcBorders>
            <w:shd w:val="clear" w:color="000000" w:fill="FCE4D6"/>
            <w:noWrap/>
            <w:vAlign w:val="bottom"/>
            <w:hideMark/>
          </w:tcPr>
          <w:p w14:paraId="5B2C775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476" w:type="pct"/>
            <w:tcBorders>
              <w:top w:val="nil"/>
              <w:left w:val="nil"/>
              <w:bottom w:val="nil"/>
              <w:right w:val="nil"/>
            </w:tcBorders>
            <w:shd w:val="clear" w:color="000000" w:fill="FCE4D6"/>
            <w:noWrap/>
            <w:vAlign w:val="bottom"/>
            <w:hideMark/>
          </w:tcPr>
          <w:p w14:paraId="53EA487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909" w:type="pct"/>
            <w:tcBorders>
              <w:top w:val="nil"/>
              <w:left w:val="nil"/>
              <w:bottom w:val="nil"/>
              <w:right w:val="nil"/>
            </w:tcBorders>
            <w:shd w:val="clear" w:color="000000" w:fill="FCE4D6"/>
            <w:noWrap/>
            <w:vAlign w:val="bottom"/>
            <w:hideMark/>
          </w:tcPr>
          <w:p w14:paraId="5DEA3E7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476" w:type="pct"/>
            <w:tcBorders>
              <w:top w:val="nil"/>
              <w:left w:val="nil"/>
              <w:bottom w:val="nil"/>
              <w:right w:val="nil"/>
            </w:tcBorders>
            <w:shd w:val="clear" w:color="000000" w:fill="FCE4D6"/>
            <w:noWrap/>
            <w:vAlign w:val="bottom"/>
            <w:hideMark/>
          </w:tcPr>
          <w:p w14:paraId="7E6A46A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909" w:type="pct"/>
            <w:tcBorders>
              <w:top w:val="nil"/>
              <w:left w:val="nil"/>
              <w:bottom w:val="nil"/>
              <w:right w:val="nil"/>
            </w:tcBorders>
            <w:shd w:val="clear" w:color="000000" w:fill="FCE4D6"/>
            <w:noWrap/>
            <w:vAlign w:val="bottom"/>
            <w:hideMark/>
          </w:tcPr>
          <w:p w14:paraId="4E2520B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-6</w:t>
            </w:r>
          </w:p>
        </w:tc>
        <w:tc>
          <w:tcPr>
            <w:tcW w:w="476" w:type="pct"/>
            <w:tcBorders>
              <w:top w:val="nil"/>
              <w:left w:val="nil"/>
              <w:bottom w:val="nil"/>
              <w:right w:val="nil"/>
            </w:tcBorders>
            <w:shd w:val="clear" w:color="000000" w:fill="FCE4D6"/>
            <w:noWrap/>
            <w:vAlign w:val="bottom"/>
            <w:hideMark/>
          </w:tcPr>
          <w:p w14:paraId="016551E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25</w:t>
            </w:r>
          </w:p>
        </w:tc>
        <w:tc>
          <w:tcPr>
            <w:tcW w:w="909" w:type="pct"/>
            <w:tcBorders>
              <w:top w:val="nil"/>
              <w:left w:val="nil"/>
              <w:bottom w:val="nil"/>
              <w:right w:val="single" w:sz="8" w:space="0" w:color="auto"/>
            </w:tcBorders>
            <w:shd w:val="clear" w:color="000000" w:fill="FCE4D6"/>
            <w:noWrap/>
            <w:vAlign w:val="bottom"/>
            <w:hideMark/>
          </w:tcPr>
          <w:p w14:paraId="27046FC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r>
      <w:tr w:rsidR="0080195A" w:rsidRPr="0080195A" w14:paraId="77CD6D0F" w14:textId="77777777" w:rsidTr="0080195A">
        <w:trPr>
          <w:trHeight w:val="300"/>
        </w:trPr>
        <w:tc>
          <w:tcPr>
            <w:tcW w:w="845" w:type="pct"/>
            <w:tcBorders>
              <w:top w:val="nil"/>
              <w:left w:val="single" w:sz="8" w:space="0" w:color="auto"/>
              <w:bottom w:val="nil"/>
              <w:right w:val="nil"/>
            </w:tcBorders>
            <w:shd w:val="clear" w:color="000000" w:fill="FCE4D6"/>
            <w:noWrap/>
            <w:vAlign w:val="bottom"/>
            <w:hideMark/>
          </w:tcPr>
          <w:p w14:paraId="5EBDB9E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476" w:type="pct"/>
            <w:tcBorders>
              <w:top w:val="nil"/>
              <w:left w:val="nil"/>
              <w:bottom w:val="nil"/>
              <w:right w:val="nil"/>
            </w:tcBorders>
            <w:shd w:val="clear" w:color="000000" w:fill="FCE4D6"/>
            <w:noWrap/>
            <w:vAlign w:val="bottom"/>
            <w:hideMark/>
          </w:tcPr>
          <w:p w14:paraId="2F90A7B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w:t>
            </w:r>
          </w:p>
        </w:tc>
        <w:tc>
          <w:tcPr>
            <w:tcW w:w="909" w:type="pct"/>
            <w:tcBorders>
              <w:top w:val="nil"/>
              <w:left w:val="nil"/>
              <w:bottom w:val="nil"/>
              <w:right w:val="nil"/>
            </w:tcBorders>
            <w:shd w:val="clear" w:color="000000" w:fill="FCE4D6"/>
            <w:noWrap/>
            <w:vAlign w:val="bottom"/>
            <w:hideMark/>
          </w:tcPr>
          <w:p w14:paraId="5B7EA2B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476" w:type="pct"/>
            <w:tcBorders>
              <w:top w:val="nil"/>
              <w:left w:val="nil"/>
              <w:bottom w:val="nil"/>
              <w:right w:val="nil"/>
            </w:tcBorders>
            <w:shd w:val="clear" w:color="000000" w:fill="FCE4D6"/>
            <w:noWrap/>
            <w:vAlign w:val="bottom"/>
            <w:hideMark/>
          </w:tcPr>
          <w:p w14:paraId="2435502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909" w:type="pct"/>
            <w:tcBorders>
              <w:top w:val="nil"/>
              <w:left w:val="nil"/>
              <w:bottom w:val="nil"/>
              <w:right w:val="nil"/>
            </w:tcBorders>
            <w:shd w:val="clear" w:color="000000" w:fill="FCE4D6"/>
            <w:noWrap/>
            <w:vAlign w:val="bottom"/>
            <w:hideMark/>
          </w:tcPr>
          <w:p w14:paraId="2C4FA8F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476" w:type="pct"/>
            <w:tcBorders>
              <w:top w:val="nil"/>
              <w:left w:val="nil"/>
              <w:bottom w:val="nil"/>
              <w:right w:val="nil"/>
            </w:tcBorders>
            <w:shd w:val="clear" w:color="000000" w:fill="FCE4D6"/>
            <w:noWrap/>
            <w:vAlign w:val="bottom"/>
            <w:hideMark/>
          </w:tcPr>
          <w:p w14:paraId="07115D8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909" w:type="pct"/>
            <w:tcBorders>
              <w:top w:val="nil"/>
              <w:left w:val="nil"/>
              <w:bottom w:val="nil"/>
              <w:right w:val="single" w:sz="8" w:space="0" w:color="auto"/>
            </w:tcBorders>
            <w:shd w:val="clear" w:color="000000" w:fill="FCE4D6"/>
            <w:noWrap/>
            <w:vAlign w:val="bottom"/>
            <w:hideMark/>
          </w:tcPr>
          <w:p w14:paraId="403CCE9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15</w:t>
            </w:r>
          </w:p>
        </w:tc>
      </w:tr>
      <w:tr w:rsidR="0080195A" w:rsidRPr="0080195A" w14:paraId="5854A691" w14:textId="77777777" w:rsidTr="0080195A">
        <w:trPr>
          <w:trHeight w:val="315"/>
        </w:trPr>
        <w:tc>
          <w:tcPr>
            <w:tcW w:w="845" w:type="pct"/>
            <w:tcBorders>
              <w:top w:val="nil"/>
              <w:left w:val="single" w:sz="8" w:space="0" w:color="auto"/>
              <w:bottom w:val="nil"/>
              <w:right w:val="nil"/>
            </w:tcBorders>
            <w:shd w:val="clear" w:color="000000" w:fill="8EA9DB"/>
            <w:noWrap/>
            <w:vAlign w:val="bottom"/>
            <w:hideMark/>
          </w:tcPr>
          <w:p w14:paraId="1EDDD73B"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PBP (Years)</w:t>
            </w:r>
          </w:p>
        </w:tc>
        <w:tc>
          <w:tcPr>
            <w:tcW w:w="476" w:type="pct"/>
            <w:tcBorders>
              <w:top w:val="nil"/>
              <w:left w:val="nil"/>
              <w:bottom w:val="nil"/>
              <w:right w:val="nil"/>
            </w:tcBorders>
            <w:shd w:val="clear" w:color="000000" w:fill="8EA9DB"/>
            <w:noWrap/>
            <w:vAlign w:val="bottom"/>
            <w:hideMark/>
          </w:tcPr>
          <w:p w14:paraId="3F96B2C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909" w:type="pct"/>
            <w:tcBorders>
              <w:top w:val="nil"/>
              <w:left w:val="nil"/>
              <w:bottom w:val="nil"/>
              <w:right w:val="nil"/>
            </w:tcBorders>
            <w:shd w:val="clear" w:color="000000" w:fill="8EA9DB"/>
            <w:noWrap/>
            <w:vAlign w:val="bottom"/>
            <w:hideMark/>
          </w:tcPr>
          <w:p w14:paraId="13561713"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4.50</w:t>
            </w:r>
          </w:p>
        </w:tc>
        <w:tc>
          <w:tcPr>
            <w:tcW w:w="476" w:type="pct"/>
            <w:tcBorders>
              <w:top w:val="nil"/>
              <w:left w:val="nil"/>
              <w:bottom w:val="nil"/>
              <w:right w:val="nil"/>
            </w:tcBorders>
            <w:shd w:val="clear" w:color="000000" w:fill="8EA9DB"/>
            <w:noWrap/>
            <w:vAlign w:val="bottom"/>
            <w:hideMark/>
          </w:tcPr>
          <w:p w14:paraId="68BFFB02"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909" w:type="pct"/>
            <w:tcBorders>
              <w:top w:val="nil"/>
              <w:left w:val="nil"/>
              <w:bottom w:val="nil"/>
              <w:right w:val="nil"/>
            </w:tcBorders>
            <w:shd w:val="clear" w:color="000000" w:fill="8EA9DB"/>
            <w:noWrap/>
            <w:vAlign w:val="bottom"/>
            <w:hideMark/>
          </w:tcPr>
          <w:p w14:paraId="280D6407"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4.55</w:t>
            </w:r>
          </w:p>
        </w:tc>
        <w:tc>
          <w:tcPr>
            <w:tcW w:w="476" w:type="pct"/>
            <w:tcBorders>
              <w:top w:val="nil"/>
              <w:left w:val="nil"/>
              <w:bottom w:val="nil"/>
              <w:right w:val="nil"/>
            </w:tcBorders>
            <w:shd w:val="clear" w:color="000000" w:fill="8EA9DB"/>
            <w:noWrap/>
            <w:vAlign w:val="bottom"/>
            <w:hideMark/>
          </w:tcPr>
          <w:p w14:paraId="24C33464"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 </w:t>
            </w:r>
          </w:p>
        </w:tc>
        <w:tc>
          <w:tcPr>
            <w:tcW w:w="909" w:type="pct"/>
            <w:tcBorders>
              <w:top w:val="nil"/>
              <w:left w:val="nil"/>
              <w:bottom w:val="nil"/>
              <w:right w:val="single" w:sz="8" w:space="0" w:color="auto"/>
            </w:tcBorders>
            <w:shd w:val="clear" w:color="000000" w:fill="8EA9DB"/>
            <w:noWrap/>
            <w:vAlign w:val="bottom"/>
            <w:hideMark/>
          </w:tcPr>
          <w:p w14:paraId="6FBD9D9E"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3.60</w:t>
            </w:r>
          </w:p>
        </w:tc>
      </w:tr>
      <w:tr w:rsidR="0080195A" w:rsidRPr="0080195A" w14:paraId="04551F78" w14:textId="77777777" w:rsidTr="0080195A">
        <w:trPr>
          <w:trHeight w:val="915"/>
        </w:trPr>
        <w:tc>
          <w:tcPr>
            <w:tcW w:w="845" w:type="pct"/>
            <w:tcBorders>
              <w:top w:val="nil"/>
              <w:left w:val="single" w:sz="8" w:space="0" w:color="auto"/>
              <w:bottom w:val="single" w:sz="8" w:space="0" w:color="auto"/>
              <w:right w:val="nil"/>
            </w:tcBorders>
            <w:shd w:val="clear" w:color="000000" w:fill="FCE4D6"/>
            <w:vAlign w:val="bottom"/>
            <w:hideMark/>
          </w:tcPr>
          <w:p w14:paraId="4286DF5E"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(Years before break-even + (Unrecovered amount/Cash flow in recovery year))</w:t>
            </w:r>
          </w:p>
        </w:tc>
        <w:tc>
          <w:tcPr>
            <w:tcW w:w="476" w:type="pct"/>
            <w:tcBorders>
              <w:top w:val="nil"/>
              <w:left w:val="nil"/>
              <w:bottom w:val="single" w:sz="8" w:space="0" w:color="auto"/>
              <w:right w:val="nil"/>
            </w:tcBorders>
            <w:shd w:val="clear" w:color="000000" w:fill="FCE4D6"/>
            <w:noWrap/>
            <w:vAlign w:val="bottom"/>
            <w:hideMark/>
          </w:tcPr>
          <w:p w14:paraId="4B33F90E"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909" w:type="pct"/>
            <w:tcBorders>
              <w:top w:val="nil"/>
              <w:left w:val="nil"/>
              <w:bottom w:val="single" w:sz="8" w:space="0" w:color="auto"/>
              <w:right w:val="nil"/>
            </w:tcBorders>
            <w:shd w:val="clear" w:color="000000" w:fill="FCE4D6"/>
            <w:noWrap/>
            <w:vAlign w:val="bottom"/>
            <w:hideMark/>
          </w:tcPr>
          <w:p w14:paraId="23E67B1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476" w:type="pct"/>
            <w:tcBorders>
              <w:top w:val="nil"/>
              <w:left w:val="nil"/>
              <w:bottom w:val="single" w:sz="8" w:space="0" w:color="auto"/>
              <w:right w:val="nil"/>
            </w:tcBorders>
            <w:shd w:val="clear" w:color="000000" w:fill="FCE4D6"/>
            <w:noWrap/>
            <w:vAlign w:val="bottom"/>
            <w:hideMark/>
          </w:tcPr>
          <w:p w14:paraId="5C0D9FA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909" w:type="pct"/>
            <w:tcBorders>
              <w:top w:val="nil"/>
              <w:left w:val="nil"/>
              <w:bottom w:val="single" w:sz="8" w:space="0" w:color="auto"/>
              <w:right w:val="nil"/>
            </w:tcBorders>
            <w:shd w:val="clear" w:color="000000" w:fill="FCE4D6"/>
            <w:noWrap/>
            <w:vAlign w:val="bottom"/>
            <w:hideMark/>
          </w:tcPr>
          <w:p w14:paraId="11B302F8"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476" w:type="pct"/>
            <w:tcBorders>
              <w:top w:val="nil"/>
              <w:left w:val="nil"/>
              <w:bottom w:val="single" w:sz="8" w:space="0" w:color="auto"/>
              <w:right w:val="nil"/>
            </w:tcBorders>
            <w:shd w:val="clear" w:color="000000" w:fill="FCE4D6"/>
            <w:noWrap/>
            <w:vAlign w:val="bottom"/>
            <w:hideMark/>
          </w:tcPr>
          <w:p w14:paraId="1B859F24"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909" w:type="pct"/>
            <w:tcBorders>
              <w:top w:val="nil"/>
              <w:left w:val="nil"/>
              <w:bottom w:val="single" w:sz="8" w:space="0" w:color="auto"/>
              <w:right w:val="single" w:sz="8" w:space="0" w:color="auto"/>
            </w:tcBorders>
            <w:shd w:val="clear" w:color="000000" w:fill="FCE4D6"/>
            <w:noWrap/>
            <w:vAlign w:val="bottom"/>
            <w:hideMark/>
          </w:tcPr>
          <w:p w14:paraId="7036E0A5"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bl>
    <w:p w14:paraId="635B6DD5" w14:textId="77777777" w:rsidR="0040737D" w:rsidRPr="0040737D" w:rsidRDefault="0040737D" w:rsidP="0040737D"/>
    <w:tbl>
      <w:tblPr>
        <w:tblW w:w="5000" w:type="pct"/>
        <w:tblLook w:val="04A0" w:firstRow="1" w:lastRow="0" w:firstColumn="1" w:lastColumn="0" w:noHBand="0" w:noVBand="1"/>
      </w:tblPr>
      <w:tblGrid>
        <w:gridCol w:w="4195"/>
        <w:gridCol w:w="1715"/>
        <w:gridCol w:w="1715"/>
        <w:gridCol w:w="1715"/>
      </w:tblGrid>
      <w:tr w:rsidR="0080195A" w:rsidRPr="0080195A" w14:paraId="2CA0728B" w14:textId="77777777" w:rsidTr="0080195A">
        <w:trPr>
          <w:trHeight w:val="330"/>
        </w:trPr>
        <w:tc>
          <w:tcPr>
            <w:tcW w:w="5000" w:type="pct"/>
            <w:gridSpan w:val="4"/>
            <w:tcBorders>
              <w:top w:val="single" w:sz="8" w:space="0" w:color="auto"/>
              <w:left w:val="single" w:sz="8" w:space="0" w:color="auto"/>
              <w:bottom w:val="nil"/>
              <w:right w:val="single" w:sz="8" w:space="0" w:color="000000"/>
            </w:tcBorders>
            <w:shd w:val="clear" w:color="000000" w:fill="AEAAAA"/>
            <w:noWrap/>
            <w:vAlign w:val="bottom"/>
            <w:hideMark/>
          </w:tcPr>
          <w:p w14:paraId="7C643DB6"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Accounting Rate of Return  (ARR)</w:t>
            </w:r>
          </w:p>
        </w:tc>
      </w:tr>
      <w:tr w:rsidR="0080195A" w:rsidRPr="0080195A" w14:paraId="31CE3576" w14:textId="77777777" w:rsidTr="0080195A">
        <w:trPr>
          <w:trHeight w:val="330"/>
        </w:trPr>
        <w:tc>
          <w:tcPr>
            <w:tcW w:w="2333" w:type="pct"/>
            <w:tcBorders>
              <w:top w:val="nil"/>
              <w:left w:val="single" w:sz="8" w:space="0" w:color="auto"/>
              <w:bottom w:val="nil"/>
              <w:right w:val="nil"/>
            </w:tcBorders>
            <w:shd w:val="clear" w:color="000000" w:fill="AEAAAA"/>
            <w:noWrap/>
            <w:vAlign w:val="bottom"/>
            <w:hideMark/>
          </w:tcPr>
          <w:p w14:paraId="2257090D"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889" w:type="pct"/>
            <w:tcBorders>
              <w:top w:val="nil"/>
              <w:left w:val="nil"/>
              <w:bottom w:val="nil"/>
              <w:right w:val="nil"/>
            </w:tcBorders>
            <w:shd w:val="clear" w:color="000000" w:fill="AEAAAA"/>
            <w:noWrap/>
            <w:vAlign w:val="bottom"/>
            <w:hideMark/>
          </w:tcPr>
          <w:p w14:paraId="0003074D"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A (£m)</w:t>
            </w:r>
          </w:p>
        </w:tc>
        <w:tc>
          <w:tcPr>
            <w:tcW w:w="889" w:type="pct"/>
            <w:tcBorders>
              <w:top w:val="nil"/>
              <w:left w:val="nil"/>
              <w:bottom w:val="nil"/>
              <w:right w:val="nil"/>
            </w:tcBorders>
            <w:shd w:val="clear" w:color="000000" w:fill="AEAAAA"/>
            <w:noWrap/>
            <w:vAlign w:val="bottom"/>
            <w:hideMark/>
          </w:tcPr>
          <w:p w14:paraId="0F3BC4B5"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B (£m)</w:t>
            </w:r>
          </w:p>
        </w:tc>
        <w:tc>
          <w:tcPr>
            <w:tcW w:w="889" w:type="pct"/>
            <w:tcBorders>
              <w:top w:val="nil"/>
              <w:left w:val="nil"/>
              <w:bottom w:val="nil"/>
              <w:right w:val="single" w:sz="8" w:space="0" w:color="auto"/>
            </w:tcBorders>
            <w:shd w:val="clear" w:color="000000" w:fill="AEAAAA"/>
            <w:noWrap/>
            <w:vAlign w:val="bottom"/>
            <w:hideMark/>
          </w:tcPr>
          <w:p w14:paraId="02F5FBEC"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C (£m)</w:t>
            </w:r>
          </w:p>
        </w:tc>
      </w:tr>
      <w:tr w:rsidR="0080195A" w:rsidRPr="0080195A" w14:paraId="617DF11E" w14:textId="77777777" w:rsidTr="0080195A">
        <w:trPr>
          <w:trHeight w:val="315"/>
        </w:trPr>
        <w:tc>
          <w:tcPr>
            <w:tcW w:w="2333" w:type="pct"/>
            <w:tcBorders>
              <w:top w:val="nil"/>
              <w:left w:val="single" w:sz="8" w:space="0" w:color="auto"/>
              <w:bottom w:val="nil"/>
              <w:right w:val="nil"/>
            </w:tcBorders>
            <w:shd w:val="clear" w:color="000000" w:fill="F8CBAD"/>
            <w:noWrap/>
            <w:vAlign w:val="bottom"/>
            <w:hideMark/>
          </w:tcPr>
          <w:p w14:paraId="4EE5ABD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0/Initial Investment</w:t>
            </w:r>
          </w:p>
        </w:tc>
        <w:tc>
          <w:tcPr>
            <w:tcW w:w="889" w:type="pct"/>
            <w:tcBorders>
              <w:top w:val="nil"/>
              <w:left w:val="nil"/>
              <w:bottom w:val="nil"/>
              <w:right w:val="nil"/>
            </w:tcBorders>
            <w:shd w:val="clear" w:color="000000" w:fill="F8CBAD"/>
            <w:noWrap/>
            <w:vAlign w:val="bottom"/>
            <w:hideMark/>
          </w:tcPr>
          <w:p w14:paraId="5BFE90F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889" w:type="pct"/>
            <w:tcBorders>
              <w:top w:val="nil"/>
              <w:left w:val="nil"/>
              <w:bottom w:val="nil"/>
              <w:right w:val="nil"/>
            </w:tcBorders>
            <w:shd w:val="clear" w:color="000000" w:fill="F8CBAD"/>
            <w:noWrap/>
            <w:vAlign w:val="bottom"/>
            <w:hideMark/>
          </w:tcPr>
          <w:p w14:paraId="500C2FE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889" w:type="pct"/>
            <w:tcBorders>
              <w:top w:val="nil"/>
              <w:left w:val="nil"/>
              <w:bottom w:val="nil"/>
              <w:right w:val="single" w:sz="8" w:space="0" w:color="auto"/>
            </w:tcBorders>
            <w:shd w:val="clear" w:color="000000" w:fill="F8CBAD"/>
            <w:noWrap/>
            <w:vAlign w:val="bottom"/>
            <w:hideMark/>
          </w:tcPr>
          <w:p w14:paraId="7E9627B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6EE5E8FF" w14:textId="77777777" w:rsidTr="0080195A">
        <w:trPr>
          <w:trHeight w:val="300"/>
        </w:trPr>
        <w:tc>
          <w:tcPr>
            <w:tcW w:w="2333" w:type="pct"/>
            <w:tcBorders>
              <w:top w:val="nil"/>
              <w:left w:val="single" w:sz="8" w:space="0" w:color="auto"/>
              <w:bottom w:val="nil"/>
              <w:right w:val="nil"/>
            </w:tcBorders>
            <w:shd w:val="clear" w:color="000000" w:fill="F8CBAD"/>
            <w:noWrap/>
            <w:vAlign w:val="bottom"/>
            <w:hideMark/>
          </w:tcPr>
          <w:p w14:paraId="3797E5B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889" w:type="pct"/>
            <w:tcBorders>
              <w:top w:val="nil"/>
              <w:left w:val="nil"/>
              <w:bottom w:val="nil"/>
              <w:right w:val="nil"/>
            </w:tcBorders>
            <w:shd w:val="clear" w:color="000000" w:fill="F8CBAD"/>
            <w:noWrap/>
            <w:vAlign w:val="bottom"/>
            <w:hideMark/>
          </w:tcPr>
          <w:p w14:paraId="5955555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889" w:type="pct"/>
            <w:tcBorders>
              <w:top w:val="nil"/>
              <w:left w:val="nil"/>
              <w:bottom w:val="nil"/>
              <w:right w:val="nil"/>
            </w:tcBorders>
            <w:shd w:val="clear" w:color="000000" w:fill="F8CBAD"/>
            <w:noWrap/>
            <w:vAlign w:val="bottom"/>
            <w:hideMark/>
          </w:tcPr>
          <w:p w14:paraId="39B7774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889" w:type="pct"/>
            <w:tcBorders>
              <w:top w:val="nil"/>
              <w:left w:val="nil"/>
              <w:bottom w:val="nil"/>
              <w:right w:val="single" w:sz="8" w:space="0" w:color="auto"/>
            </w:tcBorders>
            <w:shd w:val="clear" w:color="000000" w:fill="F8CBAD"/>
            <w:noWrap/>
            <w:vAlign w:val="bottom"/>
            <w:hideMark/>
          </w:tcPr>
          <w:p w14:paraId="4E67604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r>
      <w:tr w:rsidR="0080195A" w:rsidRPr="0080195A" w14:paraId="4C2F1A2F" w14:textId="77777777" w:rsidTr="0080195A">
        <w:trPr>
          <w:trHeight w:val="300"/>
        </w:trPr>
        <w:tc>
          <w:tcPr>
            <w:tcW w:w="2333" w:type="pct"/>
            <w:tcBorders>
              <w:top w:val="nil"/>
              <w:left w:val="single" w:sz="8" w:space="0" w:color="auto"/>
              <w:bottom w:val="nil"/>
              <w:right w:val="nil"/>
            </w:tcBorders>
            <w:shd w:val="clear" w:color="000000" w:fill="F8CBAD"/>
            <w:noWrap/>
            <w:vAlign w:val="bottom"/>
            <w:hideMark/>
          </w:tcPr>
          <w:p w14:paraId="052870F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889" w:type="pct"/>
            <w:tcBorders>
              <w:top w:val="nil"/>
              <w:left w:val="nil"/>
              <w:bottom w:val="nil"/>
              <w:right w:val="nil"/>
            </w:tcBorders>
            <w:shd w:val="clear" w:color="000000" w:fill="F8CBAD"/>
            <w:noWrap/>
            <w:vAlign w:val="bottom"/>
            <w:hideMark/>
          </w:tcPr>
          <w:p w14:paraId="7B8307D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12</w:t>
            </w:r>
          </w:p>
        </w:tc>
        <w:tc>
          <w:tcPr>
            <w:tcW w:w="889" w:type="pct"/>
            <w:tcBorders>
              <w:top w:val="nil"/>
              <w:left w:val="nil"/>
              <w:bottom w:val="nil"/>
              <w:right w:val="nil"/>
            </w:tcBorders>
            <w:shd w:val="clear" w:color="000000" w:fill="F8CBAD"/>
            <w:noWrap/>
            <w:vAlign w:val="bottom"/>
            <w:hideMark/>
          </w:tcPr>
          <w:p w14:paraId="6CD118A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889" w:type="pct"/>
            <w:tcBorders>
              <w:top w:val="nil"/>
              <w:left w:val="nil"/>
              <w:bottom w:val="nil"/>
              <w:right w:val="single" w:sz="8" w:space="0" w:color="auto"/>
            </w:tcBorders>
            <w:shd w:val="clear" w:color="000000" w:fill="F8CBAD"/>
            <w:noWrap/>
            <w:vAlign w:val="bottom"/>
            <w:hideMark/>
          </w:tcPr>
          <w:p w14:paraId="2CAB8C3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r>
      <w:tr w:rsidR="0080195A" w:rsidRPr="0080195A" w14:paraId="3723B684" w14:textId="77777777" w:rsidTr="0080195A">
        <w:trPr>
          <w:trHeight w:val="300"/>
        </w:trPr>
        <w:tc>
          <w:tcPr>
            <w:tcW w:w="2333" w:type="pct"/>
            <w:tcBorders>
              <w:top w:val="nil"/>
              <w:left w:val="single" w:sz="8" w:space="0" w:color="auto"/>
              <w:bottom w:val="nil"/>
              <w:right w:val="nil"/>
            </w:tcBorders>
            <w:shd w:val="clear" w:color="000000" w:fill="F8CBAD"/>
            <w:noWrap/>
            <w:vAlign w:val="bottom"/>
            <w:hideMark/>
          </w:tcPr>
          <w:p w14:paraId="460C4EB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lastRenderedPageBreak/>
              <w:t>3</w:t>
            </w:r>
          </w:p>
        </w:tc>
        <w:tc>
          <w:tcPr>
            <w:tcW w:w="889" w:type="pct"/>
            <w:tcBorders>
              <w:top w:val="nil"/>
              <w:left w:val="nil"/>
              <w:bottom w:val="nil"/>
              <w:right w:val="nil"/>
            </w:tcBorders>
            <w:shd w:val="clear" w:color="000000" w:fill="F8CBAD"/>
            <w:noWrap/>
            <w:vAlign w:val="bottom"/>
            <w:hideMark/>
          </w:tcPr>
          <w:p w14:paraId="6135CEC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14</w:t>
            </w:r>
          </w:p>
        </w:tc>
        <w:tc>
          <w:tcPr>
            <w:tcW w:w="889" w:type="pct"/>
            <w:tcBorders>
              <w:top w:val="nil"/>
              <w:left w:val="nil"/>
              <w:bottom w:val="nil"/>
              <w:right w:val="nil"/>
            </w:tcBorders>
            <w:shd w:val="clear" w:color="000000" w:fill="F8CBAD"/>
            <w:noWrap/>
            <w:vAlign w:val="bottom"/>
            <w:hideMark/>
          </w:tcPr>
          <w:p w14:paraId="684A768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889" w:type="pct"/>
            <w:tcBorders>
              <w:top w:val="nil"/>
              <w:left w:val="nil"/>
              <w:bottom w:val="nil"/>
              <w:right w:val="single" w:sz="8" w:space="0" w:color="auto"/>
            </w:tcBorders>
            <w:shd w:val="clear" w:color="000000" w:fill="F8CBAD"/>
            <w:noWrap/>
            <w:vAlign w:val="bottom"/>
            <w:hideMark/>
          </w:tcPr>
          <w:p w14:paraId="0BB1981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20</w:t>
            </w:r>
          </w:p>
        </w:tc>
      </w:tr>
      <w:tr w:rsidR="0080195A" w:rsidRPr="0080195A" w14:paraId="76B7A51C" w14:textId="77777777" w:rsidTr="0080195A">
        <w:trPr>
          <w:trHeight w:val="300"/>
        </w:trPr>
        <w:tc>
          <w:tcPr>
            <w:tcW w:w="2333" w:type="pct"/>
            <w:tcBorders>
              <w:top w:val="nil"/>
              <w:left w:val="single" w:sz="8" w:space="0" w:color="auto"/>
              <w:bottom w:val="nil"/>
              <w:right w:val="nil"/>
            </w:tcBorders>
            <w:shd w:val="clear" w:color="000000" w:fill="F8CBAD"/>
            <w:noWrap/>
            <w:vAlign w:val="bottom"/>
            <w:hideMark/>
          </w:tcPr>
          <w:p w14:paraId="701DC6D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889" w:type="pct"/>
            <w:tcBorders>
              <w:top w:val="nil"/>
              <w:left w:val="nil"/>
              <w:bottom w:val="nil"/>
              <w:right w:val="nil"/>
            </w:tcBorders>
            <w:shd w:val="clear" w:color="000000" w:fill="F8CBAD"/>
            <w:noWrap/>
            <w:vAlign w:val="bottom"/>
            <w:hideMark/>
          </w:tcPr>
          <w:p w14:paraId="4161D44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889" w:type="pct"/>
            <w:tcBorders>
              <w:top w:val="nil"/>
              <w:left w:val="nil"/>
              <w:bottom w:val="nil"/>
              <w:right w:val="nil"/>
            </w:tcBorders>
            <w:shd w:val="clear" w:color="000000" w:fill="F8CBAD"/>
            <w:noWrap/>
            <w:vAlign w:val="bottom"/>
            <w:hideMark/>
          </w:tcPr>
          <w:p w14:paraId="6118E3F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889" w:type="pct"/>
            <w:tcBorders>
              <w:top w:val="nil"/>
              <w:left w:val="nil"/>
              <w:bottom w:val="nil"/>
              <w:right w:val="single" w:sz="8" w:space="0" w:color="auto"/>
            </w:tcBorders>
            <w:shd w:val="clear" w:color="000000" w:fill="F8CBAD"/>
            <w:noWrap/>
            <w:vAlign w:val="bottom"/>
            <w:hideMark/>
          </w:tcPr>
          <w:p w14:paraId="12EF05A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25</w:t>
            </w:r>
          </w:p>
        </w:tc>
      </w:tr>
      <w:tr w:rsidR="0080195A" w:rsidRPr="0080195A" w14:paraId="787A015F" w14:textId="77777777" w:rsidTr="0080195A">
        <w:trPr>
          <w:trHeight w:val="300"/>
        </w:trPr>
        <w:tc>
          <w:tcPr>
            <w:tcW w:w="2333" w:type="pct"/>
            <w:tcBorders>
              <w:top w:val="nil"/>
              <w:left w:val="single" w:sz="8" w:space="0" w:color="auto"/>
              <w:bottom w:val="nil"/>
              <w:right w:val="nil"/>
            </w:tcBorders>
            <w:shd w:val="clear" w:color="000000" w:fill="F8CBAD"/>
            <w:noWrap/>
            <w:vAlign w:val="bottom"/>
            <w:hideMark/>
          </w:tcPr>
          <w:p w14:paraId="7E46292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889" w:type="pct"/>
            <w:tcBorders>
              <w:top w:val="nil"/>
              <w:left w:val="nil"/>
              <w:bottom w:val="nil"/>
              <w:right w:val="nil"/>
            </w:tcBorders>
            <w:shd w:val="clear" w:color="000000" w:fill="F8CBAD"/>
            <w:noWrap/>
            <w:vAlign w:val="bottom"/>
            <w:hideMark/>
          </w:tcPr>
          <w:p w14:paraId="64A5419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w:t>
            </w:r>
          </w:p>
        </w:tc>
        <w:tc>
          <w:tcPr>
            <w:tcW w:w="889" w:type="pct"/>
            <w:tcBorders>
              <w:top w:val="nil"/>
              <w:left w:val="nil"/>
              <w:bottom w:val="nil"/>
              <w:right w:val="nil"/>
            </w:tcBorders>
            <w:shd w:val="clear" w:color="000000" w:fill="F8CBAD"/>
            <w:noWrap/>
            <w:vAlign w:val="bottom"/>
            <w:hideMark/>
          </w:tcPr>
          <w:p w14:paraId="32D20CE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889" w:type="pct"/>
            <w:tcBorders>
              <w:top w:val="nil"/>
              <w:left w:val="nil"/>
              <w:bottom w:val="nil"/>
              <w:right w:val="single" w:sz="8" w:space="0" w:color="auto"/>
            </w:tcBorders>
            <w:shd w:val="clear" w:color="000000" w:fill="F8CBAD"/>
            <w:noWrap/>
            <w:vAlign w:val="bottom"/>
            <w:hideMark/>
          </w:tcPr>
          <w:p w14:paraId="3F45EBF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r>
      <w:tr w:rsidR="0080195A" w:rsidRPr="0080195A" w14:paraId="6AF131F8" w14:textId="77777777" w:rsidTr="0080195A">
        <w:trPr>
          <w:trHeight w:val="315"/>
        </w:trPr>
        <w:tc>
          <w:tcPr>
            <w:tcW w:w="2333" w:type="pct"/>
            <w:tcBorders>
              <w:top w:val="nil"/>
              <w:left w:val="single" w:sz="8" w:space="0" w:color="auto"/>
              <w:bottom w:val="nil"/>
              <w:right w:val="nil"/>
            </w:tcBorders>
            <w:shd w:val="clear" w:color="000000" w:fill="F8CBAD"/>
            <w:noWrap/>
            <w:vAlign w:val="bottom"/>
            <w:hideMark/>
          </w:tcPr>
          <w:p w14:paraId="7B93A4E0"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Average Net Profit</w:t>
            </w:r>
          </w:p>
        </w:tc>
        <w:tc>
          <w:tcPr>
            <w:tcW w:w="889" w:type="pct"/>
            <w:tcBorders>
              <w:top w:val="nil"/>
              <w:left w:val="nil"/>
              <w:bottom w:val="nil"/>
              <w:right w:val="nil"/>
            </w:tcBorders>
            <w:shd w:val="clear" w:color="000000" w:fill="F8CBAD"/>
            <w:noWrap/>
            <w:vAlign w:val="bottom"/>
            <w:hideMark/>
          </w:tcPr>
          <w:p w14:paraId="6A291FE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10.8</w:t>
            </w:r>
          </w:p>
        </w:tc>
        <w:tc>
          <w:tcPr>
            <w:tcW w:w="889" w:type="pct"/>
            <w:tcBorders>
              <w:top w:val="nil"/>
              <w:left w:val="nil"/>
              <w:bottom w:val="nil"/>
              <w:right w:val="nil"/>
            </w:tcBorders>
            <w:shd w:val="clear" w:color="000000" w:fill="F8CBAD"/>
            <w:noWrap/>
            <w:vAlign w:val="bottom"/>
            <w:hideMark/>
          </w:tcPr>
          <w:p w14:paraId="46B8FA5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889" w:type="pct"/>
            <w:tcBorders>
              <w:top w:val="nil"/>
              <w:left w:val="nil"/>
              <w:bottom w:val="nil"/>
              <w:right w:val="single" w:sz="8" w:space="0" w:color="auto"/>
            </w:tcBorders>
            <w:shd w:val="clear" w:color="000000" w:fill="F8CBAD"/>
            <w:noWrap/>
            <w:vAlign w:val="bottom"/>
            <w:hideMark/>
          </w:tcPr>
          <w:p w14:paraId="4168C24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13</w:t>
            </w:r>
          </w:p>
        </w:tc>
      </w:tr>
      <w:tr w:rsidR="0080195A" w:rsidRPr="0080195A" w14:paraId="758FBACA" w14:textId="77777777" w:rsidTr="0080195A">
        <w:trPr>
          <w:trHeight w:val="315"/>
        </w:trPr>
        <w:tc>
          <w:tcPr>
            <w:tcW w:w="2333" w:type="pct"/>
            <w:tcBorders>
              <w:top w:val="nil"/>
              <w:left w:val="single" w:sz="8" w:space="0" w:color="auto"/>
              <w:bottom w:val="nil"/>
              <w:right w:val="nil"/>
            </w:tcBorders>
            <w:shd w:val="clear" w:color="000000" w:fill="AEAAAA"/>
            <w:noWrap/>
            <w:vAlign w:val="bottom"/>
            <w:hideMark/>
          </w:tcPr>
          <w:p w14:paraId="4216E8AF"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ARR</w:t>
            </w:r>
          </w:p>
        </w:tc>
        <w:tc>
          <w:tcPr>
            <w:tcW w:w="889" w:type="pct"/>
            <w:tcBorders>
              <w:top w:val="nil"/>
              <w:left w:val="nil"/>
              <w:bottom w:val="nil"/>
              <w:right w:val="nil"/>
            </w:tcBorders>
            <w:shd w:val="clear" w:color="000000" w:fill="AEAAAA"/>
            <w:noWrap/>
            <w:vAlign w:val="bottom"/>
            <w:hideMark/>
          </w:tcPr>
          <w:p w14:paraId="03E96981"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21.60%</w:t>
            </w:r>
          </w:p>
        </w:tc>
        <w:tc>
          <w:tcPr>
            <w:tcW w:w="889" w:type="pct"/>
            <w:tcBorders>
              <w:top w:val="nil"/>
              <w:left w:val="nil"/>
              <w:bottom w:val="nil"/>
              <w:right w:val="nil"/>
            </w:tcBorders>
            <w:shd w:val="clear" w:color="000000" w:fill="AEAAAA"/>
            <w:noWrap/>
            <w:vAlign w:val="bottom"/>
            <w:hideMark/>
          </w:tcPr>
          <w:p w14:paraId="2C812ADE"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22.00%</w:t>
            </w:r>
          </w:p>
        </w:tc>
        <w:tc>
          <w:tcPr>
            <w:tcW w:w="889" w:type="pct"/>
            <w:tcBorders>
              <w:top w:val="nil"/>
              <w:left w:val="nil"/>
              <w:bottom w:val="nil"/>
              <w:right w:val="single" w:sz="8" w:space="0" w:color="auto"/>
            </w:tcBorders>
            <w:shd w:val="clear" w:color="000000" w:fill="AEAAAA"/>
            <w:noWrap/>
            <w:vAlign w:val="bottom"/>
            <w:hideMark/>
          </w:tcPr>
          <w:p w14:paraId="7256588B"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26.00%</w:t>
            </w:r>
          </w:p>
        </w:tc>
      </w:tr>
      <w:tr w:rsidR="0080195A" w:rsidRPr="0080195A" w14:paraId="4E4DC449" w14:textId="77777777" w:rsidTr="0080195A">
        <w:trPr>
          <w:trHeight w:val="315"/>
        </w:trPr>
        <w:tc>
          <w:tcPr>
            <w:tcW w:w="2333" w:type="pct"/>
            <w:tcBorders>
              <w:top w:val="nil"/>
              <w:left w:val="single" w:sz="8" w:space="0" w:color="auto"/>
              <w:bottom w:val="single" w:sz="8" w:space="0" w:color="auto"/>
              <w:right w:val="nil"/>
            </w:tcBorders>
            <w:shd w:val="clear" w:color="000000" w:fill="F8CBAD"/>
            <w:noWrap/>
            <w:vAlign w:val="bottom"/>
            <w:hideMark/>
          </w:tcPr>
          <w:p w14:paraId="25FDBF9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Average Net Profit/Initial Investment*100</w:t>
            </w:r>
          </w:p>
        </w:tc>
        <w:tc>
          <w:tcPr>
            <w:tcW w:w="889" w:type="pct"/>
            <w:tcBorders>
              <w:top w:val="nil"/>
              <w:left w:val="nil"/>
              <w:bottom w:val="single" w:sz="8" w:space="0" w:color="auto"/>
              <w:right w:val="nil"/>
            </w:tcBorders>
            <w:shd w:val="clear" w:color="000000" w:fill="F8CBAD"/>
            <w:noWrap/>
            <w:vAlign w:val="bottom"/>
            <w:hideMark/>
          </w:tcPr>
          <w:p w14:paraId="12AC90A0"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889" w:type="pct"/>
            <w:tcBorders>
              <w:top w:val="nil"/>
              <w:left w:val="nil"/>
              <w:bottom w:val="single" w:sz="8" w:space="0" w:color="auto"/>
              <w:right w:val="nil"/>
            </w:tcBorders>
            <w:shd w:val="clear" w:color="000000" w:fill="F8CBAD"/>
            <w:noWrap/>
            <w:vAlign w:val="bottom"/>
            <w:hideMark/>
          </w:tcPr>
          <w:p w14:paraId="01351283"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889" w:type="pct"/>
            <w:tcBorders>
              <w:top w:val="nil"/>
              <w:left w:val="nil"/>
              <w:bottom w:val="single" w:sz="8" w:space="0" w:color="auto"/>
              <w:right w:val="single" w:sz="8" w:space="0" w:color="auto"/>
            </w:tcBorders>
            <w:shd w:val="clear" w:color="000000" w:fill="F8CBAD"/>
            <w:noWrap/>
            <w:vAlign w:val="bottom"/>
            <w:hideMark/>
          </w:tcPr>
          <w:p w14:paraId="6C13CA88"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bl>
    <w:p w14:paraId="50A4E615" w14:textId="77777777" w:rsidR="0080195A" w:rsidRDefault="0080195A" w:rsidP="0080195A">
      <w:pPr>
        <w:rPr>
          <w:b/>
        </w:rPr>
      </w:pPr>
    </w:p>
    <w:tbl>
      <w:tblPr>
        <w:tblW w:w="5000" w:type="pct"/>
        <w:tblLook w:val="04A0" w:firstRow="1" w:lastRow="0" w:firstColumn="1" w:lastColumn="0" w:noHBand="0" w:noVBand="1"/>
      </w:tblPr>
      <w:tblGrid>
        <w:gridCol w:w="5484"/>
        <w:gridCol w:w="3856"/>
      </w:tblGrid>
      <w:tr w:rsidR="0080195A" w:rsidRPr="0080195A" w14:paraId="71CD96E6" w14:textId="77777777" w:rsidTr="0080195A">
        <w:trPr>
          <w:trHeight w:val="315"/>
        </w:trPr>
        <w:tc>
          <w:tcPr>
            <w:tcW w:w="5000" w:type="pct"/>
            <w:gridSpan w:val="2"/>
            <w:tcBorders>
              <w:top w:val="single" w:sz="8" w:space="0" w:color="auto"/>
              <w:left w:val="single" w:sz="8" w:space="0" w:color="auto"/>
              <w:bottom w:val="nil"/>
              <w:right w:val="single" w:sz="8" w:space="0" w:color="000000"/>
            </w:tcBorders>
            <w:shd w:val="clear" w:color="000000" w:fill="F8CBAD"/>
            <w:noWrap/>
            <w:vAlign w:val="bottom"/>
            <w:hideMark/>
          </w:tcPr>
          <w:p w14:paraId="0B0FA22F"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Depreciation</w:t>
            </w:r>
          </w:p>
        </w:tc>
      </w:tr>
      <w:tr w:rsidR="0080195A" w:rsidRPr="0080195A" w14:paraId="3E0779F8" w14:textId="77777777" w:rsidTr="0080195A">
        <w:trPr>
          <w:trHeight w:val="300"/>
        </w:trPr>
        <w:tc>
          <w:tcPr>
            <w:tcW w:w="2936" w:type="pct"/>
            <w:tcBorders>
              <w:top w:val="nil"/>
              <w:left w:val="single" w:sz="8" w:space="0" w:color="auto"/>
              <w:bottom w:val="nil"/>
              <w:right w:val="nil"/>
            </w:tcBorders>
            <w:shd w:val="clear" w:color="000000" w:fill="8EA9DB"/>
            <w:noWrap/>
            <w:vAlign w:val="bottom"/>
            <w:hideMark/>
          </w:tcPr>
          <w:p w14:paraId="7722EDB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Initial investment (£m)</w:t>
            </w:r>
          </w:p>
        </w:tc>
        <w:tc>
          <w:tcPr>
            <w:tcW w:w="2064" w:type="pct"/>
            <w:tcBorders>
              <w:top w:val="nil"/>
              <w:left w:val="nil"/>
              <w:bottom w:val="nil"/>
              <w:right w:val="single" w:sz="8" w:space="0" w:color="auto"/>
            </w:tcBorders>
            <w:shd w:val="clear" w:color="000000" w:fill="8EA9DB"/>
            <w:noWrap/>
            <w:vAlign w:val="bottom"/>
            <w:hideMark/>
          </w:tcPr>
          <w:p w14:paraId="120752F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619E4AD1" w14:textId="77777777" w:rsidTr="0080195A">
        <w:trPr>
          <w:trHeight w:val="300"/>
        </w:trPr>
        <w:tc>
          <w:tcPr>
            <w:tcW w:w="2936" w:type="pct"/>
            <w:tcBorders>
              <w:top w:val="nil"/>
              <w:left w:val="single" w:sz="8" w:space="0" w:color="auto"/>
              <w:bottom w:val="nil"/>
              <w:right w:val="nil"/>
            </w:tcBorders>
            <w:shd w:val="clear" w:color="000000" w:fill="8EA9DB"/>
            <w:noWrap/>
            <w:vAlign w:val="bottom"/>
            <w:hideMark/>
          </w:tcPr>
          <w:p w14:paraId="3FDEF290"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Method</w:t>
            </w:r>
          </w:p>
        </w:tc>
        <w:tc>
          <w:tcPr>
            <w:tcW w:w="2064" w:type="pct"/>
            <w:tcBorders>
              <w:top w:val="nil"/>
              <w:left w:val="nil"/>
              <w:bottom w:val="nil"/>
              <w:right w:val="single" w:sz="8" w:space="0" w:color="auto"/>
            </w:tcBorders>
            <w:shd w:val="clear" w:color="000000" w:fill="8EA9DB"/>
            <w:noWrap/>
            <w:vAlign w:val="bottom"/>
            <w:hideMark/>
          </w:tcPr>
          <w:p w14:paraId="670C657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Straight-line to zero</w:t>
            </w:r>
          </w:p>
        </w:tc>
      </w:tr>
      <w:tr w:rsidR="0080195A" w:rsidRPr="0080195A" w14:paraId="1515B739" w14:textId="77777777" w:rsidTr="0080195A">
        <w:trPr>
          <w:trHeight w:val="300"/>
        </w:trPr>
        <w:tc>
          <w:tcPr>
            <w:tcW w:w="2936" w:type="pct"/>
            <w:tcBorders>
              <w:top w:val="nil"/>
              <w:left w:val="single" w:sz="8" w:space="0" w:color="auto"/>
              <w:bottom w:val="nil"/>
              <w:right w:val="nil"/>
            </w:tcBorders>
            <w:shd w:val="clear" w:color="000000" w:fill="8EA9DB"/>
            <w:noWrap/>
            <w:vAlign w:val="bottom"/>
            <w:hideMark/>
          </w:tcPr>
          <w:p w14:paraId="10A92F0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Project life (Years)</w:t>
            </w:r>
          </w:p>
        </w:tc>
        <w:tc>
          <w:tcPr>
            <w:tcW w:w="2064" w:type="pct"/>
            <w:tcBorders>
              <w:top w:val="nil"/>
              <w:left w:val="nil"/>
              <w:bottom w:val="nil"/>
              <w:right w:val="single" w:sz="8" w:space="0" w:color="auto"/>
            </w:tcBorders>
            <w:shd w:val="clear" w:color="000000" w:fill="8EA9DB"/>
            <w:noWrap/>
            <w:vAlign w:val="bottom"/>
            <w:hideMark/>
          </w:tcPr>
          <w:p w14:paraId="457E307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r>
      <w:tr w:rsidR="0080195A" w:rsidRPr="0080195A" w14:paraId="208DADFF" w14:textId="77777777" w:rsidTr="0080195A">
        <w:trPr>
          <w:trHeight w:val="300"/>
        </w:trPr>
        <w:tc>
          <w:tcPr>
            <w:tcW w:w="2936" w:type="pct"/>
            <w:tcBorders>
              <w:top w:val="nil"/>
              <w:left w:val="single" w:sz="8" w:space="0" w:color="auto"/>
              <w:bottom w:val="nil"/>
              <w:right w:val="nil"/>
            </w:tcBorders>
            <w:shd w:val="clear" w:color="000000" w:fill="8EA9DB"/>
            <w:noWrap/>
            <w:vAlign w:val="bottom"/>
            <w:hideMark/>
          </w:tcPr>
          <w:p w14:paraId="7D22BA74"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Annual Depreciation</w:t>
            </w:r>
          </w:p>
        </w:tc>
        <w:tc>
          <w:tcPr>
            <w:tcW w:w="2064" w:type="pct"/>
            <w:tcBorders>
              <w:top w:val="nil"/>
              <w:left w:val="nil"/>
              <w:bottom w:val="nil"/>
              <w:right w:val="single" w:sz="8" w:space="0" w:color="auto"/>
            </w:tcBorders>
            <w:shd w:val="clear" w:color="000000" w:fill="8EA9DB"/>
            <w:noWrap/>
            <w:vAlign w:val="bottom"/>
            <w:hideMark/>
          </w:tcPr>
          <w:p w14:paraId="3857EF8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r>
      <w:tr w:rsidR="0080195A" w:rsidRPr="0080195A" w14:paraId="5588AB34" w14:textId="77777777" w:rsidTr="0080195A">
        <w:trPr>
          <w:trHeight w:val="315"/>
        </w:trPr>
        <w:tc>
          <w:tcPr>
            <w:tcW w:w="2936" w:type="pct"/>
            <w:tcBorders>
              <w:top w:val="nil"/>
              <w:left w:val="single" w:sz="8" w:space="0" w:color="auto"/>
              <w:bottom w:val="single" w:sz="8" w:space="0" w:color="auto"/>
              <w:right w:val="nil"/>
            </w:tcBorders>
            <w:shd w:val="clear" w:color="000000" w:fill="8EA9DB"/>
            <w:noWrap/>
            <w:vAlign w:val="bottom"/>
            <w:hideMark/>
          </w:tcPr>
          <w:p w14:paraId="7658C4D5"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Initial investment/Project life</w:t>
            </w:r>
          </w:p>
        </w:tc>
        <w:tc>
          <w:tcPr>
            <w:tcW w:w="2064" w:type="pct"/>
            <w:tcBorders>
              <w:top w:val="nil"/>
              <w:left w:val="nil"/>
              <w:bottom w:val="single" w:sz="8" w:space="0" w:color="auto"/>
              <w:right w:val="single" w:sz="8" w:space="0" w:color="auto"/>
            </w:tcBorders>
            <w:shd w:val="clear" w:color="000000" w:fill="8EA9DB"/>
            <w:noWrap/>
            <w:vAlign w:val="bottom"/>
            <w:hideMark/>
          </w:tcPr>
          <w:p w14:paraId="46841E3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bl>
    <w:p w14:paraId="7779B87F" w14:textId="77777777" w:rsidR="0080195A" w:rsidRDefault="0080195A" w:rsidP="0080195A">
      <w:pPr>
        <w:rPr>
          <w:b/>
        </w:rPr>
      </w:pPr>
    </w:p>
    <w:tbl>
      <w:tblPr>
        <w:tblW w:w="5000" w:type="pct"/>
        <w:tblLook w:val="04A0" w:firstRow="1" w:lastRow="0" w:firstColumn="1" w:lastColumn="0" w:noHBand="0" w:noVBand="1"/>
      </w:tblPr>
      <w:tblGrid>
        <w:gridCol w:w="602"/>
        <w:gridCol w:w="1421"/>
        <w:gridCol w:w="4345"/>
        <w:gridCol w:w="2972"/>
      </w:tblGrid>
      <w:tr w:rsidR="0080195A" w:rsidRPr="0080195A" w14:paraId="6FCB0D94" w14:textId="77777777" w:rsidTr="0080195A">
        <w:trPr>
          <w:trHeight w:val="315"/>
        </w:trPr>
        <w:tc>
          <w:tcPr>
            <w:tcW w:w="5000" w:type="pct"/>
            <w:gridSpan w:val="4"/>
            <w:tcBorders>
              <w:top w:val="single" w:sz="8" w:space="0" w:color="auto"/>
              <w:left w:val="single" w:sz="8" w:space="0" w:color="auto"/>
              <w:bottom w:val="nil"/>
              <w:right w:val="single" w:sz="8" w:space="0" w:color="000000"/>
            </w:tcBorders>
            <w:shd w:val="clear" w:color="000000" w:fill="A9D08E"/>
            <w:noWrap/>
            <w:vAlign w:val="bottom"/>
            <w:hideMark/>
          </w:tcPr>
          <w:p w14:paraId="5B15D64C"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Net Present Value (NPV)</w:t>
            </w:r>
          </w:p>
        </w:tc>
      </w:tr>
      <w:tr w:rsidR="0080195A" w:rsidRPr="0080195A" w14:paraId="78C471D3" w14:textId="77777777" w:rsidTr="0080195A">
        <w:trPr>
          <w:trHeight w:val="315"/>
        </w:trPr>
        <w:tc>
          <w:tcPr>
            <w:tcW w:w="305" w:type="pct"/>
            <w:tcBorders>
              <w:top w:val="nil"/>
              <w:left w:val="single" w:sz="8" w:space="0" w:color="auto"/>
              <w:bottom w:val="nil"/>
              <w:right w:val="nil"/>
            </w:tcBorders>
            <w:shd w:val="clear" w:color="000000" w:fill="A9D08E"/>
            <w:noWrap/>
            <w:vAlign w:val="bottom"/>
            <w:hideMark/>
          </w:tcPr>
          <w:p w14:paraId="5BD4DD27"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706" w:type="pct"/>
            <w:tcBorders>
              <w:top w:val="nil"/>
              <w:left w:val="nil"/>
              <w:bottom w:val="nil"/>
              <w:right w:val="nil"/>
            </w:tcBorders>
            <w:shd w:val="clear" w:color="000000" w:fill="A9D08E"/>
            <w:noWrap/>
            <w:vAlign w:val="bottom"/>
            <w:hideMark/>
          </w:tcPr>
          <w:p w14:paraId="1034FAB6"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A (£m)</w:t>
            </w:r>
          </w:p>
        </w:tc>
        <w:tc>
          <w:tcPr>
            <w:tcW w:w="2390" w:type="pct"/>
            <w:tcBorders>
              <w:top w:val="nil"/>
              <w:left w:val="nil"/>
              <w:bottom w:val="nil"/>
              <w:right w:val="nil"/>
            </w:tcBorders>
            <w:shd w:val="clear" w:color="000000" w:fill="A9D08E"/>
            <w:noWrap/>
            <w:vAlign w:val="bottom"/>
            <w:hideMark/>
          </w:tcPr>
          <w:p w14:paraId="5B82CDEA"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599" w:type="pct"/>
            <w:tcBorders>
              <w:top w:val="nil"/>
              <w:left w:val="nil"/>
              <w:bottom w:val="nil"/>
              <w:right w:val="single" w:sz="8" w:space="0" w:color="auto"/>
            </w:tcBorders>
            <w:shd w:val="clear" w:color="000000" w:fill="A9D08E"/>
            <w:noWrap/>
            <w:vAlign w:val="bottom"/>
            <w:hideMark/>
          </w:tcPr>
          <w:p w14:paraId="442273E2"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76B109B1"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234FABD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706" w:type="pct"/>
            <w:tcBorders>
              <w:top w:val="nil"/>
              <w:left w:val="nil"/>
              <w:bottom w:val="nil"/>
              <w:right w:val="nil"/>
            </w:tcBorders>
            <w:shd w:val="clear" w:color="000000" w:fill="FFE699"/>
            <w:noWrap/>
            <w:vAlign w:val="bottom"/>
            <w:hideMark/>
          </w:tcPr>
          <w:p w14:paraId="4280C24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2390" w:type="pct"/>
            <w:tcBorders>
              <w:top w:val="nil"/>
              <w:left w:val="nil"/>
              <w:bottom w:val="nil"/>
              <w:right w:val="nil"/>
            </w:tcBorders>
            <w:shd w:val="clear" w:color="000000" w:fill="FFE699"/>
            <w:noWrap/>
            <w:vAlign w:val="bottom"/>
            <w:hideMark/>
          </w:tcPr>
          <w:p w14:paraId="60AB0AB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1599" w:type="pct"/>
            <w:tcBorders>
              <w:top w:val="nil"/>
              <w:left w:val="nil"/>
              <w:bottom w:val="nil"/>
              <w:right w:val="single" w:sz="8" w:space="0" w:color="auto"/>
            </w:tcBorders>
            <w:shd w:val="clear" w:color="000000" w:fill="FFE699"/>
            <w:noWrap/>
            <w:vAlign w:val="bottom"/>
            <w:hideMark/>
          </w:tcPr>
          <w:p w14:paraId="1CC618C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611C28B1"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00CDBA2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706" w:type="pct"/>
            <w:tcBorders>
              <w:top w:val="nil"/>
              <w:left w:val="nil"/>
              <w:bottom w:val="nil"/>
              <w:right w:val="nil"/>
            </w:tcBorders>
            <w:shd w:val="clear" w:color="000000" w:fill="FFE699"/>
            <w:noWrap/>
            <w:vAlign w:val="bottom"/>
            <w:hideMark/>
          </w:tcPr>
          <w:p w14:paraId="6F6A039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2390" w:type="pct"/>
            <w:tcBorders>
              <w:top w:val="nil"/>
              <w:left w:val="nil"/>
              <w:bottom w:val="nil"/>
              <w:right w:val="nil"/>
            </w:tcBorders>
            <w:shd w:val="clear" w:color="000000" w:fill="FFE699"/>
            <w:noWrap/>
            <w:vAlign w:val="bottom"/>
            <w:hideMark/>
          </w:tcPr>
          <w:p w14:paraId="51197B6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0.909</w:t>
            </w:r>
          </w:p>
        </w:tc>
        <w:tc>
          <w:tcPr>
            <w:tcW w:w="1599" w:type="pct"/>
            <w:tcBorders>
              <w:top w:val="nil"/>
              <w:left w:val="nil"/>
              <w:bottom w:val="nil"/>
              <w:right w:val="single" w:sz="8" w:space="0" w:color="auto"/>
            </w:tcBorders>
            <w:shd w:val="clear" w:color="000000" w:fill="FFE699"/>
            <w:noWrap/>
            <w:vAlign w:val="bottom"/>
            <w:hideMark/>
          </w:tcPr>
          <w:p w14:paraId="599FC38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9.09</w:t>
            </w:r>
          </w:p>
        </w:tc>
      </w:tr>
      <w:tr w:rsidR="0080195A" w:rsidRPr="0080195A" w14:paraId="7F6179F3"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1051FFA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706" w:type="pct"/>
            <w:tcBorders>
              <w:top w:val="nil"/>
              <w:left w:val="nil"/>
              <w:bottom w:val="nil"/>
              <w:right w:val="nil"/>
            </w:tcBorders>
            <w:shd w:val="clear" w:color="000000" w:fill="FFE699"/>
            <w:noWrap/>
            <w:vAlign w:val="bottom"/>
            <w:hideMark/>
          </w:tcPr>
          <w:p w14:paraId="34CA162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12</w:t>
            </w:r>
          </w:p>
        </w:tc>
        <w:tc>
          <w:tcPr>
            <w:tcW w:w="2390" w:type="pct"/>
            <w:tcBorders>
              <w:top w:val="nil"/>
              <w:left w:val="nil"/>
              <w:bottom w:val="nil"/>
              <w:right w:val="nil"/>
            </w:tcBorders>
            <w:shd w:val="clear" w:color="000000" w:fill="FFE699"/>
            <w:noWrap/>
            <w:vAlign w:val="bottom"/>
            <w:hideMark/>
          </w:tcPr>
          <w:p w14:paraId="47C046C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0.826</w:t>
            </w:r>
          </w:p>
        </w:tc>
        <w:tc>
          <w:tcPr>
            <w:tcW w:w="1599" w:type="pct"/>
            <w:tcBorders>
              <w:top w:val="nil"/>
              <w:left w:val="nil"/>
              <w:bottom w:val="nil"/>
              <w:right w:val="single" w:sz="8" w:space="0" w:color="auto"/>
            </w:tcBorders>
            <w:shd w:val="clear" w:color="000000" w:fill="FFE699"/>
            <w:noWrap/>
            <w:vAlign w:val="bottom"/>
            <w:hideMark/>
          </w:tcPr>
          <w:p w14:paraId="366943F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9.91</w:t>
            </w:r>
          </w:p>
        </w:tc>
      </w:tr>
      <w:tr w:rsidR="0080195A" w:rsidRPr="0080195A" w14:paraId="5C16DB88"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59905EF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706" w:type="pct"/>
            <w:tcBorders>
              <w:top w:val="nil"/>
              <w:left w:val="nil"/>
              <w:bottom w:val="nil"/>
              <w:right w:val="nil"/>
            </w:tcBorders>
            <w:shd w:val="clear" w:color="000000" w:fill="FFE699"/>
            <w:noWrap/>
            <w:vAlign w:val="bottom"/>
            <w:hideMark/>
          </w:tcPr>
          <w:p w14:paraId="1297A44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14</w:t>
            </w:r>
          </w:p>
        </w:tc>
        <w:tc>
          <w:tcPr>
            <w:tcW w:w="2390" w:type="pct"/>
            <w:tcBorders>
              <w:top w:val="nil"/>
              <w:left w:val="nil"/>
              <w:bottom w:val="nil"/>
              <w:right w:val="nil"/>
            </w:tcBorders>
            <w:shd w:val="clear" w:color="000000" w:fill="FFE699"/>
            <w:noWrap/>
            <w:vAlign w:val="bottom"/>
            <w:hideMark/>
          </w:tcPr>
          <w:p w14:paraId="5E856E3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0.751</w:t>
            </w:r>
          </w:p>
        </w:tc>
        <w:tc>
          <w:tcPr>
            <w:tcW w:w="1599" w:type="pct"/>
            <w:tcBorders>
              <w:top w:val="nil"/>
              <w:left w:val="nil"/>
              <w:bottom w:val="nil"/>
              <w:right w:val="single" w:sz="8" w:space="0" w:color="auto"/>
            </w:tcBorders>
            <w:shd w:val="clear" w:color="000000" w:fill="FFE699"/>
            <w:noWrap/>
            <w:vAlign w:val="bottom"/>
            <w:hideMark/>
          </w:tcPr>
          <w:p w14:paraId="3FE1FF9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10.51</w:t>
            </w:r>
          </w:p>
        </w:tc>
      </w:tr>
      <w:tr w:rsidR="0080195A" w:rsidRPr="0080195A" w14:paraId="1D641810"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73F0D98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706" w:type="pct"/>
            <w:tcBorders>
              <w:top w:val="nil"/>
              <w:left w:val="nil"/>
              <w:bottom w:val="nil"/>
              <w:right w:val="nil"/>
            </w:tcBorders>
            <w:shd w:val="clear" w:color="000000" w:fill="FFE699"/>
            <w:noWrap/>
            <w:vAlign w:val="bottom"/>
            <w:hideMark/>
          </w:tcPr>
          <w:p w14:paraId="79D60A2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2390" w:type="pct"/>
            <w:tcBorders>
              <w:top w:val="nil"/>
              <w:left w:val="nil"/>
              <w:bottom w:val="nil"/>
              <w:right w:val="nil"/>
            </w:tcBorders>
            <w:shd w:val="clear" w:color="000000" w:fill="FFE699"/>
            <w:noWrap/>
            <w:vAlign w:val="bottom"/>
            <w:hideMark/>
          </w:tcPr>
          <w:p w14:paraId="23513D3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0.683</w:t>
            </w:r>
          </w:p>
        </w:tc>
        <w:tc>
          <w:tcPr>
            <w:tcW w:w="1599" w:type="pct"/>
            <w:tcBorders>
              <w:top w:val="nil"/>
              <w:left w:val="nil"/>
              <w:bottom w:val="nil"/>
              <w:right w:val="single" w:sz="8" w:space="0" w:color="auto"/>
            </w:tcBorders>
            <w:shd w:val="clear" w:color="000000" w:fill="FFE699"/>
            <w:noWrap/>
            <w:vAlign w:val="bottom"/>
            <w:hideMark/>
          </w:tcPr>
          <w:p w14:paraId="7EA5100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6.83</w:t>
            </w:r>
          </w:p>
        </w:tc>
      </w:tr>
      <w:tr w:rsidR="0080195A" w:rsidRPr="0080195A" w14:paraId="5B583729"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23FBD0B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706" w:type="pct"/>
            <w:tcBorders>
              <w:top w:val="nil"/>
              <w:left w:val="nil"/>
              <w:bottom w:val="nil"/>
              <w:right w:val="nil"/>
            </w:tcBorders>
            <w:shd w:val="clear" w:color="000000" w:fill="FFE699"/>
            <w:noWrap/>
            <w:vAlign w:val="bottom"/>
            <w:hideMark/>
          </w:tcPr>
          <w:p w14:paraId="0E81D69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w:t>
            </w:r>
          </w:p>
        </w:tc>
        <w:tc>
          <w:tcPr>
            <w:tcW w:w="2390" w:type="pct"/>
            <w:tcBorders>
              <w:top w:val="nil"/>
              <w:left w:val="nil"/>
              <w:bottom w:val="nil"/>
              <w:right w:val="nil"/>
            </w:tcBorders>
            <w:shd w:val="clear" w:color="000000" w:fill="FFE699"/>
            <w:noWrap/>
            <w:vAlign w:val="bottom"/>
            <w:hideMark/>
          </w:tcPr>
          <w:p w14:paraId="261232D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0.621</w:t>
            </w:r>
          </w:p>
        </w:tc>
        <w:tc>
          <w:tcPr>
            <w:tcW w:w="1599" w:type="pct"/>
            <w:tcBorders>
              <w:top w:val="nil"/>
              <w:left w:val="nil"/>
              <w:bottom w:val="nil"/>
              <w:right w:val="single" w:sz="8" w:space="0" w:color="auto"/>
            </w:tcBorders>
            <w:shd w:val="clear" w:color="000000" w:fill="FFE699"/>
            <w:noWrap/>
            <w:vAlign w:val="bottom"/>
            <w:hideMark/>
          </w:tcPr>
          <w:p w14:paraId="2335A06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4.97</w:t>
            </w:r>
          </w:p>
        </w:tc>
      </w:tr>
      <w:tr w:rsidR="0080195A" w:rsidRPr="0080195A" w14:paraId="15271202" w14:textId="77777777" w:rsidTr="0080195A">
        <w:trPr>
          <w:trHeight w:val="315"/>
        </w:trPr>
        <w:tc>
          <w:tcPr>
            <w:tcW w:w="305" w:type="pct"/>
            <w:tcBorders>
              <w:top w:val="nil"/>
              <w:left w:val="single" w:sz="8" w:space="0" w:color="auto"/>
              <w:bottom w:val="nil"/>
              <w:right w:val="nil"/>
            </w:tcBorders>
            <w:shd w:val="clear" w:color="000000" w:fill="FFE699"/>
            <w:noWrap/>
            <w:vAlign w:val="bottom"/>
            <w:hideMark/>
          </w:tcPr>
          <w:p w14:paraId="6248F742"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FFE699"/>
            <w:noWrap/>
            <w:vAlign w:val="bottom"/>
            <w:hideMark/>
          </w:tcPr>
          <w:p w14:paraId="2442973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A9D08E"/>
            <w:noWrap/>
            <w:vAlign w:val="bottom"/>
            <w:hideMark/>
          </w:tcPr>
          <w:p w14:paraId="29B0C718"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NPV (£m)</w:t>
            </w:r>
          </w:p>
        </w:tc>
        <w:tc>
          <w:tcPr>
            <w:tcW w:w="1599" w:type="pct"/>
            <w:tcBorders>
              <w:top w:val="nil"/>
              <w:left w:val="nil"/>
              <w:bottom w:val="nil"/>
              <w:right w:val="single" w:sz="8" w:space="0" w:color="auto"/>
            </w:tcBorders>
            <w:shd w:val="clear" w:color="000000" w:fill="A9D08E"/>
            <w:noWrap/>
            <w:vAlign w:val="bottom"/>
            <w:hideMark/>
          </w:tcPr>
          <w:p w14:paraId="7DD2A594"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-8.69</w:t>
            </w:r>
          </w:p>
        </w:tc>
      </w:tr>
      <w:tr w:rsidR="0080195A" w:rsidRPr="0080195A" w14:paraId="52083885" w14:textId="77777777" w:rsidTr="0080195A">
        <w:trPr>
          <w:trHeight w:val="915"/>
        </w:trPr>
        <w:tc>
          <w:tcPr>
            <w:tcW w:w="305" w:type="pct"/>
            <w:tcBorders>
              <w:top w:val="nil"/>
              <w:left w:val="single" w:sz="8" w:space="0" w:color="auto"/>
              <w:bottom w:val="single" w:sz="8" w:space="0" w:color="auto"/>
              <w:right w:val="nil"/>
            </w:tcBorders>
            <w:shd w:val="clear" w:color="000000" w:fill="FFE699"/>
            <w:noWrap/>
            <w:vAlign w:val="bottom"/>
            <w:hideMark/>
          </w:tcPr>
          <w:p w14:paraId="16EA984B"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single" w:sz="8" w:space="0" w:color="auto"/>
              <w:right w:val="nil"/>
            </w:tcBorders>
            <w:shd w:val="clear" w:color="000000" w:fill="FFE699"/>
            <w:noWrap/>
            <w:vAlign w:val="bottom"/>
            <w:hideMark/>
          </w:tcPr>
          <w:p w14:paraId="40E12640"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single" w:sz="8" w:space="0" w:color="auto"/>
              <w:right w:val="nil"/>
            </w:tcBorders>
            <w:shd w:val="clear" w:color="000000" w:fill="FFE699"/>
            <w:noWrap/>
            <w:vAlign w:val="bottom"/>
            <w:hideMark/>
          </w:tcPr>
          <w:p w14:paraId="18853726"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Sum of all present values</w:t>
            </w:r>
          </w:p>
        </w:tc>
        <w:tc>
          <w:tcPr>
            <w:tcW w:w="1599" w:type="pct"/>
            <w:tcBorders>
              <w:top w:val="nil"/>
              <w:left w:val="nil"/>
              <w:bottom w:val="single" w:sz="8" w:space="0" w:color="auto"/>
              <w:right w:val="single" w:sz="8" w:space="0" w:color="auto"/>
            </w:tcBorders>
            <w:shd w:val="clear" w:color="000000" w:fill="FFE699"/>
            <w:noWrap/>
            <w:vAlign w:val="bottom"/>
            <w:hideMark/>
          </w:tcPr>
          <w:p w14:paraId="49A174B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2158D972" w14:textId="77777777" w:rsidTr="0080195A">
        <w:trPr>
          <w:trHeight w:val="315"/>
        </w:trPr>
        <w:tc>
          <w:tcPr>
            <w:tcW w:w="305" w:type="pct"/>
            <w:tcBorders>
              <w:top w:val="nil"/>
              <w:left w:val="nil"/>
              <w:bottom w:val="nil"/>
              <w:right w:val="nil"/>
            </w:tcBorders>
            <w:noWrap/>
            <w:vAlign w:val="bottom"/>
            <w:hideMark/>
          </w:tcPr>
          <w:p w14:paraId="206D398F" w14:textId="77777777" w:rsidR="0080195A" w:rsidRPr="0080195A" w:rsidRDefault="0080195A" w:rsidP="0080195A">
            <w:pPr>
              <w:spacing w:line="240" w:lineRule="auto"/>
              <w:jc w:val="left"/>
              <w:rPr>
                <w:rFonts w:eastAsia="Times New Roman"/>
                <w:color w:val="000000"/>
                <w:szCs w:val="24"/>
                <w:lang w:val="en-IN" w:eastAsia="en-IN"/>
              </w:rPr>
            </w:pPr>
          </w:p>
        </w:tc>
        <w:tc>
          <w:tcPr>
            <w:tcW w:w="706" w:type="pct"/>
            <w:tcBorders>
              <w:top w:val="nil"/>
              <w:left w:val="nil"/>
              <w:bottom w:val="nil"/>
              <w:right w:val="nil"/>
            </w:tcBorders>
            <w:noWrap/>
            <w:vAlign w:val="bottom"/>
            <w:hideMark/>
          </w:tcPr>
          <w:p w14:paraId="1945E45D"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2390" w:type="pct"/>
            <w:tcBorders>
              <w:top w:val="nil"/>
              <w:left w:val="nil"/>
              <w:bottom w:val="nil"/>
              <w:right w:val="nil"/>
            </w:tcBorders>
            <w:noWrap/>
            <w:vAlign w:val="bottom"/>
            <w:hideMark/>
          </w:tcPr>
          <w:p w14:paraId="29568D37"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599" w:type="pct"/>
            <w:tcBorders>
              <w:top w:val="nil"/>
              <w:left w:val="nil"/>
              <w:bottom w:val="nil"/>
              <w:right w:val="nil"/>
            </w:tcBorders>
            <w:noWrap/>
            <w:vAlign w:val="bottom"/>
            <w:hideMark/>
          </w:tcPr>
          <w:p w14:paraId="7874511E"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r>
      <w:tr w:rsidR="0080195A" w:rsidRPr="0080195A" w14:paraId="3F883C1C" w14:textId="77777777" w:rsidTr="0080195A">
        <w:trPr>
          <w:trHeight w:val="330"/>
        </w:trPr>
        <w:tc>
          <w:tcPr>
            <w:tcW w:w="305" w:type="pct"/>
            <w:tcBorders>
              <w:top w:val="single" w:sz="8" w:space="0" w:color="auto"/>
              <w:left w:val="single" w:sz="8" w:space="0" w:color="auto"/>
              <w:bottom w:val="nil"/>
              <w:right w:val="nil"/>
            </w:tcBorders>
            <w:shd w:val="clear" w:color="000000" w:fill="A9D08E"/>
            <w:noWrap/>
            <w:vAlign w:val="bottom"/>
            <w:hideMark/>
          </w:tcPr>
          <w:p w14:paraId="689AB378"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706" w:type="pct"/>
            <w:tcBorders>
              <w:top w:val="single" w:sz="8" w:space="0" w:color="auto"/>
              <w:left w:val="nil"/>
              <w:bottom w:val="nil"/>
              <w:right w:val="nil"/>
            </w:tcBorders>
            <w:shd w:val="clear" w:color="000000" w:fill="A9D08E"/>
            <w:noWrap/>
            <w:vAlign w:val="bottom"/>
            <w:hideMark/>
          </w:tcPr>
          <w:p w14:paraId="11E3E042"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B (£m)</w:t>
            </w:r>
          </w:p>
        </w:tc>
        <w:tc>
          <w:tcPr>
            <w:tcW w:w="2390" w:type="pct"/>
            <w:tcBorders>
              <w:top w:val="single" w:sz="8" w:space="0" w:color="auto"/>
              <w:left w:val="nil"/>
              <w:bottom w:val="nil"/>
              <w:right w:val="nil"/>
            </w:tcBorders>
            <w:shd w:val="clear" w:color="000000" w:fill="A9D08E"/>
            <w:noWrap/>
            <w:vAlign w:val="bottom"/>
            <w:hideMark/>
          </w:tcPr>
          <w:p w14:paraId="6E1EF966"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599" w:type="pct"/>
            <w:tcBorders>
              <w:top w:val="single" w:sz="8" w:space="0" w:color="auto"/>
              <w:left w:val="nil"/>
              <w:bottom w:val="nil"/>
              <w:right w:val="single" w:sz="8" w:space="0" w:color="auto"/>
            </w:tcBorders>
            <w:shd w:val="clear" w:color="000000" w:fill="A9D08E"/>
            <w:noWrap/>
            <w:vAlign w:val="bottom"/>
            <w:hideMark/>
          </w:tcPr>
          <w:p w14:paraId="3552AB73"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5E6ED5EC" w14:textId="77777777" w:rsidTr="0080195A">
        <w:trPr>
          <w:trHeight w:val="315"/>
        </w:trPr>
        <w:tc>
          <w:tcPr>
            <w:tcW w:w="305" w:type="pct"/>
            <w:tcBorders>
              <w:top w:val="nil"/>
              <w:left w:val="single" w:sz="8" w:space="0" w:color="auto"/>
              <w:bottom w:val="nil"/>
              <w:right w:val="nil"/>
            </w:tcBorders>
            <w:shd w:val="clear" w:color="000000" w:fill="FFE699"/>
            <w:noWrap/>
            <w:vAlign w:val="bottom"/>
            <w:hideMark/>
          </w:tcPr>
          <w:p w14:paraId="6876D62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706" w:type="pct"/>
            <w:tcBorders>
              <w:top w:val="nil"/>
              <w:left w:val="nil"/>
              <w:bottom w:val="nil"/>
              <w:right w:val="nil"/>
            </w:tcBorders>
            <w:shd w:val="clear" w:color="000000" w:fill="FFE699"/>
            <w:noWrap/>
            <w:vAlign w:val="bottom"/>
            <w:hideMark/>
          </w:tcPr>
          <w:p w14:paraId="3201DFF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2390" w:type="pct"/>
            <w:tcBorders>
              <w:top w:val="nil"/>
              <w:left w:val="nil"/>
              <w:bottom w:val="nil"/>
              <w:right w:val="nil"/>
            </w:tcBorders>
            <w:shd w:val="clear" w:color="000000" w:fill="FFE699"/>
            <w:noWrap/>
            <w:vAlign w:val="bottom"/>
            <w:hideMark/>
          </w:tcPr>
          <w:p w14:paraId="0CFB06F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1599" w:type="pct"/>
            <w:tcBorders>
              <w:top w:val="nil"/>
              <w:left w:val="nil"/>
              <w:bottom w:val="nil"/>
              <w:right w:val="single" w:sz="8" w:space="0" w:color="auto"/>
            </w:tcBorders>
            <w:shd w:val="clear" w:color="000000" w:fill="FFE699"/>
            <w:noWrap/>
            <w:vAlign w:val="bottom"/>
            <w:hideMark/>
          </w:tcPr>
          <w:p w14:paraId="1546F69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35519E42"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5D119B1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706" w:type="pct"/>
            <w:tcBorders>
              <w:top w:val="nil"/>
              <w:left w:val="nil"/>
              <w:bottom w:val="nil"/>
              <w:right w:val="nil"/>
            </w:tcBorders>
            <w:shd w:val="clear" w:color="000000" w:fill="FFE699"/>
            <w:noWrap/>
            <w:vAlign w:val="bottom"/>
            <w:hideMark/>
          </w:tcPr>
          <w:p w14:paraId="0778CCA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FFE699"/>
            <w:noWrap/>
            <w:vAlign w:val="bottom"/>
            <w:hideMark/>
          </w:tcPr>
          <w:p w14:paraId="4050EF9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0.909</w:t>
            </w:r>
          </w:p>
        </w:tc>
        <w:tc>
          <w:tcPr>
            <w:tcW w:w="1599" w:type="pct"/>
            <w:tcBorders>
              <w:top w:val="nil"/>
              <w:left w:val="nil"/>
              <w:bottom w:val="nil"/>
              <w:right w:val="single" w:sz="8" w:space="0" w:color="auto"/>
            </w:tcBorders>
            <w:shd w:val="clear" w:color="000000" w:fill="FFE699"/>
            <w:noWrap/>
            <w:vAlign w:val="bottom"/>
            <w:hideMark/>
          </w:tcPr>
          <w:p w14:paraId="7C03B55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10.00</w:t>
            </w:r>
          </w:p>
        </w:tc>
      </w:tr>
      <w:tr w:rsidR="0080195A" w:rsidRPr="0080195A" w14:paraId="13B01BFD"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17310BF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706" w:type="pct"/>
            <w:tcBorders>
              <w:top w:val="nil"/>
              <w:left w:val="nil"/>
              <w:bottom w:val="nil"/>
              <w:right w:val="nil"/>
            </w:tcBorders>
            <w:shd w:val="clear" w:color="000000" w:fill="FFE699"/>
            <w:noWrap/>
            <w:vAlign w:val="bottom"/>
            <w:hideMark/>
          </w:tcPr>
          <w:p w14:paraId="4FA5C3B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FFE699"/>
            <w:noWrap/>
            <w:vAlign w:val="bottom"/>
            <w:hideMark/>
          </w:tcPr>
          <w:p w14:paraId="25526FB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0.826</w:t>
            </w:r>
          </w:p>
        </w:tc>
        <w:tc>
          <w:tcPr>
            <w:tcW w:w="1599" w:type="pct"/>
            <w:tcBorders>
              <w:top w:val="nil"/>
              <w:left w:val="nil"/>
              <w:bottom w:val="nil"/>
              <w:right w:val="single" w:sz="8" w:space="0" w:color="auto"/>
            </w:tcBorders>
            <w:shd w:val="clear" w:color="000000" w:fill="FFE699"/>
            <w:noWrap/>
            <w:vAlign w:val="bottom"/>
            <w:hideMark/>
          </w:tcPr>
          <w:p w14:paraId="6695963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9.09</w:t>
            </w:r>
          </w:p>
        </w:tc>
      </w:tr>
      <w:tr w:rsidR="0080195A" w:rsidRPr="0080195A" w14:paraId="1313EA8D"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662E7D3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706" w:type="pct"/>
            <w:tcBorders>
              <w:top w:val="nil"/>
              <w:left w:val="nil"/>
              <w:bottom w:val="nil"/>
              <w:right w:val="nil"/>
            </w:tcBorders>
            <w:shd w:val="clear" w:color="000000" w:fill="FFE699"/>
            <w:noWrap/>
            <w:vAlign w:val="bottom"/>
            <w:hideMark/>
          </w:tcPr>
          <w:p w14:paraId="2087A68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FFE699"/>
            <w:noWrap/>
            <w:vAlign w:val="bottom"/>
            <w:hideMark/>
          </w:tcPr>
          <w:p w14:paraId="0F0CCF0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0.751</w:t>
            </w:r>
          </w:p>
        </w:tc>
        <w:tc>
          <w:tcPr>
            <w:tcW w:w="1599" w:type="pct"/>
            <w:tcBorders>
              <w:top w:val="nil"/>
              <w:left w:val="nil"/>
              <w:bottom w:val="nil"/>
              <w:right w:val="single" w:sz="8" w:space="0" w:color="auto"/>
            </w:tcBorders>
            <w:shd w:val="clear" w:color="000000" w:fill="FFE699"/>
            <w:noWrap/>
            <w:vAlign w:val="bottom"/>
            <w:hideMark/>
          </w:tcPr>
          <w:p w14:paraId="796E2F2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8.26</w:t>
            </w:r>
          </w:p>
        </w:tc>
      </w:tr>
      <w:tr w:rsidR="0080195A" w:rsidRPr="0080195A" w14:paraId="016093C5"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7E19CE9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706" w:type="pct"/>
            <w:tcBorders>
              <w:top w:val="nil"/>
              <w:left w:val="nil"/>
              <w:bottom w:val="nil"/>
              <w:right w:val="nil"/>
            </w:tcBorders>
            <w:shd w:val="clear" w:color="000000" w:fill="FFE699"/>
            <w:noWrap/>
            <w:vAlign w:val="bottom"/>
            <w:hideMark/>
          </w:tcPr>
          <w:p w14:paraId="3F17F0A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FFE699"/>
            <w:noWrap/>
            <w:vAlign w:val="bottom"/>
            <w:hideMark/>
          </w:tcPr>
          <w:p w14:paraId="14789A6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0.683</w:t>
            </w:r>
          </w:p>
        </w:tc>
        <w:tc>
          <w:tcPr>
            <w:tcW w:w="1599" w:type="pct"/>
            <w:tcBorders>
              <w:top w:val="nil"/>
              <w:left w:val="nil"/>
              <w:bottom w:val="nil"/>
              <w:right w:val="single" w:sz="8" w:space="0" w:color="auto"/>
            </w:tcBorders>
            <w:shd w:val="clear" w:color="000000" w:fill="FFE699"/>
            <w:noWrap/>
            <w:vAlign w:val="bottom"/>
            <w:hideMark/>
          </w:tcPr>
          <w:p w14:paraId="71C72EF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7.51</w:t>
            </w:r>
          </w:p>
        </w:tc>
      </w:tr>
      <w:tr w:rsidR="0080195A" w:rsidRPr="0080195A" w14:paraId="0589131D" w14:textId="77777777" w:rsidTr="0080195A">
        <w:trPr>
          <w:trHeight w:val="315"/>
        </w:trPr>
        <w:tc>
          <w:tcPr>
            <w:tcW w:w="305" w:type="pct"/>
            <w:tcBorders>
              <w:top w:val="nil"/>
              <w:left w:val="single" w:sz="8" w:space="0" w:color="auto"/>
              <w:bottom w:val="nil"/>
              <w:right w:val="nil"/>
            </w:tcBorders>
            <w:shd w:val="clear" w:color="000000" w:fill="FFE699"/>
            <w:noWrap/>
            <w:vAlign w:val="bottom"/>
            <w:hideMark/>
          </w:tcPr>
          <w:p w14:paraId="7111934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706" w:type="pct"/>
            <w:tcBorders>
              <w:top w:val="nil"/>
              <w:left w:val="nil"/>
              <w:bottom w:val="nil"/>
              <w:right w:val="nil"/>
            </w:tcBorders>
            <w:shd w:val="clear" w:color="000000" w:fill="FFE699"/>
            <w:noWrap/>
            <w:vAlign w:val="bottom"/>
            <w:hideMark/>
          </w:tcPr>
          <w:p w14:paraId="4A4CEDA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FFE699"/>
            <w:noWrap/>
            <w:vAlign w:val="bottom"/>
            <w:hideMark/>
          </w:tcPr>
          <w:p w14:paraId="04460EA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0.621</w:t>
            </w:r>
          </w:p>
        </w:tc>
        <w:tc>
          <w:tcPr>
            <w:tcW w:w="1599" w:type="pct"/>
            <w:tcBorders>
              <w:top w:val="nil"/>
              <w:left w:val="nil"/>
              <w:bottom w:val="nil"/>
              <w:right w:val="single" w:sz="8" w:space="0" w:color="auto"/>
            </w:tcBorders>
            <w:shd w:val="clear" w:color="000000" w:fill="FFE699"/>
            <w:noWrap/>
            <w:vAlign w:val="bottom"/>
            <w:hideMark/>
          </w:tcPr>
          <w:p w14:paraId="0EAC5D6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6.83</w:t>
            </w:r>
          </w:p>
        </w:tc>
      </w:tr>
      <w:tr w:rsidR="0080195A" w:rsidRPr="0080195A" w14:paraId="7C37A946" w14:textId="77777777" w:rsidTr="0080195A">
        <w:trPr>
          <w:trHeight w:val="330"/>
        </w:trPr>
        <w:tc>
          <w:tcPr>
            <w:tcW w:w="305" w:type="pct"/>
            <w:tcBorders>
              <w:top w:val="nil"/>
              <w:left w:val="single" w:sz="8" w:space="0" w:color="auto"/>
              <w:bottom w:val="nil"/>
              <w:right w:val="nil"/>
            </w:tcBorders>
            <w:shd w:val="clear" w:color="000000" w:fill="FFE699"/>
            <w:noWrap/>
            <w:vAlign w:val="bottom"/>
            <w:hideMark/>
          </w:tcPr>
          <w:p w14:paraId="76AF045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FFE699"/>
            <w:noWrap/>
            <w:vAlign w:val="bottom"/>
            <w:hideMark/>
          </w:tcPr>
          <w:p w14:paraId="33458DE3"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A9D08E"/>
            <w:noWrap/>
            <w:vAlign w:val="bottom"/>
            <w:hideMark/>
          </w:tcPr>
          <w:p w14:paraId="0E611E0D"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NPV (£m)</w:t>
            </w:r>
          </w:p>
        </w:tc>
        <w:tc>
          <w:tcPr>
            <w:tcW w:w="1599" w:type="pct"/>
            <w:tcBorders>
              <w:top w:val="nil"/>
              <w:left w:val="nil"/>
              <w:bottom w:val="nil"/>
              <w:right w:val="single" w:sz="8" w:space="0" w:color="auto"/>
            </w:tcBorders>
            <w:shd w:val="clear" w:color="000000" w:fill="A9D08E"/>
            <w:noWrap/>
            <w:vAlign w:val="bottom"/>
            <w:hideMark/>
          </w:tcPr>
          <w:p w14:paraId="3ECA915E"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-8.31</w:t>
            </w:r>
          </w:p>
        </w:tc>
      </w:tr>
      <w:tr w:rsidR="0080195A" w:rsidRPr="0080195A" w14:paraId="7B79FE2D" w14:textId="77777777" w:rsidTr="0080195A">
        <w:trPr>
          <w:trHeight w:val="330"/>
        </w:trPr>
        <w:tc>
          <w:tcPr>
            <w:tcW w:w="305" w:type="pct"/>
            <w:tcBorders>
              <w:top w:val="nil"/>
              <w:left w:val="single" w:sz="8" w:space="0" w:color="auto"/>
              <w:bottom w:val="single" w:sz="8" w:space="0" w:color="auto"/>
              <w:right w:val="nil"/>
            </w:tcBorders>
            <w:shd w:val="clear" w:color="000000" w:fill="FFE699"/>
            <w:noWrap/>
            <w:vAlign w:val="bottom"/>
            <w:hideMark/>
          </w:tcPr>
          <w:p w14:paraId="7E65D25E"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single" w:sz="8" w:space="0" w:color="auto"/>
              <w:right w:val="nil"/>
            </w:tcBorders>
            <w:shd w:val="clear" w:color="000000" w:fill="FFE699"/>
            <w:noWrap/>
            <w:vAlign w:val="bottom"/>
            <w:hideMark/>
          </w:tcPr>
          <w:p w14:paraId="23446EB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single" w:sz="8" w:space="0" w:color="auto"/>
              <w:right w:val="nil"/>
            </w:tcBorders>
            <w:shd w:val="clear" w:color="000000" w:fill="FFE699"/>
            <w:noWrap/>
            <w:vAlign w:val="bottom"/>
            <w:hideMark/>
          </w:tcPr>
          <w:p w14:paraId="1359159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Sum of all present values</w:t>
            </w:r>
          </w:p>
        </w:tc>
        <w:tc>
          <w:tcPr>
            <w:tcW w:w="1599" w:type="pct"/>
            <w:tcBorders>
              <w:top w:val="nil"/>
              <w:left w:val="nil"/>
              <w:bottom w:val="single" w:sz="8" w:space="0" w:color="auto"/>
              <w:right w:val="single" w:sz="8" w:space="0" w:color="auto"/>
            </w:tcBorders>
            <w:shd w:val="clear" w:color="000000" w:fill="FFE699"/>
            <w:noWrap/>
            <w:vAlign w:val="bottom"/>
            <w:hideMark/>
          </w:tcPr>
          <w:p w14:paraId="5B9EF06A"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435D5322" w14:textId="77777777" w:rsidTr="0080195A">
        <w:trPr>
          <w:trHeight w:val="330"/>
        </w:trPr>
        <w:tc>
          <w:tcPr>
            <w:tcW w:w="305" w:type="pct"/>
            <w:tcBorders>
              <w:top w:val="nil"/>
              <w:left w:val="nil"/>
              <w:bottom w:val="nil"/>
              <w:right w:val="nil"/>
            </w:tcBorders>
            <w:noWrap/>
            <w:vAlign w:val="bottom"/>
            <w:hideMark/>
          </w:tcPr>
          <w:p w14:paraId="1219053A" w14:textId="77777777" w:rsidR="0080195A" w:rsidRPr="0080195A" w:rsidRDefault="0080195A" w:rsidP="0080195A">
            <w:pPr>
              <w:spacing w:line="240" w:lineRule="auto"/>
              <w:jc w:val="left"/>
              <w:rPr>
                <w:rFonts w:eastAsia="Times New Roman"/>
                <w:color w:val="000000"/>
                <w:szCs w:val="24"/>
                <w:lang w:val="en-IN" w:eastAsia="en-IN"/>
              </w:rPr>
            </w:pPr>
          </w:p>
        </w:tc>
        <w:tc>
          <w:tcPr>
            <w:tcW w:w="706" w:type="pct"/>
            <w:tcBorders>
              <w:top w:val="nil"/>
              <w:left w:val="nil"/>
              <w:bottom w:val="nil"/>
              <w:right w:val="nil"/>
            </w:tcBorders>
            <w:noWrap/>
            <w:vAlign w:val="bottom"/>
            <w:hideMark/>
          </w:tcPr>
          <w:p w14:paraId="64EA45BB"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2390" w:type="pct"/>
            <w:tcBorders>
              <w:top w:val="nil"/>
              <w:left w:val="nil"/>
              <w:bottom w:val="nil"/>
              <w:right w:val="nil"/>
            </w:tcBorders>
            <w:noWrap/>
            <w:vAlign w:val="bottom"/>
            <w:hideMark/>
          </w:tcPr>
          <w:p w14:paraId="0A81F19A"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599" w:type="pct"/>
            <w:tcBorders>
              <w:top w:val="nil"/>
              <w:left w:val="nil"/>
              <w:bottom w:val="nil"/>
              <w:right w:val="nil"/>
            </w:tcBorders>
            <w:noWrap/>
            <w:vAlign w:val="bottom"/>
            <w:hideMark/>
          </w:tcPr>
          <w:p w14:paraId="361E4C2E"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r>
      <w:tr w:rsidR="0080195A" w:rsidRPr="0080195A" w14:paraId="7F1F4994" w14:textId="77777777" w:rsidTr="0080195A">
        <w:trPr>
          <w:trHeight w:val="315"/>
        </w:trPr>
        <w:tc>
          <w:tcPr>
            <w:tcW w:w="305" w:type="pct"/>
            <w:tcBorders>
              <w:top w:val="single" w:sz="8" w:space="0" w:color="auto"/>
              <w:left w:val="single" w:sz="8" w:space="0" w:color="auto"/>
              <w:bottom w:val="nil"/>
              <w:right w:val="nil"/>
            </w:tcBorders>
            <w:shd w:val="clear" w:color="000000" w:fill="A9D08E"/>
            <w:noWrap/>
            <w:vAlign w:val="bottom"/>
            <w:hideMark/>
          </w:tcPr>
          <w:p w14:paraId="6E4B11B2"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lastRenderedPageBreak/>
              <w:t>Year</w:t>
            </w:r>
          </w:p>
        </w:tc>
        <w:tc>
          <w:tcPr>
            <w:tcW w:w="706" w:type="pct"/>
            <w:tcBorders>
              <w:top w:val="single" w:sz="8" w:space="0" w:color="auto"/>
              <w:left w:val="nil"/>
              <w:bottom w:val="nil"/>
              <w:right w:val="nil"/>
            </w:tcBorders>
            <w:shd w:val="clear" w:color="000000" w:fill="A9D08E"/>
            <w:noWrap/>
            <w:vAlign w:val="bottom"/>
            <w:hideMark/>
          </w:tcPr>
          <w:p w14:paraId="50F2CB68"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C (£m)</w:t>
            </w:r>
          </w:p>
        </w:tc>
        <w:tc>
          <w:tcPr>
            <w:tcW w:w="2390" w:type="pct"/>
            <w:tcBorders>
              <w:top w:val="single" w:sz="8" w:space="0" w:color="auto"/>
              <w:left w:val="nil"/>
              <w:bottom w:val="nil"/>
              <w:right w:val="nil"/>
            </w:tcBorders>
            <w:shd w:val="clear" w:color="000000" w:fill="A9D08E"/>
            <w:noWrap/>
            <w:vAlign w:val="bottom"/>
            <w:hideMark/>
          </w:tcPr>
          <w:p w14:paraId="0D72246F"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599" w:type="pct"/>
            <w:tcBorders>
              <w:top w:val="single" w:sz="8" w:space="0" w:color="auto"/>
              <w:left w:val="nil"/>
              <w:bottom w:val="nil"/>
              <w:right w:val="single" w:sz="8" w:space="0" w:color="auto"/>
            </w:tcBorders>
            <w:shd w:val="clear" w:color="000000" w:fill="A9D08E"/>
            <w:noWrap/>
            <w:vAlign w:val="bottom"/>
            <w:hideMark/>
          </w:tcPr>
          <w:p w14:paraId="6EEC6D05"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0F10C55F"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6E56C13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706" w:type="pct"/>
            <w:tcBorders>
              <w:top w:val="nil"/>
              <w:left w:val="nil"/>
              <w:bottom w:val="nil"/>
              <w:right w:val="nil"/>
            </w:tcBorders>
            <w:shd w:val="clear" w:color="000000" w:fill="FFE699"/>
            <w:noWrap/>
            <w:vAlign w:val="bottom"/>
            <w:hideMark/>
          </w:tcPr>
          <w:p w14:paraId="113ECD4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2390" w:type="pct"/>
            <w:tcBorders>
              <w:top w:val="nil"/>
              <w:left w:val="nil"/>
              <w:bottom w:val="nil"/>
              <w:right w:val="nil"/>
            </w:tcBorders>
            <w:shd w:val="clear" w:color="000000" w:fill="FFE699"/>
            <w:noWrap/>
            <w:vAlign w:val="bottom"/>
            <w:hideMark/>
          </w:tcPr>
          <w:p w14:paraId="3155A0C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1599" w:type="pct"/>
            <w:tcBorders>
              <w:top w:val="nil"/>
              <w:left w:val="nil"/>
              <w:bottom w:val="nil"/>
              <w:right w:val="single" w:sz="8" w:space="0" w:color="auto"/>
            </w:tcBorders>
            <w:shd w:val="clear" w:color="000000" w:fill="FFE699"/>
            <w:noWrap/>
            <w:vAlign w:val="bottom"/>
            <w:hideMark/>
          </w:tcPr>
          <w:p w14:paraId="3D054AB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2BED4CD2"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1170946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706" w:type="pct"/>
            <w:tcBorders>
              <w:top w:val="nil"/>
              <w:left w:val="nil"/>
              <w:bottom w:val="nil"/>
              <w:right w:val="nil"/>
            </w:tcBorders>
            <w:shd w:val="clear" w:color="000000" w:fill="FFE699"/>
            <w:noWrap/>
            <w:vAlign w:val="bottom"/>
            <w:hideMark/>
          </w:tcPr>
          <w:p w14:paraId="26F9BA1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2390" w:type="pct"/>
            <w:tcBorders>
              <w:top w:val="nil"/>
              <w:left w:val="nil"/>
              <w:bottom w:val="nil"/>
              <w:right w:val="nil"/>
            </w:tcBorders>
            <w:shd w:val="clear" w:color="000000" w:fill="FFE699"/>
            <w:noWrap/>
            <w:vAlign w:val="bottom"/>
            <w:hideMark/>
          </w:tcPr>
          <w:p w14:paraId="5564BE3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0.909</w:t>
            </w:r>
          </w:p>
        </w:tc>
        <w:tc>
          <w:tcPr>
            <w:tcW w:w="1599" w:type="pct"/>
            <w:tcBorders>
              <w:top w:val="nil"/>
              <w:left w:val="nil"/>
              <w:bottom w:val="nil"/>
              <w:right w:val="single" w:sz="8" w:space="0" w:color="auto"/>
            </w:tcBorders>
            <w:shd w:val="clear" w:color="000000" w:fill="FFE699"/>
            <w:noWrap/>
            <w:vAlign w:val="bottom"/>
            <w:hideMark/>
          </w:tcPr>
          <w:p w14:paraId="14E18D1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4.55</w:t>
            </w:r>
          </w:p>
        </w:tc>
      </w:tr>
      <w:tr w:rsidR="0080195A" w:rsidRPr="0080195A" w14:paraId="63A54749"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49A8DBF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706" w:type="pct"/>
            <w:tcBorders>
              <w:top w:val="nil"/>
              <w:left w:val="nil"/>
              <w:bottom w:val="nil"/>
              <w:right w:val="nil"/>
            </w:tcBorders>
            <w:shd w:val="clear" w:color="000000" w:fill="FFE699"/>
            <w:noWrap/>
            <w:vAlign w:val="bottom"/>
            <w:hideMark/>
          </w:tcPr>
          <w:p w14:paraId="6E0C98F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2390" w:type="pct"/>
            <w:tcBorders>
              <w:top w:val="nil"/>
              <w:left w:val="nil"/>
              <w:bottom w:val="nil"/>
              <w:right w:val="nil"/>
            </w:tcBorders>
            <w:shd w:val="clear" w:color="000000" w:fill="FFE699"/>
            <w:noWrap/>
            <w:vAlign w:val="bottom"/>
            <w:hideMark/>
          </w:tcPr>
          <w:p w14:paraId="7454C83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0.826</w:t>
            </w:r>
          </w:p>
        </w:tc>
        <w:tc>
          <w:tcPr>
            <w:tcW w:w="1599" w:type="pct"/>
            <w:tcBorders>
              <w:top w:val="nil"/>
              <w:left w:val="nil"/>
              <w:bottom w:val="nil"/>
              <w:right w:val="single" w:sz="8" w:space="0" w:color="auto"/>
            </w:tcBorders>
            <w:shd w:val="clear" w:color="000000" w:fill="FFE699"/>
            <w:noWrap/>
            <w:vAlign w:val="bottom"/>
            <w:hideMark/>
          </w:tcPr>
          <w:p w14:paraId="7392D93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8.26</w:t>
            </w:r>
          </w:p>
        </w:tc>
      </w:tr>
      <w:tr w:rsidR="0080195A" w:rsidRPr="0080195A" w14:paraId="047DC22C"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56ACB00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706" w:type="pct"/>
            <w:tcBorders>
              <w:top w:val="nil"/>
              <w:left w:val="nil"/>
              <w:bottom w:val="nil"/>
              <w:right w:val="nil"/>
            </w:tcBorders>
            <w:shd w:val="clear" w:color="000000" w:fill="FFE699"/>
            <w:noWrap/>
            <w:vAlign w:val="bottom"/>
            <w:hideMark/>
          </w:tcPr>
          <w:p w14:paraId="39EA0E0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20</w:t>
            </w:r>
          </w:p>
        </w:tc>
        <w:tc>
          <w:tcPr>
            <w:tcW w:w="2390" w:type="pct"/>
            <w:tcBorders>
              <w:top w:val="nil"/>
              <w:left w:val="nil"/>
              <w:bottom w:val="nil"/>
              <w:right w:val="nil"/>
            </w:tcBorders>
            <w:shd w:val="clear" w:color="000000" w:fill="FFE699"/>
            <w:noWrap/>
            <w:vAlign w:val="bottom"/>
            <w:hideMark/>
          </w:tcPr>
          <w:p w14:paraId="6329FF2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0.751</w:t>
            </w:r>
          </w:p>
        </w:tc>
        <w:tc>
          <w:tcPr>
            <w:tcW w:w="1599" w:type="pct"/>
            <w:tcBorders>
              <w:top w:val="nil"/>
              <w:left w:val="nil"/>
              <w:bottom w:val="nil"/>
              <w:right w:val="single" w:sz="8" w:space="0" w:color="auto"/>
            </w:tcBorders>
            <w:shd w:val="clear" w:color="000000" w:fill="FFE699"/>
            <w:noWrap/>
            <w:vAlign w:val="bottom"/>
            <w:hideMark/>
          </w:tcPr>
          <w:p w14:paraId="5D2F8E9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15.02</w:t>
            </w:r>
          </w:p>
        </w:tc>
      </w:tr>
      <w:tr w:rsidR="0080195A" w:rsidRPr="0080195A" w14:paraId="42AE3BD8" w14:textId="77777777" w:rsidTr="0080195A">
        <w:trPr>
          <w:trHeight w:val="300"/>
        </w:trPr>
        <w:tc>
          <w:tcPr>
            <w:tcW w:w="305" w:type="pct"/>
            <w:tcBorders>
              <w:top w:val="nil"/>
              <w:left w:val="single" w:sz="8" w:space="0" w:color="auto"/>
              <w:bottom w:val="nil"/>
              <w:right w:val="nil"/>
            </w:tcBorders>
            <w:shd w:val="clear" w:color="000000" w:fill="FFE699"/>
            <w:noWrap/>
            <w:vAlign w:val="bottom"/>
            <w:hideMark/>
          </w:tcPr>
          <w:p w14:paraId="678ED5D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706" w:type="pct"/>
            <w:tcBorders>
              <w:top w:val="nil"/>
              <w:left w:val="nil"/>
              <w:bottom w:val="nil"/>
              <w:right w:val="nil"/>
            </w:tcBorders>
            <w:shd w:val="clear" w:color="000000" w:fill="FFE699"/>
            <w:noWrap/>
            <w:vAlign w:val="bottom"/>
            <w:hideMark/>
          </w:tcPr>
          <w:p w14:paraId="6DAF953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25</w:t>
            </w:r>
          </w:p>
        </w:tc>
        <w:tc>
          <w:tcPr>
            <w:tcW w:w="2390" w:type="pct"/>
            <w:tcBorders>
              <w:top w:val="nil"/>
              <w:left w:val="nil"/>
              <w:bottom w:val="nil"/>
              <w:right w:val="nil"/>
            </w:tcBorders>
            <w:shd w:val="clear" w:color="000000" w:fill="FFE699"/>
            <w:noWrap/>
            <w:vAlign w:val="bottom"/>
            <w:hideMark/>
          </w:tcPr>
          <w:p w14:paraId="03FC4A9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0.683</w:t>
            </w:r>
          </w:p>
        </w:tc>
        <w:tc>
          <w:tcPr>
            <w:tcW w:w="1599" w:type="pct"/>
            <w:tcBorders>
              <w:top w:val="nil"/>
              <w:left w:val="nil"/>
              <w:bottom w:val="nil"/>
              <w:right w:val="single" w:sz="8" w:space="0" w:color="auto"/>
            </w:tcBorders>
            <w:shd w:val="clear" w:color="000000" w:fill="FFE699"/>
            <w:noWrap/>
            <w:vAlign w:val="bottom"/>
            <w:hideMark/>
          </w:tcPr>
          <w:p w14:paraId="00C5E35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17.08</w:t>
            </w:r>
          </w:p>
        </w:tc>
      </w:tr>
      <w:tr w:rsidR="0080195A" w:rsidRPr="0080195A" w14:paraId="0448AA6F" w14:textId="77777777" w:rsidTr="0080195A">
        <w:trPr>
          <w:trHeight w:val="315"/>
        </w:trPr>
        <w:tc>
          <w:tcPr>
            <w:tcW w:w="305" w:type="pct"/>
            <w:tcBorders>
              <w:top w:val="nil"/>
              <w:left w:val="single" w:sz="8" w:space="0" w:color="auto"/>
              <w:bottom w:val="nil"/>
              <w:right w:val="nil"/>
            </w:tcBorders>
            <w:shd w:val="clear" w:color="000000" w:fill="FFE699"/>
            <w:noWrap/>
            <w:vAlign w:val="bottom"/>
            <w:hideMark/>
          </w:tcPr>
          <w:p w14:paraId="313AA7C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706" w:type="pct"/>
            <w:tcBorders>
              <w:top w:val="nil"/>
              <w:left w:val="nil"/>
              <w:bottom w:val="nil"/>
              <w:right w:val="nil"/>
            </w:tcBorders>
            <w:shd w:val="clear" w:color="000000" w:fill="FFE699"/>
            <w:noWrap/>
            <w:vAlign w:val="bottom"/>
            <w:hideMark/>
          </w:tcPr>
          <w:p w14:paraId="32429E0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2390" w:type="pct"/>
            <w:tcBorders>
              <w:top w:val="nil"/>
              <w:left w:val="nil"/>
              <w:bottom w:val="nil"/>
              <w:right w:val="nil"/>
            </w:tcBorders>
            <w:shd w:val="clear" w:color="000000" w:fill="FFE699"/>
            <w:noWrap/>
            <w:vAlign w:val="bottom"/>
            <w:hideMark/>
          </w:tcPr>
          <w:p w14:paraId="40B6847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0.621</w:t>
            </w:r>
          </w:p>
        </w:tc>
        <w:tc>
          <w:tcPr>
            <w:tcW w:w="1599" w:type="pct"/>
            <w:tcBorders>
              <w:top w:val="nil"/>
              <w:left w:val="nil"/>
              <w:bottom w:val="nil"/>
              <w:right w:val="single" w:sz="8" w:space="0" w:color="auto"/>
            </w:tcBorders>
            <w:shd w:val="clear" w:color="000000" w:fill="FFE699"/>
            <w:noWrap/>
            <w:vAlign w:val="bottom"/>
            <w:hideMark/>
          </w:tcPr>
          <w:p w14:paraId="350462A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3.11</w:t>
            </w:r>
          </w:p>
        </w:tc>
      </w:tr>
      <w:tr w:rsidR="0080195A" w:rsidRPr="0080195A" w14:paraId="346A102C" w14:textId="77777777" w:rsidTr="0080195A">
        <w:trPr>
          <w:trHeight w:val="315"/>
        </w:trPr>
        <w:tc>
          <w:tcPr>
            <w:tcW w:w="305" w:type="pct"/>
            <w:tcBorders>
              <w:top w:val="nil"/>
              <w:left w:val="single" w:sz="8" w:space="0" w:color="auto"/>
              <w:bottom w:val="nil"/>
              <w:right w:val="nil"/>
            </w:tcBorders>
            <w:shd w:val="clear" w:color="000000" w:fill="FFE699"/>
            <w:noWrap/>
            <w:vAlign w:val="bottom"/>
            <w:hideMark/>
          </w:tcPr>
          <w:p w14:paraId="72BF260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FFE699"/>
            <w:noWrap/>
            <w:vAlign w:val="bottom"/>
            <w:hideMark/>
          </w:tcPr>
          <w:p w14:paraId="2A230C93"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A9D08E"/>
            <w:noWrap/>
            <w:vAlign w:val="bottom"/>
            <w:hideMark/>
          </w:tcPr>
          <w:p w14:paraId="1DA62D0F"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NPV (£m)</w:t>
            </w:r>
          </w:p>
        </w:tc>
        <w:tc>
          <w:tcPr>
            <w:tcW w:w="1599" w:type="pct"/>
            <w:tcBorders>
              <w:top w:val="nil"/>
              <w:left w:val="nil"/>
              <w:bottom w:val="nil"/>
              <w:right w:val="single" w:sz="8" w:space="0" w:color="auto"/>
            </w:tcBorders>
            <w:shd w:val="clear" w:color="000000" w:fill="A9D08E"/>
            <w:noWrap/>
            <w:vAlign w:val="bottom"/>
            <w:hideMark/>
          </w:tcPr>
          <w:p w14:paraId="0B1B6122"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-2.00</w:t>
            </w:r>
          </w:p>
        </w:tc>
      </w:tr>
      <w:tr w:rsidR="0080195A" w:rsidRPr="0080195A" w14:paraId="4D3F6E1A" w14:textId="77777777" w:rsidTr="0080195A">
        <w:trPr>
          <w:trHeight w:val="315"/>
        </w:trPr>
        <w:tc>
          <w:tcPr>
            <w:tcW w:w="305" w:type="pct"/>
            <w:tcBorders>
              <w:top w:val="nil"/>
              <w:left w:val="single" w:sz="8" w:space="0" w:color="auto"/>
              <w:bottom w:val="single" w:sz="8" w:space="0" w:color="auto"/>
              <w:right w:val="nil"/>
            </w:tcBorders>
            <w:shd w:val="clear" w:color="000000" w:fill="FFE699"/>
            <w:noWrap/>
            <w:vAlign w:val="bottom"/>
            <w:hideMark/>
          </w:tcPr>
          <w:p w14:paraId="63FB3203"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single" w:sz="8" w:space="0" w:color="auto"/>
              <w:right w:val="nil"/>
            </w:tcBorders>
            <w:shd w:val="clear" w:color="000000" w:fill="FFE699"/>
            <w:noWrap/>
            <w:vAlign w:val="bottom"/>
            <w:hideMark/>
          </w:tcPr>
          <w:p w14:paraId="36BA889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single" w:sz="8" w:space="0" w:color="auto"/>
              <w:right w:val="nil"/>
            </w:tcBorders>
            <w:shd w:val="clear" w:color="000000" w:fill="FFE699"/>
            <w:noWrap/>
            <w:vAlign w:val="bottom"/>
            <w:hideMark/>
          </w:tcPr>
          <w:p w14:paraId="2D17BB9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Sum of all present values</w:t>
            </w:r>
          </w:p>
        </w:tc>
        <w:tc>
          <w:tcPr>
            <w:tcW w:w="1599" w:type="pct"/>
            <w:tcBorders>
              <w:top w:val="nil"/>
              <w:left w:val="nil"/>
              <w:bottom w:val="single" w:sz="8" w:space="0" w:color="auto"/>
              <w:right w:val="single" w:sz="8" w:space="0" w:color="auto"/>
            </w:tcBorders>
            <w:shd w:val="clear" w:color="000000" w:fill="FFE699"/>
            <w:noWrap/>
            <w:vAlign w:val="bottom"/>
            <w:hideMark/>
          </w:tcPr>
          <w:p w14:paraId="028541F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428E66B7" w14:textId="77777777" w:rsidTr="0080195A">
        <w:trPr>
          <w:trHeight w:val="300"/>
        </w:trPr>
        <w:tc>
          <w:tcPr>
            <w:tcW w:w="305" w:type="pct"/>
            <w:tcBorders>
              <w:top w:val="nil"/>
              <w:left w:val="nil"/>
              <w:bottom w:val="nil"/>
              <w:right w:val="nil"/>
            </w:tcBorders>
            <w:noWrap/>
            <w:vAlign w:val="bottom"/>
            <w:hideMark/>
          </w:tcPr>
          <w:p w14:paraId="156FB417" w14:textId="77777777" w:rsidR="0080195A" w:rsidRPr="0080195A" w:rsidRDefault="0080195A" w:rsidP="0080195A">
            <w:pPr>
              <w:spacing w:line="240" w:lineRule="auto"/>
              <w:jc w:val="left"/>
              <w:rPr>
                <w:rFonts w:eastAsia="Times New Roman"/>
                <w:color w:val="000000"/>
                <w:szCs w:val="24"/>
                <w:lang w:val="en-IN" w:eastAsia="en-IN"/>
              </w:rPr>
            </w:pPr>
          </w:p>
        </w:tc>
        <w:tc>
          <w:tcPr>
            <w:tcW w:w="706" w:type="pct"/>
            <w:tcBorders>
              <w:top w:val="nil"/>
              <w:left w:val="nil"/>
              <w:bottom w:val="nil"/>
              <w:right w:val="nil"/>
            </w:tcBorders>
            <w:noWrap/>
            <w:vAlign w:val="bottom"/>
            <w:hideMark/>
          </w:tcPr>
          <w:p w14:paraId="795C9C43"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2390" w:type="pct"/>
            <w:tcBorders>
              <w:top w:val="nil"/>
              <w:left w:val="nil"/>
              <w:bottom w:val="nil"/>
              <w:right w:val="nil"/>
            </w:tcBorders>
            <w:noWrap/>
            <w:vAlign w:val="bottom"/>
            <w:hideMark/>
          </w:tcPr>
          <w:p w14:paraId="70E3A23C"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599" w:type="pct"/>
            <w:tcBorders>
              <w:top w:val="nil"/>
              <w:left w:val="nil"/>
              <w:bottom w:val="nil"/>
              <w:right w:val="nil"/>
            </w:tcBorders>
            <w:noWrap/>
            <w:vAlign w:val="bottom"/>
            <w:hideMark/>
          </w:tcPr>
          <w:p w14:paraId="67D3C737"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r>
      <w:tr w:rsidR="0080195A" w:rsidRPr="0080195A" w14:paraId="2B8A8A51" w14:textId="77777777" w:rsidTr="0080195A">
        <w:trPr>
          <w:trHeight w:val="315"/>
        </w:trPr>
        <w:tc>
          <w:tcPr>
            <w:tcW w:w="305" w:type="pct"/>
            <w:tcBorders>
              <w:top w:val="nil"/>
              <w:left w:val="nil"/>
              <w:bottom w:val="nil"/>
              <w:right w:val="nil"/>
            </w:tcBorders>
            <w:noWrap/>
            <w:vAlign w:val="bottom"/>
            <w:hideMark/>
          </w:tcPr>
          <w:p w14:paraId="6C075D3C"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706" w:type="pct"/>
            <w:tcBorders>
              <w:top w:val="nil"/>
              <w:left w:val="nil"/>
              <w:bottom w:val="nil"/>
              <w:right w:val="nil"/>
            </w:tcBorders>
            <w:noWrap/>
            <w:vAlign w:val="bottom"/>
            <w:hideMark/>
          </w:tcPr>
          <w:p w14:paraId="7190B012"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2390" w:type="pct"/>
            <w:tcBorders>
              <w:top w:val="nil"/>
              <w:left w:val="nil"/>
              <w:bottom w:val="nil"/>
              <w:right w:val="nil"/>
            </w:tcBorders>
            <w:noWrap/>
            <w:vAlign w:val="bottom"/>
            <w:hideMark/>
          </w:tcPr>
          <w:p w14:paraId="56BF8452"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599" w:type="pct"/>
            <w:tcBorders>
              <w:top w:val="nil"/>
              <w:left w:val="nil"/>
              <w:bottom w:val="nil"/>
              <w:right w:val="nil"/>
            </w:tcBorders>
            <w:noWrap/>
            <w:vAlign w:val="bottom"/>
            <w:hideMark/>
          </w:tcPr>
          <w:p w14:paraId="0C441948"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r>
      <w:tr w:rsidR="0080195A" w:rsidRPr="0080195A" w14:paraId="14395E35" w14:textId="77777777" w:rsidTr="0080195A">
        <w:trPr>
          <w:trHeight w:val="330"/>
        </w:trPr>
        <w:tc>
          <w:tcPr>
            <w:tcW w:w="5000" w:type="pct"/>
            <w:gridSpan w:val="4"/>
            <w:tcBorders>
              <w:top w:val="single" w:sz="8" w:space="0" w:color="auto"/>
              <w:left w:val="single" w:sz="8" w:space="0" w:color="auto"/>
              <w:bottom w:val="nil"/>
              <w:right w:val="single" w:sz="8" w:space="0" w:color="000000"/>
            </w:tcBorders>
            <w:shd w:val="clear" w:color="000000" w:fill="BDD7EE"/>
            <w:noWrap/>
            <w:vAlign w:val="bottom"/>
            <w:hideMark/>
          </w:tcPr>
          <w:p w14:paraId="7CE910E0"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Profitability Index (PI)</w:t>
            </w:r>
          </w:p>
        </w:tc>
      </w:tr>
      <w:tr w:rsidR="0080195A" w:rsidRPr="0080195A" w14:paraId="5090BAC0" w14:textId="77777777" w:rsidTr="0080195A">
        <w:trPr>
          <w:trHeight w:val="315"/>
        </w:trPr>
        <w:tc>
          <w:tcPr>
            <w:tcW w:w="305" w:type="pct"/>
            <w:tcBorders>
              <w:top w:val="nil"/>
              <w:left w:val="single" w:sz="8" w:space="0" w:color="auto"/>
              <w:bottom w:val="nil"/>
              <w:right w:val="nil"/>
            </w:tcBorders>
            <w:shd w:val="clear" w:color="000000" w:fill="BDD7EE"/>
            <w:noWrap/>
            <w:vAlign w:val="bottom"/>
            <w:hideMark/>
          </w:tcPr>
          <w:p w14:paraId="77DFE267"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706" w:type="pct"/>
            <w:tcBorders>
              <w:top w:val="nil"/>
              <w:left w:val="nil"/>
              <w:bottom w:val="nil"/>
              <w:right w:val="nil"/>
            </w:tcBorders>
            <w:shd w:val="clear" w:color="000000" w:fill="BDD7EE"/>
            <w:noWrap/>
            <w:vAlign w:val="bottom"/>
            <w:hideMark/>
          </w:tcPr>
          <w:p w14:paraId="62FD90BD"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A (£m)</w:t>
            </w:r>
          </w:p>
        </w:tc>
        <w:tc>
          <w:tcPr>
            <w:tcW w:w="2390" w:type="pct"/>
            <w:tcBorders>
              <w:top w:val="nil"/>
              <w:left w:val="nil"/>
              <w:bottom w:val="nil"/>
              <w:right w:val="nil"/>
            </w:tcBorders>
            <w:shd w:val="clear" w:color="000000" w:fill="BDD7EE"/>
            <w:noWrap/>
            <w:vAlign w:val="bottom"/>
            <w:hideMark/>
          </w:tcPr>
          <w:p w14:paraId="34A67E4C"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599" w:type="pct"/>
            <w:tcBorders>
              <w:top w:val="nil"/>
              <w:left w:val="nil"/>
              <w:bottom w:val="nil"/>
              <w:right w:val="single" w:sz="8" w:space="0" w:color="auto"/>
            </w:tcBorders>
            <w:shd w:val="clear" w:color="000000" w:fill="BDD7EE"/>
            <w:noWrap/>
            <w:vAlign w:val="bottom"/>
            <w:hideMark/>
          </w:tcPr>
          <w:p w14:paraId="72480911"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5C1CF16E" w14:textId="77777777" w:rsidTr="0080195A">
        <w:trPr>
          <w:trHeight w:val="315"/>
        </w:trPr>
        <w:tc>
          <w:tcPr>
            <w:tcW w:w="305" w:type="pct"/>
            <w:tcBorders>
              <w:top w:val="nil"/>
              <w:left w:val="single" w:sz="8" w:space="0" w:color="auto"/>
              <w:bottom w:val="nil"/>
              <w:right w:val="nil"/>
            </w:tcBorders>
            <w:shd w:val="clear" w:color="000000" w:fill="A9D08E"/>
            <w:noWrap/>
            <w:vAlign w:val="bottom"/>
            <w:hideMark/>
          </w:tcPr>
          <w:p w14:paraId="5B592F0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706" w:type="pct"/>
            <w:tcBorders>
              <w:top w:val="nil"/>
              <w:left w:val="nil"/>
              <w:bottom w:val="nil"/>
              <w:right w:val="nil"/>
            </w:tcBorders>
            <w:shd w:val="clear" w:color="000000" w:fill="A9D08E"/>
            <w:noWrap/>
            <w:vAlign w:val="bottom"/>
            <w:hideMark/>
          </w:tcPr>
          <w:p w14:paraId="076E83E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2390" w:type="pct"/>
            <w:tcBorders>
              <w:top w:val="nil"/>
              <w:left w:val="nil"/>
              <w:bottom w:val="nil"/>
              <w:right w:val="nil"/>
            </w:tcBorders>
            <w:shd w:val="clear" w:color="000000" w:fill="A9D08E"/>
            <w:noWrap/>
            <w:vAlign w:val="bottom"/>
            <w:hideMark/>
          </w:tcPr>
          <w:p w14:paraId="35C7E72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1599" w:type="pct"/>
            <w:tcBorders>
              <w:top w:val="nil"/>
              <w:left w:val="nil"/>
              <w:bottom w:val="nil"/>
              <w:right w:val="single" w:sz="8" w:space="0" w:color="auto"/>
            </w:tcBorders>
            <w:shd w:val="clear" w:color="000000" w:fill="A9D08E"/>
            <w:noWrap/>
            <w:vAlign w:val="bottom"/>
            <w:hideMark/>
          </w:tcPr>
          <w:p w14:paraId="50FB84A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6CA90B3D"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5D66DEF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706" w:type="pct"/>
            <w:tcBorders>
              <w:top w:val="nil"/>
              <w:left w:val="nil"/>
              <w:bottom w:val="nil"/>
              <w:right w:val="nil"/>
            </w:tcBorders>
            <w:shd w:val="clear" w:color="000000" w:fill="A9D08E"/>
            <w:noWrap/>
            <w:vAlign w:val="bottom"/>
            <w:hideMark/>
          </w:tcPr>
          <w:p w14:paraId="4E850AB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2390" w:type="pct"/>
            <w:tcBorders>
              <w:top w:val="nil"/>
              <w:left w:val="nil"/>
              <w:bottom w:val="nil"/>
              <w:right w:val="nil"/>
            </w:tcBorders>
            <w:shd w:val="clear" w:color="000000" w:fill="A9D08E"/>
            <w:noWrap/>
            <w:vAlign w:val="bottom"/>
            <w:hideMark/>
          </w:tcPr>
          <w:p w14:paraId="60F9E06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0.909</w:t>
            </w:r>
          </w:p>
        </w:tc>
        <w:tc>
          <w:tcPr>
            <w:tcW w:w="1599" w:type="pct"/>
            <w:tcBorders>
              <w:top w:val="nil"/>
              <w:left w:val="nil"/>
              <w:bottom w:val="nil"/>
              <w:right w:val="single" w:sz="8" w:space="0" w:color="auto"/>
            </w:tcBorders>
            <w:shd w:val="clear" w:color="000000" w:fill="A9D08E"/>
            <w:noWrap/>
            <w:vAlign w:val="bottom"/>
            <w:hideMark/>
          </w:tcPr>
          <w:p w14:paraId="6D22D74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9.09</w:t>
            </w:r>
          </w:p>
        </w:tc>
      </w:tr>
      <w:tr w:rsidR="0080195A" w:rsidRPr="0080195A" w14:paraId="3C165EBB"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2C21249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706" w:type="pct"/>
            <w:tcBorders>
              <w:top w:val="nil"/>
              <w:left w:val="nil"/>
              <w:bottom w:val="nil"/>
              <w:right w:val="nil"/>
            </w:tcBorders>
            <w:shd w:val="clear" w:color="000000" w:fill="A9D08E"/>
            <w:noWrap/>
            <w:vAlign w:val="bottom"/>
            <w:hideMark/>
          </w:tcPr>
          <w:p w14:paraId="0E84767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12</w:t>
            </w:r>
          </w:p>
        </w:tc>
        <w:tc>
          <w:tcPr>
            <w:tcW w:w="2390" w:type="pct"/>
            <w:tcBorders>
              <w:top w:val="nil"/>
              <w:left w:val="nil"/>
              <w:bottom w:val="nil"/>
              <w:right w:val="nil"/>
            </w:tcBorders>
            <w:shd w:val="clear" w:color="000000" w:fill="A9D08E"/>
            <w:noWrap/>
            <w:vAlign w:val="bottom"/>
            <w:hideMark/>
          </w:tcPr>
          <w:p w14:paraId="0AC1780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0.826</w:t>
            </w:r>
          </w:p>
        </w:tc>
        <w:tc>
          <w:tcPr>
            <w:tcW w:w="1599" w:type="pct"/>
            <w:tcBorders>
              <w:top w:val="nil"/>
              <w:left w:val="nil"/>
              <w:bottom w:val="nil"/>
              <w:right w:val="single" w:sz="8" w:space="0" w:color="auto"/>
            </w:tcBorders>
            <w:shd w:val="clear" w:color="000000" w:fill="A9D08E"/>
            <w:noWrap/>
            <w:vAlign w:val="bottom"/>
            <w:hideMark/>
          </w:tcPr>
          <w:p w14:paraId="3B26018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9.912</w:t>
            </w:r>
          </w:p>
        </w:tc>
      </w:tr>
      <w:tr w:rsidR="0080195A" w:rsidRPr="0080195A" w14:paraId="7D247E7D"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413D03F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706" w:type="pct"/>
            <w:tcBorders>
              <w:top w:val="nil"/>
              <w:left w:val="nil"/>
              <w:bottom w:val="nil"/>
              <w:right w:val="nil"/>
            </w:tcBorders>
            <w:shd w:val="clear" w:color="000000" w:fill="A9D08E"/>
            <w:noWrap/>
            <w:vAlign w:val="bottom"/>
            <w:hideMark/>
          </w:tcPr>
          <w:p w14:paraId="5CCE51B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14</w:t>
            </w:r>
          </w:p>
        </w:tc>
        <w:tc>
          <w:tcPr>
            <w:tcW w:w="2390" w:type="pct"/>
            <w:tcBorders>
              <w:top w:val="nil"/>
              <w:left w:val="nil"/>
              <w:bottom w:val="nil"/>
              <w:right w:val="nil"/>
            </w:tcBorders>
            <w:shd w:val="clear" w:color="000000" w:fill="A9D08E"/>
            <w:noWrap/>
            <w:vAlign w:val="bottom"/>
            <w:hideMark/>
          </w:tcPr>
          <w:p w14:paraId="722155F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0.751</w:t>
            </w:r>
          </w:p>
        </w:tc>
        <w:tc>
          <w:tcPr>
            <w:tcW w:w="1599" w:type="pct"/>
            <w:tcBorders>
              <w:top w:val="nil"/>
              <w:left w:val="nil"/>
              <w:bottom w:val="nil"/>
              <w:right w:val="single" w:sz="8" w:space="0" w:color="auto"/>
            </w:tcBorders>
            <w:shd w:val="clear" w:color="000000" w:fill="A9D08E"/>
            <w:noWrap/>
            <w:vAlign w:val="bottom"/>
            <w:hideMark/>
          </w:tcPr>
          <w:p w14:paraId="03EB839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10.514</w:t>
            </w:r>
          </w:p>
        </w:tc>
      </w:tr>
      <w:tr w:rsidR="0080195A" w:rsidRPr="0080195A" w14:paraId="069D953F"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7C156F8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706" w:type="pct"/>
            <w:tcBorders>
              <w:top w:val="nil"/>
              <w:left w:val="nil"/>
              <w:bottom w:val="nil"/>
              <w:right w:val="nil"/>
            </w:tcBorders>
            <w:shd w:val="clear" w:color="000000" w:fill="A9D08E"/>
            <w:noWrap/>
            <w:vAlign w:val="bottom"/>
            <w:hideMark/>
          </w:tcPr>
          <w:p w14:paraId="5D65750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2390" w:type="pct"/>
            <w:tcBorders>
              <w:top w:val="nil"/>
              <w:left w:val="nil"/>
              <w:bottom w:val="nil"/>
              <w:right w:val="nil"/>
            </w:tcBorders>
            <w:shd w:val="clear" w:color="000000" w:fill="A9D08E"/>
            <w:noWrap/>
            <w:vAlign w:val="bottom"/>
            <w:hideMark/>
          </w:tcPr>
          <w:p w14:paraId="18474A5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0.683</w:t>
            </w:r>
          </w:p>
        </w:tc>
        <w:tc>
          <w:tcPr>
            <w:tcW w:w="1599" w:type="pct"/>
            <w:tcBorders>
              <w:top w:val="nil"/>
              <w:left w:val="nil"/>
              <w:bottom w:val="nil"/>
              <w:right w:val="single" w:sz="8" w:space="0" w:color="auto"/>
            </w:tcBorders>
            <w:shd w:val="clear" w:color="000000" w:fill="A9D08E"/>
            <w:noWrap/>
            <w:vAlign w:val="bottom"/>
            <w:hideMark/>
          </w:tcPr>
          <w:p w14:paraId="01FA9E7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6.83</w:t>
            </w:r>
          </w:p>
        </w:tc>
      </w:tr>
      <w:tr w:rsidR="0080195A" w:rsidRPr="0080195A" w14:paraId="7AB3ECAA"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667341D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706" w:type="pct"/>
            <w:tcBorders>
              <w:top w:val="nil"/>
              <w:left w:val="nil"/>
              <w:bottom w:val="nil"/>
              <w:right w:val="nil"/>
            </w:tcBorders>
            <w:shd w:val="clear" w:color="000000" w:fill="A9D08E"/>
            <w:noWrap/>
            <w:vAlign w:val="bottom"/>
            <w:hideMark/>
          </w:tcPr>
          <w:p w14:paraId="6EB1CF8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w:t>
            </w:r>
          </w:p>
        </w:tc>
        <w:tc>
          <w:tcPr>
            <w:tcW w:w="2390" w:type="pct"/>
            <w:tcBorders>
              <w:top w:val="nil"/>
              <w:left w:val="nil"/>
              <w:bottom w:val="nil"/>
              <w:right w:val="nil"/>
            </w:tcBorders>
            <w:shd w:val="clear" w:color="000000" w:fill="A9D08E"/>
            <w:noWrap/>
            <w:vAlign w:val="bottom"/>
            <w:hideMark/>
          </w:tcPr>
          <w:p w14:paraId="3673575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0.621</w:t>
            </w:r>
          </w:p>
        </w:tc>
        <w:tc>
          <w:tcPr>
            <w:tcW w:w="1599" w:type="pct"/>
            <w:tcBorders>
              <w:top w:val="nil"/>
              <w:left w:val="nil"/>
              <w:bottom w:val="nil"/>
              <w:right w:val="single" w:sz="8" w:space="0" w:color="auto"/>
            </w:tcBorders>
            <w:shd w:val="clear" w:color="000000" w:fill="A9D08E"/>
            <w:noWrap/>
            <w:vAlign w:val="bottom"/>
            <w:hideMark/>
          </w:tcPr>
          <w:p w14:paraId="01E9A03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4.968</w:t>
            </w:r>
          </w:p>
        </w:tc>
      </w:tr>
      <w:tr w:rsidR="0080195A" w:rsidRPr="0080195A" w14:paraId="5DC9E595"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638B26A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A9D08E"/>
            <w:noWrap/>
            <w:vAlign w:val="bottom"/>
            <w:hideMark/>
          </w:tcPr>
          <w:p w14:paraId="6C57A16C"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A9D08E"/>
            <w:noWrap/>
            <w:vAlign w:val="bottom"/>
            <w:hideMark/>
          </w:tcPr>
          <w:p w14:paraId="78D89F9F"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Total present values of future cash flows</w:t>
            </w:r>
          </w:p>
        </w:tc>
        <w:tc>
          <w:tcPr>
            <w:tcW w:w="1599" w:type="pct"/>
            <w:tcBorders>
              <w:top w:val="nil"/>
              <w:left w:val="nil"/>
              <w:bottom w:val="nil"/>
              <w:right w:val="single" w:sz="8" w:space="0" w:color="auto"/>
            </w:tcBorders>
            <w:shd w:val="clear" w:color="000000" w:fill="A9D08E"/>
            <w:noWrap/>
            <w:vAlign w:val="bottom"/>
            <w:hideMark/>
          </w:tcPr>
          <w:p w14:paraId="29708C7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-8.69</w:t>
            </w:r>
          </w:p>
        </w:tc>
      </w:tr>
      <w:tr w:rsidR="0080195A" w:rsidRPr="0080195A" w14:paraId="6DDAA3A6" w14:textId="77777777" w:rsidTr="0080195A">
        <w:trPr>
          <w:trHeight w:val="315"/>
        </w:trPr>
        <w:tc>
          <w:tcPr>
            <w:tcW w:w="305" w:type="pct"/>
            <w:tcBorders>
              <w:top w:val="nil"/>
              <w:left w:val="single" w:sz="8" w:space="0" w:color="auto"/>
              <w:bottom w:val="nil"/>
              <w:right w:val="nil"/>
            </w:tcBorders>
            <w:shd w:val="clear" w:color="000000" w:fill="A9D08E"/>
            <w:noWrap/>
            <w:vAlign w:val="bottom"/>
            <w:hideMark/>
          </w:tcPr>
          <w:p w14:paraId="257966FD"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A9D08E"/>
            <w:noWrap/>
            <w:vAlign w:val="bottom"/>
            <w:hideMark/>
          </w:tcPr>
          <w:p w14:paraId="3D70B3EE"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BDD7EE"/>
            <w:noWrap/>
            <w:vAlign w:val="bottom"/>
            <w:hideMark/>
          </w:tcPr>
          <w:p w14:paraId="27B377E5"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PI</w:t>
            </w:r>
          </w:p>
        </w:tc>
        <w:tc>
          <w:tcPr>
            <w:tcW w:w="1599" w:type="pct"/>
            <w:tcBorders>
              <w:top w:val="nil"/>
              <w:left w:val="nil"/>
              <w:bottom w:val="nil"/>
              <w:right w:val="single" w:sz="8" w:space="0" w:color="auto"/>
            </w:tcBorders>
            <w:shd w:val="clear" w:color="000000" w:fill="BDD7EE"/>
            <w:noWrap/>
            <w:vAlign w:val="bottom"/>
            <w:hideMark/>
          </w:tcPr>
          <w:p w14:paraId="2B0B5C24"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-0.17</w:t>
            </w:r>
          </w:p>
        </w:tc>
      </w:tr>
      <w:tr w:rsidR="0080195A" w:rsidRPr="0080195A" w14:paraId="7FDE24BA" w14:textId="77777777" w:rsidTr="0080195A">
        <w:trPr>
          <w:trHeight w:val="330"/>
        </w:trPr>
        <w:tc>
          <w:tcPr>
            <w:tcW w:w="305" w:type="pct"/>
            <w:tcBorders>
              <w:top w:val="nil"/>
              <w:left w:val="single" w:sz="8" w:space="0" w:color="auto"/>
              <w:bottom w:val="single" w:sz="8" w:space="0" w:color="auto"/>
              <w:right w:val="nil"/>
            </w:tcBorders>
            <w:shd w:val="clear" w:color="000000" w:fill="A9D08E"/>
            <w:noWrap/>
            <w:vAlign w:val="bottom"/>
            <w:hideMark/>
          </w:tcPr>
          <w:p w14:paraId="77C4F796"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single" w:sz="8" w:space="0" w:color="auto"/>
              <w:right w:val="nil"/>
            </w:tcBorders>
            <w:shd w:val="clear" w:color="000000" w:fill="A9D08E"/>
            <w:noWrap/>
            <w:vAlign w:val="bottom"/>
            <w:hideMark/>
          </w:tcPr>
          <w:p w14:paraId="5A5B1F1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single" w:sz="8" w:space="0" w:color="auto"/>
              <w:right w:val="nil"/>
            </w:tcBorders>
            <w:shd w:val="clear" w:color="000000" w:fill="A9D08E"/>
            <w:noWrap/>
            <w:vAlign w:val="bottom"/>
            <w:hideMark/>
          </w:tcPr>
          <w:p w14:paraId="74C3A677"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Present values of future cash flows/Initial investment</w:t>
            </w:r>
          </w:p>
        </w:tc>
        <w:tc>
          <w:tcPr>
            <w:tcW w:w="1599" w:type="pct"/>
            <w:tcBorders>
              <w:top w:val="nil"/>
              <w:left w:val="nil"/>
              <w:bottom w:val="single" w:sz="8" w:space="0" w:color="auto"/>
              <w:right w:val="single" w:sz="8" w:space="0" w:color="auto"/>
            </w:tcBorders>
            <w:shd w:val="clear" w:color="000000" w:fill="A9D08E"/>
            <w:noWrap/>
            <w:vAlign w:val="bottom"/>
            <w:hideMark/>
          </w:tcPr>
          <w:p w14:paraId="10D61486"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03A8EFD5" w14:textId="77777777" w:rsidTr="0080195A">
        <w:trPr>
          <w:trHeight w:val="315"/>
        </w:trPr>
        <w:tc>
          <w:tcPr>
            <w:tcW w:w="305" w:type="pct"/>
            <w:tcBorders>
              <w:top w:val="nil"/>
              <w:left w:val="nil"/>
              <w:bottom w:val="nil"/>
              <w:right w:val="nil"/>
            </w:tcBorders>
            <w:noWrap/>
            <w:vAlign w:val="bottom"/>
            <w:hideMark/>
          </w:tcPr>
          <w:p w14:paraId="083401CA" w14:textId="77777777" w:rsidR="0080195A" w:rsidRPr="0080195A" w:rsidRDefault="0080195A" w:rsidP="0080195A">
            <w:pPr>
              <w:spacing w:line="240" w:lineRule="auto"/>
              <w:jc w:val="left"/>
              <w:rPr>
                <w:rFonts w:eastAsia="Times New Roman"/>
                <w:color w:val="000000"/>
                <w:szCs w:val="24"/>
                <w:lang w:val="en-IN" w:eastAsia="en-IN"/>
              </w:rPr>
            </w:pPr>
          </w:p>
        </w:tc>
        <w:tc>
          <w:tcPr>
            <w:tcW w:w="706" w:type="pct"/>
            <w:tcBorders>
              <w:top w:val="nil"/>
              <w:left w:val="nil"/>
              <w:bottom w:val="nil"/>
              <w:right w:val="nil"/>
            </w:tcBorders>
            <w:noWrap/>
            <w:vAlign w:val="bottom"/>
            <w:hideMark/>
          </w:tcPr>
          <w:p w14:paraId="4E354C91"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2390" w:type="pct"/>
            <w:tcBorders>
              <w:top w:val="nil"/>
              <w:left w:val="nil"/>
              <w:bottom w:val="nil"/>
              <w:right w:val="nil"/>
            </w:tcBorders>
            <w:noWrap/>
            <w:vAlign w:val="bottom"/>
            <w:hideMark/>
          </w:tcPr>
          <w:p w14:paraId="6DC73AA1"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599" w:type="pct"/>
            <w:tcBorders>
              <w:top w:val="nil"/>
              <w:left w:val="nil"/>
              <w:bottom w:val="nil"/>
              <w:right w:val="nil"/>
            </w:tcBorders>
            <w:noWrap/>
            <w:vAlign w:val="bottom"/>
            <w:hideMark/>
          </w:tcPr>
          <w:p w14:paraId="0F21182B"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r>
      <w:tr w:rsidR="0080195A" w:rsidRPr="0080195A" w14:paraId="0410032C" w14:textId="77777777" w:rsidTr="0080195A">
        <w:trPr>
          <w:trHeight w:val="330"/>
        </w:trPr>
        <w:tc>
          <w:tcPr>
            <w:tcW w:w="5000" w:type="pct"/>
            <w:gridSpan w:val="4"/>
            <w:tcBorders>
              <w:top w:val="single" w:sz="8" w:space="0" w:color="auto"/>
              <w:left w:val="single" w:sz="8" w:space="0" w:color="auto"/>
              <w:bottom w:val="nil"/>
              <w:right w:val="single" w:sz="8" w:space="0" w:color="000000"/>
            </w:tcBorders>
            <w:shd w:val="clear" w:color="000000" w:fill="BDD7EE"/>
            <w:noWrap/>
            <w:vAlign w:val="bottom"/>
            <w:hideMark/>
          </w:tcPr>
          <w:p w14:paraId="0305796D"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Profitability Index (PI)</w:t>
            </w:r>
          </w:p>
        </w:tc>
      </w:tr>
      <w:tr w:rsidR="0080195A" w:rsidRPr="0080195A" w14:paraId="7520F687" w14:textId="77777777" w:rsidTr="0080195A">
        <w:trPr>
          <w:trHeight w:val="315"/>
        </w:trPr>
        <w:tc>
          <w:tcPr>
            <w:tcW w:w="305" w:type="pct"/>
            <w:tcBorders>
              <w:top w:val="nil"/>
              <w:left w:val="single" w:sz="8" w:space="0" w:color="auto"/>
              <w:bottom w:val="nil"/>
              <w:right w:val="nil"/>
            </w:tcBorders>
            <w:shd w:val="clear" w:color="000000" w:fill="BDD7EE"/>
            <w:noWrap/>
            <w:vAlign w:val="bottom"/>
            <w:hideMark/>
          </w:tcPr>
          <w:p w14:paraId="755667C8"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Year</w:t>
            </w:r>
          </w:p>
        </w:tc>
        <w:tc>
          <w:tcPr>
            <w:tcW w:w="706" w:type="pct"/>
            <w:tcBorders>
              <w:top w:val="nil"/>
              <w:left w:val="nil"/>
              <w:bottom w:val="nil"/>
              <w:right w:val="nil"/>
            </w:tcBorders>
            <w:shd w:val="clear" w:color="000000" w:fill="BDD7EE"/>
            <w:noWrap/>
            <w:vAlign w:val="bottom"/>
            <w:hideMark/>
          </w:tcPr>
          <w:p w14:paraId="0ED8485B"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B (£m)</w:t>
            </w:r>
          </w:p>
        </w:tc>
        <w:tc>
          <w:tcPr>
            <w:tcW w:w="2390" w:type="pct"/>
            <w:tcBorders>
              <w:top w:val="nil"/>
              <w:left w:val="nil"/>
              <w:bottom w:val="nil"/>
              <w:right w:val="nil"/>
            </w:tcBorders>
            <w:shd w:val="clear" w:color="000000" w:fill="BDD7EE"/>
            <w:noWrap/>
            <w:vAlign w:val="bottom"/>
            <w:hideMark/>
          </w:tcPr>
          <w:p w14:paraId="1A5C7432"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599" w:type="pct"/>
            <w:tcBorders>
              <w:top w:val="nil"/>
              <w:left w:val="nil"/>
              <w:bottom w:val="nil"/>
              <w:right w:val="single" w:sz="8" w:space="0" w:color="auto"/>
            </w:tcBorders>
            <w:shd w:val="clear" w:color="000000" w:fill="BDD7EE"/>
            <w:noWrap/>
            <w:vAlign w:val="bottom"/>
            <w:hideMark/>
          </w:tcPr>
          <w:p w14:paraId="67E27149"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54383EBC" w14:textId="77777777" w:rsidTr="0080195A">
        <w:trPr>
          <w:trHeight w:val="315"/>
        </w:trPr>
        <w:tc>
          <w:tcPr>
            <w:tcW w:w="305" w:type="pct"/>
            <w:tcBorders>
              <w:top w:val="nil"/>
              <w:left w:val="single" w:sz="8" w:space="0" w:color="auto"/>
              <w:bottom w:val="nil"/>
              <w:right w:val="nil"/>
            </w:tcBorders>
            <w:shd w:val="clear" w:color="000000" w:fill="A9D08E"/>
            <w:noWrap/>
            <w:vAlign w:val="bottom"/>
            <w:hideMark/>
          </w:tcPr>
          <w:p w14:paraId="0C9E804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706" w:type="pct"/>
            <w:tcBorders>
              <w:top w:val="nil"/>
              <w:left w:val="nil"/>
              <w:bottom w:val="nil"/>
              <w:right w:val="nil"/>
            </w:tcBorders>
            <w:shd w:val="clear" w:color="000000" w:fill="A9D08E"/>
            <w:noWrap/>
            <w:vAlign w:val="bottom"/>
            <w:hideMark/>
          </w:tcPr>
          <w:p w14:paraId="37ACA2C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2390" w:type="pct"/>
            <w:tcBorders>
              <w:top w:val="nil"/>
              <w:left w:val="nil"/>
              <w:bottom w:val="nil"/>
              <w:right w:val="nil"/>
            </w:tcBorders>
            <w:shd w:val="clear" w:color="000000" w:fill="A9D08E"/>
            <w:noWrap/>
            <w:vAlign w:val="bottom"/>
            <w:hideMark/>
          </w:tcPr>
          <w:p w14:paraId="74ED647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1599" w:type="pct"/>
            <w:tcBorders>
              <w:top w:val="nil"/>
              <w:left w:val="nil"/>
              <w:bottom w:val="nil"/>
              <w:right w:val="single" w:sz="8" w:space="0" w:color="auto"/>
            </w:tcBorders>
            <w:shd w:val="clear" w:color="000000" w:fill="A9D08E"/>
            <w:noWrap/>
            <w:vAlign w:val="bottom"/>
            <w:hideMark/>
          </w:tcPr>
          <w:p w14:paraId="5234F21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62BE645E"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0CCB9F1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706" w:type="pct"/>
            <w:tcBorders>
              <w:top w:val="nil"/>
              <w:left w:val="nil"/>
              <w:bottom w:val="nil"/>
              <w:right w:val="nil"/>
            </w:tcBorders>
            <w:shd w:val="clear" w:color="000000" w:fill="A9D08E"/>
            <w:noWrap/>
            <w:vAlign w:val="bottom"/>
            <w:hideMark/>
          </w:tcPr>
          <w:p w14:paraId="7AA32BA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A9D08E"/>
            <w:noWrap/>
            <w:vAlign w:val="bottom"/>
            <w:hideMark/>
          </w:tcPr>
          <w:p w14:paraId="60CF11B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0.909</w:t>
            </w:r>
          </w:p>
        </w:tc>
        <w:tc>
          <w:tcPr>
            <w:tcW w:w="1599" w:type="pct"/>
            <w:tcBorders>
              <w:top w:val="nil"/>
              <w:left w:val="nil"/>
              <w:bottom w:val="nil"/>
              <w:right w:val="single" w:sz="8" w:space="0" w:color="auto"/>
            </w:tcBorders>
            <w:shd w:val="clear" w:color="000000" w:fill="A9D08E"/>
            <w:noWrap/>
            <w:vAlign w:val="bottom"/>
            <w:hideMark/>
          </w:tcPr>
          <w:p w14:paraId="02E693B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9.999</w:t>
            </w:r>
          </w:p>
        </w:tc>
      </w:tr>
      <w:tr w:rsidR="0080195A" w:rsidRPr="0080195A" w14:paraId="0E5E4C9B"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3D1D588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706" w:type="pct"/>
            <w:tcBorders>
              <w:top w:val="nil"/>
              <w:left w:val="nil"/>
              <w:bottom w:val="nil"/>
              <w:right w:val="nil"/>
            </w:tcBorders>
            <w:shd w:val="clear" w:color="000000" w:fill="A9D08E"/>
            <w:noWrap/>
            <w:vAlign w:val="bottom"/>
            <w:hideMark/>
          </w:tcPr>
          <w:p w14:paraId="29D9C62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A9D08E"/>
            <w:noWrap/>
            <w:vAlign w:val="bottom"/>
            <w:hideMark/>
          </w:tcPr>
          <w:p w14:paraId="229385D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0.826</w:t>
            </w:r>
          </w:p>
        </w:tc>
        <w:tc>
          <w:tcPr>
            <w:tcW w:w="1599" w:type="pct"/>
            <w:tcBorders>
              <w:top w:val="nil"/>
              <w:left w:val="nil"/>
              <w:bottom w:val="nil"/>
              <w:right w:val="single" w:sz="8" w:space="0" w:color="auto"/>
            </w:tcBorders>
            <w:shd w:val="clear" w:color="000000" w:fill="A9D08E"/>
            <w:noWrap/>
            <w:vAlign w:val="bottom"/>
            <w:hideMark/>
          </w:tcPr>
          <w:p w14:paraId="10830B8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9.086</w:t>
            </w:r>
          </w:p>
        </w:tc>
      </w:tr>
      <w:tr w:rsidR="0080195A" w:rsidRPr="0080195A" w14:paraId="3D0E2D68"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52AD94D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706" w:type="pct"/>
            <w:tcBorders>
              <w:top w:val="nil"/>
              <w:left w:val="nil"/>
              <w:bottom w:val="nil"/>
              <w:right w:val="nil"/>
            </w:tcBorders>
            <w:shd w:val="clear" w:color="000000" w:fill="A9D08E"/>
            <w:noWrap/>
            <w:vAlign w:val="bottom"/>
            <w:hideMark/>
          </w:tcPr>
          <w:p w14:paraId="6835228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A9D08E"/>
            <w:noWrap/>
            <w:vAlign w:val="bottom"/>
            <w:hideMark/>
          </w:tcPr>
          <w:p w14:paraId="597B588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0.751</w:t>
            </w:r>
          </w:p>
        </w:tc>
        <w:tc>
          <w:tcPr>
            <w:tcW w:w="1599" w:type="pct"/>
            <w:tcBorders>
              <w:top w:val="nil"/>
              <w:left w:val="nil"/>
              <w:bottom w:val="nil"/>
              <w:right w:val="single" w:sz="8" w:space="0" w:color="auto"/>
            </w:tcBorders>
            <w:shd w:val="clear" w:color="000000" w:fill="A9D08E"/>
            <w:noWrap/>
            <w:vAlign w:val="bottom"/>
            <w:hideMark/>
          </w:tcPr>
          <w:p w14:paraId="6BFF528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8.261</w:t>
            </w:r>
          </w:p>
        </w:tc>
      </w:tr>
      <w:tr w:rsidR="0080195A" w:rsidRPr="0080195A" w14:paraId="5BC0018C"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63F0CE5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706" w:type="pct"/>
            <w:tcBorders>
              <w:top w:val="nil"/>
              <w:left w:val="nil"/>
              <w:bottom w:val="nil"/>
              <w:right w:val="nil"/>
            </w:tcBorders>
            <w:shd w:val="clear" w:color="000000" w:fill="A9D08E"/>
            <w:noWrap/>
            <w:vAlign w:val="bottom"/>
            <w:hideMark/>
          </w:tcPr>
          <w:p w14:paraId="2827C39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A9D08E"/>
            <w:noWrap/>
            <w:vAlign w:val="bottom"/>
            <w:hideMark/>
          </w:tcPr>
          <w:p w14:paraId="1887E46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0.683</w:t>
            </w:r>
          </w:p>
        </w:tc>
        <w:tc>
          <w:tcPr>
            <w:tcW w:w="1599" w:type="pct"/>
            <w:tcBorders>
              <w:top w:val="nil"/>
              <w:left w:val="nil"/>
              <w:bottom w:val="nil"/>
              <w:right w:val="single" w:sz="8" w:space="0" w:color="auto"/>
            </w:tcBorders>
            <w:shd w:val="clear" w:color="000000" w:fill="A9D08E"/>
            <w:noWrap/>
            <w:vAlign w:val="bottom"/>
            <w:hideMark/>
          </w:tcPr>
          <w:p w14:paraId="30522E1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7.513</w:t>
            </w:r>
          </w:p>
        </w:tc>
      </w:tr>
      <w:tr w:rsidR="0080195A" w:rsidRPr="0080195A" w14:paraId="026AD057"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70085117"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706" w:type="pct"/>
            <w:tcBorders>
              <w:top w:val="nil"/>
              <w:left w:val="nil"/>
              <w:bottom w:val="nil"/>
              <w:right w:val="nil"/>
            </w:tcBorders>
            <w:shd w:val="clear" w:color="000000" w:fill="A9D08E"/>
            <w:noWrap/>
            <w:vAlign w:val="bottom"/>
            <w:hideMark/>
          </w:tcPr>
          <w:p w14:paraId="0A1BDB84"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11</w:t>
            </w:r>
          </w:p>
        </w:tc>
        <w:tc>
          <w:tcPr>
            <w:tcW w:w="2390" w:type="pct"/>
            <w:tcBorders>
              <w:top w:val="nil"/>
              <w:left w:val="nil"/>
              <w:bottom w:val="nil"/>
              <w:right w:val="nil"/>
            </w:tcBorders>
            <w:shd w:val="clear" w:color="000000" w:fill="A9D08E"/>
            <w:noWrap/>
            <w:vAlign w:val="bottom"/>
            <w:hideMark/>
          </w:tcPr>
          <w:p w14:paraId="69C109A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0.621</w:t>
            </w:r>
          </w:p>
        </w:tc>
        <w:tc>
          <w:tcPr>
            <w:tcW w:w="1599" w:type="pct"/>
            <w:tcBorders>
              <w:top w:val="nil"/>
              <w:left w:val="nil"/>
              <w:bottom w:val="nil"/>
              <w:right w:val="single" w:sz="8" w:space="0" w:color="auto"/>
            </w:tcBorders>
            <w:shd w:val="clear" w:color="000000" w:fill="A9D08E"/>
            <w:noWrap/>
            <w:vAlign w:val="bottom"/>
            <w:hideMark/>
          </w:tcPr>
          <w:p w14:paraId="2D9D30E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6.831</w:t>
            </w:r>
          </w:p>
        </w:tc>
      </w:tr>
      <w:tr w:rsidR="0080195A" w:rsidRPr="0080195A" w14:paraId="3DD235A2"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56C73DB8"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A9D08E"/>
            <w:noWrap/>
            <w:vAlign w:val="bottom"/>
            <w:hideMark/>
          </w:tcPr>
          <w:p w14:paraId="3497AAD1"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A9D08E"/>
            <w:noWrap/>
            <w:vAlign w:val="bottom"/>
            <w:hideMark/>
          </w:tcPr>
          <w:p w14:paraId="3980DEC8"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Total present values of future cash flows</w:t>
            </w:r>
          </w:p>
        </w:tc>
        <w:tc>
          <w:tcPr>
            <w:tcW w:w="1599" w:type="pct"/>
            <w:tcBorders>
              <w:top w:val="nil"/>
              <w:left w:val="nil"/>
              <w:bottom w:val="nil"/>
              <w:right w:val="single" w:sz="8" w:space="0" w:color="auto"/>
            </w:tcBorders>
            <w:shd w:val="clear" w:color="000000" w:fill="A9D08E"/>
            <w:noWrap/>
            <w:vAlign w:val="bottom"/>
            <w:hideMark/>
          </w:tcPr>
          <w:p w14:paraId="1FEF63B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-8.31</w:t>
            </w:r>
          </w:p>
        </w:tc>
      </w:tr>
      <w:tr w:rsidR="0080195A" w:rsidRPr="0080195A" w14:paraId="7CA411DC" w14:textId="77777777" w:rsidTr="0080195A">
        <w:trPr>
          <w:trHeight w:val="315"/>
        </w:trPr>
        <w:tc>
          <w:tcPr>
            <w:tcW w:w="305" w:type="pct"/>
            <w:tcBorders>
              <w:top w:val="nil"/>
              <w:left w:val="single" w:sz="8" w:space="0" w:color="auto"/>
              <w:bottom w:val="nil"/>
              <w:right w:val="nil"/>
            </w:tcBorders>
            <w:shd w:val="clear" w:color="000000" w:fill="A9D08E"/>
            <w:noWrap/>
            <w:vAlign w:val="bottom"/>
            <w:hideMark/>
          </w:tcPr>
          <w:p w14:paraId="446057E0"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A9D08E"/>
            <w:noWrap/>
            <w:vAlign w:val="bottom"/>
            <w:hideMark/>
          </w:tcPr>
          <w:p w14:paraId="3F1805EA"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BDD7EE"/>
            <w:noWrap/>
            <w:vAlign w:val="bottom"/>
            <w:hideMark/>
          </w:tcPr>
          <w:p w14:paraId="17A7BE2C"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PI</w:t>
            </w:r>
          </w:p>
        </w:tc>
        <w:tc>
          <w:tcPr>
            <w:tcW w:w="1599" w:type="pct"/>
            <w:tcBorders>
              <w:top w:val="nil"/>
              <w:left w:val="nil"/>
              <w:bottom w:val="nil"/>
              <w:right w:val="single" w:sz="8" w:space="0" w:color="auto"/>
            </w:tcBorders>
            <w:shd w:val="clear" w:color="000000" w:fill="BDD7EE"/>
            <w:noWrap/>
            <w:vAlign w:val="bottom"/>
            <w:hideMark/>
          </w:tcPr>
          <w:p w14:paraId="1937617F"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-0.17</w:t>
            </w:r>
          </w:p>
        </w:tc>
      </w:tr>
      <w:tr w:rsidR="0080195A" w:rsidRPr="0080195A" w14:paraId="55628DD7" w14:textId="77777777" w:rsidTr="0080195A">
        <w:trPr>
          <w:trHeight w:val="330"/>
        </w:trPr>
        <w:tc>
          <w:tcPr>
            <w:tcW w:w="305" w:type="pct"/>
            <w:tcBorders>
              <w:top w:val="nil"/>
              <w:left w:val="single" w:sz="8" w:space="0" w:color="auto"/>
              <w:bottom w:val="single" w:sz="8" w:space="0" w:color="auto"/>
              <w:right w:val="nil"/>
            </w:tcBorders>
            <w:shd w:val="clear" w:color="000000" w:fill="A9D08E"/>
            <w:noWrap/>
            <w:vAlign w:val="bottom"/>
            <w:hideMark/>
          </w:tcPr>
          <w:p w14:paraId="3D4E2520"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single" w:sz="8" w:space="0" w:color="auto"/>
              <w:right w:val="nil"/>
            </w:tcBorders>
            <w:shd w:val="clear" w:color="000000" w:fill="A9D08E"/>
            <w:noWrap/>
            <w:vAlign w:val="bottom"/>
            <w:hideMark/>
          </w:tcPr>
          <w:p w14:paraId="79F30E5E"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single" w:sz="8" w:space="0" w:color="auto"/>
              <w:right w:val="nil"/>
            </w:tcBorders>
            <w:shd w:val="clear" w:color="000000" w:fill="A9D08E"/>
            <w:noWrap/>
            <w:vAlign w:val="bottom"/>
            <w:hideMark/>
          </w:tcPr>
          <w:p w14:paraId="7C7B32DE"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Present values of future cash flows/Initial investment</w:t>
            </w:r>
          </w:p>
        </w:tc>
        <w:tc>
          <w:tcPr>
            <w:tcW w:w="1599" w:type="pct"/>
            <w:tcBorders>
              <w:top w:val="nil"/>
              <w:left w:val="nil"/>
              <w:bottom w:val="single" w:sz="8" w:space="0" w:color="auto"/>
              <w:right w:val="single" w:sz="8" w:space="0" w:color="auto"/>
            </w:tcBorders>
            <w:shd w:val="clear" w:color="000000" w:fill="A9D08E"/>
            <w:noWrap/>
            <w:vAlign w:val="bottom"/>
            <w:hideMark/>
          </w:tcPr>
          <w:p w14:paraId="1D5B5F45"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r w:rsidR="0080195A" w:rsidRPr="0080195A" w14:paraId="6A9E1E50" w14:textId="77777777" w:rsidTr="0080195A">
        <w:trPr>
          <w:trHeight w:val="315"/>
        </w:trPr>
        <w:tc>
          <w:tcPr>
            <w:tcW w:w="305" w:type="pct"/>
            <w:tcBorders>
              <w:top w:val="nil"/>
              <w:left w:val="nil"/>
              <w:bottom w:val="nil"/>
              <w:right w:val="nil"/>
            </w:tcBorders>
            <w:noWrap/>
            <w:vAlign w:val="bottom"/>
            <w:hideMark/>
          </w:tcPr>
          <w:p w14:paraId="40E85EA7" w14:textId="77777777" w:rsidR="0080195A" w:rsidRPr="0080195A" w:rsidRDefault="0080195A" w:rsidP="0080195A">
            <w:pPr>
              <w:spacing w:line="240" w:lineRule="auto"/>
              <w:jc w:val="left"/>
              <w:rPr>
                <w:rFonts w:eastAsia="Times New Roman"/>
                <w:color w:val="000000"/>
                <w:szCs w:val="24"/>
                <w:lang w:val="en-IN" w:eastAsia="en-IN"/>
              </w:rPr>
            </w:pPr>
          </w:p>
        </w:tc>
        <w:tc>
          <w:tcPr>
            <w:tcW w:w="706" w:type="pct"/>
            <w:tcBorders>
              <w:top w:val="nil"/>
              <w:left w:val="nil"/>
              <w:bottom w:val="nil"/>
              <w:right w:val="nil"/>
            </w:tcBorders>
            <w:noWrap/>
            <w:vAlign w:val="bottom"/>
            <w:hideMark/>
          </w:tcPr>
          <w:p w14:paraId="2D83F593"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2390" w:type="pct"/>
            <w:tcBorders>
              <w:top w:val="nil"/>
              <w:left w:val="nil"/>
              <w:bottom w:val="nil"/>
              <w:right w:val="nil"/>
            </w:tcBorders>
            <w:noWrap/>
            <w:vAlign w:val="bottom"/>
            <w:hideMark/>
          </w:tcPr>
          <w:p w14:paraId="3A70D820"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c>
          <w:tcPr>
            <w:tcW w:w="1599" w:type="pct"/>
            <w:tcBorders>
              <w:top w:val="nil"/>
              <w:left w:val="nil"/>
              <w:bottom w:val="nil"/>
              <w:right w:val="nil"/>
            </w:tcBorders>
            <w:noWrap/>
            <w:vAlign w:val="bottom"/>
            <w:hideMark/>
          </w:tcPr>
          <w:p w14:paraId="162027A8" w14:textId="77777777" w:rsidR="0080195A" w:rsidRPr="0080195A" w:rsidRDefault="0080195A" w:rsidP="0080195A">
            <w:pPr>
              <w:spacing w:line="240" w:lineRule="auto"/>
              <w:jc w:val="left"/>
              <w:rPr>
                <w:rFonts w:ascii="Times New Roman" w:eastAsia="Times New Roman" w:hAnsi="Times New Roman" w:cs="Times New Roman"/>
                <w:color w:val="auto"/>
                <w:sz w:val="20"/>
                <w:szCs w:val="20"/>
                <w:lang w:val="en-IN" w:eastAsia="en-IN"/>
              </w:rPr>
            </w:pPr>
          </w:p>
        </w:tc>
      </w:tr>
      <w:tr w:rsidR="0080195A" w:rsidRPr="0080195A" w14:paraId="7972627F" w14:textId="77777777" w:rsidTr="0080195A">
        <w:trPr>
          <w:trHeight w:val="330"/>
        </w:trPr>
        <w:tc>
          <w:tcPr>
            <w:tcW w:w="5000" w:type="pct"/>
            <w:gridSpan w:val="4"/>
            <w:tcBorders>
              <w:top w:val="single" w:sz="8" w:space="0" w:color="auto"/>
              <w:left w:val="single" w:sz="8" w:space="0" w:color="auto"/>
              <w:bottom w:val="nil"/>
              <w:right w:val="single" w:sz="8" w:space="0" w:color="000000"/>
            </w:tcBorders>
            <w:shd w:val="clear" w:color="000000" w:fill="BDD7EE"/>
            <w:noWrap/>
            <w:vAlign w:val="bottom"/>
            <w:hideMark/>
          </w:tcPr>
          <w:p w14:paraId="4EFDCB70" w14:textId="77777777" w:rsidR="0080195A" w:rsidRPr="0080195A" w:rsidRDefault="0080195A" w:rsidP="0080195A">
            <w:pPr>
              <w:spacing w:line="240" w:lineRule="auto"/>
              <w:jc w:val="center"/>
              <w:rPr>
                <w:rFonts w:eastAsia="Times New Roman"/>
                <w:b/>
                <w:bCs/>
                <w:color w:val="000000"/>
                <w:szCs w:val="24"/>
                <w:lang w:val="en-IN" w:eastAsia="en-IN"/>
              </w:rPr>
            </w:pPr>
            <w:r w:rsidRPr="0080195A">
              <w:rPr>
                <w:rFonts w:eastAsia="Times New Roman"/>
                <w:b/>
                <w:bCs/>
                <w:color w:val="000000"/>
                <w:szCs w:val="24"/>
                <w:lang w:val="en-IN" w:eastAsia="en-IN"/>
              </w:rPr>
              <w:t>Calculation of Profitability Index (PI)</w:t>
            </w:r>
          </w:p>
        </w:tc>
      </w:tr>
      <w:tr w:rsidR="0080195A" w:rsidRPr="0080195A" w14:paraId="0D1F190D" w14:textId="77777777" w:rsidTr="0080195A">
        <w:trPr>
          <w:trHeight w:val="315"/>
        </w:trPr>
        <w:tc>
          <w:tcPr>
            <w:tcW w:w="305" w:type="pct"/>
            <w:tcBorders>
              <w:top w:val="nil"/>
              <w:left w:val="single" w:sz="8" w:space="0" w:color="auto"/>
              <w:bottom w:val="nil"/>
              <w:right w:val="nil"/>
            </w:tcBorders>
            <w:shd w:val="clear" w:color="000000" w:fill="BDD7EE"/>
            <w:noWrap/>
            <w:vAlign w:val="bottom"/>
            <w:hideMark/>
          </w:tcPr>
          <w:p w14:paraId="3439A809"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lastRenderedPageBreak/>
              <w:t>Year</w:t>
            </w:r>
          </w:p>
        </w:tc>
        <w:tc>
          <w:tcPr>
            <w:tcW w:w="706" w:type="pct"/>
            <w:tcBorders>
              <w:top w:val="nil"/>
              <w:left w:val="nil"/>
              <w:bottom w:val="nil"/>
              <w:right w:val="nil"/>
            </w:tcBorders>
            <w:shd w:val="clear" w:color="000000" w:fill="BDD7EE"/>
            <w:noWrap/>
            <w:vAlign w:val="bottom"/>
            <w:hideMark/>
          </w:tcPr>
          <w:p w14:paraId="22F02B87"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Project C (£m)</w:t>
            </w:r>
          </w:p>
        </w:tc>
        <w:tc>
          <w:tcPr>
            <w:tcW w:w="2390" w:type="pct"/>
            <w:tcBorders>
              <w:top w:val="nil"/>
              <w:left w:val="nil"/>
              <w:bottom w:val="nil"/>
              <w:right w:val="nil"/>
            </w:tcBorders>
            <w:shd w:val="clear" w:color="000000" w:fill="BDD7EE"/>
            <w:noWrap/>
            <w:vAlign w:val="bottom"/>
            <w:hideMark/>
          </w:tcPr>
          <w:p w14:paraId="72C28DBE"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Discounting factor @10%</w:t>
            </w:r>
          </w:p>
        </w:tc>
        <w:tc>
          <w:tcPr>
            <w:tcW w:w="1599" w:type="pct"/>
            <w:tcBorders>
              <w:top w:val="nil"/>
              <w:left w:val="nil"/>
              <w:bottom w:val="nil"/>
              <w:right w:val="single" w:sz="8" w:space="0" w:color="auto"/>
            </w:tcBorders>
            <w:shd w:val="clear" w:color="000000" w:fill="BDD7EE"/>
            <w:noWrap/>
            <w:vAlign w:val="bottom"/>
            <w:hideMark/>
          </w:tcPr>
          <w:p w14:paraId="2CC4989A"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Present value of cash flows (£m)</w:t>
            </w:r>
          </w:p>
        </w:tc>
      </w:tr>
      <w:tr w:rsidR="0080195A" w:rsidRPr="0080195A" w14:paraId="74ED87E1" w14:textId="77777777" w:rsidTr="0080195A">
        <w:trPr>
          <w:trHeight w:val="315"/>
        </w:trPr>
        <w:tc>
          <w:tcPr>
            <w:tcW w:w="305" w:type="pct"/>
            <w:tcBorders>
              <w:top w:val="nil"/>
              <w:left w:val="single" w:sz="8" w:space="0" w:color="auto"/>
              <w:bottom w:val="nil"/>
              <w:right w:val="nil"/>
            </w:tcBorders>
            <w:shd w:val="clear" w:color="000000" w:fill="A9D08E"/>
            <w:noWrap/>
            <w:vAlign w:val="bottom"/>
            <w:hideMark/>
          </w:tcPr>
          <w:p w14:paraId="7D10B7AC"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w:t>
            </w:r>
          </w:p>
        </w:tc>
        <w:tc>
          <w:tcPr>
            <w:tcW w:w="706" w:type="pct"/>
            <w:tcBorders>
              <w:top w:val="nil"/>
              <w:left w:val="nil"/>
              <w:bottom w:val="nil"/>
              <w:right w:val="nil"/>
            </w:tcBorders>
            <w:shd w:val="clear" w:color="000000" w:fill="A9D08E"/>
            <w:noWrap/>
            <w:vAlign w:val="bottom"/>
            <w:hideMark/>
          </w:tcPr>
          <w:p w14:paraId="05634B4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c>
          <w:tcPr>
            <w:tcW w:w="2390" w:type="pct"/>
            <w:tcBorders>
              <w:top w:val="nil"/>
              <w:left w:val="nil"/>
              <w:bottom w:val="nil"/>
              <w:right w:val="nil"/>
            </w:tcBorders>
            <w:shd w:val="clear" w:color="000000" w:fill="A9D08E"/>
            <w:noWrap/>
            <w:vAlign w:val="bottom"/>
            <w:hideMark/>
          </w:tcPr>
          <w:p w14:paraId="4D4BBE2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1599" w:type="pct"/>
            <w:tcBorders>
              <w:top w:val="nil"/>
              <w:left w:val="nil"/>
              <w:bottom w:val="nil"/>
              <w:right w:val="single" w:sz="8" w:space="0" w:color="auto"/>
            </w:tcBorders>
            <w:shd w:val="clear" w:color="000000" w:fill="A9D08E"/>
            <w:noWrap/>
            <w:vAlign w:val="bottom"/>
            <w:hideMark/>
          </w:tcPr>
          <w:p w14:paraId="6DC9E1E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-50</w:t>
            </w:r>
          </w:p>
        </w:tc>
      </w:tr>
      <w:tr w:rsidR="0080195A" w:rsidRPr="0080195A" w14:paraId="3A834ECE"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5782BEE5"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w:t>
            </w:r>
          </w:p>
        </w:tc>
        <w:tc>
          <w:tcPr>
            <w:tcW w:w="706" w:type="pct"/>
            <w:tcBorders>
              <w:top w:val="nil"/>
              <w:left w:val="nil"/>
              <w:bottom w:val="nil"/>
              <w:right w:val="nil"/>
            </w:tcBorders>
            <w:shd w:val="clear" w:color="000000" w:fill="A9D08E"/>
            <w:noWrap/>
            <w:vAlign w:val="bottom"/>
            <w:hideMark/>
          </w:tcPr>
          <w:p w14:paraId="4DE2304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2390" w:type="pct"/>
            <w:tcBorders>
              <w:top w:val="nil"/>
              <w:left w:val="nil"/>
              <w:bottom w:val="nil"/>
              <w:right w:val="nil"/>
            </w:tcBorders>
            <w:shd w:val="clear" w:color="000000" w:fill="A9D08E"/>
            <w:noWrap/>
            <w:vAlign w:val="bottom"/>
            <w:hideMark/>
          </w:tcPr>
          <w:p w14:paraId="796312D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0.909</w:t>
            </w:r>
          </w:p>
        </w:tc>
        <w:tc>
          <w:tcPr>
            <w:tcW w:w="1599" w:type="pct"/>
            <w:tcBorders>
              <w:top w:val="nil"/>
              <w:left w:val="nil"/>
              <w:bottom w:val="nil"/>
              <w:right w:val="single" w:sz="8" w:space="0" w:color="auto"/>
            </w:tcBorders>
            <w:shd w:val="clear" w:color="000000" w:fill="A9D08E"/>
            <w:noWrap/>
            <w:vAlign w:val="bottom"/>
            <w:hideMark/>
          </w:tcPr>
          <w:p w14:paraId="68D7D13F"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4.545</w:t>
            </w:r>
          </w:p>
        </w:tc>
      </w:tr>
      <w:tr w:rsidR="0080195A" w:rsidRPr="0080195A" w14:paraId="1B37A363"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5A73046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w:t>
            </w:r>
          </w:p>
        </w:tc>
        <w:tc>
          <w:tcPr>
            <w:tcW w:w="706" w:type="pct"/>
            <w:tcBorders>
              <w:top w:val="nil"/>
              <w:left w:val="nil"/>
              <w:bottom w:val="nil"/>
              <w:right w:val="nil"/>
            </w:tcBorders>
            <w:shd w:val="clear" w:color="000000" w:fill="A9D08E"/>
            <w:noWrap/>
            <w:vAlign w:val="bottom"/>
            <w:hideMark/>
          </w:tcPr>
          <w:p w14:paraId="097D063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10</w:t>
            </w:r>
          </w:p>
        </w:tc>
        <w:tc>
          <w:tcPr>
            <w:tcW w:w="2390" w:type="pct"/>
            <w:tcBorders>
              <w:top w:val="nil"/>
              <w:left w:val="nil"/>
              <w:bottom w:val="nil"/>
              <w:right w:val="nil"/>
            </w:tcBorders>
            <w:shd w:val="clear" w:color="000000" w:fill="A9D08E"/>
            <w:noWrap/>
            <w:vAlign w:val="bottom"/>
            <w:hideMark/>
          </w:tcPr>
          <w:p w14:paraId="1C6520B0"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0.826</w:t>
            </w:r>
          </w:p>
        </w:tc>
        <w:tc>
          <w:tcPr>
            <w:tcW w:w="1599" w:type="pct"/>
            <w:tcBorders>
              <w:top w:val="nil"/>
              <w:left w:val="nil"/>
              <w:bottom w:val="nil"/>
              <w:right w:val="single" w:sz="8" w:space="0" w:color="auto"/>
            </w:tcBorders>
            <w:shd w:val="clear" w:color="000000" w:fill="A9D08E"/>
            <w:noWrap/>
            <w:vAlign w:val="bottom"/>
            <w:hideMark/>
          </w:tcPr>
          <w:p w14:paraId="6EA3C13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8.26</w:t>
            </w:r>
          </w:p>
        </w:tc>
      </w:tr>
      <w:tr w:rsidR="0080195A" w:rsidRPr="0080195A" w14:paraId="2DD378C2"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4083C92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w:t>
            </w:r>
          </w:p>
        </w:tc>
        <w:tc>
          <w:tcPr>
            <w:tcW w:w="706" w:type="pct"/>
            <w:tcBorders>
              <w:top w:val="nil"/>
              <w:left w:val="nil"/>
              <w:bottom w:val="nil"/>
              <w:right w:val="nil"/>
            </w:tcBorders>
            <w:shd w:val="clear" w:color="000000" w:fill="A9D08E"/>
            <w:noWrap/>
            <w:vAlign w:val="bottom"/>
            <w:hideMark/>
          </w:tcPr>
          <w:p w14:paraId="1AC7F1B9"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20</w:t>
            </w:r>
          </w:p>
        </w:tc>
        <w:tc>
          <w:tcPr>
            <w:tcW w:w="2390" w:type="pct"/>
            <w:tcBorders>
              <w:top w:val="nil"/>
              <w:left w:val="nil"/>
              <w:bottom w:val="nil"/>
              <w:right w:val="nil"/>
            </w:tcBorders>
            <w:shd w:val="clear" w:color="000000" w:fill="A9D08E"/>
            <w:noWrap/>
            <w:vAlign w:val="bottom"/>
            <w:hideMark/>
          </w:tcPr>
          <w:p w14:paraId="03910DEB"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0.751</w:t>
            </w:r>
          </w:p>
        </w:tc>
        <w:tc>
          <w:tcPr>
            <w:tcW w:w="1599" w:type="pct"/>
            <w:tcBorders>
              <w:top w:val="nil"/>
              <w:left w:val="nil"/>
              <w:bottom w:val="nil"/>
              <w:right w:val="single" w:sz="8" w:space="0" w:color="auto"/>
            </w:tcBorders>
            <w:shd w:val="clear" w:color="000000" w:fill="A9D08E"/>
            <w:noWrap/>
            <w:vAlign w:val="bottom"/>
            <w:hideMark/>
          </w:tcPr>
          <w:p w14:paraId="6ECF9D53"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15.02</w:t>
            </w:r>
          </w:p>
        </w:tc>
      </w:tr>
      <w:tr w:rsidR="0080195A" w:rsidRPr="0080195A" w14:paraId="718AE25E"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24CC6AD8"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4</w:t>
            </w:r>
          </w:p>
        </w:tc>
        <w:tc>
          <w:tcPr>
            <w:tcW w:w="706" w:type="pct"/>
            <w:tcBorders>
              <w:top w:val="nil"/>
              <w:left w:val="nil"/>
              <w:bottom w:val="nil"/>
              <w:right w:val="nil"/>
            </w:tcBorders>
            <w:shd w:val="clear" w:color="000000" w:fill="A9D08E"/>
            <w:noWrap/>
            <w:vAlign w:val="bottom"/>
            <w:hideMark/>
          </w:tcPr>
          <w:p w14:paraId="512B951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25</w:t>
            </w:r>
          </w:p>
        </w:tc>
        <w:tc>
          <w:tcPr>
            <w:tcW w:w="2390" w:type="pct"/>
            <w:tcBorders>
              <w:top w:val="nil"/>
              <w:left w:val="nil"/>
              <w:bottom w:val="nil"/>
              <w:right w:val="nil"/>
            </w:tcBorders>
            <w:shd w:val="clear" w:color="000000" w:fill="A9D08E"/>
            <w:noWrap/>
            <w:vAlign w:val="bottom"/>
            <w:hideMark/>
          </w:tcPr>
          <w:p w14:paraId="10029AA6"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0.683</w:t>
            </w:r>
          </w:p>
        </w:tc>
        <w:tc>
          <w:tcPr>
            <w:tcW w:w="1599" w:type="pct"/>
            <w:tcBorders>
              <w:top w:val="nil"/>
              <w:left w:val="nil"/>
              <w:bottom w:val="nil"/>
              <w:right w:val="single" w:sz="8" w:space="0" w:color="auto"/>
            </w:tcBorders>
            <w:shd w:val="clear" w:color="000000" w:fill="A9D08E"/>
            <w:noWrap/>
            <w:vAlign w:val="bottom"/>
            <w:hideMark/>
          </w:tcPr>
          <w:p w14:paraId="4EF3943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17.075</w:t>
            </w:r>
          </w:p>
        </w:tc>
      </w:tr>
      <w:tr w:rsidR="0080195A" w:rsidRPr="0080195A" w14:paraId="5EB98108"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781B13CD"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706" w:type="pct"/>
            <w:tcBorders>
              <w:top w:val="nil"/>
              <w:left w:val="nil"/>
              <w:bottom w:val="nil"/>
              <w:right w:val="nil"/>
            </w:tcBorders>
            <w:shd w:val="clear" w:color="000000" w:fill="A9D08E"/>
            <w:noWrap/>
            <w:vAlign w:val="bottom"/>
            <w:hideMark/>
          </w:tcPr>
          <w:p w14:paraId="41D38FCA"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5</w:t>
            </w:r>
          </w:p>
        </w:tc>
        <w:tc>
          <w:tcPr>
            <w:tcW w:w="2390" w:type="pct"/>
            <w:tcBorders>
              <w:top w:val="nil"/>
              <w:left w:val="nil"/>
              <w:bottom w:val="nil"/>
              <w:right w:val="nil"/>
            </w:tcBorders>
            <w:shd w:val="clear" w:color="000000" w:fill="A9D08E"/>
            <w:noWrap/>
            <w:vAlign w:val="bottom"/>
            <w:hideMark/>
          </w:tcPr>
          <w:p w14:paraId="6C401D02"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0.621</w:t>
            </w:r>
          </w:p>
        </w:tc>
        <w:tc>
          <w:tcPr>
            <w:tcW w:w="1599" w:type="pct"/>
            <w:tcBorders>
              <w:top w:val="nil"/>
              <w:left w:val="nil"/>
              <w:bottom w:val="nil"/>
              <w:right w:val="single" w:sz="8" w:space="0" w:color="auto"/>
            </w:tcBorders>
            <w:shd w:val="clear" w:color="000000" w:fill="A9D08E"/>
            <w:noWrap/>
            <w:vAlign w:val="bottom"/>
            <w:hideMark/>
          </w:tcPr>
          <w:p w14:paraId="72A5D3C1"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3.105</w:t>
            </w:r>
          </w:p>
        </w:tc>
      </w:tr>
      <w:tr w:rsidR="0080195A" w:rsidRPr="0080195A" w14:paraId="0E8FE532" w14:textId="77777777" w:rsidTr="0080195A">
        <w:trPr>
          <w:trHeight w:val="300"/>
        </w:trPr>
        <w:tc>
          <w:tcPr>
            <w:tcW w:w="305" w:type="pct"/>
            <w:tcBorders>
              <w:top w:val="nil"/>
              <w:left w:val="single" w:sz="8" w:space="0" w:color="auto"/>
              <w:bottom w:val="nil"/>
              <w:right w:val="nil"/>
            </w:tcBorders>
            <w:shd w:val="clear" w:color="000000" w:fill="A9D08E"/>
            <w:noWrap/>
            <w:vAlign w:val="bottom"/>
            <w:hideMark/>
          </w:tcPr>
          <w:p w14:paraId="0D97FBBB"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A9D08E"/>
            <w:noWrap/>
            <w:vAlign w:val="bottom"/>
            <w:hideMark/>
          </w:tcPr>
          <w:p w14:paraId="1AA0F706"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A9D08E"/>
            <w:noWrap/>
            <w:vAlign w:val="bottom"/>
            <w:hideMark/>
          </w:tcPr>
          <w:p w14:paraId="2C315C9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Total present values of future cash flows</w:t>
            </w:r>
          </w:p>
        </w:tc>
        <w:tc>
          <w:tcPr>
            <w:tcW w:w="1599" w:type="pct"/>
            <w:tcBorders>
              <w:top w:val="nil"/>
              <w:left w:val="nil"/>
              <w:bottom w:val="nil"/>
              <w:right w:val="single" w:sz="8" w:space="0" w:color="auto"/>
            </w:tcBorders>
            <w:shd w:val="clear" w:color="000000" w:fill="A9D08E"/>
            <w:noWrap/>
            <w:vAlign w:val="bottom"/>
            <w:hideMark/>
          </w:tcPr>
          <w:p w14:paraId="7CBA34FE" w14:textId="77777777" w:rsidR="0080195A" w:rsidRPr="0080195A" w:rsidRDefault="0080195A" w:rsidP="0080195A">
            <w:pPr>
              <w:spacing w:line="240" w:lineRule="auto"/>
              <w:jc w:val="right"/>
              <w:rPr>
                <w:rFonts w:eastAsia="Times New Roman"/>
                <w:color w:val="000000"/>
                <w:szCs w:val="24"/>
                <w:lang w:val="en-IN" w:eastAsia="en-IN"/>
              </w:rPr>
            </w:pPr>
            <w:r w:rsidRPr="0080195A">
              <w:rPr>
                <w:rFonts w:eastAsia="Times New Roman"/>
                <w:color w:val="000000"/>
                <w:szCs w:val="24"/>
                <w:lang w:val="en-IN" w:eastAsia="en-IN"/>
              </w:rPr>
              <w:t>-2.00</w:t>
            </w:r>
          </w:p>
        </w:tc>
      </w:tr>
      <w:tr w:rsidR="0080195A" w:rsidRPr="0080195A" w14:paraId="0A3D4848" w14:textId="77777777" w:rsidTr="0080195A">
        <w:trPr>
          <w:trHeight w:val="315"/>
        </w:trPr>
        <w:tc>
          <w:tcPr>
            <w:tcW w:w="305" w:type="pct"/>
            <w:tcBorders>
              <w:top w:val="nil"/>
              <w:left w:val="single" w:sz="8" w:space="0" w:color="auto"/>
              <w:bottom w:val="nil"/>
              <w:right w:val="nil"/>
            </w:tcBorders>
            <w:shd w:val="clear" w:color="000000" w:fill="A9D08E"/>
            <w:noWrap/>
            <w:vAlign w:val="bottom"/>
            <w:hideMark/>
          </w:tcPr>
          <w:p w14:paraId="41585873"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nil"/>
              <w:right w:val="nil"/>
            </w:tcBorders>
            <w:shd w:val="clear" w:color="000000" w:fill="A9D08E"/>
            <w:noWrap/>
            <w:vAlign w:val="bottom"/>
            <w:hideMark/>
          </w:tcPr>
          <w:p w14:paraId="754610D6"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nil"/>
              <w:right w:val="nil"/>
            </w:tcBorders>
            <w:shd w:val="clear" w:color="000000" w:fill="BDD7EE"/>
            <w:noWrap/>
            <w:vAlign w:val="bottom"/>
            <w:hideMark/>
          </w:tcPr>
          <w:p w14:paraId="1C00D283" w14:textId="77777777" w:rsidR="0080195A" w:rsidRPr="0080195A" w:rsidRDefault="0080195A" w:rsidP="0080195A">
            <w:pPr>
              <w:spacing w:line="240" w:lineRule="auto"/>
              <w:jc w:val="left"/>
              <w:rPr>
                <w:rFonts w:eastAsia="Times New Roman"/>
                <w:b/>
                <w:bCs/>
                <w:color w:val="000000"/>
                <w:szCs w:val="24"/>
                <w:lang w:val="en-IN" w:eastAsia="en-IN"/>
              </w:rPr>
            </w:pPr>
            <w:r w:rsidRPr="0080195A">
              <w:rPr>
                <w:rFonts w:eastAsia="Times New Roman"/>
                <w:b/>
                <w:bCs/>
                <w:color w:val="000000"/>
                <w:szCs w:val="24"/>
                <w:lang w:val="en-IN" w:eastAsia="en-IN"/>
              </w:rPr>
              <w:t>PI</w:t>
            </w:r>
          </w:p>
        </w:tc>
        <w:tc>
          <w:tcPr>
            <w:tcW w:w="1599" w:type="pct"/>
            <w:tcBorders>
              <w:top w:val="nil"/>
              <w:left w:val="nil"/>
              <w:bottom w:val="nil"/>
              <w:right w:val="single" w:sz="8" w:space="0" w:color="auto"/>
            </w:tcBorders>
            <w:shd w:val="clear" w:color="000000" w:fill="BDD7EE"/>
            <w:noWrap/>
            <w:vAlign w:val="bottom"/>
            <w:hideMark/>
          </w:tcPr>
          <w:p w14:paraId="6698AD4D" w14:textId="77777777" w:rsidR="0080195A" w:rsidRPr="0080195A" w:rsidRDefault="0080195A" w:rsidP="0080195A">
            <w:pPr>
              <w:spacing w:line="240" w:lineRule="auto"/>
              <w:jc w:val="right"/>
              <w:rPr>
                <w:rFonts w:eastAsia="Times New Roman"/>
                <w:b/>
                <w:bCs/>
                <w:color w:val="000000"/>
                <w:szCs w:val="24"/>
                <w:lang w:val="en-IN" w:eastAsia="en-IN"/>
              </w:rPr>
            </w:pPr>
            <w:r w:rsidRPr="0080195A">
              <w:rPr>
                <w:rFonts w:eastAsia="Times New Roman"/>
                <w:b/>
                <w:bCs/>
                <w:color w:val="000000"/>
                <w:szCs w:val="24"/>
                <w:lang w:val="en-IN" w:eastAsia="en-IN"/>
              </w:rPr>
              <w:t>-0.04</w:t>
            </w:r>
          </w:p>
        </w:tc>
      </w:tr>
      <w:tr w:rsidR="0080195A" w:rsidRPr="0080195A" w14:paraId="17C3B1E8" w14:textId="77777777" w:rsidTr="0080195A">
        <w:trPr>
          <w:trHeight w:val="330"/>
        </w:trPr>
        <w:tc>
          <w:tcPr>
            <w:tcW w:w="305" w:type="pct"/>
            <w:tcBorders>
              <w:top w:val="nil"/>
              <w:left w:val="single" w:sz="8" w:space="0" w:color="auto"/>
              <w:bottom w:val="single" w:sz="8" w:space="0" w:color="auto"/>
              <w:right w:val="nil"/>
            </w:tcBorders>
            <w:shd w:val="clear" w:color="000000" w:fill="A9D08E"/>
            <w:noWrap/>
            <w:vAlign w:val="bottom"/>
            <w:hideMark/>
          </w:tcPr>
          <w:p w14:paraId="6C0A9572"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706" w:type="pct"/>
            <w:tcBorders>
              <w:top w:val="nil"/>
              <w:left w:val="nil"/>
              <w:bottom w:val="single" w:sz="8" w:space="0" w:color="auto"/>
              <w:right w:val="nil"/>
            </w:tcBorders>
            <w:shd w:val="clear" w:color="000000" w:fill="A9D08E"/>
            <w:noWrap/>
            <w:vAlign w:val="bottom"/>
            <w:hideMark/>
          </w:tcPr>
          <w:p w14:paraId="6D142575"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c>
          <w:tcPr>
            <w:tcW w:w="2390" w:type="pct"/>
            <w:tcBorders>
              <w:top w:val="nil"/>
              <w:left w:val="nil"/>
              <w:bottom w:val="single" w:sz="8" w:space="0" w:color="auto"/>
              <w:right w:val="nil"/>
            </w:tcBorders>
            <w:shd w:val="clear" w:color="000000" w:fill="A9D08E"/>
            <w:noWrap/>
            <w:vAlign w:val="bottom"/>
            <w:hideMark/>
          </w:tcPr>
          <w:p w14:paraId="38EDDAD6"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Present values of future cash flows/Initial investment</w:t>
            </w:r>
          </w:p>
        </w:tc>
        <w:tc>
          <w:tcPr>
            <w:tcW w:w="1599" w:type="pct"/>
            <w:tcBorders>
              <w:top w:val="nil"/>
              <w:left w:val="nil"/>
              <w:bottom w:val="single" w:sz="8" w:space="0" w:color="auto"/>
              <w:right w:val="single" w:sz="8" w:space="0" w:color="auto"/>
            </w:tcBorders>
            <w:shd w:val="clear" w:color="000000" w:fill="A9D08E"/>
            <w:noWrap/>
            <w:vAlign w:val="bottom"/>
            <w:hideMark/>
          </w:tcPr>
          <w:p w14:paraId="17F11BC9" w14:textId="77777777" w:rsidR="0080195A" w:rsidRPr="0080195A" w:rsidRDefault="0080195A" w:rsidP="0080195A">
            <w:pPr>
              <w:spacing w:line="240" w:lineRule="auto"/>
              <w:jc w:val="left"/>
              <w:rPr>
                <w:rFonts w:eastAsia="Times New Roman"/>
                <w:color w:val="000000"/>
                <w:szCs w:val="24"/>
                <w:lang w:val="en-IN" w:eastAsia="en-IN"/>
              </w:rPr>
            </w:pPr>
            <w:r w:rsidRPr="0080195A">
              <w:rPr>
                <w:rFonts w:eastAsia="Times New Roman"/>
                <w:color w:val="000000"/>
                <w:szCs w:val="24"/>
                <w:lang w:val="en-IN" w:eastAsia="en-IN"/>
              </w:rPr>
              <w:t> </w:t>
            </w:r>
          </w:p>
        </w:tc>
      </w:tr>
    </w:tbl>
    <w:p w14:paraId="13A7E583" w14:textId="77777777" w:rsidR="0080195A" w:rsidRDefault="0080195A" w:rsidP="0080195A">
      <w:pPr>
        <w:rPr>
          <w:b/>
        </w:rPr>
      </w:pPr>
    </w:p>
    <w:p w14:paraId="15A4D7E1" w14:textId="366FB64B" w:rsidR="0038461A" w:rsidRPr="0040737D" w:rsidRDefault="0038461A" w:rsidP="0040737D">
      <w:pPr>
        <w:jc w:val="center"/>
        <w:rPr>
          <w:b/>
        </w:rPr>
      </w:pPr>
      <w:r w:rsidRPr="0040737D">
        <w:rPr>
          <w:b/>
        </w:rPr>
        <w:t>Table 4: Calculation of IRR, PBP, ARR, NPV, and PI</w:t>
      </w:r>
      <w:bookmarkEnd w:id="57"/>
    </w:p>
    <w:p w14:paraId="6FFA914D" w14:textId="77777777" w:rsidR="0038461A" w:rsidRPr="00EC5E32" w:rsidRDefault="0038461A" w:rsidP="00D92A1E">
      <w:pPr>
        <w:rPr>
          <w:lang w:val="en-GB"/>
        </w:rPr>
      </w:pPr>
    </w:p>
    <w:p w14:paraId="506FA7AD" w14:textId="77777777" w:rsidR="00FC7212" w:rsidRPr="00EC5E32" w:rsidRDefault="00FC7212" w:rsidP="00D92A1E">
      <w:pPr>
        <w:rPr>
          <w:lang w:val="en-GB"/>
        </w:rPr>
      </w:pPr>
    </w:p>
    <w:sectPr w:rsidR="00FC7212" w:rsidRPr="00EC5E32" w:rsidSect="00FD2D65">
      <w:footerReference w:type="default" r:id="rId49"/>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9552E" w14:textId="77777777" w:rsidR="006C6F42" w:rsidRDefault="006C6F42" w:rsidP="00170BB1">
      <w:pPr>
        <w:spacing w:line="240" w:lineRule="auto"/>
      </w:pPr>
      <w:r>
        <w:separator/>
      </w:r>
    </w:p>
  </w:endnote>
  <w:endnote w:type="continuationSeparator" w:id="0">
    <w:p w14:paraId="6EB8820C" w14:textId="77777777" w:rsidR="006C6F42" w:rsidRDefault="006C6F42" w:rsidP="0017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595990450"/>
      <w:docPartObj>
        <w:docPartGallery w:val="Page Numbers (Bottom of Page)"/>
        <w:docPartUnique/>
      </w:docPartObj>
    </w:sdtPr>
    <w:sdtEndPr>
      <w:rPr>
        <w:color w:val="7F7F7F" w:themeColor="background1" w:themeShade="7F"/>
        <w:spacing w:val="60"/>
      </w:rPr>
    </w:sdtEndPr>
    <w:sdtContent>
      <w:p w14:paraId="6879542E" w14:textId="77777777" w:rsidR="006476A0" w:rsidRPr="00C578E9" w:rsidRDefault="006476A0">
        <w:pPr>
          <w:pStyle w:val="Footer"/>
          <w:pBdr>
            <w:top w:val="single" w:sz="4" w:space="1" w:color="D9D9D9" w:themeColor="background1" w:themeShade="D9"/>
          </w:pBdr>
          <w:jc w:val="right"/>
          <w:rPr>
            <w:sz w:val="20"/>
          </w:rPr>
        </w:pPr>
        <w:r w:rsidRPr="00C578E9">
          <w:rPr>
            <w:sz w:val="20"/>
          </w:rPr>
          <w:fldChar w:fldCharType="begin"/>
        </w:r>
        <w:r w:rsidRPr="00C578E9">
          <w:rPr>
            <w:sz w:val="20"/>
          </w:rPr>
          <w:instrText xml:space="preserve"> PAGE   \* MERGEFORMAT </w:instrText>
        </w:r>
        <w:r w:rsidRPr="00C578E9">
          <w:rPr>
            <w:sz w:val="20"/>
          </w:rPr>
          <w:fldChar w:fldCharType="separate"/>
        </w:r>
        <w:r w:rsidR="000D1D54">
          <w:rPr>
            <w:noProof/>
            <w:sz w:val="20"/>
          </w:rPr>
          <w:t>4</w:t>
        </w:r>
        <w:r w:rsidRPr="00C578E9">
          <w:rPr>
            <w:noProof/>
            <w:sz w:val="20"/>
          </w:rPr>
          <w:fldChar w:fldCharType="end"/>
        </w:r>
        <w:r w:rsidRPr="00C578E9">
          <w:rPr>
            <w:sz w:val="20"/>
          </w:rPr>
          <w:t xml:space="preserve"> | </w:t>
        </w:r>
        <w:r w:rsidRPr="00C578E9">
          <w:rPr>
            <w:color w:val="7F7F7F" w:themeColor="background1" w:themeShade="7F"/>
            <w:spacing w:val="60"/>
            <w:sz w:val="20"/>
          </w:rPr>
          <w:t>Page</w:t>
        </w:r>
      </w:p>
    </w:sdtContent>
  </w:sdt>
  <w:p w14:paraId="119F5775" w14:textId="77777777" w:rsidR="006476A0" w:rsidRDefault="006476A0" w:rsidP="00580607">
    <w:pPr>
      <w:pStyle w:val="Footer"/>
      <w:pBdr>
        <w:top w:val="single" w:sz="4" w:space="1" w:color="D9D9D9" w:themeColor="background1" w:themeShade="D9"/>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B3A19" w14:textId="77777777" w:rsidR="006C6F42" w:rsidRDefault="006C6F42" w:rsidP="00170BB1">
      <w:pPr>
        <w:spacing w:line="240" w:lineRule="auto"/>
      </w:pPr>
      <w:r>
        <w:separator/>
      </w:r>
    </w:p>
  </w:footnote>
  <w:footnote w:type="continuationSeparator" w:id="0">
    <w:p w14:paraId="6B4CD32D" w14:textId="77777777" w:rsidR="006C6F42" w:rsidRDefault="006C6F42" w:rsidP="00170B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83A"/>
    <w:rsid w:val="0002185E"/>
    <w:rsid w:val="0008147B"/>
    <w:rsid w:val="000A0D05"/>
    <w:rsid w:val="000B516C"/>
    <w:rsid w:val="000D1D54"/>
    <w:rsid w:val="001127CD"/>
    <w:rsid w:val="001321FF"/>
    <w:rsid w:val="001524F4"/>
    <w:rsid w:val="00153735"/>
    <w:rsid w:val="00157C0E"/>
    <w:rsid w:val="00170BB1"/>
    <w:rsid w:val="001A153A"/>
    <w:rsid w:val="001E7876"/>
    <w:rsid w:val="001F65BB"/>
    <w:rsid w:val="002012A0"/>
    <w:rsid w:val="002017F7"/>
    <w:rsid w:val="002043D0"/>
    <w:rsid w:val="002661DA"/>
    <w:rsid w:val="002B029F"/>
    <w:rsid w:val="002B7E58"/>
    <w:rsid w:val="002D3011"/>
    <w:rsid w:val="002E425A"/>
    <w:rsid w:val="003103CB"/>
    <w:rsid w:val="00325921"/>
    <w:rsid w:val="00371A97"/>
    <w:rsid w:val="00371BCD"/>
    <w:rsid w:val="0038461A"/>
    <w:rsid w:val="003C4452"/>
    <w:rsid w:val="003C683A"/>
    <w:rsid w:val="003E6DB1"/>
    <w:rsid w:val="003F468C"/>
    <w:rsid w:val="0040737D"/>
    <w:rsid w:val="004445D4"/>
    <w:rsid w:val="00476307"/>
    <w:rsid w:val="00484BDB"/>
    <w:rsid w:val="004F25FA"/>
    <w:rsid w:val="00561925"/>
    <w:rsid w:val="00573E8C"/>
    <w:rsid w:val="00580607"/>
    <w:rsid w:val="005A1CA6"/>
    <w:rsid w:val="005C0107"/>
    <w:rsid w:val="005D657F"/>
    <w:rsid w:val="0060100A"/>
    <w:rsid w:val="006321CE"/>
    <w:rsid w:val="00637811"/>
    <w:rsid w:val="006476A0"/>
    <w:rsid w:val="006B723A"/>
    <w:rsid w:val="006C6F42"/>
    <w:rsid w:val="007149A1"/>
    <w:rsid w:val="007716A8"/>
    <w:rsid w:val="00791E59"/>
    <w:rsid w:val="007C0700"/>
    <w:rsid w:val="007C5FD8"/>
    <w:rsid w:val="007F66BE"/>
    <w:rsid w:val="0080195A"/>
    <w:rsid w:val="008318BD"/>
    <w:rsid w:val="00842C04"/>
    <w:rsid w:val="00843D00"/>
    <w:rsid w:val="00846E17"/>
    <w:rsid w:val="00862893"/>
    <w:rsid w:val="00872B0B"/>
    <w:rsid w:val="008A6414"/>
    <w:rsid w:val="008D4372"/>
    <w:rsid w:val="008D5B62"/>
    <w:rsid w:val="008E31B5"/>
    <w:rsid w:val="008E55FE"/>
    <w:rsid w:val="009056EE"/>
    <w:rsid w:val="00920F09"/>
    <w:rsid w:val="00926DB4"/>
    <w:rsid w:val="00965AE9"/>
    <w:rsid w:val="00996C63"/>
    <w:rsid w:val="009D28DC"/>
    <w:rsid w:val="00A25224"/>
    <w:rsid w:val="00A3388C"/>
    <w:rsid w:val="00A377B2"/>
    <w:rsid w:val="00A415CD"/>
    <w:rsid w:val="00AA3FF4"/>
    <w:rsid w:val="00AB29C7"/>
    <w:rsid w:val="00AD24A0"/>
    <w:rsid w:val="00AE1185"/>
    <w:rsid w:val="00AF04D6"/>
    <w:rsid w:val="00AF1747"/>
    <w:rsid w:val="00B0263B"/>
    <w:rsid w:val="00B04C79"/>
    <w:rsid w:val="00B97120"/>
    <w:rsid w:val="00B97539"/>
    <w:rsid w:val="00BA10A6"/>
    <w:rsid w:val="00BB0868"/>
    <w:rsid w:val="00BB37ED"/>
    <w:rsid w:val="00BD45FC"/>
    <w:rsid w:val="00BE25A9"/>
    <w:rsid w:val="00BE4EA9"/>
    <w:rsid w:val="00BF40C6"/>
    <w:rsid w:val="00C14874"/>
    <w:rsid w:val="00C27961"/>
    <w:rsid w:val="00C3705F"/>
    <w:rsid w:val="00C578E9"/>
    <w:rsid w:val="00C80DDC"/>
    <w:rsid w:val="00CB1D67"/>
    <w:rsid w:val="00CC50C4"/>
    <w:rsid w:val="00CF4755"/>
    <w:rsid w:val="00D00396"/>
    <w:rsid w:val="00D04E49"/>
    <w:rsid w:val="00D202CE"/>
    <w:rsid w:val="00D44929"/>
    <w:rsid w:val="00D92A1E"/>
    <w:rsid w:val="00DE7173"/>
    <w:rsid w:val="00E5548A"/>
    <w:rsid w:val="00E672F9"/>
    <w:rsid w:val="00E81617"/>
    <w:rsid w:val="00E97F43"/>
    <w:rsid w:val="00EB6E3C"/>
    <w:rsid w:val="00EC5E32"/>
    <w:rsid w:val="00EF5DA0"/>
    <w:rsid w:val="00F03865"/>
    <w:rsid w:val="00F23E67"/>
    <w:rsid w:val="00F54177"/>
    <w:rsid w:val="00F66AAC"/>
    <w:rsid w:val="00F90D24"/>
    <w:rsid w:val="00FC7212"/>
    <w:rsid w:val="00FD2D65"/>
    <w:rsid w:val="00FE71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2ED07F"/>
  <w15:docId w15:val="{ABF9CEE6-8528-4A78-9AA1-D41BAAB6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61A"/>
    <w:pPr>
      <w:spacing w:line="360" w:lineRule="auto"/>
      <w:jc w:val="both"/>
    </w:pPr>
    <w:rPr>
      <w:color w:val="000000" w:themeColor="text1"/>
      <w:sz w:val="24"/>
    </w:rPr>
  </w:style>
  <w:style w:type="paragraph" w:styleId="Heading1">
    <w:name w:val="heading 1"/>
    <w:basedOn w:val="Normal1"/>
    <w:next w:val="Normal1"/>
    <w:autoRedefine/>
    <w:rsid w:val="006B723A"/>
    <w:pPr>
      <w:keepNext/>
      <w:keepLines/>
      <w:spacing w:before="120" w:after="120" w:line="360" w:lineRule="auto"/>
      <w:jc w:val="both"/>
      <w:outlineLvl w:val="0"/>
    </w:pPr>
    <w:rPr>
      <w:b/>
      <w:color w:val="000000" w:themeColor="text1"/>
      <w:sz w:val="28"/>
      <w:szCs w:val="40"/>
    </w:rPr>
  </w:style>
  <w:style w:type="paragraph" w:styleId="Heading2">
    <w:name w:val="heading 2"/>
    <w:basedOn w:val="Normal1"/>
    <w:next w:val="Normal1"/>
    <w:autoRedefine/>
    <w:rsid w:val="006B723A"/>
    <w:pPr>
      <w:keepNext/>
      <w:keepLines/>
      <w:spacing w:before="120" w:after="120" w:line="360" w:lineRule="auto"/>
      <w:jc w:val="both"/>
      <w:outlineLvl w:val="1"/>
    </w:pPr>
    <w:rPr>
      <w:b/>
      <w:color w:val="000000" w:themeColor="text1"/>
      <w:sz w:val="26"/>
      <w:szCs w:val="32"/>
    </w:rPr>
  </w:style>
  <w:style w:type="paragraph" w:styleId="Heading3">
    <w:name w:val="heading 3"/>
    <w:basedOn w:val="Normal"/>
    <w:next w:val="Normal1"/>
    <w:autoRedefine/>
    <w:rsid w:val="001E7876"/>
    <w:pPr>
      <w:spacing w:before="240" w:after="240"/>
      <w:outlineLvl w:val="2"/>
    </w:pPr>
    <w:rPr>
      <w:b/>
      <w:bCs/>
      <w:szCs w:val="24"/>
    </w:rPr>
  </w:style>
  <w:style w:type="paragraph" w:styleId="Heading4">
    <w:name w:val="heading 4"/>
    <w:basedOn w:val="Normal"/>
    <w:next w:val="Normal1"/>
    <w:rsid w:val="003E6DB1"/>
    <w:pPr>
      <w:spacing w:after="240"/>
      <w:jc w:val="center"/>
      <w:outlineLvl w:val="3"/>
    </w:pPr>
    <w:rPr>
      <w:b/>
      <w:bCs/>
      <w:szCs w:val="24"/>
      <w:lang w:val="en-GB"/>
    </w:rPr>
  </w:style>
  <w:style w:type="paragraph" w:styleId="Heading5">
    <w:name w:val="heading 5"/>
    <w:basedOn w:val="Normal"/>
    <w:next w:val="Normal1"/>
    <w:rsid w:val="003E6DB1"/>
    <w:pPr>
      <w:spacing w:before="240" w:after="240"/>
      <w:jc w:val="center"/>
      <w:outlineLvl w:val="4"/>
    </w:pPr>
    <w:rPr>
      <w:b/>
      <w:bCs/>
      <w:szCs w:val="24"/>
      <w:lang w:val="en-GB"/>
    </w:rPr>
  </w:style>
  <w:style w:type="paragraph" w:styleId="Heading6">
    <w:name w:val="heading 6"/>
    <w:basedOn w:val="Normal1"/>
    <w:next w:val="Normal1"/>
    <w:rsid w:val="003C68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83A"/>
  </w:style>
  <w:style w:type="table" w:customStyle="1" w:styleId="TableNormal1">
    <w:name w:val="Table Normal1"/>
    <w:rsid w:val="003C683A"/>
    <w:tblPr>
      <w:tblCellMar>
        <w:top w:w="0" w:type="dxa"/>
        <w:left w:w="0" w:type="dxa"/>
        <w:bottom w:w="0" w:type="dxa"/>
        <w:right w:w="0" w:type="dxa"/>
      </w:tblCellMar>
    </w:tblPr>
  </w:style>
  <w:style w:type="paragraph" w:styleId="Title">
    <w:name w:val="Title"/>
    <w:basedOn w:val="Normal1"/>
    <w:next w:val="Normal1"/>
    <w:rsid w:val="003C683A"/>
    <w:pPr>
      <w:keepNext/>
      <w:keepLines/>
      <w:spacing w:after="60"/>
    </w:pPr>
    <w:rPr>
      <w:sz w:val="52"/>
      <w:szCs w:val="52"/>
    </w:rPr>
  </w:style>
  <w:style w:type="paragraph" w:styleId="Subtitle">
    <w:name w:val="Subtitle"/>
    <w:basedOn w:val="Normal1"/>
    <w:next w:val="Normal1"/>
    <w:rsid w:val="003C68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B5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16C"/>
    <w:rPr>
      <w:rFonts w:ascii="Tahoma" w:hAnsi="Tahoma" w:cs="Tahoma"/>
      <w:sz w:val="16"/>
      <w:szCs w:val="16"/>
    </w:rPr>
  </w:style>
  <w:style w:type="character" w:styleId="Hyperlink">
    <w:name w:val="Hyperlink"/>
    <w:basedOn w:val="DefaultParagraphFont"/>
    <w:uiPriority w:val="99"/>
    <w:unhideWhenUsed/>
    <w:rsid w:val="009D28DC"/>
    <w:rPr>
      <w:color w:val="0000FF" w:themeColor="hyperlink"/>
      <w:u w:val="single"/>
    </w:rPr>
  </w:style>
  <w:style w:type="paragraph" w:styleId="TOCHeading">
    <w:name w:val="TOC Heading"/>
    <w:basedOn w:val="Heading1"/>
    <w:next w:val="Normal"/>
    <w:uiPriority w:val="39"/>
    <w:unhideWhenUsed/>
    <w:qFormat/>
    <w:rsid w:val="00157C0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57C0E"/>
    <w:pPr>
      <w:spacing w:after="100"/>
    </w:pPr>
  </w:style>
  <w:style w:type="paragraph" w:styleId="TOC2">
    <w:name w:val="toc 2"/>
    <w:basedOn w:val="Normal"/>
    <w:next w:val="Normal"/>
    <w:autoRedefine/>
    <w:uiPriority w:val="39"/>
    <w:unhideWhenUsed/>
    <w:rsid w:val="00157C0E"/>
    <w:pPr>
      <w:spacing w:after="100"/>
      <w:ind w:left="220"/>
    </w:pPr>
  </w:style>
  <w:style w:type="paragraph" w:styleId="TableofFigures">
    <w:name w:val="table of figures"/>
    <w:basedOn w:val="Normal"/>
    <w:next w:val="Normal"/>
    <w:uiPriority w:val="99"/>
    <w:unhideWhenUsed/>
    <w:rsid w:val="00157C0E"/>
  </w:style>
  <w:style w:type="paragraph" w:styleId="Header">
    <w:name w:val="header"/>
    <w:basedOn w:val="Normal"/>
    <w:link w:val="HeaderChar"/>
    <w:uiPriority w:val="99"/>
    <w:unhideWhenUsed/>
    <w:rsid w:val="00170BB1"/>
    <w:pPr>
      <w:tabs>
        <w:tab w:val="center" w:pos="4680"/>
        <w:tab w:val="right" w:pos="9360"/>
      </w:tabs>
      <w:spacing w:line="240" w:lineRule="auto"/>
    </w:pPr>
  </w:style>
  <w:style w:type="character" w:customStyle="1" w:styleId="HeaderChar">
    <w:name w:val="Header Char"/>
    <w:basedOn w:val="DefaultParagraphFont"/>
    <w:link w:val="Header"/>
    <w:uiPriority w:val="99"/>
    <w:rsid w:val="00170BB1"/>
  </w:style>
  <w:style w:type="paragraph" w:styleId="Footer">
    <w:name w:val="footer"/>
    <w:basedOn w:val="Normal"/>
    <w:link w:val="FooterChar"/>
    <w:uiPriority w:val="99"/>
    <w:unhideWhenUsed/>
    <w:rsid w:val="00170BB1"/>
    <w:pPr>
      <w:tabs>
        <w:tab w:val="center" w:pos="4680"/>
        <w:tab w:val="right" w:pos="9360"/>
      </w:tabs>
      <w:spacing w:line="240" w:lineRule="auto"/>
    </w:pPr>
  </w:style>
  <w:style w:type="character" w:customStyle="1" w:styleId="FooterChar">
    <w:name w:val="Footer Char"/>
    <w:basedOn w:val="DefaultParagraphFont"/>
    <w:link w:val="Footer"/>
    <w:uiPriority w:val="99"/>
    <w:rsid w:val="00170BB1"/>
  </w:style>
  <w:style w:type="table" w:styleId="GridTable1Light">
    <w:name w:val="Grid Table 1 Light"/>
    <w:basedOn w:val="TableNormal"/>
    <w:uiPriority w:val="46"/>
    <w:rsid w:val="00D44929"/>
    <w:pPr>
      <w:spacing w:line="240" w:lineRule="auto"/>
    </w:pPr>
    <w:rPr>
      <w:lang w:val="en" w:eastAsia="en-I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8318BD"/>
    <w:pPr>
      <w:spacing w:before="100" w:beforeAutospacing="1" w:after="100" w:afterAutospacing="1" w:line="240" w:lineRule="auto"/>
    </w:pPr>
    <w:rPr>
      <w:rFonts w:ascii="Times New Roman" w:eastAsia="Times New Roman" w:hAnsi="Times New Roman" w:cs="Times New Roman"/>
      <w:szCs w:val="24"/>
      <w:lang w:val="en-IN" w:eastAsia="en-IN"/>
    </w:rPr>
  </w:style>
  <w:style w:type="paragraph" w:styleId="TOC3">
    <w:name w:val="toc 3"/>
    <w:basedOn w:val="Normal"/>
    <w:next w:val="Normal"/>
    <w:autoRedefine/>
    <w:uiPriority w:val="39"/>
    <w:unhideWhenUsed/>
    <w:rsid w:val="00B04C79"/>
    <w:pPr>
      <w:spacing w:after="100"/>
      <w:ind w:left="480"/>
    </w:pPr>
  </w:style>
  <w:style w:type="table" w:styleId="GridTable5Dark">
    <w:name w:val="Grid Table 5 Dark"/>
    <w:basedOn w:val="TableNormal"/>
    <w:uiPriority w:val="50"/>
    <w:rsid w:val="00EF5DA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8327">
      <w:bodyDiv w:val="1"/>
      <w:marLeft w:val="0"/>
      <w:marRight w:val="0"/>
      <w:marTop w:val="0"/>
      <w:marBottom w:val="0"/>
      <w:divBdr>
        <w:top w:val="none" w:sz="0" w:space="0" w:color="auto"/>
        <w:left w:val="none" w:sz="0" w:space="0" w:color="auto"/>
        <w:bottom w:val="none" w:sz="0" w:space="0" w:color="auto"/>
        <w:right w:val="none" w:sz="0" w:space="0" w:color="auto"/>
      </w:divBdr>
    </w:div>
    <w:div w:id="74476942">
      <w:bodyDiv w:val="1"/>
      <w:marLeft w:val="0"/>
      <w:marRight w:val="0"/>
      <w:marTop w:val="0"/>
      <w:marBottom w:val="0"/>
      <w:divBdr>
        <w:top w:val="none" w:sz="0" w:space="0" w:color="auto"/>
        <w:left w:val="none" w:sz="0" w:space="0" w:color="auto"/>
        <w:bottom w:val="none" w:sz="0" w:space="0" w:color="auto"/>
        <w:right w:val="none" w:sz="0" w:space="0" w:color="auto"/>
      </w:divBdr>
    </w:div>
    <w:div w:id="714547750">
      <w:bodyDiv w:val="1"/>
      <w:marLeft w:val="0"/>
      <w:marRight w:val="0"/>
      <w:marTop w:val="0"/>
      <w:marBottom w:val="0"/>
      <w:divBdr>
        <w:top w:val="none" w:sz="0" w:space="0" w:color="auto"/>
        <w:left w:val="none" w:sz="0" w:space="0" w:color="auto"/>
        <w:bottom w:val="none" w:sz="0" w:space="0" w:color="auto"/>
        <w:right w:val="none" w:sz="0" w:space="0" w:color="auto"/>
      </w:divBdr>
    </w:div>
    <w:div w:id="1058166946">
      <w:bodyDiv w:val="1"/>
      <w:marLeft w:val="0"/>
      <w:marRight w:val="0"/>
      <w:marTop w:val="0"/>
      <w:marBottom w:val="0"/>
      <w:divBdr>
        <w:top w:val="none" w:sz="0" w:space="0" w:color="auto"/>
        <w:left w:val="none" w:sz="0" w:space="0" w:color="auto"/>
        <w:bottom w:val="none" w:sz="0" w:space="0" w:color="auto"/>
        <w:right w:val="none" w:sz="0" w:space="0" w:color="auto"/>
      </w:divBdr>
    </w:div>
    <w:div w:id="1183858336">
      <w:bodyDiv w:val="1"/>
      <w:marLeft w:val="0"/>
      <w:marRight w:val="0"/>
      <w:marTop w:val="0"/>
      <w:marBottom w:val="0"/>
      <w:divBdr>
        <w:top w:val="none" w:sz="0" w:space="0" w:color="auto"/>
        <w:left w:val="none" w:sz="0" w:space="0" w:color="auto"/>
        <w:bottom w:val="none" w:sz="0" w:space="0" w:color="auto"/>
        <w:right w:val="none" w:sz="0" w:space="0" w:color="auto"/>
      </w:divBdr>
    </w:div>
    <w:div w:id="1286041907">
      <w:bodyDiv w:val="1"/>
      <w:marLeft w:val="0"/>
      <w:marRight w:val="0"/>
      <w:marTop w:val="0"/>
      <w:marBottom w:val="0"/>
      <w:divBdr>
        <w:top w:val="none" w:sz="0" w:space="0" w:color="auto"/>
        <w:left w:val="none" w:sz="0" w:space="0" w:color="auto"/>
        <w:bottom w:val="none" w:sz="0" w:space="0" w:color="auto"/>
        <w:right w:val="none" w:sz="0" w:space="0" w:color="auto"/>
      </w:divBdr>
    </w:div>
    <w:div w:id="1475565268">
      <w:bodyDiv w:val="1"/>
      <w:marLeft w:val="0"/>
      <w:marRight w:val="0"/>
      <w:marTop w:val="0"/>
      <w:marBottom w:val="0"/>
      <w:divBdr>
        <w:top w:val="none" w:sz="0" w:space="0" w:color="auto"/>
        <w:left w:val="none" w:sz="0" w:space="0" w:color="auto"/>
        <w:bottom w:val="none" w:sz="0" w:space="0" w:color="auto"/>
        <w:right w:val="none" w:sz="0" w:space="0" w:color="auto"/>
      </w:divBdr>
    </w:div>
    <w:div w:id="1836844431">
      <w:bodyDiv w:val="1"/>
      <w:marLeft w:val="0"/>
      <w:marRight w:val="0"/>
      <w:marTop w:val="0"/>
      <w:marBottom w:val="0"/>
      <w:divBdr>
        <w:top w:val="none" w:sz="0" w:space="0" w:color="auto"/>
        <w:left w:val="none" w:sz="0" w:space="0" w:color="auto"/>
        <w:bottom w:val="none" w:sz="0" w:space="0" w:color="auto"/>
        <w:right w:val="none" w:sz="0" w:space="0" w:color="auto"/>
      </w:divBdr>
    </w:div>
    <w:div w:id="1838615853">
      <w:bodyDiv w:val="1"/>
      <w:marLeft w:val="0"/>
      <w:marRight w:val="0"/>
      <w:marTop w:val="0"/>
      <w:marBottom w:val="0"/>
      <w:divBdr>
        <w:top w:val="none" w:sz="0" w:space="0" w:color="auto"/>
        <w:left w:val="none" w:sz="0" w:space="0" w:color="auto"/>
        <w:bottom w:val="none" w:sz="0" w:space="0" w:color="auto"/>
        <w:right w:val="none" w:sz="0" w:space="0" w:color="auto"/>
      </w:divBdr>
      <w:divsChild>
        <w:div w:id="171799640">
          <w:marLeft w:val="0"/>
          <w:marRight w:val="0"/>
          <w:marTop w:val="0"/>
          <w:marBottom w:val="0"/>
          <w:divBdr>
            <w:top w:val="none" w:sz="0" w:space="0" w:color="auto"/>
            <w:left w:val="none" w:sz="0" w:space="0" w:color="auto"/>
            <w:bottom w:val="none" w:sz="0" w:space="0" w:color="auto"/>
            <w:right w:val="none" w:sz="0" w:space="0" w:color="auto"/>
          </w:divBdr>
        </w:div>
      </w:divsChild>
    </w:div>
    <w:div w:id="2012902745">
      <w:bodyDiv w:val="1"/>
      <w:marLeft w:val="0"/>
      <w:marRight w:val="0"/>
      <w:marTop w:val="0"/>
      <w:marBottom w:val="0"/>
      <w:divBdr>
        <w:top w:val="none" w:sz="0" w:space="0" w:color="auto"/>
        <w:left w:val="none" w:sz="0" w:space="0" w:color="auto"/>
        <w:bottom w:val="none" w:sz="0" w:space="0" w:color="auto"/>
        <w:right w:val="none" w:sz="0" w:space="0" w:color="auto"/>
      </w:divBdr>
    </w:div>
    <w:div w:id="2043940151">
      <w:bodyDiv w:val="1"/>
      <w:marLeft w:val="0"/>
      <w:marRight w:val="0"/>
      <w:marTop w:val="0"/>
      <w:marBottom w:val="0"/>
      <w:divBdr>
        <w:top w:val="none" w:sz="0" w:space="0" w:color="auto"/>
        <w:left w:val="none" w:sz="0" w:space="0" w:color="auto"/>
        <w:bottom w:val="none" w:sz="0" w:space="0" w:color="auto"/>
        <w:right w:val="none" w:sz="0" w:space="0" w:color="auto"/>
      </w:divBdr>
      <w:divsChild>
        <w:div w:id="100481924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doi.org/10.52783/jisem.v10i40s.7261" TargetMode="External"/><Relationship Id="rId26" Type="http://schemas.openxmlformats.org/officeDocument/2006/relationships/hyperlink" Target="https://doi.org/10.1016/j.esr.2026.102149" TargetMode="External"/><Relationship Id="rId39" Type="http://schemas.openxmlformats.org/officeDocument/2006/relationships/hyperlink" Target="https://doi.org/10.59188/eduvest.v5i7.51625" TargetMode="External"/><Relationship Id="rId21" Type="http://schemas.openxmlformats.org/officeDocument/2006/relationships/hyperlink" Target="https://www.iea.org/reports/global-ev-outlook-2024/trends-in-electric-cars" TargetMode="External"/><Relationship Id="rId34" Type="http://schemas.openxmlformats.org/officeDocument/2006/relationships/hyperlink" Target="https://doi.org/10.9734/ajeba/2021/v21i1030428" TargetMode="External"/><Relationship Id="rId42" Type="http://schemas.openxmlformats.org/officeDocument/2006/relationships/hyperlink" Target="https://doi.org/10.4018/ijsds.319974" TargetMode="External"/><Relationship Id="rId47" Type="http://schemas.openxmlformats.org/officeDocument/2006/relationships/hyperlink" Target="https://finance.yahoo.com/quote/VOW3.DE/financials/"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09/access.2024.3418996" TargetMode="External"/><Relationship Id="rId29" Type="http://schemas.openxmlformats.org/officeDocument/2006/relationships/hyperlink" Target="https://doi.org/10.61132/ijema.v1i1.318" TargetMode="External"/><Relationship Id="rId11" Type="http://schemas.openxmlformats.org/officeDocument/2006/relationships/chart" Target="charts/chart4.xml"/><Relationship Id="rId24" Type="http://schemas.openxmlformats.org/officeDocument/2006/relationships/hyperlink" Target="https://www.iea.org/reports/world-energy-outlook-2023" TargetMode="External"/><Relationship Id="rId32" Type="http://schemas.openxmlformats.org/officeDocument/2006/relationships/hyperlink" Target="https://doi.org/10.3390/systems12110456" TargetMode="External"/><Relationship Id="rId37" Type="http://schemas.openxmlformats.org/officeDocument/2006/relationships/hyperlink" Target="https://doi.org/10.1016/j.iref.2026.104926" TargetMode="External"/><Relationship Id="rId40" Type="http://schemas.openxmlformats.org/officeDocument/2006/relationships/hyperlink" Target="https://doi.org/10.1007/s11213-022-09616-w" TargetMode="External"/><Relationship Id="rId45" Type="http://schemas.openxmlformats.org/officeDocument/2006/relationships/hyperlink" Target="https://www.volkswagen-group.com/en/publications/more/annual-report-2021-1791" TargetMode="External"/><Relationship Id="rId5" Type="http://schemas.openxmlformats.org/officeDocument/2006/relationships/footnotes" Target="footnotes.xml"/><Relationship Id="rId15" Type="http://schemas.openxmlformats.org/officeDocument/2006/relationships/hyperlink" Target="https://doi.org/10.1016/j.intfin.2024.102084" TargetMode="External"/><Relationship Id="rId23" Type="http://schemas.openxmlformats.org/officeDocument/2006/relationships/hyperlink" Target="https://www.imf.org/en/Publications/WP/Issues/2023/05/26/Dollar-Exchange-Rate-volatility-and-Productivity-Growth-in-Emerging-Markets-Evidence-from-533847" TargetMode="External"/><Relationship Id="rId28" Type="http://schemas.openxmlformats.org/officeDocument/2006/relationships/hyperlink" Target="https://doi.org/10.3390/wevj16020090" TargetMode="External"/><Relationship Id="rId36" Type="http://schemas.openxmlformats.org/officeDocument/2006/relationships/hyperlink" Target="https://doi.org/10.1080/23322039.2024.2404707" TargetMode="External"/><Relationship Id="rId49"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hyperlink" Target="https://doi.org/10.1016/j.jcorpfin.2023.102429" TargetMode="External"/><Relationship Id="rId31" Type="http://schemas.openxmlformats.org/officeDocument/2006/relationships/hyperlink" Target="https://www.mckinsey.com/industries/automotive-and-assembly/our-insights/spotlight-on-mobility-trends" TargetMode="External"/><Relationship Id="rId44" Type="http://schemas.openxmlformats.org/officeDocument/2006/relationships/hyperlink" Target="https://annualreport2025.volkswagen-group.com/consolidated-financial-statements/cash-flow-statement.html"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doi.org/10.2478/fman-2024-0010" TargetMode="External"/><Relationship Id="rId22" Type="http://schemas.openxmlformats.org/officeDocument/2006/relationships/hyperlink" Target="https://www.iea.org/reports/global-ev-outlook-2024/trends-in-the-electric-vehicle-industry" TargetMode="External"/><Relationship Id="rId27" Type="http://schemas.openxmlformats.org/officeDocument/2006/relationships/hyperlink" Target="https://doi.org/10.29407/jse.v5i1.127" TargetMode="External"/><Relationship Id="rId30" Type="http://schemas.openxmlformats.org/officeDocument/2006/relationships/hyperlink" Target="https://doi.org/10.24294/jipd10071" TargetMode="External"/><Relationship Id="rId35" Type="http://schemas.openxmlformats.org/officeDocument/2006/relationships/hyperlink" Target="https://doi.org/10.30574/wjarr.2024.22.3.1974" TargetMode="External"/><Relationship Id="rId43" Type="http://schemas.openxmlformats.org/officeDocument/2006/relationships/hyperlink" Target="https://annualreport2023.volkswagen-group.com/consolidated-financial-statements/balance-sheet.html" TargetMode="External"/><Relationship Id="rId48" Type="http://schemas.openxmlformats.org/officeDocument/2006/relationships/hyperlink" Target="https://doi.org/10.3390/joitmc7020127" TargetMode="External"/><Relationship Id="rId8" Type="http://schemas.openxmlformats.org/officeDocument/2006/relationships/chart" Target="charts/chart1.xm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hyperlink" Target="https://trid.trb.org/View/2248932" TargetMode="External"/><Relationship Id="rId25" Type="http://schemas.openxmlformats.org/officeDocument/2006/relationships/hyperlink" Target="https://doi.org/10.36096/ijbes.v3i4.277" TargetMode="External"/><Relationship Id="rId33" Type="http://schemas.openxmlformats.org/officeDocument/2006/relationships/hyperlink" Target="https://doi.org/10.47772/ijriss.2025.910000175" TargetMode="External"/><Relationship Id="rId38" Type="http://schemas.openxmlformats.org/officeDocument/2006/relationships/hyperlink" Target="https://doi.org/10.1016/j.dajour.2023.100285" TargetMode="External"/><Relationship Id="rId46" Type="http://schemas.openxmlformats.org/officeDocument/2006/relationships/hyperlink" Target="https://doi.org/10.1080/23311975.2025.2473033" TargetMode="External"/><Relationship Id="rId20" Type="http://schemas.openxmlformats.org/officeDocument/2006/relationships/hyperlink" Target="https://www.sciencedirect.com/science/article/pii/S2590123022004881" TargetMode="External"/><Relationship Id="rId41" Type="http://schemas.openxmlformats.org/officeDocument/2006/relationships/hyperlink" Target="https://doi.org/10.1016/j.exis.2025.101687" TargetMode="External"/><Relationship Id="rId1" Type="http://schemas.openxmlformats.org/officeDocument/2006/relationships/customXml" Target="../customXml/item1.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file:///D:\WORD%20CREATION\Apr%20-%202026\Wordcreation_Task%20221\Task%2022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D%20CREATION\Apr%20-%202026\Wordcreation_Task%20221\Task%2022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WORD%20CREATION\Apr%20-%202026\Wordcreation_Task%20221\Task%2022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WORD%20CREATION\Apr%20-%202026\Wordcreation_Task%20221\Task%2022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WORD%20CREATION\Apr%20-%202026\Wordcreation_Task%20221\Task%2022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WORD%20CREATION\Apr%20-%202026\Wordcreation_Task%20221\Task%2022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'Ratio Calculation'!$K$20</c:f>
              <c:strCache>
                <c:ptCount val="1"/>
                <c:pt idx="0">
                  <c:v>2025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 Calculation'!$K$21:$K$26</c:f>
              <c:numCache>
                <c:formatCode>0%</c:formatCode>
                <c:ptCount val="6"/>
                <c:pt idx="0">
                  <c:v>0.15917965413015317</c:v>
                </c:pt>
                <c:pt idx="1">
                  <c:v>3.353079869405709E-2</c:v>
                </c:pt>
                <c:pt idx="2">
                  <c:v>2.8911538210634552E-2</c:v>
                </c:pt>
                <c:pt idx="3">
                  <c:v>2.2748382326901989E-2</c:v>
                </c:pt>
                <c:pt idx="4">
                  <c:v>3.6064298166990062E-2</c:v>
                </c:pt>
                <c:pt idx="5">
                  <c:v>1.1362878161333318E-2</c:v>
                </c:pt>
              </c:numCache>
            </c:numRef>
          </c:val>
          <c:extLst>
            <c:ext xmlns:c16="http://schemas.microsoft.com/office/drawing/2014/chart" uri="{C3380CC4-5D6E-409C-BE32-E72D297353CC}">
              <c16:uniqueId val="{00000000-A5DE-4040-AF8E-B83D2AAE6091}"/>
            </c:ext>
          </c:extLst>
        </c:ser>
        <c:ser>
          <c:idx val="1"/>
          <c:order val="1"/>
          <c:tx>
            <c:strRef>
              <c:f>'Ratio Calculation'!$L$20</c:f>
              <c:strCache>
                <c:ptCount val="1"/>
                <c:pt idx="0">
                  <c:v>2024</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 Calculation'!$L$21:$L$26</c:f>
              <c:numCache>
                <c:formatCode>0%</c:formatCode>
                <c:ptCount val="6"/>
                <c:pt idx="0">
                  <c:v>0.18318214720241488</c:v>
                </c:pt>
                <c:pt idx="1">
                  <c:v>6.6729297254008099E-2</c:v>
                </c:pt>
                <c:pt idx="2">
                  <c:v>5.1765720534105435E-2</c:v>
                </c:pt>
                <c:pt idx="3">
                  <c:v>3.4963268700620657E-2</c:v>
                </c:pt>
                <c:pt idx="4">
                  <c:v>5.7698075036471119E-2</c:v>
                </c:pt>
                <c:pt idx="5">
                  <c:v>1.7934761141087524E-2</c:v>
                </c:pt>
              </c:numCache>
            </c:numRef>
          </c:val>
          <c:extLst>
            <c:ext xmlns:c16="http://schemas.microsoft.com/office/drawing/2014/chart" uri="{C3380CC4-5D6E-409C-BE32-E72D297353CC}">
              <c16:uniqueId val="{00000001-A5DE-4040-AF8E-B83D2AAE6091}"/>
            </c:ext>
          </c:extLst>
        </c:ser>
        <c:ser>
          <c:idx val="2"/>
          <c:order val="2"/>
          <c:tx>
            <c:strRef>
              <c:f>'Ratio Calculation'!$M$20</c:f>
              <c:strCache>
                <c:ptCount val="1"/>
                <c:pt idx="0">
                  <c:v>2023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 Calculation'!$M$21:$M$26</c:f>
              <c:numCache>
                <c:formatCode>0%</c:formatCode>
                <c:ptCount val="6"/>
                <c:pt idx="0">
                  <c:v>0.18922751362152634</c:v>
                </c:pt>
                <c:pt idx="1">
                  <c:v>7.9740229114693875E-2</c:v>
                </c:pt>
                <c:pt idx="2">
                  <c:v>7.1672810316366936E-2</c:v>
                </c:pt>
                <c:pt idx="3">
                  <c:v>5.129637214382346E-2</c:v>
                </c:pt>
                <c:pt idx="4">
                  <c:v>8.7384901631198927E-2</c:v>
                </c:pt>
                <c:pt idx="5">
                  <c:v>2.752356201375512E-2</c:v>
                </c:pt>
              </c:numCache>
            </c:numRef>
          </c:val>
          <c:extLst>
            <c:ext xmlns:c16="http://schemas.microsoft.com/office/drawing/2014/chart" uri="{C3380CC4-5D6E-409C-BE32-E72D297353CC}">
              <c16:uniqueId val="{00000002-A5DE-4040-AF8E-B83D2AAE6091}"/>
            </c:ext>
          </c:extLst>
        </c:ser>
        <c:ser>
          <c:idx val="3"/>
          <c:order val="3"/>
          <c:tx>
            <c:strRef>
              <c:f>'Ratio Calculation'!$N$20</c:f>
              <c:strCache>
                <c:ptCount val="1"/>
                <c:pt idx="0">
                  <c:v>2022</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 Calculation'!$N$21:$N$26</c:f>
              <c:numCache>
                <c:formatCode>0%</c:formatCode>
                <c:ptCount val="6"/>
                <c:pt idx="0">
                  <c:v>0.18700591291883176</c:v>
                </c:pt>
                <c:pt idx="1">
                  <c:v>6.6253359612972587E-2</c:v>
                </c:pt>
                <c:pt idx="2">
                  <c:v>7.9089768858627479E-2</c:v>
                </c:pt>
                <c:pt idx="3">
                  <c:v>5.5391506898405302E-2</c:v>
                </c:pt>
                <c:pt idx="4">
                  <c:v>8.6677358575209723E-2</c:v>
                </c:pt>
                <c:pt idx="5">
                  <c:v>2.7405396684118982E-2</c:v>
                </c:pt>
              </c:numCache>
            </c:numRef>
          </c:val>
          <c:extLst>
            <c:ext xmlns:c16="http://schemas.microsoft.com/office/drawing/2014/chart" uri="{C3380CC4-5D6E-409C-BE32-E72D297353CC}">
              <c16:uniqueId val="{00000003-A5DE-4040-AF8E-B83D2AAE6091}"/>
            </c:ext>
          </c:extLst>
        </c:ser>
        <c:ser>
          <c:idx val="4"/>
          <c:order val="4"/>
          <c:tx>
            <c:strRef>
              <c:f>'Ratio Calculation'!$O$20</c:f>
              <c:strCache>
                <c:ptCount val="1"/>
                <c:pt idx="0">
                  <c:v>2021</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'Ratio Calculation'!$O$21:$O$26</c:f>
              <c:numCache>
                <c:formatCode>0%</c:formatCode>
                <c:ptCount val="6"/>
                <c:pt idx="0">
                  <c:v>0.18881294964028777</c:v>
                </c:pt>
                <c:pt idx="1">
                  <c:v>5.887689848121503E-2</c:v>
                </c:pt>
                <c:pt idx="2">
                  <c:v>8.0439648281374898E-2</c:v>
                </c:pt>
                <c:pt idx="3">
                  <c:v>7.7038369304556362E-2</c:v>
                </c:pt>
                <c:pt idx="4">
                  <c:v>0.13188144012479988</c:v>
                </c:pt>
                <c:pt idx="5">
                  <c:v>3.6463624342377828E-2</c:v>
                </c:pt>
              </c:numCache>
            </c:numRef>
          </c:val>
          <c:extLst>
            <c:ext xmlns:c16="http://schemas.microsoft.com/office/drawing/2014/chart" uri="{C3380CC4-5D6E-409C-BE32-E72D297353CC}">
              <c16:uniqueId val="{00000004-A5DE-4040-AF8E-B83D2AAE6091}"/>
            </c:ext>
          </c:extLst>
        </c:ser>
        <c:dLbls>
          <c:dLblPos val="outEnd"/>
          <c:showLegendKey val="0"/>
          <c:showVal val="1"/>
          <c:showCatName val="0"/>
          <c:showSerName val="0"/>
          <c:showPercent val="0"/>
          <c:showBubbleSize val="0"/>
        </c:dLbls>
        <c:gapWidth val="182"/>
        <c:axId val="621462768"/>
        <c:axId val="621461592"/>
      </c:barChart>
      <c:catAx>
        <c:axId val="62146276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Values in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621461592"/>
        <c:crosses val="autoZero"/>
        <c:auto val="1"/>
        <c:lblAlgn val="ctr"/>
        <c:lblOffset val="100"/>
        <c:noMultiLvlLbl val="0"/>
      </c:catAx>
      <c:valAx>
        <c:axId val="62146159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621462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LIQUIDITY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 Calculation'!$K$5</c:f>
              <c:strCache>
                <c:ptCount val="1"/>
                <c:pt idx="0">
                  <c:v>2025</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'Ratio Calculation'!$J$6:$J$8</c:f>
              <c:strCache>
                <c:ptCount val="3"/>
                <c:pt idx="0">
                  <c:v>Current Ratio</c:v>
                </c:pt>
                <c:pt idx="1">
                  <c:v>Quick Ratio</c:v>
                </c:pt>
                <c:pt idx="2">
                  <c:v>Cash Ratio</c:v>
                </c:pt>
              </c:strCache>
            </c:strRef>
          </c:cat>
          <c:val>
            <c:numRef>
              <c:f>'Ratio Calculation'!$K$6:$K$8</c:f>
              <c:numCache>
                <c:formatCode>0.00</c:formatCode>
                <c:ptCount val="3"/>
                <c:pt idx="0">
                  <c:v>1.0942059375344884</c:v>
                </c:pt>
                <c:pt idx="1">
                  <c:v>0.86564396865688109</c:v>
                </c:pt>
                <c:pt idx="2">
                  <c:v>0.17128793731376227</c:v>
                </c:pt>
              </c:numCache>
            </c:numRef>
          </c:val>
          <c:extLst>
            <c:ext xmlns:c16="http://schemas.microsoft.com/office/drawing/2014/chart" uri="{C3380CC4-5D6E-409C-BE32-E72D297353CC}">
              <c16:uniqueId val="{00000000-4A46-4B67-AB32-887C4C97866D}"/>
            </c:ext>
          </c:extLst>
        </c:ser>
        <c:ser>
          <c:idx val="1"/>
          <c:order val="1"/>
          <c:tx>
            <c:strRef>
              <c:f>'Ratio Calculation'!$L$5</c:f>
              <c:strCache>
                <c:ptCount val="1"/>
                <c:pt idx="0">
                  <c:v>2024</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'Ratio Calculation'!$J$6:$J$8</c:f>
              <c:strCache>
                <c:ptCount val="3"/>
                <c:pt idx="0">
                  <c:v>Current Ratio</c:v>
                </c:pt>
                <c:pt idx="1">
                  <c:v>Quick Ratio</c:v>
                </c:pt>
                <c:pt idx="2">
                  <c:v>Cash Ratio</c:v>
                </c:pt>
              </c:strCache>
            </c:strRef>
          </c:cat>
          <c:val>
            <c:numRef>
              <c:f>'Ratio Calculation'!$L$6:$L$8</c:f>
              <c:numCache>
                <c:formatCode>0.00</c:formatCode>
                <c:ptCount val="3"/>
                <c:pt idx="0">
                  <c:v>1.1298937057395215</c:v>
                </c:pt>
                <c:pt idx="1">
                  <c:v>0.88508977649178255</c:v>
                </c:pt>
                <c:pt idx="2">
                  <c:v>0.18566248462257937</c:v>
                </c:pt>
              </c:numCache>
            </c:numRef>
          </c:val>
          <c:extLst>
            <c:ext xmlns:c16="http://schemas.microsoft.com/office/drawing/2014/chart" uri="{C3380CC4-5D6E-409C-BE32-E72D297353CC}">
              <c16:uniqueId val="{00000001-4A46-4B67-AB32-887C4C97866D}"/>
            </c:ext>
          </c:extLst>
        </c:ser>
        <c:ser>
          <c:idx val="2"/>
          <c:order val="2"/>
          <c:tx>
            <c:strRef>
              <c:f>'Ratio Calculation'!$M$5</c:f>
              <c:strCache>
                <c:ptCount val="1"/>
                <c:pt idx="0">
                  <c:v>2023</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'Ratio Calculation'!$J$6:$J$8</c:f>
              <c:strCache>
                <c:ptCount val="3"/>
                <c:pt idx="0">
                  <c:v>Current Ratio</c:v>
                </c:pt>
                <c:pt idx="1">
                  <c:v>Quick Ratio</c:v>
                </c:pt>
                <c:pt idx="2">
                  <c:v>Cash Ratio</c:v>
                </c:pt>
              </c:strCache>
            </c:strRef>
          </c:cat>
          <c:val>
            <c:numRef>
              <c:f>'Ratio Calculation'!$M$6:$M$8</c:f>
              <c:numCache>
                <c:formatCode>0.00</c:formatCode>
                <c:ptCount val="3"/>
                <c:pt idx="0">
                  <c:v>1.1631171251625929</c:v>
                </c:pt>
                <c:pt idx="1">
                  <c:v>0.91096216195228019</c:v>
                </c:pt>
                <c:pt idx="2">
                  <c:v>0.21088062280378186</c:v>
                </c:pt>
              </c:numCache>
            </c:numRef>
          </c:val>
          <c:extLst>
            <c:ext xmlns:c16="http://schemas.microsoft.com/office/drawing/2014/chart" uri="{C3380CC4-5D6E-409C-BE32-E72D297353CC}">
              <c16:uniqueId val="{00000002-4A46-4B67-AB32-887C4C97866D}"/>
            </c:ext>
          </c:extLst>
        </c:ser>
        <c:ser>
          <c:idx val="3"/>
          <c:order val="3"/>
          <c:tx>
            <c:strRef>
              <c:f>'Ratio Calculation'!$N$5</c:f>
              <c:strCache>
                <c:ptCount val="1"/>
                <c:pt idx="0">
                  <c:v>2022</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cat>
            <c:strRef>
              <c:f>'Ratio Calculation'!$J$6:$J$8</c:f>
              <c:strCache>
                <c:ptCount val="3"/>
                <c:pt idx="0">
                  <c:v>Current Ratio</c:v>
                </c:pt>
                <c:pt idx="1">
                  <c:v>Quick Ratio</c:v>
                </c:pt>
                <c:pt idx="2">
                  <c:v>Cash Ratio</c:v>
                </c:pt>
              </c:strCache>
            </c:strRef>
          </c:cat>
          <c:val>
            <c:numRef>
              <c:f>'Ratio Calculation'!$N$6:$N$8</c:f>
              <c:numCache>
                <c:formatCode>0.00</c:formatCode>
                <c:ptCount val="3"/>
                <c:pt idx="0">
                  <c:v>1.2267694816744472</c:v>
                </c:pt>
                <c:pt idx="1">
                  <c:v>0.94706194622461326</c:v>
                </c:pt>
                <c:pt idx="2">
                  <c:v>0.15965149433842482</c:v>
                </c:pt>
              </c:numCache>
            </c:numRef>
          </c:val>
          <c:extLst>
            <c:ext xmlns:c16="http://schemas.microsoft.com/office/drawing/2014/chart" uri="{C3380CC4-5D6E-409C-BE32-E72D297353CC}">
              <c16:uniqueId val="{00000003-4A46-4B67-AB32-887C4C97866D}"/>
            </c:ext>
          </c:extLst>
        </c:ser>
        <c:ser>
          <c:idx val="4"/>
          <c:order val="4"/>
          <c:tx>
            <c:strRef>
              <c:f>'Ratio Calculation'!$O$5</c:f>
              <c:strCache>
                <c:ptCount val="1"/>
                <c:pt idx="0">
                  <c:v>2021</c:v>
                </c:pt>
              </c:strCache>
            </c:strRef>
          </c:tx>
          <c:spPr>
            <a:solidFill>
              <a:schemeClr val="accent5">
                <a:alpha val="85000"/>
              </a:schemeClr>
            </a:solidFill>
            <a:ln w="9525" cap="flat" cmpd="sng" algn="ctr">
              <a:solidFill>
                <a:schemeClr val="accent5">
                  <a:lumMod val="75000"/>
                </a:schemeClr>
              </a:solidFill>
              <a:round/>
            </a:ln>
            <a:effectLst/>
            <a:sp3d contourW="9525">
              <a:contourClr>
                <a:schemeClr val="accent5">
                  <a:lumMod val="75000"/>
                </a:schemeClr>
              </a:contourClr>
            </a:sp3d>
          </c:spPr>
          <c:invertIfNegative val="0"/>
          <c:cat>
            <c:strRef>
              <c:f>'Ratio Calculation'!$J$6:$J$8</c:f>
              <c:strCache>
                <c:ptCount val="3"/>
                <c:pt idx="0">
                  <c:v>Current Ratio</c:v>
                </c:pt>
                <c:pt idx="1">
                  <c:v>Quick Ratio</c:v>
                </c:pt>
                <c:pt idx="2">
                  <c:v>Cash Ratio</c:v>
                </c:pt>
              </c:strCache>
            </c:strRef>
          </c:cat>
          <c:val>
            <c:numRef>
              <c:f>'Ratio Calculation'!$O$6:$O$8</c:f>
              <c:numCache>
                <c:formatCode>0.00</c:formatCode>
                <c:ptCount val="3"/>
                <c:pt idx="0">
                  <c:v>1.2187076092047715</c:v>
                </c:pt>
                <c:pt idx="1">
                  <c:v>0.9527291308024064</c:v>
                </c:pt>
                <c:pt idx="2">
                  <c:v>0.24163437615956884</c:v>
                </c:pt>
              </c:numCache>
            </c:numRef>
          </c:val>
          <c:extLst>
            <c:ext xmlns:c16="http://schemas.microsoft.com/office/drawing/2014/chart" uri="{C3380CC4-5D6E-409C-BE32-E72D297353CC}">
              <c16:uniqueId val="{00000004-4A46-4B67-AB32-887C4C97866D}"/>
            </c:ext>
          </c:extLst>
        </c:ser>
        <c:dLbls>
          <c:showLegendKey val="0"/>
          <c:showVal val="0"/>
          <c:showCatName val="0"/>
          <c:showSerName val="0"/>
          <c:showPercent val="0"/>
          <c:showBubbleSize val="0"/>
        </c:dLbls>
        <c:gapWidth val="65"/>
        <c:shape val="box"/>
        <c:axId val="621464728"/>
        <c:axId val="621465120"/>
        <c:axId val="0"/>
      </c:bar3DChart>
      <c:catAx>
        <c:axId val="6214647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621465120"/>
        <c:crosses val="autoZero"/>
        <c:auto val="1"/>
        <c:lblAlgn val="ctr"/>
        <c:lblOffset val="100"/>
        <c:noMultiLvlLbl val="0"/>
      </c:catAx>
      <c:valAx>
        <c:axId val="621465120"/>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62146472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GEARING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'Ratio Calculation'!$K$43</c:f>
              <c:strCache>
                <c:ptCount val="1"/>
                <c:pt idx="0">
                  <c:v>2025</c:v>
                </c:pt>
              </c:strCache>
            </c:strRef>
          </c:tx>
          <c:spPr>
            <a:solidFill>
              <a:schemeClr val="accent1"/>
            </a:solidFill>
            <a:ln>
              <a:noFill/>
            </a:ln>
            <a:effectLst/>
            <a:sp3d/>
          </c:spPr>
          <c:invertIfNegative val="0"/>
          <c:cat>
            <c:strRef>
              <c:f>'Ratio Calculation'!$J$44:$J$47</c:f>
              <c:strCache>
                <c:ptCount val="4"/>
                <c:pt idx="0">
                  <c:v>Debt/Equity Ratio</c:v>
                </c:pt>
                <c:pt idx="1">
                  <c:v>Debt/Capital Ratio</c:v>
                </c:pt>
                <c:pt idx="2">
                  <c:v>Equity Multiplier</c:v>
                </c:pt>
                <c:pt idx="3">
                  <c:v>Interest Coverage Ratio</c:v>
                </c:pt>
              </c:strCache>
            </c:strRef>
          </c:cat>
          <c:val>
            <c:numRef>
              <c:f>'Ratio Calculation'!$K$44:$K$47</c:f>
              <c:numCache>
                <c:formatCode>0.00</c:formatCode>
                <c:ptCount val="4"/>
                <c:pt idx="0">
                  <c:v>0.96701862558728224</c:v>
                </c:pt>
                <c:pt idx="1">
                  <c:v>0.49161640515659311</c:v>
                </c:pt>
                <c:pt idx="2">
                  <c:v>3.1738700050232942</c:v>
                </c:pt>
                <c:pt idx="3">
                  <c:v>3.3273736128236746</c:v>
                </c:pt>
              </c:numCache>
            </c:numRef>
          </c:val>
          <c:extLst>
            <c:ext xmlns:c16="http://schemas.microsoft.com/office/drawing/2014/chart" uri="{C3380CC4-5D6E-409C-BE32-E72D297353CC}">
              <c16:uniqueId val="{00000000-C7A8-40B8-8DB7-BF2026661F26}"/>
            </c:ext>
          </c:extLst>
        </c:ser>
        <c:ser>
          <c:idx val="1"/>
          <c:order val="1"/>
          <c:tx>
            <c:strRef>
              <c:f>'Ratio Calculation'!$L$43</c:f>
              <c:strCache>
                <c:ptCount val="1"/>
                <c:pt idx="0">
                  <c:v>2024</c:v>
                </c:pt>
              </c:strCache>
            </c:strRef>
          </c:tx>
          <c:spPr>
            <a:solidFill>
              <a:schemeClr val="accent2"/>
            </a:solidFill>
            <a:ln>
              <a:noFill/>
            </a:ln>
            <a:effectLst/>
            <a:sp3d/>
          </c:spPr>
          <c:invertIfNegative val="0"/>
          <c:cat>
            <c:strRef>
              <c:f>'Ratio Calculation'!$J$44:$J$47</c:f>
              <c:strCache>
                <c:ptCount val="4"/>
                <c:pt idx="0">
                  <c:v>Debt/Equity Ratio</c:v>
                </c:pt>
                <c:pt idx="1">
                  <c:v>Debt/Capital Ratio</c:v>
                </c:pt>
                <c:pt idx="2">
                  <c:v>Equity Multiplier</c:v>
                </c:pt>
                <c:pt idx="3">
                  <c:v>Interest Coverage Ratio</c:v>
                </c:pt>
              </c:strCache>
            </c:strRef>
          </c:cat>
          <c:val>
            <c:numRef>
              <c:f>'Ratio Calculation'!$L$44:$L$47</c:f>
              <c:numCache>
                <c:formatCode>0.00</c:formatCode>
                <c:ptCount val="4"/>
                <c:pt idx="0">
                  <c:v>0.9989274694887943</c:v>
                </c:pt>
                <c:pt idx="1">
                  <c:v>0.49973172350483536</c:v>
                </c:pt>
                <c:pt idx="2">
                  <c:v>3.2171086407327771</c:v>
                </c:pt>
                <c:pt idx="3">
                  <c:v>6.2848854076008127</c:v>
                </c:pt>
              </c:numCache>
            </c:numRef>
          </c:val>
          <c:extLst>
            <c:ext xmlns:c16="http://schemas.microsoft.com/office/drawing/2014/chart" uri="{C3380CC4-5D6E-409C-BE32-E72D297353CC}">
              <c16:uniqueId val="{00000001-C7A8-40B8-8DB7-BF2026661F26}"/>
            </c:ext>
          </c:extLst>
        </c:ser>
        <c:ser>
          <c:idx val="2"/>
          <c:order val="2"/>
          <c:tx>
            <c:strRef>
              <c:f>'Ratio Calculation'!$M$43</c:f>
              <c:strCache>
                <c:ptCount val="1"/>
                <c:pt idx="0">
                  <c:v>2023</c:v>
                </c:pt>
              </c:strCache>
            </c:strRef>
          </c:tx>
          <c:spPr>
            <a:solidFill>
              <a:schemeClr val="accent3"/>
            </a:solidFill>
            <a:ln>
              <a:noFill/>
            </a:ln>
            <a:effectLst/>
            <a:sp3d/>
          </c:spPr>
          <c:invertIfNegative val="0"/>
          <c:cat>
            <c:strRef>
              <c:f>'Ratio Calculation'!$J$44:$J$47</c:f>
              <c:strCache>
                <c:ptCount val="4"/>
                <c:pt idx="0">
                  <c:v>Debt/Equity Ratio</c:v>
                </c:pt>
                <c:pt idx="1">
                  <c:v>Debt/Capital Ratio</c:v>
                </c:pt>
                <c:pt idx="2">
                  <c:v>Equity Multiplier</c:v>
                </c:pt>
                <c:pt idx="3">
                  <c:v>Interest Coverage Ratio</c:v>
                </c:pt>
              </c:strCache>
            </c:strRef>
          </c:cat>
          <c:val>
            <c:numRef>
              <c:f>'Ratio Calculation'!$M$44:$M$47</c:f>
              <c:numCache>
                <c:formatCode>0.00</c:formatCode>
                <c:ptCount val="4"/>
                <c:pt idx="0">
                  <c:v>1.0252978550209846</c:v>
                </c:pt>
                <c:pt idx="1">
                  <c:v>0.50624546531717984</c:v>
                </c:pt>
                <c:pt idx="2">
                  <c:v>3.1749125199539079</c:v>
                </c:pt>
                <c:pt idx="3">
                  <c:v>7.0601648351648354</c:v>
                </c:pt>
              </c:numCache>
            </c:numRef>
          </c:val>
          <c:extLst>
            <c:ext xmlns:c16="http://schemas.microsoft.com/office/drawing/2014/chart" uri="{C3380CC4-5D6E-409C-BE32-E72D297353CC}">
              <c16:uniqueId val="{00000002-C7A8-40B8-8DB7-BF2026661F26}"/>
            </c:ext>
          </c:extLst>
        </c:ser>
        <c:ser>
          <c:idx val="3"/>
          <c:order val="3"/>
          <c:tx>
            <c:strRef>
              <c:f>'Ratio Calculation'!$N$43</c:f>
              <c:strCache>
                <c:ptCount val="1"/>
                <c:pt idx="0">
                  <c:v>2022</c:v>
                </c:pt>
              </c:strCache>
            </c:strRef>
          </c:tx>
          <c:spPr>
            <a:solidFill>
              <a:schemeClr val="accent4"/>
            </a:solidFill>
            <a:ln>
              <a:noFill/>
            </a:ln>
            <a:effectLst/>
            <a:sp3d/>
          </c:spPr>
          <c:invertIfNegative val="0"/>
          <c:cat>
            <c:strRef>
              <c:f>'Ratio Calculation'!$J$44:$J$47</c:f>
              <c:strCache>
                <c:ptCount val="4"/>
                <c:pt idx="0">
                  <c:v>Debt/Equity Ratio</c:v>
                </c:pt>
                <c:pt idx="1">
                  <c:v>Debt/Capital Ratio</c:v>
                </c:pt>
                <c:pt idx="2">
                  <c:v>Equity Multiplier</c:v>
                </c:pt>
                <c:pt idx="3">
                  <c:v>Interest Coverage Ratio</c:v>
                </c:pt>
              </c:strCache>
            </c:strRef>
          </c:cat>
          <c:val>
            <c:numRef>
              <c:f>'Ratio Calculation'!$N$44:$N$47</c:f>
              <c:numCache>
                <c:formatCode>0.00</c:formatCode>
                <c:ptCount val="4"/>
                <c:pt idx="0">
                  <c:v>1.0006056255888027</c:v>
                </c:pt>
                <c:pt idx="1">
                  <c:v>0.50015136056328557</c:v>
                </c:pt>
                <c:pt idx="2">
                  <c:v>3.1627843075680766</c:v>
                </c:pt>
                <c:pt idx="3">
                  <c:v>11.245742092457421</c:v>
                </c:pt>
              </c:numCache>
            </c:numRef>
          </c:val>
          <c:extLst>
            <c:ext xmlns:c16="http://schemas.microsoft.com/office/drawing/2014/chart" uri="{C3380CC4-5D6E-409C-BE32-E72D297353CC}">
              <c16:uniqueId val="{00000003-C7A8-40B8-8DB7-BF2026661F26}"/>
            </c:ext>
          </c:extLst>
        </c:ser>
        <c:ser>
          <c:idx val="4"/>
          <c:order val="4"/>
          <c:tx>
            <c:strRef>
              <c:f>'Ratio Calculation'!$O$43</c:f>
              <c:strCache>
                <c:ptCount val="1"/>
                <c:pt idx="0">
                  <c:v>2021</c:v>
                </c:pt>
              </c:strCache>
            </c:strRef>
          </c:tx>
          <c:spPr>
            <a:solidFill>
              <a:schemeClr val="accent5"/>
            </a:solidFill>
            <a:ln>
              <a:noFill/>
            </a:ln>
            <a:effectLst/>
            <a:sp3d/>
          </c:spPr>
          <c:invertIfNegative val="0"/>
          <c:cat>
            <c:strRef>
              <c:f>'Ratio Calculation'!$J$44:$J$47</c:f>
              <c:strCache>
                <c:ptCount val="4"/>
                <c:pt idx="0">
                  <c:v>Debt/Equity Ratio</c:v>
                </c:pt>
                <c:pt idx="1">
                  <c:v>Debt/Capital Ratio</c:v>
                </c:pt>
                <c:pt idx="2">
                  <c:v>Equity Multiplier</c:v>
                </c:pt>
                <c:pt idx="3">
                  <c:v>Interest Coverage Ratio</c:v>
                </c:pt>
              </c:strCache>
            </c:strRef>
          </c:cat>
          <c:val>
            <c:numRef>
              <c:f>'Ratio Calculation'!$O$44:$O$47</c:f>
              <c:numCache>
                <c:formatCode>0.00</c:formatCode>
                <c:ptCount val="4"/>
                <c:pt idx="0">
                  <c:v>2.6167946139004066</c:v>
                </c:pt>
                <c:pt idx="1">
                  <c:v>0.7235120854923015</c:v>
                </c:pt>
                <c:pt idx="2">
                  <c:v>3.6167946139004066</c:v>
                </c:pt>
                <c:pt idx="3">
                  <c:v>8.1028602860286032</c:v>
                </c:pt>
              </c:numCache>
            </c:numRef>
          </c:val>
          <c:extLst>
            <c:ext xmlns:c16="http://schemas.microsoft.com/office/drawing/2014/chart" uri="{C3380CC4-5D6E-409C-BE32-E72D297353CC}">
              <c16:uniqueId val="{00000004-C7A8-40B8-8DB7-BF2026661F26}"/>
            </c:ext>
          </c:extLst>
        </c:ser>
        <c:dLbls>
          <c:showLegendKey val="0"/>
          <c:showVal val="0"/>
          <c:showCatName val="0"/>
          <c:showSerName val="0"/>
          <c:showPercent val="0"/>
          <c:showBubbleSize val="0"/>
        </c:dLbls>
        <c:gapWidth val="150"/>
        <c:shape val="box"/>
        <c:axId val="527787696"/>
        <c:axId val="527788872"/>
        <c:axId val="0"/>
      </c:bar3DChart>
      <c:catAx>
        <c:axId val="5277876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27788872"/>
        <c:crosses val="autoZero"/>
        <c:auto val="1"/>
        <c:lblAlgn val="ctr"/>
        <c:lblOffset val="100"/>
        <c:noMultiLvlLbl val="0"/>
      </c:catAx>
      <c:valAx>
        <c:axId val="527788872"/>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27787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 Calculation'!$K$61</c:f>
              <c:strCache>
                <c:ptCount val="1"/>
                <c:pt idx="0">
                  <c:v>2025</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Calculation'!$J$62:$J$63</c:f>
              <c:strCache>
                <c:ptCount val="2"/>
                <c:pt idx="0">
                  <c:v>Average Inventories Turnover Period</c:v>
                </c:pt>
                <c:pt idx="1">
                  <c:v>Average Settlement Period for Trade Receivables</c:v>
                </c:pt>
              </c:strCache>
            </c:strRef>
          </c:cat>
          <c:val>
            <c:numRef>
              <c:f>'Ratio Calculation'!$K$62:$K$63</c:f>
              <c:numCache>
                <c:formatCode>0.00</c:formatCode>
                <c:ptCount val="2"/>
                <c:pt idx="0">
                  <c:v>69.818617435927749</c:v>
                </c:pt>
                <c:pt idx="1">
                  <c:v>27.611380605975523</c:v>
                </c:pt>
              </c:numCache>
            </c:numRef>
          </c:val>
          <c:extLst>
            <c:ext xmlns:c16="http://schemas.microsoft.com/office/drawing/2014/chart" uri="{C3380CC4-5D6E-409C-BE32-E72D297353CC}">
              <c16:uniqueId val="{00000000-27C7-4F07-B001-6502EA34613B}"/>
            </c:ext>
          </c:extLst>
        </c:ser>
        <c:ser>
          <c:idx val="1"/>
          <c:order val="1"/>
          <c:tx>
            <c:strRef>
              <c:f>'Ratio Calculation'!$L$61</c:f>
              <c:strCache>
                <c:ptCount val="1"/>
                <c:pt idx="0">
                  <c:v>2024</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Calculation'!$J$62:$J$63</c:f>
              <c:strCache>
                <c:ptCount val="2"/>
                <c:pt idx="0">
                  <c:v>Average Inventories Turnover Period</c:v>
                </c:pt>
                <c:pt idx="1">
                  <c:v>Average Settlement Period for Trade Receivables</c:v>
                </c:pt>
              </c:strCache>
            </c:strRef>
          </c:cat>
          <c:val>
            <c:numRef>
              <c:f>'Ratio Calculation'!$L$62:$L$63</c:f>
              <c:numCache>
                <c:formatCode>0.00</c:formatCode>
                <c:ptCount val="2"/>
                <c:pt idx="0">
                  <c:v>73.131033546518651</c:v>
                </c:pt>
                <c:pt idx="1">
                  <c:v>28.684988536261613</c:v>
                </c:pt>
              </c:numCache>
            </c:numRef>
          </c:val>
          <c:extLst>
            <c:ext xmlns:c16="http://schemas.microsoft.com/office/drawing/2014/chart" uri="{C3380CC4-5D6E-409C-BE32-E72D297353CC}">
              <c16:uniqueId val="{00000001-27C7-4F07-B001-6502EA34613B}"/>
            </c:ext>
          </c:extLst>
        </c:ser>
        <c:ser>
          <c:idx val="2"/>
          <c:order val="2"/>
          <c:tx>
            <c:strRef>
              <c:f>'Ratio Calculation'!$M$61</c:f>
              <c:strCache>
                <c:ptCount val="1"/>
                <c:pt idx="0">
                  <c:v>2023</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Calculation'!$J$62:$J$63</c:f>
              <c:strCache>
                <c:ptCount val="2"/>
                <c:pt idx="0">
                  <c:v>Average Inventories Turnover Period</c:v>
                </c:pt>
                <c:pt idx="1">
                  <c:v>Average Settlement Period for Trade Receivables</c:v>
                </c:pt>
              </c:strCache>
            </c:strRef>
          </c:cat>
          <c:val>
            <c:numRef>
              <c:f>'Ratio Calculation'!$M$62:$M$63</c:f>
              <c:numCache>
                <c:formatCode>0.00</c:formatCode>
                <c:ptCount val="2"/>
                <c:pt idx="0">
                  <c:v>72.571441145966887</c:v>
                </c:pt>
                <c:pt idx="1">
                  <c:v>30.102066980738542</c:v>
                </c:pt>
              </c:numCache>
            </c:numRef>
          </c:val>
          <c:extLst>
            <c:ext xmlns:c16="http://schemas.microsoft.com/office/drawing/2014/chart" uri="{C3380CC4-5D6E-409C-BE32-E72D297353CC}">
              <c16:uniqueId val="{00000002-27C7-4F07-B001-6502EA34613B}"/>
            </c:ext>
          </c:extLst>
        </c:ser>
        <c:ser>
          <c:idx val="3"/>
          <c:order val="3"/>
          <c:tx>
            <c:strRef>
              <c:f>'Ratio Calculation'!$N$61</c:f>
              <c:strCache>
                <c:ptCount val="1"/>
                <c:pt idx="0">
                  <c:v>2022</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Calculation'!$J$62:$J$63</c:f>
              <c:strCache>
                <c:ptCount val="2"/>
                <c:pt idx="0">
                  <c:v>Average Inventories Turnover Period</c:v>
                </c:pt>
                <c:pt idx="1">
                  <c:v>Average Settlement Period for Trade Receivables</c:v>
                </c:pt>
              </c:strCache>
            </c:strRef>
          </c:cat>
          <c:val>
            <c:numRef>
              <c:f>'Ratio Calculation'!$N$62:$N$63</c:f>
              <c:numCache>
                <c:formatCode>0.00</c:formatCode>
                <c:ptCount val="2"/>
                <c:pt idx="0">
                  <c:v>82.22820960390716</c:v>
                </c:pt>
                <c:pt idx="1">
                  <c:v>29.410489011134327</c:v>
                </c:pt>
              </c:numCache>
            </c:numRef>
          </c:val>
          <c:extLst>
            <c:ext xmlns:c16="http://schemas.microsoft.com/office/drawing/2014/chart" uri="{C3380CC4-5D6E-409C-BE32-E72D297353CC}">
              <c16:uniqueId val="{00000003-27C7-4F07-B001-6502EA34613B}"/>
            </c:ext>
          </c:extLst>
        </c:ser>
        <c:ser>
          <c:idx val="4"/>
          <c:order val="4"/>
          <c:tx>
            <c:strRef>
              <c:f>'Ratio Calculation'!$O$61</c:f>
              <c:strCache>
                <c:ptCount val="1"/>
                <c:pt idx="0">
                  <c:v>2021</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Calculation'!$J$62:$J$63</c:f>
              <c:strCache>
                <c:ptCount val="2"/>
                <c:pt idx="0">
                  <c:v>Average Inventories Turnover Period</c:v>
                </c:pt>
                <c:pt idx="1">
                  <c:v>Average Settlement Period for Trade Receivables</c:v>
                </c:pt>
              </c:strCache>
            </c:strRef>
          </c:cat>
          <c:val>
            <c:numRef>
              <c:f>'Ratio Calculation'!$O$62:$O$63</c:f>
              <c:numCache>
                <c:formatCode>0.00</c:formatCode>
                <c:ptCount val="2"/>
                <c:pt idx="0">
                  <c:v>78.634724254652426</c:v>
                </c:pt>
                <c:pt idx="1">
                  <c:v>27.530486452928919</c:v>
                </c:pt>
              </c:numCache>
            </c:numRef>
          </c:val>
          <c:extLst>
            <c:ext xmlns:c16="http://schemas.microsoft.com/office/drawing/2014/chart" uri="{C3380CC4-5D6E-409C-BE32-E72D297353CC}">
              <c16:uniqueId val="{00000004-27C7-4F07-B001-6502EA34613B}"/>
            </c:ext>
          </c:extLst>
        </c:ser>
        <c:dLbls>
          <c:showLegendKey val="0"/>
          <c:showVal val="1"/>
          <c:showCatName val="0"/>
          <c:showSerName val="0"/>
          <c:showPercent val="0"/>
          <c:showBubbleSize val="0"/>
        </c:dLbls>
        <c:gapWidth val="150"/>
        <c:shape val="box"/>
        <c:axId val="527786520"/>
        <c:axId val="527789264"/>
        <c:axId val="0"/>
      </c:bar3DChart>
      <c:catAx>
        <c:axId val="5277865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27789264"/>
        <c:crosses val="autoZero"/>
        <c:auto val="1"/>
        <c:lblAlgn val="ctr"/>
        <c:lblOffset val="100"/>
        <c:noMultiLvlLbl val="0"/>
      </c:catAx>
      <c:valAx>
        <c:axId val="5277892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27786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INVESTMENT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'Ratio Calculation'!$K$75</c:f>
              <c:strCache>
                <c:ptCount val="1"/>
                <c:pt idx="0">
                  <c:v>2025</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Calculation'!$J$76:$J$78</c:f>
              <c:strCache>
                <c:ptCount val="3"/>
                <c:pt idx="0">
                  <c:v>Earnings per share</c:v>
                </c:pt>
                <c:pt idx="1">
                  <c:v>Price/Earnings Ratio</c:v>
                </c:pt>
                <c:pt idx="2">
                  <c:v>Book Value per Share</c:v>
                </c:pt>
              </c:strCache>
            </c:strRef>
          </c:cat>
          <c:val>
            <c:numRef>
              <c:f>'Ratio Calculation'!$K$76:$K$78</c:f>
              <c:numCache>
                <c:formatCode>0.00</c:formatCode>
                <c:ptCount val="3"/>
                <c:pt idx="0">
                  <c:v>14.608019150209454</c:v>
                </c:pt>
                <c:pt idx="1">
                  <c:v>12.116632527652602</c:v>
                </c:pt>
                <c:pt idx="2">
                  <c:v>405.0548573708358</c:v>
                </c:pt>
              </c:numCache>
            </c:numRef>
          </c:val>
          <c:extLst>
            <c:ext xmlns:c16="http://schemas.microsoft.com/office/drawing/2014/chart" uri="{C3380CC4-5D6E-409C-BE32-E72D297353CC}">
              <c16:uniqueId val="{00000000-D943-42BF-8CC2-054E32854C83}"/>
            </c:ext>
          </c:extLst>
        </c:ser>
        <c:ser>
          <c:idx val="1"/>
          <c:order val="1"/>
          <c:tx>
            <c:strRef>
              <c:f>'Ratio Calculation'!$L$75</c:f>
              <c:strCache>
                <c:ptCount val="1"/>
                <c:pt idx="0">
                  <c:v>2024</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Calculation'!$J$76:$J$78</c:f>
              <c:strCache>
                <c:ptCount val="3"/>
                <c:pt idx="0">
                  <c:v>Earnings per share</c:v>
                </c:pt>
                <c:pt idx="1">
                  <c:v>Price/Earnings Ratio</c:v>
                </c:pt>
                <c:pt idx="2">
                  <c:v>Book Value per Share</c:v>
                </c:pt>
              </c:strCache>
            </c:strRef>
          </c:cat>
          <c:val>
            <c:numRef>
              <c:f>'Ratio Calculation'!$L$76:$L$78</c:f>
              <c:numCache>
                <c:formatCode>0.00</c:formatCode>
                <c:ptCount val="3"/>
                <c:pt idx="0">
                  <c:v>22.643127867544383</c:v>
                </c:pt>
                <c:pt idx="1">
                  <c:v>6.5361994537926176</c:v>
                </c:pt>
                <c:pt idx="2">
                  <c:v>392.4416517055655</c:v>
                </c:pt>
              </c:numCache>
            </c:numRef>
          </c:val>
          <c:extLst>
            <c:ext xmlns:c16="http://schemas.microsoft.com/office/drawing/2014/chart" uri="{C3380CC4-5D6E-409C-BE32-E72D297353CC}">
              <c16:uniqueId val="{00000001-D943-42BF-8CC2-054E32854C83}"/>
            </c:ext>
          </c:extLst>
        </c:ser>
        <c:ser>
          <c:idx val="2"/>
          <c:order val="2"/>
          <c:tx>
            <c:strRef>
              <c:f>'Ratio Calculation'!$M$75</c:f>
              <c:strCache>
                <c:ptCount val="1"/>
                <c:pt idx="0">
                  <c:v>2023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Calculation'!$J$76:$J$78</c:f>
              <c:strCache>
                <c:ptCount val="3"/>
                <c:pt idx="0">
                  <c:v>Earnings per share</c:v>
                </c:pt>
                <c:pt idx="1">
                  <c:v>Price/Earnings Ratio</c:v>
                </c:pt>
                <c:pt idx="2">
                  <c:v>Book Value per Share</c:v>
                </c:pt>
              </c:strCache>
            </c:strRef>
          </c:cat>
          <c:val>
            <c:numRef>
              <c:f>'Ratio Calculation'!$M$76:$M$78</c:f>
              <c:numCache>
                <c:formatCode>0.00</c:formatCode>
                <c:ptCount val="3"/>
                <c:pt idx="0">
                  <c:v>32.978256533014161</c:v>
                </c:pt>
                <c:pt idx="1">
                  <c:v>3.6084381804984274</c:v>
                </c:pt>
                <c:pt idx="2">
                  <c:v>377.39078396169958</c:v>
                </c:pt>
              </c:numCache>
            </c:numRef>
          </c:val>
          <c:extLst>
            <c:ext xmlns:c16="http://schemas.microsoft.com/office/drawing/2014/chart" uri="{C3380CC4-5D6E-409C-BE32-E72D297353CC}">
              <c16:uniqueId val="{00000002-D943-42BF-8CC2-054E32854C83}"/>
            </c:ext>
          </c:extLst>
        </c:ser>
        <c:ser>
          <c:idx val="3"/>
          <c:order val="3"/>
          <c:tx>
            <c:strRef>
              <c:f>'Ratio Calculation'!$N$75</c:f>
              <c:strCache>
                <c:ptCount val="1"/>
                <c:pt idx="0">
                  <c:v>2022</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Calculation'!$J$76:$J$78</c:f>
              <c:strCache>
                <c:ptCount val="3"/>
                <c:pt idx="0">
                  <c:v>Earnings per share</c:v>
                </c:pt>
                <c:pt idx="1">
                  <c:v>Price/Earnings Ratio</c:v>
                </c:pt>
                <c:pt idx="2">
                  <c:v>Book Value per Share</c:v>
                </c:pt>
              </c:strCache>
            </c:strRef>
          </c:cat>
          <c:val>
            <c:numRef>
              <c:f>'Ratio Calculation'!$N$76:$N$78</c:f>
              <c:numCache>
                <c:formatCode>0.00</c:formatCode>
                <c:ptCount val="3"/>
                <c:pt idx="0">
                  <c:v>30.833832036704568</c:v>
                </c:pt>
                <c:pt idx="1">
                  <c:v>2.983735524357896</c:v>
                </c:pt>
                <c:pt idx="2">
                  <c:v>355.73109914223022</c:v>
                </c:pt>
              </c:numCache>
            </c:numRef>
          </c:val>
          <c:extLst>
            <c:ext xmlns:c16="http://schemas.microsoft.com/office/drawing/2014/chart" uri="{C3380CC4-5D6E-409C-BE32-E72D297353CC}">
              <c16:uniqueId val="{00000003-D943-42BF-8CC2-054E32854C83}"/>
            </c:ext>
          </c:extLst>
        </c:ser>
        <c:ser>
          <c:idx val="4"/>
          <c:order val="4"/>
          <c:tx>
            <c:strRef>
              <c:f>'Ratio Calculation'!$O$75</c:f>
              <c:strCache>
                <c:ptCount val="1"/>
                <c:pt idx="0">
                  <c:v>2021</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'Ratio Calculation'!$J$76:$J$78</c:f>
              <c:strCache>
                <c:ptCount val="3"/>
                <c:pt idx="0">
                  <c:v>Earnings per share</c:v>
                </c:pt>
                <c:pt idx="1">
                  <c:v>Price/Earnings Ratio</c:v>
                </c:pt>
                <c:pt idx="2">
                  <c:v>Book Value per Share</c:v>
                </c:pt>
              </c:strCache>
            </c:strRef>
          </c:cat>
          <c:val>
            <c:numRef>
              <c:f>'Ratio Calculation'!$O$76:$O$78</c:f>
              <c:numCache>
                <c:formatCode>0.00</c:formatCode>
                <c:ptCount val="3"/>
                <c:pt idx="0">
                  <c:v>38.450029922202276</c:v>
                </c:pt>
                <c:pt idx="1">
                  <c:v>2.7048093385214007</c:v>
                </c:pt>
                <c:pt idx="2">
                  <c:v>291.5499700777977</c:v>
                </c:pt>
              </c:numCache>
            </c:numRef>
          </c:val>
          <c:extLst>
            <c:ext xmlns:c16="http://schemas.microsoft.com/office/drawing/2014/chart" uri="{C3380CC4-5D6E-409C-BE32-E72D297353CC}">
              <c16:uniqueId val="{00000004-D943-42BF-8CC2-054E32854C83}"/>
            </c:ext>
          </c:extLst>
        </c:ser>
        <c:dLbls>
          <c:dLblPos val="inEnd"/>
          <c:showLegendKey val="0"/>
          <c:showVal val="1"/>
          <c:showCatName val="0"/>
          <c:showSerName val="0"/>
          <c:showPercent val="0"/>
          <c:showBubbleSize val="0"/>
        </c:dLbls>
        <c:gapWidth val="65"/>
        <c:axId val="527786912"/>
        <c:axId val="21598224"/>
      </c:barChart>
      <c:catAx>
        <c:axId val="5277869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21598224"/>
        <c:crosses val="autoZero"/>
        <c:auto val="1"/>
        <c:lblAlgn val="ctr"/>
        <c:lblOffset val="100"/>
        <c:noMultiLvlLbl val="0"/>
      </c:catAx>
      <c:valAx>
        <c:axId val="2159822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52778691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Cash Operating Cycle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CCC!$M$6</c:f>
              <c:strCache>
                <c:ptCount val="1"/>
                <c:pt idx="0">
                  <c:v>2025</c:v>
                </c:pt>
              </c:strCache>
            </c:strRef>
          </c:tx>
          <c:spPr>
            <a:solidFill>
              <a:schemeClr val="accent1">
                <a:alpha val="85000"/>
              </a:schemeClr>
            </a:solidFill>
            <a:ln w="9525" cap="flat" cmpd="sng" algn="ctr">
              <a:solidFill>
                <a:schemeClr val="lt1">
                  <a:alpha val="50000"/>
                </a:schemeClr>
              </a:solidFill>
              <a:round/>
            </a:ln>
            <a:effectLst/>
          </c:spPr>
          <c:invertIfNegative val="0"/>
          <c:cat>
            <c:strRef>
              <c:f>CCC!$L$7:$L$10</c:f>
              <c:strCache>
                <c:ptCount val="4"/>
                <c:pt idx="0">
                  <c:v>Inventory Days</c:v>
                </c:pt>
                <c:pt idx="1">
                  <c:v>Receivables Days</c:v>
                </c:pt>
                <c:pt idx="2">
                  <c:v>Payables Days</c:v>
                </c:pt>
                <c:pt idx="3">
                  <c:v>Cash Conversion Cycle</c:v>
                </c:pt>
              </c:strCache>
            </c:strRef>
          </c:cat>
          <c:val>
            <c:numRef>
              <c:f>CCC!$M$7:$M$10</c:f>
              <c:numCache>
                <c:formatCode>0</c:formatCode>
                <c:ptCount val="4"/>
                <c:pt idx="0">
                  <c:v>235.51688683948157</c:v>
                </c:pt>
                <c:pt idx="1">
                  <c:v>23.538657960380601</c:v>
                </c:pt>
                <c:pt idx="2">
                  <c:v>138.69454137587238</c:v>
                </c:pt>
                <c:pt idx="3">
                  <c:v>120.36100342398979</c:v>
                </c:pt>
              </c:numCache>
            </c:numRef>
          </c:val>
          <c:extLst>
            <c:ext xmlns:c16="http://schemas.microsoft.com/office/drawing/2014/chart" uri="{C3380CC4-5D6E-409C-BE32-E72D297353CC}">
              <c16:uniqueId val="{00000000-F878-4F8D-B7B8-F4A32D9EC330}"/>
            </c:ext>
          </c:extLst>
        </c:ser>
        <c:ser>
          <c:idx val="1"/>
          <c:order val="1"/>
          <c:tx>
            <c:strRef>
              <c:f>CCC!$N$6</c:f>
              <c:strCache>
                <c:ptCount val="1"/>
                <c:pt idx="0">
                  <c:v>2024</c:v>
                </c:pt>
              </c:strCache>
            </c:strRef>
          </c:tx>
          <c:spPr>
            <a:solidFill>
              <a:schemeClr val="accent2">
                <a:alpha val="85000"/>
              </a:schemeClr>
            </a:solidFill>
            <a:ln w="9525" cap="flat" cmpd="sng" algn="ctr">
              <a:solidFill>
                <a:schemeClr val="lt1">
                  <a:alpha val="50000"/>
                </a:schemeClr>
              </a:solidFill>
              <a:round/>
            </a:ln>
            <a:effectLst/>
          </c:spPr>
          <c:invertIfNegative val="0"/>
          <c:cat>
            <c:strRef>
              <c:f>CCC!$L$7:$L$10</c:f>
              <c:strCache>
                <c:ptCount val="4"/>
                <c:pt idx="0">
                  <c:v>Inventory Days</c:v>
                </c:pt>
                <c:pt idx="1">
                  <c:v>Receivables Days</c:v>
                </c:pt>
                <c:pt idx="2">
                  <c:v>Payables Days</c:v>
                </c:pt>
                <c:pt idx="3">
                  <c:v>Cash Conversion Cycle</c:v>
                </c:pt>
              </c:strCache>
            </c:strRef>
          </c:cat>
          <c:val>
            <c:numRef>
              <c:f>CCC!$N$7:$N$10</c:f>
              <c:numCache>
                <c:formatCode>0</c:formatCode>
                <c:ptCount val="4"/>
                <c:pt idx="0">
                  <c:v>245.13265834944954</c:v>
                </c:pt>
                <c:pt idx="1">
                  <c:v>23.755833115153006</c:v>
                </c:pt>
                <c:pt idx="2">
                  <c:v>137.35770353797733</c:v>
                </c:pt>
                <c:pt idx="3">
                  <c:v>131.53078792662524</c:v>
                </c:pt>
              </c:numCache>
            </c:numRef>
          </c:val>
          <c:extLst>
            <c:ext xmlns:c16="http://schemas.microsoft.com/office/drawing/2014/chart" uri="{C3380CC4-5D6E-409C-BE32-E72D297353CC}">
              <c16:uniqueId val="{00000001-F878-4F8D-B7B8-F4A32D9EC330}"/>
            </c:ext>
          </c:extLst>
        </c:ser>
        <c:ser>
          <c:idx val="2"/>
          <c:order val="2"/>
          <c:tx>
            <c:strRef>
              <c:f>CCC!$O$6</c:f>
              <c:strCache>
                <c:ptCount val="1"/>
                <c:pt idx="0">
                  <c:v>2023</c:v>
                </c:pt>
              </c:strCache>
            </c:strRef>
          </c:tx>
          <c:spPr>
            <a:solidFill>
              <a:schemeClr val="accent3">
                <a:alpha val="85000"/>
              </a:schemeClr>
            </a:solidFill>
            <a:ln w="9525" cap="flat" cmpd="sng" algn="ctr">
              <a:solidFill>
                <a:schemeClr val="lt1">
                  <a:alpha val="50000"/>
                </a:schemeClr>
              </a:solidFill>
              <a:round/>
            </a:ln>
            <a:effectLst/>
          </c:spPr>
          <c:invertIfNegative val="0"/>
          <c:cat>
            <c:strRef>
              <c:f>CCC!$L$7:$L$10</c:f>
              <c:strCache>
                <c:ptCount val="4"/>
                <c:pt idx="0">
                  <c:v>Inventory Days</c:v>
                </c:pt>
                <c:pt idx="1">
                  <c:v>Receivables Days</c:v>
                </c:pt>
                <c:pt idx="2">
                  <c:v>Payables Days</c:v>
                </c:pt>
                <c:pt idx="3">
                  <c:v>Cash Conversion Cycle</c:v>
                </c:pt>
              </c:strCache>
            </c:strRef>
          </c:cat>
          <c:val>
            <c:numRef>
              <c:f>CCC!$O$7:$O$10</c:f>
              <c:numCache>
                <c:formatCode>0</c:formatCode>
                <c:ptCount val="4"/>
                <c:pt idx="0">
                  <c:v>312.87176821924135</c:v>
                </c:pt>
                <c:pt idx="1">
                  <c:v>24.744898909036749</c:v>
                </c:pt>
                <c:pt idx="2">
                  <c:v>186.09224702601924</c:v>
                </c:pt>
                <c:pt idx="3">
                  <c:v>151.52442010225886</c:v>
                </c:pt>
              </c:numCache>
            </c:numRef>
          </c:val>
          <c:extLst>
            <c:ext xmlns:c16="http://schemas.microsoft.com/office/drawing/2014/chart" uri="{C3380CC4-5D6E-409C-BE32-E72D297353CC}">
              <c16:uniqueId val="{00000002-F878-4F8D-B7B8-F4A32D9EC330}"/>
            </c:ext>
          </c:extLst>
        </c:ser>
        <c:ser>
          <c:idx val="3"/>
          <c:order val="3"/>
          <c:tx>
            <c:strRef>
              <c:f>CCC!$P$6</c:f>
              <c:strCache>
                <c:ptCount val="1"/>
                <c:pt idx="0">
                  <c:v>2022</c:v>
                </c:pt>
              </c:strCache>
            </c:strRef>
          </c:tx>
          <c:spPr>
            <a:solidFill>
              <a:schemeClr val="accent4">
                <a:alpha val="85000"/>
              </a:schemeClr>
            </a:solidFill>
            <a:ln w="9525" cap="flat" cmpd="sng" algn="ctr">
              <a:solidFill>
                <a:schemeClr val="lt1">
                  <a:alpha val="50000"/>
                </a:schemeClr>
              </a:solidFill>
              <a:round/>
            </a:ln>
            <a:effectLst/>
          </c:spPr>
          <c:invertIfNegative val="0"/>
          <c:cat>
            <c:strRef>
              <c:f>CCC!$L$7:$L$10</c:f>
              <c:strCache>
                <c:ptCount val="4"/>
                <c:pt idx="0">
                  <c:v>Inventory Days</c:v>
                </c:pt>
                <c:pt idx="1">
                  <c:v>Receivables Days</c:v>
                </c:pt>
                <c:pt idx="2">
                  <c:v>Payables Days</c:v>
                </c:pt>
                <c:pt idx="3">
                  <c:v>Cash Conversion Cycle</c:v>
                </c:pt>
              </c:strCache>
            </c:strRef>
          </c:cat>
          <c:val>
            <c:numRef>
              <c:f>CCC!$P$7:$P$10</c:f>
              <c:numCache>
                <c:formatCode>0</c:formatCode>
                <c:ptCount val="4"/>
                <c:pt idx="0">
                  <c:v>463.85322127458539</c:v>
                </c:pt>
                <c:pt idx="1">
                  <c:v>24.242644687332021</c:v>
                </c:pt>
                <c:pt idx="2">
                  <c:v>260.81930526891614</c:v>
                </c:pt>
                <c:pt idx="3">
                  <c:v>227.27656069300127</c:v>
                </c:pt>
              </c:numCache>
            </c:numRef>
          </c:val>
          <c:extLst>
            <c:ext xmlns:c16="http://schemas.microsoft.com/office/drawing/2014/chart" uri="{C3380CC4-5D6E-409C-BE32-E72D297353CC}">
              <c16:uniqueId val="{00000003-F878-4F8D-B7B8-F4A32D9EC330}"/>
            </c:ext>
          </c:extLst>
        </c:ser>
        <c:ser>
          <c:idx val="4"/>
          <c:order val="4"/>
          <c:tx>
            <c:strRef>
              <c:f>CCC!$Q$6</c:f>
              <c:strCache>
                <c:ptCount val="1"/>
                <c:pt idx="0">
                  <c:v>2021</c:v>
                </c:pt>
              </c:strCache>
            </c:strRef>
          </c:tx>
          <c:spPr>
            <a:solidFill>
              <a:schemeClr val="accent5">
                <a:alpha val="85000"/>
              </a:schemeClr>
            </a:solidFill>
            <a:ln w="9525" cap="flat" cmpd="sng" algn="ctr">
              <a:solidFill>
                <a:schemeClr val="lt1">
                  <a:alpha val="50000"/>
                </a:schemeClr>
              </a:solidFill>
              <a:round/>
            </a:ln>
            <a:effectLst/>
          </c:spPr>
          <c:invertIfNegative val="0"/>
          <c:cat>
            <c:strRef>
              <c:f>CCC!$L$7:$L$10</c:f>
              <c:strCache>
                <c:ptCount val="4"/>
                <c:pt idx="0">
                  <c:v>Inventory Days</c:v>
                </c:pt>
                <c:pt idx="1">
                  <c:v>Receivables Days</c:v>
                </c:pt>
                <c:pt idx="2">
                  <c:v>Payables Days</c:v>
                </c:pt>
                <c:pt idx="3">
                  <c:v>Cash Conversion Cycle</c:v>
                </c:pt>
              </c:strCache>
            </c:strRef>
          </c:cat>
          <c:val>
            <c:numRef>
              <c:f>CCC!$Q$7:$Q$10</c:f>
              <c:numCache>
                <c:formatCode>0</c:formatCode>
                <c:ptCount val="4"/>
                <c:pt idx="0">
                  <c:v>414.30972716180781</c:v>
                </c:pt>
                <c:pt idx="1">
                  <c:v>22.642545963229416</c:v>
                </c:pt>
                <c:pt idx="2">
                  <c:v>223.8456945562161</c:v>
                </c:pt>
                <c:pt idx="3">
                  <c:v>213.10657856882111</c:v>
                </c:pt>
              </c:numCache>
            </c:numRef>
          </c:val>
          <c:extLst>
            <c:ext xmlns:c16="http://schemas.microsoft.com/office/drawing/2014/chart" uri="{C3380CC4-5D6E-409C-BE32-E72D297353CC}">
              <c16:uniqueId val="{00000004-F878-4F8D-B7B8-F4A32D9EC330}"/>
            </c:ext>
          </c:extLst>
        </c:ser>
        <c:dLbls>
          <c:showLegendKey val="0"/>
          <c:showVal val="0"/>
          <c:showCatName val="0"/>
          <c:showSerName val="0"/>
          <c:showPercent val="0"/>
          <c:showBubbleSize val="0"/>
        </c:dLbls>
        <c:gapWidth val="150"/>
        <c:axId val="21595872"/>
        <c:axId val="21596656"/>
      </c:barChart>
      <c:catAx>
        <c:axId val="215958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21596656"/>
        <c:crosses val="autoZero"/>
        <c:auto val="1"/>
        <c:lblAlgn val="ctr"/>
        <c:lblOffset val="100"/>
        <c:noMultiLvlLbl val="0"/>
      </c:catAx>
      <c:valAx>
        <c:axId val="2159665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All values in Days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21595872"/>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dTable>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E4F65D5C-D1E2-4B42-B9E2-AB7D141A1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38</Pages>
  <Words>8658</Words>
  <Characters>49351</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Avani Panchal</cp:lastModifiedBy>
  <cp:revision>4</cp:revision>
  <dcterms:created xsi:type="dcterms:W3CDTF">2026-04-23T19:37:00Z</dcterms:created>
  <dcterms:modified xsi:type="dcterms:W3CDTF">2026-04-24T13:48:00Z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68597e0d-f64b-4d82-9d27-758f4c08695a</vt:lpwstr>
  </property>
</Properties>
</file>