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32C9" w:rsidRPr="00C032C9" w:rsidRDefault="00C032C9" w:rsidP="00C032C9">
      <w:pPr>
        <w:pStyle w:val="NoSpacing"/>
        <w:spacing w:after="120"/>
        <w:rPr>
          <w:rFonts w:ascii="Perpetua Titling MT" w:hAnsi="Perpetua Titling MT"/>
        </w:rPr>
      </w:pPr>
      <w:r w:rsidRPr="00C032C9">
        <w:rPr>
          <w:rFonts w:ascii="Perpetua Titling MT" w:hAnsi="Perpetua Titling MT"/>
        </w:rPr>
        <w:t>Thinking Historically after Historicism:</w:t>
      </w:r>
    </w:p>
    <w:p w:rsidR="00C032C9" w:rsidRPr="00C032C9" w:rsidRDefault="00C032C9" w:rsidP="00C032C9">
      <w:pPr>
        <w:pStyle w:val="NoSpacing"/>
        <w:spacing w:after="120"/>
        <w:ind w:left="720"/>
        <w:rPr>
          <w:rFonts w:ascii="Garamond" w:hAnsi="Garamond"/>
          <w:i/>
        </w:rPr>
      </w:pPr>
      <w:r w:rsidRPr="00C032C9">
        <w:rPr>
          <w:rFonts w:ascii="Garamond" w:hAnsi="Garamond"/>
          <w:i/>
        </w:rPr>
        <w:t>Essays in Memory of Lee Patterson</w:t>
      </w:r>
    </w:p>
    <w:p w:rsidR="00C032C9" w:rsidRPr="00C032C9" w:rsidRDefault="00C032C9" w:rsidP="00C032C9">
      <w:pPr>
        <w:pStyle w:val="NoSpacing"/>
        <w:spacing w:after="120"/>
        <w:ind w:left="720"/>
        <w:rPr>
          <w:rFonts w:ascii="Garamond" w:hAnsi="Garamond"/>
        </w:rPr>
      </w:pPr>
      <w:r w:rsidRPr="00C032C9">
        <w:rPr>
          <w:rFonts w:ascii="Garamond" w:hAnsi="Garamond"/>
        </w:rPr>
        <w:t xml:space="preserve">Candace Barrington Central Connecticut State University </w:t>
      </w:r>
    </w:p>
    <w:p w:rsidR="00C032C9" w:rsidRPr="00C032C9" w:rsidRDefault="00C032C9" w:rsidP="00C032C9">
      <w:pPr>
        <w:pStyle w:val="NoSpacing"/>
        <w:spacing w:after="120"/>
        <w:ind w:left="720"/>
        <w:rPr>
          <w:rFonts w:ascii="Garamond" w:hAnsi="Garamond"/>
        </w:rPr>
      </w:pPr>
      <w:r w:rsidRPr="00C032C9">
        <w:rPr>
          <w:rFonts w:ascii="Garamond" w:hAnsi="Garamond"/>
        </w:rPr>
        <w:t xml:space="preserve">New Britain, Connecticut </w:t>
      </w:r>
    </w:p>
    <w:p w:rsidR="00C032C9" w:rsidRPr="00C032C9" w:rsidRDefault="00C032C9" w:rsidP="00C032C9">
      <w:pPr>
        <w:pStyle w:val="NoSpacing"/>
        <w:spacing w:after="120"/>
        <w:ind w:left="720"/>
        <w:rPr>
          <w:rFonts w:ascii="Garamond" w:hAnsi="Garamond"/>
        </w:rPr>
      </w:pPr>
      <w:r w:rsidRPr="00C032C9">
        <w:rPr>
          <w:rFonts w:ascii="Garamond" w:hAnsi="Garamond"/>
        </w:rPr>
        <w:t xml:space="preserve">Emily Steiner University of Pennsylvania </w:t>
      </w:r>
    </w:p>
    <w:p w:rsidR="00C032C9" w:rsidRDefault="00C032C9" w:rsidP="00C032C9">
      <w:pPr>
        <w:pStyle w:val="NoSpacing"/>
        <w:spacing w:after="120"/>
        <w:ind w:left="720"/>
        <w:rPr>
          <w:rFonts w:ascii="Garamond" w:hAnsi="Garamond"/>
        </w:rPr>
      </w:pPr>
      <w:r w:rsidRPr="00C032C9">
        <w:rPr>
          <w:rFonts w:ascii="Garamond" w:hAnsi="Garamond"/>
        </w:rPr>
        <w:t xml:space="preserve">Philadelphia, Pennsylvania </w:t>
      </w:r>
    </w:p>
    <w:p w:rsidR="00C032C9" w:rsidRPr="00C032C9" w:rsidRDefault="00C032C9" w:rsidP="00C032C9">
      <w:pPr>
        <w:pStyle w:val="NoSpacing"/>
        <w:spacing w:after="120"/>
        <w:ind w:left="720"/>
        <w:rPr>
          <w:rFonts w:ascii="Garamond" w:hAnsi="Garamond"/>
        </w:rPr>
      </w:pPr>
    </w:p>
    <w:p w:rsidR="00C032C9" w:rsidRPr="00C032C9" w:rsidRDefault="00C032C9" w:rsidP="00C032C9">
      <w:pPr>
        <w:pStyle w:val="NoSpacing"/>
        <w:spacing w:after="120"/>
        <w:rPr>
          <w:rFonts w:ascii="Garamond" w:hAnsi="Garamond"/>
        </w:rPr>
      </w:pPr>
      <w:r w:rsidRPr="00C032C9">
        <w:rPr>
          <w:rFonts w:ascii="Garamond" w:hAnsi="Garamond"/>
        </w:rPr>
        <w:t xml:space="preserve">The contributors to this collection share an indissoluble link to the distinguished scholar Lee Patterson, who taught medieval literature at the University of Toronto, The Johns Hopkins University, Duke University, and Yale University, from where he retired as the Frederick W. </w:t>
      </w:r>
      <w:proofErr w:type="spellStart"/>
      <w:r w:rsidRPr="00C032C9">
        <w:rPr>
          <w:rFonts w:ascii="Garamond" w:hAnsi="Garamond"/>
        </w:rPr>
        <w:t>Hilles</w:t>
      </w:r>
      <w:proofErr w:type="spellEnd"/>
      <w:r w:rsidRPr="00C032C9">
        <w:rPr>
          <w:rFonts w:ascii="Garamond" w:hAnsi="Garamond"/>
        </w:rPr>
        <w:t xml:space="preserve"> Professor Emeritus of English. Lee was a masterful teacher who electrified the classroom and fostered in his students a taste for Middle English and for poetry of all kinds. He mentored dozens of young medievalists, and his writing continues to have a devoted following. His doctoral students found him a formidable advisor whose exacting standards they would later recognize as marks of respect with which no praise could compete.</w:t>
      </w:r>
    </w:p>
    <w:p w:rsidR="00C032C9" w:rsidRPr="00C032C9" w:rsidRDefault="00C032C9" w:rsidP="00C032C9">
      <w:pPr>
        <w:pStyle w:val="NoSpacing"/>
        <w:spacing w:after="120"/>
        <w:rPr>
          <w:rFonts w:ascii="Garamond" w:hAnsi="Garamond"/>
        </w:rPr>
      </w:pPr>
      <w:r w:rsidRPr="00C032C9">
        <w:rPr>
          <w:rFonts w:ascii="Garamond" w:hAnsi="Garamond"/>
        </w:rPr>
        <w:t xml:space="preserve">Patterson built towering models of scholarship in Negotiating the Past: The Historical Understanding of Medieval Literature (1987) and Chaucer and the Subject of History (1991).1 </w:t>
      </w:r>
      <w:proofErr w:type="gramStart"/>
      <w:r w:rsidRPr="00C032C9">
        <w:rPr>
          <w:rFonts w:ascii="Garamond" w:hAnsi="Garamond"/>
        </w:rPr>
        <w:t>These</w:t>
      </w:r>
      <w:proofErr w:type="gramEnd"/>
      <w:r w:rsidRPr="00C032C9">
        <w:rPr>
          <w:rFonts w:ascii="Garamond" w:hAnsi="Garamond"/>
        </w:rPr>
        <w:t xml:space="preserve"> books are vintage Patterson, elegant and fearless. Field-changing when first published, they have become classics of Chaucer criticism and of the critical movement that came to be known as New Historicism. Students of Chaucer still cut their teeth on Chaucer and the Subject of History, while Negotiating the Past and the Speculum article “On the Margin: Postmodernism, Ironic History, and Medieval Studies” (1990) remain essential guides to the contentious terrain of medieval studies.2 [End Page 361]</w:t>
      </w:r>
    </w:p>
    <w:p w:rsidR="00C032C9" w:rsidRPr="00C032C9" w:rsidRDefault="00C032C9" w:rsidP="00C032C9">
      <w:pPr>
        <w:pStyle w:val="NoSpacing"/>
        <w:spacing w:after="120"/>
        <w:rPr>
          <w:rFonts w:ascii="Garamond" w:hAnsi="Garamond"/>
        </w:rPr>
      </w:pPr>
      <w:r w:rsidRPr="00C032C9">
        <w:rPr>
          <w:rFonts w:ascii="Garamond" w:hAnsi="Garamond"/>
        </w:rPr>
        <w:t xml:space="preserve">The model of interpretation exemplified by Patterson requires hard, patient work. It also requires a constant admission to ourselves that the evidence we unearth may be scant, our understanding of it partial, its manifestations multiple, and our analyses totally dependent on the methodologies and assumptions available to us in our moment. However, as Patterson pointed out, by trying to uncover some truth in those things that are specific, particular, local, and contingent in medieval culture, we have the opportunity to resist the homogenizing tendencies of our own culture.3 </w:t>
      </w:r>
      <w:proofErr w:type="gramStart"/>
      <w:r w:rsidRPr="00C032C9">
        <w:rPr>
          <w:rFonts w:ascii="Garamond" w:hAnsi="Garamond"/>
        </w:rPr>
        <w:t>We</w:t>
      </w:r>
      <w:proofErr w:type="gramEnd"/>
      <w:r w:rsidRPr="00C032C9">
        <w:rPr>
          <w:rFonts w:ascii="Garamond" w:hAnsi="Garamond"/>
        </w:rPr>
        <w:t xml:space="preserve"> hope that these eight essays offer new and exciting ways to think with historicism after historicism.</w:t>
      </w:r>
    </w:p>
    <w:p w:rsidR="00C032C9" w:rsidRPr="00C032C9" w:rsidRDefault="00C032C9" w:rsidP="00C032C9">
      <w:pPr>
        <w:pStyle w:val="NoSpacing"/>
        <w:spacing w:after="120"/>
        <w:rPr>
          <w:rFonts w:ascii="Garamond" w:hAnsi="Garamond"/>
        </w:rPr>
      </w:pPr>
      <w:r w:rsidRPr="00C032C9">
        <w:rPr>
          <w:rFonts w:ascii="Garamond" w:hAnsi="Garamond"/>
        </w:rPr>
        <w:t>Poetic Values</w:t>
      </w:r>
    </w:p>
    <w:p w:rsidR="00C032C9" w:rsidRPr="00C032C9" w:rsidRDefault="00C032C9" w:rsidP="00C032C9">
      <w:pPr>
        <w:pStyle w:val="NoSpacing"/>
        <w:spacing w:after="120"/>
        <w:rPr>
          <w:rFonts w:ascii="Garamond" w:hAnsi="Garamond"/>
        </w:rPr>
      </w:pPr>
      <w:r w:rsidRPr="00C032C9">
        <w:rPr>
          <w:rFonts w:ascii="Garamond" w:hAnsi="Garamond"/>
        </w:rPr>
        <w:t xml:space="preserve">The historicists of the 1980s and 90s, aided by a robust feminist historiography, challenged the existence of an autonomous aesthetic realm, putting in its place a textual model of culture in which poems could be read alongside legal documents, and in which bodies, ideologies, and events could be read as discourse. Even as it remains influential, the approach has been vigorously critiqued in recent years, in part for </w:t>
      </w:r>
      <w:proofErr w:type="spellStart"/>
      <w:r w:rsidRPr="00C032C9">
        <w:rPr>
          <w:rFonts w:ascii="Garamond" w:hAnsi="Garamond"/>
        </w:rPr>
        <w:t>sidelining</w:t>
      </w:r>
      <w:proofErr w:type="spellEnd"/>
      <w:r w:rsidRPr="00C032C9">
        <w:rPr>
          <w:rFonts w:ascii="Garamond" w:hAnsi="Garamond"/>
        </w:rPr>
        <w:t xml:space="preserve"> other approaches such as psychoanalysis, and in part for throwing out the baby with the bathwater, losing what is particular to literature—its formal qualities—and losing what is particular to literary disciplines.4 These losses have perhaps been the greatest for poetry, especially the lyric, although the last few years have witnessed something of a revival, and the lyric may prove to be the comeback kid of the twenty-first century. Consequently, many of the questions that mobilized historicist criticism are still pressing: What is the value of the category of the literary? And what belongs exclusively to literary art?</w:t>
      </w:r>
    </w:p>
    <w:p w:rsidR="00C032C9" w:rsidRPr="00C032C9" w:rsidRDefault="00C032C9" w:rsidP="00C032C9">
      <w:pPr>
        <w:pStyle w:val="NoSpacing"/>
        <w:spacing w:after="120"/>
        <w:rPr>
          <w:rFonts w:ascii="Garamond" w:hAnsi="Garamond"/>
        </w:rPr>
      </w:pPr>
      <w:r w:rsidRPr="00C032C9">
        <w:rPr>
          <w:rFonts w:ascii="Garamond" w:hAnsi="Garamond"/>
        </w:rPr>
        <w:t>Beneath these questions lies another that informs all literary criticism: How does the past continue to mean to the present? For many medievalists working in the last decades of the twentieth century, a literary text yielded value insofar as it exposed the operations of political power, resistance, and injustice.5 More recently, scholars have significantly rethought this question [End Page 362] about value from the perspectives of affect and ethics.6 In a complementary way, many critics have been engaged in the project of historicizing affect, ethics, and emotion.7 By interrogating the category of the literary, Patterson and his contemporaries encouraged generations of critics to evaluate their own desires and stakes in the past.</w:t>
      </w:r>
    </w:p>
    <w:p w:rsidR="00C032C9" w:rsidRPr="00C032C9" w:rsidRDefault="00C032C9" w:rsidP="00C032C9">
      <w:pPr>
        <w:pStyle w:val="NoSpacing"/>
        <w:spacing w:after="120"/>
        <w:rPr>
          <w:rFonts w:ascii="Garamond" w:hAnsi="Garamond"/>
        </w:rPr>
      </w:pPr>
      <w:r w:rsidRPr="00C032C9">
        <w:rPr>
          <w:rFonts w:ascii="Garamond" w:hAnsi="Garamond"/>
        </w:rPr>
        <w:t xml:space="preserve">In “Literary Value and the Customs House: The Axiological Logic of the House of Fame,” Robert J. Meyer-Lee returns the question of literary value to the historical realm by asking what the relationship between literary aesthetics and socioeconomic value reveals about the worth of poetry. Meyer-Lee’s </w:t>
      </w:r>
      <w:r w:rsidRPr="00C032C9">
        <w:rPr>
          <w:rFonts w:ascii="Garamond" w:hAnsi="Garamond"/>
        </w:rPr>
        <w:lastRenderedPageBreak/>
        <w:t xml:space="preserve">subject is the House of Fame, a highly experimental poem that uniquely references Geoffrey Chaucer’s work as customs controller. In Meyer-Lee’s reading, Chaucer’s poem showcases the </w:t>
      </w:r>
      <w:proofErr w:type="spellStart"/>
      <w:r w:rsidRPr="00C032C9">
        <w:rPr>
          <w:rFonts w:ascii="Garamond" w:hAnsi="Garamond"/>
        </w:rPr>
        <w:t>metaliterary</w:t>
      </w:r>
      <w:proofErr w:type="spellEnd"/>
      <w:r w:rsidRPr="00C032C9">
        <w:rPr>
          <w:rFonts w:ascii="Garamond" w:hAnsi="Garamond"/>
        </w:rPr>
        <w:t xml:space="preserve"> activity of accounting for literary value. As many critics have noted, the House of Fame registers the poet’s contact with </w:t>
      </w:r>
      <w:proofErr w:type="spellStart"/>
      <w:r w:rsidRPr="00C032C9">
        <w:rPr>
          <w:rFonts w:ascii="Garamond" w:hAnsi="Garamond"/>
        </w:rPr>
        <w:t>Trecento</w:t>
      </w:r>
      <w:proofErr w:type="spellEnd"/>
      <w:r w:rsidRPr="00C032C9">
        <w:rPr>
          <w:rFonts w:ascii="Garamond" w:hAnsi="Garamond"/>
        </w:rPr>
        <w:t xml:space="preserve"> Italian authors and proclaims his status as a vernacular author in ways very different from, say, English imitations of the </w:t>
      </w:r>
      <w:proofErr w:type="spellStart"/>
      <w:r w:rsidRPr="00C032C9">
        <w:rPr>
          <w:rFonts w:ascii="Garamond" w:hAnsi="Garamond"/>
        </w:rPr>
        <w:t>dits</w:t>
      </w:r>
      <w:proofErr w:type="spellEnd"/>
      <w:r w:rsidRPr="00C032C9">
        <w:rPr>
          <w:rFonts w:ascii="Garamond" w:hAnsi="Garamond"/>
        </w:rPr>
        <w:t xml:space="preserve"> </w:t>
      </w:r>
      <w:proofErr w:type="spellStart"/>
      <w:r w:rsidRPr="00C032C9">
        <w:rPr>
          <w:rFonts w:ascii="Garamond" w:hAnsi="Garamond"/>
        </w:rPr>
        <w:t>amoreaux</w:t>
      </w:r>
      <w:proofErr w:type="spellEnd"/>
      <w:r w:rsidRPr="00C032C9">
        <w:rPr>
          <w:rFonts w:ascii="Garamond" w:hAnsi="Garamond"/>
        </w:rPr>
        <w:t>, which were the literary currency of the royal household. Using Pierre Bourdieu’s theory of the field of production, Meyer-Lee explains that, when Chaucer became controller, he found himself outside court circles where writing poetry was a normative activity. With the House of Fame, the poet highlights the mismatch between these two fields of production. In his retelling of Virgil’s story of Dido, for example, he converts Dido’s legendary desire into “</w:t>
      </w:r>
      <w:proofErr w:type="spellStart"/>
      <w:r w:rsidRPr="00C032C9">
        <w:rPr>
          <w:rFonts w:ascii="Garamond" w:hAnsi="Garamond"/>
        </w:rPr>
        <w:t>wikke</w:t>
      </w:r>
      <w:proofErr w:type="spellEnd"/>
      <w:r w:rsidRPr="00C032C9">
        <w:rPr>
          <w:rFonts w:ascii="Garamond" w:hAnsi="Garamond"/>
        </w:rPr>
        <w:t xml:space="preserve"> Fame” (349). In doing so, he links his role as controller to his narrator’s role as an “observer of the process of [fame’s] creation, valuation, and dissemination.”8 According to Meyer-Lee, the Aeneid helped [End Page 363] Chaucer revaluate poetic work between the social location of the court and the mercantile location of the customs house, where value was weighed and recorded.</w:t>
      </w:r>
    </w:p>
    <w:p w:rsidR="00C032C9" w:rsidRPr="00C032C9" w:rsidRDefault="00C032C9" w:rsidP="00C032C9">
      <w:pPr>
        <w:pStyle w:val="NoSpacing"/>
        <w:spacing w:after="120"/>
        <w:rPr>
          <w:rFonts w:ascii="Garamond" w:hAnsi="Garamond"/>
        </w:rPr>
      </w:pPr>
      <w:r w:rsidRPr="00C032C9">
        <w:rPr>
          <w:rFonts w:ascii="Garamond" w:hAnsi="Garamond"/>
        </w:rPr>
        <w:t xml:space="preserve">The New Historicist movement has recovered many </w:t>
      </w:r>
      <w:proofErr w:type="spellStart"/>
      <w:r w:rsidRPr="00C032C9">
        <w:rPr>
          <w:rFonts w:ascii="Garamond" w:hAnsi="Garamond"/>
        </w:rPr>
        <w:t>noncanonical</w:t>
      </w:r>
      <w:proofErr w:type="spellEnd"/>
      <w:r w:rsidRPr="00C032C9">
        <w:rPr>
          <w:rFonts w:ascii="Garamond" w:hAnsi="Garamond"/>
        </w:rPr>
        <w:t xml:space="preserve"> texts for literary study and expanded the purview of literary criticism to include broadsides, travel narratives, confessional handbooks, and trial records. This process of inclusion also has helped us see how medieval poets understood literary value differently from poets in later periods.9 For example, the boldly experimental form of William Langland’s Piers </w:t>
      </w:r>
      <w:proofErr w:type="spellStart"/>
      <w:r w:rsidRPr="00C032C9">
        <w:rPr>
          <w:rFonts w:ascii="Garamond" w:hAnsi="Garamond"/>
        </w:rPr>
        <w:t>Plowman</w:t>
      </w:r>
      <w:proofErr w:type="spellEnd"/>
      <w:r w:rsidRPr="00C032C9">
        <w:rPr>
          <w:rFonts w:ascii="Garamond" w:hAnsi="Garamond"/>
        </w:rPr>
        <w:t xml:space="preserve">, and its obsession with gains and losses, establishes the question of value as one of that poem’s chief concerns.10 For the poet, the value of poetry is bound up with moral and spiritual value—that is, how learned verse conveys information or inculcates attitudes that lead to salvation. The poem’s preoccupation with its own value resonates with modern concerns about the value of imaginative literature. We ask over and over: What is the study of literature worth in terms of institutional reward, market value, or moral gain? To what ends do we read and write? And for </w:t>
      </w:r>
      <w:proofErr w:type="gramStart"/>
      <w:r w:rsidRPr="00C032C9">
        <w:rPr>
          <w:rFonts w:ascii="Garamond" w:hAnsi="Garamond"/>
        </w:rPr>
        <w:t>whose</w:t>
      </w:r>
      <w:proofErr w:type="gramEnd"/>
      <w:r w:rsidRPr="00C032C9">
        <w:rPr>
          <w:rFonts w:ascii="Garamond" w:hAnsi="Garamond"/>
        </w:rPr>
        <w:t xml:space="preserve"> good?</w:t>
      </w:r>
    </w:p>
    <w:p w:rsidR="00C032C9" w:rsidRPr="00C032C9" w:rsidRDefault="00C032C9" w:rsidP="00C032C9">
      <w:pPr>
        <w:pStyle w:val="NoSpacing"/>
        <w:spacing w:after="120"/>
        <w:rPr>
          <w:rFonts w:ascii="Garamond" w:hAnsi="Garamond"/>
        </w:rPr>
      </w:pPr>
      <w:r w:rsidRPr="00C032C9">
        <w:rPr>
          <w:rFonts w:ascii="Garamond" w:hAnsi="Garamond"/>
        </w:rPr>
        <w:t xml:space="preserve">Jennifer Sisk, in “Paul’s Rapture and Will’s Vision: The Problem of Imagination in Langland’s Life of Christ,” pursues the problem of imaginative value by zeroing in on a strange quotation in Piers </w:t>
      </w:r>
      <w:proofErr w:type="spellStart"/>
      <w:r w:rsidRPr="00C032C9">
        <w:rPr>
          <w:rFonts w:ascii="Garamond" w:hAnsi="Garamond"/>
        </w:rPr>
        <w:t>Plowman</w:t>
      </w:r>
      <w:proofErr w:type="spellEnd"/>
      <w:r w:rsidRPr="00C032C9">
        <w:rPr>
          <w:rFonts w:ascii="Garamond" w:hAnsi="Garamond"/>
        </w:rPr>
        <w:t xml:space="preserve"> B.18: the dreamer, misquoting Saint Paul, claims to have special access to revelation and to mysteries out of reach of normal mental capacity. This misquotation occurs in a scene of vivid poetic imagining—the life and death of Christ—and feels startlingly out of place. As Sisk points out, Langland likely derived his quotation of Paul from the context of Saint Augustine’s visionary schema, for which a dramatic imagining of Christ’s life would belong to the category of spiritual vision (which relies on imagination and which therefore runs some interpretative risks) as opposed to intellectual vision (which, granted from above, avoids the perils of the imaginative faculty). Sisk argues that the quotation highlights an important contrast between revelatory vision and the kind of visionary goals a poem [End Page 364] like Piers </w:t>
      </w:r>
      <w:proofErr w:type="spellStart"/>
      <w:r w:rsidRPr="00C032C9">
        <w:rPr>
          <w:rFonts w:ascii="Garamond" w:hAnsi="Garamond"/>
        </w:rPr>
        <w:t>Plowman</w:t>
      </w:r>
      <w:proofErr w:type="spellEnd"/>
      <w:r w:rsidRPr="00C032C9">
        <w:rPr>
          <w:rFonts w:ascii="Garamond" w:hAnsi="Garamond"/>
        </w:rPr>
        <w:t xml:space="preserve"> can hope to attain. At the same time, the quotation reflects a qualified optimism about the power of images, an optimism that runs throughout the poem and more generally in late medieval devotional literature. For Langland, in other words, the potential value of vernacular religious verse resides both in the success and the failure of images to lead readers to higher knowledge of the divine.</w:t>
      </w:r>
    </w:p>
    <w:p w:rsidR="00C032C9" w:rsidRPr="00C032C9" w:rsidRDefault="00C032C9" w:rsidP="00C032C9">
      <w:pPr>
        <w:pStyle w:val="NoSpacing"/>
        <w:spacing w:after="120"/>
        <w:rPr>
          <w:rFonts w:ascii="Garamond" w:hAnsi="Garamond"/>
        </w:rPr>
      </w:pPr>
      <w:r w:rsidRPr="00C032C9">
        <w:rPr>
          <w:rFonts w:ascii="Garamond" w:hAnsi="Garamond"/>
        </w:rPr>
        <w:t>Literary Careers</w:t>
      </w:r>
    </w:p>
    <w:p w:rsidR="00C032C9" w:rsidRPr="00C032C9" w:rsidRDefault="00C032C9" w:rsidP="00C032C9">
      <w:pPr>
        <w:pStyle w:val="NoSpacing"/>
        <w:spacing w:after="120"/>
        <w:rPr>
          <w:rFonts w:ascii="Garamond" w:hAnsi="Garamond"/>
        </w:rPr>
      </w:pPr>
      <w:r w:rsidRPr="00C032C9">
        <w:rPr>
          <w:rFonts w:ascii="Garamond" w:hAnsi="Garamond"/>
        </w:rPr>
        <w:t xml:space="preserve">Well versed in the vitae of saints, medievalists always have had to think creatively about the relationship between life and text. This has been especially true for studies of medieval women like Margery </w:t>
      </w:r>
      <w:proofErr w:type="spellStart"/>
      <w:r w:rsidRPr="00C032C9">
        <w:rPr>
          <w:rFonts w:ascii="Garamond" w:hAnsi="Garamond"/>
        </w:rPr>
        <w:t>Kempe</w:t>
      </w:r>
      <w:proofErr w:type="spellEnd"/>
      <w:r w:rsidRPr="00C032C9">
        <w:rPr>
          <w:rFonts w:ascii="Garamond" w:hAnsi="Garamond"/>
        </w:rPr>
        <w:t xml:space="preserve">, who often confound modern expectations of genre, identity, and period.11 New Historicists, by showing how authorial lives are constructed under social and political </w:t>
      </w:r>
      <w:proofErr w:type="gramStart"/>
      <w:r w:rsidRPr="00C032C9">
        <w:rPr>
          <w:rFonts w:ascii="Garamond" w:hAnsi="Garamond"/>
        </w:rPr>
        <w:t>pressures,</w:t>
      </w:r>
      <w:proofErr w:type="gramEnd"/>
      <w:r w:rsidRPr="00C032C9">
        <w:rPr>
          <w:rFonts w:ascii="Garamond" w:hAnsi="Garamond"/>
        </w:rPr>
        <w:t xml:space="preserve"> get to the heart of medieval exemplarity by asking such questions as: How can lives (and deaths) be read as texts? And how do texts generate new forms of living?12 These questions pertain especially to writers such as Langland, Chaucer, John Gower, and Thomas </w:t>
      </w:r>
      <w:proofErr w:type="spellStart"/>
      <w:r w:rsidRPr="00C032C9">
        <w:rPr>
          <w:rFonts w:ascii="Garamond" w:hAnsi="Garamond"/>
        </w:rPr>
        <w:t>Usk</w:t>
      </w:r>
      <w:proofErr w:type="spellEnd"/>
      <w:r w:rsidRPr="00C032C9">
        <w:rPr>
          <w:rFonts w:ascii="Garamond" w:hAnsi="Garamond"/>
        </w:rPr>
        <w:t>, writers who critiqued their social worlds by fashioning complex personas and other forms of authorial lives.</w:t>
      </w:r>
    </w:p>
    <w:p w:rsidR="00C032C9" w:rsidRPr="00C032C9" w:rsidRDefault="00C032C9" w:rsidP="00C032C9">
      <w:pPr>
        <w:pStyle w:val="NoSpacing"/>
        <w:spacing w:after="120"/>
        <w:rPr>
          <w:rFonts w:ascii="Garamond" w:hAnsi="Garamond"/>
        </w:rPr>
      </w:pPr>
      <w:r w:rsidRPr="00C032C9">
        <w:rPr>
          <w:rFonts w:ascii="Garamond" w:hAnsi="Garamond"/>
        </w:rPr>
        <w:t xml:space="preserve">As Candace Barrington points out in “Personas and Performance in Gower’s </w:t>
      </w:r>
      <w:proofErr w:type="spellStart"/>
      <w:r w:rsidRPr="00C032C9">
        <w:rPr>
          <w:rFonts w:ascii="Garamond" w:hAnsi="Garamond"/>
        </w:rPr>
        <w:t>Confessio</w:t>
      </w:r>
      <w:proofErr w:type="spellEnd"/>
      <w:r w:rsidRPr="00C032C9">
        <w:rPr>
          <w:rFonts w:ascii="Garamond" w:hAnsi="Garamond"/>
        </w:rPr>
        <w:t xml:space="preserve"> </w:t>
      </w:r>
      <w:proofErr w:type="spellStart"/>
      <w:r w:rsidRPr="00C032C9">
        <w:rPr>
          <w:rFonts w:ascii="Garamond" w:hAnsi="Garamond"/>
        </w:rPr>
        <w:t>Amantis</w:t>
      </w:r>
      <w:proofErr w:type="spellEnd"/>
      <w:r w:rsidRPr="00C032C9">
        <w:rPr>
          <w:rFonts w:ascii="Garamond" w:hAnsi="Garamond"/>
        </w:rPr>
        <w:t xml:space="preserve">,” the stress of being a medieval commentator was felt most acutely when the object of criticism was the king and court. Gower’s notorious bid for patronage in the Prologue to the </w:t>
      </w:r>
      <w:proofErr w:type="spellStart"/>
      <w:r w:rsidRPr="00C032C9">
        <w:rPr>
          <w:rFonts w:ascii="Garamond" w:hAnsi="Garamond"/>
        </w:rPr>
        <w:t>Confessio</w:t>
      </w:r>
      <w:proofErr w:type="spellEnd"/>
      <w:r w:rsidRPr="00C032C9">
        <w:rPr>
          <w:rFonts w:ascii="Garamond" w:hAnsi="Garamond"/>
        </w:rPr>
        <w:t xml:space="preserve"> </w:t>
      </w:r>
      <w:proofErr w:type="spellStart"/>
      <w:r w:rsidRPr="00C032C9">
        <w:rPr>
          <w:rFonts w:ascii="Garamond" w:hAnsi="Garamond"/>
        </w:rPr>
        <w:t>Amantis</w:t>
      </w:r>
      <w:proofErr w:type="spellEnd"/>
      <w:r w:rsidRPr="00C032C9">
        <w:rPr>
          <w:rFonts w:ascii="Garamond" w:hAnsi="Garamond"/>
        </w:rPr>
        <w:t xml:space="preserve">, a prologue he revised when the Lancastrians came to power, has been seen as an opportunistic retreat from political engagement and a sacrifice of critique for royal </w:t>
      </w:r>
      <w:proofErr w:type="spellStart"/>
      <w:r w:rsidRPr="00C032C9">
        <w:rPr>
          <w:rFonts w:ascii="Garamond" w:hAnsi="Garamond"/>
        </w:rPr>
        <w:t>favor</w:t>
      </w:r>
      <w:proofErr w:type="spellEnd"/>
      <w:r w:rsidRPr="00C032C9">
        <w:rPr>
          <w:rFonts w:ascii="Garamond" w:hAnsi="Garamond"/>
        </w:rPr>
        <w:t xml:space="preserve">. Along similar lines, scholars have proposed that Gower’s authorial persona in the </w:t>
      </w:r>
      <w:proofErr w:type="spellStart"/>
      <w:r w:rsidRPr="00C032C9">
        <w:rPr>
          <w:rFonts w:ascii="Garamond" w:hAnsi="Garamond"/>
        </w:rPr>
        <w:t>Confessio</w:t>
      </w:r>
      <w:proofErr w:type="spellEnd"/>
      <w:r w:rsidRPr="00C032C9">
        <w:rPr>
          <w:rFonts w:ascii="Garamond" w:hAnsi="Garamond"/>
        </w:rPr>
        <w:t xml:space="preserve">—a lover confessing to a priest—redeems the courtly discourse that Gower would have once thought reprehensible. Barrington takes a different tack, reading </w:t>
      </w:r>
      <w:r w:rsidRPr="00C032C9">
        <w:rPr>
          <w:rFonts w:ascii="Garamond" w:hAnsi="Garamond"/>
        </w:rPr>
        <w:lastRenderedPageBreak/>
        <w:t xml:space="preserve">the earliest version of the </w:t>
      </w:r>
      <w:proofErr w:type="spellStart"/>
      <w:r w:rsidRPr="00C032C9">
        <w:rPr>
          <w:rFonts w:ascii="Garamond" w:hAnsi="Garamond"/>
        </w:rPr>
        <w:t>Confessio</w:t>
      </w:r>
      <w:proofErr w:type="spellEnd"/>
      <w:r w:rsidRPr="00C032C9">
        <w:rPr>
          <w:rFonts w:ascii="Garamond" w:hAnsi="Garamond"/>
        </w:rPr>
        <w:t xml:space="preserve"> as a tough critique of </w:t>
      </w:r>
      <w:proofErr w:type="spellStart"/>
      <w:r w:rsidRPr="00C032C9">
        <w:rPr>
          <w:rFonts w:ascii="Garamond" w:hAnsi="Garamond"/>
        </w:rPr>
        <w:t>Ricardian</w:t>
      </w:r>
      <w:proofErr w:type="spellEnd"/>
      <w:r w:rsidRPr="00C032C9">
        <w:rPr>
          <w:rFonts w:ascii="Garamond" w:hAnsi="Garamond"/>
        </w:rPr>
        <w:t xml:space="preserve"> court culture, enacted through a series of authorial self-transformations. Presenting himself first as a didactic author, Gower next [End Page 365] performs the role of a courtier so as to gain entry to a frivolous court in need of reform. Finally, he names the lover-courtier as himself, now apparently in his proper person as an old man who despairs of implementing the reforms that the </w:t>
      </w:r>
      <w:proofErr w:type="spellStart"/>
      <w:r w:rsidRPr="00C032C9">
        <w:rPr>
          <w:rFonts w:ascii="Garamond" w:hAnsi="Garamond"/>
        </w:rPr>
        <w:t>Confessio</w:t>
      </w:r>
      <w:proofErr w:type="spellEnd"/>
      <w:r w:rsidRPr="00C032C9">
        <w:rPr>
          <w:rFonts w:ascii="Garamond" w:hAnsi="Garamond"/>
        </w:rPr>
        <w:t xml:space="preserve"> recommends. By this reading, the poet has not done an about-face so much as he has found another mode by which to address the moral failings of Richard II's court. In Barrington’s view, the poet uses multiple personas in order to deliver a Lancastrian critique in advance of the Lancastrians. In the process, he creates a fictive career for a literary persona who assumes various guises in order to try to shape his circumstances.</w:t>
      </w:r>
    </w:p>
    <w:p w:rsidR="00C032C9" w:rsidRPr="00C032C9" w:rsidRDefault="00C032C9" w:rsidP="00C032C9">
      <w:pPr>
        <w:pStyle w:val="NoSpacing"/>
        <w:spacing w:after="120"/>
        <w:rPr>
          <w:rFonts w:ascii="Garamond" w:hAnsi="Garamond"/>
        </w:rPr>
      </w:pPr>
      <w:r w:rsidRPr="00C032C9">
        <w:rPr>
          <w:rFonts w:ascii="Garamond" w:hAnsi="Garamond"/>
        </w:rPr>
        <w:t xml:space="preserve">Along similar lines, George </w:t>
      </w:r>
      <w:proofErr w:type="spellStart"/>
      <w:r w:rsidRPr="00C032C9">
        <w:rPr>
          <w:rFonts w:ascii="Garamond" w:hAnsi="Garamond"/>
        </w:rPr>
        <w:t>Shuffelton</w:t>
      </w:r>
      <w:proofErr w:type="spellEnd"/>
      <w:r w:rsidRPr="00C032C9">
        <w:rPr>
          <w:rFonts w:ascii="Garamond" w:hAnsi="Garamond"/>
        </w:rPr>
        <w:t xml:space="preserve"> examines the circumstances that shape a literary life in his essay “John Carpenter, Lay Clerk.” </w:t>
      </w:r>
      <w:proofErr w:type="spellStart"/>
      <w:r w:rsidRPr="00C032C9">
        <w:rPr>
          <w:rFonts w:ascii="Garamond" w:hAnsi="Garamond"/>
        </w:rPr>
        <w:t>Shuffelton’s</w:t>
      </w:r>
      <w:proofErr w:type="spellEnd"/>
      <w:r w:rsidRPr="00C032C9">
        <w:rPr>
          <w:rFonts w:ascii="Garamond" w:hAnsi="Garamond"/>
        </w:rPr>
        <w:t xml:space="preserve"> subject is the relationship between literacy and career as they converge in the activities of John Carpenter, London Common Clerk (1417–38), intimate associate of Richard Whittington, and the compiler of the customary Liber </w:t>
      </w:r>
      <w:proofErr w:type="spellStart"/>
      <w:r w:rsidRPr="00C032C9">
        <w:rPr>
          <w:rFonts w:ascii="Garamond" w:hAnsi="Garamond"/>
        </w:rPr>
        <w:t>Albus</w:t>
      </w:r>
      <w:proofErr w:type="spellEnd"/>
      <w:r w:rsidRPr="00C032C9">
        <w:rPr>
          <w:rFonts w:ascii="Garamond" w:hAnsi="Garamond"/>
        </w:rPr>
        <w:t>. Late-fourteenth- and early-fifteenth-century London/Westminster was a bureaucratic hub and a forge for civic politics. It is therefore an ideal site for thinking about relationships between literary production and the various modes of literacy that urban culture supported, including civic records, chronicles, and legal or commemorative documents.13</w:t>
      </w:r>
    </w:p>
    <w:p w:rsidR="00C032C9" w:rsidRPr="00C032C9" w:rsidRDefault="00C032C9" w:rsidP="00C032C9">
      <w:pPr>
        <w:pStyle w:val="NoSpacing"/>
        <w:spacing w:after="120"/>
        <w:rPr>
          <w:rFonts w:ascii="Garamond" w:hAnsi="Garamond"/>
        </w:rPr>
      </w:pPr>
      <w:r w:rsidRPr="00C032C9">
        <w:rPr>
          <w:rFonts w:ascii="Garamond" w:hAnsi="Garamond"/>
        </w:rPr>
        <w:t xml:space="preserve">As </w:t>
      </w:r>
      <w:proofErr w:type="spellStart"/>
      <w:r w:rsidRPr="00C032C9">
        <w:rPr>
          <w:rFonts w:ascii="Garamond" w:hAnsi="Garamond"/>
        </w:rPr>
        <w:t>Shuffelton</w:t>
      </w:r>
      <w:proofErr w:type="spellEnd"/>
      <w:r w:rsidRPr="00C032C9">
        <w:rPr>
          <w:rFonts w:ascii="Garamond" w:hAnsi="Garamond"/>
        </w:rPr>
        <w:t xml:space="preserve"> argues, Carpenter’s London opened up new careers for literate men, even those lacking a university education. Carpenter’s literacy, while looking forward to a fully secularized bureaucracy, also </w:t>
      </w:r>
      <w:proofErr w:type="gramStart"/>
      <w:r w:rsidRPr="00C032C9">
        <w:rPr>
          <w:rFonts w:ascii="Garamond" w:hAnsi="Garamond"/>
        </w:rPr>
        <w:t>lay</w:t>
      </w:r>
      <w:proofErr w:type="gramEnd"/>
      <w:r w:rsidRPr="00C032C9">
        <w:rPr>
          <w:rFonts w:ascii="Garamond" w:hAnsi="Garamond"/>
        </w:rPr>
        <w:t xml:space="preserve"> claim to a Latin intellectual </w:t>
      </w:r>
      <w:proofErr w:type="spellStart"/>
      <w:r w:rsidRPr="00C032C9">
        <w:rPr>
          <w:rFonts w:ascii="Garamond" w:hAnsi="Garamond"/>
        </w:rPr>
        <w:t>inheritence</w:t>
      </w:r>
      <w:proofErr w:type="spellEnd"/>
      <w:r w:rsidRPr="00C032C9">
        <w:rPr>
          <w:rFonts w:ascii="Garamond" w:hAnsi="Garamond"/>
        </w:rPr>
        <w:t xml:space="preserve"> usually associated with the monks of Bury St. Edmunds, cathedral canons, and chancellor-bishops like Richard of Bury, author of the </w:t>
      </w:r>
      <w:proofErr w:type="spellStart"/>
      <w:r w:rsidRPr="00C032C9">
        <w:rPr>
          <w:rFonts w:ascii="Garamond" w:hAnsi="Garamond"/>
        </w:rPr>
        <w:t>Philobiblon</w:t>
      </w:r>
      <w:proofErr w:type="spellEnd"/>
      <w:r w:rsidRPr="00C032C9">
        <w:rPr>
          <w:rFonts w:ascii="Garamond" w:hAnsi="Garamond"/>
        </w:rPr>
        <w:t xml:space="preserve">. The contents of Carpenter’s library, which included a copy of the </w:t>
      </w:r>
      <w:proofErr w:type="spellStart"/>
      <w:r w:rsidRPr="00C032C9">
        <w:rPr>
          <w:rFonts w:ascii="Garamond" w:hAnsi="Garamond"/>
        </w:rPr>
        <w:t>Philobiblon</w:t>
      </w:r>
      <w:proofErr w:type="spellEnd"/>
      <w:r w:rsidRPr="00C032C9">
        <w:rPr>
          <w:rFonts w:ascii="Garamond" w:hAnsi="Garamond"/>
        </w:rPr>
        <w:t>, reveal him to be a highly Latinate reader, more along the lines of an ecclesiastic figure than a merchant. Ultimately, Carpenter’s literary life shows that a well-connected lay clerk in fifteenth-century London could make claim to functions once belonging exclusively to priests and chroniclers, specifically, the stewardship of urban memory and the organization of a communal afterlife. [End Page 366]</w:t>
      </w:r>
    </w:p>
    <w:p w:rsidR="00C032C9" w:rsidRPr="00C032C9" w:rsidRDefault="00C032C9" w:rsidP="00C032C9">
      <w:pPr>
        <w:pStyle w:val="NoSpacing"/>
        <w:spacing w:after="120"/>
        <w:rPr>
          <w:rFonts w:ascii="Garamond" w:hAnsi="Garamond"/>
        </w:rPr>
      </w:pPr>
      <w:r w:rsidRPr="00C032C9">
        <w:rPr>
          <w:rFonts w:ascii="Garamond" w:hAnsi="Garamond"/>
        </w:rPr>
        <w:t>Formal Interventions</w:t>
      </w:r>
    </w:p>
    <w:p w:rsidR="00C032C9" w:rsidRPr="00C032C9" w:rsidRDefault="00C032C9" w:rsidP="00C032C9">
      <w:pPr>
        <w:pStyle w:val="NoSpacing"/>
        <w:spacing w:after="120"/>
        <w:rPr>
          <w:rFonts w:ascii="Garamond" w:hAnsi="Garamond"/>
        </w:rPr>
      </w:pPr>
      <w:r w:rsidRPr="00C032C9">
        <w:rPr>
          <w:rFonts w:ascii="Garamond" w:hAnsi="Garamond"/>
        </w:rPr>
        <w:t xml:space="preserve">In the last few decades, literary scholars have come to see genre as an expression of, or intervention into, the relationship between ideology and form. Such formal intervention is easier to detect in texts that do not meet expectations of genre—and harder to detect in those texts that, like Geoffrey of Monmouth’s </w:t>
      </w:r>
      <w:proofErr w:type="spellStart"/>
      <w:r w:rsidRPr="00C032C9">
        <w:rPr>
          <w:rFonts w:ascii="Garamond" w:hAnsi="Garamond"/>
        </w:rPr>
        <w:t>Historia</w:t>
      </w:r>
      <w:proofErr w:type="spellEnd"/>
      <w:r w:rsidRPr="00C032C9">
        <w:rPr>
          <w:rFonts w:ascii="Garamond" w:hAnsi="Garamond"/>
        </w:rPr>
        <w:t>, set generic expectations. In “‘</w:t>
      </w:r>
      <w:proofErr w:type="spellStart"/>
      <w:r w:rsidRPr="00C032C9">
        <w:rPr>
          <w:rFonts w:ascii="Garamond" w:hAnsi="Garamond"/>
        </w:rPr>
        <w:t>Ain’t</w:t>
      </w:r>
      <w:proofErr w:type="spellEnd"/>
      <w:r w:rsidRPr="00C032C9">
        <w:rPr>
          <w:rFonts w:ascii="Garamond" w:hAnsi="Garamond"/>
        </w:rPr>
        <w:t xml:space="preserve"> </w:t>
      </w:r>
      <w:proofErr w:type="spellStart"/>
      <w:r w:rsidRPr="00C032C9">
        <w:rPr>
          <w:rFonts w:ascii="Garamond" w:hAnsi="Garamond"/>
        </w:rPr>
        <w:t>gonna</w:t>
      </w:r>
      <w:proofErr w:type="spellEnd"/>
      <w:r w:rsidRPr="00C032C9">
        <w:rPr>
          <w:rFonts w:ascii="Garamond" w:hAnsi="Garamond"/>
        </w:rPr>
        <w:t xml:space="preserve"> study war no more’: Geoffrey of Monmouth’s </w:t>
      </w:r>
      <w:proofErr w:type="spellStart"/>
      <w:r w:rsidRPr="00C032C9">
        <w:rPr>
          <w:rFonts w:ascii="Garamond" w:hAnsi="Garamond"/>
        </w:rPr>
        <w:t>Historia</w:t>
      </w:r>
      <w:proofErr w:type="spellEnd"/>
      <w:r w:rsidRPr="00C032C9">
        <w:rPr>
          <w:rFonts w:ascii="Garamond" w:hAnsi="Garamond"/>
        </w:rPr>
        <w:t xml:space="preserve"> </w:t>
      </w:r>
      <w:proofErr w:type="spellStart"/>
      <w:r w:rsidRPr="00C032C9">
        <w:rPr>
          <w:rFonts w:ascii="Garamond" w:hAnsi="Garamond"/>
        </w:rPr>
        <w:t>regum</w:t>
      </w:r>
      <w:proofErr w:type="spellEnd"/>
      <w:r w:rsidRPr="00C032C9">
        <w:rPr>
          <w:rFonts w:ascii="Garamond" w:hAnsi="Garamond"/>
        </w:rPr>
        <w:t xml:space="preserve"> Britanniae and Vita </w:t>
      </w:r>
      <w:proofErr w:type="spellStart"/>
      <w:r w:rsidRPr="00C032C9">
        <w:rPr>
          <w:rFonts w:ascii="Garamond" w:hAnsi="Garamond"/>
        </w:rPr>
        <w:t>Merlini</w:t>
      </w:r>
      <w:proofErr w:type="spellEnd"/>
      <w:r w:rsidRPr="00C032C9">
        <w:rPr>
          <w:rFonts w:ascii="Garamond" w:hAnsi="Garamond"/>
        </w:rPr>
        <w:t xml:space="preserve">,” Christine </w:t>
      </w:r>
      <w:proofErr w:type="spellStart"/>
      <w:r w:rsidRPr="00C032C9">
        <w:rPr>
          <w:rFonts w:ascii="Garamond" w:hAnsi="Garamond"/>
        </w:rPr>
        <w:t>Chism</w:t>
      </w:r>
      <w:proofErr w:type="spellEnd"/>
      <w:r w:rsidRPr="00C032C9">
        <w:rPr>
          <w:rFonts w:ascii="Garamond" w:hAnsi="Garamond"/>
        </w:rPr>
        <w:t xml:space="preserve"> explores Geoffrey’s lesser-known work, the Vita </w:t>
      </w:r>
      <w:proofErr w:type="spellStart"/>
      <w:r w:rsidRPr="00C032C9">
        <w:rPr>
          <w:rFonts w:ascii="Garamond" w:hAnsi="Garamond"/>
        </w:rPr>
        <w:t>Merlini</w:t>
      </w:r>
      <w:proofErr w:type="spellEnd"/>
      <w:r w:rsidRPr="00C032C9">
        <w:rPr>
          <w:rFonts w:ascii="Garamond" w:hAnsi="Garamond"/>
        </w:rPr>
        <w:t xml:space="preserve">, arguing that it is not merely an experiment in genre—pseudo- hagiography, for example, or twelfth-century </w:t>
      </w:r>
      <w:proofErr w:type="spellStart"/>
      <w:r w:rsidRPr="00C032C9">
        <w:rPr>
          <w:rFonts w:ascii="Garamond" w:hAnsi="Garamond"/>
        </w:rPr>
        <w:t>Virgilian</w:t>
      </w:r>
      <w:proofErr w:type="spellEnd"/>
      <w:r w:rsidRPr="00C032C9">
        <w:rPr>
          <w:rFonts w:ascii="Garamond" w:hAnsi="Garamond"/>
        </w:rPr>
        <w:t xml:space="preserve"> pastoral; it is also a calculated response to the relentless violence of Geoffrey’s massively influential </w:t>
      </w:r>
      <w:proofErr w:type="spellStart"/>
      <w:r w:rsidRPr="00C032C9">
        <w:rPr>
          <w:rFonts w:ascii="Garamond" w:hAnsi="Garamond"/>
        </w:rPr>
        <w:t>Historia</w:t>
      </w:r>
      <w:proofErr w:type="spellEnd"/>
      <w:r w:rsidRPr="00C032C9">
        <w:rPr>
          <w:rFonts w:ascii="Garamond" w:hAnsi="Garamond"/>
        </w:rPr>
        <w:t xml:space="preserve">. Whereas the </w:t>
      </w:r>
      <w:proofErr w:type="spellStart"/>
      <w:r w:rsidRPr="00C032C9">
        <w:rPr>
          <w:rFonts w:ascii="Garamond" w:hAnsi="Garamond"/>
        </w:rPr>
        <w:t>Historia</w:t>
      </w:r>
      <w:proofErr w:type="spellEnd"/>
      <w:r w:rsidRPr="00C032C9">
        <w:rPr>
          <w:rFonts w:ascii="Garamond" w:hAnsi="Garamond"/>
        </w:rPr>
        <w:t xml:space="preserve"> depends on cycles of aristocratic male violence, the Vita </w:t>
      </w:r>
      <w:proofErr w:type="spellStart"/>
      <w:r w:rsidRPr="00C032C9">
        <w:rPr>
          <w:rFonts w:ascii="Garamond" w:hAnsi="Garamond"/>
        </w:rPr>
        <w:t>Merlini</w:t>
      </w:r>
      <w:proofErr w:type="spellEnd"/>
      <w:r w:rsidRPr="00C032C9">
        <w:rPr>
          <w:rFonts w:ascii="Garamond" w:hAnsi="Garamond"/>
        </w:rPr>
        <w:t xml:space="preserve"> rejects the trappings of a culture wedded to patriarchy and fantasies of empire.</w:t>
      </w:r>
    </w:p>
    <w:p w:rsidR="00C032C9" w:rsidRPr="00C032C9" w:rsidRDefault="00C032C9" w:rsidP="00C032C9">
      <w:pPr>
        <w:pStyle w:val="NoSpacing"/>
        <w:spacing w:after="120"/>
        <w:rPr>
          <w:rFonts w:ascii="Garamond" w:hAnsi="Garamond"/>
        </w:rPr>
      </w:pPr>
      <w:r w:rsidRPr="00C032C9">
        <w:rPr>
          <w:rFonts w:ascii="Garamond" w:hAnsi="Garamond"/>
        </w:rPr>
        <w:t xml:space="preserve">One of New Historicism’s strengths is its ability to address the ideological functions of historical narratives by identifying those functions as formal tensions in literary texts.14 In this spirit, </w:t>
      </w:r>
      <w:proofErr w:type="spellStart"/>
      <w:r w:rsidRPr="00C032C9">
        <w:rPr>
          <w:rFonts w:ascii="Garamond" w:hAnsi="Garamond"/>
        </w:rPr>
        <w:t>Chism</w:t>
      </w:r>
      <w:proofErr w:type="spellEnd"/>
      <w:r w:rsidRPr="00C032C9">
        <w:rPr>
          <w:rFonts w:ascii="Garamond" w:hAnsi="Garamond"/>
        </w:rPr>
        <w:t xml:space="preserve"> </w:t>
      </w:r>
      <w:proofErr w:type="spellStart"/>
      <w:r w:rsidRPr="00C032C9">
        <w:rPr>
          <w:rFonts w:ascii="Garamond" w:hAnsi="Garamond"/>
        </w:rPr>
        <w:t>analyzes</w:t>
      </w:r>
      <w:proofErr w:type="spellEnd"/>
      <w:r w:rsidRPr="00C032C9">
        <w:rPr>
          <w:rFonts w:ascii="Garamond" w:hAnsi="Garamond"/>
        </w:rPr>
        <w:t xml:space="preserve"> the dialectics of history that spur both historical and </w:t>
      </w:r>
      <w:proofErr w:type="spellStart"/>
      <w:r w:rsidRPr="00C032C9">
        <w:rPr>
          <w:rFonts w:ascii="Garamond" w:hAnsi="Garamond"/>
        </w:rPr>
        <w:t>nonhistorical</w:t>
      </w:r>
      <w:proofErr w:type="spellEnd"/>
      <w:r w:rsidRPr="00C032C9">
        <w:rPr>
          <w:rFonts w:ascii="Garamond" w:hAnsi="Garamond"/>
        </w:rPr>
        <w:t xml:space="preserve"> twelfth-century writing. In her reading, the cycles of warfare in the </w:t>
      </w:r>
      <w:proofErr w:type="spellStart"/>
      <w:r w:rsidRPr="00C032C9">
        <w:rPr>
          <w:rFonts w:ascii="Garamond" w:hAnsi="Garamond"/>
        </w:rPr>
        <w:t>Historia</w:t>
      </w:r>
      <w:proofErr w:type="spellEnd"/>
      <w:r w:rsidRPr="00C032C9">
        <w:rPr>
          <w:rFonts w:ascii="Garamond" w:hAnsi="Garamond"/>
        </w:rPr>
        <w:t xml:space="preserve"> make British nationalism a pretext for writing a history about treachery, foundation, and conquest. At the same time, the portion of the </w:t>
      </w:r>
      <w:proofErr w:type="spellStart"/>
      <w:r w:rsidRPr="00C032C9">
        <w:rPr>
          <w:rFonts w:ascii="Garamond" w:hAnsi="Garamond"/>
        </w:rPr>
        <w:t>Historia</w:t>
      </w:r>
      <w:proofErr w:type="spellEnd"/>
      <w:r w:rsidRPr="00C032C9">
        <w:rPr>
          <w:rFonts w:ascii="Garamond" w:hAnsi="Garamond"/>
        </w:rPr>
        <w:t xml:space="preserve"> most excerpted in the Middle Ages—Merlin’s prophecies—mystifies the bloody operations of history, turning dynastic struggle into “a pantheistic bedlam of warring dragons, apple-bearing hedgehogs, and shouting forests.”15 The Vita </w:t>
      </w:r>
      <w:proofErr w:type="spellStart"/>
      <w:r w:rsidRPr="00C032C9">
        <w:rPr>
          <w:rFonts w:ascii="Garamond" w:hAnsi="Garamond"/>
        </w:rPr>
        <w:t>Merlini</w:t>
      </w:r>
      <w:proofErr w:type="spellEnd"/>
      <w:r w:rsidRPr="00C032C9">
        <w:rPr>
          <w:rFonts w:ascii="Garamond" w:hAnsi="Garamond"/>
        </w:rPr>
        <w:t xml:space="preserve">, however, which appears twelve years after the </w:t>
      </w:r>
      <w:proofErr w:type="spellStart"/>
      <w:r w:rsidRPr="00C032C9">
        <w:rPr>
          <w:rFonts w:ascii="Garamond" w:hAnsi="Garamond"/>
        </w:rPr>
        <w:t>Historia</w:t>
      </w:r>
      <w:proofErr w:type="spellEnd"/>
      <w:r w:rsidRPr="00C032C9">
        <w:rPr>
          <w:rFonts w:ascii="Garamond" w:hAnsi="Garamond"/>
        </w:rPr>
        <w:t xml:space="preserve">, roundly rejects the sovereign fantasies of its predecessor by relocating the prophet, now mad with grief, to a British landscape isolated from political struggle. This landscape, itself an </w:t>
      </w:r>
      <w:proofErr w:type="spellStart"/>
      <w:r w:rsidRPr="00C032C9">
        <w:rPr>
          <w:rFonts w:ascii="Garamond" w:hAnsi="Garamond"/>
        </w:rPr>
        <w:t>ecocritique</w:t>
      </w:r>
      <w:proofErr w:type="spellEnd"/>
      <w:r w:rsidRPr="00C032C9">
        <w:rPr>
          <w:rFonts w:ascii="Garamond" w:hAnsi="Garamond"/>
        </w:rPr>
        <w:t xml:space="preserve"> of the ravages of colonialism, becomes the site of an alternative society devoted to natural science, egalitarianism, communism, and peace. The Vita </w:t>
      </w:r>
      <w:proofErr w:type="spellStart"/>
      <w:r w:rsidRPr="00C032C9">
        <w:rPr>
          <w:rFonts w:ascii="Garamond" w:hAnsi="Garamond"/>
        </w:rPr>
        <w:t>Merlini</w:t>
      </w:r>
      <w:proofErr w:type="spellEnd"/>
      <w:r w:rsidRPr="00C032C9">
        <w:rPr>
          <w:rFonts w:ascii="Garamond" w:hAnsi="Garamond"/>
        </w:rPr>
        <w:t xml:space="preserve"> thus represents Geoffrey’s surprising and rarely noted intervention into his own oeuvre.</w:t>
      </w:r>
    </w:p>
    <w:p w:rsidR="00C032C9" w:rsidRPr="00C032C9" w:rsidRDefault="00C032C9" w:rsidP="00C032C9">
      <w:pPr>
        <w:pStyle w:val="NoSpacing"/>
        <w:spacing w:after="120"/>
        <w:rPr>
          <w:rFonts w:ascii="Garamond" w:hAnsi="Garamond"/>
        </w:rPr>
      </w:pPr>
      <w:r w:rsidRPr="00C032C9">
        <w:rPr>
          <w:rFonts w:ascii="Garamond" w:hAnsi="Garamond"/>
        </w:rPr>
        <w:t xml:space="preserve">Like Geoffrey, Gower staged a formal intervention into his own oeuvre, one that literary history has also conveniently ignored. One of the fourteenth century’s most versatile poets, Gower wrote in French, Latin, and English [End Page 367] and in a number of meters. His literary career has become emblematic of the trilingual culture of late-fourteenth-century England and of the ascendancy of English over Latin and French as England’s literary language. In the last few years, scholars of Anglo-French literature have </w:t>
      </w:r>
      <w:r w:rsidRPr="00C032C9">
        <w:rPr>
          <w:rFonts w:ascii="Garamond" w:hAnsi="Garamond"/>
        </w:rPr>
        <w:lastRenderedPageBreak/>
        <w:t xml:space="preserve">shifted the historical paradigm by focusing on the simultaneity of language cultures and the varieties of French in England.16 As Emma Lipton shows, Gower’s little-studied </w:t>
      </w:r>
      <w:proofErr w:type="spellStart"/>
      <w:r w:rsidRPr="00C032C9">
        <w:rPr>
          <w:rFonts w:ascii="Garamond" w:hAnsi="Garamond"/>
        </w:rPr>
        <w:t>Traitié</w:t>
      </w:r>
      <w:proofErr w:type="spellEnd"/>
      <w:r w:rsidRPr="00C032C9">
        <w:rPr>
          <w:rFonts w:ascii="Garamond" w:hAnsi="Garamond"/>
        </w:rPr>
        <w:t xml:space="preserve"> pour </w:t>
      </w:r>
      <w:proofErr w:type="spellStart"/>
      <w:r w:rsidRPr="00C032C9">
        <w:rPr>
          <w:rFonts w:ascii="Garamond" w:hAnsi="Garamond"/>
        </w:rPr>
        <w:t>essampler</w:t>
      </w:r>
      <w:proofErr w:type="spellEnd"/>
      <w:r w:rsidRPr="00C032C9">
        <w:rPr>
          <w:rFonts w:ascii="Garamond" w:hAnsi="Garamond"/>
        </w:rPr>
        <w:t xml:space="preserve"> les </w:t>
      </w:r>
      <w:proofErr w:type="spellStart"/>
      <w:r w:rsidRPr="00C032C9">
        <w:rPr>
          <w:rFonts w:ascii="Garamond" w:hAnsi="Garamond"/>
        </w:rPr>
        <w:t>amants</w:t>
      </w:r>
      <w:proofErr w:type="spellEnd"/>
      <w:r w:rsidRPr="00C032C9">
        <w:rPr>
          <w:rFonts w:ascii="Garamond" w:hAnsi="Garamond"/>
        </w:rPr>
        <w:t xml:space="preserve"> </w:t>
      </w:r>
      <w:proofErr w:type="spellStart"/>
      <w:r w:rsidRPr="00C032C9">
        <w:rPr>
          <w:rFonts w:ascii="Garamond" w:hAnsi="Garamond"/>
        </w:rPr>
        <w:t>marietz</w:t>
      </w:r>
      <w:proofErr w:type="spellEnd"/>
      <w:r w:rsidRPr="00C032C9">
        <w:rPr>
          <w:rFonts w:ascii="Garamond" w:hAnsi="Garamond"/>
        </w:rPr>
        <w:t xml:space="preserve">, a compilation of ballades about marriage composed after the </w:t>
      </w:r>
      <w:proofErr w:type="spellStart"/>
      <w:r w:rsidRPr="00C032C9">
        <w:rPr>
          <w:rFonts w:ascii="Garamond" w:hAnsi="Garamond"/>
        </w:rPr>
        <w:t>Confessio</w:t>
      </w:r>
      <w:proofErr w:type="spellEnd"/>
      <w:r w:rsidRPr="00C032C9">
        <w:rPr>
          <w:rFonts w:ascii="Garamond" w:hAnsi="Garamond"/>
        </w:rPr>
        <w:t xml:space="preserve"> </w:t>
      </w:r>
      <w:proofErr w:type="spellStart"/>
      <w:r w:rsidRPr="00C032C9">
        <w:rPr>
          <w:rFonts w:ascii="Garamond" w:hAnsi="Garamond"/>
        </w:rPr>
        <w:t>Amantis</w:t>
      </w:r>
      <w:proofErr w:type="spellEnd"/>
      <w:r w:rsidRPr="00C032C9">
        <w:rPr>
          <w:rFonts w:ascii="Garamond" w:hAnsi="Garamond"/>
        </w:rPr>
        <w:t xml:space="preserve">, poses a serious challenge to the </w:t>
      </w:r>
      <w:proofErr w:type="spellStart"/>
      <w:r w:rsidRPr="00C032C9">
        <w:rPr>
          <w:rFonts w:ascii="Garamond" w:hAnsi="Garamond"/>
        </w:rPr>
        <w:t>teleologies</w:t>
      </w:r>
      <w:proofErr w:type="spellEnd"/>
      <w:r w:rsidRPr="00C032C9">
        <w:rPr>
          <w:rFonts w:ascii="Garamond" w:hAnsi="Garamond"/>
        </w:rPr>
        <w:t xml:space="preserve"> of literary history and, likewise, to critical accounts of Gower’s career ending with the rise of English.</w:t>
      </w:r>
    </w:p>
    <w:p w:rsidR="00C032C9" w:rsidRPr="00C032C9" w:rsidRDefault="00C032C9" w:rsidP="00C032C9">
      <w:pPr>
        <w:pStyle w:val="NoSpacing"/>
        <w:spacing w:after="120"/>
        <w:rPr>
          <w:rFonts w:ascii="Garamond" w:hAnsi="Garamond"/>
        </w:rPr>
      </w:pPr>
      <w:r w:rsidRPr="00C032C9">
        <w:rPr>
          <w:rFonts w:ascii="Garamond" w:hAnsi="Garamond"/>
        </w:rPr>
        <w:t xml:space="preserve">Lipton argues that Gower recuperates with the </w:t>
      </w:r>
      <w:proofErr w:type="spellStart"/>
      <w:r w:rsidRPr="00C032C9">
        <w:rPr>
          <w:rFonts w:ascii="Garamond" w:hAnsi="Garamond"/>
        </w:rPr>
        <w:t>Traitié</w:t>
      </w:r>
      <w:proofErr w:type="spellEnd"/>
      <w:r w:rsidRPr="00C032C9">
        <w:rPr>
          <w:rFonts w:ascii="Garamond" w:hAnsi="Garamond"/>
        </w:rPr>
        <w:t xml:space="preserve"> some of the losses of the </w:t>
      </w:r>
      <w:proofErr w:type="spellStart"/>
      <w:r w:rsidRPr="00C032C9">
        <w:rPr>
          <w:rFonts w:ascii="Garamond" w:hAnsi="Garamond"/>
        </w:rPr>
        <w:t>Confessio</w:t>
      </w:r>
      <w:proofErr w:type="spellEnd"/>
      <w:r w:rsidRPr="00C032C9">
        <w:rPr>
          <w:rFonts w:ascii="Garamond" w:hAnsi="Garamond"/>
        </w:rPr>
        <w:t xml:space="preserve">. Written in Anglo-French, the traditional language of English law, the </w:t>
      </w:r>
      <w:proofErr w:type="spellStart"/>
      <w:r w:rsidRPr="00C032C9">
        <w:rPr>
          <w:rFonts w:ascii="Garamond" w:hAnsi="Garamond"/>
        </w:rPr>
        <w:t>Traitié</w:t>
      </w:r>
      <w:proofErr w:type="spellEnd"/>
      <w:r w:rsidRPr="00C032C9">
        <w:rPr>
          <w:rFonts w:ascii="Garamond" w:hAnsi="Garamond"/>
        </w:rPr>
        <w:t xml:space="preserve"> maintains the general structure of a legal compendium, a form that allows the poet to investigate the relationship between case and rule, using a literary casuistry he has tried out already in the </w:t>
      </w:r>
      <w:proofErr w:type="spellStart"/>
      <w:r w:rsidRPr="00C032C9">
        <w:rPr>
          <w:rFonts w:ascii="Garamond" w:hAnsi="Garamond"/>
        </w:rPr>
        <w:t>Confessio</w:t>
      </w:r>
      <w:proofErr w:type="spellEnd"/>
      <w:r w:rsidRPr="00C032C9">
        <w:rPr>
          <w:rFonts w:ascii="Garamond" w:hAnsi="Garamond"/>
        </w:rPr>
        <w:t xml:space="preserve">. In the </w:t>
      </w:r>
      <w:proofErr w:type="spellStart"/>
      <w:r w:rsidRPr="00C032C9">
        <w:rPr>
          <w:rFonts w:ascii="Garamond" w:hAnsi="Garamond"/>
        </w:rPr>
        <w:t>Confessio</w:t>
      </w:r>
      <w:proofErr w:type="spellEnd"/>
      <w:r w:rsidRPr="00C032C9">
        <w:rPr>
          <w:rFonts w:ascii="Garamond" w:hAnsi="Garamond"/>
        </w:rPr>
        <w:t xml:space="preserve"> (and especially in Book 8), Gower tells many exemplary tales having to do with marriage, all standard </w:t>
      </w:r>
      <w:proofErr w:type="spellStart"/>
      <w:r w:rsidRPr="00C032C9">
        <w:rPr>
          <w:rFonts w:ascii="Garamond" w:hAnsi="Garamond"/>
        </w:rPr>
        <w:t>Fürstenspiegel</w:t>
      </w:r>
      <w:proofErr w:type="spellEnd"/>
      <w:r w:rsidRPr="00C032C9">
        <w:rPr>
          <w:rFonts w:ascii="Garamond" w:hAnsi="Garamond"/>
        </w:rPr>
        <w:t xml:space="preserve"> (advice for princes) fare, illustrating tyranny, jealousy, and so forth. In the </w:t>
      </w:r>
      <w:proofErr w:type="spellStart"/>
      <w:r w:rsidRPr="00C032C9">
        <w:rPr>
          <w:rFonts w:ascii="Garamond" w:hAnsi="Garamond"/>
        </w:rPr>
        <w:t>Traitié</w:t>
      </w:r>
      <w:proofErr w:type="spellEnd"/>
      <w:r w:rsidRPr="00C032C9">
        <w:rPr>
          <w:rFonts w:ascii="Garamond" w:hAnsi="Garamond"/>
        </w:rPr>
        <w:t xml:space="preserve"> Gower is more ambitious regarding exempla on the institution of marriage. By retelling them in ways that reflect legal methods, Gower links marriage to general principles regarding the common good and contractual integrity. Marriage exempla become similar to legal precedents in case-based law: in a continual dialectic with larger principles, they both illustrate those principles and help to shape them. With the French </w:t>
      </w:r>
      <w:proofErr w:type="spellStart"/>
      <w:r w:rsidRPr="00C032C9">
        <w:rPr>
          <w:rFonts w:ascii="Garamond" w:hAnsi="Garamond"/>
        </w:rPr>
        <w:t>Traitié</w:t>
      </w:r>
      <w:proofErr w:type="spellEnd"/>
      <w:r w:rsidRPr="00C032C9">
        <w:rPr>
          <w:rFonts w:ascii="Garamond" w:hAnsi="Garamond"/>
        </w:rPr>
        <w:t xml:space="preserve">, in other words, Gower portrays the English </w:t>
      </w:r>
      <w:proofErr w:type="spellStart"/>
      <w:r w:rsidRPr="00C032C9">
        <w:rPr>
          <w:rFonts w:ascii="Garamond" w:hAnsi="Garamond"/>
        </w:rPr>
        <w:t>Confessio</w:t>
      </w:r>
      <w:proofErr w:type="spellEnd"/>
      <w:r w:rsidRPr="00C032C9">
        <w:rPr>
          <w:rFonts w:ascii="Garamond" w:hAnsi="Garamond"/>
        </w:rPr>
        <w:t xml:space="preserve"> not as the culmination of a life’s work but as a project in need of revision, whose ideas on exemplarity, marriage, and law were yet to reach their full potential.</w:t>
      </w:r>
    </w:p>
    <w:p w:rsidR="00C032C9" w:rsidRPr="00C032C9" w:rsidRDefault="00C032C9" w:rsidP="00C032C9">
      <w:pPr>
        <w:pStyle w:val="NoSpacing"/>
        <w:spacing w:after="120"/>
        <w:rPr>
          <w:rFonts w:ascii="Garamond" w:hAnsi="Garamond"/>
        </w:rPr>
      </w:pPr>
      <w:r w:rsidRPr="00C032C9">
        <w:rPr>
          <w:rFonts w:ascii="Garamond" w:hAnsi="Garamond"/>
        </w:rPr>
        <w:t>Critical Futures</w:t>
      </w:r>
    </w:p>
    <w:p w:rsidR="00C032C9" w:rsidRPr="00C032C9" w:rsidRDefault="00C032C9" w:rsidP="00C032C9">
      <w:pPr>
        <w:pStyle w:val="NoSpacing"/>
        <w:spacing w:after="120"/>
        <w:rPr>
          <w:rFonts w:ascii="Garamond" w:hAnsi="Garamond"/>
        </w:rPr>
      </w:pPr>
      <w:r w:rsidRPr="00C032C9">
        <w:rPr>
          <w:rFonts w:ascii="Garamond" w:hAnsi="Garamond"/>
        </w:rPr>
        <w:t xml:space="preserve">As an interpretative method, literary historicism is vulnerable to the criticism that it is bad historiography, enthralled to anecdote and to a version of political history prefabricated for critical consumption. In ways that recall Barrington’s argument about Gower, Larry Scanlon asks: How can we extend historicism’s good work—keeping politics in the picture—by recovering “nuance,” that is, [End Page 368] a nuance conceived first and foremost as literary? In “Nothing </w:t>
      </w:r>
      <w:proofErr w:type="gramStart"/>
      <w:r w:rsidRPr="00C032C9">
        <w:rPr>
          <w:rFonts w:ascii="Garamond" w:hAnsi="Garamond"/>
        </w:rPr>
        <w:t>But</w:t>
      </w:r>
      <w:proofErr w:type="gramEnd"/>
      <w:r w:rsidRPr="00C032C9">
        <w:rPr>
          <w:rFonts w:ascii="Garamond" w:hAnsi="Garamond"/>
        </w:rPr>
        <w:t xml:space="preserve"> Change and Variance: The Problem of Hoccleve’s Poetics,” Scanlon meditates on the politics of medieval poetry and on the state of modern literary criticism. He argues that scholarship on Thomas Hoccleve, one of the fifteenth-century </w:t>
      </w:r>
      <w:proofErr w:type="spellStart"/>
      <w:r w:rsidRPr="00C032C9">
        <w:rPr>
          <w:rFonts w:ascii="Garamond" w:hAnsi="Garamond"/>
        </w:rPr>
        <w:t>Chaucerians</w:t>
      </w:r>
      <w:proofErr w:type="spellEnd"/>
      <w:r w:rsidRPr="00C032C9">
        <w:rPr>
          <w:rFonts w:ascii="Garamond" w:hAnsi="Garamond"/>
        </w:rPr>
        <w:t xml:space="preserve"> “recovered” by New Historicism, provides a perfect example of the historicist tendency to divide into two camps, reading the poet either as a political independent or a Lancastrian propagandist, and, correspondingly, as deeply subtle or embarrassingly crude. As Scanlon explains, these positions are useful insofar as they keep politics in the picture. They tend, however, to ignore the ways that ideological commitments are inscribed into literary structure, or else to graft onto medieval kingship an anachronistic view of citizenship, the constitution, and the state.</w:t>
      </w:r>
    </w:p>
    <w:p w:rsidR="00C032C9" w:rsidRPr="00C032C9" w:rsidRDefault="00C032C9" w:rsidP="00C032C9">
      <w:pPr>
        <w:pStyle w:val="NoSpacing"/>
        <w:spacing w:after="120"/>
        <w:rPr>
          <w:rFonts w:ascii="Garamond" w:hAnsi="Garamond"/>
        </w:rPr>
      </w:pPr>
      <w:r w:rsidRPr="00C032C9">
        <w:rPr>
          <w:rFonts w:ascii="Garamond" w:hAnsi="Garamond"/>
        </w:rPr>
        <w:t xml:space="preserve">According to Scanlon, these competing views of Hoccleve as political advocate or Lancastrian propagandist would be more nuanced if readers remembered that monarchy is constitutive of Hoccleve's poetics. For instance, by talking about Fortune, that most overworked of medieval tropes, within the context of his persona in the Regiment of </w:t>
      </w:r>
      <w:proofErr w:type="gramStart"/>
      <w:r w:rsidRPr="00C032C9">
        <w:rPr>
          <w:rFonts w:ascii="Garamond" w:hAnsi="Garamond"/>
        </w:rPr>
        <w:t>Princes,</w:t>
      </w:r>
      <w:proofErr w:type="gramEnd"/>
      <w:r w:rsidRPr="00C032C9">
        <w:rPr>
          <w:rFonts w:ascii="Garamond" w:hAnsi="Garamond"/>
        </w:rPr>
        <w:t xml:space="preserve"> Hoccleve calls attention to a fundamental rupture in political discourse. Although the worldly court is transitory, and mirrors for princes are by their very nature morally compromised, monarchy is the sole force holding everything together. In short, Scanlon argues, to stay sensitive to nuance in the face of history, we must remain uncomfortable with the narratives we create about the past, </w:t>
      </w:r>
      <w:proofErr w:type="spellStart"/>
      <w:r w:rsidRPr="00C032C9">
        <w:rPr>
          <w:rFonts w:ascii="Garamond" w:hAnsi="Garamond"/>
        </w:rPr>
        <w:t>narrratives</w:t>
      </w:r>
      <w:proofErr w:type="spellEnd"/>
      <w:r w:rsidRPr="00C032C9">
        <w:rPr>
          <w:rFonts w:ascii="Garamond" w:hAnsi="Garamond"/>
        </w:rPr>
        <w:t xml:space="preserve"> that may or may not align with our own aesthetic and political values.</w:t>
      </w:r>
    </w:p>
    <w:p w:rsidR="00C032C9" w:rsidRPr="00C032C9" w:rsidRDefault="00C032C9" w:rsidP="00C032C9">
      <w:pPr>
        <w:pStyle w:val="NoSpacing"/>
        <w:spacing w:after="120"/>
        <w:rPr>
          <w:rFonts w:ascii="Garamond" w:hAnsi="Garamond"/>
        </w:rPr>
      </w:pPr>
      <w:r w:rsidRPr="00C032C9">
        <w:rPr>
          <w:rFonts w:ascii="Garamond" w:hAnsi="Garamond"/>
        </w:rPr>
        <w:t xml:space="preserve">In “Benjamin, Dante, and the Modernity of the </w:t>
      </w:r>
      <w:proofErr w:type="gramStart"/>
      <w:r w:rsidRPr="00C032C9">
        <w:rPr>
          <w:rFonts w:ascii="Garamond" w:hAnsi="Garamond"/>
        </w:rPr>
        <w:t>Middle</w:t>
      </w:r>
      <w:proofErr w:type="gramEnd"/>
      <w:r w:rsidRPr="00C032C9">
        <w:rPr>
          <w:rFonts w:ascii="Garamond" w:hAnsi="Garamond"/>
        </w:rPr>
        <w:t xml:space="preserve"> Ages; or, Allegory as Urban Constellation,” Ethan Knapp likewise explores some of the stubborn oppositions in medieval studies that historicists have simultaneously intensified and sought to overcome. For Knapp as for Patterson, much critical tension revolves around the question of the modern. What does the category of the modern mean for scholars trying to figure out the relation between theoretical inquiry and a field of study bounded by period?17 As Knapp explains, medievalists often feel compelled to take sides, either defending the alterity of the Middle Ages or insisting on some kind of equivalence.</w:t>
      </w:r>
    </w:p>
    <w:p w:rsidR="00C032C9" w:rsidRPr="00C032C9" w:rsidRDefault="00C032C9" w:rsidP="00C032C9">
      <w:pPr>
        <w:pStyle w:val="NoSpacing"/>
        <w:spacing w:after="120"/>
        <w:rPr>
          <w:rFonts w:ascii="Garamond" w:hAnsi="Garamond"/>
        </w:rPr>
      </w:pPr>
      <w:r w:rsidRPr="00C032C9">
        <w:rPr>
          <w:rFonts w:ascii="Garamond" w:hAnsi="Garamond"/>
        </w:rPr>
        <w:t xml:space="preserve">Knapp argues that a road through this impasse can be found in the writings of Walter Benjamin, and specifically in Benjamin’s idea of [End Page 369] the modern—what Knapp terms a “philosophical constellation,” or a transportable form of experience. One instance of such a form is “urban allegory,” the moment in which the observer in the crowd attempts to isolate one person from the many. In Benjamin’s famous essay on Charles Baudelaire, this observer, or </w:t>
      </w:r>
      <w:proofErr w:type="spellStart"/>
      <w:r w:rsidRPr="00C032C9">
        <w:rPr>
          <w:rFonts w:ascii="Garamond" w:hAnsi="Garamond"/>
        </w:rPr>
        <w:t>flâneur</w:t>
      </w:r>
      <w:proofErr w:type="spellEnd"/>
      <w:r w:rsidRPr="00C032C9">
        <w:rPr>
          <w:rFonts w:ascii="Garamond" w:hAnsi="Garamond"/>
        </w:rPr>
        <w:t xml:space="preserve">, is the ideal modern, constantly inventing techniques to register the shock of the new, rather than falling back on, say, medieval allegorical </w:t>
      </w:r>
      <w:r w:rsidRPr="00C032C9">
        <w:rPr>
          <w:rFonts w:ascii="Garamond" w:hAnsi="Garamond"/>
        </w:rPr>
        <w:lastRenderedPageBreak/>
        <w:t xml:space="preserve">interpretation. But in his unfinished Arcades Project, Benjamin offers a richer idea of allegory as an urban art, which Benjamin also recognizes in Dante, and Knapp applies to the Vita </w:t>
      </w:r>
      <w:proofErr w:type="spellStart"/>
      <w:r w:rsidRPr="00C032C9">
        <w:rPr>
          <w:rFonts w:ascii="Garamond" w:hAnsi="Garamond"/>
        </w:rPr>
        <w:t>nuova</w:t>
      </w:r>
      <w:proofErr w:type="spellEnd"/>
      <w:r w:rsidRPr="00C032C9">
        <w:rPr>
          <w:rFonts w:ascii="Garamond" w:hAnsi="Garamond"/>
        </w:rPr>
        <w:t xml:space="preserve">. It is not simply that Benjamin has taken material from Dante; rather, Knapp sees in Dante’s people-watching in Florence—that is, in Dante’s desire to see Beatrice, and in the elaborate screens his narrator projects in the faces of other women—the experience of the modern </w:t>
      </w:r>
      <w:proofErr w:type="spellStart"/>
      <w:r w:rsidRPr="00C032C9">
        <w:rPr>
          <w:rFonts w:ascii="Garamond" w:hAnsi="Garamond"/>
        </w:rPr>
        <w:t>flâneur</w:t>
      </w:r>
      <w:proofErr w:type="spellEnd"/>
      <w:r w:rsidRPr="00C032C9">
        <w:rPr>
          <w:rFonts w:ascii="Garamond" w:hAnsi="Garamond"/>
        </w:rPr>
        <w:t xml:space="preserve">. Importantly, too, argues Knapp, this transportable form of urban art found in the Vita </w:t>
      </w:r>
      <w:proofErr w:type="spellStart"/>
      <w:r w:rsidRPr="00C032C9">
        <w:rPr>
          <w:rFonts w:ascii="Garamond" w:hAnsi="Garamond"/>
        </w:rPr>
        <w:t>nuova</w:t>
      </w:r>
      <w:proofErr w:type="spellEnd"/>
      <w:r w:rsidRPr="00C032C9">
        <w:rPr>
          <w:rFonts w:ascii="Garamond" w:hAnsi="Garamond"/>
        </w:rPr>
        <w:t xml:space="preserve"> effectively dismantles Benjamin’s periodization of allegory into the medieval and the Baroque. In this way, Knapp uses Benjamin, the author of modernity, as an example of how to negotiate productively between competing theories of modernity.</w:t>
      </w:r>
    </w:p>
    <w:p w:rsidR="00C032C9" w:rsidRPr="00C032C9" w:rsidRDefault="00C032C9" w:rsidP="00C032C9">
      <w:pPr>
        <w:pStyle w:val="NoSpacing"/>
        <w:spacing w:after="120"/>
        <w:rPr>
          <w:rFonts w:ascii="Garamond" w:hAnsi="Garamond"/>
        </w:rPr>
      </w:pPr>
      <w:r w:rsidRPr="00C032C9">
        <w:rPr>
          <w:rFonts w:ascii="Garamond" w:hAnsi="Garamond"/>
        </w:rPr>
        <w:t>Maura Nolan, also one of Patterson’s students, has written astutely on the folly of thinking we can abandon historicism altogether. In “Historicism after Historicism,” Nolan reminds us that</w:t>
      </w:r>
    </w:p>
    <w:p w:rsidR="00C032C9" w:rsidRPr="00C032C9" w:rsidRDefault="00C032C9" w:rsidP="00C032C9">
      <w:pPr>
        <w:pStyle w:val="NoSpacing"/>
        <w:spacing w:after="120"/>
        <w:rPr>
          <w:rFonts w:ascii="Garamond" w:hAnsi="Garamond"/>
        </w:rPr>
      </w:pPr>
      <w:proofErr w:type="gramStart"/>
      <w:r w:rsidRPr="00C032C9">
        <w:rPr>
          <w:rFonts w:ascii="Garamond" w:hAnsi="Garamond"/>
        </w:rPr>
        <w:t>early</w:t>
      </w:r>
      <w:proofErr w:type="gramEnd"/>
      <w:r w:rsidRPr="00C032C9">
        <w:rPr>
          <w:rFonts w:ascii="Garamond" w:hAnsi="Garamond"/>
        </w:rPr>
        <w:t xml:space="preserve"> historicist work took chances by insisting on the heterogeneity, variability, and sheer diversity of the Middle Ages—an insistence that is central to every revisionary account of medieval texts and practices, even though explicitly opposed to historicism. Whatever the faults of the latter, history—in all its shapes, discourses, forms, and styles—remains a central critical category for literary medievalists. History cannot be ignored, suppressed, or avoided. Indeed, history exerts a constant pressure on the literary work, just as form (literary form, cultural form, discursive or artistic form) shapes and </w:t>
      </w:r>
      <w:proofErr w:type="spellStart"/>
      <w:r w:rsidRPr="00C032C9">
        <w:rPr>
          <w:rFonts w:ascii="Garamond" w:hAnsi="Garamond"/>
        </w:rPr>
        <w:t>molds</w:t>
      </w:r>
      <w:proofErr w:type="spellEnd"/>
      <w:r w:rsidRPr="00C032C9">
        <w:rPr>
          <w:rFonts w:ascii="Garamond" w:hAnsi="Garamond"/>
        </w:rPr>
        <w:t xml:space="preserve"> history.18</w:t>
      </w:r>
    </w:p>
    <w:p w:rsidR="00C032C9" w:rsidRPr="00C032C9" w:rsidRDefault="00C032C9" w:rsidP="00C032C9">
      <w:pPr>
        <w:pStyle w:val="NoSpacing"/>
        <w:spacing w:after="120"/>
        <w:rPr>
          <w:rFonts w:ascii="Garamond" w:hAnsi="Garamond"/>
        </w:rPr>
      </w:pPr>
      <w:r w:rsidRPr="00C032C9">
        <w:rPr>
          <w:rFonts w:ascii="Garamond" w:hAnsi="Garamond"/>
        </w:rPr>
        <w:t>The essays in this volume pay tribute to Lee Patterson’s scholarship by exploring the mutual pressures exerted by history and form and by grappling with [End Page 370] history’s omnipresence. Taken together, they show how literary historicism, in the ways that Patterson and his contemporaries conceived it, continues to advance the study of medieval literature. [End Page 371]</w:t>
      </w:r>
    </w:p>
    <w:p w:rsidR="00C032C9" w:rsidRPr="00C032C9" w:rsidRDefault="00C032C9" w:rsidP="00C032C9">
      <w:pPr>
        <w:pStyle w:val="NoSpacing"/>
        <w:spacing w:after="120"/>
        <w:rPr>
          <w:rFonts w:ascii="Garamond" w:hAnsi="Garamond"/>
        </w:rPr>
      </w:pPr>
      <w:r w:rsidRPr="00C032C9">
        <w:rPr>
          <w:rFonts w:ascii="Garamond" w:hAnsi="Garamond"/>
        </w:rPr>
        <w:t>Candace Barrington is Professor of English at Central Connecticut State University.</w:t>
      </w:r>
    </w:p>
    <w:p w:rsidR="00C032C9" w:rsidRPr="00C032C9" w:rsidRDefault="00C032C9" w:rsidP="00C032C9">
      <w:pPr>
        <w:pStyle w:val="NoSpacing"/>
        <w:spacing w:after="120"/>
        <w:rPr>
          <w:rFonts w:ascii="Garamond" w:hAnsi="Garamond"/>
        </w:rPr>
      </w:pPr>
      <w:r w:rsidRPr="00C032C9">
        <w:rPr>
          <w:rFonts w:ascii="Garamond" w:hAnsi="Garamond"/>
        </w:rPr>
        <w:t>Emily Steiner is Associate Professor of English at the University of Pennsylvania.</w:t>
      </w:r>
    </w:p>
    <w:p w:rsidR="00C032C9" w:rsidRPr="00C032C9" w:rsidRDefault="00C032C9" w:rsidP="00C032C9">
      <w:pPr>
        <w:pStyle w:val="NoSpacing"/>
        <w:spacing w:after="120"/>
        <w:rPr>
          <w:rFonts w:ascii="Garamond" w:hAnsi="Garamond"/>
        </w:rPr>
      </w:pPr>
    </w:p>
    <w:p w:rsidR="00C032C9" w:rsidRPr="00C032C9" w:rsidRDefault="00C032C9" w:rsidP="00C032C9">
      <w:pPr>
        <w:pStyle w:val="NoSpacing"/>
        <w:spacing w:after="120"/>
        <w:rPr>
          <w:rFonts w:ascii="Garamond" w:hAnsi="Garamond"/>
          <w:b/>
        </w:rPr>
      </w:pPr>
      <w:r w:rsidRPr="00C032C9">
        <w:rPr>
          <w:rFonts w:ascii="Garamond" w:hAnsi="Garamond"/>
          <w:b/>
        </w:rPr>
        <w:t>Footnotes</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  Lee Patterson, Negotiating the Past: The Historical Understanding of Medieval Literature (Madison, </w:t>
      </w:r>
      <w:proofErr w:type="spellStart"/>
      <w:r w:rsidRPr="00C032C9">
        <w:rPr>
          <w:rFonts w:ascii="Garamond" w:hAnsi="Garamond"/>
          <w:sz w:val="20"/>
        </w:rPr>
        <w:t>Wisc</w:t>
      </w:r>
      <w:proofErr w:type="spellEnd"/>
      <w:r w:rsidRPr="00C032C9">
        <w:rPr>
          <w:rFonts w:ascii="Garamond" w:hAnsi="Garamond"/>
          <w:sz w:val="20"/>
        </w:rPr>
        <w:t xml:space="preserve">., 1987), and Chaucer and the Subject of History (Madison, </w:t>
      </w:r>
      <w:proofErr w:type="spellStart"/>
      <w:r w:rsidRPr="00C032C9">
        <w:rPr>
          <w:rFonts w:ascii="Garamond" w:hAnsi="Garamond"/>
          <w:sz w:val="20"/>
        </w:rPr>
        <w:t>Wisc</w:t>
      </w:r>
      <w:proofErr w:type="spellEnd"/>
      <w:r w:rsidRPr="00C032C9">
        <w:rPr>
          <w:rFonts w:ascii="Garamond" w:hAnsi="Garamond"/>
          <w:sz w:val="20"/>
        </w:rPr>
        <w:t>., 1991).</w:t>
      </w:r>
    </w:p>
    <w:p w:rsidR="00C032C9" w:rsidRPr="00C032C9" w:rsidRDefault="00C032C9" w:rsidP="00C032C9">
      <w:pPr>
        <w:pStyle w:val="NoSpacing"/>
        <w:spacing w:after="120"/>
        <w:rPr>
          <w:rFonts w:ascii="Garamond" w:hAnsi="Garamond"/>
          <w:sz w:val="20"/>
        </w:rPr>
      </w:pPr>
      <w:r w:rsidRPr="00C032C9">
        <w:rPr>
          <w:rFonts w:ascii="Garamond" w:hAnsi="Garamond"/>
          <w:sz w:val="20"/>
        </w:rPr>
        <w:t>2.  Lee Patterson, “On the Margin: Postmodernism, Ironic History, and Medieval Studies,” Speculum 65 (1990): 87–108.</w:t>
      </w:r>
    </w:p>
    <w:p w:rsidR="00C032C9" w:rsidRPr="00C032C9" w:rsidRDefault="00C032C9" w:rsidP="00C032C9">
      <w:pPr>
        <w:pStyle w:val="NoSpacing"/>
        <w:spacing w:after="120"/>
        <w:rPr>
          <w:rFonts w:ascii="Garamond" w:hAnsi="Garamond"/>
          <w:sz w:val="20"/>
        </w:rPr>
      </w:pPr>
      <w:r w:rsidRPr="00C032C9">
        <w:rPr>
          <w:rFonts w:ascii="Garamond" w:hAnsi="Garamond"/>
          <w:sz w:val="20"/>
        </w:rPr>
        <w:t>3.  Patterson, Chaucer and the Subject of History, 424–25.</w:t>
      </w:r>
    </w:p>
    <w:p w:rsidR="00C032C9" w:rsidRPr="00C032C9" w:rsidRDefault="00C032C9" w:rsidP="00C032C9">
      <w:pPr>
        <w:pStyle w:val="NoSpacing"/>
        <w:spacing w:after="120"/>
        <w:rPr>
          <w:rFonts w:ascii="Garamond" w:hAnsi="Garamond"/>
          <w:sz w:val="20"/>
        </w:rPr>
      </w:pPr>
      <w:r w:rsidRPr="00C032C9">
        <w:rPr>
          <w:rFonts w:ascii="Garamond" w:hAnsi="Garamond"/>
          <w:sz w:val="20"/>
        </w:rPr>
        <w:t>4.  See, for example, Elizabeth Scala and Sylvia Federico, eds., The Post-Historical Middle Ages (New York, 2009).</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5.  See, for example, David </w:t>
      </w:r>
      <w:proofErr w:type="spellStart"/>
      <w:r w:rsidRPr="00C032C9">
        <w:rPr>
          <w:rFonts w:ascii="Garamond" w:hAnsi="Garamond"/>
          <w:sz w:val="20"/>
        </w:rPr>
        <w:t>Aers</w:t>
      </w:r>
      <w:proofErr w:type="spellEnd"/>
      <w:r w:rsidRPr="00C032C9">
        <w:rPr>
          <w:rFonts w:ascii="Garamond" w:hAnsi="Garamond"/>
          <w:sz w:val="20"/>
        </w:rPr>
        <w:t xml:space="preserve">, Community, Gender and Individual Identity: English Writing 1360–1430 (London, 1988); Judith M. Bennett, Women in the Medieval English Countryside: Gender and Household in </w:t>
      </w:r>
      <w:proofErr w:type="spellStart"/>
      <w:r w:rsidRPr="00C032C9">
        <w:rPr>
          <w:rFonts w:ascii="Garamond" w:hAnsi="Garamond"/>
          <w:sz w:val="20"/>
        </w:rPr>
        <w:t>Brigstock</w:t>
      </w:r>
      <w:proofErr w:type="spellEnd"/>
      <w:r w:rsidRPr="00C032C9">
        <w:rPr>
          <w:rFonts w:ascii="Garamond" w:hAnsi="Garamond"/>
          <w:sz w:val="20"/>
        </w:rPr>
        <w:t xml:space="preserve"> before the Plague (Oxford, 1987); Carolyn </w:t>
      </w:r>
      <w:proofErr w:type="spellStart"/>
      <w:r w:rsidRPr="00C032C9">
        <w:rPr>
          <w:rFonts w:ascii="Garamond" w:hAnsi="Garamond"/>
          <w:sz w:val="20"/>
        </w:rPr>
        <w:t>Dinshaw</w:t>
      </w:r>
      <w:proofErr w:type="spellEnd"/>
      <w:r w:rsidRPr="00C032C9">
        <w:rPr>
          <w:rFonts w:ascii="Garamond" w:hAnsi="Garamond"/>
          <w:sz w:val="20"/>
        </w:rPr>
        <w:t xml:space="preserve">, Chaucer’s Sexual Poetics (Madison, </w:t>
      </w:r>
      <w:proofErr w:type="spellStart"/>
      <w:r w:rsidRPr="00C032C9">
        <w:rPr>
          <w:rFonts w:ascii="Garamond" w:hAnsi="Garamond"/>
          <w:sz w:val="20"/>
        </w:rPr>
        <w:t>Wisc</w:t>
      </w:r>
      <w:proofErr w:type="spellEnd"/>
      <w:r w:rsidRPr="00C032C9">
        <w:rPr>
          <w:rFonts w:ascii="Garamond" w:hAnsi="Garamond"/>
          <w:sz w:val="20"/>
        </w:rPr>
        <w:t xml:space="preserve">., 1989); Steven Justice, Writing and Rebellion: England in 1381 (Berkeley, 1994); and Paul </w:t>
      </w:r>
      <w:proofErr w:type="spellStart"/>
      <w:r w:rsidRPr="00C032C9">
        <w:rPr>
          <w:rFonts w:ascii="Garamond" w:hAnsi="Garamond"/>
          <w:sz w:val="20"/>
        </w:rPr>
        <w:t>Strohm</w:t>
      </w:r>
      <w:proofErr w:type="spellEnd"/>
      <w:r w:rsidRPr="00C032C9">
        <w:rPr>
          <w:rFonts w:ascii="Garamond" w:hAnsi="Garamond"/>
          <w:sz w:val="20"/>
        </w:rPr>
        <w:t>, Social Chaucer (Cambridge, Mass., 1989).</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6.  For examples of scholarship on affect, see Jeffrey Jerome Cohen, ed., The Postcolonial Middle Ages (New York, 2000); Jeffrey Jerome Cohen, ed., Animal, Mineral, Vegetable: Ethics and Objects (New York, 2012); Carolyn </w:t>
      </w:r>
      <w:proofErr w:type="spellStart"/>
      <w:r w:rsidRPr="00C032C9">
        <w:rPr>
          <w:rFonts w:ascii="Garamond" w:hAnsi="Garamond"/>
          <w:sz w:val="20"/>
        </w:rPr>
        <w:t>Dinshaw</w:t>
      </w:r>
      <w:proofErr w:type="spellEnd"/>
      <w:r w:rsidRPr="00C032C9">
        <w:rPr>
          <w:rFonts w:ascii="Garamond" w:hAnsi="Garamond"/>
          <w:sz w:val="20"/>
        </w:rPr>
        <w:t xml:space="preserve">, Getting Medieval: Sexualities and Communities, Pre- and Postmodern (Durham, N.C., 1999), and “Temporalities,” in Paul </w:t>
      </w:r>
      <w:proofErr w:type="spellStart"/>
      <w:r w:rsidRPr="00C032C9">
        <w:rPr>
          <w:rFonts w:ascii="Garamond" w:hAnsi="Garamond"/>
          <w:sz w:val="20"/>
        </w:rPr>
        <w:t>Strohm</w:t>
      </w:r>
      <w:proofErr w:type="spellEnd"/>
      <w:r w:rsidRPr="00C032C9">
        <w:rPr>
          <w:rFonts w:ascii="Garamond" w:hAnsi="Garamond"/>
          <w:sz w:val="20"/>
        </w:rPr>
        <w:t xml:space="preserve">, ed., Middle English: Oxford Twenty-First Century Approaches to Literature (Oxford, 2007), 107–23; and Stephanie </w:t>
      </w:r>
      <w:proofErr w:type="spellStart"/>
      <w:r w:rsidRPr="00C032C9">
        <w:rPr>
          <w:rFonts w:ascii="Garamond" w:hAnsi="Garamond"/>
          <w:sz w:val="20"/>
        </w:rPr>
        <w:t>Trigg</w:t>
      </w:r>
      <w:proofErr w:type="spellEnd"/>
      <w:r w:rsidRPr="00C032C9">
        <w:rPr>
          <w:rFonts w:ascii="Garamond" w:hAnsi="Garamond"/>
          <w:sz w:val="20"/>
        </w:rPr>
        <w:t xml:space="preserve">, Congenial Souls: Reading Chaucer from Medieval to Postmodern (Minneapolis, 2002). For examples of scholarship on ethics, see George Edmondson, The </w:t>
      </w:r>
      <w:proofErr w:type="spellStart"/>
      <w:r w:rsidRPr="00C032C9">
        <w:rPr>
          <w:rFonts w:ascii="Garamond" w:hAnsi="Garamond"/>
          <w:sz w:val="20"/>
        </w:rPr>
        <w:t>Neighboring</w:t>
      </w:r>
      <w:proofErr w:type="spellEnd"/>
      <w:r w:rsidRPr="00C032C9">
        <w:rPr>
          <w:rFonts w:ascii="Garamond" w:hAnsi="Garamond"/>
          <w:sz w:val="20"/>
        </w:rPr>
        <w:t xml:space="preserve"> Text: Chaucer, Boccaccio, </w:t>
      </w:r>
      <w:proofErr w:type="spellStart"/>
      <w:r w:rsidRPr="00C032C9">
        <w:rPr>
          <w:rFonts w:ascii="Garamond" w:hAnsi="Garamond"/>
          <w:sz w:val="20"/>
        </w:rPr>
        <w:t>Henryson</w:t>
      </w:r>
      <w:proofErr w:type="spellEnd"/>
      <w:r w:rsidRPr="00C032C9">
        <w:rPr>
          <w:rFonts w:ascii="Garamond" w:hAnsi="Garamond"/>
          <w:sz w:val="20"/>
        </w:rPr>
        <w:t xml:space="preserve"> (Notre Dame, 2011); L. O. </w:t>
      </w:r>
      <w:proofErr w:type="spellStart"/>
      <w:r w:rsidRPr="00C032C9">
        <w:rPr>
          <w:rFonts w:ascii="Garamond" w:hAnsi="Garamond"/>
          <w:sz w:val="20"/>
        </w:rPr>
        <w:t>Aranye</w:t>
      </w:r>
      <w:proofErr w:type="spellEnd"/>
      <w:r w:rsidRPr="00C032C9">
        <w:rPr>
          <w:rFonts w:ascii="Garamond" w:hAnsi="Garamond"/>
          <w:sz w:val="20"/>
        </w:rPr>
        <w:t xml:space="preserve"> </w:t>
      </w:r>
      <w:proofErr w:type="spellStart"/>
      <w:r w:rsidRPr="00C032C9">
        <w:rPr>
          <w:rFonts w:ascii="Garamond" w:hAnsi="Garamond"/>
          <w:sz w:val="20"/>
        </w:rPr>
        <w:t>Fradenburg</w:t>
      </w:r>
      <w:proofErr w:type="spellEnd"/>
      <w:r w:rsidRPr="00C032C9">
        <w:rPr>
          <w:rFonts w:ascii="Garamond" w:hAnsi="Garamond"/>
          <w:sz w:val="20"/>
        </w:rPr>
        <w:t xml:space="preserve">, Sacrifice Your Love: Psychoanalysis, Historicism, Chaucer (Minneapolis, 2002); and Kellie Robertson, “Medieval Things: Materiality, Historicity, and the </w:t>
      </w:r>
      <w:proofErr w:type="spellStart"/>
      <w:r w:rsidRPr="00C032C9">
        <w:rPr>
          <w:rFonts w:ascii="Garamond" w:hAnsi="Garamond"/>
          <w:sz w:val="20"/>
        </w:rPr>
        <w:t>Premodern</w:t>
      </w:r>
      <w:proofErr w:type="spellEnd"/>
      <w:r w:rsidRPr="00C032C9">
        <w:rPr>
          <w:rFonts w:ascii="Garamond" w:hAnsi="Garamond"/>
          <w:sz w:val="20"/>
        </w:rPr>
        <w:t xml:space="preserve"> Object,” Literature Compass 5 (2008): 1060–80.</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7.  See, as examples, Susan Crane, Animal Encounters in Medieval Britain (Philadelphia, 2012); Barbara A. </w:t>
      </w:r>
      <w:proofErr w:type="spellStart"/>
      <w:r w:rsidRPr="00C032C9">
        <w:rPr>
          <w:rFonts w:ascii="Garamond" w:hAnsi="Garamond"/>
          <w:sz w:val="20"/>
        </w:rPr>
        <w:t>Hanawalt</w:t>
      </w:r>
      <w:proofErr w:type="spellEnd"/>
      <w:r w:rsidRPr="00C032C9">
        <w:rPr>
          <w:rFonts w:ascii="Garamond" w:hAnsi="Garamond"/>
          <w:sz w:val="20"/>
        </w:rPr>
        <w:t xml:space="preserve"> and Lisa J. Kiser, eds., Engaging with Nature: Essays on the Natural World in Medieval and Early Modern Europe (Notre Dame, 2008); Michelle Karnes, Imagination, Meditation, and Cognition in the Middle Ages (Chicago, 2011); Sarah </w:t>
      </w:r>
      <w:proofErr w:type="spellStart"/>
      <w:r w:rsidRPr="00C032C9">
        <w:rPr>
          <w:rFonts w:ascii="Garamond" w:hAnsi="Garamond"/>
          <w:sz w:val="20"/>
        </w:rPr>
        <w:t>McNamer</w:t>
      </w:r>
      <w:proofErr w:type="spellEnd"/>
      <w:r w:rsidRPr="00C032C9">
        <w:rPr>
          <w:rFonts w:ascii="Garamond" w:hAnsi="Garamond"/>
          <w:sz w:val="20"/>
        </w:rPr>
        <w:t>, Affective Meditation and the Invention of Medieval Compassion (Philadelphia, 2010); J. Allan Mitchell, Ethics and Eventfulness in Middle English Literature (New York, 2009); Jessica Rosenfeld, Ethics and Enjoyment in Late Medieval Poetry: Love After Aristotle (Cambridge, U.K., 2010); and Karl Steel, How To Make a Human: Animals and Violence in the Middle Ages (Columbus, Oh., 2011).</w:t>
      </w:r>
    </w:p>
    <w:p w:rsidR="00C032C9" w:rsidRPr="00C032C9" w:rsidRDefault="00C032C9" w:rsidP="00C032C9">
      <w:pPr>
        <w:pStyle w:val="NoSpacing"/>
        <w:spacing w:after="120"/>
        <w:rPr>
          <w:rFonts w:ascii="Garamond" w:hAnsi="Garamond"/>
          <w:sz w:val="20"/>
        </w:rPr>
      </w:pPr>
      <w:r w:rsidRPr="00C032C9">
        <w:rPr>
          <w:rFonts w:ascii="Garamond" w:hAnsi="Garamond"/>
          <w:sz w:val="20"/>
        </w:rPr>
        <w:lastRenderedPageBreak/>
        <w:t>8.  See Robert J. Meyer-Lee’s essay in this volume, 391.</w:t>
      </w:r>
    </w:p>
    <w:p w:rsidR="00C032C9" w:rsidRPr="00C032C9" w:rsidRDefault="00C032C9" w:rsidP="00C032C9">
      <w:pPr>
        <w:pStyle w:val="NoSpacing"/>
        <w:spacing w:after="120"/>
        <w:rPr>
          <w:rFonts w:ascii="Garamond" w:hAnsi="Garamond"/>
          <w:sz w:val="20"/>
        </w:rPr>
      </w:pPr>
      <w:r w:rsidRPr="00C032C9">
        <w:rPr>
          <w:rFonts w:ascii="Garamond" w:hAnsi="Garamond"/>
          <w:sz w:val="20"/>
        </w:rPr>
        <w:t>9.  See, for example, Lisa H. Cooper and Andrea Denny-Brown, eds., Lydgate Matters: Poetry and Material Culture in the Fifteenth Century (New York, 2008); Ethan Knapp, The Bureaucratic Muse: Thomas Hoccleve and the Literature of Late Medieval England (University Park, Penn., 2001); Robert J. Meyer-Lee, Poets and Power from Chaucer to Wyatt (Cambridge, U.K., 2007); Maura Nolan, John Lydgate and the Making of Public Culture (Cambridge, U.K., 2005); and Larry Scanlon’s essay in this volume.</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10.  See, for example, Anne Middleton, “The Idea of Public Poetry in the Reign of Richard II,” Speculum 53 (1978): 94–114, and “Acts of Vagrancy: The C Version ‘Autobiography’ and the Statute of 1388,” in Steven Justice and Kathryn </w:t>
      </w:r>
      <w:proofErr w:type="spellStart"/>
      <w:r w:rsidRPr="00C032C9">
        <w:rPr>
          <w:rFonts w:ascii="Garamond" w:hAnsi="Garamond"/>
          <w:sz w:val="20"/>
        </w:rPr>
        <w:t>Kerby</w:t>
      </w:r>
      <w:proofErr w:type="spellEnd"/>
      <w:r w:rsidRPr="00C032C9">
        <w:rPr>
          <w:rFonts w:ascii="Garamond" w:hAnsi="Garamond"/>
          <w:sz w:val="20"/>
        </w:rPr>
        <w:t xml:space="preserve">-Fulton, eds., Written Work: Langland, </w:t>
      </w:r>
      <w:proofErr w:type="spellStart"/>
      <w:r w:rsidRPr="00C032C9">
        <w:rPr>
          <w:rFonts w:ascii="Garamond" w:hAnsi="Garamond"/>
          <w:sz w:val="20"/>
        </w:rPr>
        <w:t>Labor</w:t>
      </w:r>
      <w:proofErr w:type="spellEnd"/>
      <w:r w:rsidRPr="00C032C9">
        <w:rPr>
          <w:rFonts w:ascii="Garamond" w:hAnsi="Garamond"/>
          <w:sz w:val="20"/>
        </w:rPr>
        <w:t xml:space="preserve"> and Authorship (Philadelphia, 1997), 208–317.</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11.  See, for example, Lynn Staley, Margery </w:t>
      </w:r>
      <w:proofErr w:type="spellStart"/>
      <w:r w:rsidRPr="00C032C9">
        <w:rPr>
          <w:rFonts w:ascii="Garamond" w:hAnsi="Garamond"/>
          <w:sz w:val="20"/>
        </w:rPr>
        <w:t>Kempe’s</w:t>
      </w:r>
      <w:proofErr w:type="spellEnd"/>
      <w:r w:rsidRPr="00C032C9">
        <w:rPr>
          <w:rFonts w:ascii="Garamond" w:hAnsi="Garamond"/>
          <w:sz w:val="20"/>
        </w:rPr>
        <w:t xml:space="preserve"> Dissenting Fictions (University Park, Penn., 1994); Catherine </w:t>
      </w:r>
      <w:proofErr w:type="spellStart"/>
      <w:r w:rsidRPr="00C032C9">
        <w:rPr>
          <w:rFonts w:ascii="Garamond" w:hAnsi="Garamond"/>
          <w:sz w:val="20"/>
        </w:rPr>
        <w:t>Sanok</w:t>
      </w:r>
      <w:proofErr w:type="spellEnd"/>
      <w:r w:rsidRPr="00C032C9">
        <w:rPr>
          <w:rFonts w:ascii="Garamond" w:hAnsi="Garamond"/>
          <w:sz w:val="20"/>
        </w:rPr>
        <w:t>, Her Life Historical: Exemplarity and Female Saints’ Lives in Late Medieval England (Philadelphia, 2007); and David Wallace, Strong Women: Life, Text, and Territory, 1347–1645 (Oxford, 2011).</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12.  See, for example, Rita Copeland, Pedagogy, Intellectuals, and Dissent in the Later Middle Ages: </w:t>
      </w:r>
      <w:proofErr w:type="spellStart"/>
      <w:r w:rsidRPr="00C032C9">
        <w:rPr>
          <w:rFonts w:ascii="Garamond" w:hAnsi="Garamond"/>
          <w:sz w:val="20"/>
        </w:rPr>
        <w:t>Lollardy</w:t>
      </w:r>
      <w:proofErr w:type="spellEnd"/>
      <w:r w:rsidRPr="00C032C9">
        <w:rPr>
          <w:rFonts w:ascii="Garamond" w:hAnsi="Garamond"/>
          <w:sz w:val="20"/>
        </w:rPr>
        <w:t xml:space="preserve"> and Ideas of Learning (Cambridge, U.K., 2001); Anne Middleton, “Acts of Vagrancy”; and Paul </w:t>
      </w:r>
      <w:proofErr w:type="spellStart"/>
      <w:r w:rsidRPr="00C032C9">
        <w:rPr>
          <w:rFonts w:ascii="Garamond" w:hAnsi="Garamond"/>
          <w:sz w:val="20"/>
        </w:rPr>
        <w:t>Strohm</w:t>
      </w:r>
      <w:proofErr w:type="spellEnd"/>
      <w:r w:rsidRPr="00C032C9">
        <w:rPr>
          <w:rFonts w:ascii="Garamond" w:hAnsi="Garamond"/>
          <w:sz w:val="20"/>
        </w:rPr>
        <w:t xml:space="preserve">, </w:t>
      </w:r>
      <w:proofErr w:type="spellStart"/>
      <w:r w:rsidRPr="00C032C9">
        <w:rPr>
          <w:rFonts w:ascii="Garamond" w:hAnsi="Garamond"/>
          <w:sz w:val="20"/>
        </w:rPr>
        <w:t>Hochon’s</w:t>
      </w:r>
      <w:proofErr w:type="spellEnd"/>
      <w:r w:rsidRPr="00C032C9">
        <w:rPr>
          <w:rFonts w:ascii="Garamond" w:hAnsi="Garamond"/>
          <w:sz w:val="20"/>
        </w:rPr>
        <w:t xml:space="preserve"> Arrow: The Social Imagination of Fourteenth-Century Texts (Princeton, 1992).</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13.  Matthew Giancarlo, Parliament and Literature in Late Medieval England (Cambridge, U.K., 2007); Sheila </w:t>
      </w:r>
      <w:proofErr w:type="spellStart"/>
      <w:r w:rsidRPr="00C032C9">
        <w:rPr>
          <w:rFonts w:ascii="Garamond" w:hAnsi="Garamond"/>
          <w:sz w:val="20"/>
        </w:rPr>
        <w:t>Lindenbaum</w:t>
      </w:r>
      <w:proofErr w:type="spellEnd"/>
      <w:r w:rsidRPr="00C032C9">
        <w:rPr>
          <w:rFonts w:ascii="Garamond" w:hAnsi="Garamond"/>
          <w:sz w:val="20"/>
        </w:rPr>
        <w:t xml:space="preserve">, “London Texts and Literate Practice,” in David Wallace, ed., Cambridge History of Medieval English Literature (Cambridge, U.K., 1999), 284–309; Wendy </w:t>
      </w:r>
      <w:proofErr w:type="spellStart"/>
      <w:r w:rsidRPr="00C032C9">
        <w:rPr>
          <w:rFonts w:ascii="Garamond" w:hAnsi="Garamond"/>
          <w:sz w:val="20"/>
        </w:rPr>
        <w:t>Scase</w:t>
      </w:r>
      <w:proofErr w:type="spellEnd"/>
      <w:r w:rsidRPr="00C032C9">
        <w:rPr>
          <w:rFonts w:ascii="Garamond" w:hAnsi="Garamond"/>
          <w:sz w:val="20"/>
        </w:rPr>
        <w:t>, Literature and Complaint in England, 1272–1553 (Oxford, 2007); and Emily Steiner, Documentary Culture and the Making of Medieval English Literature (Cambridge, U.K., 2003).</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14.  Patterson’s brilliant analysis of the Theban </w:t>
      </w:r>
      <w:proofErr w:type="spellStart"/>
      <w:r w:rsidRPr="00C032C9">
        <w:rPr>
          <w:rFonts w:ascii="Garamond" w:hAnsi="Garamond"/>
          <w:sz w:val="20"/>
        </w:rPr>
        <w:t>recursiveness</w:t>
      </w:r>
      <w:proofErr w:type="spellEnd"/>
      <w:r w:rsidRPr="00C032C9">
        <w:rPr>
          <w:rFonts w:ascii="Garamond" w:hAnsi="Garamond"/>
          <w:sz w:val="20"/>
        </w:rPr>
        <w:t xml:space="preserve"> that underpins Trojan history in Chaucer’s Troilus and Criseyde exemplifies this approach (Chaucer and the Subject of History, 84–164).</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15.  See Christine </w:t>
      </w:r>
      <w:proofErr w:type="spellStart"/>
      <w:r w:rsidRPr="00C032C9">
        <w:rPr>
          <w:rFonts w:ascii="Garamond" w:hAnsi="Garamond"/>
          <w:sz w:val="20"/>
        </w:rPr>
        <w:t>Chism’s</w:t>
      </w:r>
      <w:proofErr w:type="spellEnd"/>
      <w:r w:rsidRPr="00C032C9">
        <w:rPr>
          <w:rFonts w:ascii="Garamond" w:hAnsi="Garamond"/>
          <w:sz w:val="20"/>
        </w:rPr>
        <w:t xml:space="preserve"> essay in this volume, 462.</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16.  See, for example, </w:t>
      </w:r>
      <w:proofErr w:type="spellStart"/>
      <w:r w:rsidRPr="00C032C9">
        <w:rPr>
          <w:rFonts w:ascii="Garamond" w:hAnsi="Garamond"/>
          <w:sz w:val="20"/>
        </w:rPr>
        <w:t>Ardis</w:t>
      </w:r>
      <w:proofErr w:type="spellEnd"/>
      <w:r w:rsidRPr="00C032C9">
        <w:rPr>
          <w:rFonts w:ascii="Garamond" w:hAnsi="Garamond"/>
          <w:sz w:val="20"/>
        </w:rPr>
        <w:t xml:space="preserve"> Butterfield, The Familiar Enemy: Chaucer, Language, and Nation in the Hundred Years War (Oxford, 2009); and Jocelyn </w:t>
      </w:r>
      <w:proofErr w:type="spellStart"/>
      <w:r w:rsidRPr="00C032C9">
        <w:rPr>
          <w:rFonts w:ascii="Garamond" w:hAnsi="Garamond"/>
          <w:sz w:val="20"/>
        </w:rPr>
        <w:t>Wogan</w:t>
      </w:r>
      <w:proofErr w:type="spellEnd"/>
      <w:r w:rsidRPr="00C032C9">
        <w:rPr>
          <w:rFonts w:ascii="Garamond" w:hAnsi="Garamond"/>
          <w:sz w:val="20"/>
        </w:rPr>
        <w:t>-Browne, ed., Language and Culture in Medieval Britain: The French of England, c.1100–c.1500 (Woodbridge, 2009).</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17.  See Andrew Cole and D. Vance Smith, eds., </w:t>
      </w:r>
      <w:proofErr w:type="gramStart"/>
      <w:r w:rsidRPr="00C032C9">
        <w:rPr>
          <w:rFonts w:ascii="Garamond" w:hAnsi="Garamond"/>
          <w:sz w:val="20"/>
        </w:rPr>
        <w:t>The</w:t>
      </w:r>
      <w:proofErr w:type="gramEnd"/>
      <w:r w:rsidRPr="00C032C9">
        <w:rPr>
          <w:rFonts w:ascii="Garamond" w:hAnsi="Garamond"/>
          <w:sz w:val="20"/>
        </w:rPr>
        <w:t xml:space="preserve"> Legitimacy of the Middle Ages: On the Unwritten History of Theory (Durham, N. C., 2010); and Bruce </w:t>
      </w:r>
      <w:proofErr w:type="spellStart"/>
      <w:r w:rsidRPr="00C032C9">
        <w:rPr>
          <w:rFonts w:ascii="Garamond" w:hAnsi="Garamond"/>
          <w:sz w:val="20"/>
        </w:rPr>
        <w:t>Holsinger</w:t>
      </w:r>
      <w:proofErr w:type="spellEnd"/>
      <w:r w:rsidRPr="00C032C9">
        <w:rPr>
          <w:rFonts w:ascii="Garamond" w:hAnsi="Garamond"/>
          <w:sz w:val="20"/>
        </w:rPr>
        <w:t xml:space="preserve">, The </w:t>
      </w:r>
      <w:proofErr w:type="spellStart"/>
      <w:r w:rsidRPr="00C032C9">
        <w:rPr>
          <w:rFonts w:ascii="Garamond" w:hAnsi="Garamond"/>
          <w:sz w:val="20"/>
        </w:rPr>
        <w:t>Premodern</w:t>
      </w:r>
      <w:proofErr w:type="spellEnd"/>
      <w:r w:rsidRPr="00C032C9">
        <w:rPr>
          <w:rFonts w:ascii="Garamond" w:hAnsi="Garamond"/>
          <w:sz w:val="20"/>
        </w:rPr>
        <w:t xml:space="preserve"> Condition: Medievalism and </w:t>
      </w:r>
      <w:bookmarkStart w:id="0" w:name="_GoBack"/>
      <w:bookmarkEnd w:id="0"/>
      <w:r w:rsidRPr="00C032C9">
        <w:rPr>
          <w:rFonts w:ascii="Garamond" w:hAnsi="Garamond"/>
          <w:sz w:val="20"/>
        </w:rPr>
        <w:t>the Making of Theory (Chicago, 2005).</w:t>
      </w:r>
    </w:p>
    <w:p w:rsidR="00C032C9" w:rsidRPr="00C032C9" w:rsidRDefault="00C032C9" w:rsidP="00C032C9">
      <w:pPr>
        <w:pStyle w:val="NoSpacing"/>
        <w:spacing w:after="120"/>
        <w:rPr>
          <w:rFonts w:ascii="Garamond" w:hAnsi="Garamond"/>
          <w:sz w:val="20"/>
        </w:rPr>
      </w:pPr>
      <w:r w:rsidRPr="00C032C9">
        <w:rPr>
          <w:rFonts w:ascii="Garamond" w:hAnsi="Garamond"/>
          <w:sz w:val="20"/>
        </w:rPr>
        <w:t xml:space="preserve">18.  Maura Nolan, “Historicism after Historicism,” in Scala and Federico, eds., </w:t>
      </w:r>
      <w:proofErr w:type="gramStart"/>
      <w:r w:rsidRPr="00C032C9">
        <w:rPr>
          <w:rFonts w:ascii="Garamond" w:hAnsi="Garamond"/>
          <w:sz w:val="20"/>
        </w:rPr>
        <w:t>The</w:t>
      </w:r>
      <w:proofErr w:type="gramEnd"/>
      <w:r w:rsidRPr="00C032C9">
        <w:rPr>
          <w:rFonts w:ascii="Garamond" w:hAnsi="Garamond"/>
          <w:sz w:val="20"/>
        </w:rPr>
        <w:t xml:space="preserve"> Post-Historical Middle Ages, 63–85, at 63.</w:t>
      </w:r>
    </w:p>
    <w:p w:rsidR="00F306A5" w:rsidRPr="00C032C9" w:rsidRDefault="00C032C9" w:rsidP="00C032C9">
      <w:pPr>
        <w:pStyle w:val="NoSpacing"/>
        <w:spacing w:after="120"/>
        <w:rPr>
          <w:rFonts w:ascii="Garamond" w:hAnsi="Garamond"/>
          <w:sz w:val="20"/>
        </w:rPr>
      </w:pPr>
      <w:r w:rsidRPr="00C032C9">
        <w:rPr>
          <w:rFonts w:ascii="Garamond" w:hAnsi="Garamond"/>
          <w:sz w:val="20"/>
        </w:rPr>
        <w:t xml:space="preserve">Copyright © 2014 </w:t>
      </w:r>
      <w:proofErr w:type="gramStart"/>
      <w:r w:rsidRPr="00C032C9">
        <w:rPr>
          <w:rFonts w:ascii="Garamond" w:hAnsi="Garamond"/>
          <w:sz w:val="20"/>
        </w:rPr>
        <w:t>The</w:t>
      </w:r>
      <w:proofErr w:type="gramEnd"/>
      <w:r w:rsidRPr="00C032C9">
        <w:rPr>
          <w:rFonts w:ascii="Garamond" w:hAnsi="Garamond"/>
          <w:sz w:val="20"/>
        </w:rPr>
        <w:t xml:space="preserve"> Pennsylvania State University, University Park, PA</w:t>
      </w:r>
    </w:p>
    <w:sectPr w:rsidR="00F306A5" w:rsidRPr="00C032C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Perpetua Titling MT">
    <w:panose1 w:val="02020502060505020804"/>
    <w:charset w:val="00"/>
    <w:family w:val="roman"/>
    <w:pitch w:val="variable"/>
    <w:sig w:usb0="00000003" w:usb1="00000000" w:usb2="00000000" w:usb3="00000000" w:csb0="00000001" w:csb1="00000000"/>
  </w:font>
  <w:font w:name="Garamond">
    <w:panose1 w:val="020204040303010108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5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32C9"/>
    <w:rsid w:val="00C032C9"/>
    <w:rsid w:val="00F306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2C9"/>
    <w:pPr>
      <w:spacing w:after="0" w:line="240" w:lineRule="auto"/>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C032C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4131</Words>
  <Characters>23551</Characters>
  <Application>Microsoft Office Word</Application>
  <DocSecurity>0</DocSecurity>
  <Lines>196</Lines>
  <Paragraphs>55</Paragraphs>
  <ScaleCrop>false</ScaleCrop>
  <Company/>
  <LinksUpToDate>false</LinksUpToDate>
  <CharactersWithSpaces>27627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cp:lastPrinted>2015-04-07T14:43:00Z</cp:lastPrinted>
  <dcterms:created xsi:type="dcterms:W3CDTF">2015-04-07T14:39:00Z</dcterms:created>
  <dcterms:modified xsi:type="dcterms:W3CDTF">2015-04-07T14:43:00Z</dcterms:modified>
</cp:coreProperties>
</file>