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rFonts w:ascii="Times New Roman" w:cs="Times New Roman" w:hAnsi="Times New Roman" w:eastAsia="Times New Roman"/>
          <w:b w:val="1"/>
          <w:bCs w:val="1"/>
          <w:sz w:val="24"/>
          <w:szCs w:val="24"/>
        </w:rPr>
      </w:pPr>
    </w:p>
    <w:tbl>
      <w:tblPr>
        <w:tblW w:w="594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3827"/>
      </w:tblGrid>
      <w:tr>
        <w:tblPrEx>
          <w:shd w:val="clear" w:color="auto" w:fill="cdd4e9"/>
        </w:tblPrEx>
        <w:trPr>
          <w:trHeight w:val="2015"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after="160" w:line="259" w:lineRule="auto"/>
              <w:ind w:left="0" w:right="0" w:firstLine="0"/>
              <w:jc w:val="left"/>
              <w:rPr>
                <w:rtl w:val="0"/>
              </w:rPr>
            </w:pPr>
            <w:r>
              <w:rPr>
                <w:rFonts w:ascii="Calibri" w:cs="Calibri" w:hAnsi="Calibri" w:eastAsia="Calibri"/>
                <w:sz w:val="22"/>
                <w:szCs w:val="22"/>
                <w:u w:color="000000"/>
                <w:rtl w:val="0"/>
                <w:lang w:val="en-US"/>
                <w14:textOutline w14:w="12700" w14:cap="flat">
                  <w14:noFill/>
                  <w14:miter w14:lim="400000"/>
                </w14:textOutline>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Fonts w:ascii="Times New Roman" w:cs="Times New Roman" w:hAnsi="Times New Roman" w:eastAsia="Times New Roman"/>
                <w:b w:val="1"/>
                <w:bCs w:val="1"/>
                <w:sz w:val="40"/>
                <w:szCs w:val="40"/>
                <w:u w:color="000000"/>
                <w:rtl w:val="0"/>
                <w:lang w:val="en-US"/>
                <w14:textOutline w14:w="12700" w14:cap="flat">
                  <w14:noFill/>
                  <w14:miter w14:lim="400000"/>
                </w14:textOutline>
              </w:rPr>
            </w:pPr>
          </w:p>
          <w:p>
            <w:pPr>
              <w:pStyle w:val="Default"/>
              <w:jc w:val="center"/>
              <w:rPr>
                <w:rFonts w:ascii="Times New Roman" w:cs="Times New Roman" w:hAnsi="Times New Roman" w:eastAsia="Times New Roman"/>
                <w:b w:val="1"/>
                <w:bCs w:val="1"/>
                <w:sz w:val="40"/>
                <w:szCs w:val="40"/>
                <w:u w:color="000000"/>
                <w14:textOutline w14:w="12700" w14:cap="flat">
                  <w14:noFill/>
                  <w14:miter w14:lim="400000"/>
                </w14:textOutline>
              </w:rPr>
            </w:pPr>
            <w:r>
              <w:rPr>
                <w:rFonts w:ascii="Times New Roman" w:hAnsi="Times New Roman"/>
                <w:b w:val="1"/>
                <w:bCs w:val="1"/>
                <w:sz w:val="40"/>
                <w:szCs w:val="40"/>
                <w:u w:color="000000"/>
                <w:rtl w:val="0"/>
                <w:lang w:val="en-US"/>
                <w14:textOutline w14:w="12700" w14:cap="flat">
                  <w14:noFill/>
                  <w14:miter w14:lim="400000"/>
                </w14:textOutline>
              </w:rPr>
              <w:t>University of Wales</w:t>
            </w:r>
          </w:p>
          <w:p>
            <w:pPr>
              <w:pStyle w:val="Default"/>
              <w:jc w:val="center"/>
            </w:pPr>
            <w:r>
              <w:rPr>
                <w:rFonts w:ascii="Times New Roman" w:hAnsi="Times New Roman"/>
                <w:b w:val="1"/>
                <w:bCs w:val="1"/>
                <w:sz w:val="40"/>
                <w:szCs w:val="40"/>
                <w:u w:color="000000"/>
                <w:rtl w:val="0"/>
                <w:lang w:val="en-US"/>
                <w14:textOutline w14:w="12700" w14:cap="flat">
                  <w14:noFill/>
                  <w14:miter w14:lim="400000"/>
                </w14:textOutline>
              </w:rPr>
              <w:t>Trinity Saint David</w:t>
            </w:r>
          </w:p>
        </w:tc>
      </w:tr>
    </w:tbl>
    <w:p>
      <w:pPr>
        <w:pStyle w:val="Body"/>
        <w:spacing w:line="480" w:lineRule="auto"/>
        <w:jc w:val="center"/>
        <w:rPr>
          <w:rFonts w:ascii="Times New Roman" w:cs="Times New Roman" w:hAnsi="Times New Roman" w:eastAsia="Times New Roman"/>
          <w:b w:val="1"/>
          <w:bCs w:val="1"/>
          <w:sz w:val="24"/>
          <w:szCs w:val="24"/>
        </w:rPr>
      </w:pPr>
    </w:p>
    <w:p>
      <w:pPr>
        <w:pStyle w:val="Body"/>
        <w:spacing w:line="480" w:lineRule="auto"/>
        <w:jc w:val="center"/>
        <w:rPr>
          <w:rFonts w:ascii="Times New Roman" w:cs="Times New Roman" w:hAnsi="Times New Roman" w:eastAsia="Times New Roman"/>
          <w:b w:val="1"/>
          <w:bCs w:val="1"/>
          <w:sz w:val="30"/>
          <w:szCs w:val="30"/>
        </w:rPr>
      </w:pPr>
    </w:p>
    <w:p>
      <w:pPr>
        <w:pStyle w:val="Body"/>
        <w:spacing w:line="240" w:lineRule="auto"/>
        <w:jc w:val="center"/>
        <w:rPr>
          <w:rFonts w:ascii="Times New Roman" w:cs="Times New Roman" w:hAnsi="Times New Roman" w:eastAsia="Times New Roman"/>
          <w:b w:val="1"/>
          <w:bCs w:val="1"/>
          <w:sz w:val="30"/>
          <w:szCs w:val="30"/>
        </w:rPr>
      </w:pPr>
      <w:r>
        <w:rPr>
          <w:rFonts w:ascii="Times New Roman" w:hAnsi="Times New Roman"/>
          <w:b w:val="1"/>
          <w:bCs w:val="1"/>
          <w:sz w:val="30"/>
          <w:szCs w:val="30"/>
          <w:rtl w:val="0"/>
          <w:lang w:val="en-US"/>
        </w:rPr>
        <w:t>BA Business Management</w:t>
      </w:r>
    </w:p>
    <w:p>
      <w:pPr>
        <w:pStyle w:val="Body"/>
        <w:spacing w:line="240" w:lineRule="auto"/>
        <w:jc w:val="center"/>
        <w:rPr>
          <w:rFonts w:ascii="Times New Roman" w:cs="Times New Roman" w:hAnsi="Times New Roman" w:eastAsia="Times New Roman"/>
          <w:b w:val="1"/>
          <w:bCs w:val="1"/>
          <w:sz w:val="30"/>
          <w:szCs w:val="30"/>
        </w:rPr>
      </w:pPr>
      <w:r>
        <w:rPr>
          <w:rFonts w:ascii="Times New Roman" w:hAnsi="Times New Roman"/>
          <w:b w:val="1"/>
          <w:bCs w:val="1"/>
          <w:sz w:val="30"/>
          <w:szCs w:val="30"/>
          <w:rtl w:val="0"/>
          <w:lang w:val="en-US"/>
        </w:rPr>
        <w:t>Internal Financial Management</w:t>
      </w:r>
    </w:p>
    <w:p>
      <w:pPr>
        <w:pStyle w:val="Body"/>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MC: LCBB6002</w:t>
      </w:r>
    </w:p>
    <w:p>
      <w:pPr>
        <w:pStyle w:val="Body"/>
        <w:spacing w:line="240" w:lineRule="auto"/>
        <w:jc w:val="center"/>
        <w:rPr>
          <w:rFonts w:ascii="Times New Roman" w:cs="Times New Roman" w:hAnsi="Times New Roman" w:eastAsia="Times New Roman"/>
          <w:b w:val="1"/>
          <w:bCs w:val="1"/>
          <w:sz w:val="30"/>
          <w:szCs w:val="30"/>
        </w:rPr>
      </w:pPr>
      <w:r>
        <w:rPr>
          <w:rFonts w:ascii="Times New Roman" w:hAnsi="Times New Roman"/>
          <w:b w:val="1"/>
          <w:bCs w:val="1"/>
          <w:sz w:val="30"/>
          <w:szCs w:val="30"/>
          <w:rtl w:val="0"/>
          <w:lang w:val="en-US"/>
        </w:rPr>
        <w:t>Lecturer: Hossein Shokri</w:t>
      </w:r>
    </w:p>
    <w:p>
      <w:pPr>
        <w:pStyle w:val="Body"/>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Group Report</w:t>
      </w:r>
    </w:p>
    <w:p>
      <w:pPr>
        <w:pStyle w:val="Body"/>
        <w:spacing w:line="24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Assessment 2</w:t>
      </w:r>
    </w:p>
    <w:p>
      <w:pPr>
        <w:pStyle w:val="Body"/>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Critical analysis of reasons why BP corporation </w:t>
      </w:r>
      <w:r>
        <w:rPr>
          <w:rFonts w:ascii="Times New Roman" w:hAnsi="Times New Roman"/>
          <w:b w:val="1"/>
          <w:bCs w:val="1"/>
          <w:sz w:val="24"/>
          <w:szCs w:val="24"/>
          <w:rtl w:val="0"/>
          <w:lang w:val="en-US"/>
        </w:rPr>
        <w:t>internationalised</w:t>
      </w:r>
      <w:r>
        <w:rPr>
          <w:rFonts w:ascii="Times New Roman" w:hAnsi="Times New Roman"/>
          <w:b w:val="1"/>
          <w:bCs w:val="1"/>
          <w:sz w:val="24"/>
          <w:szCs w:val="24"/>
          <w:rtl w:val="0"/>
          <w:lang w:val="en-US"/>
        </w:rPr>
        <w:t xml:space="preserve"> and how it manages risks associated with global markets</w:t>
      </w:r>
    </w:p>
    <w:p>
      <w:pPr>
        <w:pStyle w:val="Body"/>
        <w:spacing w:line="240" w:lineRule="auto"/>
        <w:rPr>
          <w:rFonts w:ascii="Times New Roman" w:cs="Times New Roman" w:hAnsi="Times New Roman" w:eastAsia="Times New Roman"/>
          <w:sz w:val="24"/>
          <w:szCs w:val="24"/>
        </w:rPr>
      </w:pPr>
    </w:p>
    <w:p>
      <w:pPr>
        <w:pStyle w:val="Body"/>
        <w:spacing w:line="24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Group Members Names</w:t>
      </w:r>
      <w:r>
        <w:rPr>
          <w:rFonts w:ascii="Times New Roman" w:hAnsi="Times New Roman"/>
          <w:b w:val="1"/>
          <w:bCs w:val="1"/>
          <w:sz w:val="24"/>
          <w:szCs w:val="24"/>
          <w:rtl w:val="0"/>
          <w:lang w:val="en-US"/>
        </w:rPr>
        <w:t>:</w:t>
      </w:r>
    </w:p>
    <w:p>
      <w:pPr>
        <w:pStyle w:val="Body"/>
        <w:spacing w:line="24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Petya Nniklenova - 1916916 </w:t>
      </w:r>
    </w:p>
    <w:p>
      <w:pPr>
        <w:pStyle w:val="Body"/>
        <w:spacing w:line="24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Desislava Zhelyazkova - 1917424 </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Date:</w:t>
      </w:r>
      <w:r>
        <w:rPr>
          <w:rFonts w:ascii="Times New Roman" w:hAnsi="Times New Roman"/>
          <w:b w:val="1"/>
          <w:bCs w:val="1"/>
          <w:sz w:val="24"/>
          <w:szCs w:val="24"/>
          <w:rtl w:val="0"/>
          <w:lang w:val="en-US"/>
        </w:rPr>
        <w:t xml:space="preserve"> 16/01/2023</w:t>
      </w:r>
    </w:p>
    <w:p>
      <w:pPr>
        <w:pStyle w:val="Body"/>
        <w:spacing w:line="480" w:lineRule="auto"/>
        <w:jc w:val="center"/>
        <w:rPr>
          <w:rFonts w:ascii="Times New Roman" w:cs="Times New Roman" w:hAnsi="Times New Roman" w:eastAsia="Times New Roman"/>
          <w:sz w:val="24"/>
          <w:szCs w:val="24"/>
        </w:rPr>
      </w:pPr>
    </w:p>
    <w:p>
      <w:pPr>
        <w:pStyle w:val="Body"/>
        <w:spacing w:line="480" w:lineRule="auto"/>
      </w:pPr>
      <w:r>
        <w:rPr>
          <w:rFonts w:ascii="Arial Unicode MS" w:cs="Arial Unicode MS" w:hAnsi="Arial Unicode MS" w:eastAsia="Arial Unicode MS"/>
          <w:b w:val="0"/>
          <w:bCs w:val="0"/>
          <w:i w:val="0"/>
          <w:iCs w:val="0"/>
          <w:sz w:val="24"/>
          <w:szCs w:val="24"/>
        </w:rPr>
        <w:br w:type="page"/>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Introduction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British Petroleum (BP) is one of the world</w:t>
      </w:r>
      <w:r>
        <w:rPr>
          <w:rFonts w:ascii="Times New Roman" w:hAnsi="Times New Roman" w:hint="default"/>
          <w:sz w:val="24"/>
          <w:szCs w:val="24"/>
          <w:rtl w:val="0"/>
          <w:lang w:val="en-US"/>
        </w:rPr>
        <w:t>’</w:t>
      </w:r>
      <w:r>
        <w:rPr>
          <w:rFonts w:ascii="Times New Roman" w:hAnsi="Times New Roman"/>
          <w:sz w:val="24"/>
          <w:szCs w:val="24"/>
          <w:rtl w:val="0"/>
          <w:lang w:val="en-US"/>
        </w:rPr>
        <w:t xml:space="preserve">s largest oil and gas companies, with a presence in more than 70 countries and operations that span the entire energy sector. The company has been operating for over a century, and its financial strategies have evolved with the times. This group task critically analyses the </w:t>
      </w:r>
      <w:r>
        <w:rPr>
          <w:rFonts w:ascii="Times New Roman" w:hAnsi="Times New Roman"/>
          <w:sz w:val="24"/>
          <w:szCs w:val="24"/>
          <w:rtl w:val="0"/>
          <w:lang w:val="en-US"/>
        </w:rPr>
        <w:t>company</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lang w:val="en-US"/>
        </w:rPr>
        <w:t xml:space="preserve"> international financial management strategies and evaluate their efficacy in today</w:t>
      </w:r>
      <w:r>
        <w:rPr>
          <w:rFonts w:ascii="Times New Roman" w:hAnsi="Times New Roman" w:hint="default"/>
          <w:sz w:val="24"/>
          <w:szCs w:val="24"/>
          <w:rtl w:val="0"/>
          <w:lang w:val="en-US"/>
        </w:rPr>
        <w:t>’</w:t>
      </w:r>
      <w:r>
        <w:rPr>
          <w:rFonts w:ascii="Times New Roman" w:hAnsi="Times New Roman"/>
          <w:sz w:val="24"/>
          <w:szCs w:val="24"/>
          <w:rtl w:val="0"/>
          <w:lang w:val="en-US"/>
        </w:rPr>
        <w:t>s competitive global markets. The essay looks at the corporation</w:t>
      </w:r>
      <w:r>
        <w:rPr>
          <w:rFonts w:ascii="Times New Roman" w:hAnsi="Times New Roman" w:hint="default"/>
          <w:sz w:val="24"/>
          <w:szCs w:val="24"/>
          <w:rtl w:val="0"/>
          <w:lang w:val="en-US"/>
        </w:rPr>
        <w:t>’</w:t>
      </w:r>
      <w:r>
        <w:rPr>
          <w:rFonts w:ascii="Times New Roman" w:hAnsi="Times New Roman"/>
          <w:sz w:val="24"/>
          <w:szCs w:val="24"/>
          <w:rtl w:val="0"/>
          <w:lang w:val="en-US"/>
        </w:rPr>
        <w:t>s strategies from the perspective of International Financial Management (IFM) theories, and considers how these strategies have helped BP remain a leader in the energy industry.</w:t>
      </w:r>
    </w:p>
    <w:p>
      <w:pPr>
        <w:pStyle w:val="Body"/>
        <w:spacing w:line="480" w:lineRule="auto"/>
        <w:ind w:firstLine="720"/>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Group member: D</w:t>
      </w:r>
      <w:r>
        <w:rPr>
          <w:rFonts w:ascii="Times New Roman" w:hAnsi="Times New Roman"/>
          <w:b w:val="1"/>
          <w:bCs w:val="1"/>
          <w:sz w:val="24"/>
          <w:szCs w:val="24"/>
          <w:u w:val="single"/>
          <w:rtl w:val="0"/>
        </w:rPr>
        <w:t>esi</w:t>
      </w:r>
      <w:r>
        <w:rPr>
          <w:rFonts w:ascii="Times New Roman" w:hAnsi="Times New Roman"/>
          <w:b w:val="1"/>
          <w:bCs w:val="1"/>
          <w:sz w:val="24"/>
          <w:szCs w:val="24"/>
          <w:u w:val="single"/>
          <w:rtl w:val="0"/>
          <w:lang w:val="en-US"/>
        </w:rPr>
        <w:t>slava Zhelyazkova</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Critically analyse reasons why BP corporation internationalised</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British Petroleum (BP) has been a leader in the global energy sector for decades and is one of the largest companies in the world. The corporation is well-known for its wide range of international activities, including oil exploration and production, refining and marketing of petroleum products, natural gas exploration and production, as well as the development of renewable energy sources. BP has long understood the importance of international diversification and risk management, which is why it has chosen to expand its business across multiple countries in order to </w:t>
      </w:r>
      <w:r>
        <w:rPr>
          <w:rFonts w:ascii="Times New Roman" w:hAnsi="Times New Roman"/>
          <w:sz w:val="24"/>
          <w:szCs w:val="24"/>
          <w:rtl w:val="0"/>
          <w:lang w:val="en-US"/>
        </w:rPr>
        <w:t>minimise</w:t>
      </w:r>
      <w:r>
        <w:rPr>
          <w:rFonts w:ascii="Times New Roman" w:hAnsi="Times New Roman"/>
          <w:sz w:val="24"/>
          <w:szCs w:val="24"/>
          <w:rtl w:val="0"/>
          <w:lang w:val="en-US"/>
        </w:rPr>
        <w:t xml:space="preserve">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financial risks (Hamelin et al, 2020).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corporation</w:t>
      </w:r>
      <w:r>
        <w:rPr>
          <w:rFonts w:ascii="Times New Roman" w:hAnsi="Times New Roman" w:hint="default"/>
          <w:sz w:val="24"/>
          <w:szCs w:val="24"/>
          <w:rtl w:val="0"/>
          <w:lang w:val="en-US"/>
        </w:rPr>
        <w:t>’</w:t>
      </w:r>
      <w:r>
        <w:rPr>
          <w:rFonts w:ascii="Times New Roman" w:hAnsi="Times New Roman"/>
          <w:sz w:val="24"/>
          <w:szCs w:val="24"/>
          <w:rtl w:val="0"/>
          <w:lang w:val="en-US"/>
        </w:rPr>
        <w:t>s international expansion has allowed BP to access new markets with potential for growth and return on investment. It has also opened up opportunities for the company to benefit from cost savings and economies of scale. By setting up operations in different countries, BP can also take advantage of different labor laws, tax laws, regulations, and local infrastructure that may be beneficial to the corporation</w:t>
      </w:r>
      <w:r>
        <w:rPr>
          <w:rFonts w:ascii="Times New Roman" w:hAnsi="Times New Roman" w:hint="default"/>
          <w:sz w:val="24"/>
          <w:szCs w:val="24"/>
          <w:rtl w:val="0"/>
          <w:lang w:val="en-US"/>
        </w:rPr>
        <w:t>’</w:t>
      </w:r>
      <w:r>
        <w:rPr>
          <w:rFonts w:ascii="Times New Roman" w:hAnsi="Times New Roman"/>
          <w:sz w:val="24"/>
          <w:szCs w:val="24"/>
          <w:rtl w:val="0"/>
          <w:lang w:val="en-US"/>
        </w:rPr>
        <w:t>s business model (Valvi and Fragkos, 2013). Furthermore, BP</w:t>
      </w:r>
      <w:r>
        <w:rPr>
          <w:rFonts w:ascii="Times New Roman" w:hAnsi="Times New Roman" w:hint="default"/>
          <w:sz w:val="24"/>
          <w:szCs w:val="24"/>
          <w:rtl w:val="0"/>
          <w:lang w:val="en-US"/>
        </w:rPr>
        <w:t>’</w:t>
      </w:r>
      <w:r>
        <w:rPr>
          <w:rFonts w:ascii="Times New Roman" w:hAnsi="Times New Roman"/>
          <w:sz w:val="24"/>
          <w:szCs w:val="24"/>
          <w:rtl w:val="0"/>
          <w:lang w:val="en-US"/>
        </w:rPr>
        <w:t xml:space="preserve">s international presence allows the company to gain an advantage over competitors by being able to quickly respond to changes in regional markets.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addition to these advantages,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gives BP access to diverse capital markets and financing sources. As a multinational corporation, BP can diversify its capital structure by taking advantage of different currencies, interest rates, taxes, debt structures, and other factors to create a financing package that best meets the needs of the company (Valvi and Fragkos, 2013). </w:t>
      </w:r>
      <w:r>
        <w:rPr>
          <w:rFonts w:ascii="Times New Roman" w:hAnsi="Times New Roman"/>
          <w:sz w:val="24"/>
          <w:szCs w:val="24"/>
          <w:rtl w:val="0"/>
          <w:lang w:val="en-US"/>
        </w:rPr>
        <w:t>Internationalising</w:t>
      </w:r>
      <w:r>
        <w:rPr>
          <w:rFonts w:ascii="Times New Roman" w:hAnsi="Times New Roman"/>
          <w:sz w:val="24"/>
          <w:szCs w:val="24"/>
          <w:rtl w:val="0"/>
          <w:lang w:val="en-US"/>
        </w:rPr>
        <w:t xml:space="preserve"> also helps BP increase its liquidity and reduce its borrowing costs. Additionally, by accessing new markets and customers abroad, BP is able to reduce its dependence on the traditional energy market and capture opportunities in emerging markets (Hamelin et al, 2020). By taking advantage of international opportunities, BP has been able to improve its competitive position while mitigating its financial risks. The corporation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long-term strategy of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has enabled it to become one of the world</w:t>
      </w:r>
      <w:r>
        <w:rPr>
          <w:rFonts w:ascii="Times New Roman" w:hAnsi="Times New Roman" w:hint="default"/>
          <w:sz w:val="24"/>
          <w:szCs w:val="24"/>
          <w:rtl w:val="0"/>
          <w:lang w:val="en-US"/>
        </w:rPr>
        <w:t>’</w:t>
      </w:r>
      <w:r>
        <w:rPr>
          <w:rFonts w:ascii="Times New Roman" w:hAnsi="Times New Roman"/>
          <w:sz w:val="24"/>
          <w:szCs w:val="24"/>
          <w:rtl w:val="0"/>
          <w:lang w:val="en-US"/>
        </w:rPr>
        <w:t>s largest and most successful energy corporations (Hamelin et al, 2020).</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ability to respond quickly to global political and economic events is also an important factor for BP. By having operations in multiple countries, the corporation can assess changing economic conditions and adjust its strategies accordingly. This agility also enables BP to reduce its risks associated with volatile energy prices, currency fluctuations, and other economic conditions that can have a significant impact on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profitability (Le, Le and Le, 2021). Additionally, </w:t>
      </w:r>
      <w:r>
        <w:rPr>
          <w:rFonts w:ascii="Times New Roman" w:hAnsi="Times New Roman"/>
          <w:sz w:val="24"/>
          <w:szCs w:val="24"/>
          <w:rtl w:val="0"/>
          <w:lang w:val="en-US"/>
        </w:rPr>
        <w:t>internationalising</w:t>
      </w:r>
      <w:r>
        <w:rPr>
          <w:rFonts w:ascii="Times New Roman" w:hAnsi="Times New Roman"/>
          <w:sz w:val="24"/>
          <w:szCs w:val="24"/>
          <w:rtl w:val="0"/>
          <w:lang w:val="en-US"/>
        </w:rPr>
        <w:t xml:space="preserve"> allows BP to benefit from different regulatory regimes, access to new technologies, and other competitive advantages that are not available in their home country. In essence,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provides BP with an opportunity to grow and diversify its business while also reducing its financial risks (Le, Le and Le, 2021).</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Critically analyse how country risks may affect BP</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investments opportunities in host countries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British Petroleum (BP) is one of the largest oil and gas companies in the world, with a presence in nearly 80 countries. The company has </w:t>
      </w:r>
      <w:r>
        <w:rPr>
          <w:rFonts w:ascii="Times New Roman" w:hAnsi="Times New Roman"/>
          <w:sz w:val="24"/>
          <w:szCs w:val="24"/>
          <w:rtl w:val="0"/>
          <w:lang w:val="en-US"/>
        </w:rPr>
        <w:t>internationalised</w:t>
      </w:r>
      <w:r>
        <w:rPr>
          <w:rFonts w:ascii="Times New Roman" w:hAnsi="Times New Roman"/>
          <w:sz w:val="24"/>
          <w:szCs w:val="24"/>
          <w:rtl w:val="0"/>
          <w:lang w:val="en-US"/>
        </w:rPr>
        <w:t xml:space="preserve"> to tap into new sources of growth and profit opportunities. However, the process of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comes with certain risks that BP must consider before committing to investments in other countries (Nguyen, 2011).</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Country risk is a major factor when considering investments in foreign markets, as it can have significant impacts on the expected return from these investments. Country risk can include political instability, economic volatility, currency devaluation, foreign exchange restrictions, and other environmental and legal factors (Kim and Milner, 2019). Each of these components can lead to an unpredictable regulatory environment and highly volatile economic conditions, which can affect the success of any foreign investments.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particular, BP must be aware of the potential for foreign governments to </w:t>
      </w:r>
      <w:r>
        <w:rPr>
          <w:rFonts w:ascii="Times New Roman" w:hAnsi="Times New Roman"/>
          <w:sz w:val="24"/>
          <w:szCs w:val="24"/>
          <w:rtl w:val="0"/>
          <w:lang w:val="en-US"/>
        </w:rPr>
        <w:t>nationalise</w:t>
      </w:r>
      <w:r>
        <w:rPr>
          <w:rFonts w:ascii="Times New Roman" w:hAnsi="Times New Roman"/>
          <w:sz w:val="24"/>
          <w:szCs w:val="24"/>
          <w:rtl w:val="0"/>
          <w:lang w:val="en-US"/>
        </w:rPr>
        <w:t xml:space="preserve"> the industry, which could put their investments at risk. Additionally, the company must consider how the host country</w:t>
      </w:r>
      <w:r>
        <w:rPr>
          <w:rFonts w:ascii="Times New Roman" w:hAnsi="Times New Roman" w:hint="default"/>
          <w:sz w:val="24"/>
          <w:szCs w:val="24"/>
          <w:rtl w:val="0"/>
          <w:lang w:val="en-US"/>
        </w:rPr>
        <w:t>’</w:t>
      </w:r>
      <w:r>
        <w:rPr>
          <w:rFonts w:ascii="Times New Roman" w:hAnsi="Times New Roman"/>
          <w:sz w:val="24"/>
          <w:szCs w:val="24"/>
          <w:rtl w:val="0"/>
          <w:lang w:val="en-US"/>
        </w:rPr>
        <w:t>s economic policies could affect the profitability of its investments. Political instability and lack of infrastructure could also make BP</w:t>
      </w:r>
      <w:r>
        <w:rPr>
          <w:rFonts w:ascii="Times New Roman" w:hAnsi="Times New Roman" w:hint="default"/>
          <w:sz w:val="24"/>
          <w:szCs w:val="24"/>
          <w:rtl w:val="0"/>
          <w:lang w:val="en-US"/>
        </w:rPr>
        <w:t>’</w:t>
      </w:r>
      <w:r>
        <w:rPr>
          <w:rFonts w:ascii="Times New Roman" w:hAnsi="Times New Roman"/>
          <w:sz w:val="24"/>
          <w:szCs w:val="24"/>
          <w:rtl w:val="0"/>
          <w:lang w:val="en-US"/>
        </w:rPr>
        <w:t>s operations difficult or impossible (Kim and Milner, 2019). Therefore, BP must conduct extensive due diligence when considering investments in a foreign market.</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By thoroughly assessing the country's risk of a potential investment, BP can ensure that it is making an informed decision and taking steps to mitigate any potential risks. This helps BP evaluate the potential returns on its investments and determine whether they are worth pursuing in light of the associated country risk. Ultimately, BP must balance the expected returns of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against the potential risks to make an informed decision about whether to invest in a foreign market (Nguyen, 2011). The company may need to adjust its expectations accordingly to ensure that any investments made will still provide sufficient returns despite the existing country risk.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It is also important for BP to remain </w:t>
      </w:r>
      <w:r>
        <w:rPr>
          <w:rFonts w:ascii="Times New Roman" w:hAnsi="Times New Roman"/>
          <w:sz w:val="24"/>
          <w:szCs w:val="24"/>
          <w:rtl w:val="0"/>
          <w:lang w:val="en-US"/>
        </w:rPr>
        <w:t>cognisant</w:t>
      </w:r>
      <w:r>
        <w:rPr>
          <w:rFonts w:ascii="Times New Roman" w:hAnsi="Times New Roman"/>
          <w:sz w:val="24"/>
          <w:szCs w:val="24"/>
          <w:rtl w:val="0"/>
          <w:lang w:val="en-US"/>
        </w:rPr>
        <w:t xml:space="preserve"> of potential changes in the political and economic landscape of a host country over time, and adjust its strategy accordingly if needed. In some cases, this might mean reconsidering the viability of continuing certain investments or pulling out altogether to protect itself from losses (Goldberg, 2009). In others, it might mean </w:t>
      </w:r>
      <w:r>
        <w:rPr>
          <w:rFonts w:ascii="Times New Roman" w:hAnsi="Times New Roman"/>
          <w:sz w:val="24"/>
          <w:szCs w:val="24"/>
          <w:rtl w:val="0"/>
          <w:lang w:val="en-US"/>
        </w:rPr>
        <w:t>capitalising</w:t>
      </w:r>
      <w:r>
        <w:rPr>
          <w:rFonts w:ascii="Times New Roman" w:hAnsi="Times New Roman"/>
          <w:sz w:val="24"/>
          <w:szCs w:val="24"/>
          <w:rtl w:val="0"/>
          <w:lang w:val="en-US"/>
        </w:rPr>
        <w:t xml:space="preserve"> on any emerging opportunities provided by </w:t>
      </w:r>
      <w:r>
        <w:rPr>
          <w:rFonts w:ascii="Times New Roman" w:hAnsi="Times New Roman"/>
          <w:sz w:val="24"/>
          <w:szCs w:val="24"/>
          <w:rtl w:val="0"/>
          <w:lang w:val="en-US"/>
        </w:rPr>
        <w:t>favourable</w:t>
      </w:r>
      <w:r>
        <w:rPr>
          <w:rFonts w:ascii="Times New Roman" w:hAnsi="Times New Roman"/>
          <w:sz w:val="24"/>
          <w:szCs w:val="24"/>
          <w:rtl w:val="0"/>
          <w:lang w:val="en-US"/>
        </w:rPr>
        <w:t xml:space="preserve"> changes in the country</w:t>
      </w:r>
      <w:r>
        <w:rPr>
          <w:rFonts w:ascii="Times New Roman" w:hAnsi="Times New Roman" w:hint="default"/>
          <w:sz w:val="24"/>
          <w:szCs w:val="24"/>
          <w:rtl w:val="0"/>
          <w:lang w:val="en-US"/>
        </w:rPr>
        <w:t>’</w:t>
      </w:r>
      <w:r>
        <w:rPr>
          <w:rFonts w:ascii="Times New Roman" w:hAnsi="Times New Roman"/>
          <w:sz w:val="24"/>
          <w:szCs w:val="24"/>
          <w:rtl w:val="0"/>
          <w:lang w:val="en-US"/>
        </w:rPr>
        <w:t xml:space="preserve">s economy or regulations. By actively managing and monitoring its level of exposure to country risk, BP can help reduce the overall financial risk associated with </w:t>
      </w:r>
      <w:r>
        <w:rPr>
          <w:rFonts w:ascii="Times New Roman" w:hAnsi="Times New Roman"/>
          <w:sz w:val="24"/>
          <w:szCs w:val="24"/>
          <w:rtl w:val="0"/>
          <w:lang w:val="en-US"/>
        </w:rPr>
        <w:t>internationalising</w:t>
      </w:r>
      <w:r>
        <w:rPr>
          <w:rFonts w:ascii="Times New Roman" w:hAnsi="Times New Roman"/>
          <w:sz w:val="24"/>
          <w:szCs w:val="24"/>
          <w:rtl w:val="0"/>
          <w:lang w:val="en-US"/>
        </w:rPr>
        <w:t xml:space="preserve"> its business.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At the same time, BP should look for ways to </w:t>
      </w:r>
      <w:r>
        <w:rPr>
          <w:rFonts w:ascii="Times New Roman" w:hAnsi="Times New Roman"/>
          <w:sz w:val="24"/>
          <w:szCs w:val="24"/>
          <w:rtl w:val="0"/>
          <w:lang w:val="en-US"/>
        </w:rPr>
        <w:t>maximise</w:t>
      </w:r>
      <w:r>
        <w:rPr>
          <w:rFonts w:ascii="Times New Roman" w:hAnsi="Times New Roman"/>
          <w:sz w:val="24"/>
          <w:szCs w:val="24"/>
          <w:rtl w:val="0"/>
          <w:lang w:val="en-US"/>
        </w:rPr>
        <w:t xml:space="preserve"> the rewards of its international operations, such as leveraging its global network of subsidiaries and joint ventures. Investing in technology and innovation can also help improve operational efficiency and expand into new geographic regions without having to invest heavily in physical assets such as plants and factories (Carril-Caccia and Pavlova, 2018). Finally, BP should take advantage of any government-sponsored incentives such as tax breaks or special financing options to further reduce the cost of operating in foreign markets. By evaluating all possible options and carefully mitigating risks, BP can ensure that its global expansion efforts are successful and profitable (Carril-Caccia and Pavlova, 2018).</w:t>
      </w:r>
    </w:p>
    <w:p>
      <w:pPr>
        <w:pStyle w:val="Body"/>
        <w:spacing w:line="480" w:lineRule="auto"/>
        <w:ind w:firstLine="720"/>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u w:val="single"/>
          <w:rtl w:val="0"/>
          <w:lang w:val="en-US"/>
        </w:rPr>
        <w:t>Group member: Pe</w:t>
      </w:r>
      <w:r>
        <w:rPr>
          <w:rFonts w:ascii="Times New Roman" w:hAnsi="Times New Roman"/>
          <w:b w:val="1"/>
          <w:bCs w:val="1"/>
          <w:sz w:val="24"/>
          <w:szCs w:val="24"/>
          <w:u w:val="single"/>
          <w:rtl w:val="0"/>
        </w:rPr>
        <w:t>tya</w:t>
      </w:r>
      <w:r>
        <w:rPr>
          <w:rFonts w:ascii="Times New Roman" w:hAnsi="Times New Roman"/>
          <w:b w:val="1"/>
          <w:bCs w:val="1"/>
          <w:sz w:val="24"/>
          <w:szCs w:val="24"/>
          <w:u w:val="single"/>
          <w:rtl w:val="0"/>
          <w:lang w:val="en-US"/>
        </w:rPr>
        <w:t xml:space="preserve"> Niklenova</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Critically analyse and evaluates the strategies that BP corporation has adopted in managing their financial risks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British Petroleum (BP) Corporation is one of the world's leading energy companies with operations all over the world and as such, the company must manage a range of financial risks to ensure its long-term success. These risks include exchange rate risk, country risk, liquidity risk and interest rate risk. To protect against these risks, BP has adopted a range of strategies to help </w:t>
      </w:r>
      <w:r>
        <w:rPr>
          <w:rFonts w:ascii="Times New Roman" w:hAnsi="Times New Roman"/>
          <w:sz w:val="24"/>
          <w:szCs w:val="24"/>
          <w:rtl w:val="0"/>
          <w:lang w:val="en-US"/>
        </w:rPr>
        <w:t>minimise</w:t>
      </w:r>
      <w:r>
        <w:rPr>
          <w:rFonts w:ascii="Times New Roman" w:hAnsi="Times New Roman"/>
          <w:sz w:val="24"/>
          <w:szCs w:val="24"/>
          <w:rtl w:val="0"/>
          <w:lang w:val="en-US"/>
        </w:rPr>
        <w:t xml:space="preserve"> its exposure and </w:t>
      </w:r>
      <w:r>
        <w:rPr>
          <w:rFonts w:ascii="Times New Roman" w:hAnsi="Times New Roman"/>
          <w:sz w:val="24"/>
          <w:szCs w:val="24"/>
          <w:rtl w:val="0"/>
          <w:lang w:val="en-US"/>
        </w:rPr>
        <w:t>maximise</w:t>
      </w:r>
      <w:r>
        <w:rPr>
          <w:rFonts w:ascii="Times New Roman" w:hAnsi="Times New Roman"/>
          <w:sz w:val="24"/>
          <w:szCs w:val="24"/>
          <w:rtl w:val="0"/>
          <w:lang w:val="en-US"/>
        </w:rPr>
        <w:t xml:space="preserve"> its returns (BP Annual Report, 2019). For example, BP has put in place several hedging strategies that involve entering into financial contracts to offset losses that may be incurred as a result of adverse exchange rate movements or changes in market conditions. These hedging strategies allow BP to effectively manage its exchange rate risk by allowing them to buy and sell foreign currency at pre-determined rates.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In addition, BP also employs a range of debt financing options such as issuing bonds, loans and bank guarantees. This allows the corporation to secure funds most cost-effectively while </w:t>
      </w:r>
      <w:r>
        <w:rPr>
          <w:rFonts w:ascii="Times New Roman" w:hAnsi="Times New Roman"/>
          <w:sz w:val="24"/>
          <w:szCs w:val="24"/>
          <w:rtl w:val="0"/>
          <w:lang w:val="en-US"/>
        </w:rPr>
        <w:t>minimising</w:t>
      </w:r>
      <w:r>
        <w:rPr>
          <w:rFonts w:ascii="Times New Roman" w:hAnsi="Times New Roman"/>
          <w:sz w:val="24"/>
          <w:szCs w:val="24"/>
          <w:rtl w:val="0"/>
          <w:lang w:val="en-US"/>
        </w:rPr>
        <w:t xml:space="preserve"> its interest rate risk (Huang et al., 2021). Furthermore, BP has developed a comprehensive country risk management program that monitors and assesses the potential risks posed by its activities in each host country. This helps to ensure that BP minimizes any potential losses resulting from political or economic instability in host countries. BP has also implemented a range of liquidity management strategies to ensure that it can access cash when needed. This includes diversifying its funding sources and maintaining a mix of short-term and long-term debt instruments to ensure that it has adequate liquidity available at all times (Gates, Nicolas and Walker, 2012).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The corporation has adopted several strategies to help manage its financial risks and </w:t>
      </w:r>
      <w:r>
        <w:rPr>
          <w:rFonts w:ascii="Times New Roman" w:hAnsi="Times New Roman"/>
          <w:sz w:val="24"/>
          <w:szCs w:val="24"/>
          <w:rtl w:val="0"/>
          <w:lang w:val="en-US"/>
        </w:rPr>
        <w:t>maximise</w:t>
      </w:r>
      <w:r>
        <w:rPr>
          <w:rFonts w:ascii="Times New Roman" w:hAnsi="Times New Roman"/>
          <w:sz w:val="24"/>
          <w:szCs w:val="24"/>
          <w:rtl w:val="0"/>
          <w:lang w:val="en-US"/>
        </w:rPr>
        <w:t xml:space="preserve"> its returns. By hedging exchange rate risk, managing debt financing costs, monitoring country risk and managing liquidity, BP has been able to protect itself from potential losses and remain competitive in the global energy market (BP Annual Report, 2019). A further benefit of </w:t>
      </w:r>
      <w:r>
        <w:rPr>
          <w:rFonts w:ascii="Times New Roman" w:hAnsi="Times New Roman"/>
          <w:sz w:val="24"/>
          <w:szCs w:val="24"/>
          <w:rtl w:val="0"/>
          <w:lang w:val="en-US"/>
        </w:rPr>
        <w:t>internationalising</w:t>
      </w:r>
      <w:r>
        <w:rPr>
          <w:rFonts w:ascii="Times New Roman" w:hAnsi="Times New Roman"/>
          <w:sz w:val="24"/>
          <w:szCs w:val="24"/>
          <w:rtl w:val="0"/>
          <w:lang w:val="en-US"/>
        </w:rPr>
        <w:t xml:space="preserve"> for BP is the ability to diversify its product portfolio and generate revenues from new markets. Additionally, expanding into new markets provides BP with opportunities for innovation as they develop new products and services to meet customer demands. Furthermore, </w:t>
      </w:r>
      <w:r>
        <w:rPr>
          <w:rFonts w:ascii="Times New Roman" w:hAnsi="Times New Roman"/>
          <w:sz w:val="24"/>
          <w:szCs w:val="24"/>
          <w:rtl w:val="0"/>
          <w:lang w:val="en-US"/>
        </w:rPr>
        <w:t>internationalising</w:t>
      </w:r>
      <w:r>
        <w:rPr>
          <w:rFonts w:ascii="Times New Roman" w:hAnsi="Times New Roman"/>
          <w:sz w:val="24"/>
          <w:szCs w:val="24"/>
          <w:rtl w:val="0"/>
          <w:lang w:val="en-US"/>
        </w:rPr>
        <w:t xml:space="preserve"> gives BP access to new technologies which enable them to become more efficient in their operations (BP Annual Report, 2019). This has the potential to lead to cost savings across the </w:t>
      </w:r>
      <w:r>
        <w:rPr>
          <w:rFonts w:ascii="Times New Roman" w:hAnsi="Times New Roman"/>
          <w:sz w:val="24"/>
          <w:szCs w:val="24"/>
          <w:rtl w:val="0"/>
          <w:lang w:val="en-US"/>
        </w:rPr>
        <w:t>organisation</w:t>
      </w:r>
      <w:r>
        <w:rPr>
          <w:rFonts w:ascii="Times New Roman" w:hAnsi="Times New Roman"/>
          <w:sz w:val="24"/>
          <w:szCs w:val="24"/>
          <w:rtl w:val="0"/>
          <w:lang w:val="en-US"/>
        </w:rPr>
        <w:t xml:space="preserve">. Ultimately, </w:t>
      </w:r>
      <w:r>
        <w:rPr>
          <w:rFonts w:ascii="Times New Roman" w:hAnsi="Times New Roman"/>
          <w:sz w:val="24"/>
          <w:szCs w:val="24"/>
          <w:rtl w:val="0"/>
          <w:lang w:val="en-US"/>
        </w:rPr>
        <w:t>internationalising</w:t>
      </w:r>
      <w:r>
        <w:rPr>
          <w:rFonts w:ascii="Times New Roman" w:hAnsi="Times New Roman"/>
          <w:sz w:val="24"/>
          <w:szCs w:val="24"/>
          <w:rtl w:val="0"/>
          <w:lang w:val="en-US"/>
        </w:rPr>
        <w:t xml:space="preserve"> enables BP to tap into different markets, increase revenues and reduce costs, thereby ensuring its long-term sustainability and profitability.</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It is also worth noting that BP</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strategy has enabled them to build strong relationships with local partners, which in turn has enabled them to acquire valuable insights into the target market. This has enabled them to better understand the specific needs of their customers, thereby helping them tailor their products and services to meet these needs (Gates, Nicolas and Walker, 2012). This has given them a competitive advantage over other companies that lack such insights. Additionally, by building strong relationships with local partners, BP can ensure that it can quickly and effectively respond to any political or economic changes in its operating environment. This provides BP with an important advantage in terms of long-term stability (Huang et al., 2021).</w:t>
      </w:r>
    </w:p>
    <w:p>
      <w:pPr>
        <w:pStyle w:val="Body"/>
        <w:spacing w:line="480" w:lineRule="auto"/>
        <w:ind w:firstLine="720"/>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Evaluate the different strategies that BP Corporation uses to manage their exposure to foreign exchange risks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British Petroleum (BP) Corporation is an international company that has diversified its operations across multiple countries, making it vulnerable to the risk of foreign exchange rate fluctuations. To </w:t>
      </w:r>
      <w:r>
        <w:rPr>
          <w:rFonts w:ascii="Times New Roman" w:hAnsi="Times New Roman"/>
          <w:sz w:val="24"/>
          <w:szCs w:val="24"/>
          <w:rtl w:val="0"/>
          <w:lang w:val="en-US"/>
        </w:rPr>
        <w:t>minimise</w:t>
      </w:r>
      <w:r>
        <w:rPr>
          <w:rFonts w:ascii="Times New Roman" w:hAnsi="Times New Roman"/>
          <w:sz w:val="24"/>
          <w:szCs w:val="24"/>
          <w:rtl w:val="0"/>
          <w:lang w:val="en-US"/>
        </w:rPr>
        <w:t xml:space="preserve"> its exposure to this type of risk, BP implements several strategies to help manage its financials and mitigate potential losses (Huang et al., 2021). One of the strategies that BP Corporation </w:t>
      </w:r>
      <w:r>
        <w:rPr>
          <w:rFonts w:ascii="Times New Roman" w:hAnsi="Times New Roman"/>
          <w:sz w:val="24"/>
          <w:szCs w:val="24"/>
          <w:rtl w:val="0"/>
          <w:lang w:val="en-US"/>
        </w:rPr>
        <w:t>utilises</w:t>
      </w:r>
      <w:r>
        <w:rPr>
          <w:rFonts w:ascii="Times New Roman" w:hAnsi="Times New Roman"/>
          <w:sz w:val="24"/>
          <w:szCs w:val="24"/>
          <w:rtl w:val="0"/>
          <w:lang w:val="en-US"/>
        </w:rPr>
        <w:t xml:space="preserve"> to manage its exposure to foreign exchange risks is hedging. Hedging involves entering into contracts such as futures or forward contracts with </w:t>
      </w:r>
      <w:r>
        <w:rPr>
          <w:rFonts w:ascii="Times New Roman" w:hAnsi="Times New Roman"/>
          <w:sz w:val="24"/>
          <w:szCs w:val="24"/>
          <w:rtl w:val="0"/>
          <w:lang w:val="en-US"/>
        </w:rPr>
        <w:t>counter-parties</w:t>
      </w:r>
      <w:r>
        <w:rPr>
          <w:rFonts w:ascii="Times New Roman" w:hAnsi="Times New Roman"/>
          <w:sz w:val="24"/>
          <w:szCs w:val="24"/>
          <w:rtl w:val="0"/>
          <w:lang w:val="en-US"/>
        </w:rPr>
        <w:t xml:space="preserve"> to fix the price at which the company will exchange currency in the future (Huang et al., 2021). By locking in the price of the currency at a predetermined rate, BP can ensure that it does not experience any losses due to sudden changes in currency values.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Another strategy used by BP Corporation to manage its exposure to foreign exchange risks is </w:t>
      </w:r>
      <w:r>
        <w:rPr>
          <w:rFonts w:ascii="Times New Roman" w:hAnsi="Times New Roman"/>
          <w:sz w:val="24"/>
          <w:szCs w:val="24"/>
          <w:rtl w:val="0"/>
          <w:lang w:val="en-US"/>
        </w:rPr>
        <w:t>utilising</w:t>
      </w:r>
      <w:r>
        <w:rPr>
          <w:rFonts w:ascii="Times New Roman" w:hAnsi="Times New Roman"/>
          <w:sz w:val="24"/>
          <w:szCs w:val="24"/>
          <w:rtl w:val="0"/>
          <w:lang w:val="en-US"/>
        </w:rPr>
        <w:t xml:space="preserve"> natural hedges. Natural hedges involve BP entering into transactions that have both their revenue and cost streams denominated in the same currency. By doing so, the company can avoid taking on any additional exposure if the currency</w:t>
      </w:r>
      <w:r>
        <w:rPr>
          <w:rFonts w:ascii="Times New Roman" w:hAnsi="Times New Roman" w:hint="default"/>
          <w:sz w:val="24"/>
          <w:szCs w:val="24"/>
          <w:rtl w:val="0"/>
          <w:lang w:val="en-US"/>
        </w:rPr>
        <w:t>’</w:t>
      </w:r>
      <w:r>
        <w:rPr>
          <w:rFonts w:ascii="Times New Roman" w:hAnsi="Times New Roman"/>
          <w:sz w:val="24"/>
          <w:szCs w:val="24"/>
          <w:rtl w:val="0"/>
          <w:lang w:val="en-US"/>
        </w:rPr>
        <w:t xml:space="preserve">s value shifts (Alfaro, Calani and Varela, 2021). The corporation also makes use of options contracts to manage its exposure to foreign exchange risks. Options contracts allow the company to purchase the option to buy or sell a specific currency at a predetermined price at some point in the future. This gives BP the flexibility to act on any potential </w:t>
      </w:r>
      <w:r>
        <w:rPr>
          <w:rFonts w:ascii="Times New Roman" w:hAnsi="Times New Roman"/>
          <w:sz w:val="24"/>
          <w:szCs w:val="24"/>
          <w:rtl w:val="0"/>
          <w:lang w:val="en-US"/>
        </w:rPr>
        <w:t>favourable</w:t>
      </w:r>
      <w:r>
        <w:rPr>
          <w:rFonts w:ascii="Times New Roman" w:hAnsi="Times New Roman"/>
          <w:sz w:val="24"/>
          <w:szCs w:val="24"/>
          <w:rtl w:val="0"/>
          <w:lang w:val="en-US"/>
        </w:rPr>
        <w:t xml:space="preserve"> or </w:t>
      </w:r>
      <w:r>
        <w:rPr>
          <w:rFonts w:ascii="Times New Roman" w:hAnsi="Times New Roman"/>
          <w:sz w:val="24"/>
          <w:szCs w:val="24"/>
          <w:rtl w:val="0"/>
          <w:lang w:val="en-US"/>
        </w:rPr>
        <w:t>unfavourable</w:t>
      </w:r>
      <w:r>
        <w:rPr>
          <w:rFonts w:ascii="Times New Roman" w:hAnsi="Times New Roman"/>
          <w:sz w:val="24"/>
          <w:szCs w:val="24"/>
          <w:rtl w:val="0"/>
          <w:lang w:val="en-US"/>
        </w:rPr>
        <w:t xml:space="preserve"> movements in the currency value, while not having to worry about the immediate costs associated with such a move (Alfaro, Calani and Varela, 2021).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By implementing these strategies, BP Corporation can better manage its exposure to foreign exchange risks and mitigate potential losses due to changing currency values. Additionally, this allows BP to have more certainty when conducting business in different countries as they know what kind of profits they should expect from each transaction (Huang et al., 2021). BP</w:t>
      </w:r>
      <w:r>
        <w:rPr>
          <w:rFonts w:ascii="Times New Roman" w:hAnsi="Times New Roman" w:hint="default"/>
          <w:sz w:val="24"/>
          <w:szCs w:val="24"/>
          <w:rtl w:val="0"/>
          <w:lang w:val="en-US"/>
        </w:rPr>
        <w:t>’</w:t>
      </w:r>
      <w:r>
        <w:rPr>
          <w:rFonts w:ascii="Times New Roman" w:hAnsi="Times New Roman"/>
          <w:sz w:val="24"/>
          <w:szCs w:val="24"/>
          <w:rtl w:val="0"/>
        </w:rPr>
        <w:t xml:space="preserve">s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also serves another purpose: allowing the company to gain access to different markets, cultures and resources available globally. For example, BP may be able to source certain raw materials from overseas cheaper than domestically, allowing for higher profits for their products. Lastly, the ability of global firms to expand beyond domestic borders helps them take advantage of new opportunities presented by different markets such as China and India (Huang et al., 2021).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Ultimately, these factors combine to make BP's decision to </w:t>
      </w:r>
      <w:r>
        <w:rPr>
          <w:rFonts w:ascii="Times New Roman" w:hAnsi="Times New Roman"/>
          <w:sz w:val="24"/>
          <w:szCs w:val="24"/>
          <w:rtl w:val="0"/>
          <w:lang w:val="en-US"/>
        </w:rPr>
        <w:t>internationalise</w:t>
      </w:r>
      <w:r>
        <w:rPr>
          <w:rFonts w:ascii="Times New Roman" w:hAnsi="Times New Roman"/>
          <w:sz w:val="24"/>
          <w:szCs w:val="24"/>
          <w:rtl w:val="0"/>
          <w:lang w:val="en-US"/>
        </w:rPr>
        <w:t xml:space="preserve"> a sound one, enabling them to pursue different growth opportunities while mitigating its exposure to risks like foreign exchange rate volatility. BP's commitment to </w:t>
      </w:r>
      <w:r>
        <w:rPr>
          <w:rFonts w:ascii="Times New Roman" w:hAnsi="Times New Roman"/>
          <w:sz w:val="24"/>
          <w:szCs w:val="24"/>
          <w:rtl w:val="0"/>
          <w:lang w:val="en-US"/>
        </w:rPr>
        <w:t>internationalising</w:t>
      </w:r>
      <w:r>
        <w:rPr>
          <w:rFonts w:ascii="Times New Roman" w:hAnsi="Times New Roman"/>
          <w:sz w:val="24"/>
          <w:szCs w:val="24"/>
          <w:rtl w:val="0"/>
          <w:lang w:val="en-US"/>
        </w:rPr>
        <w:t xml:space="preserve"> is further demonstrated through the appointment of board members from different parts of the world, enabling them to tap into insights on local trends and regulations (Alfaro, Calani and Varela, 2021). The company also frequently looks to acquire other companies in strategic locations, helping them broaden its customer base and increase profitability. Moreover, their partnership with Russian state-controlled oil giant Rosneft indicates a desire to establish relationships with large players within key markets. To put it simply, BP </w:t>
      </w:r>
      <w:r>
        <w:rPr>
          <w:rFonts w:ascii="Times New Roman" w:hAnsi="Times New Roman"/>
          <w:sz w:val="24"/>
          <w:szCs w:val="24"/>
          <w:rtl w:val="0"/>
          <w:lang w:val="en-US"/>
        </w:rPr>
        <w:t>recognises</w:t>
      </w:r>
      <w:r>
        <w:rPr>
          <w:rFonts w:ascii="Times New Roman" w:hAnsi="Times New Roman"/>
          <w:sz w:val="24"/>
          <w:szCs w:val="24"/>
          <w:rtl w:val="0"/>
          <w:lang w:val="en-US"/>
        </w:rPr>
        <w:t xml:space="preserve"> that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is essential for long-term success and stability in today's increasingly interconnected world (Alfaro, Calani and Varela, 2021). The corporation is adapting accordingly and embracing </w:t>
      </w:r>
      <w:r>
        <w:rPr>
          <w:rFonts w:ascii="Times New Roman" w:hAnsi="Times New Roman"/>
          <w:sz w:val="24"/>
          <w:szCs w:val="24"/>
          <w:rtl w:val="0"/>
          <w:lang w:val="en-US"/>
        </w:rPr>
        <w:t>globalisation</w:t>
      </w:r>
      <w:r>
        <w:rPr>
          <w:rFonts w:ascii="Times New Roman" w:hAnsi="Times New Roman"/>
          <w:sz w:val="24"/>
          <w:szCs w:val="24"/>
          <w:rtl w:val="0"/>
          <w:lang w:val="en-US"/>
        </w:rPr>
        <w:t xml:space="preserve"> while looking out for ways to leverage it to create lasting value.</w:t>
      </w:r>
    </w:p>
    <w:p>
      <w:pPr>
        <w:pStyle w:val="Body"/>
        <w:spacing w:line="480" w:lineRule="auto"/>
        <w:rPr>
          <w:rFonts w:ascii="Times New Roman" w:cs="Times New Roman" w:hAnsi="Times New Roman" w:eastAsia="Times New Roman"/>
          <w:b w:val="1"/>
          <w:bCs w:val="1"/>
          <w:sz w:val="24"/>
          <w:szCs w:val="24"/>
          <w:u w:val="single"/>
        </w:rPr>
      </w:pPr>
    </w:p>
    <w:p>
      <w:pPr>
        <w:pStyle w:val="Body"/>
        <w:spacing w:line="480" w:lineRule="auto"/>
        <w:rPr>
          <w:rFonts w:ascii="Times New Roman" w:cs="Times New Roman" w:hAnsi="Times New Roman" w:eastAsia="Times New Roman"/>
          <w:b w:val="1"/>
          <w:bCs w:val="1"/>
          <w:sz w:val="24"/>
          <w:szCs w:val="24"/>
          <w:u w:val="single"/>
        </w:rPr>
      </w:pPr>
    </w:p>
    <w:p>
      <w:pPr>
        <w:pStyle w:val="Body"/>
        <w:spacing w:line="480" w:lineRule="auto"/>
        <w:rPr>
          <w:rFonts w:ascii="Times New Roman" w:cs="Times New Roman" w:hAnsi="Times New Roman" w:eastAsia="Times New Roman"/>
          <w:b w:val="1"/>
          <w:bCs w:val="1"/>
          <w:sz w:val="24"/>
          <w:szCs w:val="24"/>
          <w:u w:val="single"/>
        </w:rPr>
      </w:pPr>
      <w:r>
        <w:rPr>
          <w:rFonts w:ascii="Times New Roman" w:hAnsi="Times New Roman"/>
          <w:b w:val="1"/>
          <w:bCs w:val="1"/>
          <w:sz w:val="24"/>
          <w:szCs w:val="24"/>
          <w:u w:val="single"/>
          <w:rtl w:val="0"/>
          <w:lang w:val="en-US"/>
        </w:rPr>
        <w:t>Group Members  (Shared): Desi</w:t>
      </w:r>
      <w:r>
        <w:rPr>
          <w:rFonts w:ascii="Times New Roman" w:hAnsi="Times New Roman"/>
          <w:b w:val="1"/>
          <w:bCs w:val="1"/>
          <w:sz w:val="24"/>
          <w:szCs w:val="24"/>
          <w:u w:val="single"/>
          <w:rtl w:val="0"/>
          <w:lang w:val="en-US"/>
        </w:rPr>
        <w:t>slava Zhelyazkova</w:t>
      </w:r>
      <w:r>
        <w:rPr>
          <w:rFonts w:ascii="Times New Roman" w:hAnsi="Times New Roman"/>
          <w:b w:val="1"/>
          <w:bCs w:val="1"/>
          <w:sz w:val="24"/>
          <w:szCs w:val="24"/>
          <w:u w:val="single"/>
          <w:rtl w:val="0"/>
          <w:lang w:val="en-US"/>
        </w:rPr>
        <w:t xml:space="preserve"> and Petya</w:t>
      </w:r>
      <w:r>
        <w:rPr>
          <w:rFonts w:ascii="Times New Roman" w:hAnsi="Times New Roman"/>
          <w:b w:val="1"/>
          <w:bCs w:val="1"/>
          <w:sz w:val="24"/>
          <w:szCs w:val="24"/>
          <w:u w:val="single"/>
          <w:rtl w:val="0"/>
          <w:lang w:val="en-US"/>
        </w:rPr>
        <w:t xml:space="preserve"> Niklenova</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Critically analyse reasons why BP may source for debt internationally, and, more specifically, explain whether it would be more economically beneficial for the BP</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management to consider taking advantage of interest rate parity in different countries</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British Petroleum (BP) is an international oil and gas company with operations in multiple international markets. As a result of this, the corporation requires significant capital to finance its activities. To raise this capital, BP has historically sourced debt internationally. International debt sourcing has multiple benefits for the company such as helping reduce the cost of funding and hedging against country risks (Ermida, 2014).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One key factor that needs to be considered when sourcing for debt internationally is the interest rate parity between different countries. Interest rate parity states that the difference between two countries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interest rates should remain the same after adjusting for foreign exchange differences. When borrowing from a foreign country, BP can benefit from interest rate parity by taking advantage of lower interest rates in other countries or benefiting from different risk-reward profiles between countries. This can help the corporation save money on its debt costs and make it easier to manage its foreign exchange exposure (Penrose, 2013).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Therefore, it is beneficial for BP</w:t>
      </w:r>
      <w:r>
        <w:rPr>
          <w:rFonts w:ascii="Times New Roman" w:hAnsi="Times New Roman" w:hint="default"/>
          <w:sz w:val="24"/>
          <w:szCs w:val="24"/>
          <w:rtl w:val="0"/>
          <w:lang w:val="en-US"/>
        </w:rPr>
        <w:t>’</w:t>
      </w:r>
      <w:r>
        <w:rPr>
          <w:rFonts w:ascii="Times New Roman" w:hAnsi="Times New Roman"/>
          <w:sz w:val="24"/>
          <w:szCs w:val="24"/>
          <w:rtl w:val="0"/>
          <w:lang w:val="en-US"/>
        </w:rPr>
        <w:t xml:space="preserve">s management to consider taking advantage of interest rate parity when sourcing for debt internationally. By doing so, BP can take advantage of lower interest rates in other countries, which can result in significant savings for the corporation. Additionally, BP can benefit from different risk-reward profiles between countries, which can help them better manage their foreign exchange exposure (Chaplinsky, Lynch and Doherty, 2017). For example, BP may decide to borrow from a country that offers higher returns due to higher perceived risk. Doing so will give the corporation access to funds at reasonable interest rates while also providing them with additional protection against currency devaluation.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Furthermore, due to changes in global markets, BP may decide to switch lenders over time to take advantage of interest rate parity. For instance, if interest rates increase in one country while decreasing in another, BP could benefit greatly if they can shift some of their loans over to the country offering lower interest rates. On top of this, understanding interest rate parity allows BP to identify opportunities for refinancing its loans at better terms. Since loans often have higher early repayment charges, being aware of current market trends and shifting lenders accordingly help BP to reduce these charges while </w:t>
      </w:r>
      <w:r>
        <w:rPr>
          <w:rFonts w:ascii="Times New Roman" w:hAnsi="Times New Roman"/>
          <w:sz w:val="24"/>
          <w:szCs w:val="24"/>
          <w:rtl w:val="0"/>
          <w:lang w:val="en-US"/>
        </w:rPr>
        <w:t>maximising</w:t>
      </w:r>
      <w:r>
        <w:rPr>
          <w:rFonts w:ascii="Times New Roman" w:hAnsi="Times New Roman"/>
          <w:sz w:val="24"/>
          <w:szCs w:val="24"/>
          <w:rtl w:val="0"/>
          <w:lang w:val="en-US"/>
        </w:rPr>
        <w:t xml:space="preserve"> returns (Penrose, 2013). </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Ultimately, understanding and taking advantage of interest rate parity allows BP to </w:t>
      </w:r>
      <w:r>
        <w:rPr>
          <w:rFonts w:ascii="Times New Roman" w:hAnsi="Times New Roman"/>
          <w:sz w:val="24"/>
          <w:szCs w:val="24"/>
          <w:rtl w:val="0"/>
          <w:lang w:val="en-US"/>
        </w:rPr>
        <w:t>optimise</w:t>
      </w:r>
      <w:r>
        <w:rPr>
          <w:rFonts w:ascii="Times New Roman" w:hAnsi="Times New Roman"/>
          <w:sz w:val="24"/>
          <w:szCs w:val="24"/>
          <w:rtl w:val="0"/>
          <w:lang w:val="en-US"/>
        </w:rPr>
        <w:t xml:space="preserve"> its financing arrangements while </w:t>
      </w:r>
      <w:r>
        <w:rPr>
          <w:rFonts w:ascii="Times New Roman" w:hAnsi="Times New Roman"/>
          <w:sz w:val="24"/>
          <w:szCs w:val="24"/>
          <w:rtl w:val="0"/>
          <w:lang w:val="en-US"/>
        </w:rPr>
        <w:t>minimising</w:t>
      </w:r>
      <w:r>
        <w:rPr>
          <w:rFonts w:ascii="Times New Roman" w:hAnsi="Times New Roman"/>
          <w:sz w:val="24"/>
          <w:szCs w:val="24"/>
          <w:rtl w:val="0"/>
          <w:lang w:val="en-US"/>
        </w:rPr>
        <w:t xml:space="preserve"> potential losses due to currency volatility. In addition, since most international loans come with covenants and restrictions on how the funds are used, understanding interest rate parity enables BP to avoid any unintended liabilities (Ermida, 2014). It also provides BP with an opportunity to monitor current market conditions and adjusts its strategy accordingly. Lastly, understanding interest rate parity can help BP identify hidden opportunities in the form of low-cost borrowing or reduced foreign exchange costs (Chaplinsky, Lynch and Doherty, 2017). In conclusion, by taking advantage of interest rate parity when sourcing for debt internationally, BP can </w:t>
      </w:r>
      <w:r>
        <w:rPr>
          <w:rFonts w:ascii="Times New Roman" w:hAnsi="Times New Roman"/>
          <w:sz w:val="24"/>
          <w:szCs w:val="24"/>
          <w:rtl w:val="0"/>
          <w:lang w:val="en-US"/>
        </w:rPr>
        <w:t>minimise</w:t>
      </w:r>
      <w:r>
        <w:rPr>
          <w:rFonts w:ascii="Times New Roman" w:hAnsi="Times New Roman"/>
          <w:sz w:val="24"/>
          <w:szCs w:val="24"/>
          <w:rtl w:val="0"/>
          <w:lang w:val="en-US"/>
        </w:rPr>
        <w:t xml:space="preserve"> its overall financial risks while </w:t>
      </w:r>
      <w:r>
        <w:rPr>
          <w:rFonts w:ascii="Times New Roman" w:hAnsi="Times New Roman"/>
          <w:sz w:val="24"/>
          <w:szCs w:val="24"/>
          <w:rtl w:val="0"/>
          <w:lang w:val="en-US"/>
        </w:rPr>
        <w:t>maximising</w:t>
      </w:r>
      <w:r>
        <w:rPr>
          <w:rFonts w:ascii="Times New Roman" w:hAnsi="Times New Roman"/>
          <w:sz w:val="24"/>
          <w:szCs w:val="24"/>
          <w:rtl w:val="0"/>
          <w:lang w:val="en-US"/>
        </w:rPr>
        <w:t xml:space="preserve"> returns.</w:t>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Conclusion</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British Petroleum (BP) Corporation has been engaging in international business for more than a century, and its </w:t>
      </w:r>
      <w:r>
        <w:rPr>
          <w:rFonts w:ascii="Times New Roman" w:hAnsi="Times New Roman"/>
          <w:sz w:val="24"/>
          <w:szCs w:val="24"/>
          <w:rtl w:val="0"/>
          <w:lang w:val="en-US"/>
        </w:rPr>
        <w:t>internationalisation</w:t>
      </w:r>
      <w:r>
        <w:rPr>
          <w:rFonts w:ascii="Times New Roman" w:hAnsi="Times New Roman"/>
          <w:sz w:val="24"/>
          <w:szCs w:val="24"/>
          <w:rtl w:val="0"/>
          <w:lang w:val="en-US"/>
        </w:rPr>
        <w:t xml:space="preserve"> strategy has proven to be beneficial. BP's global operations are </w:t>
      </w:r>
      <w:r>
        <w:rPr>
          <w:rFonts w:ascii="Times New Roman" w:hAnsi="Times New Roman"/>
          <w:sz w:val="24"/>
          <w:szCs w:val="24"/>
          <w:rtl w:val="0"/>
          <w:lang w:val="en-US"/>
        </w:rPr>
        <w:t>fuelled</w:t>
      </w:r>
      <w:r>
        <w:rPr>
          <w:rFonts w:ascii="Times New Roman" w:hAnsi="Times New Roman"/>
          <w:sz w:val="24"/>
          <w:szCs w:val="24"/>
          <w:rtl w:val="0"/>
          <w:lang w:val="en-US"/>
        </w:rPr>
        <w:t xml:space="preserve"> by its access to markets, natural resources, and technological innovations that exist beyond its native country of Britain. The corporation is exposed to various country risks and financial risks that can affect the success of its operations and investments. To counter this, BP has adopted various strategies to manage its financial risks, such as taking advantage of interest rate parity in different countries and mitigating its exposure to foreign exchange risk. Through these strategies, BP has been able to maintain its position as a leading multinational oil and gas company. The company</w:t>
      </w:r>
      <w:r>
        <w:rPr>
          <w:rFonts w:ascii="Times New Roman" w:hAnsi="Times New Roman" w:hint="default"/>
          <w:sz w:val="24"/>
          <w:szCs w:val="24"/>
          <w:rtl w:val="0"/>
          <w:lang w:val="en-US"/>
        </w:rPr>
        <w:t>’</w:t>
      </w:r>
      <w:r>
        <w:rPr>
          <w:rFonts w:ascii="Times New Roman" w:hAnsi="Times New Roman"/>
          <w:sz w:val="24"/>
          <w:szCs w:val="24"/>
          <w:rtl w:val="0"/>
          <w:lang w:val="en-US"/>
        </w:rPr>
        <w:t>s presence in so many countries gives it an advantage when it comes to developing new technologies and expanding its customer base.</w:t>
      </w:r>
    </w:p>
    <w:p>
      <w:pPr>
        <w:pStyle w:val="Body"/>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With the help of its strong political connections, BP can gain entry into markets where other companies may not have access. BP also benefits from reduced production costs due to economies of scale, which allows them to produce products at lower prices compared to smaller local firms. Lastly,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considerable size and diversified portfolio allow it to diversify geographically, which helps it stay competitive in uncertain economic climates. By implementing strategic measures to </w:t>
      </w:r>
      <w:r>
        <w:rPr>
          <w:rFonts w:ascii="Times New Roman" w:hAnsi="Times New Roman"/>
          <w:sz w:val="24"/>
          <w:szCs w:val="24"/>
          <w:rtl w:val="0"/>
          <w:lang w:val="en-US"/>
        </w:rPr>
        <w:t>minimise</w:t>
      </w:r>
      <w:r>
        <w:rPr>
          <w:rFonts w:ascii="Times New Roman" w:hAnsi="Times New Roman"/>
          <w:sz w:val="24"/>
          <w:szCs w:val="24"/>
          <w:rtl w:val="0"/>
          <w:lang w:val="en-US"/>
        </w:rPr>
        <w:t xml:space="preserve"> risk while still taking advantage of opportunities abroad, BP has successfully managed its </w:t>
      </w:r>
      <w:r>
        <w:rPr>
          <w:rFonts w:ascii="Times New Roman" w:hAnsi="Times New Roman"/>
          <w:sz w:val="24"/>
          <w:szCs w:val="24"/>
          <w:rtl w:val="0"/>
          <w:lang w:val="en-US"/>
        </w:rPr>
        <w:t>internationalisation</w:t>
      </w:r>
      <w:r>
        <w:rPr>
          <w:rFonts w:ascii="Times New Roman" w:hAnsi="Times New Roman"/>
          <w:sz w:val="24"/>
          <w:szCs w:val="24"/>
          <w:rtl w:val="0"/>
          <w:lang w:val="pt-PT"/>
        </w:rPr>
        <w:t xml:space="preserve"> process.</w:t>
      </w:r>
    </w:p>
    <w:p>
      <w:pPr>
        <w:pStyle w:val="Body"/>
        <w:spacing w:line="480" w:lineRule="auto"/>
        <w:rPr>
          <w:rFonts w:ascii="Times New Roman" w:cs="Times New Roman" w:hAnsi="Times New Roman" w:eastAsia="Times New Roman"/>
          <w:sz w:val="24"/>
          <w:szCs w:val="24"/>
        </w:rPr>
      </w:pPr>
    </w:p>
    <w:p>
      <w:pPr>
        <w:pStyle w:val="Body"/>
        <w:spacing w:line="480" w:lineRule="auto"/>
      </w:pPr>
      <w:r>
        <w:rPr>
          <w:rFonts w:ascii="Arial Unicode MS" w:cs="Arial Unicode MS" w:hAnsi="Arial Unicode MS" w:eastAsia="Arial Unicode MS"/>
          <w:b w:val="0"/>
          <w:bCs w:val="0"/>
          <w:i w:val="0"/>
          <w:iCs w:val="0"/>
          <w:sz w:val="24"/>
          <w:szCs w:val="24"/>
        </w:rPr>
        <w:br w:type="page"/>
      </w:r>
    </w:p>
    <w:p>
      <w:pPr>
        <w:pStyle w:val="Body"/>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Alfaro, L., Calani, M. and Varela, L., 2021. </w:t>
      </w:r>
      <w:r>
        <w:rPr>
          <w:rFonts w:ascii="Times New Roman" w:hAnsi="Times New Roman"/>
          <w:i w:val="1"/>
          <w:iCs w:val="1"/>
          <w:sz w:val="24"/>
          <w:szCs w:val="24"/>
          <w:rtl w:val="0"/>
          <w:lang w:val="en-US"/>
        </w:rPr>
        <w:t>Currency hedging: Managing cash flow exposure</w:t>
      </w:r>
      <w:r>
        <w:rPr>
          <w:rFonts w:ascii="Times New Roman" w:hAnsi="Times New Roman"/>
          <w:sz w:val="24"/>
          <w:szCs w:val="24"/>
          <w:rtl w:val="0"/>
          <w:lang w:val="en-US"/>
        </w:rPr>
        <w:t xml:space="preserve"> (No. w28910). National Bureau of Economic Research.</w:t>
      </w:r>
    </w:p>
    <w:p>
      <w:pPr>
        <w:pStyle w:val="Normal (Web)"/>
        <w:spacing w:line="480" w:lineRule="auto"/>
        <w:ind w:left="720" w:hanging="720"/>
      </w:pPr>
      <w:r>
        <w:rPr>
          <w:rStyle w:val="markedcontent"/>
          <w:rtl w:val="0"/>
          <w:lang w:val="en-US"/>
        </w:rPr>
        <w:t xml:space="preserve">BP Annual Report 2019 (2019) </w:t>
      </w:r>
      <w:r>
        <w:rPr>
          <w:i w:val="1"/>
          <w:iCs w:val="1"/>
          <w:rtl w:val="0"/>
          <w:lang w:val="en-US"/>
        </w:rPr>
        <w:t>Corporate governance - BP</w:t>
      </w:r>
      <w:r>
        <w:rPr>
          <w:rStyle w:val="markedcontent"/>
          <w:rtl w:val="0"/>
          <w:lang w:val="en-US"/>
        </w:rPr>
        <w:t xml:space="preserve">, </w:t>
      </w:r>
      <w:r>
        <w:rPr>
          <w:i w:val="1"/>
          <w:iCs w:val="1"/>
          <w:rtl w:val="0"/>
          <w:lang w:val="en-US"/>
        </w:rPr>
        <w:t>BP Annual Report and Form 20-F 2019</w:t>
      </w:r>
      <w:r>
        <w:rPr>
          <w:rStyle w:val="markedcontent"/>
          <w:rtl w:val="0"/>
          <w:lang w:val="en-US"/>
        </w:rPr>
        <w:t xml:space="preserve">. BP. Available at: https://www.bp.com/content/dam/bp/business-sites/en/global/corporate/pdfs/investors/bp-directors-remuneration-report-2020.pdf (Accessed: January 3, 2023). </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Carril-Caccia, F. and Pavlova, E., 2018. Foreign direct investment and its drivers: a global and EU perspective. </w:t>
      </w:r>
      <w:r>
        <w:rPr>
          <w:rFonts w:ascii="Times New Roman" w:hAnsi="Times New Roman"/>
          <w:i w:val="1"/>
          <w:iCs w:val="1"/>
          <w:sz w:val="24"/>
          <w:szCs w:val="24"/>
          <w:rtl w:val="0"/>
          <w:lang w:val="fr-FR"/>
        </w:rPr>
        <w:t>Economic Bulletin Articles</w:t>
      </w:r>
      <w:r>
        <w:rPr>
          <w:rFonts w:ascii="Times New Roman" w:hAnsi="Times New Roman"/>
          <w:sz w:val="24"/>
          <w:szCs w:val="24"/>
          <w:rtl w:val="0"/>
        </w:rPr>
        <w:t xml:space="preserve">, </w:t>
      </w:r>
      <w:r>
        <w:rPr>
          <w:rFonts w:ascii="Times New Roman" w:hAnsi="Times New Roman"/>
          <w:i w:val="1"/>
          <w:iCs w:val="1"/>
          <w:sz w:val="24"/>
          <w:szCs w:val="24"/>
          <w:rtl w:val="0"/>
        </w:rPr>
        <w:t>4</w:t>
      </w:r>
      <w:r>
        <w:rPr>
          <w:rFonts w:ascii="Times New Roman" w:hAnsi="Times New Roman"/>
          <w:sz w:val="24"/>
          <w:szCs w:val="24"/>
          <w:rtl w:val="0"/>
        </w:rPr>
        <w:t>.</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Chaplinsky, S., Lynch, L.J. and Doherty, P., 2017. British Petroleum, Ltd. </w:t>
      </w:r>
      <w:r>
        <w:rPr>
          <w:rFonts w:ascii="Times New Roman" w:hAnsi="Times New Roman"/>
          <w:i w:val="1"/>
          <w:iCs w:val="1"/>
          <w:sz w:val="24"/>
          <w:szCs w:val="24"/>
          <w:rtl w:val="0"/>
          <w:lang w:val="en-US"/>
        </w:rPr>
        <w:t>Darden Business Publishing Cases</w:t>
      </w:r>
      <w:r>
        <w:rPr>
          <w:rFonts w:ascii="Times New Roman" w:hAnsi="Times New Roman"/>
          <w:sz w:val="24"/>
          <w:szCs w:val="24"/>
          <w:rtl w:val="0"/>
        </w:rPr>
        <w:t>.</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Ermida, G., 2014. Strategic decisions of international oil companies: Arctic versus other regions. </w:t>
      </w:r>
      <w:r>
        <w:rPr>
          <w:rFonts w:ascii="Times New Roman" w:hAnsi="Times New Roman"/>
          <w:i w:val="1"/>
          <w:iCs w:val="1"/>
          <w:sz w:val="24"/>
          <w:szCs w:val="24"/>
          <w:rtl w:val="0"/>
          <w:lang w:val="en-US"/>
        </w:rPr>
        <w:t>Energy Strategy Reviews</w:t>
      </w:r>
      <w:r>
        <w:rPr>
          <w:rFonts w:ascii="Times New Roman" w:hAnsi="Times New Roman"/>
          <w:sz w:val="24"/>
          <w:szCs w:val="24"/>
          <w:rtl w:val="0"/>
        </w:rPr>
        <w:t xml:space="preserve">, </w:t>
      </w:r>
      <w:r>
        <w:rPr>
          <w:rFonts w:ascii="Times New Roman" w:hAnsi="Times New Roman"/>
          <w:i w:val="1"/>
          <w:iCs w:val="1"/>
          <w:sz w:val="24"/>
          <w:szCs w:val="24"/>
          <w:rtl w:val="0"/>
        </w:rPr>
        <w:t>2</w:t>
      </w:r>
      <w:r>
        <w:rPr>
          <w:rFonts w:ascii="Times New Roman" w:hAnsi="Times New Roman"/>
          <w:sz w:val="24"/>
          <w:szCs w:val="24"/>
          <w:rtl w:val="0"/>
        </w:rPr>
        <w:t>(3-4), pp.265-272.</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Gates, S., Nicolas, J.L. and Walker, P.L., 2012. Enterprise risk management: A process for enhanced management and improved performance. </w:t>
      </w:r>
      <w:r>
        <w:rPr>
          <w:rFonts w:ascii="Times New Roman" w:hAnsi="Times New Roman"/>
          <w:i w:val="1"/>
          <w:iCs w:val="1"/>
          <w:sz w:val="24"/>
          <w:szCs w:val="24"/>
          <w:rtl w:val="0"/>
          <w:lang w:val="en-US"/>
        </w:rPr>
        <w:t>Management accounting quarterly</w:t>
      </w:r>
      <w:r>
        <w:rPr>
          <w:rFonts w:ascii="Times New Roman" w:hAnsi="Times New Roman"/>
          <w:sz w:val="24"/>
          <w:szCs w:val="24"/>
          <w:rtl w:val="0"/>
        </w:rPr>
        <w:t xml:space="preserve">, </w:t>
      </w:r>
      <w:r>
        <w:rPr>
          <w:rFonts w:ascii="Times New Roman" w:hAnsi="Times New Roman"/>
          <w:i w:val="1"/>
          <w:iCs w:val="1"/>
          <w:sz w:val="24"/>
          <w:szCs w:val="24"/>
          <w:rtl w:val="0"/>
        </w:rPr>
        <w:t>13</w:t>
      </w:r>
      <w:r>
        <w:rPr>
          <w:rFonts w:ascii="Times New Roman" w:hAnsi="Times New Roman"/>
          <w:sz w:val="24"/>
          <w:szCs w:val="24"/>
          <w:rtl w:val="0"/>
        </w:rPr>
        <w:t>(3), pp.28-38.</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Goldberg, L.S., 2009. Exchange rates and foreign direct investment. </w:t>
      </w:r>
      <w:r>
        <w:rPr>
          <w:rFonts w:ascii="Times New Roman" w:hAnsi="Times New Roman"/>
          <w:i w:val="1"/>
          <w:iCs w:val="1"/>
          <w:sz w:val="24"/>
          <w:szCs w:val="24"/>
          <w:rtl w:val="0"/>
          <w:lang w:val="en-US"/>
        </w:rPr>
        <w:t>The Princeton encyclopedia of the world economy</w:t>
      </w:r>
      <w:r>
        <w:rPr>
          <w:rFonts w:ascii="Times New Roman" w:hAnsi="Times New Roman"/>
          <w:sz w:val="24"/>
          <w:szCs w:val="24"/>
          <w:rtl w:val="0"/>
        </w:rPr>
        <w:t xml:space="preserve">, </w:t>
      </w:r>
      <w:r>
        <w:rPr>
          <w:rFonts w:ascii="Times New Roman" w:hAnsi="Times New Roman"/>
          <w:i w:val="1"/>
          <w:iCs w:val="1"/>
          <w:sz w:val="24"/>
          <w:szCs w:val="24"/>
          <w:rtl w:val="0"/>
        </w:rPr>
        <w:t>1</w:t>
      </w:r>
      <w:r>
        <w:rPr>
          <w:rFonts w:ascii="Times New Roman" w:hAnsi="Times New Roman"/>
          <w:sz w:val="24"/>
          <w:szCs w:val="24"/>
          <w:rtl w:val="0"/>
        </w:rPr>
        <w:t>(1), pp.393-396.</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Hamelin, N., Thaichon, P., Abraham, C., Driver, N., Lipscombe, J. and Pillai, J., 2020. Storytelling, the scale of persuasion and retention: A neuromarketing approach. </w:t>
      </w:r>
      <w:r>
        <w:rPr>
          <w:rFonts w:ascii="Times New Roman" w:hAnsi="Times New Roman"/>
          <w:i w:val="1"/>
          <w:iCs w:val="1"/>
          <w:sz w:val="24"/>
          <w:szCs w:val="24"/>
          <w:rtl w:val="0"/>
          <w:lang w:val="en-US"/>
        </w:rPr>
        <w:t>Journal of Retailing and Consumer Services</w:t>
      </w:r>
      <w:r>
        <w:rPr>
          <w:rFonts w:ascii="Times New Roman" w:hAnsi="Times New Roman"/>
          <w:sz w:val="24"/>
          <w:szCs w:val="24"/>
          <w:rtl w:val="0"/>
        </w:rPr>
        <w:t xml:space="preserve">, </w:t>
      </w:r>
      <w:r>
        <w:rPr>
          <w:rFonts w:ascii="Times New Roman" w:hAnsi="Times New Roman"/>
          <w:i w:val="1"/>
          <w:iCs w:val="1"/>
          <w:sz w:val="24"/>
          <w:szCs w:val="24"/>
          <w:rtl w:val="0"/>
        </w:rPr>
        <w:t>55</w:t>
      </w:r>
      <w:r>
        <w:rPr>
          <w:rFonts w:ascii="Times New Roman" w:hAnsi="Times New Roman"/>
          <w:sz w:val="24"/>
          <w:szCs w:val="24"/>
          <w:rtl w:val="0"/>
        </w:rPr>
        <w:t>, p.102099.</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Huang, N., Jiang, S., Sun, Y. and Yuwen, Z., 2021, December. The Hedging Policies of BP with the Systematical Analysis. In </w:t>
      </w:r>
      <w:r>
        <w:rPr>
          <w:rFonts w:ascii="Times New Roman" w:hAnsi="Times New Roman"/>
          <w:i w:val="1"/>
          <w:iCs w:val="1"/>
          <w:sz w:val="24"/>
          <w:szCs w:val="24"/>
          <w:rtl w:val="0"/>
          <w:lang w:val="en-US"/>
        </w:rPr>
        <w:t>2021 3rd International Conference on Economic Management and Cultural Industry (ICEMCI 2021)</w:t>
      </w:r>
      <w:r>
        <w:rPr>
          <w:rFonts w:ascii="Times New Roman" w:hAnsi="Times New Roman"/>
          <w:sz w:val="24"/>
          <w:szCs w:val="24"/>
          <w:rtl w:val="0"/>
        </w:rPr>
        <w:t xml:space="preserve"> (pp. 1129-1134). Atlantis Press.</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Huang, N., Jiang, S., Sun, Y. and Yuwen, Z., 2021, December. The Hedging Policies of BP with the Systematical Analysis. In </w:t>
      </w:r>
      <w:r>
        <w:rPr>
          <w:rFonts w:ascii="Times New Roman" w:hAnsi="Times New Roman"/>
          <w:i w:val="1"/>
          <w:iCs w:val="1"/>
          <w:sz w:val="24"/>
          <w:szCs w:val="24"/>
          <w:rtl w:val="0"/>
          <w:lang w:val="en-US"/>
        </w:rPr>
        <w:t>2021 3rd International Conference on Economic Management and Cultural Industry (ICEMCI 2021)</w:t>
      </w:r>
      <w:r>
        <w:rPr>
          <w:rFonts w:ascii="Times New Roman" w:hAnsi="Times New Roman"/>
          <w:sz w:val="24"/>
          <w:szCs w:val="24"/>
          <w:rtl w:val="0"/>
        </w:rPr>
        <w:t xml:space="preserve"> (pp. 1129-1134). Atlantis Press.</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Kim, I.S. and Milner, H.V., 2019. Multinational corporations and their influence through lobbying on foreign policy. </w:t>
      </w:r>
      <w:r>
        <w:rPr>
          <w:rFonts w:ascii="Times New Roman" w:hAnsi="Times New Roman"/>
          <w:i w:val="1"/>
          <w:iCs w:val="1"/>
          <w:sz w:val="24"/>
          <w:szCs w:val="24"/>
          <w:rtl w:val="0"/>
          <w:lang w:val="en-US"/>
        </w:rPr>
        <w:t>Multinational Corporations in a Changing Global Economy</w:t>
      </w:r>
      <w:r>
        <w:rPr>
          <w:rFonts w:ascii="Times New Roman" w:hAnsi="Times New Roman"/>
          <w:sz w:val="24"/>
          <w:szCs w:val="24"/>
          <w:rtl w:val="0"/>
        </w:rPr>
        <w:t>.</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Le, T.H., Le, A.T. and Le, H.C., 2021. The historic oil price fluctuation during the Covid-19 pandemic: What are the causes?. </w:t>
      </w:r>
      <w:r>
        <w:rPr>
          <w:rFonts w:ascii="Times New Roman" w:hAnsi="Times New Roman"/>
          <w:i w:val="1"/>
          <w:iCs w:val="1"/>
          <w:sz w:val="24"/>
          <w:szCs w:val="24"/>
          <w:rtl w:val="0"/>
          <w:lang w:val="en-US"/>
        </w:rPr>
        <w:t>Research in International Business and Finance</w:t>
      </w:r>
      <w:r>
        <w:rPr>
          <w:rFonts w:ascii="Times New Roman" w:hAnsi="Times New Roman"/>
          <w:sz w:val="24"/>
          <w:szCs w:val="24"/>
          <w:rtl w:val="0"/>
        </w:rPr>
        <w:t xml:space="preserve">, </w:t>
      </w:r>
      <w:r>
        <w:rPr>
          <w:rFonts w:ascii="Times New Roman" w:hAnsi="Times New Roman"/>
          <w:i w:val="1"/>
          <w:iCs w:val="1"/>
          <w:sz w:val="24"/>
          <w:szCs w:val="24"/>
          <w:rtl w:val="0"/>
          <w:lang w:val="ru-RU"/>
        </w:rPr>
        <w:t>58</w:t>
      </w:r>
      <w:r>
        <w:rPr>
          <w:rFonts w:ascii="Times New Roman" w:hAnsi="Times New Roman"/>
          <w:sz w:val="24"/>
          <w:szCs w:val="24"/>
          <w:rtl w:val="0"/>
        </w:rPr>
        <w:t>, p.101489.</w:t>
      </w:r>
    </w:p>
    <w:p>
      <w:pPr>
        <w:pStyle w:val="Body"/>
        <w:spacing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Nguyen, T.N., 2011. Foreign direct investment in real estate projects and macroeconomic instability. </w:t>
      </w:r>
      <w:r>
        <w:rPr>
          <w:rFonts w:ascii="Times New Roman" w:hAnsi="Times New Roman"/>
          <w:i w:val="1"/>
          <w:iCs w:val="1"/>
          <w:sz w:val="24"/>
          <w:szCs w:val="24"/>
          <w:rtl w:val="0"/>
          <w:lang w:val="nl-NL"/>
        </w:rPr>
        <w:t>ASEAN Economic Bulletin</w:t>
      </w:r>
      <w:r>
        <w:rPr>
          <w:rFonts w:ascii="Times New Roman" w:hAnsi="Times New Roman"/>
          <w:sz w:val="24"/>
          <w:szCs w:val="24"/>
          <w:rtl w:val="0"/>
        </w:rPr>
        <w:t>, pp.74-96.</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rPr>
        <w:t xml:space="preserve">Penrose, E., 2013. </w:t>
      </w:r>
      <w:r>
        <w:rPr>
          <w:rFonts w:ascii="Times New Roman" w:hAnsi="Times New Roman"/>
          <w:i w:val="1"/>
          <w:iCs w:val="1"/>
          <w:sz w:val="24"/>
          <w:szCs w:val="24"/>
          <w:rtl w:val="0"/>
          <w:lang w:val="en-US"/>
        </w:rPr>
        <w:t>The Large International Firm (RLE International Business)</w:t>
      </w:r>
      <w:r>
        <w:rPr>
          <w:rFonts w:ascii="Times New Roman" w:hAnsi="Times New Roman"/>
          <w:sz w:val="24"/>
          <w:szCs w:val="24"/>
          <w:rtl w:val="0"/>
          <w:lang w:val="en-US"/>
        </w:rPr>
        <w:t>. Routledge.</w:t>
      </w:r>
    </w:p>
    <w:p>
      <w:pPr>
        <w:pStyle w:val="Body"/>
        <w:spacing w:line="480" w:lineRule="auto"/>
      </w:pPr>
      <w:r>
        <w:rPr>
          <w:rFonts w:ascii="Times New Roman" w:hAnsi="Times New Roman"/>
          <w:sz w:val="24"/>
          <w:szCs w:val="24"/>
          <w:rtl w:val="0"/>
          <w:lang w:val="en-US"/>
        </w:rPr>
        <w:t xml:space="preserve">Valvi, A.C. and Fragkos, K.C., 2013. Crisis communication strategies: A case of British Petroleum. </w:t>
      </w:r>
      <w:r>
        <w:rPr>
          <w:rFonts w:ascii="Times New Roman" w:hAnsi="Times New Roman"/>
          <w:i w:val="1"/>
          <w:iCs w:val="1"/>
          <w:sz w:val="24"/>
          <w:szCs w:val="24"/>
          <w:rtl w:val="0"/>
          <w:lang w:val="en-US"/>
        </w:rPr>
        <w:t>Industrial and Commercial Training</w:t>
      </w:r>
      <w:r>
        <w:rPr>
          <w:rFonts w:ascii="Times New Roman" w:hAnsi="Times New Roman"/>
          <w:sz w:val="24"/>
          <w:szCs w:val="24"/>
          <w:rtl w:val="0"/>
        </w:rPr>
        <w:t>.</w:t>
      </w:r>
    </w:p>
    <w:sectPr>
      <w:headerReference w:type="default" r:id="rId5"/>
      <w:headerReference w:type="first" r:id="rId6"/>
      <w:footerReference w:type="default" r:id="rId7"/>
      <w:footerReference w:type="first" r:id="rId8"/>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rPr>
        <w:sz w:val="24"/>
        <w:szCs w:val="24"/>
        <w:rtl w:val="0"/>
        <w:lang w:val="en-US"/>
      </w:rPr>
      <w:t>INTERNAL FINANCIAL MANAGEMENT</w:t>
    </w:r>
    <w:r>
      <w:rPr>
        <w:rtl w:val="0"/>
      </w:rPr>
      <w:t xml:space="preserve"> </w:t>
    </w:r>
    <w:r>
      <w:rPr>
        <w:sz w:val="24"/>
        <w:szCs w:val="24"/>
        <w:rtl w:val="0"/>
        <w:lang w:val="en-US"/>
      </w:rPr>
      <w:t xml:space="preserve">ASSIGNMENT 2 </w:t>
      <w:tab/>
      <w:tab/>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rPr>
        <w:sz w:val="24"/>
        <w:szCs w:val="24"/>
        <w:rtl w:val="0"/>
        <w:lang w:val="en-US"/>
      </w:rPr>
      <w:t xml:space="preserve"> </w:t>
    </w:r>
    <w:r>
      <w:rPr>
        <w:sz w:val="24"/>
        <w:szCs w:val="24"/>
        <w:rtl w:val="0"/>
        <w:lang w:val="en-US"/>
      </w:rPr>
      <w:t xml:space="preserve">INTERNAL FINANCIAL MANAGEMENT </w:t>
    </w:r>
    <w:r>
      <w:rPr>
        <w:sz w:val="24"/>
        <w:szCs w:val="24"/>
        <w:rtl w:val="0"/>
        <w:lang w:val="en-US"/>
      </w:rPr>
      <w:t xml:space="preserve">ASSIGNMENT 2 </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4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character" w:styleId="markedcontent">
    <w:name w:val="markedcontent"/>
    <w:rPr>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