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DADE2" w14:textId="77777777" w:rsidR="00E368BE" w:rsidRPr="00E368BE" w:rsidRDefault="00E368BE" w:rsidP="00E368BE">
      <w:pPr>
        <w:spacing w:after="0" w:line="240" w:lineRule="auto"/>
        <w:jc w:val="center"/>
        <w:rPr>
          <w:rFonts w:ascii="Tahoma" w:eastAsia="Times New Roman" w:hAnsi="Tahoma" w:cs="Tahoma"/>
          <w:b/>
          <w:sz w:val="24"/>
          <w:szCs w:val="24"/>
          <w:u w:val="single"/>
          <w:lang w:eastAsia="en-GB"/>
        </w:rPr>
      </w:pPr>
    </w:p>
    <w:p w14:paraId="0C048900" w14:textId="77777777" w:rsidR="00E368BE" w:rsidRPr="00E368BE" w:rsidRDefault="00E368BE" w:rsidP="00E368BE">
      <w:pPr>
        <w:spacing w:after="0" w:line="240" w:lineRule="auto"/>
        <w:jc w:val="both"/>
        <w:rPr>
          <w:rFonts w:ascii="Tahoma" w:eastAsia="Times New Roman" w:hAnsi="Tahoma" w:cs="Tahoma"/>
          <w:b/>
          <w:sz w:val="24"/>
          <w:szCs w:val="24"/>
          <w:u w:val="single"/>
          <w:lang w:eastAsia="en-GB"/>
        </w:rPr>
      </w:pPr>
    </w:p>
    <w:p w14:paraId="25088CEF" w14:textId="77777777" w:rsidR="00E368BE" w:rsidRPr="00E368BE" w:rsidRDefault="00E368BE" w:rsidP="00E368BE">
      <w:pPr>
        <w:spacing w:after="0" w:line="240" w:lineRule="auto"/>
        <w:jc w:val="both"/>
        <w:rPr>
          <w:rFonts w:ascii="Tahoma" w:eastAsia="Times New Roman" w:hAnsi="Tahoma" w:cs="Tahoma"/>
          <w:b/>
          <w:sz w:val="24"/>
          <w:szCs w:val="24"/>
          <w:u w:val="single"/>
          <w:lang w:eastAsia="en-GB"/>
        </w:rPr>
      </w:pPr>
    </w:p>
    <w:p w14:paraId="54136EAF" w14:textId="77777777" w:rsidR="00E368BE" w:rsidRPr="00E368BE" w:rsidRDefault="00E368BE" w:rsidP="00E368BE">
      <w:pPr>
        <w:spacing w:after="0" w:line="240" w:lineRule="auto"/>
        <w:jc w:val="both"/>
        <w:rPr>
          <w:rFonts w:ascii="Tahoma" w:eastAsia="Times New Roman" w:hAnsi="Tahoma" w:cs="Tahoma"/>
          <w:b/>
          <w:sz w:val="24"/>
          <w:szCs w:val="24"/>
          <w:u w:val="single"/>
          <w:lang w:eastAsia="en-GB"/>
        </w:rPr>
      </w:pPr>
      <w:r w:rsidRPr="00E368BE">
        <w:rPr>
          <w:rFonts w:ascii="Tahoma" w:eastAsia="Times New Roman" w:hAnsi="Tahoma" w:cs="Tahoma"/>
          <w:b/>
          <w:sz w:val="24"/>
          <w:szCs w:val="24"/>
          <w:u w:val="single"/>
          <w:lang w:eastAsia="en-GB"/>
        </w:rPr>
        <w:t>LEVEL 4 – Student Journal (750 words)</w:t>
      </w:r>
    </w:p>
    <w:p w14:paraId="088A22D1" w14:textId="77777777" w:rsidR="00E368BE" w:rsidRPr="00E368BE" w:rsidRDefault="00E368BE" w:rsidP="00E368BE">
      <w:pPr>
        <w:spacing w:after="0" w:line="240" w:lineRule="auto"/>
        <w:jc w:val="both"/>
        <w:rPr>
          <w:rFonts w:ascii="Tahoma" w:eastAsia="Times New Roman" w:hAnsi="Tahoma" w:cs="Tahoma"/>
          <w:b/>
          <w:sz w:val="24"/>
          <w:szCs w:val="24"/>
          <w:u w:val="single"/>
          <w:lang w:eastAsia="en-GB"/>
        </w:rPr>
      </w:pPr>
    </w:p>
    <w:p w14:paraId="36666D57" w14:textId="77777777" w:rsidR="00E368BE" w:rsidRPr="00E368BE" w:rsidRDefault="00E368BE" w:rsidP="00E368BE">
      <w:pPr>
        <w:spacing w:after="0" w:line="240" w:lineRule="auto"/>
        <w:jc w:val="both"/>
        <w:rPr>
          <w:rFonts w:ascii="Tahoma" w:eastAsia="Times New Roman" w:hAnsi="Tahoma" w:cs="Tahoma"/>
          <w:sz w:val="24"/>
          <w:szCs w:val="24"/>
          <w:lang w:eastAsia="en-GB"/>
        </w:rPr>
      </w:pPr>
      <w:r w:rsidRPr="00E368BE">
        <w:rPr>
          <w:rFonts w:ascii="Tahoma" w:eastAsia="Times New Roman" w:hAnsi="Tahoma" w:cs="Tahoma"/>
          <w:sz w:val="24"/>
          <w:szCs w:val="24"/>
          <w:lang w:eastAsia="en-GB"/>
        </w:rPr>
        <w:t>You are required to complete a journal entry to capture the learning experience and knowledge you have acquiring during a particular lecture.  You may choose from the following topics:</w:t>
      </w:r>
    </w:p>
    <w:p w14:paraId="127D6C0A" w14:textId="77777777" w:rsidR="00E368BE" w:rsidRPr="00E368BE" w:rsidRDefault="00E368BE" w:rsidP="00E368BE">
      <w:pPr>
        <w:numPr>
          <w:ilvl w:val="0"/>
          <w:numId w:val="1"/>
        </w:numPr>
        <w:spacing w:before="100" w:beforeAutospacing="1" w:after="100" w:afterAutospacing="1" w:line="240" w:lineRule="auto"/>
        <w:rPr>
          <w:rFonts w:ascii="SymbolMT" w:eastAsia="Times New Roman" w:hAnsi="SymbolMT" w:cs="Times New Roman"/>
          <w:sz w:val="24"/>
          <w:szCs w:val="24"/>
          <w:lang w:eastAsia="en-GB"/>
        </w:rPr>
      </w:pPr>
      <w:r w:rsidRPr="00E368BE">
        <w:rPr>
          <w:rFonts w:ascii="Calibri" w:eastAsia="Times New Roman" w:hAnsi="Calibri" w:cs="Calibri"/>
          <w:sz w:val="24"/>
          <w:szCs w:val="24"/>
          <w:lang w:eastAsia="en-GB"/>
        </w:rPr>
        <w:t xml:space="preserve">Allergies and Intolerances and the importance within the industry </w:t>
      </w:r>
    </w:p>
    <w:p w14:paraId="70A66F68" w14:textId="77777777" w:rsidR="00E368BE" w:rsidRPr="00E368BE" w:rsidRDefault="00E368BE" w:rsidP="00E368BE">
      <w:pPr>
        <w:numPr>
          <w:ilvl w:val="0"/>
          <w:numId w:val="1"/>
        </w:numPr>
        <w:spacing w:before="100" w:beforeAutospacing="1" w:after="100" w:afterAutospacing="1" w:line="240" w:lineRule="auto"/>
        <w:rPr>
          <w:rFonts w:ascii="SymbolMT" w:eastAsia="Times New Roman" w:hAnsi="SymbolMT" w:cs="Times New Roman"/>
          <w:sz w:val="24"/>
          <w:szCs w:val="24"/>
          <w:lang w:eastAsia="en-GB"/>
        </w:rPr>
      </w:pPr>
      <w:r w:rsidRPr="00E368BE">
        <w:rPr>
          <w:rFonts w:ascii="Calibri" w:eastAsia="Times New Roman" w:hAnsi="Calibri" w:cs="Calibri"/>
          <w:sz w:val="24"/>
          <w:szCs w:val="24"/>
          <w:lang w:eastAsia="en-GB"/>
        </w:rPr>
        <w:t xml:space="preserve">Ratings, Inspections and Reporting Procedures </w:t>
      </w:r>
    </w:p>
    <w:p w14:paraId="3C0CD654" w14:textId="77777777" w:rsidR="00E368BE" w:rsidRPr="00E368BE" w:rsidRDefault="00E368BE" w:rsidP="00E368BE">
      <w:pPr>
        <w:spacing w:after="0" w:line="240" w:lineRule="auto"/>
        <w:jc w:val="both"/>
        <w:rPr>
          <w:rFonts w:ascii="Tahoma" w:eastAsia="Times New Roman" w:hAnsi="Tahoma" w:cs="Tahoma"/>
          <w:sz w:val="24"/>
          <w:szCs w:val="24"/>
          <w:lang w:eastAsia="en-GB"/>
        </w:rPr>
      </w:pPr>
    </w:p>
    <w:p w14:paraId="53871D92" w14:textId="77777777" w:rsidR="00E368BE" w:rsidRPr="00E368BE" w:rsidRDefault="00E368BE" w:rsidP="00E368BE">
      <w:pPr>
        <w:spacing w:after="0" w:line="240" w:lineRule="auto"/>
        <w:jc w:val="both"/>
        <w:rPr>
          <w:rFonts w:ascii="Tahoma" w:eastAsia="Times New Roman" w:hAnsi="Tahoma" w:cs="Tahoma"/>
          <w:sz w:val="24"/>
          <w:szCs w:val="24"/>
          <w:lang w:eastAsia="en-GB"/>
        </w:rPr>
      </w:pPr>
      <w:r w:rsidRPr="00E368BE">
        <w:rPr>
          <w:rFonts w:ascii="Tahoma" w:eastAsia="Times New Roman" w:hAnsi="Tahoma" w:cs="Tahoma"/>
          <w:sz w:val="24"/>
          <w:szCs w:val="24"/>
          <w:lang w:eastAsia="en-GB"/>
        </w:rPr>
        <w:t xml:space="preserve">Consider the appropriate lectures. What was the topic and what have you learnt? Provide a </w:t>
      </w:r>
      <w:r w:rsidRPr="00E368BE">
        <w:rPr>
          <w:rFonts w:ascii="Tahoma" w:eastAsia="Times New Roman" w:hAnsi="Tahoma" w:cs="Tahoma"/>
          <w:b/>
          <w:bCs/>
          <w:sz w:val="24"/>
          <w:szCs w:val="24"/>
          <w:lang w:eastAsia="en-GB"/>
        </w:rPr>
        <w:t>brief summary</w:t>
      </w:r>
      <w:r w:rsidRPr="00E368BE">
        <w:rPr>
          <w:rFonts w:ascii="Tahoma" w:eastAsia="Times New Roman" w:hAnsi="Tahoma" w:cs="Tahoma"/>
          <w:sz w:val="24"/>
          <w:szCs w:val="24"/>
          <w:lang w:eastAsia="en-GB"/>
        </w:rPr>
        <w:t xml:space="preserve">. What </w:t>
      </w:r>
      <w:r w:rsidRPr="00E368BE">
        <w:rPr>
          <w:rFonts w:ascii="Tahoma" w:eastAsia="Times New Roman" w:hAnsi="Tahoma" w:cs="Tahoma"/>
          <w:b/>
          <w:bCs/>
          <w:sz w:val="24"/>
          <w:szCs w:val="24"/>
          <w:lang w:eastAsia="en-GB"/>
        </w:rPr>
        <w:t>new skills / knowledge have you acquired</w:t>
      </w:r>
      <w:r w:rsidRPr="00E368BE">
        <w:rPr>
          <w:rFonts w:ascii="Tahoma" w:eastAsia="Times New Roman" w:hAnsi="Tahoma" w:cs="Tahoma"/>
          <w:sz w:val="24"/>
          <w:szCs w:val="24"/>
          <w:lang w:eastAsia="en-GB"/>
        </w:rPr>
        <w:t xml:space="preserve">? How will you </w:t>
      </w:r>
      <w:r w:rsidRPr="00E368BE">
        <w:rPr>
          <w:rFonts w:ascii="Tahoma" w:eastAsia="Times New Roman" w:hAnsi="Tahoma" w:cs="Tahoma"/>
          <w:b/>
          <w:bCs/>
          <w:sz w:val="24"/>
          <w:szCs w:val="24"/>
          <w:lang w:eastAsia="en-GB"/>
        </w:rPr>
        <w:t>apply your knowledge in the future</w:t>
      </w:r>
      <w:r w:rsidRPr="00E368BE">
        <w:rPr>
          <w:rFonts w:ascii="Tahoma" w:eastAsia="Times New Roman" w:hAnsi="Tahoma" w:cs="Tahoma"/>
          <w:sz w:val="24"/>
          <w:szCs w:val="24"/>
          <w:lang w:eastAsia="en-GB"/>
        </w:rPr>
        <w:t xml:space="preserve">? What are your </w:t>
      </w:r>
      <w:r w:rsidRPr="00E368BE">
        <w:rPr>
          <w:rFonts w:ascii="Tahoma" w:eastAsia="Times New Roman" w:hAnsi="Tahoma" w:cs="Tahoma"/>
          <w:b/>
          <w:bCs/>
          <w:sz w:val="24"/>
          <w:szCs w:val="24"/>
          <w:lang w:eastAsia="en-GB"/>
        </w:rPr>
        <w:t>personal reflections</w:t>
      </w:r>
      <w:r w:rsidRPr="00E368BE">
        <w:rPr>
          <w:rFonts w:ascii="Tahoma" w:eastAsia="Times New Roman" w:hAnsi="Tahoma" w:cs="Tahoma"/>
          <w:sz w:val="24"/>
          <w:szCs w:val="24"/>
          <w:lang w:eastAsia="en-GB"/>
        </w:rPr>
        <w:t xml:space="preserve"> on the subject? Why is this </w:t>
      </w:r>
      <w:r w:rsidRPr="00E368BE">
        <w:rPr>
          <w:rFonts w:ascii="Tahoma" w:eastAsia="Times New Roman" w:hAnsi="Tahoma" w:cs="Tahoma"/>
          <w:b/>
          <w:bCs/>
          <w:sz w:val="24"/>
          <w:szCs w:val="24"/>
          <w:lang w:eastAsia="en-GB"/>
        </w:rPr>
        <w:t>topic important within the industry</w:t>
      </w:r>
      <w:r w:rsidRPr="00E368BE">
        <w:rPr>
          <w:rFonts w:ascii="Tahoma" w:eastAsia="Times New Roman" w:hAnsi="Tahoma" w:cs="Tahoma"/>
          <w:sz w:val="24"/>
          <w:szCs w:val="24"/>
          <w:lang w:eastAsia="en-GB"/>
        </w:rPr>
        <w:t xml:space="preserve">? Provide </w:t>
      </w:r>
      <w:r w:rsidRPr="00E368BE">
        <w:rPr>
          <w:rFonts w:ascii="Tahoma" w:eastAsia="Times New Roman" w:hAnsi="Tahoma" w:cs="Tahoma"/>
          <w:b/>
          <w:bCs/>
          <w:sz w:val="24"/>
          <w:szCs w:val="24"/>
          <w:lang w:eastAsia="en-GB"/>
        </w:rPr>
        <w:t>evidence of further reading</w:t>
      </w:r>
      <w:r w:rsidRPr="00E368BE">
        <w:rPr>
          <w:rFonts w:ascii="Tahoma" w:eastAsia="Times New Roman" w:hAnsi="Tahoma" w:cs="Tahoma"/>
          <w:sz w:val="24"/>
          <w:szCs w:val="24"/>
          <w:lang w:eastAsia="en-GB"/>
        </w:rPr>
        <w:t>. Include a minimum of 5 references.</w:t>
      </w:r>
    </w:p>
    <w:p w14:paraId="018647B4" w14:textId="77777777" w:rsidR="00E368BE" w:rsidRPr="00E368BE" w:rsidRDefault="00E368BE" w:rsidP="00E368BE">
      <w:pPr>
        <w:spacing w:after="0" w:line="240" w:lineRule="auto"/>
        <w:rPr>
          <w:rFonts w:ascii="Tahoma" w:eastAsia="Times New Roman" w:hAnsi="Tahoma" w:cs="Tahoma"/>
          <w:sz w:val="20"/>
          <w:szCs w:val="20"/>
          <w:lang w:eastAsia="en-GB"/>
        </w:rPr>
      </w:pPr>
    </w:p>
    <w:tbl>
      <w:tblPr>
        <w:tblStyle w:val="TableGrid"/>
        <w:tblW w:w="0" w:type="auto"/>
        <w:tblLook w:val="01E0" w:firstRow="1" w:lastRow="1" w:firstColumn="1" w:lastColumn="1" w:noHBand="0" w:noVBand="0"/>
      </w:tblPr>
      <w:tblGrid>
        <w:gridCol w:w="3987"/>
        <w:gridCol w:w="7195"/>
      </w:tblGrid>
      <w:tr w:rsidR="00E368BE" w:rsidRPr="00E368BE" w14:paraId="07270AA9" w14:textId="77777777" w:rsidTr="00E368BE">
        <w:tc>
          <w:tcPr>
            <w:tcW w:w="3987" w:type="dxa"/>
            <w:shd w:val="clear" w:color="auto" w:fill="8DB3E2"/>
          </w:tcPr>
          <w:p w14:paraId="177979D1" w14:textId="3C90D358" w:rsidR="00E368BE" w:rsidRPr="00E368BE" w:rsidRDefault="00E368BE" w:rsidP="00E368BE">
            <w:pPr>
              <w:rPr>
                <w:rFonts w:ascii="Tahoma" w:hAnsi="Tahoma" w:cs="Tahoma"/>
                <w:b/>
              </w:rPr>
            </w:pPr>
            <w:r w:rsidRPr="00E368BE">
              <w:rPr>
                <w:rFonts w:ascii="Tahoma" w:hAnsi="Tahoma" w:cs="Tahoma"/>
                <w:b/>
              </w:rPr>
              <w:t xml:space="preserve">Student Name: </w:t>
            </w:r>
            <w:r>
              <w:rPr>
                <w:rFonts w:ascii="Tahoma" w:hAnsi="Tahoma" w:cs="Tahoma"/>
                <w:b/>
              </w:rPr>
              <w:t>Abul Lutfor Kalam</w:t>
            </w:r>
          </w:p>
          <w:p w14:paraId="2A430DF6" w14:textId="77777777" w:rsidR="00E368BE" w:rsidRPr="00E368BE" w:rsidRDefault="00E368BE" w:rsidP="00E368BE">
            <w:pPr>
              <w:rPr>
                <w:rFonts w:ascii="Tahoma" w:hAnsi="Tahoma" w:cs="Tahoma"/>
                <w:b/>
              </w:rPr>
            </w:pPr>
          </w:p>
          <w:p w14:paraId="697B5CD6" w14:textId="10303116" w:rsidR="00E368BE" w:rsidRPr="00E368BE" w:rsidRDefault="00E368BE" w:rsidP="00E368BE">
            <w:pPr>
              <w:rPr>
                <w:rFonts w:ascii="Tahoma" w:hAnsi="Tahoma" w:cs="Tahoma"/>
                <w:b/>
              </w:rPr>
            </w:pPr>
            <w:r w:rsidRPr="00E368BE">
              <w:rPr>
                <w:rFonts w:ascii="Tahoma" w:hAnsi="Tahoma" w:cs="Tahoma"/>
                <w:b/>
              </w:rPr>
              <w:t xml:space="preserve">Student Number: </w:t>
            </w:r>
            <w:r>
              <w:rPr>
                <w:rFonts w:ascii="Tahoma" w:hAnsi="Tahoma" w:cs="Tahoma"/>
                <w:b/>
              </w:rPr>
              <w:t>2016944</w:t>
            </w:r>
          </w:p>
          <w:p w14:paraId="3CA5645B" w14:textId="77777777" w:rsidR="00E368BE" w:rsidRPr="00E368BE" w:rsidRDefault="00E368BE" w:rsidP="00E368BE">
            <w:pPr>
              <w:rPr>
                <w:rFonts w:ascii="Tahoma" w:hAnsi="Tahoma" w:cs="Tahoma"/>
                <w:b/>
              </w:rPr>
            </w:pPr>
          </w:p>
        </w:tc>
        <w:tc>
          <w:tcPr>
            <w:tcW w:w="7195" w:type="dxa"/>
            <w:shd w:val="clear" w:color="auto" w:fill="8DB3E2"/>
          </w:tcPr>
          <w:p w14:paraId="3007DAB7" w14:textId="6DCF0EC4" w:rsidR="00E368BE" w:rsidRPr="00E368BE" w:rsidRDefault="00E368BE" w:rsidP="00E368BE">
            <w:pPr>
              <w:rPr>
                <w:rFonts w:ascii="Tahoma" w:hAnsi="Tahoma" w:cs="Tahoma"/>
                <w:b/>
              </w:rPr>
            </w:pPr>
            <w:r w:rsidRPr="00E368BE">
              <w:rPr>
                <w:rFonts w:ascii="Tahoma" w:hAnsi="Tahoma" w:cs="Tahoma"/>
                <w:b/>
              </w:rPr>
              <w:t xml:space="preserve">Module: </w:t>
            </w:r>
            <w:r>
              <w:rPr>
                <w:rFonts w:ascii="Tahoma" w:hAnsi="Tahoma" w:cs="Tahoma"/>
                <w:b/>
              </w:rPr>
              <w:t>BMHI4002</w:t>
            </w:r>
          </w:p>
          <w:p w14:paraId="385E6849" w14:textId="77777777" w:rsidR="00E368BE" w:rsidRPr="00E368BE" w:rsidRDefault="00E368BE" w:rsidP="00E368BE">
            <w:pPr>
              <w:rPr>
                <w:rFonts w:ascii="Tahoma" w:hAnsi="Tahoma" w:cs="Tahoma"/>
                <w:b/>
              </w:rPr>
            </w:pPr>
          </w:p>
          <w:p w14:paraId="18D38F24" w14:textId="7DF4CBAF" w:rsidR="00E368BE" w:rsidRPr="00E368BE" w:rsidRDefault="00E368BE" w:rsidP="00E368BE">
            <w:pPr>
              <w:rPr>
                <w:rFonts w:ascii="Tahoma" w:hAnsi="Tahoma" w:cs="Tahoma"/>
                <w:b/>
              </w:rPr>
            </w:pPr>
            <w:r w:rsidRPr="00E368BE">
              <w:rPr>
                <w:rFonts w:ascii="Tahoma" w:hAnsi="Tahoma" w:cs="Tahoma"/>
                <w:b/>
              </w:rPr>
              <w:t xml:space="preserve">Lecturer: </w:t>
            </w:r>
            <w:r>
              <w:rPr>
                <w:rFonts w:ascii="Tahoma" w:hAnsi="Tahoma" w:cs="Tahoma"/>
                <w:b/>
              </w:rPr>
              <w:t xml:space="preserve">Laurence Blake </w:t>
            </w:r>
          </w:p>
        </w:tc>
      </w:tr>
    </w:tbl>
    <w:p w14:paraId="7FD099CE" w14:textId="77777777" w:rsidR="00E368BE" w:rsidRPr="00E368BE" w:rsidRDefault="00E368BE" w:rsidP="00E368BE">
      <w:pPr>
        <w:spacing w:after="0" w:line="240" w:lineRule="auto"/>
        <w:rPr>
          <w:rFonts w:ascii="Tahoma" w:eastAsia="Times New Roman" w:hAnsi="Tahoma" w:cs="Tahoma"/>
          <w:sz w:val="20"/>
          <w:szCs w:val="20"/>
          <w:lang w:eastAsia="en-GB"/>
        </w:rPr>
      </w:pPr>
    </w:p>
    <w:tbl>
      <w:tblPr>
        <w:tblStyle w:val="TableGrid"/>
        <w:tblW w:w="0" w:type="auto"/>
        <w:tblLook w:val="01E0" w:firstRow="1" w:lastRow="1" w:firstColumn="1" w:lastColumn="1" w:noHBand="0" w:noVBand="0"/>
      </w:tblPr>
      <w:tblGrid>
        <w:gridCol w:w="3983"/>
        <w:gridCol w:w="7199"/>
      </w:tblGrid>
      <w:tr w:rsidR="00E368BE" w:rsidRPr="00E368BE" w14:paraId="00D8FCA6" w14:textId="77777777" w:rsidTr="00E368BE">
        <w:tc>
          <w:tcPr>
            <w:tcW w:w="3983" w:type="dxa"/>
            <w:shd w:val="clear" w:color="auto" w:fill="FBD4B4"/>
          </w:tcPr>
          <w:p w14:paraId="00A97EAF" w14:textId="77777777" w:rsidR="00E368BE" w:rsidRPr="00E368BE" w:rsidRDefault="00E368BE" w:rsidP="00E368BE">
            <w:pPr>
              <w:rPr>
                <w:rFonts w:ascii="Tahoma" w:hAnsi="Tahoma" w:cs="Tahoma"/>
                <w:b/>
              </w:rPr>
            </w:pPr>
            <w:r w:rsidRPr="00E368BE">
              <w:rPr>
                <w:rFonts w:ascii="Tahoma" w:hAnsi="Tahoma" w:cs="Tahoma"/>
                <w:b/>
              </w:rPr>
              <w:t>Topic of choice: Allergies and Intolerances and their importance within the industry</w:t>
            </w:r>
          </w:p>
        </w:tc>
        <w:tc>
          <w:tcPr>
            <w:tcW w:w="7199" w:type="dxa"/>
            <w:shd w:val="clear" w:color="auto" w:fill="FBD4B4"/>
          </w:tcPr>
          <w:p w14:paraId="016DA305" w14:textId="77777777" w:rsidR="00E368BE" w:rsidRPr="00E368BE" w:rsidRDefault="00E368BE" w:rsidP="00E368BE">
            <w:pPr>
              <w:rPr>
                <w:rFonts w:ascii="Tahoma" w:hAnsi="Tahoma" w:cs="Tahoma"/>
                <w:b/>
              </w:rPr>
            </w:pPr>
          </w:p>
          <w:p w14:paraId="6613A712" w14:textId="77777777" w:rsidR="00E368BE" w:rsidRPr="00E368BE" w:rsidRDefault="00E368BE" w:rsidP="00E368BE">
            <w:pPr>
              <w:jc w:val="center"/>
              <w:rPr>
                <w:rFonts w:ascii="Tahoma" w:hAnsi="Tahoma" w:cs="Tahoma"/>
                <w:b/>
              </w:rPr>
            </w:pPr>
          </w:p>
          <w:p w14:paraId="1AFD41FB" w14:textId="77777777" w:rsidR="00E368BE" w:rsidRPr="00E368BE" w:rsidRDefault="00E368BE" w:rsidP="00E368BE">
            <w:pPr>
              <w:jc w:val="center"/>
              <w:rPr>
                <w:rFonts w:ascii="Tahoma" w:hAnsi="Tahoma" w:cs="Tahoma"/>
                <w:b/>
              </w:rPr>
            </w:pPr>
          </w:p>
        </w:tc>
      </w:tr>
      <w:tr w:rsidR="00E368BE" w:rsidRPr="00E368BE" w14:paraId="4083F8B6" w14:textId="77777777" w:rsidTr="00A81E74">
        <w:trPr>
          <w:trHeight w:val="2494"/>
        </w:trPr>
        <w:tc>
          <w:tcPr>
            <w:tcW w:w="11182" w:type="dxa"/>
            <w:gridSpan w:val="2"/>
          </w:tcPr>
          <w:p w14:paraId="1F612434" w14:textId="77777777" w:rsidR="00E368BE" w:rsidRPr="00E368BE" w:rsidRDefault="00E368BE" w:rsidP="00E368BE">
            <w:pPr>
              <w:spacing w:line="360" w:lineRule="auto"/>
              <w:jc w:val="both"/>
              <w:rPr>
                <w:sz w:val="24"/>
                <w:szCs w:val="24"/>
              </w:rPr>
            </w:pPr>
            <w:r w:rsidRPr="00E368BE">
              <w:rPr>
                <w:sz w:val="24"/>
                <w:szCs w:val="24"/>
              </w:rPr>
              <w:t>During the last week, I have gotten informed with the food allergies and food intolerances and their effect on hotel industries, the laws on information and labelling act, cross contamination, the 14</w:t>
            </w:r>
            <w:r w:rsidRPr="00E368BE">
              <w:rPr>
                <w:sz w:val="24"/>
                <w:szCs w:val="24"/>
                <w:vertAlign w:val="superscript"/>
              </w:rPr>
              <w:t>th</w:t>
            </w:r>
            <w:r w:rsidRPr="00E368BE">
              <w:rPr>
                <w:sz w:val="24"/>
                <w:szCs w:val="24"/>
              </w:rPr>
              <w:t xml:space="preserve"> allergic items along with Natasha’s law. Food allergy is a response of the unnatural immune systems of the body while consuming the specific kinds of foods and drinks, and sometimes this reaction may gradually turn into a limp to severe. In contrast, food intolerance references the chemical response of the human body to consuming certain types of foods and drinks also</w:t>
            </w:r>
            <w:r w:rsidRPr="00E368BE">
              <w:rPr>
                <w:color w:val="000000"/>
                <w:sz w:val="24"/>
                <w:szCs w:val="24"/>
                <w:shd w:val="clear" w:color="auto" w:fill="FFFFFF"/>
              </w:rPr>
              <w:t xml:space="preserve"> (Astley,2014.)</w:t>
            </w:r>
            <w:r w:rsidRPr="00E368BE">
              <w:rPr>
                <w:sz w:val="24"/>
                <w:szCs w:val="24"/>
              </w:rPr>
              <w:t>. Although there are distinct differences among the food allergies and food intolerances, both prefixes are often resemblances.</w:t>
            </w:r>
          </w:p>
          <w:p w14:paraId="6CB6A5B2" w14:textId="77777777" w:rsidR="00E368BE" w:rsidRPr="00E368BE" w:rsidRDefault="00E368BE" w:rsidP="00E368BE">
            <w:pPr>
              <w:spacing w:line="360" w:lineRule="auto"/>
              <w:jc w:val="both"/>
              <w:rPr>
                <w:sz w:val="24"/>
                <w:szCs w:val="24"/>
              </w:rPr>
            </w:pPr>
            <w:r w:rsidRPr="00E368BE">
              <w:rPr>
                <w:sz w:val="24"/>
                <w:szCs w:val="24"/>
              </w:rPr>
              <w:t xml:space="preserve">Though the corporal response to the identified foods is expected, it is often contained by the food intolerances whether the food allergies. As the signs and symptoms of food allergy and food intolerance are quite similar, people are getting confused about the reaction of food allergy and the reaction of food intolerance. Basically, food allergy causes harm to the different organs of the human body, and the effect of this reaction causes human death or severely damage to the different parts of the body like as paralyzed. On the other hand, food intolerance can do less harm rather than food allergy and often, it is confined to the digestive problem of the human body. Fourteen several food types are determined as major allergens, such as mustard, fish, soybeans, peanut, lupin, and more particular items which people consume can cause severe allergy problems to the respective consumer. That's why a consumer must be aware of choosing the food as well as they must be considered to their previous food habits. People who deal with the food production process and food packaging sectors must disclose all ingredients along with the alert information about the using material and abide by the law on information and labelling. Basically, this segment </w:t>
            </w:r>
            <w:r w:rsidRPr="00E368BE">
              <w:rPr>
                <w:sz w:val="24"/>
                <w:szCs w:val="24"/>
              </w:rPr>
              <w:lastRenderedPageBreak/>
              <w:t>focuses on the law of labelling and information regarding non packaged food, prepacked food, and packet food. So that’s why the head of the food production supervisor should guide all the components used in foods. The suppliers impart any items changes and recheck each component to assure that all allergic ingredients are appropriately mentioned. 2021, 1</w:t>
            </w:r>
            <w:r w:rsidRPr="00E368BE">
              <w:rPr>
                <w:sz w:val="24"/>
                <w:szCs w:val="24"/>
                <w:vertAlign w:val="superscript"/>
              </w:rPr>
              <w:t>st</w:t>
            </w:r>
            <w:r w:rsidRPr="00E368BE">
              <w:rPr>
                <w:sz w:val="24"/>
                <w:szCs w:val="24"/>
              </w:rPr>
              <w:t xml:space="preserve"> October, the government of the UK has introduced new law regarding food labelling and packaging because a teenage girl named Natasha </w:t>
            </w:r>
            <w:proofErr w:type="spellStart"/>
            <w:r w:rsidRPr="00E368BE">
              <w:rPr>
                <w:sz w:val="24"/>
                <w:szCs w:val="24"/>
              </w:rPr>
              <w:t>Edanan</w:t>
            </w:r>
            <w:proofErr w:type="spellEnd"/>
            <w:r w:rsidRPr="00E368BE">
              <w:rPr>
                <w:sz w:val="24"/>
                <w:szCs w:val="24"/>
              </w:rPr>
              <w:t xml:space="preserve"> </w:t>
            </w:r>
            <w:proofErr w:type="spellStart"/>
            <w:r w:rsidRPr="00E368BE">
              <w:rPr>
                <w:sz w:val="24"/>
                <w:szCs w:val="24"/>
              </w:rPr>
              <w:t>Laperous</w:t>
            </w:r>
            <w:proofErr w:type="spellEnd"/>
            <w:r w:rsidRPr="00E368BE">
              <w:rPr>
                <w:sz w:val="24"/>
                <w:szCs w:val="24"/>
              </w:rPr>
              <w:t xml:space="preserve"> died of eating a prepacked baguette as there was no sufficient allergic information in the package</w:t>
            </w:r>
            <w:r w:rsidRPr="00E368BE">
              <w:rPr>
                <w:color w:val="000000"/>
                <w:sz w:val="24"/>
                <w:szCs w:val="24"/>
                <w:shd w:val="clear" w:color="auto" w:fill="FFFFFF"/>
              </w:rPr>
              <w:t xml:space="preserve"> (Blackstone, 2010)</w:t>
            </w:r>
            <w:r w:rsidRPr="00E368BE">
              <w:rPr>
                <w:sz w:val="24"/>
                <w:szCs w:val="24"/>
              </w:rPr>
              <w:t>. This law is regarded as Natasha’s law. Cross-contamination happens when mixing up allergic food with non-allergic food even that can create serious allergy problems to the respective guest or consumer. As the cross-contamination can affect the human body as well, the food provider department must be aware of individual cleanliness, cleanliness of the surface area, enough storage of the foods, and proper disposal of waste and food preparation that can assist in eradicating the cross-contamination from the hotel industry.</w:t>
            </w:r>
          </w:p>
          <w:p w14:paraId="35FF9BF5" w14:textId="77777777" w:rsidR="00E368BE" w:rsidRPr="00E368BE" w:rsidRDefault="00E368BE" w:rsidP="00E368BE">
            <w:pPr>
              <w:spacing w:line="360" w:lineRule="auto"/>
              <w:jc w:val="both"/>
              <w:rPr>
                <w:sz w:val="24"/>
                <w:szCs w:val="24"/>
              </w:rPr>
            </w:pPr>
            <w:r w:rsidRPr="00E368BE">
              <w:rPr>
                <w:sz w:val="24"/>
                <w:szCs w:val="24"/>
              </w:rPr>
              <w:t xml:space="preserve">I have collected the different types of knowledge about food allergy and intolerance in the hotel industry and gathered the knowledge of food labelling law that can help me to do better in my future life. Besides, </w:t>
            </w:r>
            <w:proofErr w:type="spellStart"/>
            <w:r w:rsidRPr="00E368BE">
              <w:rPr>
                <w:sz w:val="24"/>
                <w:szCs w:val="24"/>
              </w:rPr>
              <w:t>i</w:t>
            </w:r>
            <w:proofErr w:type="spellEnd"/>
            <w:r w:rsidRPr="00E368BE">
              <w:rPr>
                <w:sz w:val="24"/>
                <w:szCs w:val="24"/>
              </w:rPr>
              <w:t xml:space="preserve"> have also collected the knowledge of the 14 major's allergens that can support to selecting non-allergic foods from the daily food chart. In addition to that, </w:t>
            </w:r>
            <w:proofErr w:type="spellStart"/>
            <w:r w:rsidRPr="00E368BE">
              <w:rPr>
                <w:sz w:val="24"/>
                <w:szCs w:val="24"/>
              </w:rPr>
              <w:t>i</w:t>
            </w:r>
            <w:proofErr w:type="spellEnd"/>
            <w:r w:rsidRPr="00E368BE">
              <w:rPr>
                <w:sz w:val="24"/>
                <w:szCs w:val="24"/>
              </w:rPr>
              <w:t xml:space="preserve"> have also learned how to eradicate cross-contamination from the hotel industry, which will help me give better performance in this sector</w:t>
            </w:r>
            <w:r w:rsidRPr="00E368BE">
              <w:rPr>
                <w:color w:val="000000"/>
                <w:sz w:val="24"/>
                <w:szCs w:val="24"/>
                <w:shd w:val="clear" w:color="auto" w:fill="FFFFFF"/>
              </w:rPr>
              <w:t xml:space="preserve"> (Blackstone, 2010)</w:t>
            </w:r>
            <w:r w:rsidRPr="00E368BE">
              <w:rPr>
                <w:sz w:val="24"/>
                <w:szCs w:val="24"/>
              </w:rPr>
              <w:t>. On the other hand, it can be said that something expansion should be included in this lectures sheet-like customer food choice, customer food habits, as well as customers allergic problems regarding foods.</w:t>
            </w:r>
          </w:p>
          <w:p w14:paraId="2A0ED2A8" w14:textId="77777777" w:rsidR="00E368BE" w:rsidRPr="00E368BE" w:rsidRDefault="00E368BE" w:rsidP="00E368BE">
            <w:pPr>
              <w:spacing w:line="360" w:lineRule="auto"/>
              <w:jc w:val="both"/>
              <w:rPr>
                <w:sz w:val="24"/>
                <w:szCs w:val="24"/>
              </w:rPr>
            </w:pPr>
            <w:r w:rsidRPr="00E368BE">
              <w:rPr>
                <w:sz w:val="24"/>
                <w:szCs w:val="24"/>
              </w:rPr>
              <w:t>It is a matter of pleasure that acquired knowledge will help me to understand the core competence of several positions within food and beverage functions as well as the adaptability of the work based on the critical skills of the hotel industry. Besides, this can also assist me in improving the food service skills competence towards accomplishing organizational requirements and standard levels</w:t>
            </w:r>
            <w:r w:rsidRPr="00E368BE">
              <w:rPr>
                <w:color w:val="000000"/>
                <w:sz w:val="24"/>
                <w:szCs w:val="24"/>
                <w:shd w:val="clear" w:color="auto" w:fill="FFFFFF"/>
              </w:rPr>
              <w:t xml:space="preserve"> (Astley,2014.)</w:t>
            </w:r>
            <w:r w:rsidRPr="00E368BE">
              <w:rPr>
                <w:sz w:val="24"/>
                <w:szCs w:val="24"/>
              </w:rPr>
              <w:t xml:space="preserve">. Moreover, </w:t>
            </w:r>
            <w:proofErr w:type="spellStart"/>
            <w:r w:rsidRPr="00E368BE">
              <w:rPr>
                <w:sz w:val="24"/>
                <w:szCs w:val="24"/>
              </w:rPr>
              <w:t>i</w:t>
            </w:r>
            <w:proofErr w:type="spellEnd"/>
            <w:r w:rsidRPr="00E368BE">
              <w:rPr>
                <w:sz w:val="24"/>
                <w:szCs w:val="24"/>
              </w:rPr>
              <w:t xml:space="preserve"> will apply my acquired knowledge to ensure the food safety standard in reaching customer satisfaction.</w:t>
            </w:r>
          </w:p>
          <w:p w14:paraId="15B449E8" w14:textId="77777777" w:rsidR="00E368BE" w:rsidRPr="00E368BE" w:rsidRDefault="00E368BE" w:rsidP="00E368BE">
            <w:pPr>
              <w:spacing w:line="360" w:lineRule="auto"/>
              <w:jc w:val="both"/>
              <w:rPr>
                <w:sz w:val="24"/>
                <w:szCs w:val="24"/>
              </w:rPr>
            </w:pPr>
            <w:r w:rsidRPr="00E368BE">
              <w:rPr>
                <w:sz w:val="24"/>
                <w:szCs w:val="24"/>
              </w:rPr>
              <w:t xml:space="preserve"> It is clear that food allergies and food intolerances in the hotel industry play a significant impact on the customer. Sometimes, customers are dissatisfied or not interested in these hotels that are not conscious of the food allergy problem. So the hotel industry, along with the food provider department, must be alert that they will provide non-allergic food to their respective customer as well as the food of the hotel can be away from cross-contamination</w:t>
            </w:r>
            <w:r w:rsidRPr="00E368BE">
              <w:rPr>
                <w:color w:val="000000"/>
                <w:sz w:val="24"/>
                <w:szCs w:val="24"/>
                <w:shd w:val="clear" w:color="auto" w:fill="FFFFFF"/>
              </w:rPr>
              <w:t xml:space="preserve"> (Ballard, 2012.)</w:t>
            </w:r>
            <w:r w:rsidRPr="00E368BE">
              <w:rPr>
                <w:sz w:val="24"/>
                <w:szCs w:val="24"/>
              </w:rPr>
              <w:t>.</w:t>
            </w:r>
          </w:p>
        </w:tc>
      </w:tr>
    </w:tbl>
    <w:p w14:paraId="21E93722" w14:textId="77777777" w:rsidR="00E368BE" w:rsidRPr="00E368BE" w:rsidRDefault="00E368BE" w:rsidP="00E368BE">
      <w:pPr>
        <w:spacing w:after="0" w:line="240" w:lineRule="auto"/>
        <w:rPr>
          <w:rFonts w:ascii="Tahoma" w:eastAsia="Times New Roman" w:hAnsi="Tahoma" w:cs="Tahoma"/>
          <w:b/>
          <w:sz w:val="24"/>
          <w:szCs w:val="24"/>
          <w:lang w:eastAsia="en-GB"/>
        </w:rPr>
      </w:pPr>
    </w:p>
    <w:tbl>
      <w:tblPr>
        <w:tblStyle w:val="TableGrid"/>
        <w:tblW w:w="0" w:type="auto"/>
        <w:tblLook w:val="01E0" w:firstRow="1" w:lastRow="1" w:firstColumn="1" w:lastColumn="1" w:noHBand="0" w:noVBand="0"/>
      </w:tblPr>
      <w:tblGrid>
        <w:gridCol w:w="10910"/>
        <w:gridCol w:w="272"/>
      </w:tblGrid>
      <w:tr w:rsidR="00E368BE" w:rsidRPr="00E368BE" w14:paraId="4D754FBC" w14:textId="77777777" w:rsidTr="00E368BE">
        <w:tc>
          <w:tcPr>
            <w:tcW w:w="10910" w:type="dxa"/>
            <w:shd w:val="clear" w:color="auto" w:fill="FBD4B4"/>
          </w:tcPr>
          <w:p w14:paraId="0AF4E51A" w14:textId="77777777" w:rsidR="00E368BE" w:rsidRPr="00E368BE" w:rsidRDefault="00E368BE" w:rsidP="00E368BE">
            <w:pPr>
              <w:rPr>
                <w:rFonts w:ascii="Tahoma" w:hAnsi="Tahoma" w:cs="Tahoma"/>
                <w:b/>
              </w:rPr>
            </w:pPr>
            <w:r w:rsidRPr="00E368BE">
              <w:rPr>
                <w:rFonts w:ascii="Tahoma" w:hAnsi="Tahoma" w:cs="Tahoma"/>
                <w:b/>
              </w:rPr>
              <w:t>REFERENCE LIST (not included in word count)</w:t>
            </w:r>
          </w:p>
        </w:tc>
        <w:tc>
          <w:tcPr>
            <w:tcW w:w="272" w:type="dxa"/>
            <w:shd w:val="clear" w:color="auto" w:fill="FBD4B4"/>
          </w:tcPr>
          <w:p w14:paraId="7005D070" w14:textId="77777777" w:rsidR="00E368BE" w:rsidRPr="00E368BE" w:rsidRDefault="00E368BE" w:rsidP="00E368BE">
            <w:pPr>
              <w:jc w:val="center"/>
              <w:rPr>
                <w:rFonts w:ascii="Tahoma" w:hAnsi="Tahoma" w:cs="Tahoma"/>
                <w:b/>
              </w:rPr>
            </w:pPr>
          </w:p>
          <w:p w14:paraId="2A1A4928" w14:textId="77777777" w:rsidR="00E368BE" w:rsidRPr="00E368BE" w:rsidRDefault="00E368BE" w:rsidP="00E368BE">
            <w:pPr>
              <w:jc w:val="center"/>
              <w:rPr>
                <w:rFonts w:ascii="Tahoma" w:hAnsi="Tahoma" w:cs="Tahoma"/>
                <w:b/>
              </w:rPr>
            </w:pPr>
          </w:p>
        </w:tc>
      </w:tr>
      <w:tr w:rsidR="00E368BE" w:rsidRPr="00E368BE" w14:paraId="73BB7B6C" w14:textId="77777777" w:rsidTr="00A81E74">
        <w:trPr>
          <w:trHeight w:val="2494"/>
        </w:trPr>
        <w:tc>
          <w:tcPr>
            <w:tcW w:w="11182" w:type="dxa"/>
            <w:gridSpan w:val="2"/>
          </w:tcPr>
          <w:p w14:paraId="2880AEB9"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lastRenderedPageBreak/>
              <w:t>Albert, J., 2010. </w:t>
            </w:r>
            <w:r w:rsidRPr="00E368BE">
              <w:rPr>
                <w:i/>
                <w:iCs/>
                <w:color w:val="000000"/>
                <w:sz w:val="24"/>
                <w:szCs w:val="24"/>
              </w:rPr>
              <w:t>Innovations in food labelling</w:t>
            </w:r>
            <w:r w:rsidRPr="00E368BE">
              <w:rPr>
                <w:color w:val="000000"/>
                <w:sz w:val="24"/>
                <w:szCs w:val="24"/>
              </w:rPr>
              <w:t>. Rome: Food and Agriculture Organization of the United Nations.</w:t>
            </w:r>
          </w:p>
          <w:p w14:paraId="6BBBB75C"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t>Astley, S., 2014. </w:t>
            </w:r>
            <w:r w:rsidRPr="00E368BE">
              <w:rPr>
                <w:i/>
                <w:iCs/>
                <w:color w:val="000000"/>
                <w:sz w:val="24"/>
                <w:szCs w:val="24"/>
              </w:rPr>
              <w:t>Health claims and food labelling</w:t>
            </w:r>
            <w:r w:rsidRPr="00E368BE">
              <w:rPr>
                <w:color w:val="000000"/>
                <w:sz w:val="24"/>
                <w:szCs w:val="24"/>
              </w:rPr>
              <w:t>.</w:t>
            </w:r>
          </w:p>
          <w:p w14:paraId="1B76418E"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t>Ballard, C., 2012. </w:t>
            </w:r>
            <w:r w:rsidRPr="00E368BE">
              <w:rPr>
                <w:i/>
                <w:iCs/>
                <w:color w:val="000000"/>
                <w:sz w:val="24"/>
                <w:szCs w:val="24"/>
              </w:rPr>
              <w:t>Food allergy</w:t>
            </w:r>
            <w:r w:rsidRPr="00E368BE">
              <w:rPr>
                <w:color w:val="000000"/>
                <w:sz w:val="24"/>
                <w:szCs w:val="24"/>
              </w:rPr>
              <w:t>.</w:t>
            </w:r>
          </w:p>
          <w:p w14:paraId="22BDA540"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t>Blackstone, W., 2010. </w:t>
            </w:r>
            <w:r w:rsidRPr="00E368BE">
              <w:rPr>
                <w:i/>
                <w:iCs/>
                <w:color w:val="000000"/>
                <w:sz w:val="24"/>
                <w:szCs w:val="24"/>
              </w:rPr>
              <w:t xml:space="preserve">Commentaries on the laws of </w:t>
            </w:r>
            <w:proofErr w:type="spellStart"/>
            <w:r w:rsidRPr="00E368BE">
              <w:rPr>
                <w:i/>
                <w:iCs/>
                <w:color w:val="000000"/>
                <w:sz w:val="24"/>
                <w:szCs w:val="24"/>
              </w:rPr>
              <w:t>england</w:t>
            </w:r>
            <w:proofErr w:type="spellEnd"/>
            <w:r w:rsidRPr="00E368BE">
              <w:rPr>
                <w:i/>
                <w:iCs/>
                <w:color w:val="000000"/>
                <w:sz w:val="24"/>
                <w:szCs w:val="24"/>
              </w:rPr>
              <w:t>, in four books</w:t>
            </w:r>
            <w:r w:rsidRPr="00E368BE">
              <w:rPr>
                <w:color w:val="000000"/>
                <w:sz w:val="24"/>
                <w:szCs w:val="24"/>
              </w:rPr>
              <w:t xml:space="preserve">. [Place of publication not identified]: </w:t>
            </w:r>
            <w:proofErr w:type="spellStart"/>
            <w:r w:rsidRPr="00E368BE">
              <w:rPr>
                <w:color w:val="000000"/>
                <w:sz w:val="24"/>
                <w:szCs w:val="24"/>
              </w:rPr>
              <w:t>Nabu</w:t>
            </w:r>
            <w:proofErr w:type="spellEnd"/>
            <w:r w:rsidRPr="00E368BE">
              <w:rPr>
                <w:color w:val="000000"/>
                <w:sz w:val="24"/>
                <w:szCs w:val="24"/>
              </w:rPr>
              <w:t xml:space="preserve"> Press.</w:t>
            </w:r>
          </w:p>
          <w:p w14:paraId="607958B9" w14:textId="77777777" w:rsidR="00E368BE" w:rsidRPr="00E368BE" w:rsidRDefault="00E368BE" w:rsidP="00E368BE">
            <w:pPr>
              <w:spacing w:after="180" w:line="360" w:lineRule="auto"/>
              <w:jc w:val="both"/>
              <w:rPr>
                <w:color w:val="000000"/>
                <w:sz w:val="24"/>
                <w:szCs w:val="24"/>
              </w:rPr>
            </w:pPr>
            <w:r w:rsidRPr="00E368BE">
              <w:rPr>
                <w:color w:val="000000"/>
                <w:sz w:val="24"/>
                <w:szCs w:val="24"/>
              </w:rPr>
              <w:t>Crusius, V., 2013. </w:t>
            </w:r>
            <w:r w:rsidRPr="00E368BE">
              <w:rPr>
                <w:i/>
                <w:iCs/>
                <w:color w:val="000000"/>
                <w:sz w:val="24"/>
                <w:szCs w:val="24"/>
              </w:rPr>
              <w:t>Quantity food management</w:t>
            </w:r>
            <w:r w:rsidRPr="00E368BE">
              <w:rPr>
                <w:color w:val="000000"/>
                <w:sz w:val="24"/>
                <w:szCs w:val="24"/>
              </w:rPr>
              <w:t>. Minneapolis, Minn.: Burgess.</w:t>
            </w:r>
          </w:p>
          <w:p w14:paraId="2A4D8E32"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t xml:space="preserve">Davis, B., Lockwood, A., Alcott, P. and </w:t>
            </w:r>
            <w:proofErr w:type="spellStart"/>
            <w:r w:rsidRPr="00E368BE">
              <w:rPr>
                <w:color w:val="000000"/>
                <w:sz w:val="24"/>
                <w:szCs w:val="24"/>
              </w:rPr>
              <w:t>Pantelidis</w:t>
            </w:r>
            <w:proofErr w:type="spellEnd"/>
            <w:r w:rsidRPr="00E368BE">
              <w:rPr>
                <w:color w:val="000000"/>
                <w:sz w:val="24"/>
                <w:szCs w:val="24"/>
              </w:rPr>
              <w:t>, I., 2017. </w:t>
            </w:r>
            <w:r w:rsidRPr="00E368BE">
              <w:rPr>
                <w:i/>
                <w:iCs/>
                <w:color w:val="000000"/>
                <w:sz w:val="24"/>
                <w:szCs w:val="24"/>
              </w:rPr>
              <w:t>Food and Beverage Management</w:t>
            </w:r>
            <w:r w:rsidRPr="00E368BE">
              <w:rPr>
                <w:color w:val="000000"/>
                <w:sz w:val="24"/>
                <w:szCs w:val="24"/>
              </w:rPr>
              <w:t>.</w:t>
            </w:r>
          </w:p>
          <w:p w14:paraId="7C54D799" w14:textId="77777777" w:rsidR="00E368BE" w:rsidRPr="00E368BE" w:rsidRDefault="00E368BE" w:rsidP="00E368BE">
            <w:pPr>
              <w:spacing w:after="180" w:line="360" w:lineRule="auto"/>
              <w:ind w:left="450" w:hanging="450"/>
              <w:jc w:val="both"/>
              <w:rPr>
                <w:color w:val="000000"/>
                <w:sz w:val="24"/>
                <w:szCs w:val="24"/>
              </w:rPr>
            </w:pPr>
            <w:r w:rsidRPr="00E368BE">
              <w:rPr>
                <w:color w:val="000000"/>
                <w:sz w:val="24"/>
                <w:szCs w:val="24"/>
              </w:rPr>
              <w:t>Wentz, B., 2014. </w:t>
            </w:r>
            <w:r w:rsidRPr="00E368BE">
              <w:rPr>
                <w:i/>
                <w:iCs/>
                <w:color w:val="000000"/>
                <w:sz w:val="24"/>
                <w:szCs w:val="24"/>
              </w:rPr>
              <w:t>Food Service Management</w:t>
            </w:r>
            <w:r w:rsidRPr="00E368BE">
              <w:rPr>
                <w:color w:val="000000"/>
                <w:sz w:val="24"/>
                <w:szCs w:val="24"/>
              </w:rPr>
              <w:t>. Atlantic Publishing Group Inc.</w:t>
            </w:r>
          </w:p>
          <w:p w14:paraId="5DDFF4B4" w14:textId="77777777" w:rsidR="00E368BE" w:rsidRPr="00E368BE" w:rsidRDefault="00E368BE" w:rsidP="00E368BE">
            <w:pPr>
              <w:jc w:val="both"/>
              <w:rPr>
                <w:rFonts w:ascii="Tahoma" w:hAnsi="Tahoma" w:cs="Tahoma"/>
              </w:rPr>
            </w:pPr>
          </w:p>
        </w:tc>
      </w:tr>
    </w:tbl>
    <w:p w14:paraId="7A7ADCDC" w14:textId="77777777" w:rsidR="00E368BE" w:rsidRPr="00E368BE" w:rsidRDefault="00E368BE" w:rsidP="00E368BE">
      <w:pPr>
        <w:spacing w:after="0" w:line="240" w:lineRule="auto"/>
        <w:rPr>
          <w:rFonts w:ascii="Tahoma" w:eastAsia="Times New Roman" w:hAnsi="Tahoma" w:cs="Tahoma"/>
          <w:b/>
          <w:sz w:val="24"/>
          <w:szCs w:val="24"/>
          <w:lang w:eastAsia="en-GB"/>
        </w:rPr>
      </w:pPr>
    </w:p>
    <w:p w14:paraId="5677E339" w14:textId="77777777" w:rsidR="00E368BE" w:rsidRPr="00E368BE" w:rsidRDefault="00E368BE" w:rsidP="00E368BE">
      <w:pPr>
        <w:spacing w:after="0" w:line="240" w:lineRule="auto"/>
        <w:rPr>
          <w:rFonts w:ascii="Tahoma" w:eastAsia="Times New Roman" w:hAnsi="Tahoma" w:cs="Tahoma"/>
          <w:b/>
          <w:sz w:val="24"/>
          <w:szCs w:val="24"/>
          <w:lang w:eastAsia="en-GB"/>
        </w:rPr>
      </w:pPr>
    </w:p>
    <w:p w14:paraId="5054F2EC" w14:textId="77777777" w:rsidR="00E368BE" w:rsidRPr="00E368BE" w:rsidRDefault="00E368BE" w:rsidP="00E368BE">
      <w:pPr>
        <w:spacing w:after="0" w:line="240" w:lineRule="auto"/>
        <w:rPr>
          <w:rFonts w:ascii="Tahoma" w:eastAsia="Times New Roman" w:hAnsi="Tahoma" w:cs="Tahoma"/>
          <w:b/>
          <w:sz w:val="24"/>
          <w:szCs w:val="24"/>
          <w:lang w:eastAsia="en-GB"/>
        </w:rPr>
      </w:pPr>
    </w:p>
    <w:p w14:paraId="65F8332E" w14:textId="77777777" w:rsidR="00E368BE" w:rsidRPr="00E368BE" w:rsidRDefault="00E368BE" w:rsidP="00E368BE">
      <w:pPr>
        <w:spacing w:after="0" w:line="240" w:lineRule="auto"/>
        <w:rPr>
          <w:rFonts w:ascii="Tahoma" w:eastAsia="Times New Roman" w:hAnsi="Tahoma" w:cs="Tahoma"/>
          <w:b/>
          <w:sz w:val="24"/>
          <w:szCs w:val="24"/>
          <w:lang w:eastAsia="en-GB"/>
        </w:rPr>
      </w:pPr>
    </w:p>
    <w:p w14:paraId="7DD057AE" w14:textId="77777777" w:rsidR="00E368BE" w:rsidRPr="00E368BE" w:rsidRDefault="00E368BE" w:rsidP="00E368BE">
      <w:pPr>
        <w:spacing w:after="0" w:line="240" w:lineRule="auto"/>
        <w:rPr>
          <w:rFonts w:ascii="Tahoma" w:eastAsia="Times New Roman" w:hAnsi="Tahoma" w:cs="Tahoma"/>
          <w:b/>
          <w:sz w:val="24"/>
          <w:szCs w:val="24"/>
          <w:lang w:eastAsia="en-GB"/>
        </w:rPr>
      </w:pPr>
    </w:p>
    <w:p w14:paraId="2BD88802" w14:textId="77777777" w:rsidR="00121962" w:rsidRDefault="00121962"/>
    <w:sectPr w:rsidR="00121962" w:rsidSect="00C21568">
      <w:headerReference w:type="default" r:id="rId5"/>
      <w:footerReference w:type="default" r:id="rId6"/>
      <w:pgSz w:w="11906" w:h="16838"/>
      <w:pgMar w:top="360" w:right="357" w:bottom="0" w:left="35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4DC123E6" w14:textId="77777777" w:rsidR="00B44B68" w:rsidRDefault="00E3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8B0866" w14:textId="77777777" w:rsidR="00112CE0" w:rsidRDefault="00E368B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F906D" w14:textId="77777777" w:rsidR="00F34E01" w:rsidRPr="001B69C8" w:rsidRDefault="00E368BE" w:rsidP="00112CE0">
    <w:pPr>
      <w:pStyle w:val="Header"/>
      <w:jc w:val="right"/>
    </w:pPr>
    <w:r w:rsidRPr="001B69C8">
      <w:rPr>
        <w:noProof/>
      </w:rPr>
      <w:drawing>
        <wp:anchor distT="0" distB="0" distL="114300" distR="114300" simplePos="0" relativeHeight="251659264" behindDoc="0" locked="0" layoutInCell="1" allowOverlap="1" wp14:anchorId="118BB52E" wp14:editId="37B24D93">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8BE"/>
    <w:rsid w:val="00121962"/>
    <w:rsid w:val="00E36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4FC03"/>
  <w15:chartTrackingRefBased/>
  <w15:docId w15:val="{3AF6CE82-1076-4DC0-8343-ACB85C5E3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368B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368BE"/>
  </w:style>
  <w:style w:type="paragraph" w:styleId="Footer">
    <w:name w:val="footer"/>
    <w:basedOn w:val="Normal"/>
    <w:link w:val="FooterChar"/>
    <w:uiPriority w:val="99"/>
    <w:semiHidden/>
    <w:unhideWhenUsed/>
    <w:rsid w:val="00E368B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368BE"/>
  </w:style>
  <w:style w:type="table" w:styleId="TableGrid">
    <w:name w:val="Table Grid"/>
    <w:basedOn w:val="TableNormal"/>
    <w:rsid w:val="00E368B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955</Words>
  <Characters>5446</Characters>
  <Application>Microsoft Office Word</Application>
  <DocSecurity>0</DocSecurity>
  <Lines>45</Lines>
  <Paragraphs>12</Paragraphs>
  <ScaleCrop>false</ScaleCrop>
  <Company/>
  <LinksUpToDate>false</LinksUpToDate>
  <CharactersWithSpaces>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Lutfor Kalam (2016944)</dc:creator>
  <cp:keywords/>
  <dc:description/>
  <cp:lastModifiedBy>Abul Lutfor Kalam (2016944)</cp:lastModifiedBy>
  <cp:revision>1</cp:revision>
  <dcterms:created xsi:type="dcterms:W3CDTF">2022-02-04T21:18:00Z</dcterms:created>
  <dcterms:modified xsi:type="dcterms:W3CDTF">2022-02-04T21:21:00Z</dcterms:modified>
</cp:coreProperties>
</file>