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7B71B" w14:textId="676582D9" w:rsidR="00531547" w:rsidRDefault="00531547">
      <w:pPr>
        <w:spacing w:after="0" w:line="259" w:lineRule="auto"/>
        <w:ind w:left="0" w:right="0" w:firstLine="0"/>
      </w:pPr>
      <w:r>
        <w:t xml:space="preserve">STUDENT NAME: Aminat Morakinyo (2009818) </w:t>
      </w:r>
    </w:p>
    <w:p w14:paraId="27FBEE88" w14:textId="77777777" w:rsidR="00531547" w:rsidRDefault="00531547">
      <w:pPr>
        <w:spacing w:after="0" w:line="259" w:lineRule="auto"/>
        <w:ind w:left="0" w:right="0" w:firstLine="0"/>
      </w:pPr>
    </w:p>
    <w:p w14:paraId="59A971F3" w14:textId="77777777" w:rsidR="00531547" w:rsidRDefault="00531547">
      <w:pPr>
        <w:spacing w:after="0" w:line="259" w:lineRule="auto"/>
        <w:ind w:left="0" w:right="0" w:firstLine="0"/>
      </w:pPr>
      <w:r>
        <w:t>MODULE: Managing Projects in the Organisation</w:t>
      </w:r>
    </w:p>
    <w:p w14:paraId="1B5A487E" w14:textId="77777777" w:rsidR="00531547" w:rsidRDefault="00531547">
      <w:pPr>
        <w:spacing w:after="0" w:line="259" w:lineRule="auto"/>
        <w:ind w:left="0" w:right="0" w:firstLine="0"/>
      </w:pPr>
    </w:p>
    <w:p w14:paraId="67C24ED9" w14:textId="77777777" w:rsidR="00531547" w:rsidRDefault="00531547">
      <w:pPr>
        <w:spacing w:after="0" w:line="259" w:lineRule="auto"/>
        <w:ind w:left="0" w:right="0" w:firstLine="0"/>
      </w:pPr>
      <w:r>
        <w:t>COURSE CODE: BMSW5104</w:t>
      </w:r>
    </w:p>
    <w:p w14:paraId="57DCCC90" w14:textId="77777777" w:rsidR="00531547" w:rsidRDefault="00531547">
      <w:pPr>
        <w:spacing w:after="0" w:line="259" w:lineRule="auto"/>
        <w:ind w:left="0" w:right="0" w:firstLine="0"/>
      </w:pPr>
    </w:p>
    <w:p w14:paraId="6F70A47C" w14:textId="2D943FE8" w:rsidR="003050DA" w:rsidRDefault="00531547">
      <w:pPr>
        <w:spacing w:after="0" w:line="259" w:lineRule="auto"/>
        <w:ind w:left="0" w:right="0" w:firstLine="0"/>
      </w:pPr>
      <w:r>
        <w:t>LECTURER NAME: Gregory Cowan</w:t>
      </w:r>
      <w:r>
        <w:br w:type="page"/>
      </w:r>
    </w:p>
    <w:sdt>
      <w:sdtPr>
        <w:id w:val="-500274593"/>
        <w:docPartObj>
          <w:docPartGallery w:val="Table of Contents"/>
        </w:docPartObj>
      </w:sdtPr>
      <w:sdtEndPr/>
      <w:sdtContent>
        <w:p w14:paraId="4F6329FF" w14:textId="77777777" w:rsidR="003050DA" w:rsidRDefault="00AF286F">
          <w:pPr>
            <w:spacing w:after="0" w:line="259" w:lineRule="auto"/>
            <w:ind w:left="0" w:right="0" w:firstLine="0"/>
            <w:jc w:val="left"/>
          </w:pPr>
          <w:r>
            <w:rPr>
              <w:rFonts w:ascii="Calibri" w:eastAsia="Calibri" w:hAnsi="Calibri" w:cs="Calibri"/>
              <w:color w:val="2F5496"/>
              <w:sz w:val="32"/>
            </w:rPr>
            <w:t xml:space="preserve">Table of Contents </w:t>
          </w:r>
        </w:p>
        <w:p w14:paraId="2A4F0CB5" w14:textId="77777777" w:rsidR="003050DA" w:rsidRDefault="00AF286F">
          <w:pPr>
            <w:pStyle w:val="TOC1"/>
            <w:tabs>
              <w:tab w:val="right" w:leader="dot" w:pos="9423"/>
            </w:tabs>
          </w:pPr>
          <w:r>
            <w:fldChar w:fldCharType="begin"/>
          </w:r>
          <w:r>
            <w:instrText xml:space="preserve"> TOC \o "1-1" \h \z \u </w:instrText>
          </w:r>
          <w:r>
            <w:fldChar w:fldCharType="separate"/>
          </w:r>
          <w:hyperlink w:anchor="_Toc19515">
            <w:r>
              <w:rPr>
                <w:rFonts w:ascii="Arial" w:eastAsia="Arial" w:hAnsi="Arial" w:cs="Arial"/>
              </w:rPr>
              <w:t>Introduction</w:t>
            </w:r>
            <w:r>
              <w:tab/>
            </w:r>
            <w:r>
              <w:fldChar w:fldCharType="begin"/>
            </w:r>
            <w:r>
              <w:instrText>PAGEREF _Toc19515 \h</w:instrText>
            </w:r>
            <w:r>
              <w:fldChar w:fldCharType="separate"/>
            </w:r>
            <w:r>
              <w:t xml:space="preserve">3 </w:t>
            </w:r>
            <w:r>
              <w:fldChar w:fldCharType="end"/>
            </w:r>
          </w:hyperlink>
        </w:p>
        <w:p w14:paraId="35A732E7" w14:textId="77777777" w:rsidR="003050DA" w:rsidRDefault="00AF286F">
          <w:pPr>
            <w:pStyle w:val="TOC1"/>
            <w:tabs>
              <w:tab w:val="right" w:leader="dot" w:pos="9423"/>
            </w:tabs>
          </w:pPr>
          <w:hyperlink w:anchor="_Toc19516">
            <w:r>
              <w:rPr>
                <w:rFonts w:ascii="Arial" w:eastAsia="Arial" w:hAnsi="Arial" w:cs="Arial"/>
              </w:rPr>
              <w:t>Overview of Marks and Spencer Foodhall</w:t>
            </w:r>
            <w:r>
              <w:tab/>
            </w:r>
            <w:r>
              <w:fldChar w:fldCharType="begin"/>
            </w:r>
            <w:r>
              <w:instrText>PAGEREF _Toc19516 \h</w:instrText>
            </w:r>
            <w:r>
              <w:fldChar w:fldCharType="separate"/>
            </w:r>
            <w:r>
              <w:t xml:space="preserve">3 </w:t>
            </w:r>
            <w:r>
              <w:fldChar w:fldCharType="end"/>
            </w:r>
          </w:hyperlink>
        </w:p>
        <w:p w14:paraId="6A5895C4" w14:textId="77777777" w:rsidR="003050DA" w:rsidRDefault="00AF286F">
          <w:pPr>
            <w:pStyle w:val="TOC1"/>
            <w:tabs>
              <w:tab w:val="right" w:leader="dot" w:pos="9423"/>
            </w:tabs>
          </w:pPr>
          <w:hyperlink w:anchor="_Toc19517">
            <w:r>
              <w:rPr>
                <w:rFonts w:ascii="Arial" w:eastAsia="Arial" w:hAnsi="Arial" w:cs="Arial"/>
              </w:rPr>
              <w:t>Project Description</w:t>
            </w:r>
            <w:r>
              <w:tab/>
            </w:r>
            <w:r>
              <w:fldChar w:fldCharType="begin"/>
            </w:r>
            <w:r>
              <w:instrText>PAGEREF _Toc19517 \h</w:instrText>
            </w:r>
            <w:r>
              <w:fldChar w:fldCharType="separate"/>
            </w:r>
            <w:r>
              <w:t xml:space="preserve">4 </w:t>
            </w:r>
            <w:r>
              <w:fldChar w:fldCharType="end"/>
            </w:r>
          </w:hyperlink>
        </w:p>
        <w:p w14:paraId="637675D7" w14:textId="77777777" w:rsidR="003050DA" w:rsidRDefault="00AF286F">
          <w:pPr>
            <w:pStyle w:val="TOC1"/>
            <w:tabs>
              <w:tab w:val="right" w:leader="dot" w:pos="9423"/>
            </w:tabs>
          </w:pPr>
          <w:hyperlink w:anchor="_Toc19518">
            <w:r>
              <w:rPr>
                <w:rFonts w:ascii="Arial" w:eastAsia="Arial" w:hAnsi="Arial" w:cs="Arial"/>
              </w:rPr>
              <w:t>Agile Methodology</w:t>
            </w:r>
            <w:r>
              <w:tab/>
            </w:r>
            <w:r>
              <w:fldChar w:fldCharType="begin"/>
            </w:r>
            <w:r>
              <w:instrText>PAGERE</w:instrText>
            </w:r>
            <w:r>
              <w:instrText>F _Toc19518 \h</w:instrText>
            </w:r>
            <w:r>
              <w:fldChar w:fldCharType="separate"/>
            </w:r>
            <w:r>
              <w:t xml:space="preserve">5 </w:t>
            </w:r>
            <w:r>
              <w:fldChar w:fldCharType="end"/>
            </w:r>
          </w:hyperlink>
        </w:p>
        <w:p w14:paraId="529399B0" w14:textId="77777777" w:rsidR="003050DA" w:rsidRDefault="00AF286F">
          <w:pPr>
            <w:pStyle w:val="TOC1"/>
            <w:tabs>
              <w:tab w:val="right" w:leader="dot" w:pos="9423"/>
            </w:tabs>
          </w:pPr>
          <w:hyperlink w:anchor="_Toc19519">
            <w:r>
              <w:rPr>
                <w:rFonts w:ascii="Arial" w:eastAsia="Arial" w:hAnsi="Arial" w:cs="Arial"/>
              </w:rPr>
              <w:t>Stakeholder Analysis</w:t>
            </w:r>
            <w:r>
              <w:tab/>
            </w:r>
            <w:r>
              <w:fldChar w:fldCharType="begin"/>
            </w:r>
            <w:r>
              <w:instrText>PAGEREF _Toc19519 \h</w:instrText>
            </w:r>
            <w:r>
              <w:fldChar w:fldCharType="separate"/>
            </w:r>
            <w:r>
              <w:t xml:space="preserve">6 </w:t>
            </w:r>
            <w:r>
              <w:fldChar w:fldCharType="end"/>
            </w:r>
          </w:hyperlink>
        </w:p>
        <w:p w14:paraId="037BD3F3" w14:textId="77777777" w:rsidR="003050DA" w:rsidRDefault="00AF286F">
          <w:pPr>
            <w:pStyle w:val="TOC1"/>
            <w:tabs>
              <w:tab w:val="right" w:leader="dot" w:pos="9423"/>
            </w:tabs>
          </w:pPr>
          <w:hyperlink w:anchor="_Toc19520">
            <w:r>
              <w:rPr>
                <w:rFonts w:ascii="Arial" w:eastAsia="Arial" w:hAnsi="Arial" w:cs="Arial"/>
              </w:rPr>
              <w:t>Work Breakdown Structure</w:t>
            </w:r>
            <w:r>
              <w:tab/>
            </w:r>
            <w:r>
              <w:fldChar w:fldCharType="begin"/>
            </w:r>
            <w:r>
              <w:instrText>PAGEREF _Toc19520 \h</w:instrText>
            </w:r>
            <w:r>
              <w:fldChar w:fldCharType="separate"/>
            </w:r>
            <w:r>
              <w:t xml:space="preserve">9 </w:t>
            </w:r>
            <w:r>
              <w:fldChar w:fldCharType="end"/>
            </w:r>
          </w:hyperlink>
        </w:p>
        <w:p w14:paraId="407ED10B" w14:textId="77777777" w:rsidR="003050DA" w:rsidRDefault="00AF286F">
          <w:pPr>
            <w:pStyle w:val="TOC1"/>
            <w:tabs>
              <w:tab w:val="right" w:leader="dot" w:pos="9423"/>
            </w:tabs>
          </w:pPr>
          <w:hyperlink w:anchor="_Toc19521">
            <w:r>
              <w:rPr>
                <w:rFonts w:ascii="Arial" w:eastAsia="Arial" w:hAnsi="Arial" w:cs="Arial"/>
              </w:rPr>
              <w:t>Project Success Criteria</w:t>
            </w:r>
            <w:r>
              <w:tab/>
            </w:r>
            <w:r>
              <w:fldChar w:fldCharType="begin"/>
            </w:r>
            <w:r>
              <w:instrText>PAGEREF _Toc19521 \h</w:instrText>
            </w:r>
            <w:r>
              <w:fldChar w:fldCharType="separate"/>
            </w:r>
            <w:r>
              <w:t xml:space="preserve">10 </w:t>
            </w:r>
            <w:r>
              <w:fldChar w:fldCharType="end"/>
            </w:r>
          </w:hyperlink>
        </w:p>
        <w:p w14:paraId="5C265C93" w14:textId="77777777" w:rsidR="003050DA" w:rsidRDefault="00AF286F">
          <w:pPr>
            <w:pStyle w:val="TOC1"/>
            <w:tabs>
              <w:tab w:val="right" w:leader="dot" w:pos="9423"/>
            </w:tabs>
          </w:pPr>
          <w:hyperlink w:anchor="_Toc19522">
            <w:r>
              <w:rPr>
                <w:rFonts w:ascii="Arial" w:eastAsia="Arial" w:hAnsi="Arial" w:cs="Arial"/>
              </w:rPr>
              <w:t>Draft of Cost/Resources Use</w:t>
            </w:r>
            <w:r>
              <w:tab/>
            </w:r>
            <w:r>
              <w:fldChar w:fldCharType="begin"/>
            </w:r>
            <w:r>
              <w:instrText>PAGEREF _Toc19522 \h</w:instrText>
            </w:r>
            <w:r>
              <w:fldChar w:fldCharType="separate"/>
            </w:r>
            <w:r>
              <w:t xml:space="preserve">10 </w:t>
            </w:r>
            <w:r>
              <w:fldChar w:fldCharType="end"/>
            </w:r>
          </w:hyperlink>
        </w:p>
        <w:p w14:paraId="46BA5B7A" w14:textId="77777777" w:rsidR="003050DA" w:rsidRDefault="00AF286F">
          <w:pPr>
            <w:pStyle w:val="TOC1"/>
            <w:tabs>
              <w:tab w:val="right" w:leader="dot" w:pos="9423"/>
            </w:tabs>
          </w:pPr>
          <w:hyperlink w:anchor="_Toc19523">
            <w:r>
              <w:rPr>
                <w:rFonts w:ascii="Arial" w:eastAsia="Arial" w:hAnsi="Arial" w:cs="Arial"/>
              </w:rPr>
              <w:t>Resources Utilised</w:t>
            </w:r>
            <w:r>
              <w:tab/>
            </w:r>
            <w:r>
              <w:fldChar w:fldCharType="begin"/>
            </w:r>
            <w:r>
              <w:instrText>PAGEREF _</w:instrText>
            </w:r>
            <w:r>
              <w:instrText>Toc19523 \h</w:instrText>
            </w:r>
            <w:r>
              <w:fldChar w:fldCharType="separate"/>
            </w:r>
            <w:r>
              <w:t xml:space="preserve">11 </w:t>
            </w:r>
            <w:r>
              <w:fldChar w:fldCharType="end"/>
            </w:r>
          </w:hyperlink>
        </w:p>
        <w:p w14:paraId="76543C9F" w14:textId="77777777" w:rsidR="003050DA" w:rsidRDefault="00AF286F">
          <w:pPr>
            <w:pStyle w:val="TOC1"/>
            <w:tabs>
              <w:tab w:val="right" w:leader="dot" w:pos="9423"/>
            </w:tabs>
          </w:pPr>
          <w:hyperlink w:anchor="_Toc19524">
            <w:r>
              <w:rPr>
                <w:rFonts w:ascii="Arial" w:eastAsia="Arial" w:hAnsi="Arial" w:cs="Arial"/>
              </w:rPr>
              <w:t>Gantt Chart</w:t>
            </w:r>
            <w:r>
              <w:tab/>
            </w:r>
            <w:r>
              <w:fldChar w:fldCharType="begin"/>
            </w:r>
            <w:r>
              <w:instrText>PAGEREF _Toc19524 \h</w:instrText>
            </w:r>
            <w:r>
              <w:fldChar w:fldCharType="separate"/>
            </w:r>
            <w:r>
              <w:t xml:space="preserve">11 </w:t>
            </w:r>
            <w:r>
              <w:fldChar w:fldCharType="end"/>
            </w:r>
          </w:hyperlink>
        </w:p>
        <w:p w14:paraId="18A68FC8" w14:textId="77777777" w:rsidR="003050DA" w:rsidRDefault="00AF286F">
          <w:pPr>
            <w:pStyle w:val="TOC1"/>
            <w:tabs>
              <w:tab w:val="right" w:leader="dot" w:pos="9423"/>
            </w:tabs>
          </w:pPr>
          <w:hyperlink w:anchor="_Toc19525">
            <w:r>
              <w:rPr>
                <w:rFonts w:ascii="Arial" w:eastAsia="Arial" w:hAnsi="Arial" w:cs="Arial"/>
              </w:rPr>
              <w:t>Risk Assessment</w:t>
            </w:r>
            <w:r>
              <w:tab/>
            </w:r>
            <w:r>
              <w:fldChar w:fldCharType="begin"/>
            </w:r>
            <w:r>
              <w:instrText>PAGEREF _Toc19525 \h</w:instrText>
            </w:r>
            <w:r>
              <w:fldChar w:fldCharType="separate"/>
            </w:r>
            <w:r>
              <w:t xml:space="preserve">12 </w:t>
            </w:r>
            <w:r>
              <w:fldChar w:fldCharType="end"/>
            </w:r>
          </w:hyperlink>
        </w:p>
        <w:p w14:paraId="48E6B469" w14:textId="77777777" w:rsidR="003050DA" w:rsidRDefault="00AF286F">
          <w:pPr>
            <w:pStyle w:val="TOC1"/>
            <w:tabs>
              <w:tab w:val="right" w:leader="dot" w:pos="9423"/>
            </w:tabs>
          </w:pPr>
          <w:hyperlink w:anchor="_Toc19526">
            <w:r>
              <w:rPr>
                <w:rFonts w:ascii="Arial" w:eastAsia="Arial" w:hAnsi="Arial" w:cs="Arial"/>
              </w:rPr>
              <w:t>Challenges and Limitations</w:t>
            </w:r>
            <w:r>
              <w:tab/>
            </w:r>
            <w:r>
              <w:fldChar w:fldCharType="begin"/>
            </w:r>
            <w:r>
              <w:instrText>PAGEREF _Toc19526 \h</w:instrText>
            </w:r>
            <w:r>
              <w:fldChar w:fldCharType="separate"/>
            </w:r>
            <w:r>
              <w:t xml:space="preserve">12 </w:t>
            </w:r>
            <w:r>
              <w:fldChar w:fldCharType="end"/>
            </w:r>
          </w:hyperlink>
        </w:p>
        <w:p w14:paraId="55A4084B" w14:textId="77777777" w:rsidR="003050DA" w:rsidRDefault="00AF286F">
          <w:pPr>
            <w:pStyle w:val="TOC1"/>
            <w:tabs>
              <w:tab w:val="right" w:leader="dot" w:pos="9423"/>
            </w:tabs>
          </w:pPr>
          <w:hyperlink w:anchor="_Toc19527">
            <w:r>
              <w:rPr>
                <w:rFonts w:ascii="Arial" w:eastAsia="Arial" w:hAnsi="Arial" w:cs="Arial"/>
              </w:rPr>
              <w:t>References</w:t>
            </w:r>
            <w:r>
              <w:tab/>
            </w:r>
            <w:r>
              <w:fldChar w:fldCharType="begin"/>
            </w:r>
            <w:r>
              <w:instrText>PAGEREF _Toc19527 \h</w:instrText>
            </w:r>
            <w:r>
              <w:fldChar w:fldCharType="separate"/>
            </w:r>
            <w:r>
              <w:t xml:space="preserve">14 </w:t>
            </w:r>
            <w:r>
              <w:fldChar w:fldCharType="end"/>
            </w:r>
          </w:hyperlink>
        </w:p>
        <w:p w14:paraId="10DF1185" w14:textId="77777777" w:rsidR="003050DA" w:rsidRDefault="00AF286F">
          <w:r>
            <w:fldChar w:fldCharType="end"/>
          </w:r>
        </w:p>
      </w:sdtContent>
    </w:sdt>
    <w:p w14:paraId="58AFE0D9" w14:textId="77777777" w:rsidR="003050DA" w:rsidRDefault="00AF286F">
      <w:pPr>
        <w:spacing w:after="56" w:line="348" w:lineRule="auto"/>
        <w:ind w:left="-5" w:right="21"/>
        <w:jc w:val="left"/>
      </w:pPr>
      <w:r>
        <w:rPr>
          <w:rFonts w:ascii="Calibri" w:eastAsia="Calibri" w:hAnsi="Calibri" w:cs="Calibri"/>
        </w:rPr>
        <w:t xml:space="preserve"> </w:t>
      </w:r>
    </w:p>
    <w:p w14:paraId="6E51D43F" w14:textId="77777777" w:rsidR="003050DA" w:rsidRDefault="00AF286F">
      <w:pPr>
        <w:spacing w:after="0" w:line="259" w:lineRule="auto"/>
        <w:ind w:left="0" w:right="0" w:firstLine="0"/>
        <w:jc w:val="left"/>
      </w:pPr>
      <w:r>
        <w:t xml:space="preserve"> </w:t>
      </w:r>
      <w:r>
        <w:tab/>
      </w:r>
      <w:r>
        <w:rPr>
          <w:b/>
        </w:rPr>
        <w:t xml:space="preserve"> </w:t>
      </w:r>
      <w:r>
        <w:br w:type="page"/>
      </w:r>
    </w:p>
    <w:p w14:paraId="544878E9" w14:textId="77777777" w:rsidR="003050DA" w:rsidRDefault="00AF286F">
      <w:pPr>
        <w:pStyle w:val="Heading1"/>
        <w:spacing w:after="222"/>
        <w:ind w:left="-5"/>
      </w:pPr>
      <w:bookmarkStart w:id="0" w:name="_Toc19515"/>
      <w:r>
        <w:lastRenderedPageBreak/>
        <w:t xml:space="preserve">Introduction </w:t>
      </w:r>
      <w:bookmarkEnd w:id="0"/>
    </w:p>
    <w:p w14:paraId="7B535E94" w14:textId="57546760" w:rsidR="003050DA" w:rsidRDefault="00AF286F">
      <w:pPr>
        <w:spacing w:after="394"/>
        <w:ind w:left="-5" w:right="0"/>
      </w:pPr>
      <w:r>
        <w:t xml:space="preserve">Project management is the method of orchestrating, planning, and supervising a project's execution from starting to conclusion (Cristóbal et al., 2023). </w:t>
      </w:r>
      <w:r w:rsidR="00157904">
        <w:t>To</w:t>
      </w:r>
      <w:r>
        <w:t xml:space="preserve"> ensure the viable completion of a project within the required scope, </w:t>
      </w:r>
      <w:r w:rsidR="000171E9">
        <w:t>time</w:t>
      </w:r>
      <w:r>
        <w:t>, and budget, it involves t</w:t>
      </w:r>
      <w:r>
        <w:t>he utilisation of skills, knowledge, and strategies. Accomplishing organizational goals requires viable project management because it assists businesses to supply their clients with high-quality products or services while making the most of their resources</w:t>
      </w:r>
      <w:r>
        <w:t>. The method involves establishing project goals, developing a project plan, apportioning resources, observing development, and adjusting the plan as fundamental. Project management also incorporates controlling risk, spotting possible problems, and quickl</w:t>
      </w:r>
      <w:r>
        <w:t>y address them (</w:t>
      </w:r>
      <w:proofErr w:type="spellStart"/>
      <w:r>
        <w:t>Vakhania</w:t>
      </w:r>
      <w:proofErr w:type="spellEnd"/>
      <w:r>
        <w:t xml:space="preserve"> and Werner, 2020). This paper will examine critically the management of Marks and Spencer Foodhall. </w:t>
      </w:r>
    </w:p>
    <w:p w14:paraId="48604F19" w14:textId="77777777" w:rsidR="003050DA" w:rsidRDefault="00AF286F">
      <w:pPr>
        <w:pStyle w:val="Heading1"/>
        <w:spacing w:after="222"/>
        <w:ind w:left="-5"/>
      </w:pPr>
      <w:bookmarkStart w:id="1" w:name="_Toc19516"/>
      <w:r>
        <w:t xml:space="preserve">Overview of Marks and Spencer Foodhall </w:t>
      </w:r>
      <w:bookmarkEnd w:id="1"/>
    </w:p>
    <w:p w14:paraId="31C74B53" w14:textId="05BA9C93" w:rsidR="003050DA" w:rsidRDefault="00AF286F">
      <w:pPr>
        <w:ind w:left="-5" w:right="0"/>
      </w:pPr>
      <w:r>
        <w:t>M&amp;S Foodhall is a UK-based retailer with an assortment of commodities, including attire, h</w:t>
      </w:r>
      <w:r>
        <w:t>ousewares, and food (M&amp;S, 2023). It specializes in offering high-quality food items from moral and economical sources, such as new vegetables, heated foods, frozen suppers, and ready-</w:t>
      </w:r>
      <w:r w:rsidR="00F27705">
        <w:t>to eat</w:t>
      </w:r>
      <w:r>
        <w:t xml:space="preserve"> dinners. The company works with agriculturists to ensure the items</w:t>
      </w:r>
      <w:r>
        <w:t xml:space="preserve"> are of the greatest quality and buys their fresh food from reputable sellers. M&amp;S </w:t>
      </w:r>
      <w:r w:rsidR="0015124E">
        <w:t>Food Hall</w:t>
      </w:r>
      <w:r>
        <w:t xml:space="preserve"> is committed to ethical sourcing and </w:t>
      </w:r>
      <w:r w:rsidR="00E670E8">
        <w:t>sustainability and</w:t>
      </w:r>
      <w:r>
        <w:t xml:space="preserve"> has a history of decreasing food waste and working to reduce its environmental impact. They also offer serv</w:t>
      </w:r>
      <w:r>
        <w:t xml:space="preserve">ices such as the "click and collect" benefit and "Sparks," a loyalty program (Mark and </w:t>
      </w:r>
      <w:r w:rsidR="000251B9">
        <w:t>Spencer</w:t>
      </w:r>
      <w:r>
        <w:t xml:space="preserve"> Foodhall, 2023). </w:t>
      </w:r>
    </w:p>
    <w:p w14:paraId="45A16F71" w14:textId="77777777" w:rsidR="003050DA" w:rsidRDefault="00AF286F">
      <w:pPr>
        <w:spacing w:after="0" w:line="259" w:lineRule="auto"/>
        <w:ind w:left="0" w:right="0" w:firstLine="0"/>
        <w:jc w:val="left"/>
      </w:pPr>
      <w:r>
        <w:t xml:space="preserve"> </w:t>
      </w:r>
    </w:p>
    <w:p w14:paraId="5D3D160B" w14:textId="77777777" w:rsidR="003050DA" w:rsidRDefault="00AF286F">
      <w:pPr>
        <w:spacing w:after="0" w:line="259" w:lineRule="auto"/>
        <w:ind w:left="0" w:right="0" w:firstLine="0"/>
        <w:jc w:val="left"/>
      </w:pPr>
      <w:r>
        <w:t xml:space="preserve"> </w:t>
      </w:r>
    </w:p>
    <w:p w14:paraId="0B839597" w14:textId="77777777" w:rsidR="003050DA" w:rsidRDefault="00AF286F">
      <w:pPr>
        <w:spacing w:after="0" w:line="259" w:lineRule="auto"/>
        <w:ind w:left="524" w:right="0" w:firstLine="0"/>
        <w:jc w:val="left"/>
      </w:pPr>
      <w:r>
        <w:rPr>
          <w:noProof/>
        </w:rPr>
        <w:lastRenderedPageBreak/>
        <w:drawing>
          <wp:inline distT="0" distB="0" distL="0" distR="0" wp14:anchorId="7F04C394" wp14:editId="74D00BB5">
            <wp:extent cx="4736593" cy="3133344"/>
            <wp:effectExtent l="0" t="0" r="0" b="0"/>
            <wp:docPr id="19015" name="Picture 19015"/>
            <wp:cNvGraphicFramePr/>
            <a:graphic xmlns:a="http://schemas.openxmlformats.org/drawingml/2006/main">
              <a:graphicData uri="http://schemas.openxmlformats.org/drawingml/2006/picture">
                <pic:pic xmlns:pic="http://schemas.openxmlformats.org/drawingml/2006/picture">
                  <pic:nvPicPr>
                    <pic:cNvPr id="19015" name="Picture 19015"/>
                    <pic:cNvPicPr/>
                  </pic:nvPicPr>
                  <pic:blipFill>
                    <a:blip r:embed="rId7"/>
                    <a:stretch>
                      <a:fillRect/>
                    </a:stretch>
                  </pic:blipFill>
                  <pic:spPr>
                    <a:xfrm>
                      <a:off x="0" y="0"/>
                      <a:ext cx="4736593" cy="3133344"/>
                    </a:xfrm>
                    <a:prstGeom prst="rect">
                      <a:avLst/>
                    </a:prstGeom>
                  </pic:spPr>
                </pic:pic>
              </a:graphicData>
            </a:graphic>
          </wp:inline>
        </w:drawing>
      </w:r>
    </w:p>
    <w:p w14:paraId="520E836B" w14:textId="77777777" w:rsidR="003050DA" w:rsidRDefault="00AF286F">
      <w:pPr>
        <w:spacing w:after="389" w:line="259" w:lineRule="auto"/>
        <w:ind w:left="524" w:right="1017" w:firstLine="0"/>
        <w:jc w:val="right"/>
      </w:pPr>
      <w:r>
        <w:rPr>
          <w:rFonts w:ascii="Calibri" w:eastAsia="Calibri" w:hAnsi="Calibri" w:cs="Calibri"/>
        </w:rPr>
        <w:t xml:space="preserve"> </w:t>
      </w:r>
      <w:r>
        <w:rPr>
          <w:rFonts w:ascii="Calibri" w:eastAsia="Calibri" w:hAnsi="Calibri" w:cs="Calibri"/>
        </w:rPr>
        <w:tab/>
        <w:t xml:space="preserve"> </w:t>
      </w:r>
    </w:p>
    <w:p w14:paraId="11D4773E" w14:textId="77777777" w:rsidR="003050DA" w:rsidRDefault="00AF286F">
      <w:pPr>
        <w:spacing w:after="503" w:line="259" w:lineRule="auto"/>
        <w:ind w:left="0" w:right="1006" w:firstLine="0"/>
        <w:jc w:val="right"/>
      </w:pPr>
      <w:r>
        <w:rPr>
          <w:b/>
        </w:rPr>
        <w:t xml:space="preserve"> </w:t>
      </w:r>
    </w:p>
    <w:p w14:paraId="1EEF310F" w14:textId="77777777" w:rsidR="003050DA" w:rsidRDefault="00AF286F">
      <w:pPr>
        <w:spacing w:after="501" w:line="265" w:lineRule="auto"/>
        <w:ind w:left="-5" w:right="0"/>
        <w:jc w:val="left"/>
      </w:pPr>
      <w:r>
        <w:rPr>
          <w:b/>
        </w:rPr>
        <w:t xml:space="preserve">Figure 1: A new look M&amp;S Foodhall (Harris, 2017) </w:t>
      </w:r>
    </w:p>
    <w:p w14:paraId="5939D461" w14:textId="77777777" w:rsidR="003050DA" w:rsidRDefault="00AF286F">
      <w:pPr>
        <w:pStyle w:val="Heading1"/>
        <w:spacing w:after="224"/>
        <w:ind w:left="-5"/>
      </w:pPr>
      <w:bookmarkStart w:id="2" w:name="_Toc19517"/>
      <w:r>
        <w:t xml:space="preserve">Project Description </w:t>
      </w:r>
      <w:bookmarkEnd w:id="2"/>
    </w:p>
    <w:p w14:paraId="1A957577" w14:textId="449AFC9A" w:rsidR="003050DA" w:rsidRDefault="00AF286F">
      <w:pPr>
        <w:ind w:left="-5" w:right="0"/>
      </w:pPr>
      <w:r>
        <w:t>By adopting a new technology-driven solution that streamlines shop operations, decreases customer wait times, and boosts sales, the initiative seeks to improve the customer experience at M&amp;S Foodhall (</w:t>
      </w:r>
      <w:proofErr w:type="spellStart"/>
      <w:r>
        <w:t>Svejvig</w:t>
      </w:r>
      <w:proofErr w:type="spellEnd"/>
      <w:r>
        <w:t xml:space="preserve"> and Andersen, 2015). The idea involves putting </w:t>
      </w:r>
      <w:r>
        <w:t xml:space="preserve">in order a portable </w:t>
      </w:r>
      <w:r w:rsidR="00F16598">
        <w:t>self-checkout</w:t>
      </w:r>
      <w:r>
        <w:t xml:space="preserve"> framework that lets consumers utilize their smartphones to filter and pay for their purchases. Consumers can download a mobile application from the system's site and adopt it to scan the barcodes of the products they need </w:t>
      </w:r>
      <w:r>
        <w:t xml:space="preserve">to purchase. The program will then display the items' total cost and permit users to make a purchase using an electronic payment framework like Apple Pay or Google Pay (Kerzner, 2017). The redesign will moreover include adding more </w:t>
      </w:r>
      <w:r w:rsidR="00F16598">
        <w:t>self-checkout</w:t>
      </w:r>
      <w:r>
        <w:t xml:space="preserve"> kiosks int</w:t>
      </w:r>
      <w:r>
        <w:t xml:space="preserve">erior the store to ensure a smooth client experience. Consumers who do not have </w:t>
      </w:r>
      <w:r w:rsidR="00D56631">
        <w:t>cell phones</w:t>
      </w:r>
      <w:r>
        <w:t xml:space="preserve"> or need to utilize the standard checkout process can still take advantage of the shorter wait times due to this. The mobile self-checkout framework will demand a ne</w:t>
      </w:r>
      <w:r>
        <w:t xml:space="preserve">w Wi-Fi organize to be installed inside the store for the project to be effective. Employee training will be essential for the system's execution to guarantee that they can help clients in utilizing the unused innovation (Meredith, </w:t>
      </w:r>
      <w:proofErr w:type="gramStart"/>
      <w:r>
        <w:t>Shafer</w:t>
      </w:r>
      <w:proofErr w:type="gramEnd"/>
      <w:r>
        <w:t xml:space="preserve"> and Jr, 2017). By</w:t>
      </w:r>
      <w:r>
        <w:t xml:space="preserve"> reducing wait times, allowing the business to serve more </w:t>
      </w:r>
      <w:r>
        <w:lastRenderedPageBreak/>
        <w:t xml:space="preserve">customers, and offering a convenient shopping experience that fosters customer loyalty, the improvement is anticipated to increase sales income.  </w:t>
      </w:r>
    </w:p>
    <w:p w14:paraId="72C8231B" w14:textId="77777777" w:rsidR="003050DA" w:rsidRDefault="00AF286F">
      <w:pPr>
        <w:spacing w:after="176" w:line="259" w:lineRule="auto"/>
        <w:ind w:left="0" w:right="0" w:firstLine="0"/>
        <w:jc w:val="left"/>
      </w:pPr>
      <w:r>
        <w:t xml:space="preserve"> </w:t>
      </w:r>
    </w:p>
    <w:p w14:paraId="02F7AA97" w14:textId="77777777" w:rsidR="003050DA" w:rsidRDefault="00AF286F">
      <w:pPr>
        <w:spacing w:after="371" w:line="259" w:lineRule="auto"/>
        <w:ind w:left="184" w:right="0" w:firstLine="0"/>
        <w:jc w:val="left"/>
      </w:pPr>
      <w:r>
        <w:rPr>
          <w:noProof/>
        </w:rPr>
        <w:drawing>
          <wp:inline distT="0" distB="0" distL="0" distR="0" wp14:anchorId="6C5E2433" wp14:editId="729FA5B2">
            <wp:extent cx="5300472" cy="2819400"/>
            <wp:effectExtent l="0" t="0" r="0" b="0"/>
            <wp:docPr id="19016" name="Picture 19016"/>
            <wp:cNvGraphicFramePr/>
            <a:graphic xmlns:a="http://schemas.openxmlformats.org/drawingml/2006/main">
              <a:graphicData uri="http://schemas.openxmlformats.org/drawingml/2006/picture">
                <pic:pic xmlns:pic="http://schemas.openxmlformats.org/drawingml/2006/picture">
                  <pic:nvPicPr>
                    <pic:cNvPr id="19016" name="Picture 19016"/>
                    <pic:cNvPicPr/>
                  </pic:nvPicPr>
                  <pic:blipFill>
                    <a:blip r:embed="rId8"/>
                    <a:stretch>
                      <a:fillRect/>
                    </a:stretch>
                  </pic:blipFill>
                  <pic:spPr>
                    <a:xfrm>
                      <a:off x="0" y="0"/>
                      <a:ext cx="5300472" cy="2819400"/>
                    </a:xfrm>
                    <a:prstGeom prst="rect">
                      <a:avLst/>
                    </a:prstGeom>
                  </pic:spPr>
                </pic:pic>
              </a:graphicData>
            </a:graphic>
          </wp:inline>
        </w:drawing>
      </w:r>
    </w:p>
    <w:p w14:paraId="725805FE" w14:textId="77777777" w:rsidR="003050DA" w:rsidRDefault="00AF286F">
      <w:pPr>
        <w:spacing w:after="503" w:line="265" w:lineRule="auto"/>
        <w:ind w:left="-5" w:right="0"/>
        <w:jc w:val="left"/>
      </w:pPr>
      <w:r>
        <w:rPr>
          <w:b/>
        </w:rPr>
        <w:t xml:space="preserve">Figure 2: Inside M&amp;S Foodhall (Rowland, 2022) </w:t>
      </w:r>
    </w:p>
    <w:p w14:paraId="35EAE8BF" w14:textId="77777777" w:rsidR="003050DA" w:rsidRDefault="00AF286F">
      <w:pPr>
        <w:pStyle w:val="Heading1"/>
        <w:spacing w:after="222"/>
        <w:ind w:left="-5"/>
      </w:pPr>
      <w:bookmarkStart w:id="3" w:name="_Toc19518"/>
      <w:r>
        <w:t xml:space="preserve">Agile Methodology </w:t>
      </w:r>
      <w:bookmarkEnd w:id="3"/>
    </w:p>
    <w:p w14:paraId="0FEFC187" w14:textId="77777777" w:rsidR="003050DA" w:rsidRDefault="00AF286F">
      <w:pPr>
        <w:ind w:left="-5" w:right="0"/>
      </w:pPr>
      <w:r>
        <w:t>The Agile methodology is one project management theory that can be utilized for the M&amp;S Foodhall project. Agile is an adaptable and iterative method of project management that places a focus on teamwork, flexibility, and ongoing progress</w:t>
      </w:r>
      <w:r>
        <w:t xml:space="preserve"> (</w:t>
      </w:r>
      <w:proofErr w:type="spellStart"/>
      <w:r>
        <w:t>Rasnacis</w:t>
      </w:r>
      <w:proofErr w:type="spellEnd"/>
      <w:r>
        <w:t xml:space="preserve"> and </w:t>
      </w:r>
      <w:proofErr w:type="spellStart"/>
      <w:r>
        <w:t>Berzisa</w:t>
      </w:r>
      <w:proofErr w:type="spellEnd"/>
      <w:r>
        <w:t xml:space="preserve">, 2017). The Agile technique would be helpful in the instance of M&amp;S Foodhall since it enables frequent feedback and adjustments depending on consumer preferences and market developments. The team may more swiftly adapt to changes in </w:t>
      </w:r>
      <w:r>
        <w:t>demand by breaking the project down into smaller, more manageable tasks or sprints (</w:t>
      </w:r>
      <w:proofErr w:type="spellStart"/>
      <w:r>
        <w:t>Zasa</w:t>
      </w:r>
      <w:proofErr w:type="spellEnd"/>
      <w:r>
        <w:t xml:space="preserve">, </w:t>
      </w:r>
      <w:proofErr w:type="spellStart"/>
      <w:r>
        <w:t>Patrucco</w:t>
      </w:r>
      <w:proofErr w:type="spellEnd"/>
      <w:r>
        <w:t xml:space="preserve"> and </w:t>
      </w:r>
      <w:proofErr w:type="spellStart"/>
      <w:r>
        <w:t>Pellizzoni</w:t>
      </w:r>
      <w:proofErr w:type="spellEnd"/>
      <w:r>
        <w:t xml:space="preserve">, 2021). The Agile technique also promotes teamwork and communication among stakeholders, which is crucial for a project like the M&amp;S Foodhall </w:t>
      </w:r>
      <w:r>
        <w:t xml:space="preserve">where numerous departments and stakeholders are likely to be involved. In a highly competitive retail market like the food business by placing priority on providing value to the customer (Bergmann and </w:t>
      </w:r>
      <w:proofErr w:type="spellStart"/>
      <w:r>
        <w:t>Karwowski</w:t>
      </w:r>
      <w:proofErr w:type="spellEnd"/>
      <w:r>
        <w:t>, 2018). The M&amp;S Foodhall team can develop a s</w:t>
      </w:r>
      <w:r>
        <w:t xml:space="preserve">olid reputation and increase customer loyalty by concentrating on producing high-quality products that satisfy customers' demands and preferences (Cooper and Sommer, 2018). </w:t>
      </w:r>
    </w:p>
    <w:p w14:paraId="7BE01F39" w14:textId="77777777" w:rsidR="003050DA" w:rsidRDefault="00AF286F">
      <w:pPr>
        <w:pStyle w:val="Heading1"/>
        <w:spacing w:after="222"/>
        <w:ind w:left="-5"/>
      </w:pPr>
      <w:bookmarkStart w:id="4" w:name="_Toc19519"/>
      <w:r>
        <w:lastRenderedPageBreak/>
        <w:t xml:space="preserve">Stakeholder Analysis </w:t>
      </w:r>
      <w:bookmarkEnd w:id="4"/>
    </w:p>
    <w:p w14:paraId="601ABCF9" w14:textId="77777777" w:rsidR="003050DA" w:rsidRDefault="00AF286F">
      <w:pPr>
        <w:ind w:left="-5" w:right="0"/>
      </w:pPr>
      <w:r>
        <w:t>The method of distinguishing and assessing the people or org</w:t>
      </w:r>
      <w:r>
        <w:t>anizations that will be affected by or have an interest in a project is known as stakeholder analysis and is a fundamental part of project management (Mok, Shen and Yang, 2015). The following is a stakeholder analysis of both internal and external stakehol</w:t>
      </w:r>
      <w:r>
        <w:t xml:space="preserve">ders for the Marks and Spencer (M&amp;S) Foodhall. </w:t>
      </w:r>
    </w:p>
    <w:p w14:paraId="7CD0929E" w14:textId="77777777" w:rsidR="003050DA" w:rsidRDefault="00AF286F">
      <w:pPr>
        <w:spacing w:after="263" w:line="265" w:lineRule="auto"/>
        <w:ind w:left="-5" w:right="0"/>
        <w:jc w:val="left"/>
      </w:pPr>
      <w:r>
        <w:rPr>
          <w:b/>
        </w:rPr>
        <w:t>Employees</w:t>
      </w:r>
      <w:r>
        <w:t xml:space="preserve">: </w:t>
      </w:r>
    </w:p>
    <w:p w14:paraId="6895A265" w14:textId="386D4EFB" w:rsidR="003050DA" w:rsidRDefault="00AF286F">
      <w:pPr>
        <w:ind w:left="-5" w:right="0"/>
      </w:pPr>
      <w:r>
        <w:t xml:space="preserve">Employees are pivotal M&amp;S Foodhall stakeholders. They are significant to the success of the company and </w:t>
      </w:r>
      <w:r w:rsidR="009C701A">
        <w:t>oversee</w:t>
      </w:r>
      <w:r>
        <w:t xml:space="preserve"> the day-to-day operations of the store. Because it may influence their productivity,</w:t>
      </w:r>
      <w:r>
        <w:t xml:space="preserve"> which may influence how customers are treated, employee satisfaction is significant (Kerzner, 2017). By offering sensible pay, comfortable working circumstances, and chances for professional advancement, M&amp;S Foodhall can ensure workers' happiness fosterin</w:t>
      </w:r>
      <w:r>
        <w:t>g delivery of superior customer service, which can help the company succeed (</w:t>
      </w:r>
      <w:proofErr w:type="spellStart"/>
      <w:r>
        <w:t>Eskerod</w:t>
      </w:r>
      <w:proofErr w:type="spellEnd"/>
      <w:r>
        <w:t xml:space="preserve">, </w:t>
      </w:r>
      <w:proofErr w:type="spellStart"/>
      <w:r>
        <w:t>Huemann</w:t>
      </w:r>
      <w:proofErr w:type="spellEnd"/>
      <w:r>
        <w:t xml:space="preserve"> and </w:t>
      </w:r>
      <w:proofErr w:type="spellStart"/>
      <w:r>
        <w:t>Ringhofer</w:t>
      </w:r>
      <w:proofErr w:type="spellEnd"/>
      <w:r>
        <w:t xml:space="preserve">, 2015). </w:t>
      </w:r>
    </w:p>
    <w:p w14:paraId="4F83E537" w14:textId="77777777" w:rsidR="003050DA" w:rsidRDefault="00AF286F">
      <w:pPr>
        <w:spacing w:after="195" w:line="259" w:lineRule="auto"/>
        <w:ind w:left="0" w:right="0" w:firstLine="0"/>
        <w:jc w:val="left"/>
      </w:pPr>
      <w:r>
        <w:rPr>
          <w:b/>
        </w:rPr>
        <w:t xml:space="preserve"> </w:t>
      </w:r>
    </w:p>
    <w:p w14:paraId="11FD57BC" w14:textId="77777777" w:rsidR="003050DA" w:rsidRDefault="00AF286F">
      <w:pPr>
        <w:spacing w:after="116" w:line="259" w:lineRule="auto"/>
        <w:ind w:left="223" w:right="0" w:firstLine="0"/>
        <w:jc w:val="left"/>
      </w:pPr>
      <w:r>
        <w:rPr>
          <w:noProof/>
        </w:rPr>
        <w:drawing>
          <wp:inline distT="0" distB="0" distL="0" distR="0" wp14:anchorId="71A49087" wp14:editId="5149766A">
            <wp:extent cx="5227321" cy="2636520"/>
            <wp:effectExtent l="0" t="0" r="0" b="0"/>
            <wp:docPr id="19017" name="Picture 19017"/>
            <wp:cNvGraphicFramePr/>
            <a:graphic xmlns:a="http://schemas.openxmlformats.org/drawingml/2006/main">
              <a:graphicData uri="http://schemas.openxmlformats.org/drawingml/2006/picture">
                <pic:pic xmlns:pic="http://schemas.openxmlformats.org/drawingml/2006/picture">
                  <pic:nvPicPr>
                    <pic:cNvPr id="19017" name="Picture 19017"/>
                    <pic:cNvPicPr/>
                  </pic:nvPicPr>
                  <pic:blipFill>
                    <a:blip r:embed="rId9"/>
                    <a:stretch>
                      <a:fillRect/>
                    </a:stretch>
                  </pic:blipFill>
                  <pic:spPr>
                    <a:xfrm>
                      <a:off x="0" y="0"/>
                      <a:ext cx="5227321" cy="2636520"/>
                    </a:xfrm>
                    <a:prstGeom prst="rect">
                      <a:avLst/>
                    </a:prstGeom>
                  </pic:spPr>
                </pic:pic>
              </a:graphicData>
            </a:graphic>
          </wp:inline>
        </w:drawing>
      </w:r>
    </w:p>
    <w:p w14:paraId="3F1B783A" w14:textId="77777777" w:rsidR="003050DA" w:rsidRDefault="00AF286F">
      <w:pPr>
        <w:pStyle w:val="Heading2"/>
        <w:ind w:left="-5"/>
      </w:pPr>
      <w:r>
        <w:t>Figure 3: A cross-section of M&amp;S employees (</w:t>
      </w:r>
      <w:proofErr w:type="spellStart"/>
      <w:r>
        <w:t>Sedqwick</w:t>
      </w:r>
      <w:proofErr w:type="spellEnd"/>
      <w:r>
        <w:t xml:space="preserve">, 2021) </w:t>
      </w:r>
    </w:p>
    <w:p w14:paraId="1BE01400" w14:textId="77777777" w:rsidR="003050DA" w:rsidRDefault="00AF286F">
      <w:pPr>
        <w:spacing w:after="266" w:line="259" w:lineRule="auto"/>
        <w:ind w:left="0" w:right="0" w:firstLine="0"/>
        <w:jc w:val="left"/>
      </w:pPr>
      <w:r>
        <w:rPr>
          <w:b/>
        </w:rPr>
        <w:t xml:space="preserve"> </w:t>
      </w:r>
    </w:p>
    <w:p w14:paraId="7E6C100C" w14:textId="77777777" w:rsidR="003050DA" w:rsidRDefault="00AF286F">
      <w:pPr>
        <w:spacing w:after="263" w:line="259" w:lineRule="auto"/>
        <w:ind w:left="0" w:right="0" w:firstLine="0"/>
        <w:jc w:val="left"/>
      </w:pPr>
      <w:r>
        <w:rPr>
          <w:b/>
        </w:rPr>
        <w:t xml:space="preserve"> </w:t>
      </w:r>
    </w:p>
    <w:p w14:paraId="12B0AA94" w14:textId="77777777" w:rsidR="003050DA" w:rsidRDefault="00AF286F">
      <w:pPr>
        <w:spacing w:after="266" w:line="259" w:lineRule="auto"/>
        <w:ind w:left="0" w:right="0" w:firstLine="0"/>
        <w:jc w:val="left"/>
      </w:pPr>
      <w:r>
        <w:rPr>
          <w:b/>
        </w:rPr>
        <w:t xml:space="preserve"> </w:t>
      </w:r>
    </w:p>
    <w:p w14:paraId="1E8C99F4" w14:textId="77777777" w:rsidR="003050DA" w:rsidRDefault="00AF286F">
      <w:pPr>
        <w:spacing w:after="0" w:line="259" w:lineRule="auto"/>
        <w:ind w:left="0" w:right="0" w:firstLine="0"/>
        <w:jc w:val="left"/>
      </w:pPr>
      <w:r>
        <w:rPr>
          <w:b/>
        </w:rPr>
        <w:t xml:space="preserve"> </w:t>
      </w:r>
    </w:p>
    <w:p w14:paraId="12FAE33C" w14:textId="77777777" w:rsidR="003050DA" w:rsidRDefault="00AF286F">
      <w:pPr>
        <w:spacing w:after="263" w:line="265" w:lineRule="auto"/>
        <w:ind w:left="-5" w:right="0"/>
        <w:jc w:val="left"/>
      </w:pPr>
      <w:r>
        <w:rPr>
          <w:b/>
        </w:rPr>
        <w:lastRenderedPageBreak/>
        <w:t>Management</w:t>
      </w:r>
      <w:r>
        <w:t xml:space="preserve">: </w:t>
      </w:r>
    </w:p>
    <w:p w14:paraId="3DEC341D" w14:textId="5C1948C5" w:rsidR="003050DA" w:rsidRDefault="00AF286F">
      <w:pPr>
        <w:ind w:left="-5" w:right="0"/>
      </w:pPr>
      <w:r>
        <w:t xml:space="preserve">The management group </w:t>
      </w:r>
      <w:r w:rsidR="008E480D">
        <w:t>oversee</w:t>
      </w:r>
      <w:r>
        <w:t xml:space="preserve"> making critical choices that have an effect on the company. They must make sure the business is running easily and effectively because they are capable for its overall success. The viability of the staff and the success of the company are directly impacte</w:t>
      </w:r>
      <w:r>
        <w:t>d by management (</w:t>
      </w:r>
      <w:r>
        <w:rPr>
          <w:color w:val="222222"/>
        </w:rPr>
        <w:t xml:space="preserve">Janssens de </w:t>
      </w:r>
      <w:proofErr w:type="spellStart"/>
      <w:r>
        <w:rPr>
          <w:color w:val="222222"/>
        </w:rPr>
        <w:t>Bisthoven</w:t>
      </w:r>
      <w:proofErr w:type="spellEnd"/>
      <w:r>
        <w:rPr>
          <w:color w:val="222222"/>
        </w:rPr>
        <w:t xml:space="preserve"> et al., 2022</w:t>
      </w:r>
      <w:r>
        <w:t xml:space="preserve">). The management group should make sure that the store runs within its allocated budget and in line with the long-term objectives of the organization. </w:t>
      </w:r>
    </w:p>
    <w:p w14:paraId="299802AB" w14:textId="77777777" w:rsidR="003050DA" w:rsidRDefault="00AF286F">
      <w:pPr>
        <w:spacing w:after="264" w:line="259" w:lineRule="auto"/>
        <w:ind w:left="0" w:right="0" w:firstLine="0"/>
        <w:jc w:val="left"/>
      </w:pPr>
      <w:r>
        <w:t xml:space="preserve"> </w:t>
      </w:r>
    </w:p>
    <w:p w14:paraId="47AB348F" w14:textId="77777777" w:rsidR="003050DA" w:rsidRDefault="00AF286F">
      <w:pPr>
        <w:spacing w:after="0" w:line="259" w:lineRule="auto"/>
        <w:ind w:left="172" w:right="0" w:firstLine="0"/>
        <w:jc w:val="left"/>
      </w:pPr>
      <w:r>
        <w:rPr>
          <w:b/>
        </w:rPr>
        <w:t xml:space="preserve"> </w:t>
      </w:r>
    </w:p>
    <w:p w14:paraId="0E0C3502" w14:textId="77777777" w:rsidR="003050DA" w:rsidRDefault="00AF286F">
      <w:pPr>
        <w:spacing w:after="357" w:line="259" w:lineRule="auto"/>
        <w:ind w:left="172" w:right="0" w:firstLine="0"/>
        <w:jc w:val="left"/>
      </w:pPr>
      <w:r>
        <w:rPr>
          <w:noProof/>
        </w:rPr>
        <w:drawing>
          <wp:inline distT="0" distB="0" distL="0" distR="0" wp14:anchorId="0A50A597" wp14:editId="52ED469B">
            <wp:extent cx="4431793" cy="2410968"/>
            <wp:effectExtent l="0" t="0" r="0" b="0"/>
            <wp:docPr id="19018" name="Picture 19018"/>
            <wp:cNvGraphicFramePr/>
            <a:graphic xmlns:a="http://schemas.openxmlformats.org/drawingml/2006/main">
              <a:graphicData uri="http://schemas.openxmlformats.org/drawingml/2006/picture">
                <pic:pic xmlns:pic="http://schemas.openxmlformats.org/drawingml/2006/picture">
                  <pic:nvPicPr>
                    <pic:cNvPr id="19018" name="Picture 19018"/>
                    <pic:cNvPicPr/>
                  </pic:nvPicPr>
                  <pic:blipFill>
                    <a:blip r:embed="rId10"/>
                    <a:stretch>
                      <a:fillRect/>
                    </a:stretch>
                  </pic:blipFill>
                  <pic:spPr>
                    <a:xfrm>
                      <a:off x="0" y="0"/>
                      <a:ext cx="4431793" cy="2410968"/>
                    </a:xfrm>
                    <a:prstGeom prst="rect">
                      <a:avLst/>
                    </a:prstGeom>
                  </pic:spPr>
                </pic:pic>
              </a:graphicData>
            </a:graphic>
          </wp:inline>
        </w:drawing>
      </w:r>
    </w:p>
    <w:p w14:paraId="055A4627" w14:textId="77777777" w:rsidR="003050DA" w:rsidRDefault="00AF286F">
      <w:pPr>
        <w:spacing w:after="266" w:line="259" w:lineRule="auto"/>
        <w:ind w:left="7530" w:right="0" w:firstLine="0"/>
        <w:jc w:val="left"/>
      </w:pPr>
      <w:r>
        <w:rPr>
          <w:b/>
        </w:rPr>
        <w:t xml:space="preserve"> </w:t>
      </w:r>
    </w:p>
    <w:p w14:paraId="7341F106" w14:textId="77777777" w:rsidR="003050DA" w:rsidRDefault="00AF286F">
      <w:pPr>
        <w:pStyle w:val="Heading2"/>
        <w:ind w:left="-5"/>
      </w:pPr>
      <w:r>
        <w:t xml:space="preserve">Figure 4: A cross-section of M&amp;S management (Craig, 2015) </w:t>
      </w:r>
    </w:p>
    <w:p w14:paraId="43C86F7C" w14:textId="77777777" w:rsidR="003050DA" w:rsidRDefault="00AF286F">
      <w:pPr>
        <w:spacing w:after="263" w:line="265" w:lineRule="auto"/>
        <w:ind w:left="-5" w:right="0"/>
        <w:jc w:val="left"/>
      </w:pPr>
      <w:r>
        <w:rPr>
          <w:b/>
        </w:rPr>
        <w:t>Shareholders</w:t>
      </w:r>
      <w:r>
        <w:t xml:space="preserve">: </w:t>
      </w:r>
    </w:p>
    <w:p w14:paraId="7B69CF12" w14:textId="13DC6909" w:rsidR="003050DA" w:rsidRDefault="00AF286F">
      <w:pPr>
        <w:ind w:left="-5" w:right="0"/>
      </w:pPr>
      <w:r>
        <w:t xml:space="preserve">Shareholders are proprietors of the business and have a stake in its success. Their essential focus is on the company's financial performance, and they need to maximize benefits and </w:t>
      </w:r>
      <w:r>
        <w:t xml:space="preserve">raise shareholder esteem (Armenia et al., 2019). </w:t>
      </w:r>
      <w:r w:rsidR="000374CC">
        <w:t>To</w:t>
      </w:r>
      <w:r>
        <w:t xml:space="preserve"> maintain shareholder </w:t>
      </w:r>
      <w:r w:rsidR="00095772">
        <w:t>fulfilment</w:t>
      </w:r>
      <w:r>
        <w:t xml:space="preserve">, M&amp;S Foodhall must accomplish financial objectives and create a benefit. By making sure that they do their business with genuineness and integrity because shareholders are </w:t>
      </w:r>
      <w:r>
        <w:t xml:space="preserve">also concerned about the company's ethical guidelines. </w:t>
      </w:r>
    </w:p>
    <w:p w14:paraId="2539DC61" w14:textId="77777777" w:rsidR="003050DA" w:rsidRDefault="00AF286F">
      <w:pPr>
        <w:spacing w:after="266" w:line="259" w:lineRule="auto"/>
        <w:ind w:left="0" w:right="0" w:firstLine="0"/>
        <w:jc w:val="left"/>
      </w:pPr>
      <w:r>
        <w:rPr>
          <w:b/>
        </w:rPr>
        <w:t xml:space="preserve"> </w:t>
      </w:r>
    </w:p>
    <w:p w14:paraId="37C82C03" w14:textId="77777777" w:rsidR="003050DA" w:rsidRDefault="00AF286F">
      <w:pPr>
        <w:spacing w:after="0" w:line="259" w:lineRule="auto"/>
        <w:ind w:left="0" w:right="0" w:firstLine="0"/>
        <w:jc w:val="left"/>
      </w:pPr>
      <w:r>
        <w:rPr>
          <w:b/>
        </w:rPr>
        <w:t xml:space="preserve"> </w:t>
      </w:r>
    </w:p>
    <w:p w14:paraId="154D4077" w14:textId="77777777" w:rsidR="003050DA" w:rsidRDefault="00AF286F">
      <w:pPr>
        <w:spacing w:after="263" w:line="265" w:lineRule="auto"/>
        <w:ind w:left="-5" w:right="0"/>
        <w:jc w:val="left"/>
      </w:pPr>
      <w:r>
        <w:rPr>
          <w:b/>
        </w:rPr>
        <w:lastRenderedPageBreak/>
        <w:t>Suppliers</w:t>
      </w:r>
      <w:r>
        <w:t xml:space="preserve">:  </w:t>
      </w:r>
    </w:p>
    <w:p w14:paraId="4FAED2BF" w14:textId="77777777" w:rsidR="003050DA" w:rsidRDefault="00AF286F">
      <w:pPr>
        <w:ind w:left="-5" w:right="0"/>
      </w:pPr>
      <w:r>
        <w:t>Given that they provide the products that M&amp;S Foodhall offers to its customers and suppliers are noteworthy stakeholders. Customer satisfaction may directly be affected by the quality</w:t>
      </w:r>
      <w:r>
        <w:t xml:space="preserve"> of the products that suppliers give (Joslin and Müller, 2015). Hence, M&amp;S Foodhall needs to keep its suppliers satisfied to facilitate continual delivery of high-quality products. Moreover, adhering to the company's principles must be pivotal in their par</w:t>
      </w:r>
      <w:r>
        <w:t xml:space="preserve">tnership with the suppliers. </w:t>
      </w:r>
    </w:p>
    <w:p w14:paraId="00D7C81A" w14:textId="77777777" w:rsidR="003050DA" w:rsidRDefault="00AF286F">
      <w:pPr>
        <w:spacing w:after="263" w:line="265" w:lineRule="auto"/>
        <w:ind w:left="-5" w:right="0"/>
        <w:jc w:val="left"/>
      </w:pPr>
      <w:r>
        <w:rPr>
          <w:b/>
        </w:rPr>
        <w:t>Marketing Group</w:t>
      </w:r>
      <w:r>
        <w:t xml:space="preserve">:   </w:t>
      </w:r>
    </w:p>
    <w:p w14:paraId="71243155" w14:textId="03A85ACC" w:rsidR="003050DA" w:rsidRDefault="00AF286F">
      <w:pPr>
        <w:ind w:left="-5" w:right="0"/>
      </w:pPr>
      <w:r>
        <w:t xml:space="preserve">The marketing division </w:t>
      </w:r>
      <w:r w:rsidR="00CB3B7B">
        <w:t>oversee</w:t>
      </w:r>
      <w:r>
        <w:t xml:space="preserve"> promoting the M&amp;S Foodhall image and drawing in customers to the business. Compelling advertising campaigns, promotions, and client loyalty programs must be created by them (M</w:t>
      </w:r>
      <w:r>
        <w:t xml:space="preserve">eredith, </w:t>
      </w:r>
      <w:proofErr w:type="gramStart"/>
      <w:r>
        <w:t>Shafer</w:t>
      </w:r>
      <w:proofErr w:type="gramEnd"/>
      <w:r>
        <w:t xml:space="preserve"> and Jr, 2017). The marketing team's capacity to create an effective marketing plan is significant to M&amp;S Foodhall's success. By ensuring consistent advertisement of products </w:t>
      </w:r>
    </w:p>
    <w:p w14:paraId="14858A4F" w14:textId="77777777" w:rsidR="003050DA" w:rsidRDefault="00AF286F">
      <w:pPr>
        <w:spacing w:after="263" w:line="265" w:lineRule="auto"/>
        <w:ind w:left="-5" w:right="0"/>
        <w:jc w:val="left"/>
      </w:pPr>
      <w:r>
        <w:rPr>
          <w:b/>
        </w:rPr>
        <w:t>External stakeholders</w:t>
      </w:r>
      <w:r>
        <w:t xml:space="preserve">: </w:t>
      </w:r>
    </w:p>
    <w:p w14:paraId="6217C473" w14:textId="77777777" w:rsidR="003050DA" w:rsidRDefault="00AF286F">
      <w:pPr>
        <w:spacing w:after="263" w:line="265" w:lineRule="auto"/>
        <w:ind w:left="-5" w:right="0"/>
        <w:jc w:val="left"/>
      </w:pPr>
      <w:r>
        <w:rPr>
          <w:b/>
        </w:rPr>
        <w:t>Customers</w:t>
      </w:r>
      <w:r>
        <w:t xml:space="preserve">: </w:t>
      </w:r>
    </w:p>
    <w:p w14:paraId="44D8621E" w14:textId="061AFBBB" w:rsidR="003050DA" w:rsidRDefault="00AF286F">
      <w:pPr>
        <w:ind w:left="-5" w:right="0"/>
      </w:pPr>
      <w:r>
        <w:t xml:space="preserve">The foremost </w:t>
      </w:r>
      <w:r>
        <w:t>significant stakeholder for M&amp;S Foodhall is the customer. They are the ones who make buys of the store's goods and services. The success of the company depends on their satisfaction (Cristóbal et al., 2023), in this way M&amp;S Foodhall must be sure to offer t</w:t>
      </w:r>
      <w:r>
        <w:t xml:space="preserve">hem </w:t>
      </w:r>
      <w:r w:rsidR="00B633C2">
        <w:t>high quality</w:t>
      </w:r>
      <w:r>
        <w:t xml:space="preserve"> goods and services that suit their requests and preferences. Customers’ satisfaction is key through positive and negative feedbacks channel in delivering high-quality products. </w:t>
      </w:r>
    </w:p>
    <w:p w14:paraId="3C38F9C8" w14:textId="77777777" w:rsidR="003050DA" w:rsidRDefault="00AF286F">
      <w:pPr>
        <w:spacing w:after="263" w:line="265" w:lineRule="auto"/>
        <w:ind w:left="-5" w:right="0"/>
        <w:jc w:val="left"/>
      </w:pPr>
      <w:r>
        <w:rPr>
          <w:b/>
        </w:rPr>
        <w:t>Government</w:t>
      </w:r>
      <w:r>
        <w:t xml:space="preserve">: </w:t>
      </w:r>
    </w:p>
    <w:p w14:paraId="70D3422C" w14:textId="27533C18" w:rsidR="003050DA" w:rsidRDefault="00AF286F">
      <w:pPr>
        <w:ind w:left="-5" w:right="0"/>
      </w:pPr>
      <w:r>
        <w:t>The government is a noteworthy external stakehol</w:t>
      </w:r>
      <w:r>
        <w:t xml:space="preserve">der since it controls the food industry and promulgates rules for sanitation and security. These rules must be followed by M&amp;S Foodhall </w:t>
      </w:r>
      <w:r w:rsidR="00523A58">
        <w:t>for</w:t>
      </w:r>
      <w:r>
        <w:t xml:space="preserve"> them to conduct themselves ethically and lawfully. The store should moreover make sure it remains informed of any ch</w:t>
      </w:r>
      <w:r>
        <w:t xml:space="preserve">anges to the law and modify its strategies appropriately (Armenia et al., 2019). </w:t>
      </w:r>
    </w:p>
    <w:p w14:paraId="739E8DFD" w14:textId="3E14F1CD" w:rsidR="003050DA" w:rsidRDefault="00AF286F">
      <w:pPr>
        <w:spacing w:after="263" w:line="265" w:lineRule="auto"/>
        <w:ind w:left="-5" w:right="0"/>
        <w:jc w:val="left"/>
      </w:pPr>
      <w:r>
        <w:rPr>
          <w:b/>
        </w:rPr>
        <w:t xml:space="preserve">Local </w:t>
      </w:r>
      <w:r w:rsidR="00F961F1">
        <w:rPr>
          <w:b/>
        </w:rPr>
        <w:t>Neighbourhoods</w:t>
      </w:r>
      <w:r>
        <w:t xml:space="preserve">:   </w:t>
      </w:r>
    </w:p>
    <w:p w14:paraId="24BA146E" w14:textId="550BD3DD" w:rsidR="003050DA" w:rsidRDefault="00AF286F">
      <w:pPr>
        <w:ind w:left="-5" w:right="0"/>
      </w:pPr>
      <w:r>
        <w:t xml:space="preserve">Since they are the ones who dwell in the area where the store is situated and work there, the local community is a critical stakeholder for M&amp;S </w:t>
      </w:r>
      <w:r w:rsidR="00F961F1">
        <w:t>Food Hall</w:t>
      </w:r>
      <w:r>
        <w:t xml:space="preserve">. The store may have an impact on the </w:t>
      </w:r>
      <w:r w:rsidR="007B783F">
        <w:t>neighbourhoods</w:t>
      </w:r>
      <w:r>
        <w:t xml:space="preserve"> by supporting regional sellers and generating employment possibilities. Delivery </w:t>
      </w:r>
      <w:r>
        <w:lastRenderedPageBreak/>
        <w:t xml:space="preserve">of corporate social responsibility can promote a great relationship between the store and the </w:t>
      </w:r>
      <w:r w:rsidR="007B783F">
        <w:t>neighbourhood</w:t>
      </w:r>
      <w:r>
        <w:t xml:space="preserve"> and cultivate a sense of bolster and dependability for the business (Joslin and Müller, 2015) </w:t>
      </w:r>
    </w:p>
    <w:p w14:paraId="11AE7AA2" w14:textId="77777777" w:rsidR="003050DA" w:rsidRDefault="00AF286F">
      <w:pPr>
        <w:spacing w:after="263" w:line="265" w:lineRule="auto"/>
        <w:ind w:left="-5" w:right="0"/>
        <w:jc w:val="left"/>
      </w:pPr>
      <w:r>
        <w:rPr>
          <w:b/>
        </w:rPr>
        <w:t>Competitors</w:t>
      </w:r>
      <w:r>
        <w:t xml:space="preserve">: </w:t>
      </w:r>
    </w:p>
    <w:p w14:paraId="6DA354F1" w14:textId="1154AE3F" w:rsidR="003050DA" w:rsidRDefault="00AF286F">
      <w:pPr>
        <w:ind w:left="-5" w:right="0"/>
      </w:pPr>
      <w:r>
        <w:t>Since they serve the same market as M&amp;S</w:t>
      </w:r>
      <w:r>
        <w:t xml:space="preserve"> Foodhall and have the potential to influence the operation of the shop, competitors are considered external stakeholders. M&amp;S Foodhall must be aware of its rivals and their tactics </w:t>
      </w:r>
      <w:r w:rsidR="008A3DE4">
        <w:t>to</w:t>
      </w:r>
      <w:r>
        <w:t xml:space="preserve"> set itself apart from them (Kaiser, El </w:t>
      </w:r>
      <w:proofErr w:type="spellStart"/>
      <w:r>
        <w:t>Arbi</w:t>
      </w:r>
      <w:proofErr w:type="spellEnd"/>
      <w:r>
        <w:t xml:space="preserve"> and </w:t>
      </w:r>
      <w:proofErr w:type="spellStart"/>
      <w:r>
        <w:t>Ahlemann</w:t>
      </w:r>
      <w:proofErr w:type="spellEnd"/>
      <w:r>
        <w:t xml:space="preserve">, 2015). </w:t>
      </w:r>
    </w:p>
    <w:p w14:paraId="2DFE9551" w14:textId="77777777" w:rsidR="003050DA" w:rsidRDefault="00AF286F">
      <w:pPr>
        <w:pStyle w:val="Heading2"/>
        <w:ind w:left="-5"/>
      </w:pPr>
      <w:r>
        <w:t>Inves</w:t>
      </w:r>
      <w:r>
        <w:t xml:space="preserve">tors </w:t>
      </w:r>
    </w:p>
    <w:p w14:paraId="1AB31055" w14:textId="55F982F6" w:rsidR="003050DA" w:rsidRDefault="00AF286F">
      <w:pPr>
        <w:spacing w:after="394"/>
        <w:ind w:left="-5" w:right="0"/>
      </w:pPr>
      <w:r>
        <w:t xml:space="preserve">Investors are external stakeholders who contribute financially to the business. Investors can offer the funds that M&amp;S Foodhall may need to raise </w:t>
      </w:r>
      <w:r w:rsidR="008A3DE4">
        <w:t>to</w:t>
      </w:r>
      <w:r>
        <w:t xml:space="preserve"> support its activities. The store must make sure that it appropriately locks in with investors and gi</w:t>
      </w:r>
      <w:r>
        <w:t>ves them the information they require to create wise investment decisions. By hitting its financial objectives and giving investors a positive return on their investment, the store should also make sure that it lives up to the expectations of its investors</w:t>
      </w:r>
      <w:r>
        <w:t xml:space="preserve"> (Martin and </w:t>
      </w:r>
      <w:proofErr w:type="spellStart"/>
      <w:r>
        <w:t>Javalgi</w:t>
      </w:r>
      <w:proofErr w:type="spellEnd"/>
      <w:r>
        <w:t xml:space="preserve">, 2016). </w:t>
      </w:r>
    </w:p>
    <w:p w14:paraId="6286406E" w14:textId="77777777" w:rsidR="003050DA" w:rsidRDefault="00AF286F">
      <w:pPr>
        <w:pStyle w:val="Heading1"/>
        <w:spacing w:after="222"/>
        <w:ind w:left="-5"/>
      </w:pPr>
      <w:bookmarkStart w:id="5" w:name="_Toc19520"/>
      <w:r>
        <w:t xml:space="preserve">Work Breakdown Structure </w:t>
      </w:r>
      <w:bookmarkEnd w:id="5"/>
    </w:p>
    <w:p w14:paraId="5362949A" w14:textId="77777777" w:rsidR="003050DA" w:rsidRDefault="00AF286F">
      <w:pPr>
        <w:ind w:left="-5" w:right="0"/>
      </w:pPr>
      <w:r>
        <w:t>A project is broken down into smaller, easier-to-manage components using a Work Breakdown Structure (WBS). The different tasks necessary to accomplish the project's goals must be defined, organized, a</w:t>
      </w:r>
      <w:r>
        <w:t xml:space="preserve">nd scheduled using a WBS, which is a crucial project management tool (Pan, </w:t>
      </w:r>
      <w:proofErr w:type="gramStart"/>
      <w:r>
        <w:t>Yin</w:t>
      </w:r>
      <w:proofErr w:type="gramEnd"/>
      <w:r>
        <w:t xml:space="preserve"> and Chen, 2019). A typical WBS for M&amp;S Foodhall might contain the following elements: </w:t>
      </w:r>
    </w:p>
    <w:p w14:paraId="07EBAD38" w14:textId="77777777" w:rsidR="003050DA" w:rsidRDefault="00AF286F">
      <w:pPr>
        <w:numPr>
          <w:ilvl w:val="0"/>
          <w:numId w:val="1"/>
        </w:numPr>
        <w:spacing w:after="9"/>
        <w:ind w:right="0" w:hanging="360"/>
      </w:pPr>
      <w:r>
        <w:t>Project initiation: This step entails establishing the project's goals and parameters as w</w:t>
      </w:r>
      <w:r>
        <w:t>ell as its stakeholders and project charter (</w:t>
      </w:r>
      <w:proofErr w:type="spellStart"/>
      <w:r>
        <w:t>Radujković</w:t>
      </w:r>
      <w:proofErr w:type="spellEnd"/>
      <w:r>
        <w:t xml:space="preserve"> and </w:t>
      </w:r>
      <w:proofErr w:type="spellStart"/>
      <w:r>
        <w:t>Sjekavica</w:t>
      </w:r>
      <w:proofErr w:type="spellEnd"/>
      <w:r>
        <w:t xml:space="preserve">, 2017). </w:t>
      </w:r>
    </w:p>
    <w:p w14:paraId="7760E594" w14:textId="77777777" w:rsidR="003050DA" w:rsidRDefault="00AF286F">
      <w:pPr>
        <w:numPr>
          <w:ilvl w:val="0"/>
          <w:numId w:val="1"/>
        </w:numPr>
        <w:spacing w:after="0"/>
        <w:ind w:right="0" w:hanging="360"/>
      </w:pPr>
      <w:r>
        <w:t xml:space="preserve">Market research and analysis: Conducting market research to determine customer needs and preferences, examining rival products and pricing, examining market trends and patron </w:t>
      </w:r>
      <w:proofErr w:type="spellStart"/>
      <w:r>
        <w:t>be</w:t>
      </w:r>
      <w:r>
        <w:t>havior</w:t>
      </w:r>
      <w:proofErr w:type="spellEnd"/>
      <w:r>
        <w:t>, and developing a product line that satisfies those needs and preferences are all part of this component (</w:t>
      </w:r>
      <w:proofErr w:type="spellStart"/>
      <w:r>
        <w:t>Golini</w:t>
      </w:r>
      <w:proofErr w:type="spellEnd"/>
      <w:r>
        <w:t xml:space="preserve">, </w:t>
      </w:r>
      <w:proofErr w:type="spellStart"/>
      <w:r>
        <w:t>Kalchschmidt</w:t>
      </w:r>
      <w:proofErr w:type="spellEnd"/>
      <w:r>
        <w:t xml:space="preserve"> and </w:t>
      </w:r>
      <w:proofErr w:type="spellStart"/>
      <w:r>
        <w:t>Landoni</w:t>
      </w:r>
      <w:proofErr w:type="spellEnd"/>
      <w:r>
        <w:t xml:space="preserve">, 2015).  </w:t>
      </w:r>
    </w:p>
    <w:p w14:paraId="5B544D5C" w14:textId="77777777" w:rsidR="003050DA" w:rsidRDefault="00AF286F">
      <w:pPr>
        <w:numPr>
          <w:ilvl w:val="0"/>
          <w:numId w:val="1"/>
        </w:numPr>
        <w:spacing w:after="0"/>
        <w:ind w:right="0" w:hanging="360"/>
      </w:pPr>
      <w:r>
        <w:t>Store design and development: This step entails choosing and choosing shop locations, creating floor</w:t>
      </w:r>
      <w:r>
        <w:t xml:space="preserve"> plans and layouts, creating branding and signage, and creating packaging designs.  </w:t>
      </w:r>
    </w:p>
    <w:p w14:paraId="4C28A028" w14:textId="77777777" w:rsidR="003050DA" w:rsidRDefault="00AF286F">
      <w:pPr>
        <w:numPr>
          <w:ilvl w:val="0"/>
          <w:numId w:val="1"/>
        </w:numPr>
        <w:ind w:right="0" w:hanging="360"/>
      </w:pPr>
      <w:r>
        <w:lastRenderedPageBreak/>
        <w:t>Supply chain management: This process entails finding and choosing suppliers, settling on terms and prices, controlling inventories and delivery dates, and putting quality</w:t>
      </w:r>
      <w:r>
        <w:t xml:space="preserve"> control procedures in place (Pan, </w:t>
      </w:r>
      <w:proofErr w:type="gramStart"/>
      <w:r>
        <w:t>Yin</w:t>
      </w:r>
      <w:proofErr w:type="gramEnd"/>
      <w:r>
        <w:t xml:space="preserve"> and Chen, 2019). </w:t>
      </w:r>
    </w:p>
    <w:p w14:paraId="4D950149" w14:textId="77777777" w:rsidR="003050DA" w:rsidRDefault="003050DA">
      <w:pPr>
        <w:sectPr w:rsidR="003050DA">
          <w:footerReference w:type="even" r:id="rId11"/>
          <w:footerReference w:type="default" r:id="rId12"/>
          <w:footerReference w:type="first" r:id="rId13"/>
          <w:pgSz w:w="12240" w:h="15840"/>
          <w:pgMar w:top="1439" w:right="1377" w:bottom="1445" w:left="1440" w:header="720" w:footer="721" w:gutter="0"/>
          <w:cols w:space="720"/>
        </w:sectPr>
      </w:pPr>
    </w:p>
    <w:p w14:paraId="685F36CB" w14:textId="6D8990AF" w:rsidR="003050DA" w:rsidRDefault="00AF286F">
      <w:pPr>
        <w:numPr>
          <w:ilvl w:val="0"/>
          <w:numId w:val="1"/>
        </w:numPr>
        <w:spacing w:after="0"/>
        <w:ind w:right="0" w:hanging="360"/>
      </w:pPr>
      <w:r>
        <w:lastRenderedPageBreak/>
        <w:t xml:space="preserve">Marketing and advertising: This section entails creating advertising campaigns, putting marketing plans into action, holding promotional activities, and keeping an eye on customer feedback to tweak the plan as </w:t>
      </w:r>
      <w:r w:rsidR="004B513D">
        <w:t>necessary.</w:t>
      </w:r>
      <w:r>
        <w:t xml:space="preserve">  </w:t>
      </w:r>
    </w:p>
    <w:p w14:paraId="27C5EB74" w14:textId="635A0B17" w:rsidR="003050DA" w:rsidRDefault="00AF286F">
      <w:pPr>
        <w:numPr>
          <w:ilvl w:val="0"/>
          <w:numId w:val="1"/>
        </w:numPr>
        <w:spacing w:after="0"/>
        <w:ind w:right="0" w:hanging="360"/>
      </w:pPr>
      <w:r>
        <w:t xml:space="preserve">Staffing: This part entails finding and hiring employees, creating a training program, holding orientations, and making sure local </w:t>
      </w:r>
      <w:r w:rsidR="008F241D">
        <w:t>labour</w:t>
      </w:r>
      <w:r>
        <w:t xml:space="preserve"> rules are followed (</w:t>
      </w:r>
      <w:proofErr w:type="spellStart"/>
      <w:r>
        <w:t>Berkun</w:t>
      </w:r>
      <w:proofErr w:type="spellEnd"/>
      <w:r>
        <w:t xml:space="preserve">, 2008). </w:t>
      </w:r>
    </w:p>
    <w:p w14:paraId="6EE69595" w14:textId="1749FD31" w:rsidR="003050DA" w:rsidRDefault="00AF286F">
      <w:pPr>
        <w:numPr>
          <w:ilvl w:val="0"/>
          <w:numId w:val="1"/>
        </w:numPr>
        <w:spacing w:after="0"/>
        <w:ind w:right="0" w:hanging="360"/>
      </w:pPr>
      <w:r>
        <w:t>Store Launch: This step includes setting up a soft opening and a grand opening, as</w:t>
      </w:r>
      <w:r>
        <w:t xml:space="preserve">sessing results and </w:t>
      </w:r>
      <w:r w:rsidR="004E1E8D">
        <w:t>adjusting</w:t>
      </w:r>
      <w:r>
        <w:t xml:space="preserve">, and guaranteeing client happiness. </w:t>
      </w:r>
    </w:p>
    <w:p w14:paraId="1F056A2B" w14:textId="77777777" w:rsidR="003050DA" w:rsidRDefault="00AF286F">
      <w:pPr>
        <w:numPr>
          <w:ilvl w:val="0"/>
          <w:numId w:val="1"/>
        </w:numPr>
        <w:spacing w:after="394"/>
        <w:ind w:right="0" w:hanging="360"/>
      </w:pPr>
      <w:r>
        <w:t>Operations and Maintenance: This part entails managing the supply chain and inventory, keeping an eye on revenue and profitability, making sure that health and safety requirements are follo</w:t>
      </w:r>
      <w:r>
        <w:t xml:space="preserve">wed, and keeping the store neat and presentable (Won et al., 2018). </w:t>
      </w:r>
    </w:p>
    <w:p w14:paraId="2DC6C2F9" w14:textId="77777777" w:rsidR="003050DA" w:rsidRDefault="00AF286F">
      <w:pPr>
        <w:pStyle w:val="Heading1"/>
        <w:spacing w:after="222"/>
        <w:ind w:left="-5"/>
      </w:pPr>
      <w:bookmarkStart w:id="6" w:name="_Toc19521"/>
      <w:r>
        <w:t xml:space="preserve">Project Success Criteria </w:t>
      </w:r>
      <w:bookmarkEnd w:id="6"/>
    </w:p>
    <w:p w14:paraId="3D328BA5" w14:textId="77777777" w:rsidR="003050DA" w:rsidRDefault="00AF286F">
      <w:pPr>
        <w:spacing w:after="394"/>
        <w:ind w:left="-5" w:right="0"/>
      </w:pPr>
      <w:r>
        <w:t>The success of the M&amp;S Foodhall project is determined by a set of standards unique to the project's goals and objectives. These success metrics can be defined ba</w:t>
      </w:r>
      <w:r>
        <w:t>sed on the project's goals, scope, timeline, budget, quality, and stakeholder satisfaction. Meeting the schedule is one of the main success criteria, as it includes the store's opening day and construction and fit-out being finished within the allotted tim</w:t>
      </w:r>
      <w:r>
        <w:t xml:space="preserve">e frame (Kaiser, El </w:t>
      </w:r>
      <w:proofErr w:type="spellStart"/>
      <w:r>
        <w:t>Arbi</w:t>
      </w:r>
      <w:proofErr w:type="spellEnd"/>
      <w:r>
        <w:t xml:space="preserve"> and </w:t>
      </w:r>
      <w:proofErr w:type="spellStart"/>
      <w:r>
        <w:t>Ahlemann</w:t>
      </w:r>
      <w:proofErr w:type="spellEnd"/>
      <w:r>
        <w:t>, 2015). Maintaining a tight budget is also important, as it could lead to losses in money, extended completion periods, and a general detrimental effect on the project's success. The finishing product's quality must be</w:t>
      </w:r>
      <w:r>
        <w:t xml:space="preserve"> built and wrapped up to a high standard, paying near attention to each final detail and placing a need on the desires of the patrons. Stakeholder satisfaction is additionally vital, because it depends on meeting the requests of the organization, staff, cl</w:t>
      </w:r>
      <w:r>
        <w:t xml:space="preserve">ients, and providers (Joslin and Müller, 2015). </w:t>
      </w:r>
    </w:p>
    <w:p w14:paraId="572413D4" w14:textId="77777777" w:rsidR="003050DA" w:rsidRDefault="00AF286F">
      <w:pPr>
        <w:pStyle w:val="Heading1"/>
        <w:spacing w:after="222"/>
        <w:ind w:left="-5"/>
      </w:pPr>
      <w:bookmarkStart w:id="7" w:name="_Toc19522"/>
      <w:r>
        <w:t xml:space="preserve">Draft of Cost/Resources Use </w:t>
      </w:r>
      <w:bookmarkEnd w:id="7"/>
    </w:p>
    <w:p w14:paraId="1E199285" w14:textId="77777777" w:rsidR="003050DA" w:rsidRDefault="00AF286F">
      <w:pPr>
        <w:ind w:left="-5" w:right="0"/>
      </w:pPr>
      <w:r>
        <w:t xml:space="preserve">A list of the expenses and resources needed for the project can be created using the project management methods and work breakdown structure specified for M&amp;S Foodhall. </w:t>
      </w:r>
    </w:p>
    <w:p w14:paraId="5616BE60" w14:textId="24752703" w:rsidR="003050DA" w:rsidRDefault="00AF286F">
      <w:pPr>
        <w:numPr>
          <w:ilvl w:val="0"/>
          <w:numId w:val="2"/>
        </w:numPr>
        <w:ind w:right="0" w:hanging="360"/>
      </w:pPr>
      <w:r>
        <w:t>Market R</w:t>
      </w:r>
      <w:r>
        <w:t xml:space="preserve">esearch and Analysis: For this part, it will need to pay for market research, data analysis software, and research analysts' knowledge. To evaluate market trends and consumer </w:t>
      </w:r>
      <w:r w:rsidR="00B11F8B">
        <w:t>behaviour</w:t>
      </w:r>
      <w:r>
        <w:t xml:space="preserve">, it also requires resources including time, </w:t>
      </w:r>
      <w:r w:rsidR="00B11F8B">
        <w:t>labour</w:t>
      </w:r>
      <w:r>
        <w:t>, software, and equip</w:t>
      </w:r>
      <w:r>
        <w:t>ment (</w:t>
      </w:r>
      <w:proofErr w:type="spellStart"/>
      <w:r>
        <w:t>Golini</w:t>
      </w:r>
      <w:proofErr w:type="spellEnd"/>
      <w:r>
        <w:t xml:space="preserve">, </w:t>
      </w:r>
      <w:proofErr w:type="spellStart"/>
      <w:r>
        <w:t>Kalchschmidt</w:t>
      </w:r>
      <w:proofErr w:type="spellEnd"/>
      <w:r>
        <w:t xml:space="preserve"> and </w:t>
      </w:r>
      <w:proofErr w:type="spellStart"/>
      <w:r>
        <w:t>Landoni</w:t>
      </w:r>
      <w:proofErr w:type="spellEnd"/>
      <w:r>
        <w:t xml:space="preserve">, 2015). </w:t>
      </w:r>
    </w:p>
    <w:p w14:paraId="41923C58" w14:textId="77777777" w:rsidR="003050DA" w:rsidRDefault="00AF286F">
      <w:pPr>
        <w:numPr>
          <w:ilvl w:val="0"/>
          <w:numId w:val="2"/>
        </w:numPr>
        <w:spacing w:after="0"/>
        <w:ind w:right="0" w:hanging="360"/>
      </w:pPr>
      <w:r>
        <w:lastRenderedPageBreak/>
        <w:t>Store Design and Development: This part includes the price of architectural services, packaging design, signage, and brand and logo development. Additionally, design teams, architects, engineers, and branding</w:t>
      </w:r>
      <w:r>
        <w:t xml:space="preserve"> specialists are needed. </w:t>
      </w:r>
    </w:p>
    <w:p w14:paraId="2221E326" w14:textId="6F927270" w:rsidR="003050DA" w:rsidRDefault="00AF286F">
      <w:pPr>
        <w:numPr>
          <w:ilvl w:val="0"/>
          <w:numId w:val="2"/>
        </w:numPr>
        <w:spacing w:after="0"/>
        <w:ind w:right="0" w:hanging="360"/>
      </w:pPr>
      <w:r>
        <w:t xml:space="preserve">The price of choosing and negotiating with suppliers, </w:t>
      </w:r>
      <w:r w:rsidR="00CE7CAC">
        <w:t>buying,</w:t>
      </w:r>
      <w:r>
        <w:t xml:space="preserve"> and storing inventory, paying for transportation, and taking quality control precautions are all necessary for this component. Additionally, it needs the assistance of </w:t>
      </w:r>
      <w:r>
        <w:t xml:space="preserve">logistics workers, quality assurance specialists, and procurement teams. </w:t>
      </w:r>
    </w:p>
    <w:p w14:paraId="0913E0DB" w14:textId="77777777" w:rsidR="003050DA" w:rsidRDefault="00AF286F">
      <w:pPr>
        <w:numPr>
          <w:ilvl w:val="0"/>
          <w:numId w:val="2"/>
        </w:numPr>
        <w:spacing w:after="0"/>
        <w:ind w:right="0" w:hanging="360"/>
      </w:pPr>
      <w:r>
        <w:t>The expense of creating and carrying out advertising campaigns, promotions, and events is incurred in the marketing and advertising component. Additionally, marketing and advertising</w:t>
      </w:r>
      <w:r>
        <w:t xml:space="preserve"> teams, graphic designers, and event planners are needed. </w:t>
      </w:r>
    </w:p>
    <w:p w14:paraId="5AA5DFF0" w14:textId="77777777" w:rsidR="003050DA" w:rsidRDefault="00AF286F">
      <w:pPr>
        <w:numPr>
          <w:ilvl w:val="0"/>
          <w:numId w:val="2"/>
        </w:numPr>
        <w:spacing w:after="105" w:line="259" w:lineRule="auto"/>
        <w:ind w:right="0" w:hanging="360"/>
      </w:pPr>
      <w:r>
        <w:t xml:space="preserve">Staffing: The price of hiring, training, and paying employees is required for this component. </w:t>
      </w:r>
    </w:p>
    <w:p w14:paraId="288CE4BD" w14:textId="77777777" w:rsidR="003050DA" w:rsidRDefault="00AF286F">
      <w:pPr>
        <w:spacing w:after="105" w:line="259" w:lineRule="auto"/>
        <w:ind w:left="730" w:right="0"/>
      </w:pPr>
      <w:r>
        <w:t xml:space="preserve">It also needs the assistance of recruiters, trainers, and human resources personnel. </w:t>
      </w:r>
    </w:p>
    <w:p w14:paraId="402FE560" w14:textId="77777777" w:rsidR="003050DA" w:rsidRDefault="00AF286F">
      <w:pPr>
        <w:numPr>
          <w:ilvl w:val="0"/>
          <w:numId w:val="2"/>
        </w:numPr>
        <w:spacing w:after="0"/>
        <w:ind w:right="0" w:hanging="360"/>
      </w:pPr>
      <w:r>
        <w:t>The expense of p</w:t>
      </w:r>
      <w:r>
        <w:t xml:space="preserve">lanning a soft opening and grand opening, along with associated promotions and events, is required for the store launch component. Event coordinators, marketing and advertising teams, and store employees are also needed. </w:t>
      </w:r>
    </w:p>
    <w:p w14:paraId="087F6EFE" w14:textId="77777777" w:rsidR="003050DA" w:rsidRDefault="00AF286F">
      <w:pPr>
        <w:numPr>
          <w:ilvl w:val="0"/>
          <w:numId w:val="2"/>
        </w:numPr>
        <w:spacing w:after="395"/>
        <w:ind w:right="0" w:hanging="360"/>
      </w:pPr>
      <w:r>
        <w:t xml:space="preserve">Operations and Maintenance: This part of the project include spending money for utilities, security, maintenance, and inventory control. Also, it needs the assistance of maintenance, security, and operations personnel (Martin and </w:t>
      </w:r>
      <w:proofErr w:type="spellStart"/>
      <w:r>
        <w:t>Javalgi</w:t>
      </w:r>
      <w:proofErr w:type="spellEnd"/>
      <w:r>
        <w:t xml:space="preserve">, 2016). </w:t>
      </w:r>
    </w:p>
    <w:p w14:paraId="1BD1B4F5" w14:textId="77777777" w:rsidR="003050DA" w:rsidRDefault="00AF286F">
      <w:pPr>
        <w:pStyle w:val="Heading1"/>
        <w:spacing w:after="222"/>
        <w:ind w:left="-5"/>
      </w:pPr>
      <w:bookmarkStart w:id="8" w:name="_Toc19523"/>
      <w:r>
        <w:t>Resources</w:t>
      </w:r>
      <w:r>
        <w:t xml:space="preserve"> Utilised </w:t>
      </w:r>
      <w:bookmarkEnd w:id="8"/>
    </w:p>
    <w:p w14:paraId="5717D4B3" w14:textId="77777777" w:rsidR="003050DA" w:rsidRDefault="00AF286F">
      <w:pPr>
        <w:spacing w:after="392"/>
        <w:ind w:left="-5" w:right="0"/>
      </w:pPr>
      <w:r>
        <w:t>M&amp;S Foodhall's resources are divided into four categories: personnel, equipment, materials, and financial resources. The team includes project managers, architects, engineers, construction workers, and store staff. Materials include shelves, poi</w:t>
      </w:r>
      <w:r>
        <w:t>nt-of-sale systems, refrigeration units, and construction equipment (Cristóbal et al., 2023). Financial resources refer to the cash required for buying property, building a structure, selling it, and running the business. An exhaustive schedule must be cre</w:t>
      </w:r>
      <w:r>
        <w:t>ated to detail the project's scope, assets needed, and budget, as well as a timetable and critical deadlines. Resource administration is fundamental to guarantee the project is completed on time, inside budget, and to the satisfaction of all stakeholders (</w:t>
      </w:r>
      <w:r>
        <w:t>Armenia et al., 2019).</w:t>
      </w:r>
      <w:r>
        <w:rPr>
          <w:b/>
        </w:rPr>
        <w:t xml:space="preserve"> </w:t>
      </w:r>
    </w:p>
    <w:p w14:paraId="4847AB9F" w14:textId="77777777" w:rsidR="003050DA" w:rsidRDefault="00AF286F">
      <w:pPr>
        <w:pStyle w:val="Heading1"/>
        <w:spacing w:after="0"/>
        <w:ind w:left="-5"/>
      </w:pPr>
      <w:bookmarkStart w:id="9" w:name="_Toc19524"/>
      <w:r>
        <w:t xml:space="preserve">Gantt Chart </w:t>
      </w:r>
      <w:bookmarkEnd w:id="9"/>
    </w:p>
    <w:tbl>
      <w:tblPr>
        <w:tblStyle w:val="TableGrid"/>
        <w:tblW w:w="9351" w:type="dxa"/>
        <w:tblInd w:w="5" w:type="dxa"/>
        <w:tblCellMar>
          <w:top w:w="8" w:type="dxa"/>
          <w:left w:w="106" w:type="dxa"/>
          <w:right w:w="47" w:type="dxa"/>
        </w:tblCellMar>
        <w:tblLook w:val="04A0" w:firstRow="1" w:lastRow="0" w:firstColumn="1" w:lastColumn="0" w:noHBand="0" w:noVBand="1"/>
      </w:tblPr>
      <w:tblGrid>
        <w:gridCol w:w="1477"/>
        <w:gridCol w:w="613"/>
        <w:gridCol w:w="632"/>
        <w:gridCol w:w="828"/>
        <w:gridCol w:w="602"/>
        <w:gridCol w:w="658"/>
        <w:gridCol w:w="701"/>
        <w:gridCol w:w="638"/>
        <w:gridCol w:w="638"/>
        <w:gridCol w:w="684"/>
        <w:gridCol w:w="605"/>
        <w:gridCol w:w="638"/>
        <w:gridCol w:w="637"/>
      </w:tblGrid>
      <w:tr w:rsidR="003050DA" w14:paraId="7DD74691" w14:textId="77777777">
        <w:trPr>
          <w:trHeight w:val="392"/>
        </w:trPr>
        <w:tc>
          <w:tcPr>
            <w:tcW w:w="1476" w:type="dxa"/>
            <w:tcBorders>
              <w:top w:val="single" w:sz="4" w:space="0" w:color="000000"/>
              <w:left w:val="single" w:sz="4" w:space="0" w:color="000000"/>
              <w:bottom w:val="single" w:sz="4" w:space="0" w:color="000000"/>
              <w:right w:val="single" w:sz="4" w:space="0" w:color="000000"/>
            </w:tcBorders>
          </w:tcPr>
          <w:p w14:paraId="008FCF61" w14:textId="77777777" w:rsidR="003050DA" w:rsidRDefault="00AF286F">
            <w:pPr>
              <w:spacing w:after="0" w:line="259" w:lineRule="auto"/>
              <w:ind w:left="2" w:right="0" w:firstLine="0"/>
              <w:jc w:val="left"/>
            </w:pPr>
            <w:r>
              <w:t xml:space="preserve">Time </w:t>
            </w:r>
          </w:p>
        </w:tc>
        <w:tc>
          <w:tcPr>
            <w:tcW w:w="612" w:type="dxa"/>
            <w:tcBorders>
              <w:top w:val="single" w:sz="4" w:space="0" w:color="000000"/>
              <w:left w:val="single" w:sz="4" w:space="0" w:color="000000"/>
              <w:bottom w:val="single" w:sz="4" w:space="0" w:color="000000"/>
              <w:right w:val="single" w:sz="4" w:space="0" w:color="000000"/>
            </w:tcBorders>
          </w:tcPr>
          <w:p w14:paraId="28135CD5" w14:textId="77777777" w:rsidR="003050DA" w:rsidRDefault="00AF286F">
            <w:pPr>
              <w:spacing w:after="0" w:line="259" w:lineRule="auto"/>
              <w:ind w:left="2" w:right="0" w:firstLine="0"/>
              <w:jc w:val="left"/>
            </w:pPr>
            <w:r>
              <w:t xml:space="preserve">Jan </w:t>
            </w:r>
          </w:p>
        </w:tc>
        <w:tc>
          <w:tcPr>
            <w:tcW w:w="632" w:type="dxa"/>
            <w:tcBorders>
              <w:top w:val="single" w:sz="4" w:space="0" w:color="000000"/>
              <w:left w:val="single" w:sz="4" w:space="0" w:color="000000"/>
              <w:bottom w:val="single" w:sz="4" w:space="0" w:color="000000"/>
              <w:right w:val="single" w:sz="4" w:space="0" w:color="000000"/>
            </w:tcBorders>
          </w:tcPr>
          <w:p w14:paraId="09DD31BF" w14:textId="77777777" w:rsidR="003050DA" w:rsidRDefault="00AF286F">
            <w:pPr>
              <w:spacing w:after="0" w:line="259" w:lineRule="auto"/>
              <w:ind w:left="2" w:right="0" w:firstLine="0"/>
            </w:pPr>
            <w:r>
              <w:t xml:space="preserve">Feb </w:t>
            </w:r>
          </w:p>
        </w:tc>
        <w:tc>
          <w:tcPr>
            <w:tcW w:w="828" w:type="dxa"/>
            <w:tcBorders>
              <w:top w:val="single" w:sz="4" w:space="0" w:color="000000"/>
              <w:left w:val="single" w:sz="4" w:space="0" w:color="000000"/>
              <w:bottom w:val="single" w:sz="4" w:space="0" w:color="000000"/>
              <w:right w:val="single" w:sz="4" w:space="0" w:color="000000"/>
            </w:tcBorders>
          </w:tcPr>
          <w:p w14:paraId="05CA2D9E" w14:textId="77777777" w:rsidR="003050DA" w:rsidRDefault="00AF286F">
            <w:pPr>
              <w:spacing w:after="0" w:line="259" w:lineRule="auto"/>
              <w:ind w:left="2" w:right="0" w:firstLine="0"/>
            </w:pPr>
            <w:r>
              <w:t xml:space="preserve">March </w:t>
            </w:r>
          </w:p>
        </w:tc>
        <w:tc>
          <w:tcPr>
            <w:tcW w:w="602" w:type="dxa"/>
            <w:tcBorders>
              <w:top w:val="single" w:sz="4" w:space="0" w:color="000000"/>
              <w:left w:val="single" w:sz="4" w:space="0" w:color="000000"/>
              <w:bottom w:val="single" w:sz="4" w:space="0" w:color="000000"/>
              <w:right w:val="single" w:sz="4" w:space="0" w:color="000000"/>
            </w:tcBorders>
          </w:tcPr>
          <w:p w14:paraId="3844AB3A" w14:textId="77777777" w:rsidR="003050DA" w:rsidRDefault="00AF286F">
            <w:pPr>
              <w:spacing w:after="0" w:line="259" w:lineRule="auto"/>
              <w:ind w:left="2" w:right="0" w:firstLine="0"/>
              <w:jc w:val="left"/>
            </w:pPr>
            <w:r>
              <w:t xml:space="preserve">Apr </w:t>
            </w:r>
          </w:p>
        </w:tc>
        <w:tc>
          <w:tcPr>
            <w:tcW w:w="658" w:type="dxa"/>
            <w:tcBorders>
              <w:top w:val="single" w:sz="4" w:space="0" w:color="000000"/>
              <w:left w:val="single" w:sz="4" w:space="0" w:color="000000"/>
              <w:bottom w:val="single" w:sz="4" w:space="0" w:color="000000"/>
              <w:right w:val="single" w:sz="4" w:space="0" w:color="000000"/>
            </w:tcBorders>
          </w:tcPr>
          <w:p w14:paraId="3D69A155" w14:textId="77777777" w:rsidR="003050DA" w:rsidRDefault="00AF286F">
            <w:pPr>
              <w:spacing w:after="0" w:line="259" w:lineRule="auto"/>
              <w:ind w:left="2" w:right="0" w:firstLine="0"/>
            </w:pPr>
            <w:r>
              <w:t xml:space="preserve">May </w:t>
            </w:r>
          </w:p>
        </w:tc>
        <w:tc>
          <w:tcPr>
            <w:tcW w:w="701" w:type="dxa"/>
            <w:tcBorders>
              <w:top w:val="single" w:sz="4" w:space="0" w:color="000000"/>
              <w:left w:val="single" w:sz="4" w:space="0" w:color="000000"/>
              <w:bottom w:val="single" w:sz="4" w:space="0" w:color="000000"/>
              <w:right w:val="single" w:sz="4" w:space="0" w:color="000000"/>
            </w:tcBorders>
          </w:tcPr>
          <w:p w14:paraId="185F002A" w14:textId="77777777" w:rsidR="003050DA" w:rsidRDefault="00AF286F">
            <w:pPr>
              <w:spacing w:after="0" w:line="259" w:lineRule="auto"/>
              <w:ind w:left="2" w:right="0" w:firstLine="0"/>
            </w:pPr>
            <w:r>
              <w:t xml:space="preserve">June </w:t>
            </w:r>
          </w:p>
        </w:tc>
        <w:tc>
          <w:tcPr>
            <w:tcW w:w="638" w:type="dxa"/>
            <w:tcBorders>
              <w:top w:val="single" w:sz="4" w:space="0" w:color="000000"/>
              <w:left w:val="single" w:sz="4" w:space="0" w:color="000000"/>
              <w:bottom w:val="single" w:sz="4" w:space="0" w:color="000000"/>
              <w:right w:val="single" w:sz="4" w:space="0" w:color="000000"/>
            </w:tcBorders>
          </w:tcPr>
          <w:p w14:paraId="0F960D46" w14:textId="77777777" w:rsidR="003050DA" w:rsidRDefault="00AF286F">
            <w:pPr>
              <w:spacing w:after="0" w:line="259" w:lineRule="auto"/>
              <w:ind w:left="2" w:right="0" w:firstLine="0"/>
              <w:jc w:val="left"/>
            </w:pPr>
            <w:r>
              <w:t xml:space="preserve">July </w:t>
            </w:r>
          </w:p>
        </w:tc>
        <w:tc>
          <w:tcPr>
            <w:tcW w:w="638" w:type="dxa"/>
            <w:tcBorders>
              <w:top w:val="single" w:sz="4" w:space="0" w:color="000000"/>
              <w:left w:val="single" w:sz="4" w:space="0" w:color="000000"/>
              <w:bottom w:val="single" w:sz="4" w:space="0" w:color="000000"/>
              <w:right w:val="single" w:sz="4" w:space="0" w:color="000000"/>
            </w:tcBorders>
          </w:tcPr>
          <w:p w14:paraId="0A87EAE2" w14:textId="77777777" w:rsidR="003050DA" w:rsidRDefault="00AF286F">
            <w:pPr>
              <w:spacing w:after="0" w:line="259" w:lineRule="auto"/>
              <w:ind w:left="2" w:right="0" w:firstLine="0"/>
            </w:pPr>
            <w:r>
              <w:t xml:space="preserve">Aug </w:t>
            </w:r>
          </w:p>
        </w:tc>
        <w:tc>
          <w:tcPr>
            <w:tcW w:w="684" w:type="dxa"/>
            <w:tcBorders>
              <w:top w:val="single" w:sz="4" w:space="0" w:color="000000"/>
              <w:left w:val="single" w:sz="4" w:space="0" w:color="000000"/>
              <w:bottom w:val="single" w:sz="4" w:space="0" w:color="000000"/>
              <w:right w:val="single" w:sz="4" w:space="0" w:color="000000"/>
            </w:tcBorders>
          </w:tcPr>
          <w:p w14:paraId="1B4A9946" w14:textId="77777777" w:rsidR="003050DA" w:rsidRDefault="00AF286F">
            <w:pPr>
              <w:spacing w:after="0" w:line="259" w:lineRule="auto"/>
              <w:ind w:left="2" w:right="0" w:firstLine="0"/>
              <w:jc w:val="left"/>
            </w:pPr>
            <w:r>
              <w:t xml:space="preserve">Sept </w:t>
            </w:r>
          </w:p>
        </w:tc>
        <w:tc>
          <w:tcPr>
            <w:tcW w:w="605" w:type="dxa"/>
            <w:tcBorders>
              <w:top w:val="single" w:sz="4" w:space="0" w:color="000000"/>
              <w:left w:val="single" w:sz="4" w:space="0" w:color="000000"/>
              <w:bottom w:val="single" w:sz="4" w:space="0" w:color="000000"/>
              <w:right w:val="single" w:sz="4" w:space="0" w:color="000000"/>
            </w:tcBorders>
          </w:tcPr>
          <w:p w14:paraId="17E6DC9D" w14:textId="77777777" w:rsidR="003050DA" w:rsidRDefault="00AF286F">
            <w:pPr>
              <w:spacing w:after="0" w:line="259" w:lineRule="auto"/>
              <w:ind w:left="3" w:right="0" w:firstLine="0"/>
              <w:jc w:val="left"/>
            </w:pPr>
            <w:r>
              <w:t xml:space="preserve">Oct </w:t>
            </w:r>
          </w:p>
        </w:tc>
        <w:tc>
          <w:tcPr>
            <w:tcW w:w="638" w:type="dxa"/>
            <w:tcBorders>
              <w:top w:val="single" w:sz="4" w:space="0" w:color="000000"/>
              <w:left w:val="single" w:sz="4" w:space="0" w:color="000000"/>
              <w:bottom w:val="single" w:sz="4" w:space="0" w:color="000000"/>
              <w:right w:val="single" w:sz="4" w:space="0" w:color="000000"/>
            </w:tcBorders>
          </w:tcPr>
          <w:p w14:paraId="0EAA1FC5" w14:textId="77777777" w:rsidR="003050DA" w:rsidRDefault="00AF286F">
            <w:pPr>
              <w:spacing w:after="0" w:line="259" w:lineRule="auto"/>
              <w:ind w:left="0" w:right="0" w:firstLine="0"/>
            </w:pPr>
            <w:r>
              <w:t xml:space="preserve">Nov </w:t>
            </w:r>
          </w:p>
        </w:tc>
        <w:tc>
          <w:tcPr>
            <w:tcW w:w="637" w:type="dxa"/>
            <w:tcBorders>
              <w:top w:val="single" w:sz="4" w:space="0" w:color="000000"/>
              <w:left w:val="single" w:sz="4" w:space="0" w:color="000000"/>
              <w:bottom w:val="single" w:sz="4" w:space="0" w:color="000000"/>
              <w:right w:val="single" w:sz="4" w:space="0" w:color="000000"/>
            </w:tcBorders>
          </w:tcPr>
          <w:p w14:paraId="2F918CE7" w14:textId="77777777" w:rsidR="003050DA" w:rsidRDefault="00AF286F">
            <w:pPr>
              <w:spacing w:after="0" w:line="259" w:lineRule="auto"/>
              <w:ind w:left="2" w:right="0" w:firstLine="0"/>
            </w:pPr>
            <w:r>
              <w:t xml:space="preserve">Dec </w:t>
            </w:r>
          </w:p>
        </w:tc>
      </w:tr>
      <w:tr w:rsidR="003050DA" w14:paraId="74B88FDF" w14:textId="77777777">
        <w:trPr>
          <w:trHeight w:val="766"/>
        </w:trPr>
        <w:tc>
          <w:tcPr>
            <w:tcW w:w="1476" w:type="dxa"/>
            <w:tcBorders>
              <w:top w:val="single" w:sz="4" w:space="0" w:color="000000"/>
              <w:left w:val="single" w:sz="4" w:space="0" w:color="000000"/>
              <w:bottom w:val="single" w:sz="4" w:space="0" w:color="000000"/>
              <w:right w:val="single" w:sz="4" w:space="0" w:color="000000"/>
            </w:tcBorders>
          </w:tcPr>
          <w:p w14:paraId="46BB21E9" w14:textId="77777777" w:rsidR="003050DA" w:rsidRDefault="00AF286F">
            <w:pPr>
              <w:spacing w:after="105" w:line="259" w:lineRule="auto"/>
              <w:ind w:left="2" w:right="0" w:firstLine="0"/>
              <w:jc w:val="left"/>
            </w:pPr>
            <w:r>
              <w:t xml:space="preserve">Project </w:t>
            </w:r>
          </w:p>
          <w:p w14:paraId="1410BD97" w14:textId="77777777" w:rsidR="003050DA" w:rsidRDefault="00AF286F">
            <w:pPr>
              <w:spacing w:after="0" w:line="259" w:lineRule="auto"/>
              <w:ind w:left="2" w:right="0" w:firstLine="0"/>
              <w:jc w:val="left"/>
            </w:pPr>
            <w:r>
              <w:t xml:space="preserve">Initiation </w:t>
            </w:r>
          </w:p>
        </w:tc>
        <w:tc>
          <w:tcPr>
            <w:tcW w:w="612" w:type="dxa"/>
            <w:tcBorders>
              <w:top w:val="single" w:sz="4" w:space="0" w:color="000000"/>
              <w:left w:val="single" w:sz="4" w:space="0" w:color="000000"/>
              <w:bottom w:val="single" w:sz="4" w:space="0" w:color="000000"/>
              <w:right w:val="single" w:sz="4" w:space="0" w:color="000000"/>
            </w:tcBorders>
          </w:tcPr>
          <w:p w14:paraId="61460A71" w14:textId="77777777" w:rsidR="003050DA" w:rsidRDefault="00AF286F">
            <w:pPr>
              <w:spacing w:after="0" w:line="259" w:lineRule="auto"/>
              <w:ind w:left="2" w:right="0" w:firstLine="0"/>
              <w:jc w:val="left"/>
            </w:pPr>
            <w:r>
              <w:t xml:space="preserve"> </w:t>
            </w:r>
          </w:p>
        </w:tc>
        <w:tc>
          <w:tcPr>
            <w:tcW w:w="632" w:type="dxa"/>
            <w:tcBorders>
              <w:top w:val="single" w:sz="4" w:space="0" w:color="000000"/>
              <w:left w:val="single" w:sz="4" w:space="0" w:color="000000"/>
              <w:bottom w:val="single" w:sz="4" w:space="0" w:color="000000"/>
              <w:right w:val="single" w:sz="4" w:space="0" w:color="000000"/>
            </w:tcBorders>
          </w:tcPr>
          <w:p w14:paraId="570B80EB" w14:textId="77777777" w:rsidR="003050DA" w:rsidRDefault="00AF286F">
            <w:pPr>
              <w:spacing w:after="0" w:line="259" w:lineRule="auto"/>
              <w:ind w:left="2" w:right="0" w:firstLine="0"/>
              <w:jc w:val="left"/>
            </w:pPr>
            <w:r>
              <w:t xml:space="preserve"> </w:t>
            </w:r>
          </w:p>
        </w:tc>
        <w:tc>
          <w:tcPr>
            <w:tcW w:w="828" w:type="dxa"/>
            <w:tcBorders>
              <w:top w:val="single" w:sz="4" w:space="0" w:color="000000"/>
              <w:left w:val="single" w:sz="4" w:space="0" w:color="000000"/>
              <w:bottom w:val="single" w:sz="4" w:space="0" w:color="000000"/>
              <w:right w:val="single" w:sz="4" w:space="0" w:color="000000"/>
            </w:tcBorders>
          </w:tcPr>
          <w:p w14:paraId="6F5D987A" w14:textId="77777777" w:rsidR="003050DA" w:rsidRDefault="00AF286F">
            <w:pPr>
              <w:spacing w:after="0" w:line="259" w:lineRule="auto"/>
              <w:ind w:left="2" w:right="0" w:firstLine="0"/>
              <w:jc w:val="left"/>
            </w:pPr>
            <w:r>
              <w:t xml:space="preserve"> </w:t>
            </w:r>
          </w:p>
        </w:tc>
        <w:tc>
          <w:tcPr>
            <w:tcW w:w="602" w:type="dxa"/>
            <w:tcBorders>
              <w:top w:val="single" w:sz="4" w:space="0" w:color="000000"/>
              <w:left w:val="single" w:sz="4" w:space="0" w:color="000000"/>
              <w:bottom w:val="single" w:sz="4" w:space="0" w:color="000000"/>
              <w:right w:val="single" w:sz="4" w:space="0" w:color="000000"/>
            </w:tcBorders>
          </w:tcPr>
          <w:p w14:paraId="74AF69BE" w14:textId="77777777" w:rsidR="003050DA" w:rsidRDefault="00AF286F">
            <w:pPr>
              <w:spacing w:after="0" w:line="259" w:lineRule="auto"/>
              <w:ind w:left="2" w:right="0" w:firstLine="0"/>
              <w:jc w:val="left"/>
            </w:pPr>
            <w:r>
              <w:t xml:space="preserve"> </w:t>
            </w:r>
          </w:p>
        </w:tc>
        <w:tc>
          <w:tcPr>
            <w:tcW w:w="658" w:type="dxa"/>
            <w:tcBorders>
              <w:top w:val="single" w:sz="4" w:space="0" w:color="000000"/>
              <w:left w:val="single" w:sz="4" w:space="0" w:color="000000"/>
              <w:bottom w:val="single" w:sz="4" w:space="0" w:color="000000"/>
              <w:right w:val="single" w:sz="4" w:space="0" w:color="000000"/>
            </w:tcBorders>
          </w:tcPr>
          <w:p w14:paraId="08788DBF" w14:textId="77777777" w:rsidR="003050DA" w:rsidRDefault="00AF286F">
            <w:pPr>
              <w:spacing w:after="0" w:line="259" w:lineRule="auto"/>
              <w:ind w:left="2" w:right="0" w:firstLine="0"/>
              <w:jc w:val="left"/>
            </w:pPr>
            <w:r>
              <w:t xml:space="preserve"> </w:t>
            </w:r>
          </w:p>
        </w:tc>
        <w:tc>
          <w:tcPr>
            <w:tcW w:w="701" w:type="dxa"/>
            <w:tcBorders>
              <w:top w:val="single" w:sz="4" w:space="0" w:color="000000"/>
              <w:left w:val="single" w:sz="4" w:space="0" w:color="000000"/>
              <w:bottom w:val="single" w:sz="4" w:space="0" w:color="000000"/>
              <w:right w:val="single" w:sz="4" w:space="0" w:color="000000"/>
            </w:tcBorders>
          </w:tcPr>
          <w:p w14:paraId="13E28546" w14:textId="77777777" w:rsidR="003050DA" w:rsidRDefault="00AF286F">
            <w:pPr>
              <w:spacing w:after="0" w:line="259" w:lineRule="auto"/>
              <w:ind w:left="2" w:right="0" w:firstLine="0"/>
              <w:jc w:val="left"/>
            </w:pPr>
            <w:r>
              <w:t xml:space="preserve"> </w:t>
            </w:r>
          </w:p>
        </w:tc>
        <w:tc>
          <w:tcPr>
            <w:tcW w:w="638" w:type="dxa"/>
            <w:tcBorders>
              <w:top w:val="single" w:sz="4" w:space="0" w:color="000000"/>
              <w:left w:val="single" w:sz="4" w:space="0" w:color="000000"/>
              <w:bottom w:val="single" w:sz="4" w:space="0" w:color="000000"/>
              <w:right w:val="single" w:sz="4" w:space="0" w:color="000000"/>
            </w:tcBorders>
          </w:tcPr>
          <w:p w14:paraId="741F7A56" w14:textId="77777777" w:rsidR="003050DA" w:rsidRDefault="00AF286F">
            <w:pPr>
              <w:spacing w:after="0" w:line="259" w:lineRule="auto"/>
              <w:ind w:left="2" w:right="0" w:firstLine="0"/>
              <w:jc w:val="left"/>
            </w:pPr>
            <w:r>
              <w:t xml:space="preserve"> </w:t>
            </w:r>
          </w:p>
        </w:tc>
        <w:tc>
          <w:tcPr>
            <w:tcW w:w="638" w:type="dxa"/>
            <w:tcBorders>
              <w:top w:val="single" w:sz="4" w:space="0" w:color="000000"/>
              <w:left w:val="single" w:sz="4" w:space="0" w:color="000000"/>
              <w:bottom w:val="single" w:sz="4" w:space="0" w:color="000000"/>
              <w:right w:val="single" w:sz="4" w:space="0" w:color="000000"/>
            </w:tcBorders>
          </w:tcPr>
          <w:p w14:paraId="76A52003" w14:textId="77777777" w:rsidR="003050DA" w:rsidRDefault="00AF286F">
            <w:pPr>
              <w:spacing w:after="0" w:line="259" w:lineRule="auto"/>
              <w:ind w:left="2" w:right="0" w:firstLine="0"/>
              <w:jc w:val="left"/>
            </w:pPr>
            <w:r>
              <w:t xml:space="preserve"> </w:t>
            </w:r>
          </w:p>
        </w:tc>
        <w:tc>
          <w:tcPr>
            <w:tcW w:w="684" w:type="dxa"/>
            <w:tcBorders>
              <w:top w:val="single" w:sz="4" w:space="0" w:color="000000"/>
              <w:left w:val="single" w:sz="4" w:space="0" w:color="000000"/>
              <w:bottom w:val="single" w:sz="4" w:space="0" w:color="000000"/>
              <w:right w:val="single" w:sz="4" w:space="0" w:color="000000"/>
            </w:tcBorders>
          </w:tcPr>
          <w:p w14:paraId="37CA0D26" w14:textId="77777777" w:rsidR="003050DA" w:rsidRDefault="00AF286F">
            <w:pPr>
              <w:spacing w:after="0" w:line="259" w:lineRule="auto"/>
              <w:ind w:left="2" w:right="0" w:firstLine="0"/>
              <w:jc w:val="left"/>
            </w:pPr>
            <w:r>
              <w:t xml:space="preserve"> </w:t>
            </w:r>
          </w:p>
        </w:tc>
        <w:tc>
          <w:tcPr>
            <w:tcW w:w="605" w:type="dxa"/>
            <w:tcBorders>
              <w:top w:val="single" w:sz="4" w:space="0" w:color="000000"/>
              <w:left w:val="single" w:sz="4" w:space="0" w:color="000000"/>
              <w:bottom w:val="single" w:sz="4" w:space="0" w:color="000000"/>
              <w:right w:val="single" w:sz="4" w:space="0" w:color="000000"/>
            </w:tcBorders>
          </w:tcPr>
          <w:p w14:paraId="5D674099" w14:textId="77777777" w:rsidR="003050DA" w:rsidRDefault="00AF286F">
            <w:pPr>
              <w:spacing w:after="0" w:line="259" w:lineRule="auto"/>
              <w:ind w:left="3" w:right="0" w:firstLine="0"/>
              <w:jc w:val="left"/>
            </w:pPr>
            <w:r>
              <w:t xml:space="preserve"> </w:t>
            </w:r>
          </w:p>
        </w:tc>
        <w:tc>
          <w:tcPr>
            <w:tcW w:w="638" w:type="dxa"/>
            <w:tcBorders>
              <w:top w:val="single" w:sz="4" w:space="0" w:color="000000"/>
              <w:left w:val="single" w:sz="4" w:space="0" w:color="000000"/>
              <w:bottom w:val="single" w:sz="4" w:space="0" w:color="000000"/>
              <w:right w:val="single" w:sz="4" w:space="0" w:color="000000"/>
            </w:tcBorders>
            <w:shd w:val="clear" w:color="auto" w:fill="F4B083"/>
          </w:tcPr>
          <w:p w14:paraId="5D260698" w14:textId="77777777" w:rsidR="003050DA" w:rsidRDefault="00AF286F">
            <w:pPr>
              <w:spacing w:after="0" w:line="259" w:lineRule="auto"/>
              <w:ind w:left="0" w:right="0" w:firstLine="0"/>
              <w:jc w:val="left"/>
            </w:pPr>
            <w:r>
              <w:t xml:space="preserve"> </w:t>
            </w:r>
          </w:p>
        </w:tc>
        <w:tc>
          <w:tcPr>
            <w:tcW w:w="637" w:type="dxa"/>
            <w:tcBorders>
              <w:top w:val="single" w:sz="4" w:space="0" w:color="000000"/>
              <w:left w:val="single" w:sz="4" w:space="0" w:color="000000"/>
              <w:bottom w:val="single" w:sz="4" w:space="0" w:color="000000"/>
              <w:right w:val="single" w:sz="4" w:space="0" w:color="000000"/>
            </w:tcBorders>
            <w:shd w:val="clear" w:color="auto" w:fill="F4B083"/>
          </w:tcPr>
          <w:p w14:paraId="16D7ED55" w14:textId="77777777" w:rsidR="003050DA" w:rsidRDefault="00AF286F">
            <w:pPr>
              <w:spacing w:after="0" w:line="259" w:lineRule="auto"/>
              <w:ind w:left="2" w:right="0" w:firstLine="0"/>
              <w:jc w:val="left"/>
            </w:pPr>
            <w:r>
              <w:t xml:space="preserve"> </w:t>
            </w:r>
          </w:p>
        </w:tc>
      </w:tr>
      <w:tr w:rsidR="003050DA" w14:paraId="236F6766" w14:textId="77777777">
        <w:trPr>
          <w:trHeight w:val="388"/>
        </w:trPr>
        <w:tc>
          <w:tcPr>
            <w:tcW w:w="1476" w:type="dxa"/>
            <w:tcBorders>
              <w:top w:val="single" w:sz="4" w:space="0" w:color="000000"/>
              <w:left w:val="single" w:sz="4" w:space="0" w:color="000000"/>
              <w:bottom w:val="single" w:sz="4" w:space="0" w:color="000000"/>
              <w:right w:val="single" w:sz="4" w:space="0" w:color="000000"/>
            </w:tcBorders>
          </w:tcPr>
          <w:p w14:paraId="67744E7A" w14:textId="77777777" w:rsidR="003050DA" w:rsidRDefault="00AF286F">
            <w:pPr>
              <w:spacing w:after="0" w:line="259" w:lineRule="auto"/>
              <w:ind w:left="1" w:right="0" w:firstLine="0"/>
              <w:jc w:val="left"/>
            </w:pPr>
            <w:r>
              <w:lastRenderedPageBreak/>
              <w:t xml:space="preserve">Market R&amp;A </w:t>
            </w:r>
          </w:p>
        </w:tc>
        <w:tc>
          <w:tcPr>
            <w:tcW w:w="612" w:type="dxa"/>
            <w:tcBorders>
              <w:top w:val="single" w:sz="4" w:space="0" w:color="000000"/>
              <w:left w:val="single" w:sz="4" w:space="0" w:color="000000"/>
              <w:bottom w:val="single" w:sz="4" w:space="0" w:color="000000"/>
              <w:right w:val="single" w:sz="4" w:space="0" w:color="000000"/>
            </w:tcBorders>
            <w:shd w:val="clear" w:color="auto" w:fill="4472C4"/>
          </w:tcPr>
          <w:p w14:paraId="73F390E2" w14:textId="77777777" w:rsidR="003050DA" w:rsidRDefault="00AF286F">
            <w:pPr>
              <w:spacing w:after="0" w:line="259" w:lineRule="auto"/>
              <w:ind w:left="0" w:right="0" w:firstLine="0"/>
              <w:jc w:val="left"/>
            </w:pPr>
            <w:r>
              <w:t xml:space="preserve"> </w:t>
            </w:r>
          </w:p>
        </w:tc>
        <w:tc>
          <w:tcPr>
            <w:tcW w:w="632" w:type="dxa"/>
            <w:tcBorders>
              <w:top w:val="single" w:sz="4" w:space="0" w:color="000000"/>
              <w:left w:val="single" w:sz="4" w:space="0" w:color="000000"/>
              <w:bottom w:val="single" w:sz="4" w:space="0" w:color="000000"/>
              <w:right w:val="single" w:sz="4" w:space="0" w:color="000000"/>
            </w:tcBorders>
            <w:shd w:val="clear" w:color="auto" w:fill="4472C4"/>
          </w:tcPr>
          <w:p w14:paraId="620A23E3" w14:textId="77777777" w:rsidR="003050DA" w:rsidRDefault="00AF286F">
            <w:pPr>
              <w:spacing w:after="0" w:line="259" w:lineRule="auto"/>
              <w:ind w:left="1" w:right="0" w:firstLine="0"/>
              <w:jc w:val="left"/>
            </w:pPr>
            <w:r>
              <w:t xml:space="preserve"> </w:t>
            </w:r>
          </w:p>
        </w:tc>
        <w:tc>
          <w:tcPr>
            <w:tcW w:w="828" w:type="dxa"/>
            <w:tcBorders>
              <w:top w:val="single" w:sz="4" w:space="0" w:color="000000"/>
              <w:left w:val="single" w:sz="4" w:space="0" w:color="000000"/>
              <w:bottom w:val="single" w:sz="4" w:space="0" w:color="000000"/>
              <w:right w:val="single" w:sz="4" w:space="0" w:color="000000"/>
            </w:tcBorders>
          </w:tcPr>
          <w:p w14:paraId="3A0FA9FC" w14:textId="77777777" w:rsidR="003050DA" w:rsidRDefault="00AF286F">
            <w:pPr>
              <w:spacing w:after="0" w:line="259" w:lineRule="auto"/>
              <w:ind w:left="2" w:right="0" w:firstLine="0"/>
              <w:jc w:val="left"/>
            </w:pPr>
            <w:r>
              <w:t xml:space="preserve"> </w:t>
            </w:r>
          </w:p>
        </w:tc>
        <w:tc>
          <w:tcPr>
            <w:tcW w:w="602" w:type="dxa"/>
            <w:tcBorders>
              <w:top w:val="single" w:sz="4" w:space="0" w:color="000000"/>
              <w:left w:val="single" w:sz="4" w:space="0" w:color="000000"/>
              <w:bottom w:val="single" w:sz="4" w:space="0" w:color="000000"/>
              <w:right w:val="single" w:sz="4" w:space="0" w:color="000000"/>
            </w:tcBorders>
          </w:tcPr>
          <w:p w14:paraId="05F8FF51" w14:textId="77777777" w:rsidR="003050DA" w:rsidRDefault="00AF286F">
            <w:pPr>
              <w:spacing w:after="0" w:line="259" w:lineRule="auto"/>
              <w:ind w:left="2" w:right="0" w:firstLine="0"/>
              <w:jc w:val="left"/>
            </w:pPr>
            <w:r>
              <w:t xml:space="preserve"> </w:t>
            </w:r>
          </w:p>
        </w:tc>
        <w:tc>
          <w:tcPr>
            <w:tcW w:w="658" w:type="dxa"/>
            <w:tcBorders>
              <w:top w:val="single" w:sz="4" w:space="0" w:color="000000"/>
              <w:left w:val="single" w:sz="4" w:space="0" w:color="000000"/>
              <w:bottom w:val="single" w:sz="4" w:space="0" w:color="000000"/>
              <w:right w:val="single" w:sz="4" w:space="0" w:color="000000"/>
            </w:tcBorders>
          </w:tcPr>
          <w:p w14:paraId="3C6786F1" w14:textId="77777777" w:rsidR="003050DA" w:rsidRDefault="00AF286F">
            <w:pPr>
              <w:spacing w:after="0" w:line="259" w:lineRule="auto"/>
              <w:ind w:left="1" w:right="0" w:firstLine="0"/>
              <w:jc w:val="left"/>
            </w:pPr>
            <w:r>
              <w:t xml:space="preserve"> </w:t>
            </w:r>
          </w:p>
        </w:tc>
        <w:tc>
          <w:tcPr>
            <w:tcW w:w="701" w:type="dxa"/>
            <w:tcBorders>
              <w:top w:val="single" w:sz="4" w:space="0" w:color="000000"/>
              <w:left w:val="single" w:sz="4" w:space="0" w:color="000000"/>
              <w:bottom w:val="single" w:sz="4" w:space="0" w:color="000000"/>
              <w:right w:val="single" w:sz="4" w:space="0" w:color="000000"/>
            </w:tcBorders>
          </w:tcPr>
          <w:p w14:paraId="6AB08E16" w14:textId="77777777" w:rsidR="003050DA" w:rsidRDefault="00AF286F">
            <w:pPr>
              <w:spacing w:after="0" w:line="259" w:lineRule="auto"/>
              <w:ind w:left="1" w:right="0" w:firstLine="0"/>
              <w:jc w:val="left"/>
            </w:pPr>
            <w:r>
              <w:t xml:space="preserve"> </w:t>
            </w:r>
          </w:p>
        </w:tc>
        <w:tc>
          <w:tcPr>
            <w:tcW w:w="638" w:type="dxa"/>
            <w:tcBorders>
              <w:top w:val="single" w:sz="4" w:space="0" w:color="000000"/>
              <w:left w:val="single" w:sz="4" w:space="0" w:color="000000"/>
              <w:bottom w:val="single" w:sz="4" w:space="0" w:color="000000"/>
              <w:right w:val="single" w:sz="4" w:space="0" w:color="000000"/>
            </w:tcBorders>
          </w:tcPr>
          <w:p w14:paraId="1247C739" w14:textId="77777777" w:rsidR="003050DA" w:rsidRDefault="00AF286F">
            <w:pPr>
              <w:spacing w:after="0" w:line="259" w:lineRule="auto"/>
              <w:ind w:left="1" w:right="0" w:firstLine="0"/>
              <w:jc w:val="left"/>
            </w:pPr>
            <w:r>
              <w:t xml:space="preserve"> </w:t>
            </w:r>
          </w:p>
        </w:tc>
        <w:tc>
          <w:tcPr>
            <w:tcW w:w="638" w:type="dxa"/>
            <w:tcBorders>
              <w:top w:val="single" w:sz="4" w:space="0" w:color="000000"/>
              <w:left w:val="single" w:sz="4" w:space="0" w:color="000000"/>
              <w:bottom w:val="single" w:sz="4" w:space="0" w:color="000000"/>
              <w:right w:val="single" w:sz="4" w:space="0" w:color="000000"/>
            </w:tcBorders>
          </w:tcPr>
          <w:p w14:paraId="66B29864" w14:textId="77777777" w:rsidR="003050DA" w:rsidRDefault="00AF286F">
            <w:pPr>
              <w:spacing w:after="0" w:line="259" w:lineRule="auto"/>
              <w:ind w:left="1" w:right="0" w:firstLine="0"/>
              <w:jc w:val="left"/>
            </w:pPr>
            <w:r>
              <w:t xml:space="preserve"> </w:t>
            </w:r>
          </w:p>
        </w:tc>
        <w:tc>
          <w:tcPr>
            <w:tcW w:w="684" w:type="dxa"/>
            <w:tcBorders>
              <w:top w:val="single" w:sz="4" w:space="0" w:color="000000"/>
              <w:left w:val="single" w:sz="4" w:space="0" w:color="000000"/>
              <w:bottom w:val="single" w:sz="4" w:space="0" w:color="000000"/>
              <w:right w:val="single" w:sz="4" w:space="0" w:color="000000"/>
            </w:tcBorders>
          </w:tcPr>
          <w:p w14:paraId="6C8D277E" w14:textId="77777777" w:rsidR="003050DA" w:rsidRDefault="00AF286F">
            <w:pPr>
              <w:spacing w:after="0" w:line="259" w:lineRule="auto"/>
              <w:ind w:left="1" w:right="0" w:firstLine="0"/>
              <w:jc w:val="left"/>
            </w:pPr>
            <w:r>
              <w:t xml:space="preserve"> </w:t>
            </w:r>
          </w:p>
        </w:tc>
        <w:tc>
          <w:tcPr>
            <w:tcW w:w="605" w:type="dxa"/>
            <w:tcBorders>
              <w:top w:val="single" w:sz="4" w:space="0" w:color="000000"/>
              <w:left w:val="single" w:sz="4" w:space="0" w:color="000000"/>
              <w:bottom w:val="single" w:sz="4" w:space="0" w:color="000000"/>
              <w:right w:val="single" w:sz="4" w:space="0" w:color="000000"/>
            </w:tcBorders>
          </w:tcPr>
          <w:p w14:paraId="7E30ED94" w14:textId="77777777" w:rsidR="003050DA" w:rsidRDefault="00AF286F">
            <w:pPr>
              <w:spacing w:after="0" w:line="259" w:lineRule="auto"/>
              <w:ind w:left="2" w:right="0" w:firstLine="0"/>
              <w:jc w:val="left"/>
            </w:pPr>
            <w: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6173AAE" w14:textId="77777777" w:rsidR="003050DA" w:rsidRDefault="00AF286F">
            <w:pPr>
              <w:spacing w:after="0" w:line="259" w:lineRule="auto"/>
              <w:ind w:left="0" w:right="0" w:firstLine="0"/>
              <w:jc w:val="left"/>
            </w:pPr>
            <w:r>
              <w:t xml:space="preserve"> </w:t>
            </w:r>
          </w:p>
        </w:tc>
        <w:tc>
          <w:tcPr>
            <w:tcW w:w="637" w:type="dxa"/>
            <w:tcBorders>
              <w:top w:val="single" w:sz="4" w:space="0" w:color="000000"/>
              <w:left w:val="single" w:sz="4" w:space="0" w:color="000000"/>
              <w:bottom w:val="single" w:sz="4" w:space="0" w:color="000000"/>
              <w:right w:val="single" w:sz="4" w:space="0" w:color="000000"/>
            </w:tcBorders>
            <w:shd w:val="clear" w:color="auto" w:fill="4472C4"/>
          </w:tcPr>
          <w:p w14:paraId="3432FF0D" w14:textId="77777777" w:rsidR="003050DA" w:rsidRDefault="00AF286F">
            <w:pPr>
              <w:spacing w:after="0" w:line="259" w:lineRule="auto"/>
              <w:ind w:left="1" w:right="0" w:firstLine="0"/>
              <w:jc w:val="left"/>
            </w:pPr>
            <w:r>
              <w:t xml:space="preserve"> </w:t>
            </w:r>
          </w:p>
        </w:tc>
      </w:tr>
      <w:tr w:rsidR="003050DA" w14:paraId="675B5199" w14:textId="77777777">
        <w:trPr>
          <w:trHeight w:val="391"/>
        </w:trPr>
        <w:tc>
          <w:tcPr>
            <w:tcW w:w="1476" w:type="dxa"/>
            <w:tcBorders>
              <w:top w:val="single" w:sz="4" w:space="0" w:color="000000"/>
              <w:left w:val="single" w:sz="4" w:space="0" w:color="000000"/>
              <w:bottom w:val="single" w:sz="4" w:space="0" w:color="000000"/>
              <w:right w:val="single" w:sz="4" w:space="0" w:color="000000"/>
            </w:tcBorders>
          </w:tcPr>
          <w:p w14:paraId="03DE6716" w14:textId="77777777" w:rsidR="003050DA" w:rsidRDefault="00AF286F">
            <w:pPr>
              <w:spacing w:after="0" w:line="259" w:lineRule="auto"/>
              <w:ind w:left="1" w:right="0" w:firstLine="0"/>
              <w:jc w:val="left"/>
            </w:pPr>
            <w:r>
              <w:t xml:space="preserve">Store D&amp;D </w:t>
            </w:r>
          </w:p>
        </w:tc>
        <w:tc>
          <w:tcPr>
            <w:tcW w:w="612" w:type="dxa"/>
            <w:tcBorders>
              <w:top w:val="single" w:sz="4" w:space="0" w:color="000000"/>
              <w:left w:val="single" w:sz="4" w:space="0" w:color="000000"/>
              <w:bottom w:val="single" w:sz="4" w:space="0" w:color="000000"/>
              <w:right w:val="single" w:sz="4" w:space="0" w:color="000000"/>
            </w:tcBorders>
          </w:tcPr>
          <w:p w14:paraId="06255EDC" w14:textId="77777777" w:rsidR="003050DA" w:rsidRDefault="00AF286F">
            <w:pPr>
              <w:spacing w:after="0" w:line="259" w:lineRule="auto"/>
              <w:ind w:left="0" w:right="0" w:firstLine="0"/>
              <w:jc w:val="left"/>
            </w:pPr>
            <w:r>
              <w:t xml:space="preserve"> </w:t>
            </w:r>
          </w:p>
        </w:tc>
        <w:tc>
          <w:tcPr>
            <w:tcW w:w="632" w:type="dxa"/>
            <w:tcBorders>
              <w:top w:val="single" w:sz="4" w:space="0" w:color="000000"/>
              <w:left w:val="single" w:sz="4" w:space="0" w:color="000000"/>
              <w:bottom w:val="single" w:sz="4" w:space="0" w:color="000000"/>
              <w:right w:val="single" w:sz="4" w:space="0" w:color="000000"/>
            </w:tcBorders>
          </w:tcPr>
          <w:p w14:paraId="62B4C34F" w14:textId="77777777" w:rsidR="003050DA" w:rsidRDefault="00AF286F">
            <w:pPr>
              <w:spacing w:after="0" w:line="259" w:lineRule="auto"/>
              <w:ind w:left="1" w:right="0" w:firstLine="0"/>
              <w:jc w:val="left"/>
            </w:pPr>
            <w:r>
              <w:t xml:space="preserve"> </w:t>
            </w:r>
          </w:p>
        </w:tc>
        <w:tc>
          <w:tcPr>
            <w:tcW w:w="828" w:type="dxa"/>
            <w:tcBorders>
              <w:top w:val="single" w:sz="4" w:space="0" w:color="000000"/>
              <w:left w:val="single" w:sz="4" w:space="0" w:color="000000"/>
              <w:bottom w:val="single" w:sz="4" w:space="0" w:color="000000"/>
              <w:right w:val="single" w:sz="4" w:space="0" w:color="000000"/>
            </w:tcBorders>
            <w:shd w:val="clear" w:color="auto" w:fill="FFD966"/>
          </w:tcPr>
          <w:p w14:paraId="4BB5A00A" w14:textId="77777777" w:rsidR="003050DA" w:rsidRDefault="00AF286F">
            <w:pPr>
              <w:spacing w:after="0" w:line="259" w:lineRule="auto"/>
              <w:ind w:left="2" w:right="0" w:firstLine="0"/>
              <w:jc w:val="left"/>
            </w:pPr>
            <w:r>
              <w:t xml:space="preserve"> </w:t>
            </w:r>
          </w:p>
        </w:tc>
        <w:tc>
          <w:tcPr>
            <w:tcW w:w="602" w:type="dxa"/>
            <w:tcBorders>
              <w:top w:val="single" w:sz="4" w:space="0" w:color="000000"/>
              <w:left w:val="single" w:sz="4" w:space="0" w:color="000000"/>
              <w:bottom w:val="single" w:sz="4" w:space="0" w:color="000000"/>
              <w:right w:val="single" w:sz="4" w:space="0" w:color="000000"/>
            </w:tcBorders>
            <w:shd w:val="clear" w:color="auto" w:fill="FFD966"/>
          </w:tcPr>
          <w:p w14:paraId="11C98085" w14:textId="77777777" w:rsidR="003050DA" w:rsidRDefault="00AF286F">
            <w:pPr>
              <w:spacing w:after="0" w:line="259" w:lineRule="auto"/>
              <w:ind w:left="2" w:right="0" w:firstLine="0"/>
              <w:jc w:val="left"/>
            </w:pPr>
            <w:r>
              <w:t xml:space="preserve"> </w:t>
            </w:r>
          </w:p>
        </w:tc>
        <w:tc>
          <w:tcPr>
            <w:tcW w:w="658" w:type="dxa"/>
            <w:tcBorders>
              <w:top w:val="single" w:sz="4" w:space="0" w:color="000000"/>
              <w:left w:val="single" w:sz="4" w:space="0" w:color="000000"/>
              <w:bottom w:val="single" w:sz="4" w:space="0" w:color="000000"/>
              <w:right w:val="single" w:sz="4" w:space="0" w:color="000000"/>
            </w:tcBorders>
          </w:tcPr>
          <w:p w14:paraId="7A541C78" w14:textId="77777777" w:rsidR="003050DA" w:rsidRDefault="00AF286F">
            <w:pPr>
              <w:spacing w:after="0" w:line="259" w:lineRule="auto"/>
              <w:ind w:left="1" w:right="0" w:firstLine="0"/>
              <w:jc w:val="left"/>
            </w:pPr>
            <w:r>
              <w:t xml:space="preserve"> </w:t>
            </w:r>
          </w:p>
        </w:tc>
        <w:tc>
          <w:tcPr>
            <w:tcW w:w="701" w:type="dxa"/>
            <w:tcBorders>
              <w:top w:val="single" w:sz="4" w:space="0" w:color="000000"/>
              <w:left w:val="single" w:sz="4" w:space="0" w:color="000000"/>
              <w:bottom w:val="single" w:sz="4" w:space="0" w:color="000000"/>
              <w:right w:val="single" w:sz="4" w:space="0" w:color="000000"/>
            </w:tcBorders>
          </w:tcPr>
          <w:p w14:paraId="07D5239B" w14:textId="77777777" w:rsidR="003050DA" w:rsidRDefault="00AF286F">
            <w:pPr>
              <w:spacing w:after="0" w:line="259" w:lineRule="auto"/>
              <w:ind w:left="1" w:right="0" w:firstLine="0"/>
              <w:jc w:val="left"/>
            </w:pPr>
            <w:r>
              <w:t xml:space="preserve"> </w:t>
            </w:r>
          </w:p>
        </w:tc>
        <w:tc>
          <w:tcPr>
            <w:tcW w:w="638" w:type="dxa"/>
            <w:tcBorders>
              <w:top w:val="single" w:sz="4" w:space="0" w:color="000000"/>
              <w:left w:val="single" w:sz="4" w:space="0" w:color="000000"/>
              <w:bottom w:val="single" w:sz="4" w:space="0" w:color="000000"/>
              <w:right w:val="single" w:sz="4" w:space="0" w:color="000000"/>
            </w:tcBorders>
          </w:tcPr>
          <w:p w14:paraId="16C3961A" w14:textId="77777777" w:rsidR="003050DA" w:rsidRDefault="00AF286F">
            <w:pPr>
              <w:spacing w:after="0" w:line="259" w:lineRule="auto"/>
              <w:ind w:left="1" w:right="0" w:firstLine="0"/>
              <w:jc w:val="left"/>
            </w:pPr>
            <w:r>
              <w:t xml:space="preserve"> </w:t>
            </w:r>
          </w:p>
        </w:tc>
        <w:tc>
          <w:tcPr>
            <w:tcW w:w="638" w:type="dxa"/>
            <w:tcBorders>
              <w:top w:val="single" w:sz="4" w:space="0" w:color="000000"/>
              <w:left w:val="single" w:sz="4" w:space="0" w:color="000000"/>
              <w:bottom w:val="single" w:sz="4" w:space="0" w:color="000000"/>
              <w:right w:val="single" w:sz="4" w:space="0" w:color="000000"/>
            </w:tcBorders>
          </w:tcPr>
          <w:p w14:paraId="68621E09" w14:textId="77777777" w:rsidR="003050DA" w:rsidRDefault="00AF286F">
            <w:pPr>
              <w:spacing w:after="0" w:line="259" w:lineRule="auto"/>
              <w:ind w:left="1" w:right="0" w:firstLine="0"/>
              <w:jc w:val="left"/>
            </w:pPr>
            <w:r>
              <w:t xml:space="preserve"> </w:t>
            </w:r>
          </w:p>
        </w:tc>
        <w:tc>
          <w:tcPr>
            <w:tcW w:w="684" w:type="dxa"/>
            <w:tcBorders>
              <w:top w:val="single" w:sz="4" w:space="0" w:color="000000"/>
              <w:left w:val="single" w:sz="4" w:space="0" w:color="000000"/>
              <w:bottom w:val="single" w:sz="4" w:space="0" w:color="000000"/>
              <w:right w:val="single" w:sz="4" w:space="0" w:color="000000"/>
            </w:tcBorders>
          </w:tcPr>
          <w:p w14:paraId="17274120" w14:textId="77777777" w:rsidR="003050DA" w:rsidRDefault="00AF286F">
            <w:pPr>
              <w:spacing w:after="0" w:line="259" w:lineRule="auto"/>
              <w:ind w:left="1" w:right="0" w:firstLine="0"/>
              <w:jc w:val="left"/>
            </w:pPr>
            <w:r>
              <w:t xml:space="preserve"> </w:t>
            </w:r>
          </w:p>
        </w:tc>
        <w:tc>
          <w:tcPr>
            <w:tcW w:w="605" w:type="dxa"/>
            <w:tcBorders>
              <w:top w:val="single" w:sz="4" w:space="0" w:color="000000"/>
              <w:left w:val="single" w:sz="4" w:space="0" w:color="000000"/>
              <w:bottom w:val="single" w:sz="4" w:space="0" w:color="000000"/>
              <w:right w:val="single" w:sz="4" w:space="0" w:color="000000"/>
            </w:tcBorders>
          </w:tcPr>
          <w:p w14:paraId="57FA13C8" w14:textId="77777777" w:rsidR="003050DA" w:rsidRDefault="00AF286F">
            <w:pPr>
              <w:spacing w:after="0" w:line="259" w:lineRule="auto"/>
              <w:ind w:left="2" w:right="0" w:firstLine="0"/>
              <w:jc w:val="left"/>
            </w:pPr>
            <w:r>
              <w:t xml:space="preserve"> </w:t>
            </w:r>
          </w:p>
        </w:tc>
        <w:tc>
          <w:tcPr>
            <w:tcW w:w="638" w:type="dxa"/>
            <w:tcBorders>
              <w:top w:val="single" w:sz="4" w:space="0" w:color="000000"/>
              <w:left w:val="single" w:sz="4" w:space="0" w:color="000000"/>
              <w:bottom w:val="single" w:sz="4" w:space="0" w:color="000000"/>
              <w:right w:val="single" w:sz="4" w:space="0" w:color="000000"/>
            </w:tcBorders>
          </w:tcPr>
          <w:p w14:paraId="2FD5D179" w14:textId="77777777" w:rsidR="003050DA" w:rsidRDefault="00AF286F">
            <w:pPr>
              <w:spacing w:after="0" w:line="259" w:lineRule="auto"/>
              <w:ind w:left="0" w:right="0" w:firstLine="0"/>
              <w:jc w:val="left"/>
            </w:pPr>
            <w:r>
              <w:t xml:space="preserve"> </w:t>
            </w:r>
          </w:p>
        </w:tc>
        <w:tc>
          <w:tcPr>
            <w:tcW w:w="637" w:type="dxa"/>
            <w:tcBorders>
              <w:top w:val="single" w:sz="4" w:space="0" w:color="000000"/>
              <w:left w:val="single" w:sz="4" w:space="0" w:color="000000"/>
              <w:bottom w:val="single" w:sz="4" w:space="0" w:color="000000"/>
              <w:right w:val="single" w:sz="4" w:space="0" w:color="000000"/>
            </w:tcBorders>
          </w:tcPr>
          <w:p w14:paraId="38D1E56D" w14:textId="77777777" w:rsidR="003050DA" w:rsidRDefault="00AF286F">
            <w:pPr>
              <w:spacing w:after="0" w:line="259" w:lineRule="auto"/>
              <w:ind w:left="1" w:right="0" w:firstLine="0"/>
              <w:jc w:val="left"/>
            </w:pPr>
            <w:r>
              <w:t xml:space="preserve"> </w:t>
            </w:r>
          </w:p>
        </w:tc>
      </w:tr>
      <w:tr w:rsidR="003050DA" w14:paraId="6C99E564" w14:textId="77777777">
        <w:trPr>
          <w:trHeight w:val="389"/>
        </w:trPr>
        <w:tc>
          <w:tcPr>
            <w:tcW w:w="1476" w:type="dxa"/>
            <w:tcBorders>
              <w:top w:val="single" w:sz="4" w:space="0" w:color="000000"/>
              <w:left w:val="single" w:sz="4" w:space="0" w:color="000000"/>
              <w:bottom w:val="single" w:sz="4" w:space="0" w:color="000000"/>
              <w:right w:val="single" w:sz="4" w:space="0" w:color="000000"/>
            </w:tcBorders>
          </w:tcPr>
          <w:p w14:paraId="355653F8" w14:textId="77777777" w:rsidR="003050DA" w:rsidRDefault="00AF286F">
            <w:pPr>
              <w:spacing w:after="0" w:line="259" w:lineRule="auto"/>
              <w:ind w:left="1" w:right="0" w:firstLine="0"/>
              <w:jc w:val="left"/>
            </w:pPr>
            <w:r>
              <w:t xml:space="preserve">Supply chain </w:t>
            </w:r>
          </w:p>
        </w:tc>
        <w:tc>
          <w:tcPr>
            <w:tcW w:w="612" w:type="dxa"/>
            <w:tcBorders>
              <w:top w:val="single" w:sz="4" w:space="0" w:color="000000"/>
              <w:left w:val="single" w:sz="4" w:space="0" w:color="000000"/>
              <w:bottom w:val="single" w:sz="4" w:space="0" w:color="000000"/>
              <w:right w:val="single" w:sz="4" w:space="0" w:color="000000"/>
            </w:tcBorders>
          </w:tcPr>
          <w:p w14:paraId="4BE00E76" w14:textId="77777777" w:rsidR="003050DA" w:rsidRDefault="00AF286F">
            <w:pPr>
              <w:spacing w:after="0" w:line="259" w:lineRule="auto"/>
              <w:ind w:left="0" w:right="0" w:firstLine="0"/>
              <w:jc w:val="left"/>
            </w:pPr>
            <w:r>
              <w:t xml:space="preserve"> </w:t>
            </w:r>
          </w:p>
        </w:tc>
        <w:tc>
          <w:tcPr>
            <w:tcW w:w="632" w:type="dxa"/>
            <w:tcBorders>
              <w:top w:val="single" w:sz="4" w:space="0" w:color="000000"/>
              <w:left w:val="single" w:sz="4" w:space="0" w:color="000000"/>
              <w:bottom w:val="single" w:sz="4" w:space="0" w:color="000000"/>
              <w:right w:val="single" w:sz="4" w:space="0" w:color="000000"/>
            </w:tcBorders>
          </w:tcPr>
          <w:p w14:paraId="6D9795A3" w14:textId="77777777" w:rsidR="003050DA" w:rsidRDefault="00AF286F">
            <w:pPr>
              <w:spacing w:after="0" w:line="259" w:lineRule="auto"/>
              <w:ind w:left="1" w:right="0" w:firstLine="0"/>
              <w:jc w:val="left"/>
            </w:pPr>
            <w:r>
              <w:t xml:space="preserve"> </w:t>
            </w:r>
          </w:p>
        </w:tc>
        <w:tc>
          <w:tcPr>
            <w:tcW w:w="828" w:type="dxa"/>
            <w:tcBorders>
              <w:top w:val="single" w:sz="4" w:space="0" w:color="000000"/>
              <w:left w:val="single" w:sz="4" w:space="0" w:color="000000"/>
              <w:bottom w:val="single" w:sz="4" w:space="0" w:color="000000"/>
              <w:right w:val="single" w:sz="4" w:space="0" w:color="000000"/>
            </w:tcBorders>
            <w:shd w:val="clear" w:color="auto" w:fill="FF0000"/>
          </w:tcPr>
          <w:p w14:paraId="6B548712" w14:textId="77777777" w:rsidR="003050DA" w:rsidRDefault="00AF286F">
            <w:pPr>
              <w:spacing w:after="0" w:line="259" w:lineRule="auto"/>
              <w:ind w:left="2" w:right="0" w:firstLine="0"/>
              <w:jc w:val="left"/>
            </w:pPr>
            <w:r>
              <w:t xml:space="preserve"> </w:t>
            </w:r>
          </w:p>
        </w:tc>
        <w:tc>
          <w:tcPr>
            <w:tcW w:w="602" w:type="dxa"/>
            <w:tcBorders>
              <w:top w:val="single" w:sz="4" w:space="0" w:color="000000"/>
              <w:left w:val="single" w:sz="4" w:space="0" w:color="000000"/>
              <w:bottom w:val="single" w:sz="4" w:space="0" w:color="000000"/>
              <w:right w:val="single" w:sz="4" w:space="0" w:color="000000"/>
            </w:tcBorders>
            <w:shd w:val="clear" w:color="auto" w:fill="FF0000"/>
          </w:tcPr>
          <w:p w14:paraId="24CEBD4B" w14:textId="77777777" w:rsidR="003050DA" w:rsidRDefault="00AF286F">
            <w:pPr>
              <w:spacing w:after="0" w:line="259" w:lineRule="auto"/>
              <w:ind w:left="2" w:right="0" w:firstLine="0"/>
              <w:jc w:val="left"/>
            </w:pPr>
            <w:r>
              <w:t xml:space="preserve"> </w:t>
            </w:r>
          </w:p>
        </w:tc>
        <w:tc>
          <w:tcPr>
            <w:tcW w:w="658" w:type="dxa"/>
            <w:tcBorders>
              <w:top w:val="single" w:sz="4" w:space="0" w:color="000000"/>
              <w:left w:val="single" w:sz="4" w:space="0" w:color="000000"/>
              <w:bottom w:val="single" w:sz="4" w:space="0" w:color="000000"/>
              <w:right w:val="single" w:sz="4" w:space="0" w:color="000000"/>
            </w:tcBorders>
            <w:shd w:val="clear" w:color="auto" w:fill="FF0000"/>
          </w:tcPr>
          <w:p w14:paraId="2A40B48C" w14:textId="77777777" w:rsidR="003050DA" w:rsidRDefault="00AF286F">
            <w:pPr>
              <w:spacing w:after="0" w:line="259" w:lineRule="auto"/>
              <w:ind w:left="1" w:right="0" w:firstLine="0"/>
              <w:jc w:val="left"/>
            </w:pPr>
            <w:r>
              <w:t xml:space="preserve"> </w:t>
            </w:r>
          </w:p>
        </w:tc>
        <w:tc>
          <w:tcPr>
            <w:tcW w:w="701" w:type="dxa"/>
            <w:tcBorders>
              <w:top w:val="single" w:sz="4" w:space="0" w:color="000000"/>
              <w:left w:val="single" w:sz="4" w:space="0" w:color="000000"/>
              <w:bottom w:val="single" w:sz="4" w:space="0" w:color="000000"/>
              <w:right w:val="single" w:sz="4" w:space="0" w:color="000000"/>
            </w:tcBorders>
            <w:shd w:val="clear" w:color="auto" w:fill="FF0000"/>
          </w:tcPr>
          <w:p w14:paraId="0F5B3195" w14:textId="77777777" w:rsidR="003050DA" w:rsidRDefault="00AF286F">
            <w:pPr>
              <w:spacing w:after="0" w:line="259" w:lineRule="auto"/>
              <w:ind w:left="1" w:right="0" w:firstLine="0"/>
              <w:jc w:val="left"/>
            </w:pPr>
            <w:r>
              <w:t xml:space="preserve"> </w:t>
            </w:r>
          </w:p>
        </w:tc>
        <w:tc>
          <w:tcPr>
            <w:tcW w:w="638" w:type="dxa"/>
            <w:tcBorders>
              <w:top w:val="single" w:sz="4" w:space="0" w:color="000000"/>
              <w:left w:val="single" w:sz="4" w:space="0" w:color="000000"/>
              <w:bottom w:val="single" w:sz="4" w:space="0" w:color="000000"/>
              <w:right w:val="single" w:sz="4" w:space="0" w:color="000000"/>
            </w:tcBorders>
            <w:shd w:val="clear" w:color="auto" w:fill="FF0000"/>
          </w:tcPr>
          <w:p w14:paraId="3889E8FC" w14:textId="77777777" w:rsidR="003050DA" w:rsidRDefault="00AF286F">
            <w:pPr>
              <w:spacing w:after="0" w:line="259" w:lineRule="auto"/>
              <w:ind w:left="1" w:right="0" w:firstLine="0"/>
              <w:jc w:val="left"/>
            </w:pPr>
            <w:r>
              <w:t xml:space="preserve"> </w:t>
            </w:r>
          </w:p>
        </w:tc>
        <w:tc>
          <w:tcPr>
            <w:tcW w:w="638" w:type="dxa"/>
            <w:tcBorders>
              <w:top w:val="single" w:sz="4" w:space="0" w:color="000000"/>
              <w:left w:val="single" w:sz="4" w:space="0" w:color="000000"/>
              <w:bottom w:val="single" w:sz="4" w:space="0" w:color="000000"/>
              <w:right w:val="single" w:sz="4" w:space="0" w:color="000000"/>
            </w:tcBorders>
            <w:shd w:val="clear" w:color="auto" w:fill="FF0000"/>
          </w:tcPr>
          <w:p w14:paraId="1DBBECCE" w14:textId="77777777" w:rsidR="003050DA" w:rsidRDefault="00AF286F">
            <w:pPr>
              <w:spacing w:after="0" w:line="259" w:lineRule="auto"/>
              <w:ind w:left="1" w:right="0" w:firstLine="0"/>
              <w:jc w:val="left"/>
            </w:pPr>
            <w:r>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FF0000"/>
          </w:tcPr>
          <w:p w14:paraId="4D786BD5" w14:textId="77777777" w:rsidR="003050DA" w:rsidRDefault="00AF286F">
            <w:pPr>
              <w:spacing w:after="0" w:line="259" w:lineRule="auto"/>
              <w:ind w:left="1" w:right="0" w:firstLine="0"/>
              <w:jc w:val="left"/>
            </w:pPr>
            <w:r>
              <w:t xml:space="preserve"> </w:t>
            </w:r>
          </w:p>
        </w:tc>
        <w:tc>
          <w:tcPr>
            <w:tcW w:w="605" w:type="dxa"/>
            <w:tcBorders>
              <w:top w:val="single" w:sz="4" w:space="0" w:color="000000"/>
              <w:left w:val="single" w:sz="4" w:space="0" w:color="000000"/>
              <w:bottom w:val="single" w:sz="4" w:space="0" w:color="000000"/>
              <w:right w:val="single" w:sz="4" w:space="0" w:color="000000"/>
            </w:tcBorders>
          </w:tcPr>
          <w:p w14:paraId="1FCDB1C8" w14:textId="77777777" w:rsidR="003050DA" w:rsidRDefault="00AF286F">
            <w:pPr>
              <w:spacing w:after="0" w:line="259" w:lineRule="auto"/>
              <w:ind w:left="2" w:right="0" w:firstLine="0"/>
              <w:jc w:val="left"/>
            </w:pPr>
            <w: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12A129C" w14:textId="77777777" w:rsidR="003050DA" w:rsidRDefault="00AF286F">
            <w:pPr>
              <w:spacing w:after="0" w:line="259" w:lineRule="auto"/>
              <w:ind w:left="0" w:right="0" w:firstLine="0"/>
              <w:jc w:val="left"/>
            </w:pPr>
            <w:r>
              <w:t xml:space="preserve"> </w:t>
            </w:r>
          </w:p>
        </w:tc>
        <w:tc>
          <w:tcPr>
            <w:tcW w:w="637" w:type="dxa"/>
            <w:tcBorders>
              <w:top w:val="single" w:sz="4" w:space="0" w:color="000000"/>
              <w:left w:val="single" w:sz="4" w:space="0" w:color="000000"/>
              <w:bottom w:val="single" w:sz="4" w:space="0" w:color="000000"/>
              <w:right w:val="single" w:sz="4" w:space="0" w:color="000000"/>
            </w:tcBorders>
          </w:tcPr>
          <w:p w14:paraId="3618B30E" w14:textId="77777777" w:rsidR="003050DA" w:rsidRDefault="00AF286F">
            <w:pPr>
              <w:spacing w:after="0" w:line="259" w:lineRule="auto"/>
              <w:ind w:left="1" w:right="0" w:firstLine="0"/>
              <w:jc w:val="left"/>
            </w:pPr>
            <w:r>
              <w:t xml:space="preserve"> </w:t>
            </w:r>
          </w:p>
        </w:tc>
      </w:tr>
      <w:tr w:rsidR="003050DA" w14:paraId="4D622BFC" w14:textId="77777777">
        <w:trPr>
          <w:trHeight w:val="389"/>
        </w:trPr>
        <w:tc>
          <w:tcPr>
            <w:tcW w:w="1476" w:type="dxa"/>
            <w:tcBorders>
              <w:top w:val="single" w:sz="4" w:space="0" w:color="000000"/>
              <w:left w:val="single" w:sz="4" w:space="0" w:color="000000"/>
              <w:bottom w:val="single" w:sz="4" w:space="0" w:color="000000"/>
              <w:right w:val="single" w:sz="4" w:space="0" w:color="000000"/>
            </w:tcBorders>
          </w:tcPr>
          <w:p w14:paraId="67022E34" w14:textId="77777777" w:rsidR="003050DA" w:rsidRDefault="00AF286F">
            <w:pPr>
              <w:spacing w:after="0" w:line="259" w:lineRule="auto"/>
              <w:ind w:left="1" w:right="0" w:firstLine="0"/>
              <w:jc w:val="left"/>
            </w:pPr>
            <w:r>
              <w:t xml:space="preserve">Marketing </w:t>
            </w:r>
          </w:p>
        </w:tc>
        <w:tc>
          <w:tcPr>
            <w:tcW w:w="612" w:type="dxa"/>
            <w:tcBorders>
              <w:top w:val="single" w:sz="4" w:space="0" w:color="000000"/>
              <w:left w:val="single" w:sz="4" w:space="0" w:color="000000"/>
              <w:bottom w:val="single" w:sz="4" w:space="0" w:color="000000"/>
              <w:right w:val="single" w:sz="4" w:space="0" w:color="000000"/>
            </w:tcBorders>
            <w:shd w:val="clear" w:color="auto" w:fill="00B0F0"/>
          </w:tcPr>
          <w:p w14:paraId="59B36AEA" w14:textId="77777777" w:rsidR="003050DA" w:rsidRDefault="00AF286F">
            <w:pPr>
              <w:spacing w:after="0" w:line="259" w:lineRule="auto"/>
              <w:ind w:left="0" w:right="0" w:firstLine="0"/>
              <w:jc w:val="left"/>
            </w:pPr>
            <w:r>
              <w:t xml:space="preserve"> </w:t>
            </w:r>
          </w:p>
        </w:tc>
        <w:tc>
          <w:tcPr>
            <w:tcW w:w="632" w:type="dxa"/>
            <w:tcBorders>
              <w:top w:val="single" w:sz="4" w:space="0" w:color="000000"/>
              <w:left w:val="single" w:sz="4" w:space="0" w:color="000000"/>
              <w:bottom w:val="single" w:sz="4" w:space="0" w:color="000000"/>
              <w:right w:val="single" w:sz="4" w:space="0" w:color="000000"/>
            </w:tcBorders>
            <w:shd w:val="clear" w:color="auto" w:fill="00B0F0"/>
          </w:tcPr>
          <w:p w14:paraId="53196DAC" w14:textId="77777777" w:rsidR="003050DA" w:rsidRDefault="00AF286F">
            <w:pPr>
              <w:spacing w:after="0" w:line="259" w:lineRule="auto"/>
              <w:ind w:left="1" w:right="0" w:firstLine="0"/>
              <w:jc w:val="left"/>
            </w:pPr>
            <w:r>
              <w:t xml:space="preserve"> </w:t>
            </w:r>
          </w:p>
        </w:tc>
        <w:tc>
          <w:tcPr>
            <w:tcW w:w="828" w:type="dxa"/>
            <w:tcBorders>
              <w:top w:val="single" w:sz="4" w:space="0" w:color="000000"/>
              <w:left w:val="single" w:sz="4" w:space="0" w:color="000000"/>
              <w:bottom w:val="single" w:sz="4" w:space="0" w:color="000000"/>
              <w:right w:val="single" w:sz="4" w:space="0" w:color="000000"/>
            </w:tcBorders>
            <w:shd w:val="clear" w:color="auto" w:fill="00B0F0"/>
          </w:tcPr>
          <w:p w14:paraId="11913116" w14:textId="77777777" w:rsidR="003050DA" w:rsidRDefault="00AF286F">
            <w:pPr>
              <w:spacing w:after="0" w:line="259" w:lineRule="auto"/>
              <w:ind w:left="2" w:right="0" w:firstLine="0"/>
              <w:jc w:val="left"/>
            </w:pPr>
            <w:r>
              <w:t xml:space="preserve"> </w:t>
            </w:r>
          </w:p>
        </w:tc>
        <w:tc>
          <w:tcPr>
            <w:tcW w:w="602" w:type="dxa"/>
            <w:tcBorders>
              <w:top w:val="single" w:sz="4" w:space="0" w:color="000000"/>
              <w:left w:val="single" w:sz="4" w:space="0" w:color="000000"/>
              <w:bottom w:val="single" w:sz="4" w:space="0" w:color="000000"/>
              <w:right w:val="single" w:sz="4" w:space="0" w:color="000000"/>
            </w:tcBorders>
          </w:tcPr>
          <w:p w14:paraId="0A14C50E" w14:textId="77777777" w:rsidR="003050DA" w:rsidRDefault="00AF286F">
            <w:pPr>
              <w:spacing w:after="0" w:line="259" w:lineRule="auto"/>
              <w:ind w:left="2" w:right="0" w:firstLine="0"/>
              <w:jc w:val="left"/>
            </w:pPr>
            <w:r>
              <w:t xml:space="preserve"> </w:t>
            </w:r>
          </w:p>
        </w:tc>
        <w:tc>
          <w:tcPr>
            <w:tcW w:w="658" w:type="dxa"/>
            <w:tcBorders>
              <w:top w:val="single" w:sz="4" w:space="0" w:color="000000"/>
              <w:left w:val="single" w:sz="4" w:space="0" w:color="000000"/>
              <w:bottom w:val="single" w:sz="4" w:space="0" w:color="000000"/>
              <w:right w:val="single" w:sz="4" w:space="0" w:color="000000"/>
            </w:tcBorders>
          </w:tcPr>
          <w:p w14:paraId="59D85611" w14:textId="77777777" w:rsidR="003050DA" w:rsidRDefault="00AF286F">
            <w:pPr>
              <w:spacing w:after="0" w:line="259" w:lineRule="auto"/>
              <w:ind w:left="1" w:right="0" w:firstLine="0"/>
              <w:jc w:val="left"/>
            </w:pPr>
            <w:r>
              <w:t xml:space="preserve"> </w:t>
            </w:r>
          </w:p>
        </w:tc>
        <w:tc>
          <w:tcPr>
            <w:tcW w:w="701" w:type="dxa"/>
            <w:tcBorders>
              <w:top w:val="single" w:sz="4" w:space="0" w:color="000000"/>
              <w:left w:val="single" w:sz="4" w:space="0" w:color="000000"/>
              <w:bottom w:val="single" w:sz="4" w:space="0" w:color="000000"/>
              <w:right w:val="single" w:sz="4" w:space="0" w:color="000000"/>
            </w:tcBorders>
          </w:tcPr>
          <w:p w14:paraId="5B6ABBEA" w14:textId="77777777" w:rsidR="003050DA" w:rsidRDefault="00AF286F">
            <w:pPr>
              <w:spacing w:after="0" w:line="259" w:lineRule="auto"/>
              <w:ind w:left="1" w:right="0" w:firstLine="0"/>
              <w:jc w:val="left"/>
            </w:pPr>
            <w:r>
              <w:t xml:space="preserve"> </w:t>
            </w:r>
          </w:p>
        </w:tc>
        <w:tc>
          <w:tcPr>
            <w:tcW w:w="638" w:type="dxa"/>
            <w:tcBorders>
              <w:top w:val="single" w:sz="4" w:space="0" w:color="000000"/>
              <w:left w:val="single" w:sz="4" w:space="0" w:color="000000"/>
              <w:bottom w:val="single" w:sz="4" w:space="0" w:color="000000"/>
              <w:right w:val="single" w:sz="4" w:space="0" w:color="000000"/>
            </w:tcBorders>
          </w:tcPr>
          <w:p w14:paraId="28B7F5DF" w14:textId="77777777" w:rsidR="003050DA" w:rsidRDefault="00AF286F">
            <w:pPr>
              <w:spacing w:after="0" w:line="259" w:lineRule="auto"/>
              <w:ind w:left="1" w:right="0" w:firstLine="0"/>
              <w:jc w:val="left"/>
            </w:pPr>
            <w:r>
              <w:t xml:space="preserve"> </w:t>
            </w:r>
          </w:p>
        </w:tc>
        <w:tc>
          <w:tcPr>
            <w:tcW w:w="638" w:type="dxa"/>
            <w:tcBorders>
              <w:top w:val="single" w:sz="4" w:space="0" w:color="000000"/>
              <w:left w:val="single" w:sz="4" w:space="0" w:color="000000"/>
              <w:bottom w:val="single" w:sz="4" w:space="0" w:color="000000"/>
              <w:right w:val="single" w:sz="4" w:space="0" w:color="000000"/>
            </w:tcBorders>
            <w:shd w:val="clear" w:color="auto" w:fill="00B0F0"/>
          </w:tcPr>
          <w:p w14:paraId="34603B23" w14:textId="77777777" w:rsidR="003050DA" w:rsidRDefault="00AF286F">
            <w:pPr>
              <w:spacing w:after="0" w:line="259" w:lineRule="auto"/>
              <w:ind w:left="1" w:right="0" w:firstLine="0"/>
              <w:jc w:val="left"/>
            </w:pPr>
            <w:r>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00B0F0"/>
          </w:tcPr>
          <w:p w14:paraId="6AC9805C" w14:textId="77777777" w:rsidR="003050DA" w:rsidRDefault="00AF286F">
            <w:pPr>
              <w:spacing w:after="0" w:line="259" w:lineRule="auto"/>
              <w:ind w:left="1" w:right="0" w:firstLine="0"/>
              <w:jc w:val="left"/>
            </w:pPr>
            <w:r>
              <w:t xml:space="preserve"> </w:t>
            </w:r>
          </w:p>
        </w:tc>
        <w:tc>
          <w:tcPr>
            <w:tcW w:w="605" w:type="dxa"/>
            <w:tcBorders>
              <w:top w:val="single" w:sz="4" w:space="0" w:color="000000"/>
              <w:left w:val="single" w:sz="4" w:space="0" w:color="000000"/>
              <w:bottom w:val="single" w:sz="4" w:space="0" w:color="000000"/>
              <w:right w:val="single" w:sz="4" w:space="0" w:color="000000"/>
            </w:tcBorders>
            <w:shd w:val="clear" w:color="auto" w:fill="00B0F0"/>
          </w:tcPr>
          <w:p w14:paraId="4F4E30AC" w14:textId="77777777" w:rsidR="003050DA" w:rsidRDefault="00AF286F">
            <w:pPr>
              <w:spacing w:after="0" w:line="259" w:lineRule="auto"/>
              <w:ind w:left="2" w:right="0" w:firstLine="0"/>
              <w:jc w:val="left"/>
            </w:pPr>
            <w:r>
              <w:t xml:space="preserve"> </w:t>
            </w:r>
          </w:p>
        </w:tc>
        <w:tc>
          <w:tcPr>
            <w:tcW w:w="638" w:type="dxa"/>
            <w:tcBorders>
              <w:top w:val="single" w:sz="4" w:space="0" w:color="000000"/>
              <w:left w:val="single" w:sz="4" w:space="0" w:color="000000"/>
              <w:bottom w:val="single" w:sz="4" w:space="0" w:color="000000"/>
              <w:right w:val="single" w:sz="4" w:space="0" w:color="000000"/>
            </w:tcBorders>
            <w:shd w:val="clear" w:color="auto" w:fill="00B0F0"/>
          </w:tcPr>
          <w:p w14:paraId="05AE1C04" w14:textId="77777777" w:rsidR="003050DA" w:rsidRDefault="00AF286F">
            <w:pPr>
              <w:spacing w:after="0" w:line="259" w:lineRule="auto"/>
              <w:ind w:left="0" w:right="0" w:firstLine="0"/>
              <w:jc w:val="left"/>
            </w:pPr>
            <w:r>
              <w:t xml:space="preserve"> </w:t>
            </w:r>
          </w:p>
        </w:tc>
        <w:tc>
          <w:tcPr>
            <w:tcW w:w="637" w:type="dxa"/>
            <w:tcBorders>
              <w:top w:val="single" w:sz="4" w:space="0" w:color="000000"/>
              <w:left w:val="single" w:sz="4" w:space="0" w:color="000000"/>
              <w:bottom w:val="single" w:sz="4" w:space="0" w:color="000000"/>
              <w:right w:val="single" w:sz="4" w:space="0" w:color="000000"/>
            </w:tcBorders>
          </w:tcPr>
          <w:p w14:paraId="03757DA7" w14:textId="77777777" w:rsidR="003050DA" w:rsidRDefault="00AF286F">
            <w:pPr>
              <w:spacing w:after="0" w:line="259" w:lineRule="auto"/>
              <w:ind w:left="1" w:right="0" w:firstLine="0"/>
              <w:jc w:val="left"/>
            </w:pPr>
            <w:r>
              <w:t xml:space="preserve"> </w:t>
            </w:r>
          </w:p>
        </w:tc>
      </w:tr>
      <w:tr w:rsidR="003050DA" w14:paraId="5FDAAF3D" w14:textId="77777777">
        <w:trPr>
          <w:trHeight w:val="390"/>
        </w:trPr>
        <w:tc>
          <w:tcPr>
            <w:tcW w:w="1476" w:type="dxa"/>
            <w:tcBorders>
              <w:top w:val="single" w:sz="4" w:space="0" w:color="000000"/>
              <w:left w:val="single" w:sz="4" w:space="0" w:color="000000"/>
              <w:bottom w:val="single" w:sz="4" w:space="0" w:color="000000"/>
              <w:right w:val="single" w:sz="4" w:space="0" w:color="000000"/>
            </w:tcBorders>
          </w:tcPr>
          <w:p w14:paraId="4A3E44DA" w14:textId="77777777" w:rsidR="003050DA" w:rsidRDefault="00AF286F">
            <w:pPr>
              <w:spacing w:after="0" w:line="259" w:lineRule="auto"/>
              <w:ind w:left="1" w:right="0" w:firstLine="0"/>
              <w:jc w:val="left"/>
            </w:pPr>
            <w:r>
              <w:t xml:space="preserve">Staffing </w:t>
            </w:r>
          </w:p>
        </w:tc>
        <w:tc>
          <w:tcPr>
            <w:tcW w:w="612" w:type="dxa"/>
            <w:tcBorders>
              <w:top w:val="single" w:sz="4" w:space="0" w:color="000000"/>
              <w:left w:val="single" w:sz="4" w:space="0" w:color="000000"/>
              <w:bottom w:val="single" w:sz="4" w:space="0" w:color="000000"/>
              <w:right w:val="single" w:sz="4" w:space="0" w:color="000000"/>
            </w:tcBorders>
            <w:shd w:val="clear" w:color="auto" w:fill="0D0D0D"/>
          </w:tcPr>
          <w:p w14:paraId="51E44506" w14:textId="77777777" w:rsidR="003050DA" w:rsidRDefault="00AF286F">
            <w:pPr>
              <w:spacing w:after="0" w:line="259" w:lineRule="auto"/>
              <w:ind w:left="0" w:right="0" w:firstLine="0"/>
              <w:jc w:val="left"/>
            </w:pPr>
            <w:r>
              <w:rPr>
                <w:color w:val="FFFFFF"/>
              </w:rPr>
              <w:t xml:space="preserve"> </w:t>
            </w:r>
          </w:p>
        </w:tc>
        <w:tc>
          <w:tcPr>
            <w:tcW w:w="632" w:type="dxa"/>
            <w:tcBorders>
              <w:top w:val="single" w:sz="4" w:space="0" w:color="000000"/>
              <w:left w:val="single" w:sz="4" w:space="0" w:color="000000"/>
              <w:bottom w:val="single" w:sz="4" w:space="0" w:color="000000"/>
              <w:right w:val="single" w:sz="4" w:space="0" w:color="000000"/>
            </w:tcBorders>
            <w:shd w:val="clear" w:color="auto" w:fill="0D0D0D"/>
          </w:tcPr>
          <w:p w14:paraId="3D38CB40" w14:textId="77777777" w:rsidR="003050DA" w:rsidRDefault="00AF286F">
            <w:pPr>
              <w:spacing w:after="0" w:line="259" w:lineRule="auto"/>
              <w:ind w:left="1" w:right="0" w:firstLine="0"/>
              <w:jc w:val="left"/>
            </w:pPr>
            <w:r>
              <w:rPr>
                <w:color w:val="FFFFFF"/>
              </w:rPr>
              <w:t xml:space="preserve"> </w:t>
            </w:r>
          </w:p>
        </w:tc>
        <w:tc>
          <w:tcPr>
            <w:tcW w:w="828" w:type="dxa"/>
            <w:tcBorders>
              <w:top w:val="single" w:sz="4" w:space="0" w:color="000000"/>
              <w:left w:val="single" w:sz="4" w:space="0" w:color="000000"/>
              <w:bottom w:val="single" w:sz="4" w:space="0" w:color="000000"/>
              <w:right w:val="single" w:sz="4" w:space="0" w:color="000000"/>
            </w:tcBorders>
            <w:shd w:val="clear" w:color="auto" w:fill="0D0D0D"/>
          </w:tcPr>
          <w:p w14:paraId="46DA2872" w14:textId="77777777" w:rsidR="003050DA" w:rsidRDefault="00AF286F">
            <w:pPr>
              <w:spacing w:after="0" w:line="259" w:lineRule="auto"/>
              <w:ind w:left="2" w:right="0" w:firstLine="0"/>
              <w:jc w:val="left"/>
            </w:pPr>
            <w:r>
              <w:rPr>
                <w:color w:val="FFFFFF"/>
              </w:rPr>
              <w:t xml:space="preserve"> </w:t>
            </w:r>
          </w:p>
        </w:tc>
        <w:tc>
          <w:tcPr>
            <w:tcW w:w="602" w:type="dxa"/>
            <w:tcBorders>
              <w:top w:val="single" w:sz="4" w:space="0" w:color="000000"/>
              <w:left w:val="single" w:sz="4" w:space="0" w:color="000000"/>
              <w:bottom w:val="single" w:sz="4" w:space="0" w:color="000000"/>
              <w:right w:val="single" w:sz="4" w:space="0" w:color="000000"/>
            </w:tcBorders>
          </w:tcPr>
          <w:p w14:paraId="3A4E8138" w14:textId="77777777" w:rsidR="003050DA" w:rsidRDefault="00AF286F">
            <w:pPr>
              <w:spacing w:after="0" w:line="259" w:lineRule="auto"/>
              <w:ind w:left="2" w:right="0" w:firstLine="0"/>
              <w:jc w:val="left"/>
            </w:pPr>
            <w:r>
              <w:t xml:space="preserve"> </w:t>
            </w:r>
          </w:p>
        </w:tc>
        <w:tc>
          <w:tcPr>
            <w:tcW w:w="658" w:type="dxa"/>
            <w:tcBorders>
              <w:top w:val="single" w:sz="4" w:space="0" w:color="000000"/>
              <w:left w:val="single" w:sz="4" w:space="0" w:color="000000"/>
              <w:bottom w:val="single" w:sz="4" w:space="0" w:color="000000"/>
              <w:right w:val="single" w:sz="4" w:space="0" w:color="000000"/>
            </w:tcBorders>
          </w:tcPr>
          <w:p w14:paraId="70C01915" w14:textId="77777777" w:rsidR="003050DA" w:rsidRDefault="00AF286F">
            <w:pPr>
              <w:spacing w:after="0" w:line="259" w:lineRule="auto"/>
              <w:ind w:left="1" w:right="0" w:firstLine="0"/>
              <w:jc w:val="left"/>
            </w:pPr>
            <w:r>
              <w:t xml:space="preserve"> </w:t>
            </w:r>
          </w:p>
        </w:tc>
        <w:tc>
          <w:tcPr>
            <w:tcW w:w="701" w:type="dxa"/>
            <w:tcBorders>
              <w:top w:val="single" w:sz="4" w:space="0" w:color="000000"/>
              <w:left w:val="single" w:sz="4" w:space="0" w:color="000000"/>
              <w:bottom w:val="single" w:sz="4" w:space="0" w:color="000000"/>
              <w:right w:val="single" w:sz="4" w:space="0" w:color="000000"/>
            </w:tcBorders>
          </w:tcPr>
          <w:p w14:paraId="148F2F5F" w14:textId="77777777" w:rsidR="003050DA" w:rsidRDefault="00AF286F">
            <w:pPr>
              <w:spacing w:after="0" w:line="259" w:lineRule="auto"/>
              <w:ind w:left="1" w:right="0" w:firstLine="0"/>
              <w:jc w:val="left"/>
            </w:pPr>
            <w:r>
              <w:t xml:space="preserve"> </w:t>
            </w:r>
          </w:p>
        </w:tc>
        <w:tc>
          <w:tcPr>
            <w:tcW w:w="638" w:type="dxa"/>
            <w:tcBorders>
              <w:top w:val="single" w:sz="4" w:space="0" w:color="000000"/>
              <w:left w:val="single" w:sz="4" w:space="0" w:color="000000"/>
              <w:bottom w:val="single" w:sz="4" w:space="0" w:color="000000"/>
              <w:right w:val="single" w:sz="4" w:space="0" w:color="000000"/>
            </w:tcBorders>
          </w:tcPr>
          <w:p w14:paraId="541902FD" w14:textId="77777777" w:rsidR="003050DA" w:rsidRDefault="00AF286F">
            <w:pPr>
              <w:spacing w:after="0" w:line="259" w:lineRule="auto"/>
              <w:ind w:left="1" w:right="0" w:firstLine="0"/>
              <w:jc w:val="left"/>
            </w:pPr>
            <w:r>
              <w:t xml:space="preserve"> </w:t>
            </w:r>
          </w:p>
        </w:tc>
        <w:tc>
          <w:tcPr>
            <w:tcW w:w="638" w:type="dxa"/>
            <w:tcBorders>
              <w:top w:val="single" w:sz="4" w:space="0" w:color="000000"/>
              <w:left w:val="single" w:sz="4" w:space="0" w:color="000000"/>
              <w:bottom w:val="single" w:sz="4" w:space="0" w:color="000000"/>
              <w:right w:val="single" w:sz="4" w:space="0" w:color="000000"/>
            </w:tcBorders>
          </w:tcPr>
          <w:p w14:paraId="5E947595" w14:textId="77777777" w:rsidR="003050DA" w:rsidRDefault="00AF286F">
            <w:pPr>
              <w:spacing w:after="0" w:line="259" w:lineRule="auto"/>
              <w:ind w:left="1" w:right="0" w:firstLine="0"/>
              <w:jc w:val="left"/>
            </w:pPr>
            <w:r>
              <w:t xml:space="preserve"> </w:t>
            </w:r>
          </w:p>
        </w:tc>
        <w:tc>
          <w:tcPr>
            <w:tcW w:w="684" w:type="dxa"/>
            <w:tcBorders>
              <w:top w:val="single" w:sz="4" w:space="0" w:color="000000"/>
              <w:left w:val="single" w:sz="4" w:space="0" w:color="000000"/>
              <w:bottom w:val="single" w:sz="4" w:space="0" w:color="000000"/>
              <w:right w:val="single" w:sz="4" w:space="0" w:color="000000"/>
            </w:tcBorders>
          </w:tcPr>
          <w:p w14:paraId="006FAE86" w14:textId="77777777" w:rsidR="003050DA" w:rsidRDefault="00AF286F">
            <w:pPr>
              <w:spacing w:after="0" w:line="259" w:lineRule="auto"/>
              <w:ind w:left="1" w:right="0" w:firstLine="0"/>
              <w:jc w:val="left"/>
            </w:pPr>
            <w:r>
              <w:t xml:space="preserve"> </w:t>
            </w:r>
          </w:p>
        </w:tc>
        <w:tc>
          <w:tcPr>
            <w:tcW w:w="605" w:type="dxa"/>
            <w:tcBorders>
              <w:top w:val="single" w:sz="4" w:space="0" w:color="000000"/>
              <w:left w:val="single" w:sz="4" w:space="0" w:color="000000"/>
              <w:bottom w:val="single" w:sz="4" w:space="0" w:color="000000"/>
              <w:right w:val="single" w:sz="4" w:space="0" w:color="000000"/>
            </w:tcBorders>
            <w:shd w:val="clear" w:color="auto" w:fill="0D0D0D"/>
          </w:tcPr>
          <w:p w14:paraId="5786F28A" w14:textId="77777777" w:rsidR="003050DA" w:rsidRDefault="00AF286F">
            <w:pPr>
              <w:spacing w:after="0" w:line="259" w:lineRule="auto"/>
              <w:ind w:left="2" w:right="0" w:firstLine="0"/>
              <w:jc w:val="left"/>
            </w:pPr>
            <w:r>
              <w:rPr>
                <w:color w:val="FFFFFF"/>
              </w:rPr>
              <w:t xml:space="preserve"> </w:t>
            </w:r>
          </w:p>
        </w:tc>
        <w:tc>
          <w:tcPr>
            <w:tcW w:w="638" w:type="dxa"/>
            <w:tcBorders>
              <w:top w:val="single" w:sz="4" w:space="0" w:color="000000"/>
              <w:left w:val="single" w:sz="4" w:space="0" w:color="000000"/>
              <w:bottom w:val="single" w:sz="4" w:space="0" w:color="000000"/>
              <w:right w:val="single" w:sz="4" w:space="0" w:color="000000"/>
            </w:tcBorders>
            <w:shd w:val="clear" w:color="auto" w:fill="0D0D0D"/>
          </w:tcPr>
          <w:p w14:paraId="6F138A3F" w14:textId="77777777" w:rsidR="003050DA" w:rsidRDefault="00AF286F">
            <w:pPr>
              <w:spacing w:after="0" w:line="259" w:lineRule="auto"/>
              <w:ind w:left="0" w:right="0" w:firstLine="0"/>
              <w:jc w:val="left"/>
            </w:pPr>
            <w:r>
              <w:rPr>
                <w:color w:val="FFFFFF"/>
              </w:rPr>
              <w:t xml:space="preserve"> </w:t>
            </w:r>
          </w:p>
        </w:tc>
        <w:tc>
          <w:tcPr>
            <w:tcW w:w="637" w:type="dxa"/>
            <w:tcBorders>
              <w:top w:val="single" w:sz="4" w:space="0" w:color="000000"/>
              <w:left w:val="single" w:sz="4" w:space="0" w:color="000000"/>
              <w:bottom w:val="single" w:sz="4" w:space="0" w:color="000000"/>
              <w:right w:val="single" w:sz="4" w:space="0" w:color="000000"/>
            </w:tcBorders>
            <w:shd w:val="clear" w:color="auto" w:fill="0D0D0D"/>
          </w:tcPr>
          <w:p w14:paraId="5BAB90B1" w14:textId="77777777" w:rsidR="003050DA" w:rsidRDefault="00AF286F">
            <w:pPr>
              <w:spacing w:after="0" w:line="259" w:lineRule="auto"/>
              <w:ind w:left="1" w:right="0" w:firstLine="0"/>
              <w:jc w:val="left"/>
            </w:pPr>
            <w:r>
              <w:rPr>
                <w:color w:val="FFFFFF"/>
              </w:rPr>
              <w:t xml:space="preserve"> </w:t>
            </w:r>
          </w:p>
        </w:tc>
      </w:tr>
      <w:tr w:rsidR="003050DA" w14:paraId="6CB9D5B1" w14:textId="77777777">
        <w:trPr>
          <w:trHeight w:val="390"/>
        </w:trPr>
        <w:tc>
          <w:tcPr>
            <w:tcW w:w="1476" w:type="dxa"/>
            <w:tcBorders>
              <w:top w:val="single" w:sz="4" w:space="0" w:color="000000"/>
              <w:left w:val="single" w:sz="4" w:space="0" w:color="000000"/>
              <w:bottom w:val="single" w:sz="4" w:space="0" w:color="000000"/>
              <w:right w:val="single" w:sz="4" w:space="0" w:color="000000"/>
            </w:tcBorders>
          </w:tcPr>
          <w:p w14:paraId="6381A84D" w14:textId="77777777" w:rsidR="003050DA" w:rsidRDefault="00AF286F">
            <w:pPr>
              <w:spacing w:after="0" w:line="259" w:lineRule="auto"/>
              <w:ind w:left="1" w:right="0" w:firstLine="0"/>
              <w:jc w:val="left"/>
            </w:pPr>
            <w:r>
              <w:t xml:space="preserve">Store launch </w:t>
            </w:r>
          </w:p>
        </w:tc>
        <w:tc>
          <w:tcPr>
            <w:tcW w:w="612" w:type="dxa"/>
            <w:tcBorders>
              <w:top w:val="single" w:sz="4" w:space="0" w:color="000000"/>
              <w:left w:val="single" w:sz="4" w:space="0" w:color="000000"/>
              <w:bottom w:val="single" w:sz="4" w:space="0" w:color="000000"/>
              <w:right w:val="single" w:sz="4" w:space="0" w:color="000000"/>
            </w:tcBorders>
          </w:tcPr>
          <w:p w14:paraId="00227675" w14:textId="77777777" w:rsidR="003050DA" w:rsidRDefault="00AF286F">
            <w:pPr>
              <w:spacing w:after="0" w:line="259" w:lineRule="auto"/>
              <w:ind w:left="0" w:right="0" w:firstLine="0"/>
              <w:jc w:val="left"/>
            </w:pPr>
            <w:r>
              <w:t xml:space="preserve"> </w:t>
            </w:r>
          </w:p>
        </w:tc>
        <w:tc>
          <w:tcPr>
            <w:tcW w:w="632" w:type="dxa"/>
            <w:tcBorders>
              <w:top w:val="single" w:sz="4" w:space="0" w:color="000000"/>
              <w:left w:val="single" w:sz="4" w:space="0" w:color="000000"/>
              <w:bottom w:val="single" w:sz="4" w:space="0" w:color="000000"/>
              <w:right w:val="single" w:sz="4" w:space="0" w:color="000000"/>
            </w:tcBorders>
          </w:tcPr>
          <w:p w14:paraId="452709DF" w14:textId="77777777" w:rsidR="003050DA" w:rsidRDefault="00AF286F">
            <w:pPr>
              <w:spacing w:after="0" w:line="259" w:lineRule="auto"/>
              <w:ind w:left="1" w:right="0" w:firstLine="0"/>
              <w:jc w:val="left"/>
            </w:pPr>
            <w:r>
              <w:t xml:space="preserve"> </w:t>
            </w:r>
          </w:p>
        </w:tc>
        <w:tc>
          <w:tcPr>
            <w:tcW w:w="828" w:type="dxa"/>
            <w:tcBorders>
              <w:top w:val="single" w:sz="4" w:space="0" w:color="000000"/>
              <w:left w:val="single" w:sz="4" w:space="0" w:color="000000"/>
              <w:bottom w:val="single" w:sz="4" w:space="0" w:color="000000"/>
              <w:right w:val="single" w:sz="4" w:space="0" w:color="000000"/>
            </w:tcBorders>
          </w:tcPr>
          <w:p w14:paraId="05B27FAA" w14:textId="77777777" w:rsidR="003050DA" w:rsidRDefault="00AF286F">
            <w:pPr>
              <w:spacing w:after="0" w:line="259" w:lineRule="auto"/>
              <w:ind w:left="2" w:right="0" w:firstLine="0"/>
              <w:jc w:val="left"/>
            </w:pPr>
            <w:r>
              <w:t xml:space="preserve"> </w:t>
            </w:r>
          </w:p>
        </w:tc>
        <w:tc>
          <w:tcPr>
            <w:tcW w:w="602" w:type="dxa"/>
            <w:tcBorders>
              <w:top w:val="single" w:sz="4" w:space="0" w:color="000000"/>
              <w:left w:val="single" w:sz="4" w:space="0" w:color="000000"/>
              <w:bottom w:val="single" w:sz="4" w:space="0" w:color="000000"/>
              <w:right w:val="single" w:sz="4" w:space="0" w:color="000000"/>
            </w:tcBorders>
          </w:tcPr>
          <w:p w14:paraId="2BD861D8" w14:textId="77777777" w:rsidR="003050DA" w:rsidRDefault="00AF286F">
            <w:pPr>
              <w:spacing w:after="0" w:line="259" w:lineRule="auto"/>
              <w:ind w:left="2" w:right="0" w:firstLine="0"/>
              <w:jc w:val="left"/>
            </w:pPr>
            <w:r>
              <w:t xml:space="preserve"> </w:t>
            </w:r>
          </w:p>
        </w:tc>
        <w:tc>
          <w:tcPr>
            <w:tcW w:w="658" w:type="dxa"/>
            <w:tcBorders>
              <w:top w:val="single" w:sz="4" w:space="0" w:color="000000"/>
              <w:left w:val="single" w:sz="4" w:space="0" w:color="000000"/>
              <w:bottom w:val="single" w:sz="4" w:space="0" w:color="000000"/>
              <w:right w:val="single" w:sz="4" w:space="0" w:color="000000"/>
            </w:tcBorders>
          </w:tcPr>
          <w:p w14:paraId="272E6114" w14:textId="77777777" w:rsidR="003050DA" w:rsidRDefault="00AF286F">
            <w:pPr>
              <w:spacing w:after="0" w:line="259" w:lineRule="auto"/>
              <w:ind w:left="1" w:right="0" w:firstLine="0"/>
              <w:jc w:val="left"/>
            </w:pPr>
            <w:r>
              <w:t xml:space="preserve"> </w:t>
            </w:r>
          </w:p>
        </w:tc>
        <w:tc>
          <w:tcPr>
            <w:tcW w:w="701" w:type="dxa"/>
            <w:tcBorders>
              <w:top w:val="single" w:sz="4" w:space="0" w:color="000000"/>
              <w:left w:val="single" w:sz="4" w:space="0" w:color="000000"/>
              <w:bottom w:val="single" w:sz="4" w:space="0" w:color="000000"/>
              <w:right w:val="single" w:sz="4" w:space="0" w:color="000000"/>
            </w:tcBorders>
          </w:tcPr>
          <w:p w14:paraId="394F0C4A" w14:textId="77777777" w:rsidR="003050DA" w:rsidRDefault="00AF286F">
            <w:pPr>
              <w:spacing w:after="0" w:line="259" w:lineRule="auto"/>
              <w:ind w:left="1" w:right="0" w:firstLine="0"/>
              <w:jc w:val="left"/>
            </w:pPr>
            <w:r>
              <w:t xml:space="preserve"> </w:t>
            </w:r>
          </w:p>
        </w:tc>
        <w:tc>
          <w:tcPr>
            <w:tcW w:w="638" w:type="dxa"/>
            <w:tcBorders>
              <w:top w:val="single" w:sz="4" w:space="0" w:color="000000"/>
              <w:left w:val="single" w:sz="4" w:space="0" w:color="000000"/>
              <w:bottom w:val="single" w:sz="4" w:space="0" w:color="000000"/>
              <w:right w:val="single" w:sz="4" w:space="0" w:color="000000"/>
            </w:tcBorders>
          </w:tcPr>
          <w:p w14:paraId="28974C6D" w14:textId="77777777" w:rsidR="003050DA" w:rsidRDefault="00AF286F">
            <w:pPr>
              <w:spacing w:after="0" w:line="259" w:lineRule="auto"/>
              <w:ind w:left="1" w:right="0" w:firstLine="0"/>
              <w:jc w:val="left"/>
            </w:pPr>
            <w:r>
              <w:t xml:space="preserve"> </w:t>
            </w:r>
          </w:p>
        </w:tc>
        <w:tc>
          <w:tcPr>
            <w:tcW w:w="638" w:type="dxa"/>
            <w:tcBorders>
              <w:top w:val="single" w:sz="4" w:space="0" w:color="000000"/>
              <w:left w:val="single" w:sz="4" w:space="0" w:color="000000"/>
              <w:bottom w:val="single" w:sz="4" w:space="0" w:color="000000"/>
              <w:right w:val="single" w:sz="4" w:space="0" w:color="000000"/>
            </w:tcBorders>
          </w:tcPr>
          <w:p w14:paraId="4F5BA765" w14:textId="77777777" w:rsidR="003050DA" w:rsidRDefault="00AF286F">
            <w:pPr>
              <w:spacing w:after="0" w:line="259" w:lineRule="auto"/>
              <w:ind w:left="1" w:right="0" w:firstLine="0"/>
              <w:jc w:val="left"/>
            </w:pPr>
            <w:r>
              <w:t xml:space="preserve"> </w:t>
            </w:r>
          </w:p>
        </w:tc>
        <w:tc>
          <w:tcPr>
            <w:tcW w:w="684" w:type="dxa"/>
            <w:tcBorders>
              <w:top w:val="single" w:sz="4" w:space="0" w:color="000000"/>
              <w:left w:val="single" w:sz="4" w:space="0" w:color="000000"/>
              <w:bottom w:val="single" w:sz="4" w:space="0" w:color="000000"/>
              <w:right w:val="single" w:sz="4" w:space="0" w:color="000000"/>
            </w:tcBorders>
          </w:tcPr>
          <w:p w14:paraId="0A31B792" w14:textId="77777777" w:rsidR="003050DA" w:rsidRDefault="00AF286F">
            <w:pPr>
              <w:spacing w:after="0" w:line="259" w:lineRule="auto"/>
              <w:ind w:left="1" w:right="0" w:firstLine="0"/>
              <w:jc w:val="left"/>
            </w:pPr>
            <w:r>
              <w:t xml:space="preserve"> </w:t>
            </w:r>
          </w:p>
        </w:tc>
        <w:tc>
          <w:tcPr>
            <w:tcW w:w="605" w:type="dxa"/>
            <w:tcBorders>
              <w:top w:val="single" w:sz="4" w:space="0" w:color="000000"/>
              <w:left w:val="single" w:sz="4" w:space="0" w:color="000000"/>
              <w:bottom w:val="single" w:sz="4" w:space="0" w:color="000000"/>
              <w:right w:val="single" w:sz="4" w:space="0" w:color="000000"/>
            </w:tcBorders>
            <w:shd w:val="clear" w:color="auto" w:fill="C45911"/>
          </w:tcPr>
          <w:p w14:paraId="305C0267" w14:textId="77777777" w:rsidR="003050DA" w:rsidRDefault="00AF286F">
            <w:pPr>
              <w:spacing w:after="0" w:line="259" w:lineRule="auto"/>
              <w:ind w:left="2" w:right="0" w:firstLine="0"/>
              <w:jc w:val="left"/>
            </w:pPr>
            <w:r>
              <w:t xml:space="preserve"> </w:t>
            </w:r>
          </w:p>
        </w:tc>
        <w:tc>
          <w:tcPr>
            <w:tcW w:w="638" w:type="dxa"/>
            <w:tcBorders>
              <w:top w:val="single" w:sz="4" w:space="0" w:color="000000"/>
              <w:left w:val="single" w:sz="4" w:space="0" w:color="000000"/>
              <w:bottom w:val="single" w:sz="4" w:space="0" w:color="000000"/>
              <w:right w:val="single" w:sz="4" w:space="0" w:color="000000"/>
            </w:tcBorders>
          </w:tcPr>
          <w:p w14:paraId="54D50342" w14:textId="77777777" w:rsidR="003050DA" w:rsidRDefault="00AF286F">
            <w:pPr>
              <w:spacing w:after="0" w:line="259" w:lineRule="auto"/>
              <w:ind w:left="0" w:right="0" w:firstLine="0"/>
              <w:jc w:val="left"/>
            </w:pPr>
            <w:r>
              <w:t xml:space="preserve"> </w:t>
            </w:r>
          </w:p>
        </w:tc>
        <w:tc>
          <w:tcPr>
            <w:tcW w:w="637" w:type="dxa"/>
            <w:tcBorders>
              <w:top w:val="single" w:sz="4" w:space="0" w:color="000000"/>
              <w:left w:val="single" w:sz="4" w:space="0" w:color="000000"/>
              <w:bottom w:val="single" w:sz="4" w:space="0" w:color="000000"/>
              <w:right w:val="single" w:sz="4" w:space="0" w:color="000000"/>
            </w:tcBorders>
          </w:tcPr>
          <w:p w14:paraId="0AEACCA7" w14:textId="77777777" w:rsidR="003050DA" w:rsidRDefault="00AF286F">
            <w:pPr>
              <w:spacing w:after="0" w:line="259" w:lineRule="auto"/>
              <w:ind w:left="1" w:right="0" w:firstLine="0"/>
              <w:jc w:val="left"/>
            </w:pPr>
            <w:r>
              <w:t xml:space="preserve"> </w:t>
            </w:r>
          </w:p>
        </w:tc>
      </w:tr>
      <w:tr w:rsidR="003050DA" w14:paraId="2C6C1180" w14:textId="77777777">
        <w:trPr>
          <w:trHeight w:val="1146"/>
        </w:trPr>
        <w:tc>
          <w:tcPr>
            <w:tcW w:w="1476" w:type="dxa"/>
            <w:tcBorders>
              <w:top w:val="single" w:sz="4" w:space="0" w:color="000000"/>
              <w:left w:val="single" w:sz="4" w:space="0" w:color="000000"/>
              <w:bottom w:val="single" w:sz="4" w:space="0" w:color="000000"/>
              <w:right w:val="single" w:sz="4" w:space="0" w:color="000000"/>
            </w:tcBorders>
          </w:tcPr>
          <w:p w14:paraId="3047DBE4" w14:textId="77777777" w:rsidR="003050DA" w:rsidRDefault="00AF286F">
            <w:pPr>
              <w:spacing w:after="0" w:line="259" w:lineRule="auto"/>
              <w:ind w:left="1" w:right="0" w:firstLine="0"/>
              <w:jc w:val="left"/>
            </w:pPr>
            <w:r>
              <w:t xml:space="preserve">Operations and maintenance </w:t>
            </w:r>
          </w:p>
        </w:tc>
        <w:tc>
          <w:tcPr>
            <w:tcW w:w="612" w:type="dxa"/>
            <w:tcBorders>
              <w:top w:val="single" w:sz="4" w:space="0" w:color="000000"/>
              <w:left w:val="single" w:sz="4" w:space="0" w:color="000000"/>
              <w:bottom w:val="single" w:sz="4" w:space="0" w:color="000000"/>
              <w:right w:val="single" w:sz="4" w:space="0" w:color="000000"/>
            </w:tcBorders>
            <w:shd w:val="clear" w:color="auto" w:fill="7030A0"/>
          </w:tcPr>
          <w:p w14:paraId="4FCB8594" w14:textId="77777777" w:rsidR="003050DA" w:rsidRDefault="00AF286F">
            <w:pPr>
              <w:spacing w:after="0" w:line="259" w:lineRule="auto"/>
              <w:ind w:left="0" w:right="0" w:firstLine="0"/>
              <w:jc w:val="left"/>
            </w:pPr>
            <w:r>
              <w:t xml:space="preserve"> </w:t>
            </w:r>
          </w:p>
        </w:tc>
        <w:tc>
          <w:tcPr>
            <w:tcW w:w="632" w:type="dxa"/>
            <w:tcBorders>
              <w:top w:val="single" w:sz="4" w:space="0" w:color="000000"/>
              <w:left w:val="single" w:sz="4" w:space="0" w:color="000000"/>
              <w:bottom w:val="single" w:sz="4" w:space="0" w:color="000000"/>
              <w:right w:val="single" w:sz="4" w:space="0" w:color="000000"/>
            </w:tcBorders>
            <w:shd w:val="clear" w:color="auto" w:fill="7030A0"/>
          </w:tcPr>
          <w:p w14:paraId="4DD0711B" w14:textId="77777777" w:rsidR="003050DA" w:rsidRDefault="00AF286F">
            <w:pPr>
              <w:spacing w:after="0" w:line="259" w:lineRule="auto"/>
              <w:ind w:left="1" w:right="0" w:firstLine="0"/>
              <w:jc w:val="left"/>
            </w:pPr>
            <w:r>
              <w:t xml:space="preserve"> </w:t>
            </w:r>
          </w:p>
        </w:tc>
        <w:tc>
          <w:tcPr>
            <w:tcW w:w="828" w:type="dxa"/>
            <w:tcBorders>
              <w:top w:val="single" w:sz="4" w:space="0" w:color="000000"/>
              <w:left w:val="single" w:sz="4" w:space="0" w:color="000000"/>
              <w:bottom w:val="single" w:sz="4" w:space="0" w:color="000000"/>
              <w:right w:val="single" w:sz="4" w:space="0" w:color="000000"/>
            </w:tcBorders>
            <w:shd w:val="clear" w:color="auto" w:fill="7030A0"/>
          </w:tcPr>
          <w:p w14:paraId="508FF9B1" w14:textId="77777777" w:rsidR="003050DA" w:rsidRDefault="00AF286F">
            <w:pPr>
              <w:spacing w:after="0" w:line="259" w:lineRule="auto"/>
              <w:ind w:left="2" w:right="0" w:firstLine="0"/>
              <w:jc w:val="left"/>
            </w:pPr>
            <w:r>
              <w:t xml:space="preserve"> </w:t>
            </w:r>
          </w:p>
        </w:tc>
        <w:tc>
          <w:tcPr>
            <w:tcW w:w="602" w:type="dxa"/>
            <w:tcBorders>
              <w:top w:val="single" w:sz="4" w:space="0" w:color="000000"/>
              <w:left w:val="single" w:sz="4" w:space="0" w:color="000000"/>
              <w:bottom w:val="single" w:sz="4" w:space="0" w:color="000000"/>
              <w:right w:val="single" w:sz="4" w:space="0" w:color="000000"/>
            </w:tcBorders>
            <w:shd w:val="clear" w:color="auto" w:fill="7030A0"/>
          </w:tcPr>
          <w:p w14:paraId="3E6ACFD2" w14:textId="77777777" w:rsidR="003050DA" w:rsidRDefault="00AF286F">
            <w:pPr>
              <w:spacing w:after="0" w:line="259" w:lineRule="auto"/>
              <w:ind w:left="2" w:right="0" w:firstLine="0"/>
              <w:jc w:val="left"/>
            </w:pPr>
            <w:r>
              <w:t xml:space="preserve"> </w:t>
            </w:r>
          </w:p>
        </w:tc>
        <w:tc>
          <w:tcPr>
            <w:tcW w:w="658" w:type="dxa"/>
            <w:tcBorders>
              <w:top w:val="single" w:sz="4" w:space="0" w:color="000000"/>
              <w:left w:val="single" w:sz="4" w:space="0" w:color="000000"/>
              <w:bottom w:val="single" w:sz="4" w:space="0" w:color="000000"/>
              <w:right w:val="single" w:sz="4" w:space="0" w:color="000000"/>
            </w:tcBorders>
            <w:shd w:val="clear" w:color="auto" w:fill="7030A0"/>
          </w:tcPr>
          <w:p w14:paraId="22B380EF" w14:textId="77777777" w:rsidR="003050DA" w:rsidRDefault="00AF286F">
            <w:pPr>
              <w:spacing w:after="0" w:line="259" w:lineRule="auto"/>
              <w:ind w:left="1" w:right="0" w:firstLine="0"/>
              <w:jc w:val="left"/>
            </w:pPr>
            <w:r>
              <w:t xml:space="preserve"> </w:t>
            </w:r>
          </w:p>
        </w:tc>
        <w:tc>
          <w:tcPr>
            <w:tcW w:w="701" w:type="dxa"/>
            <w:tcBorders>
              <w:top w:val="single" w:sz="4" w:space="0" w:color="000000"/>
              <w:left w:val="single" w:sz="4" w:space="0" w:color="000000"/>
              <w:bottom w:val="single" w:sz="4" w:space="0" w:color="000000"/>
              <w:right w:val="single" w:sz="4" w:space="0" w:color="000000"/>
            </w:tcBorders>
          </w:tcPr>
          <w:p w14:paraId="5B661BE7" w14:textId="77777777" w:rsidR="003050DA" w:rsidRDefault="00AF286F">
            <w:pPr>
              <w:spacing w:after="0" w:line="259" w:lineRule="auto"/>
              <w:ind w:left="1" w:right="0" w:firstLine="0"/>
              <w:jc w:val="left"/>
            </w:pPr>
            <w:r>
              <w:t xml:space="preserve"> </w:t>
            </w:r>
          </w:p>
        </w:tc>
        <w:tc>
          <w:tcPr>
            <w:tcW w:w="638" w:type="dxa"/>
            <w:tcBorders>
              <w:top w:val="single" w:sz="4" w:space="0" w:color="000000"/>
              <w:left w:val="single" w:sz="4" w:space="0" w:color="000000"/>
              <w:bottom w:val="single" w:sz="4" w:space="0" w:color="000000"/>
              <w:right w:val="single" w:sz="4" w:space="0" w:color="000000"/>
            </w:tcBorders>
          </w:tcPr>
          <w:p w14:paraId="774946E7" w14:textId="77777777" w:rsidR="003050DA" w:rsidRDefault="00AF286F">
            <w:pPr>
              <w:spacing w:after="0" w:line="259" w:lineRule="auto"/>
              <w:ind w:left="1" w:right="0" w:firstLine="0"/>
              <w:jc w:val="left"/>
            </w:pPr>
            <w:r>
              <w:t xml:space="preserve"> </w:t>
            </w:r>
          </w:p>
        </w:tc>
        <w:tc>
          <w:tcPr>
            <w:tcW w:w="638" w:type="dxa"/>
            <w:tcBorders>
              <w:top w:val="single" w:sz="4" w:space="0" w:color="000000"/>
              <w:left w:val="single" w:sz="4" w:space="0" w:color="000000"/>
              <w:bottom w:val="single" w:sz="4" w:space="0" w:color="000000"/>
              <w:right w:val="single" w:sz="4" w:space="0" w:color="000000"/>
            </w:tcBorders>
          </w:tcPr>
          <w:p w14:paraId="513211E4" w14:textId="77777777" w:rsidR="003050DA" w:rsidRDefault="00AF286F">
            <w:pPr>
              <w:spacing w:after="0" w:line="259" w:lineRule="auto"/>
              <w:ind w:left="1" w:right="0" w:firstLine="0"/>
              <w:jc w:val="left"/>
            </w:pPr>
            <w:r>
              <w:t xml:space="preserve"> </w:t>
            </w:r>
          </w:p>
        </w:tc>
        <w:tc>
          <w:tcPr>
            <w:tcW w:w="684" w:type="dxa"/>
            <w:tcBorders>
              <w:top w:val="single" w:sz="4" w:space="0" w:color="000000"/>
              <w:left w:val="single" w:sz="4" w:space="0" w:color="000000"/>
              <w:bottom w:val="single" w:sz="4" w:space="0" w:color="000000"/>
              <w:right w:val="single" w:sz="4" w:space="0" w:color="000000"/>
            </w:tcBorders>
          </w:tcPr>
          <w:p w14:paraId="08E528FB" w14:textId="77777777" w:rsidR="003050DA" w:rsidRDefault="00AF286F">
            <w:pPr>
              <w:spacing w:after="0" w:line="259" w:lineRule="auto"/>
              <w:ind w:left="1" w:right="0" w:firstLine="0"/>
              <w:jc w:val="left"/>
            </w:pPr>
            <w:r>
              <w:t xml:space="preserve"> </w:t>
            </w:r>
          </w:p>
        </w:tc>
        <w:tc>
          <w:tcPr>
            <w:tcW w:w="605" w:type="dxa"/>
            <w:tcBorders>
              <w:top w:val="single" w:sz="4" w:space="0" w:color="000000"/>
              <w:left w:val="single" w:sz="4" w:space="0" w:color="000000"/>
              <w:bottom w:val="single" w:sz="4" w:space="0" w:color="000000"/>
              <w:right w:val="single" w:sz="4" w:space="0" w:color="000000"/>
            </w:tcBorders>
          </w:tcPr>
          <w:p w14:paraId="5A61CDCB" w14:textId="77777777" w:rsidR="003050DA" w:rsidRDefault="00AF286F">
            <w:pPr>
              <w:spacing w:after="0" w:line="259" w:lineRule="auto"/>
              <w:ind w:left="2" w:right="0" w:firstLine="0"/>
              <w:jc w:val="left"/>
            </w:pPr>
            <w:r>
              <w:t xml:space="preserve"> </w:t>
            </w:r>
          </w:p>
        </w:tc>
        <w:tc>
          <w:tcPr>
            <w:tcW w:w="638" w:type="dxa"/>
            <w:tcBorders>
              <w:top w:val="single" w:sz="4" w:space="0" w:color="000000"/>
              <w:left w:val="single" w:sz="4" w:space="0" w:color="000000"/>
              <w:bottom w:val="single" w:sz="4" w:space="0" w:color="000000"/>
              <w:right w:val="single" w:sz="4" w:space="0" w:color="000000"/>
            </w:tcBorders>
          </w:tcPr>
          <w:p w14:paraId="7520CFD1" w14:textId="77777777" w:rsidR="003050DA" w:rsidRDefault="00AF286F">
            <w:pPr>
              <w:spacing w:after="0" w:line="259" w:lineRule="auto"/>
              <w:ind w:left="0" w:right="0" w:firstLine="0"/>
              <w:jc w:val="left"/>
            </w:pPr>
            <w:r>
              <w:t xml:space="preserve"> </w:t>
            </w:r>
          </w:p>
        </w:tc>
        <w:tc>
          <w:tcPr>
            <w:tcW w:w="637" w:type="dxa"/>
            <w:tcBorders>
              <w:top w:val="single" w:sz="4" w:space="0" w:color="000000"/>
              <w:left w:val="single" w:sz="4" w:space="0" w:color="000000"/>
              <w:bottom w:val="single" w:sz="4" w:space="0" w:color="000000"/>
              <w:right w:val="single" w:sz="4" w:space="0" w:color="000000"/>
            </w:tcBorders>
          </w:tcPr>
          <w:p w14:paraId="06D1746C" w14:textId="77777777" w:rsidR="003050DA" w:rsidRDefault="00AF286F">
            <w:pPr>
              <w:spacing w:after="0" w:line="259" w:lineRule="auto"/>
              <w:ind w:left="1" w:right="0" w:firstLine="0"/>
              <w:jc w:val="left"/>
            </w:pPr>
            <w:r>
              <w:t xml:space="preserve"> </w:t>
            </w:r>
          </w:p>
        </w:tc>
      </w:tr>
    </w:tbl>
    <w:p w14:paraId="48E8332A" w14:textId="77777777" w:rsidR="003050DA" w:rsidRDefault="00AF286F">
      <w:pPr>
        <w:spacing w:after="506" w:line="259" w:lineRule="auto"/>
        <w:ind w:left="0" w:right="0" w:firstLine="0"/>
        <w:jc w:val="left"/>
      </w:pPr>
      <w:r>
        <w:t xml:space="preserve"> </w:t>
      </w:r>
    </w:p>
    <w:p w14:paraId="0EFFC008" w14:textId="77777777" w:rsidR="003050DA" w:rsidRDefault="00AF286F">
      <w:pPr>
        <w:pStyle w:val="Heading1"/>
        <w:spacing w:after="222"/>
        <w:ind w:left="-5"/>
      </w:pPr>
      <w:bookmarkStart w:id="10" w:name="_Toc19525"/>
      <w:r>
        <w:t xml:space="preserve">Risk Assessment </w:t>
      </w:r>
      <w:bookmarkEnd w:id="10"/>
    </w:p>
    <w:p w14:paraId="0476AA5B" w14:textId="77777777" w:rsidR="003050DA" w:rsidRDefault="00AF286F">
      <w:pPr>
        <w:numPr>
          <w:ilvl w:val="0"/>
          <w:numId w:val="3"/>
        </w:numPr>
        <w:spacing w:after="0"/>
        <w:ind w:right="0" w:hanging="360"/>
      </w:pPr>
      <w:r>
        <w:t xml:space="preserve">Market competition - The success of the project may be impacted by competition from other food merchants in the market. </w:t>
      </w:r>
    </w:p>
    <w:p w14:paraId="5772286B" w14:textId="1083E21A" w:rsidR="003050DA" w:rsidRDefault="00AF286F">
      <w:pPr>
        <w:numPr>
          <w:ilvl w:val="0"/>
          <w:numId w:val="3"/>
        </w:numPr>
        <w:spacing w:after="0"/>
        <w:ind w:right="0" w:hanging="360"/>
      </w:pPr>
      <w:r>
        <w:t xml:space="preserve">Cost overruns - During the project's building and operation phases, there is a chance that costs will exceed </w:t>
      </w:r>
      <w:r w:rsidR="005F7E59">
        <w:t>budget.</w:t>
      </w:r>
      <w:r>
        <w:t xml:space="preserve">  </w:t>
      </w:r>
    </w:p>
    <w:p w14:paraId="51857606" w14:textId="5D61148C" w:rsidR="003050DA" w:rsidRDefault="00AF286F">
      <w:pPr>
        <w:numPr>
          <w:ilvl w:val="0"/>
          <w:numId w:val="3"/>
        </w:numPr>
        <w:spacing w:after="0"/>
        <w:ind w:right="0" w:hanging="360"/>
      </w:pPr>
      <w:r>
        <w:t xml:space="preserve">M&amp;S Foodhall should perform a thorough cost analysis and create a contingency plan to deal with any unforeseen charges that may arise </w:t>
      </w:r>
      <w:r w:rsidR="005F7E59">
        <w:t>to</w:t>
      </w:r>
      <w:r>
        <w:t xml:space="preserve"> reduce this risk. </w:t>
      </w:r>
    </w:p>
    <w:p w14:paraId="080DA644" w14:textId="1BFEAC54" w:rsidR="003050DA" w:rsidRDefault="00AF286F">
      <w:pPr>
        <w:numPr>
          <w:ilvl w:val="0"/>
          <w:numId w:val="3"/>
        </w:numPr>
        <w:ind w:right="0" w:hanging="360"/>
      </w:pPr>
      <w:r>
        <w:t>Disruptions to the supply chain could result from things like natural disasters, transportation prob</w:t>
      </w:r>
      <w:r>
        <w:t xml:space="preserve">lems, or supplier </w:t>
      </w:r>
      <w:r w:rsidR="00412ED0">
        <w:t>insolvency.</w:t>
      </w:r>
      <w:r>
        <w:t xml:space="preserve">  </w:t>
      </w:r>
    </w:p>
    <w:p w14:paraId="0EB02944" w14:textId="09C76053" w:rsidR="003050DA" w:rsidRDefault="00AF286F">
      <w:pPr>
        <w:spacing w:after="394"/>
        <w:ind w:left="-5" w:right="0"/>
      </w:pPr>
      <w:r>
        <w:t xml:space="preserve">M&amp;S Foodhall should create a strong supply chain management strategy that incorporates supplier diversification and backup strategies for dealing with supply chain disruptions </w:t>
      </w:r>
      <w:r w:rsidR="00412ED0">
        <w:t>to</w:t>
      </w:r>
      <w:r>
        <w:t xml:space="preserve"> reduce this risk. </w:t>
      </w:r>
    </w:p>
    <w:p w14:paraId="172BCFC6" w14:textId="77777777" w:rsidR="003050DA" w:rsidRDefault="00AF286F">
      <w:pPr>
        <w:pStyle w:val="Heading1"/>
        <w:spacing w:after="222"/>
        <w:ind w:left="-5"/>
      </w:pPr>
      <w:bookmarkStart w:id="11" w:name="_Toc19526"/>
      <w:r>
        <w:t>Challenges and Limitations</w:t>
      </w:r>
      <w:r>
        <w:t xml:space="preserve"> </w:t>
      </w:r>
      <w:bookmarkEnd w:id="11"/>
    </w:p>
    <w:p w14:paraId="06CEB002" w14:textId="77777777" w:rsidR="003050DA" w:rsidRDefault="00AF286F">
      <w:pPr>
        <w:ind w:left="-5" w:right="0"/>
      </w:pPr>
      <w:r>
        <w:t>M&amp;S, the architects, the construction crew, and municipal authorities must coordinate to ensure the project's success. Cost management and budgeting are essential to ensure the project is completed on plan and within the budget. Natural issues, regulator</w:t>
      </w:r>
      <w:r>
        <w:t xml:space="preserve">y compliance, and unforeseeable circumstances can also hinder the success of the project. </w:t>
      </w:r>
    </w:p>
    <w:p w14:paraId="4242DE5F" w14:textId="77777777" w:rsidR="003050DA" w:rsidRDefault="00AF286F">
      <w:pPr>
        <w:pStyle w:val="Heading2"/>
        <w:ind w:left="-5"/>
      </w:pPr>
      <w:r>
        <w:lastRenderedPageBreak/>
        <w:t xml:space="preserve">Conclusion </w:t>
      </w:r>
    </w:p>
    <w:p w14:paraId="1A59AB58" w14:textId="2AEC7DF7" w:rsidR="003050DA" w:rsidRDefault="00AF286F">
      <w:pPr>
        <w:ind w:left="-5" w:right="0"/>
      </w:pPr>
      <w:r>
        <w:t xml:space="preserve">In conclusion, successful project management is crucial for any </w:t>
      </w:r>
      <w:r w:rsidR="00123BF7">
        <w:t>endeavour</w:t>
      </w:r>
      <w:r>
        <w:t xml:space="preserve">, but it's especially important for retail </w:t>
      </w:r>
      <w:r w:rsidR="00123BF7">
        <w:t>endeavours</w:t>
      </w:r>
      <w:r>
        <w:t xml:space="preserve"> like the construction of a</w:t>
      </w:r>
      <w:r>
        <w:t xml:space="preserve"> new M&amp;S Foodhall location. The demands of all stakeholders are </w:t>
      </w:r>
      <w:r w:rsidR="00841FDA">
        <w:t>considered</w:t>
      </w:r>
      <w:r>
        <w:t>, the project's goals and objectives are met, it stays on schedule and within budget, and it is managed effectively. Project management strategies like stakeholder analysis, risk ass</w:t>
      </w:r>
      <w:r>
        <w:t xml:space="preserve">essment, and Agile approach can help M&amp;S Foodhall manage the project successfully and effectively. By doing this, M&amp;S Foodhall can make sure that its new store initiative is successful and helps the business grow and thrive. </w:t>
      </w:r>
    </w:p>
    <w:p w14:paraId="7D0F17B9" w14:textId="77777777" w:rsidR="003050DA" w:rsidRDefault="00AF286F">
      <w:pPr>
        <w:spacing w:after="0" w:line="259" w:lineRule="auto"/>
        <w:ind w:left="0" w:right="0" w:firstLine="0"/>
        <w:jc w:val="left"/>
      </w:pPr>
      <w:r>
        <w:t xml:space="preserve"> </w:t>
      </w:r>
      <w:r>
        <w:tab/>
        <w:t xml:space="preserve"> </w:t>
      </w:r>
      <w:r>
        <w:br w:type="page"/>
      </w:r>
    </w:p>
    <w:p w14:paraId="470DFC5B" w14:textId="77777777" w:rsidR="003050DA" w:rsidRDefault="00AF286F">
      <w:pPr>
        <w:pStyle w:val="Heading1"/>
        <w:spacing w:after="222"/>
        <w:ind w:left="-5"/>
      </w:pPr>
      <w:bookmarkStart w:id="12" w:name="_Toc19527"/>
      <w:r>
        <w:lastRenderedPageBreak/>
        <w:t xml:space="preserve">References </w:t>
      </w:r>
      <w:bookmarkEnd w:id="12"/>
    </w:p>
    <w:p w14:paraId="7E971B7A" w14:textId="77777777" w:rsidR="003050DA" w:rsidRDefault="00AF286F">
      <w:pPr>
        <w:spacing w:after="105" w:line="259" w:lineRule="auto"/>
        <w:ind w:left="-5" w:right="0"/>
      </w:pPr>
      <w:r>
        <w:t xml:space="preserve">Armenia, S., </w:t>
      </w:r>
      <w:proofErr w:type="spellStart"/>
      <w:r>
        <w:t>Dangelico</w:t>
      </w:r>
      <w:proofErr w:type="spellEnd"/>
      <w:r>
        <w:t xml:space="preserve">, R.M., </w:t>
      </w:r>
      <w:proofErr w:type="spellStart"/>
      <w:r>
        <w:t>Nonino</w:t>
      </w:r>
      <w:proofErr w:type="spellEnd"/>
      <w:r>
        <w:t xml:space="preserve">, F. and Pompei, A. (2019). Sustainable Project </w:t>
      </w:r>
    </w:p>
    <w:p w14:paraId="06061128" w14:textId="77777777" w:rsidR="003050DA" w:rsidRDefault="00AF286F">
      <w:pPr>
        <w:spacing w:after="233"/>
        <w:ind w:left="-5" w:right="0"/>
      </w:pPr>
      <w:r>
        <w:t xml:space="preserve">Management: A Conceptualization-Oriented Review and a Framework Proposal for Future Studies. </w:t>
      </w:r>
      <w:r>
        <w:rPr>
          <w:i/>
        </w:rPr>
        <w:t>Sustainability</w:t>
      </w:r>
      <w:r>
        <w:t xml:space="preserve">, [online] 11(9), p.2664. </w:t>
      </w:r>
      <w:proofErr w:type="spellStart"/>
      <w:r>
        <w:t>doi:</w:t>
      </w:r>
      <w:hyperlink r:id="rId14">
        <w:r>
          <w:t>https</w:t>
        </w:r>
        <w:proofErr w:type="spellEnd"/>
        <w:r>
          <w:t>://doi.org/10.3390/su11092664</w:t>
        </w:r>
      </w:hyperlink>
      <w:hyperlink r:id="rId15">
        <w:r>
          <w:t>.</w:t>
        </w:r>
      </w:hyperlink>
      <w:r>
        <w:t xml:space="preserve"> </w:t>
      </w:r>
    </w:p>
    <w:p w14:paraId="31CCEC7F" w14:textId="77777777" w:rsidR="003050DA" w:rsidRDefault="00AF286F">
      <w:pPr>
        <w:spacing w:after="239" w:line="359" w:lineRule="auto"/>
        <w:ind w:left="-5" w:right="0"/>
        <w:jc w:val="left"/>
      </w:pPr>
      <w:r>
        <w:t xml:space="preserve">Bergmann, T. and </w:t>
      </w:r>
      <w:proofErr w:type="spellStart"/>
      <w:r>
        <w:t>Karwowski</w:t>
      </w:r>
      <w:proofErr w:type="spellEnd"/>
      <w:r>
        <w:t>, W. (2018). Agile Project Management and Project Success: A Lite</w:t>
      </w:r>
      <w:r>
        <w:t xml:space="preserve">rature Review. </w:t>
      </w:r>
      <w:r>
        <w:rPr>
          <w:i/>
        </w:rPr>
        <w:t>Advances in Intelligent Systems and Computing</w:t>
      </w:r>
      <w:r>
        <w:t xml:space="preserve">, [online] 783, pp.405–414. </w:t>
      </w:r>
      <w:proofErr w:type="spellStart"/>
      <w:r>
        <w:t>doi:</w:t>
      </w:r>
      <w:hyperlink r:id="rId16">
        <w:r>
          <w:t>https</w:t>
        </w:r>
        <w:proofErr w:type="spellEnd"/>
        <w:r>
          <w:t>://doi.org/10.1007/978</w:t>
        </w:r>
      </w:hyperlink>
      <w:hyperlink r:id="rId17">
        <w:r>
          <w:t>-</w:t>
        </w:r>
      </w:hyperlink>
      <w:hyperlink r:id="rId18">
        <w:r>
          <w:t>3</w:t>
        </w:r>
      </w:hyperlink>
      <w:hyperlink r:id="rId19">
        <w:r>
          <w:t>-</w:t>
        </w:r>
      </w:hyperlink>
      <w:hyperlink r:id="rId20">
        <w:r>
          <w:t>319</w:t>
        </w:r>
      </w:hyperlink>
      <w:hyperlink r:id="rId21">
        <w:r>
          <w:t>-</w:t>
        </w:r>
      </w:hyperlink>
      <w:hyperlink r:id="rId22">
        <w:r>
          <w:t>94709</w:t>
        </w:r>
      </w:hyperlink>
      <w:hyperlink r:id="rId23">
        <w:r>
          <w:t>-</w:t>
        </w:r>
      </w:hyperlink>
      <w:hyperlink r:id="rId24">
        <w:r>
          <w:t>9_39.</w:t>
        </w:r>
      </w:hyperlink>
      <w:r>
        <w:t xml:space="preserve"> </w:t>
      </w:r>
    </w:p>
    <w:p w14:paraId="1D998A1F" w14:textId="0AC2EB5A" w:rsidR="003050DA" w:rsidRDefault="00AF286F">
      <w:pPr>
        <w:spacing w:after="239" w:line="359" w:lineRule="auto"/>
        <w:ind w:left="-5" w:right="0"/>
        <w:jc w:val="left"/>
      </w:pPr>
      <w:proofErr w:type="spellStart"/>
      <w:r>
        <w:t>Berkun</w:t>
      </w:r>
      <w:proofErr w:type="spellEnd"/>
      <w:r>
        <w:t xml:space="preserve">, S. (2008). </w:t>
      </w:r>
      <w:r>
        <w:rPr>
          <w:i/>
        </w:rPr>
        <w:t xml:space="preserve">Making Things Happen: Mastering Project </w:t>
      </w:r>
      <w:r w:rsidR="00561943">
        <w:rPr>
          <w:i/>
        </w:rPr>
        <w:t>Management.</w:t>
      </w:r>
      <w:r>
        <w:t xml:space="preserve"> [online] Available at: </w:t>
      </w:r>
      <w:hyperlink r:id="rId25">
        <w:r>
          <w:t>https://www.usenix.org/system/files/login/a</w:t>
        </w:r>
        <w:r>
          <w:t>rticles/310</w:t>
        </w:r>
      </w:hyperlink>
      <w:hyperlink r:id="rId26">
        <w:r>
          <w:t>-</w:t>
        </w:r>
      </w:hyperlink>
      <w:hyperlink r:id="rId27">
        <w:r>
          <w:t>bookreviews0808.pdf</w:t>
        </w:r>
      </w:hyperlink>
      <w:hyperlink r:id="rId28">
        <w:r>
          <w:t xml:space="preserve"> </w:t>
        </w:r>
      </w:hyperlink>
      <w:r>
        <w:t xml:space="preserve">[Accessed 1 May 2023]. </w:t>
      </w:r>
    </w:p>
    <w:p w14:paraId="265493C4" w14:textId="08AD877E" w:rsidR="003050DA" w:rsidRDefault="00AF286F">
      <w:pPr>
        <w:spacing w:after="239" w:line="359" w:lineRule="auto"/>
        <w:ind w:left="-5" w:right="0"/>
        <w:jc w:val="left"/>
      </w:pPr>
      <w:r>
        <w:t xml:space="preserve">Cooper, </w:t>
      </w:r>
      <w:r w:rsidR="001E6B15">
        <w:t>R.G.,</w:t>
      </w:r>
      <w:r>
        <w:t xml:space="preserve"> and Sommer, A.F. (2018). Agile–Stage-Gate for Manufacturers. </w:t>
      </w:r>
      <w:proofErr w:type="spellStart"/>
      <w:r>
        <w:rPr>
          <w:i/>
        </w:rPr>
        <w:t>ResearchTechnology</w:t>
      </w:r>
      <w:proofErr w:type="spellEnd"/>
      <w:r>
        <w:rPr>
          <w:i/>
        </w:rPr>
        <w:t xml:space="preserve"> Management</w:t>
      </w:r>
      <w:r>
        <w:t xml:space="preserve">, 61(2), pp.17–26. </w:t>
      </w:r>
      <w:proofErr w:type="spellStart"/>
      <w:r>
        <w:t>doi:</w:t>
      </w:r>
      <w:hyperlink r:id="rId29">
        <w:r>
          <w:t>https</w:t>
        </w:r>
        <w:proofErr w:type="spellEnd"/>
        <w:r>
          <w:t>://doi.org/10.1080/0</w:t>
        </w:r>
        <w:r>
          <w:t>895630</w:t>
        </w:r>
      </w:hyperlink>
      <w:hyperlink r:id="rId30">
        <w:r>
          <w:t>8.2018.1421380.</w:t>
        </w:r>
      </w:hyperlink>
      <w:r>
        <w:t xml:space="preserve"> </w:t>
      </w:r>
    </w:p>
    <w:p w14:paraId="15B58B24" w14:textId="77777777" w:rsidR="003050DA" w:rsidRDefault="00AF286F">
      <w:pPr>
        <w:spacing w:after="108" w:line="259" w:lineRule="auto"/>
        <w:ind w:left="-5" w:right="0"/>
      </w:pPr>
      <w:r>
        <w:t xml:space="preserve">Craig, A. (2015). </w:t>
      </w:r>
      <w:r>
        <w:rPr>
          <w:i/>
        </w:rPr>
        <w:t>More M&amp;S Simply Food stores now open</w:t>
      </w:r>
      <w:r>
        <w:t xml:space="preserve">. [online] Moto Motorway Services. </w:t>
      </w:r>
    </w:p>
    <w:p w14:paraId="70A79BBF" w14:textId="77777777" w:rsidR="003050DA" w:rsidRDefault="00AF286F">
      <w:pPr>
        <w:spacing w:after="233"/>
        <w:ind w:left="-5" w:right="0"/>
      </w:pPr>
      <w:r>
        <w:t xml:space="preserve">Available at: </w:t>
      </w:r>
      <w:hyperlink r:id="rId31">
        <w:r>
          <w:t>https://moto</w:t>
        </w:r>
      </w:hyperlink>
      <w:hyperlink r:id="rId32">
        <w:r>
          <w:t>-</w:t>
        </w:r>
      </w:hyperlink>
      <w:hyperlink r:id="rId33">
        <w:r>
          <w:t>way.com/2015/04/more</w:t>
        </w:r>
      </w:hyperlink>
      <w:hyperlink r:id="rId34">
        <w:r>
          <w:t>-</w:t>
        </w:r>
      </w:hyperlink>
      <w:hyperlink r:id="rId35">
        <w:r>
          <w:t>ms</w:t>
        </w:r>
      </w:hyperlink>
      <w:hyperlink r:id="rId36">
        <w:r>
          <w:t>-</w:t>
        </w:r>
      </w:hyperlink>
      <w:hyperlink r:id="rId37">
        <w:r>
          <w:t>simply</w:t>
        </w:r>
      </w:hyperlink>
      <w:hyperlink r:id="rId38">
        <w:r>
          <w:t>-</w:t>
        </w:r>
      </w:hyperlink>
      <w:hyperlink r:id="rId39">
        <w:r>
          <w:t>food</w:t>
        </w:r>
      </w:hyperlink>
      <w:hyperlink r:id="rId40">
        <w:r>
          <w:t>-</w:t>
        </w:r>
      </w:hyperlink>
      <w:hyperlink r:id="rId41">
        <w:r>
          <w:t>stores</w:t>
        </w:r>
      </w:hyperlink>
      <w:hyperlink r:id="rId42">
        <w:r>
          <w:t>-</w:t>
        </w:r>
      </w:hyperlink>
      <w:hyperlink r:id="rId43">
        <w:r>
          <w:t>now</w:t>
        </w:r>
      </w:hyperlink>
      <w:hyperlink r:id="rId44">
        <w:r>
          <w:t>-</w:t>
        </w:r>
      </w:hyperlink>
      <w:hyperlink r:id="rId45">
        <w:r>
          <w:t>open/</w:t>
        </w:r>
      </w:hyperlink>
      <w:hyperlink r:id="rId46">
        <w:r>
          <w:t xml:space="preserve"> </w:t>
        </w:r>
      </w:hyperlink>
      <w:r>
        <w:t xml:space="preserve">[Accessed 1 May 2023]. </w:t>
      </w:r>
    </w:p>
    <w:p w14:paraId="690EED03" w14:textId="77777777" w:rsidR="003050DA" w:rsidRDefault="00AF286F">
      <w:pPr>
        <w:spacing w:after="239" w:line="359" w:lineRule="auto"/>
        <w:ind w:left="-5" w:right="0"/>
        <w:jc w:val="left"/>
      </w:pPr>
      <w:r>
        <w:t>Crist</w:t>
      </w:r>
      <w:r>
        <w:t xml:space="preserve">óbal, J.R.S., </w:t>
      </w:r>
      <w:proofErr w:type="spellStart"/>
      <w:r>
        <w:t>Carral</w:t>
      </w:r>
      <w:proofErr w:type="spellEnd"/>
      <w:r>
        <w:t xml:space="preserve">, L., Diaz, E., </w:t>
      </w:r>
      <w:proofErr w:type="spellStart"/>
      <w:r>
        <w:t>Fraguela</w:t>
      </w:r>
      <w:proofErr w:type="spellEnd"/>
      <w:r>
        <w:t xml:space="preserve">, J.A. and Iglesias, G. (2023). Complexity and Project Management: A General Overview. </w:t>
      </w:r>
      <w:r>
        <w:rPr>
          <w:i/>
        </w:rPr>
        <w:t>Complexity</w:t>
      </w:r>
      <w:r>
        <w:t xml:space="preserve">, [online] 2018(4891286), pp.1–10. </w:t>
      </w:r>
      <w:proofErr w:type="spellStart"/>
      <w:r>
        <w:t>doi:</w:t>
      </w:r>
      <w:hyperlink r:id="rId47">
        <w:r>
          <w:t>https</w:t>
        </w:r>
        <w:proofErr w:type="spellEnd"/>
        <w:r>
          <w:t>://doi.org/10.1155/2018/4891286</w:t>
        </w:r>
      </w:hyperlink>
      <w:hyperlink r:id="rId48">
        <w:r>
          <w:t>.</w:t>
        </w:r>
      </w:hyperlink>
      <w:r>
        <w:t xml:space="preserve"> </w:t>
      </w:r>
    </w:p>
    <w:p w14:paraId="7CA78B64" w14:textId="77777777" w:rsidR="003050DA" w:rsidRDefault="00AF286F">
      <w:pPr>
        <w:spacing w:after="239" w:line="359" w:lineRule="auto"/>
        <w:ind w:left="-5" w:right="0"/>
        <w:jc w:val="left"/>
      </w:pPr>
      <w:proofErr w:type="spellStart"/>
      <w:r>
        <w:t>Eskerod</w:t>
      </w:r>
      <w:proofErr w:type="spellEnd"/>
      <w:r>
        <w:t xml:space="preserve">, P., </w:t>
      </w:r>
      <w:proofErr w:type="spellStart"/>
      <w:r>
        <w:t>Huemann</w:t>
      </w:r>
      <w:proofErr w:type="spellEnd"/>
      <w:r>
        <w:t xml:space="preserve">, M. and </w:t>
      </w:r>
      <w:proofErr w:type="spellStart"/>
      <w:r>
        <w:t>Ringhofer</w:t>
      </w:r>
      <w:proofErr w:type="spellEnd"/>
      <w:r>
        <w:t>, C</w:t>
      </w:r>
      <w:r>
        <w:t xml:space="preserve">. (2015). Stakeholder Inclusiveness: Enriching Project Management with General Stakeholder Theory. </w:t>
      </w:r>
      <w:r>
        <w:rPr>
          <w:i/>
        </w:rPr>
        <w:t>Project Management Journal</w:t>
      </w:r>
      <w:r>
        <w:t xml:space="preserve">, 46(6), pp.42–53. </w:t>
      </w:r>
      <w:proofErr w:type="spellStart"/>
      <w:r>
        <w:t>doi:</w:t>
      </w:r>
      <w:hyperlink r:id="rId49">
        <w:r>
          <w:t>https</w:t>
        </w:r>
        <w:proofErr w:type="spellEnd"/>
        <w:r>
          <w:t>://doi.org/10.1002/pmj.21546</w:t>
        </w:r>
      </w:hyperlink>
      <w:hyperlink r:id="rId50">
        <w:r>
          <w:t>.</w:t>
        </w:r>
      </w:hyperlink>
      <w:r>
        <w:t xml:space="preserve"> </w:t>
      </w:r>
    </w:p>
    <w:p w14:paraId="429B6C78" w14:textId="77777777" w:rsidR="003050DA" w:rsidRDefault="00AF286F">
      <w:pPr>
        <w:spacing w:after="107" w:line="259" w:lineRule="auto"/>
        <w:ind w:left="-5" w:right="0"/>
      </w:pPr>
      <w:proofErr w:type="spellStart"/>
      <w:r>
        <w:t>Golini</w:t>
      </w:r>
      <w:proofErr w:type="spellEnd"/>
      <w:r>
        <w:t xml:space="preserve">, R., </w:t>
      </w:r>
      <w:proofErr w:type="spellStart"/>
      <w:r>
        <w:t>Kalchschmidt</w:t>
      </w:r>
      <w:proofErr w:type="spellEnd"/>
      <w:r>
        <w:t xml:space="preserve">, M. and </w:t>
      </w:r>
      <w:proofErr w:type="spellStart"/>
      <w:r>
        <w:t>Landoni</w:t>
      </w:r>
      <w:proofErr w:type="spellEnd"/>
      <w:r>
        <w:t xml:space="preserve">, P. (2015). Adoption of project management practices: </w:t>
      </w:r>
    </w:p>
    <w:p w14:paraId="5F9D1C39" w14:textId="77777777" w:rsidR="003050DA" w:rsidRDefault="00AF286F">
      <w:pPr>
        <w:spacing w:after="106" w:line="259" w:lineRule="auto"/>
        <w:ind w:left="-5" w:right="0"/>
      </w:pPr>
      <w:r>
        <w:t>The impact on international development projects of non-gov</w:t>
      </w:r>
      <w:r>
        <w:t xml:space="preserve">ernmental organizations. </w:t>
      </w:r>
    </w:p>
    <w:p w14:paraId="29508E60" w14:textId="77777777" w:rsidR="003050DA" w:rsidRDefault="00AF286F">
      <w:pPr>
        <w:spacing w:after="233"/>
        <w:ind w:left="-5" w:right="0"/>
      </w:pPr>
      <w:r>
        <w:rPr>
          <w:i/>
        </w:rPr>
        <w:t>International Journal of Project Management</w:t>
      </w:r>
      <w:r>
        <w:t xml:space="preserve">, 33(3), pp.650–663. </w:t>
      </w:r>
      <w:proofErr w:type="spellStart"/>
      <w:r>
        <w:t>doi:</w:t>
      </w:r>
      <w:hyperlink r:id="rId51">
        <w:r>
          <w:t>https</w:t>
        </w:r>
        <w:proofErr w:type="spellEnd"/>
        <w:r>
          <w:t>://doi.org/10.1016/j.ijproman.2014.09.006</w:t>
        </w:r>
      </w:hyperlink>
      <w:hyperlink r:id="rId52">
        <w:r>
          <w:t>.</w:t>
        </w:r>
      </w:hyperlink>
      <w:r>
        <w:t xml:space="preserve"> </w:t>
      </w:r>
    </w:p>
    <w:p w14:paraId="1272C049" w14:textId="07549A72" w:rsidR="003050DA" w:rsidRDefault="00AF286F">
      <w:pPr>
        <w:spacing w:after="239" w:line="359" w:lineRule="auto"/>
        <w:ind w:left="-5" w:right="0"/>
        <w:jc w:val="left"/>
      </w:pPr>
      <w:r>
        <w:t xml:space="preserve">Harris, P. (2017). </w:t>
      </w:r>
      <w:r>
        <w:rPr>
          <w:i/>
        </w:rPr>
        <w:t xml:space="preserve">Look inside the new M&amp;S </w:t>
      </w:r>
      <w:r w:rsidR="001E6B15">
        <w:rPr>
          <w:i/>
        </w:rPr>
        <w:t>food hall</w:t>
      </w:r>
      <w:r>
        <w:rPr>
          <w:i/>
        </w:rPr>
        <w:t xml:space="preserve"> at Edge Lane</w:t>
      </w:r>
      <w:r>
        <w:t xml:space="preserve">. [online] Liverpool Echo. Available at: </w:t>
      </w:r>
      <w:hyperlink r:id="rId53">
        <w:r>
          <w:t>https://www.liverpoolecho.co.uk/whats</w:t>
        </w:r>
      </w:hyperlink>
      <w:hyperlink r:id="rId54">
        <w:r>
          <w:t>-</w:t>
        </w:r>
      </w:hyperlink>
      <w:hyperlink r:id="rId55">
        <w:r>
          <w:t>on/shopping/gallery/look</w:t>
        </w:r>
      </w:hyperlink>
      <w:hyperlink r:id="rId56">
        <w:r>
          <w:t>-</w:t>
        </w:r>
      </w:hyperlink>
      <w:hyperlink r:id="rId57">
        <w:r>
          <w:t>inside</w:t>
        </w:r>
      </w:hyperlink>
      <w:hyperlink r:id="rId58">
        <w:r>
          <w:t>-</w:t>
        </w:r>
      </w:hyperlink>
      <w:hyperlink r:id="rId59">
        <w:r>
          <w:t>new</w:t>
        </w:r>
      </w:hyperlink>
      <w:hyperlink r:id="rId60">
        <w:r>
          <w:t>-</w:t>
        </w:r>
      </w:hyperlink>
      <w:hyperlink r:id="rId61">
        <w:r>
          <w:t>ms</w:t>
        </w:r>
      </w:hyperlink>
      <w:hyperlink r:id="rId62"/>
      <w:hyperlink r:id="rId63">
        <w:r>
          <w:t>foodhall</w:t>
        </w:r>
      </w:hyperlink>
      <w:hyperlink r:id="rId64">
        <w:r>
          <w:t>-</w:t>
        </w:r>
      </w:hyperlink>
      <w:hyperlink r:id="rId65">
        <w:r>
          <w:t>13999175</w:t>
        </w:r>
      </w:hyperlink>
      <w:hyperlink r:id="rId66">
        <w:r>
          <w:t xml:space="preserve"> </w:t>
        </w:r>
      </w:hyperlink>
      <w:r>
        <w:t xml:space="preserve">[Accessed 1 May 2023]. </w:t>
      </w:r>
    </w:p>
    <w:p w14:paraId="574767F7" w14:textId="77777777" w:rsidR="003050DA" w:rsidRDefault="00AF286F">
      <w:pPr>
        <w:spacing w:after="239" w:line="359" w:lineRule="auto"/>
        <w:ind w:left="-5" w:right="0"/>
        <w:jc w:val="left"/>
      </w:pPr>
      <w:r>
        <w:lastRenderedPageBreak/>
        <w:t>Joslin, R. and Müller, R. (2015). Relationships between a project management methodology and project success in dif</w:t>
      </w:r>
      <w:r>
        <w:t xml:space="preserve">ferent project governance contexts. </w:t>
      </w:r>
      <w:r>
        <w:rPr>
          <w:i/>
        </w:rPr>
        <w:t>International Journal of Project Management</w:t>
      </w:r>
      <w:r>
        <w:t xml:space="preserve">, 33(6), pp.1377–1392. </w:t>
      </w:r>
    </w:p>
    <w:p w14:paraId="696C5874" w14:textId="77777777" w:rsidR="003050DA" w:rsidRDefault="00AF286F">
      <w:pPr>
        <w:spacing w:after="0"/>
        <w:ind w:left="-5" w:right="0"/>
      </w:pPr>
      <w:r>
        <w:t xml:space="preserve">Kaiser, M.G., El </w:t>
      </w:r>
      <w:proofErr w:type="spellStart"/>
      <w:r>
        <w:t>Arbi</w:t>
      </w:r>
      <w:proofErr w:type="spellEnd"/>
      <w:r>
        <w:t xml:space="preserve">, F. and </w:t>
      </w:r>
      <w:proofErr w:type="spellStart"/>
      <w:r>
        <w:t>Ahlemann</w:t>
      </w:r>
      <w:proofErr w:type="spellEnd"/>
      <w:r>
        <w:t xml:space="preserve">, F. (2015). Successful project portfolio management beyond project selection techniques: Understanding the role of structural alignment. </w:t>
      </w:r>
    </w:p>
    <w:p w14:paraId="7C8A3F4A" w14:textId="77777777" w:rsidR="003050DA" w:rsidRDefault="00AF286F">
      <w:pPr>
        <w:spacing w:after="233"/>
        <w:ind w:left="-5" w:right="0"/>
      </w:pPr>
      <w:r>
        <w:rPr>
          <w:i/>
        </w:rPr>
        <w:t>International Journal of Project Management</w:t>
      </w:r>
      <w:r>
        <w:t xml:space="preserve">, 33(1), pp.126–139. </w:t>
      </w:r>
      <w:proofErr w:type="spellStart"/>
      <w:r>
        <w:t>doi:</w:t>
      </w:r>
      <w:hyperlink r:id="rId67">
        <w:r>
          <w:t>https</w:t>
        </w:r>
        <w:proofErr w:type="spellEnd"/>
        <w:r>
          <w:t>://doi.org/10.1016/j.ijproman.2014.03.002</w:t>
        </w:r>
      </w:hyperlink>
      <w:hyperlink r:id="rId68">
        <w:r>
          <w:t>.</w:t>
        </w:r>
      </w:hyperlink>
      <w:r>
        <w:t xml:space="preserve"> </w:t>
      </w:r>
    </w:p>
    <w:p w14:paraId="5EAB0253" w14:textId="77777777" w:rsidR="003050DA" w:rsidRDefault="00AF286F">
      <w:pPr>
        <w:spacing w:after="0" w:line="359" w:lineRule="auto"/>
        <w:ind w:left="-5" w:right="0"/>
        <w:jc w:val="left"/>
      </w:pPr>
      <w:r>
        <w:t xml:space="preserve">Kerzner, H. (2017). </w:t>
      </w:r>
      <w:r>
        <w:rPr>
          <w:i/>
        </w:rPr>
        <w:t>Project Management: A Systems Approac</w:t>
      </w:r>
      <w:r>
        <w:rPr>
          <w:i/>
        </w:rPr>
        <w:t>h to Planning, Scheduling, and Controlling</w:t>
      </w:r>
      <w:r>
        <w:t xml:space="preserve">. [online] </w:t>
      </w:r>
      <w:r>
        <w:rPr>
          <w:i/>
        </w:rPr>
        <w:t>Google Books</w:t>
      </w:r>
      <w:r>
        <w:t xml:space="preserve">. John Wiley &amp; Sons. Available at: </w:t>
      </w:r>
    </w:p>
    <w:p w14:paraId="61852183" w14:textId="77777777" w:rsidR="003050DA" w:rsidRDefault="00AF286F">
      <w:pPr>
        <w:spacing w:after="239" w:line="359" w:lineRule="auto"/>
        <w:ind w:left="-5" w:right="0"/>
        <w:jc w:val="left"/>
      </w:pPr>
      <w:hyperlink r:id="rId69">
        <w:r>
          <w:t xml:space="preserve">https://books.google.com/books?hl=en&amp;lr=&amp;id=xlASDgAAQBAJ&amp;oi=fnd&amp;pg=PR19&amp;dq=overvie </w:t>
        </w:r>
      </w:hyperlink>
      <w:hyperlink r:id="rId70">
        <w:r>
          <w:t xml:space="preserve">w+of+project+description+in+project+management&amp;ots=Xc8kTPN5BP&amp;sig=EJCVFilMH5uyMR </w:t>
        </w:r>
      </w:hyperlink>
      <w:hyperlink r:id="rId71">
        <w:r>
          <w:t>X7SZyELnMpAS0</w:t>
        </w:r>
      </w:hyperlink>
      <w:hyperlink r:id="rId72">
        <w:r>
          <w:t xml:space="preserve"> </w:t>
        </w:r>
      </w:hyperlink>
      <w:r>
        <w:t xml:space="preserve">[Accessed 27 Apr. 2023]. </w:t>
      </w:r>
    </w:p>
    <w:p w14:paraId="4B6385FE" w14:textId="77777777" w:rsidR="003050DA" w:rsidRDefault="00AF286F">
      <w:pPr>
        <w:spacing w:after="105" w:line="259" w:lineRule="auto"/>
        <w:ind w:left="-5" w:right="0"/>
      </w:pPr>
      <w:r>
        <w:t xml:space="preserve">M&amp;S (2023). </w:t>
      </w:r>
      <w:r>
        <w:rPr>
          <w:i/>
        </w:rPr>
        <w:t>Welcome to Marks &amp; Spencer</w:t>
      </w:r>
      <w:r>
        <w:t>. [online] Marksandsp</w:t>
      </w:r>
      <w:r>
        <w:t xml:space="preserve">encer.com. Available at: </w:t>
      </w:r>
    </w:p>
    <w:p w14:paraId="44182E3A" w14:textId="77777777" w:rsidR="003050DA" w:rsidRDefault="00AF286F">
      <w:pPr>
        <w:spacing w:after="347" w:line="259" w:lineRule="auto"/>
        <w:ind w:left="-5" w:right="0"/>
      </w:pPr>
      <w:hyperlink r:id="rId73">
        <w:r>
          <w:t>https://www.marksandspencer.com/</w:t>
        </w:r>
      </w:hyperlink>
      <w:hyperlink r:id="rId74">
        <w:r>
          <w:t xml:space="preserve"> </w:t>
        </w:r>
      </w:hyperlink>
      <w:r>
        <w:t xml:space="preserve">[Accessed 27 Apr. 2023]. </w:t>
      </w:r>
    </w:p>
    <w:p w14:paraId="6EB22F73" w14:textId="679DDE5E" w:rsidR="003050DA" w:rsidRDefault="00AF286F">
      <w:pPr>
        <w:spacing w:after="105" w:line="259" w:lineRule="auto"/>
        <w:ind w:left="-5" w:right="0"/>
        <w:jc w:val="left"/>
      </w:pPr>
      <w:r>
        <w:t xml:space="preserve">Mark and </w:t>
      </w:r>
      <w:r w:rsidR="000758D9">
        <w:t>Spencer</w:t>
      </w:r>
      <w:r>
        <w:t xml:space="preserve"> Foodhall (2023). </w:t>
      </w:r>
      <w:r>
        <w:rPr>
          <w:i/>
        </w:rPr>
        <w:t>Marks &amp; Spencer Foodhall | Battersea Power Station</w:t>
      </w:r>
      <w:r>
        <w:t xml:space="preserve">. </w:t>
      </w:r>
    </w:p>
    <w:p w14:paraId="44D33A73" w14:textId="77777777" w:rsidR="003050DA" w:rsidRDefault="00AF286F">
      <w:pPr>
        <w:spacing w:after="233"/>
        <w:ind w:left="-5" w:right="0"/>
      </w:pPr>
      <w:r>
        <w:t xml:space="preserve">[online] </w:t>
      </w:r>
      <w:r>
        <w:t xml:space="preserve">batterseapowerstation.co.uk. Available at: </w:t>
      </w:r>
      <w:hyperlink r:id="rId75">
        <w:r>
          <w:t>https://batterseapowerstation.co.uk/retailers/marks</w:t>
        </w:r>
      </w:hyperlink>
      <w:hyperlink r:id="rId76">
        <w:r>
          <w:t>-</w:t>
        </w:r>
      </w:hyperlink>
      <w:hyperlink r:id="rId77">
        <w:r>
          <w:t>spencer</w:t>
        </w:r>
      </w:hyperlink>
      <w:hyperlink r:id="rId78">
        <w:r>
          <w:t>-</w:t>
        </w:r>
      </w:hyperlink>
      <w:hyperlink r:id="rId79">
        <w:r>
          <w:t>food</w:t>
        </w:r>
      </w:hyperlink>
      <w:hyperlink r:id="rId80">
        <w:r>
          <w:t>-</w:t>
        </w:r>
      </w:hyperlink>
      <w:hyperlink r:id="rId81">
        <w:r>
          <w:t>hall/</w:t>
        </w:r>
      </w:hyperlink>
      <w:hyperlink r:id="rId82">
        <w:r>
          <w:t xml:space="preserve"> </w:t>
        </w:r>
      </w:hyperlink>
      <w:r>
        <w:t xml:space="preserve">[Accessed 27 Apr. 2023]. </w:t>
      </w:r>
    </w:p>
    <w:p w14:paraId="7676285D" w14:textId="77777777" w:rsidR="003050DA" w:rsidRDefault="00AF286F">
      <w:pPr>
        <w:spacing w:after="239" w:line="359" w:lineRule="auto"/>
        <w:ind w:left="-5" w:right="0"/>
        <w:jc w:val="left"/>
      </w:pPr>
      <w:r>
        <w:t xml:space="preserve">Martin, S.L. and </w:t>
      </w:r>
      <w:proofErr w:type="spellStart"/>
      <w:r>
        <w:t>Javalgi</w:t>
      </w:r>
      <w:proofErr w:type="spellEnd"/>
      <w:r>
        <w:t>, R. (Raj) G. (2016). Entrepreneurial orientation, marketing capabilities and performance: The Moderating role of Competitive Inten</w:t>
      </w:r>
      <w:r>
        <w:t xml:space="preserve">sity on Latin American International New Ventures. </w:t>
      </w:r>
      <w:r>
        <w:rPr>
          <w:i/>
        </w:rPr>
        <w:t>Journal of Business Research</w:t>
      </w:r>
      <w:r>
        <w:t xml:space="preserve">, [online] 69(6), pp.2040–2051. </w:t>
      </w:r>
      <w:proofErr w:type="spellStart"/>
      <w:r>
        <w:t>doi:</w:t>
      </w:r>
      <w:hyperlink r:id="rId83">
        <w:r>
          <w:t>https</w:t>
        </w:r>
        <w:proofErr w:type="spellEnd"/>
        <w:r>
          <w:t>://doi.org/10.1016/j.jbusres.2015.10.14</w:t>
        </w:r>
      </w:hyperlink>
      <w:hyperlink r:id="rId84">
        <w:r>
          <w:t>9.</w:t>
        </w:r>
      </w:hyperlink>
      <w:r>
        <w:t xml:space="preserve"> </w:t>
      </w:r>
    </w:p>
    <w:p w14:paraId="2DF768C7" w14:textId="77777777" w:rsidR="003050DA" w:rsidRDefault="00AF286F">
      <w:pPr>
        <w:spacing w:after="0"/>
        <w:ind w:left="-5" w:right="0"/>
      </w:pPr>
      <w:r>
        <w:t xml:space="preserve">Meredith, J.R., Shafer, S.M. and Jr, S.J.M. (2017). </w:t>
      </w:r>
      <w:r>
        <w:rPr>
          <w:i/>
        </w:rPr>
        <w:t>Project Management: A Strategic Managerial Approach</w:t>
      </w:r>
      <w:r>
        <w:t xml:space="preserve">. [online] </w:t>
      </w:r>
      <w:r>
        <w:rPr>
          <w:i/>
        </w:rPr>
        <w:t>Google Books</w:t>
      </w:r>
      <w:r>
        <w:t xml:space="preserve">. John Wiley &amp; Sons. Available at: </w:t>
      </w:r>
    </w:p>
    <w:p w14:paraId="077B70D7" w14:textId="77777777" w:rsidR="003050DA" w:rsidRDefault="00AF286F">
      <w:pPr>
        <w:spacing w:after="105" w:line="259" w:lineRule="auto"/>
        <w:ind w:left="-5" w:right="0"/>
      </w:pPr>
      <w:hyperlink r:id="rId85">
        <w:r>
          <w:t>https://books.google.com/boo</w:t>
        </w:r>
        <w:r>
          <w:t>ks?hl=en&amp;lr=&amp;id=ipZXDwAAQBAJ&amp;oi=fnd&amp;pg=PR5&amp;dq=overview</w:t>
        </w:r>
      </w:hyperlink>
    </w:p>
    <w:p w14:paraId="25A493B7" w14:textId="77777777" w:rsidR="003050DA" w:rsidRDefault="00AF286F">
      <w:pPr>
        <w:spacing w:after="233"/>
        <w:ind w:left="-5" w:right="0"/>
      </w:pPr>
      <w:hyperlink r:id="rId86">
        <w:r>
          <w:t xml:space="preserve">+of+project+description+in+project+management&amp;ots=Qxr2qGDHoQ&amp;sig=iaDrBAovS5XxjIBX8 </w:t>
        </w:r>
      </w:hyperlink>
      <w:hyperlink r:id="rId87">
        <w:r>
          <w:t>XC2ztSAosA</w:t>
        </w:r>
      </w:hyperlink>
      <w:hyperlink r:id="rId88">
        <w:r>
          <w:t xml:space="preserve"> </w:t>
        </w:r>
      </w:hyperlink>
      <w:r>
        <w:t xml:space="preserve">[Accessed 27 Apr. 2023]. </w:t>
      </w:r>
    </w:p>
    <w:p w14:paraId="35C3A262" w14:textId="77777777" w:rsidR="003050DA" w:rsidRDefault="00AF286F">
      <w:pPr>
        <w:spacing w:after="0"/>
        <w:ind w:left="-5" w:right="0"/>
      </w:pPr>
      <w:r>
        <w:t>Mok, K.Y., Shen, G.Q. and Yang, J. (2015). Stakeholder management studies in mega construction projects: A review and future direct</w:t>
      </w:r>
      <w:r>
        <w:t xml:space="preserve">ions. </w:t>
      </w:r>
      <w:r>
        <w:rPr>
          <w:i/>
        </w:rPr>
        <w:t xml:space="preserve">International Journal of Project </w:t>
      </w:r>
    </w:p>
    <w:p w14:paraId="2D394758" w14:textId="77777777" w:rsidR="003050DA" w:rsidRDefault="00AF286F">
      <w:pPr>
        <w:spacing w:line="259" w:lineRule="auto"/>
        <w:ind w:left="-5" w:right="0"/>
      </w:pPr>
      <w:r>
        <w:rPr>
          <w:i/>
        </w:rPr>
        <w:t>Management</w:t>
      </w:r>
      <w:r>
        <w:t xml:space="preserve">, 33(2), pp.446–457. </w:t>
      </w:r>
      <w:proofErr w:type="spellStart"/>
      <w:r>
        <w:t>doi:</w:t>
      </w:r>
      <w:hyperlink r:id="rId89">
        <w:r>
          <w:t>https</w:t>
        </w:r>
        <w:proofErr w:type="spellEnd"/>
        <w:r>
          <w:t>://doi.org/10.1016/j.ijproman.2014.08.007</w:t>
        </w:r>
      </w:hyperlink>
      <w:hyperlink r:id="rId90">
        <w:r>
          <w:t>.</w:t>
        </w:r>
      </w:hyperlink>
      <w:r>
        <w:t xml:space="preserve"> </w:t>
      </w:r>
    </w:p>
    <w:p w14:paraId="0972C839" w14:textId="77777777" w:rsidR="003050DA" w:rsidRDefault="00AF286F">
      <w:pPr>
        <w:spacing w:after="105" w:line="259" w:lineRule="auto"/>
        <w:ind w:left="-5" w:right="0"/>
      </w:pPr>
      <w:r>
        <w:lastRenderedPageBreak/>
        <w:t xml:space="preserve">Pan, W., Yin, L. and Chen, H. (2019). Applying Work Breakdown Structure Technology in </w:t>
      </w:r>
    </w:p>
    <w:p w14:paraId="1377F09A" w14:textId="34840DCA" w:rsidR="003050DA" w:rsidRDefault="00AF286F">
      <w:pPr>
        <w:spacing w:after="266" w:line="359" w:lineRule="auto"/>
        <w:ind w:left="-5" w:right="0"/>
        <w:jc w:val="left"/>
      </w:pPr>
      <w:r>
        <w:t xml:space="preserve">Standardization Organizations Evaluation. </w:t>
      </w:r>
      <w:r>
        <w:rPr>
          <w:i/>
        </w:rPr>
        <w:t>Proceedings of the 2019 10th International Conference on E-b</w:t>
      </w:r>
      <w:r>
        <w:rPr>
          <w:i/>
        </w:rPr>
        <w:t xml:space="preserve">usiness, Management and </w:t>
      </w:r>
      <w:r w:rsidR="006F17AB">
        <w:rPr>
          <w:i/>
        </w:rPr>
        <w:t>Economics -</w:t>
      </w:r>
      <w:r>
        <w:rPr>
          <w:i/>
        </w:rPr>
        <w:t xml:space="preserve"> ICEME 2019</w:t>
      </w:r>
      <w:r>
        <w:t xml:space="preserve">. </w:t>
      </w:r>
      <w:proofErr w:type="spellStart"/>
      <w:r>
        <w:t>doi:</w:t>
      </w:r>
      <w:hyperlink r:id="rId91">
        <w:r>
          <w:t>https</w:t>
        </w:r>
        <w:proofErr w:type="spellEnd"/>
        <w:r>
          <w:t>://doi.org/10.1145/3345035.3345085</w:t>
        </w:r>
      </w:hyperlink>
      <w:hyperlink r:id="rId92">
        <w:r>
          <w:t>.</w:t>
        </w:r>
      </w:hyperlink>
      <w:r>
        <w:t xml:space="preserve"> </w:t>
      </w:r>
    </w:p>
    <w:p w14:paraId="7B55F8C4" w14:textId="77777777" w:rsidR="003050DA" w:rsidRDefault="00AF286F">
      <w:pPr>
        <w:spacing w:after="108" w:line="259" w:lineRule="auto"/>
        <w:ind w:left="-5" w:right="0"/>
      </w:pPr>
      <w:proofErr w:type="spellStart"/>
      <w:r>
        <w:t>Radujković</w:t>
      </w:r>
      <w:proofErr w:type="spellEnd"/>
      <w:r>
        <w:t xml:space="preserve">, M. and </w:t>
      </w:r>
      <w:proofErr w:type="spellStart"/>
      <w:r>
        <w:t>Sjekavica</w:t>
      </w:r>
      <w:proofErr w:type="spellEnd"/>
      <w:r>
        <w:t xml:space="preserve">, M. (2017). Project Management Success Factors. </w:t>
      </w:r>
      <w:r>
        <w:rPr>
          <w:i/>
        </w:rPr>
        <w:t xml:space="preserve">Procedia </w:t>
      </w:r>
    </w:p>
    <w:p w14:paraId="2C357994" w14:textId="77777777" w:rsidR="003050DA" w:rsidRDefault="00AF286F">
      <w:pPr>
        <w:spacing w:after="345" w:line="259" w:lineRule="auto"/>
        <w:ind w:left="-5" w:right="0"/>
      </w:pPr>
      <w:r>
        <w:rPr>
          <w:i/>
        </w:rPr>
        <w:t>Engineering</w:t>
      </w:r>
      <w:r>
        <w:t xml:space="preserve">, [online] 196(1), pp.607–615. </w:t>
      </w:r>
      <w:proofErr w:type="spellStart"/>
      <w:r>
        <w:t>doi:</w:t>
      </w:r>
      <w:hyperlink r:id="rId93">
        <w:r>
          <w:t>https</w:t>
        </w:r>
        <w:proofErr w:type="spellEnd"/>
        <w:r>
          <w:t>://doi.org/10.1016/j.proeng.2017.08.048</w:t>
        </w:r>
      </w:hyperlink>
      <w:hyperlink r:id="rId94">
        <w:r>
          <w:t>.</w:t>
        </w:r>
      </w:hyperlink>
      <w:r>
        <w:t xml:space="preserve"> </w:t>
      </w:r>
    </w:p>
    <w:p w14:paraId="1A85FEB5" w14:textId="77777777" w:rsidR="003050DA" w:rsidRDefault="00AF286F">
      <w:pPr>
        <w:spacing w:after="239" w:line="359" w:lineRule="auto"/>
        <w:ind w:left="-5" w:right="0"/>
        <w:jc w:val="left"/>
      </w:pPr>
      <w:proofErr w:type="spellStart"/>
      <w:r>
        <w:t>Rasnacis</w:t>
      </w:r>
      <w:proofErr w:type="spellEnd"/>
      <w:r>
        <w:t xml:space="preserve">, A. and </w:t>
      </w:r>
      <w:proofErr w:type="spellStart"/>
      <w:r>
        <w:t>Berzisa</w:t>
      </w:r>
      <w:proofErr w:type="spellEnd"/>
      <w:r>
        <w:t xml:space="preserve">, S. (2017). Method for Adaptation and Implementation of Agile Project Management Methodology. </w:t>
      </w:r>
      <w:r>
        <w:rPr>
          <w:i/>
        </w:rPr>
        <w:t>Procedia Computer Science</w:t>
      </w:r>
      <w:r>
        <w:t xml:space="preserve">, [online] 104, pp.43–50. </w:t>
      </w:r>
      <w:proofErr w:type="spellStart"/>
      <w:r>
        <w:t>doi:</w:t>
      </w:r>
      <w:hyperlink r:id="rId95">
        <w:r>
          <w:t>https</w:t>
        </w:r>
        <w:proofErr w:type="spellEnd"/>
        <w:r>
          <w:t>://doi.org/10.1016/j.procs.2017.0</w:t>
        </w:r>
        <w:r>
          <w:t>1.055</w:t>
        </w:r>
      </w:hyperlink>
      <w:hyperlink r:id="rId96">
        <w:r>
          <w:t>.</w:t>
        </w:r>
      </w:hyperlink>
      <w:r>
        <w:t xml:space="preserve"> </w:t>
      </w:r>
    </w:p>
    <w:p w14:paraId="2189145D" w14:textId="77777777" w:rsidR="003050DA" w:rsidRDefault="00AF286F">
      <w:pPr>
        <w:spacing w:after="239" w:line="359" w:lineRule="auto"/>
        <w:ind w:left="-5" w:right="0"/>
        <w:jc w:val="left"/>
      </w:pPr>
      <w:r>
        <w:t xml:space="preserve">Rowlands, E. (2022). </w:t>
      </w:r>
      <w:r>
        <w:rPr>
          <w:i/>
        </w:rPr>
        <w:t xml:space="preserve">Inside </w:t>
      </w:r>
      <w:proofErr w:type="spellStart"/>
      <w:r>
        <w:rPr>
          <w:i/>
        </w:rPr>
        <w:t>Wales’</w:t>
      </w:r>
      <w:proofErr w:type="spellEnd"/>
      <w:r>
        <w:rPr>
          <w:i/>
        </w:rPr>
        <w:t xml:space="preserve"> newly refurbished flagship M&amp;S </w:t>
      </w:r>
      <w:proofErr w:type="spellStart"/>
      <w:r>
        <w:rPr>
          <w:i/>
        </w:rPr>
        <w:t>foodhall</w:t>
      </w:r>
      <w:proofErr w:type="spellEnd"/>
      <w:r>
        <w:t xml:space="preserve">. [online] </w:t>
      </w:r>
      <w:proofErr w:type="spellStart"/>
      <w:r>
        <w:t>WalesOnline</w:t>
      </w:r>
      <w:proofErr w:type="spellEnd"/>
      <w:r>
        <w:t xml:space="preserve">. Available at: </w:t>
      </w:r>
      <w:hyperlink r:id="rId97">
        <w:r>
          <w:t>https://www.walesonline.co.uk/whats</w:t>
        </w:r>
      </w:hyperlink>
      <w:hyperlink r:id="rId98">
        <w:r>
          <w:t>-</w:t>
        </w:r>
      </w:hyperlink>
      <w:hyperlink r:id="rId99">
        <w:r>
          <w:t>on/food</w:t>
        </w:r>
      </w:hyperlink>
      <w:hyperlink r:id="rId100">
        <w:r>
          <w:t>-</w:t>
        </w:r>
      </w:hyperlink>
      <w:hyperlink r:id="rId101">
        <w:r>
          <w:t>drink</w:t>
        </w:r>
      </w:hyperlink>
      <w:hyperlink r:id="rId102">
        <w:r>
          <w:t>-</w:t>
        </w:r>
      </w:hyperlink>
      <w:hyperlink r:id="rId103">
        <w:r>
          <w:t>news/inside</w:t>
        </w:r>
      </w:hyperlink>
      <w:hyperlink r:id="rId104"/>
      <w:hyperlink r:id="rId105">
        <w:r>
          <w:t>wales</w:t>
        </w:r>
      </w:hyperlink>
      <w:hyperlink r:id="rId106">
        <w:r>
          <w:t>-</w:t>
        </w:r>
      </w:hyperlink>
      <w:hyperlink r:id="rId107">
        <w:r>
          <w:t>newly</w:t>
        </w:r>
      </w:hyperlink>
      <w:hyperlink r:id="rId108">
        <w:r>
          <w:t>-</w:t>
        </w:r>
      </w:hyperlink>
      <w:hyperlink r:id="rId109">
        <w:r>
          <w:t>refurbished</w:t>
        </w:r>
      </w:hyperlink>
      <w:hyperlink r:id="rId110">
        <w:r>
          <w:t>-</w:t>
        </w:r>
      </w:hyperlink>
      <w:hyperlink r:id="rId111">
        <w:r>
          <w:t>flagship</w:t>
        </w:r>
      </w:hyperlink>
      <w:hyperlink r:id="rId112">
        <w:r>
          <w:t>-</w:t>
        </w:r>
      </w:hyperlink>
      <w:hyperlink r:id="rId113">
        <w:r>
          <w:t>23994116.amp</w:t>
        </w:r>
      </w:hyperlink>
      <w:hyperlink r:id="rId114">
        <w:r>
          <w:t xml:space="preserve"> </w:t>
        </w:r>
      </w:hyperlink>
      <w:r>
        <w:t xml:space="preserve">[Accessed 1 May 2023]. </w:t>
      </w:r>
    </w:p>
    <w:p w14:paraId="22DEE684" w14:textId="77777777" w:rsidR="003050DA" w:rsidRDefault="00AF286F">
      <w:pPr>
        <w:spacing w:after="239" w:line="359" w:lineRule="auto"/>
        <w:ind w:left="-5" w:right="0"/>
        <w:jc w:val="left"/>
      </w:pPr>
      <w:proofErr w:type="spellStart"/>
      <w:r>
        <w:t>Sedqwick</w:t>
      </w:r>
      <w:proofErr w:type="spellEnd"/>
      <w:r>
        <w:t xml:space="preserve">, D. (2021). </w:t>
      </w:r>
      <w:r>
        <w:rPr>
          <w:i/>
        </w:rPr>
        <w:t xml:space="preserve">M&amp;S food hall at </w:t>
      </w:r>
      <w:r>
        <w:rPr>
          <w:i/>
        </w:rPr>
        <w:t>Silverlink undergoes facelift</w:t>
      </w:r>
      <w:r>
        <w:t xml:space="preserve">. [online] Northumberland Gazette. Available at: </w:t>
      </w:r>
      <w:hyperlink r:id="rId115">
        <w:r>
          <w:t>https://www.northumberlandgazette.co.uk/news/people/ms</w:t>
        </w:r>
      </w:hyperlink>
      <w:hyperlink r:id="rId116">
        <w:r>
          <w:t>-</w:t>
        </w:r>
      </w:hyperlink>
      <w:hyperlink r:id="rId117">
        <w:r>
          <w:t>food</w:t>
        </w:r>
      </w:hyperlink>
      <w:hyperlink r:id="rId118">
        <w:r>
          <w:t>-</w:t>
        </w:r>
      </w:hyperlink>
      <w:hyperlink r:id="rId119">
        <w:r>
          <w:t>hall</w:t>
        </w:r>
      </w:hyperlink>
      <w:hyperlink r:id="rId120">
        <w:r>
          <w:t>-</w:t>
        </w:r>
      </w:hyperlink>
      <w:hyperlink r:id="rId121">
        <w:r>
          <w:t>at</w:t>
        </w:r>
      </w:hyperlink>
      <w:hyperlink r:id="rId122"/>
      <w:hyperlink r:id="rId123">
        <w:r>
          <w:t>silverlink</w:t>
        </w:r>
      </w:hyperlink>
      <w:hyperlink r:id="rId124">
        <w:r>
          <w:t>-</w:t>
        </w:r>
      </w:hyperlink>
      <w:hyperlink r:id="rId125">
        <w:r>
          <w:t>undergoes</w:t>
        </w:r>
      </w:hyperlink>
      <w:hyperlink r:id="rId126">
        <w:r>
          <w:t>-</w:t>
        </w:r>
      </w:hyperlink>
      <w:hyperlink r:id="rId127">
        <w:r>
          <w:t>facelift</w:t>
        </w:r>
      </w:hyperlink>
      <w:hyperlink r:id="rId128">
        <w:r>
          <w:t>-</w:t>
        </w:r>
      </w:hyperlink>
      <w:hyperlink r:id="rId129">
        <w:r>
          <w:t>3344507</w:t>
        </w:r>
      </w:hyperlink>
      <w:hyperlink r:id="rId130">
        <w:r>
          <w:t xml:space="preserve"> </w:t>
        </w:r>
      </w:hyperlink>
      <w:r>
        <w:t xml:space="preserve">[Accessed 1 May 2023]. </w:t>
      </w:r>
    </w:p>
    <w:p w14:paraId="5C3E084E" w14:textId="77777777" w:rsidR="003050DA" w:rsidRDefault="00AF286F">
      <w:pPr>
        <w:spacing w:after="239" w:line="359" w:lineRule="auto"/>
        <w:ind w:left="-5" w:right="0"/>
        <w:jc w:val="left"/>
      </w:pPr>
      <w:proofErr w:type="spellStart"/>
      <w:r>
        <w:t>Svejvig</w:t>
      </w:r>
      <w:proofErr w:type="spellEnd"/>
      <w:r>
        <w:t xml:space="preserve">, P. and Andersen, P. (2015). Rethinking project management: A structured literature review with a critical look at the brave new world. </w:t>
      </w:r>
      <w:r>
        <w:rPr>
          <w:i/>
        </w:rPr>
        <w:t>International Journal of Project Management</w:t>
      </w:r>
      <w:r>
        <w:t>, 33</w:t>
      </w:r>
      <w:r>
        <w:t xml:space="preserve">(2), pp.278–290. </w:t>
      </w:r>
      <w:proofErr w:type="spellStart"/>
      <w:r>
        <w:t>doi:</w:t>
      </w:r>
      <w:hyperlink r:id="rId131">
        <w:r>
          <w:t>https</w:t>
        </w:r>
        <w:proofErr w:type="spellEnd"/>
        <w:r>
          <w:t>://doi.org/10.1016/j.ijproman.2014.06.004</w:t>
        </w:r>
      </w:hyperlink>
      <w:hyperlink r:id="rId132">
        <w:r>
          <w:t>.</w:t>
        </w:r>
      </w:hyperlink>
      <w:r>
        <w:t xml:space="preserve"> </w:t>
      </w:r>
    </w:p>
    <w:p w14:paraId="52D17492" w14:textId="77777777" w:rsidR="003050DA" w:rsidRDefault="00AF286F">
      <w:pPr>
        <w:spacing w:after="239" w:line="359" w:lineRule="auto"/>
        <w:ind w:left="-5" w:right="0"/>
        <w:jc w:val="left"/>
      </w:pPr>
      <w:proofErr w:type="spellStart"/>
      <w:r>
        <w:t>Vakhania</w:t>
      </w:r>
      <w:proofErr w:type="spellEnd"/>
      <w:r>
        <w:t xml:space="preserve">, N. and Werner, F. (2020). </w:t>
      </w:r>
      <w:r>
        <w:rPr>
          <w:i/>
        </w:rPr>
        <w:t>Multicriteria Optimization: Pareto-Optimality and Threshold-Optimality</w:t>
      </w:r>
      <w:r>
        <w:t xml:space="preserve">. [online] </w:t>
      </w:r>
      <w:r>
        <w:rPr>
          <w:i/>
        </w:rPr>
        <w:t>Google Books</w:t>
      </w:r>
      <w:r>
        <w:t xml:space="preserve">. </w:t>
      </w:r>
      <w:proofErr w:type="spellStart"/>
      <w:r>
        <w:t>BoD</w:t>
      </w:r>
      <w:proofErr w:type="spellEnd"/>
      <w:r>
        <w:t xml:space="preserve"> – Books on Demand. Available at: </w:t>
      </w:r>
      <w:hyperlink r:id="rId133">
        <w:r>
          <w:t xml:space="preserve">https://books.google.com/books?hl=en&amp;lr=&amp;id=smwtEAAAQBAJ&amp;oi=fnd&amp;pg=PA47&amp;dq=overvie </w:t>
        </w:r>
      </w:hyperlink>
      <w:hyperlink r:id="rId134">
        <w:r>
          <w:t>w+of+project+management&amp;ots=mW8JoJHciL&amp;sig=yCXXEqQBulGmfAG0iz5URlunYtU</w:t>
        </w:r>
      </w:hyperlink>
      <w:hyperlink r:id="rId135">
        <w:r>
          <w:t xml:space="preserve"> </w:t>
        </w:r>
      </w:hyperlink>
      <w:r>
        <w:t xml:space="preserve">[Accessed 27 Apr. 2023]. </w:t>
      </w:r>
    </w:p>
    <w:p w14:paraId="4871F5E2" w14:textId="77777777" w:rsidR="003050DA" w:rsidRDefault="00AF286F">
      <w:pPr>
        <w:spacing w:after="105" w:line="259" w:lineRule="auto"/>
        <w:ind w:left="-5" w:right="0"/>
      </w:pPr>
      <w:r>
        <w:t>Won, J., Shin, J., Mo</w:t>
      </w:r>
      <w:r>
        <w:t xml:space="preserve">on, H.-S. and Ju, K.-B. (2018). The Development Method of IFC Extension </w:t>
      </w:r>
    </w:p>
    <w:p w14:paraId="56F2A7B5" w14:textId="77777777" w:rsidR="003050DA" w:rsidRDefault="00AF286F">
      <w:pPr>
        <w:spacing w:after="239" w:line="359" w:lineRule="auto"/>
        <w:ind w:left="-5" w:right="0"/>
        <w:jc w:val="left"/>
      </w:pPr>
      <w:r>
        <w:t xml:space="preserve">Elements using Work Breakdown Structure in River Fields. </w:t>
      </w:r>
      <w:r>
        <w:rPr>
          <w:i/>
        </w:rPr>
        <w:t xml:space="preserve">Journal of the Korea </w:t>
      </w:r>
      <w:proofErr w:type="spellStart"/>
      <w:r>
        <w:rPr>
          <w:i/>
        </w:rPr>
        <w:t>AcademiaIndustrial</w:t>
      </w:r>
      <w:proofErr w:type="spellEnd"/>
      <w:r>
        <w:rPr>
          <w:i/>
        </w:rPr>
        <w:t xml:space="preserve"> cooperation Society</w:t>
      </w:r>
      <w:r>
        <w:t xml:space="preserve">, [online] 19(4), pp.77–84. </w:t>
      </w:r>
      <w:proofErr w:type="spellStart"/>
      <w:r>
        <w:t>doi:</w:t>
      </w:r>
      <w:hyperlink r:id="rId136">
        <w:r>
          <w:t>https</w:t>
        </w:r>
        <w:proofErr w:type="spellEnd"/>
        <w:r>
          <w:t>://doi.org/10.5762/KAIS.2018.19.4.77</w:t>
        </w:r>
      </w:hyperlink>
      <w:hyperlink r:id="rId137">
        <w:r>
          <w:t>.</w:t>
        </w:r>
      </w:hyperlink>
      <w:r>
        <w:t xml:space="preserve"> </w:t>
      </w:r>
    </w:p>
    <w:p w14:paraId="3618A4F8" w14:textId="77777777" w:rsidR="003050DA" w:rsidRDefault="00AF286F">
      <w:pPr>
        <w:spacing w:after="105" w:line="259" w:lineRule="auto"/>
        <w:ind w:left="-5" w:right="0"/>
      </w:pPr>
      <w:proofErr w:type="spellStart"/>
      <w:r>
        <w:t>Zasa</w:t>
      </w:r>
      <w:proofErr w:type="spellEnd"/>
      <w:r>
        <w:t xml:space="preserve">, F.P., </w:t>
      </w:r>
      <w:proofErr w:type="spellStart"/>
      <w:r>
        <w:t>Patrucco</w:t>
      </w:r>
      <w:proofErr w:type="spellEnd"/>
      <w:r>
        <w:t xml:space="preserve">, A. and </w:t>
      </w:r>
      <w:proofErr w:type="spellStart"/>
      <w:r>
        <w:t>Pellizzoni</w:t>
      </w:r>
      <w:proofErr w:type="spellEnd"/>
      <w:r>
        <w:t>, E. (2021). Manag</w:t>
      </w:r>
      <w:r>
        <w:t xml:space="preserve">ing the Hybrid Organization: How Can </w:t>
      </w:r>
    </w:p>
    <w:p w14:paraId="6A7D8C3E" w14:textId="77777777" w:rsidR="003050DA" w:rsidRDefault="00AF286F">
      <w:pPr>
        <w:spacing w:after="341" w:line="259" w:lineRule="auto"/>
        <w:ind w:left="-5" w:right="0"/>
      </w:pPr>
      <w:r>
        <w:lastRenderedPageBreak/>
        <w:t xml:space="preserve">Agile and Traditional Project Management Coexist? </w:t>
      </w:r>
      <w:r>
        <w:rPr>
          <w:i/>
        </w:rPr>
        <w:t>Research-Technology Management</w:t>
      </w:r>
      <w:r>
        <w:t xml:space="preserve">, [online] 64(1), pp.54–63. </w:t>
      </w:r>
      <w:proofErr w:type="spellStart"/>
      <w:r>
        <w:t>doi:</w:t>
      </w:r>
      <w:hyperlink r:id="rId138">
        <w:r>
          <w:t>https</w:t>
        </w:r>
        <w:proofErr w:type="spellEnd"/>
        <w:r>
          <w:t>://doi.org/10.1080/08956308.2021.18433</w:t>
        </w:r>
        <w:r>
          <w:t>31</w:t>
        </w:r>
      </w:hyperlink>
      <w:hyperlink r:id="rId139">
        <w:r>
          <w:t>.</w:t>
        </w:r>
      </w:hyperlink>
      <w:r>
        <w:t xml:space="preserve"> </w:t>
      </w:r>
    </w:p>
    <w:p w14:paraId="6D7A11AB" w14:textId="77777777" w:rsidR="003050DA" w:rsidRDefault="00AF286F">
      <w:pPr>
        <w:spacing w:after="0" w:line="259" w:lineRule="auto"/>
        <w:ind w:left="0" w:right="0" w:firstLine="0"/>
        <w:jc w:val="left"/>
      </w:pPr>
      <w:r>
        <w:rPr>
          <w:b/>
        </w:rPr>
        <w:t xml:space="preserve"> </w:t>
      </w:r>
    </w:p>
    <w:sectPr w:rsidR="003050DA">
      <w:footerReference w:type="even" r:id="rId140"/>
      <w:footerReference w:type="default" r:id="rId141"/>
      <w:footerReference w:type="first" r:id="rId142"/>
      <w:pgSz w:w="12240" w:h="15840"/>
      <w:pgMar w:top="1442" w:right="1434" w:bottom="1483" w:left="1440" w:header="720" w:footer="72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CDD8AF" w14:textId="77777777" w:rsidR="007D6185" w:rsidRDefault="007D6185">
      <w:pPr>
        <w:spacing w:after="0" w:line="240" w:lineRule="auto"/>
      </w:pPr>
      <w:r>
        <w:separator/>
      </w:r>
    </w:p>
  </w:endnote>
  <w:endnote w:type="continuationSeparator" w:id="0">
    <w:p w14:paraId="5E17EB9F" w14:textId="77777777" w:rsidR="007D6185" w:rsidRDefault="007D61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4CC712" w14:textId="77777777" w:rsidR="003050DA" w:rsidRDefault="00AF286F">
    <w:pPr>
      <w:spacing w:after="0" w:line="259" w:lineRule="auto"/>
      <w:ind w:left="0" w:firstLine="0"/>
      <w:jc w:val="right"/>
    </w:pPr>
    <w:r>
      <w:rPr>
        <w:rFonts w:ascii="Calibri" w:eastAsia="Calibri" w:hAnsi="Calibri" w:cs="Calibri"/>
      </w:rPr>
      <w:t xml:space="preserve">Page </w:t>
    </w:r>
    <w:r>
      <w:fldChar w:fldCharType="begin"/>
    </w:r>
    <w:r>
      <w:instrText xml:space="preserve"> PAGE   \* MERGEFORMAT </w:instrText>
    </w:r>
    <w:r>
      <w:fldChar w:fldCharType="separate"/>
    </w:r>
    <w:r>
      <w:rPr>
        <w:rFonts w:ascii="Calibri" w:eastAsia="Calibri" w:hAnsi="Calibri" w:cs="Calibri"/>
        <w:b/>
      </w:rPr>
      <w:t>1</w:t>
    </w:r>
    <w:r>
      <w:rPr>
        <w:rFonts w:ascii="Calibri" w:eastAsia="Calibri" w:hAnsi="Calibri" w:cs="Calibri"/>
        <w:b/>
      </w:rPr>
      <w:fldChar w:fldCharType="end"/>
    </w:r>
    <w:r>
      <w:rPr>
        <w:rFonts w:ascii="Calibri" w:eastAsia="Calibri" w:hAnsi="Calibri" w:cs="Calibri"/>
      </w:rPr>
      <w:t xml:space="preserve"> of </w:t>
    </w:r>
    <w:r>
      <w:fldChar w:fldCharType="begin"/>
    </w:r>
    <w:r>
      <w:instrText xml:space="preserve"> NUMPAGES   \* MERGEFORMAT </w:instrText>
    </w:r>
    <w:r>
      <w:fldChar w:fldCharType="separate"/>
    </w:r>
    <w:r>
      <w:rPr>
        <w:rFonts w:ascii="Calibri" w:eastAsia="Calibri" w:hAnsi="Calibri" w:cs="Calibri"/>
        <w:b/>
      </w:rPr>
      <w:t>17</w:t>
    </w:r>
    <w:r>
      <w:rPr>
        <w:rFonts w:ascii="Calibri" w:eastAsia="Calibri" w:hAnsi="Calibri" w:cs="Calibri"/>
        <w:b/>
      </w:rPr>
      <w:fldChar w:fldCharType="end"/>
    </w:r>
    <w:r>
      <w:rPr>
        <w:rFonts w:ascii="Calibri" w:eastAsia="Calibri" w:hAnsi="Calibri" w:cs="Calibri"/>
      </w:rPr>
      <w:t xml:space="preserve"> </w:t>
    </w:r>
  </w:p>
  <w:p w14:paraId="387DE8D6" w14:textId="77777777" w:rsidR="003050DA" w:rsidRDefault="00AF286F">
    <w:pPr>
      <w:spacing w:after="0" w:line="259" w:lineRule="auto"/>
      <w:ind w:left="0" w:right="0" w:firstLine="0"/>
      <w:jc w:val="left"/>
    </w:pPr>
    <w:r>
      <w:rPr>
        <w:rFonts w:ascii="Calibri" w:eastAsia="Calibri" w:hAnsi="Calibri" w:cs="Calibri"/>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1AA590" w14:textId="77777777" w:rsidR="003050DA" w:rsidRDefault="00AF286F">
    <w:pPr>
      <w:spacing w:after="0" w:line="259" w:lineRule="auto"/>
      <w:ind w:left="0" w:firstLine="0"/>
      <w:jc w:val="right"/>
    </w:pPr>
    <w:r>
      <w:rPr>
        <w:rFonts w:ascii="Calibri" w:eastAsia="Calibri" w:hAnsi="Calibri" w:cs="Calibri"/>
      </w:rPr>
      <w:t xml:space="preserve">Page </w:t>
    </w:r>
    <w:r>
      <w:fldChar w:fldCharType="begin"/>
    </w:r>
    <w:r>
      <w:instrText xml:space="preserve"> PAGE   \* MERGEFORMAT </w:instrText>
    </w:r>
    <w:r>
      <w:fldChar w:fldCharType="separate"/>
    </w:r>
    <w:r>
      <w:rPr>
        <w:rFonts w:ascii="Calibri" w:eastAsia="Calibri" w:hAnsi="Calibri" w:cs="Calibri"/>
        <w:b/>
      </w:rPr>
      <w:t>1</w:t>
    </w:r>
    <w:r>
      <w:rPr>
        <w:rFonts w:ascii="Calibri" w:eastAsia="Calibri" w:hAnsi="Calibri" w:cs="Calibri"/>
        <w:b/>
      </w:rPr>
      <w:fldChar w:fldCharType="end"/>
    </w:r>
    <w:r>
      <w:rPr>
        <w:rFonts w:ascii="Calibri" w:eastAsia="Calibri" w:hAnsi="Calibri" w:cs="Calibri"/>
      </w:rPr>
      <w:t xml:space="preserve"> of </w:t>
    </w:r>
    <w:r>
      <w:fldChar w:fldCharType="begin"/>
    </w:r>
    <w:r>
      <w:instrText xml:space="preserve"> NUMPAGES   \* MERGEFORMAT </w:instrText>
    </w:r>
    <w:r>
      <w:fldChar w:fldCharType="separate"/>
    </w:r>
    <w:r>
      <w:rPr>
        <w:rFonts w:ascii="Calibri" w:eastAsia="Calibri" w:hAnsi="Calibri" w:cs="Calibri"/>
        <w:b/>
      </w:rPr>
      <w:t>17</w:t>
    </w:r>
    <w:r>
      <w:rPr>
        <w:rFonts w:ascii="Calibri" w:eastAsia="Calibri" w:hAnsi="Calibri" w:cs="Calibri"/>
        <w:b/>
      </w:rPr>
      <w:fldChar w:fldCharType="end"/>
    </w:r>
    <w:r>
      <w:rPr>
        <w:rFonts w:ascii="Calibri" w:eastAsia="Calibri" w:hAnsi="Calibri" w:cs="Calibri"/>
      </w:rPr>
      <w:t xml:space="preserve"> </w:t>
    </w:r>
  </w:p>
  <w:p w14:paraId="524E37BD" w14:textId="77777777" w:rsidR="003050DA" w:rsidRDefault="00AF286F">
    <w:pPr>
      <w:spacing w:after="0" w:line="259" w:lineRule="auto"/>
      <w:ind w:left="0" w:right="0" w:firstLine="0"/>
      <w:jc w:val="left"/>
    </w:pPr>
    <w:r>
      <w:rPr>
        <w:rFonts w:ascii="Calibri" w:eastAsia="Calibri" w:hAnsi="Calibri" w:cs="Calibri"/>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087B01" w14:textId="77777777" w:rsidR="003050DA" w:rsidRDefault="00AF286F">
    <w:pPr>
      <w:spacing w:after="0" w:line="259" w:lineRule="auto"/>
      <w:ind w:left="0" w:firstLine="0"/>
      <w:jc w:val="right"/>
    </w:pPr>
    <w:r>
      <w:rPr>
        <w:rFonts w:ascii="Calibri" w:eastAsia="Calibri" w:hAnsi="Calibri" w:cs="Calibri"/>
      </w:rPr>
      <w:t xml:space="preserve">Page </w:t>
    </w:r>
    <w:r>
      <w:fldChar w:fldCharType="begin"/>
    </w:r>
    <w:r>
      <w:instrText xml:space="preserve"> PAGE   \* MERGEFORMAT </w:instrText>
    </w:r>
    <w:r>
      <w:fldChar w:fldCharType="separate"/>
    </w:r>
    <w:r>
      <w:rPr>
        <w:rFonts w:ascii="Calibri" w:eastAsia="Calibri" w:hAnsi="Calibri" w:cs="Calibri"/>
        <w:b/>
      </w:rPr>
      <w:t>1</w:t>
    </w:r>
    <w:r>
      <w:rPr>
        <w:rFonts w:ascii="Calibri" w:eastAsia="Calibri" w:hAnsi="Calibri" w:cs="Calibri"/>
        <w:b/>
      </w:rPr>
      <w:fldChar w:fldCharType="end"/>
    </w:r>
    <w:r>
      <w:rPr>
        <w:rFonts w:ascii="Calibri" w:eastAsia="Calibri" w:hAnsi="Calibri" w:cs="Calibri"/>
      </w:rPr>
      <w:t xml:space="preserve"> of </w:t>
    </w:r>
    <w:r>
      <w:fldChar w:fldCharType="begin"/>
    </w:r>
    <w:r>
      <w:instrText xml:space="preserve"> NUMPAGES   \* MERGEFORMAT </w:instrText>
    </w:r>
    <w:r>
      <w:fldChar w:fldCharType="separate"/>
    </w:r>
    <w:r>
      <w:rPr>
        <w:rFonts w:ascii="Calibri" w:eastAsia="Calibri" w:hAnsi="Calibri" w:cs="Calibri"/>
        <w:b/>
      </w:rPr>
      <w:t>17</w:t>
    </w:r>
    <w:r>
      <w:rPr>
        <w:rFonts w:ascii="Calibri" w:eastAsia="Calibri" w:hAnsi="Calibri" w:cs="Calibri"/>
        <w:b/>
      </w:rPr>
      <w:fldChar w:fldCharType="end"/>
    </w:r>
    <w:r>
      <w:rPr>
        <w:rFonts w:ascii="Calibri" w:eastAsia="Calibri" w:hAnsi="Calibri" w:cs="Calibri"/>
      </w:rPr>
      <w:t xml:space="preserve"> </w:t>
    </w:r>
  </w:p>
  <w:p w14:paraId="2663C4B5" w14:textId="77777777" w:rsidR="003050DA" w:rsidRDefault="00AF286F">
    <w:pPr>
      <w:spacing w:after="0" w:line="259" w:lineRule="auto"/>
      <w:ind w:left="0" w:right="0" w:firstLine="0"/>
      <w:jc w:val="left"/>
    </w:pPr>
    <w:r>
      <w:rPr>
        <w:rFonts w:ascii="Calibri" w:eastAsia="Calibri" w:hAnsi="Calibri" w:cs="Calibri"/>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34F710" w14:textId="77777777" w:rsidR="003050DA" w:rsidRDefault="00AF286F">
    <w:pPr>
      <w:spacing w:after="0" w:line="259" w:lineRule="auto"/>
      <w:ind w:left="0" w:right="3" w:firstLine="0"/>
      <w:jc w:val="right"/>
    </w:pPr>
    <w:r>
      <w:rPr>
        <w:rFonts w:ascii="Calibri" w:eastAsia="Calibri" w:hAnsi="Calibri" w:cs="Calibri"/>
      </w:rPr>
      <w:t xml:space="preserve">Page </w:t>
    </w:r>
    <w:r>
      <w:fldChar w:fldCharType="begin"/>
    </w:r>
    <w:r>
      <w:instrText xml:space="preserve"> PAGE   \* MERGEFORMAT </w:instrText>
    </w:r>
    <w:r>
      <w:fldChar w:fldCharType="separate"/>
    </w:r>
    <w:r>
      <w:rPr>
        <w:rFonts w:ascii="Calibri" w:eastAsia="Calibri" w:hAnsi="Calibri" w:cs="Calibri"/>
        <w:b/>
      </w:rPr>
      <w:t>10</w:t>
    </w:r>
    <w:r>
      <w:rPr>
        <w:rFonts w:ascii="Calibri" w:eastAsia="Calibri" w:hAnsi="Calibri" w:cs="Calibri"/>
        <w:b/>
      </w:rPr>
      <w:fldChar w:fldCharType="end"/>
    </w:r>
    <w:r>
      <w:rPr>
        <w:rFonts w:ascii="Calibri" w:eastAsia="Calibri" w:hAnsi="Calibri" w:cs="Calibri"/>
      </w:rPr>
      <w:t xml:space="preserve"> of </w:t>
    </w:r>
    <w:r>
      <w:fldChar w:fldCharType="begin"/>
    </w:r>
    <w:r>
      <w:instrText xml:space="preserve"> NUMPAGES   \* MERGEFORMAT </w:instrText>
    </w:r>
    <w:r>
      <w:fldChar w:fldCharType="separate"/>
    </w:r>
    <w:r>
      <w:rPr>
        <w:rFonts w:ascii="Calibri" w:eastAsia="Calibri" w:hAnsi="Calibri" w:cs="Calibri"/>
        <w:b/>
      </w:rPr>
      <w:t>17</w:t>
    </w:r>
    <w:r>
      <w:rPr>
        <w:rFonts w:ascii="Calibri" w:eastAsia="Calibri" w:hAnsi="Calibri" w:cs="Calibri"/>
        <w:b/>
      </w:rPr>
      <w:fldChar w:fldCharType="end"/>
    </w:r>
    <w:r>
      <w:rPr>
        <w:rFonts w:ascii="Calibri" w:eastAsia="Calibri" w:hAnsi="Calibri" w:cs="Calibri"/>
      </w:rPr>
      <w:t xml:space="preserve"> </w:t>
    </w:r>
  </w:p>
  <w:p w14:paraId="5DF70597" w14:textId="77777777" w:rsidR="003050DA" w:rsidRDefault="00AF286F">
    <w:pPr>
      <w:spacing w:after="0" w:line="259" w:lineRule="auto"/>
      <w:ind w:left="0" w:right="0" w:firstLine="0"/>
      <w:jc w:val="left"/>
    </w:pPr>
    <w:r>
      <w:rPr>
        <w:rFonts w:ascii="Calibri" w:eastAsia="Calibri" w:hAnsi="Calibri" w:cs="Calibri"/>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90E8E8" w14:textId="77777777" w:rsidR="003050DA" w:rsidRDefault="00AF286F">
    <w:pPr>
      <w:spacing w:after="0" w:line="259" w:lineRule="auto"/>
      <w:ind w:left="0" w:right="3" w:firstLine="0"/>
      <w:jc w:val="right"/>
    </w:pPr>
    <w:r>
      <w:rPr>
        <w:rFonts w:ascii="Calibri" w:eastAsia="Calibri" w:hAnsi="Calibri" w:cs="Calibri"/>
      </w:rPr>
      <w:t xml:space="preserve">Page </w:t>
    </w:r>
    <w:r>
      <w:fldChar w:fldCharType="begin"/>
    </w:r>
    <w:r>
      <w:instrText xml:space="preserve"> PAGE   \* MERGEFORMAT </w:instrText>
    </w:r>
    <w:r>
      <w:fldChar w:fldCharType="separate"/>
    </w:r>
    <w:r>
      <w:rPr>
        <w:rFonts w:ascii="Calibri" w:eastAsia="Calibri" w:hAnsi="Calibri" w:cs="Calibri"/>
        <w:b/>
      </w:rPr>
      <w:t>10</w:t>
    </w:r>
    <w:r>
      <w:rPr>
        <w:rFonts w:ascii="Calibri" w:eastAsia="Calibri" w:hAnsi="Calibri" w:cs="Calibri"/>
        <w:b/>
      </w:rPr>
      <w:fldChar w:fldCharType="end"/>
    </w:r>
    <w:r>
      <w:rPr>
        <w:rFonts w:ascii="Calibri" w:eastAsia="Calibri" w:hAnsi="Calibri" w:cs="Calibri"/>
      </w:rPr>
      <w:t xml:space="preserve"> of </w:t>
    </w:r>
    <w:r>
      <w:fldChar w:fldCharType="begin"/>
    </w:r>
    <w:r>
      <w:instrText xml:space="preserve"> NU</w:instrText>
    </w:r>
    <w:r>
      <w:instrText xml:space="preserve">MPAGES   \* MERGEFORMAT </w:instrText>
    </w:r>
    <w:r>
      <w:fldChar w:fldCharType="separate"/>
    </w:r>
    <w:r>
      <w:rPr>
        <w:rFonts w:ascii="Calibri" w:eastAsia="Calibri" w:hAnsi="Calibri" w:cs="Calibri"/>
        <w:b/>
      </w:rPr>
      <w:t>17</w:t>
    </w:r>
    <w:r>
      <w:rPr>
        <w:rFonts w:ascii="Calibri" w:eastAsia="Calibri" w:hAnsi="Calibri" w:cs="Calibri"/>
        <w:b/>
      </w:rPr>
      <w:fldChar w:fldCharType="end"/>
    </w:r>
    <w:r>
      <w:rPr>
        <w:rFonts w:ascii="Calibri" w:eastAsia="Calibri" w:hAnsi="Calibri" w:cs="Calibri"/>
      </w:rPr>
      <w:t xml:space="preserve"> </w:t>
    </w:r>
  </w:p>
  <w:p w14:paraId="5B43C05B" w14:textId="77777777" w:rsidR="003050DA" w:rsidRDefault="00AF286F">
    <w:pPr>
      <w:spacing w:after="0" w:line="259" w:lineRule="auto"/>
      <w:ind w:left="0" w:right="0" w:firstLine="0"/>
      <w:jc w:val="left"/>
    </w:pPr>
    <w:r>
      <w:rPr>
        <w:rFonts w:ascii="Calibri" w:eastAsia="Calibri" w:hAnsi="Calibri" w:cs="Calibri"/>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89A552" w14:textId="77777777" w:rsidR="003050DA" w:rsidRDefault="00AF286F">
    <w:pPr>
      <w:spacing w:after="0" w:line="259" w:lineRule="auto"/>
      <w:ind w:left="0" w:right="3" w:firstLine="0"/>
      <w:jc w:val="right"/>
    </w:pPr>
    <w:r>
      <w:rPr>
        <w:rFonts w:ascii="Calibri" w:eastAsia="Calibri" w:hAnsi="Calibri" w:cs="Calibri"/>
      </w:rPr>
      <w:t xml:space="preserve">Page </w:t>
    </w:r>
    <w:r>
      <w:fldChar w:fldCharType="begin"/>
    </w:r>
    <w:r>
      <w:instrText xml:space="preserve"> PAGE   \* MERGEFORMAT </w:instrText>
    </w:r>
    <w:r>
      <w:fldChar w:fldCharType="separate"/>
    </w:r>
    <w:r>
      <w:rPr>
        <w:rFonts w:ascii="Calibri" w:eastAsia="Calibri" w:hAnsi="Calibri" w:cs="Calibri"/>
        <w:b/>
      </w:rPr>
      <w:t>10</w:t>
    </w:r>
    <w:r>
      <w:rPr>
        <w:rFonts w:ascii="Calibri" w:eastAsia="Calibri" w:hAnsi="Calibri" w:cs="Calibri"/>
        <w:b/>
      </w:rPr>
      <w:fldChar w:fldCharType="end"/>
    </w:r>
    <w:r>
      <w:rPr>
        <w:rFonts w:ascii="Calibri" w:eastAsia="Calibri" w:hAnsi="Calibri" w:cs="Calibri"/>
      </w:rPr>
      <w:t xml:space="preserve"> of </w:t>
    </w:r>
    <w:r>
      <w:fldChar w:fldCharType="begin"/>
    </w:r>
    <w:r>
      <w:instrText xml:space="preserve"> NUMPAGES   \* MERGEFORMAT </w:instrText>
    </w:r>
    <w:r>
      <w:fldChar w:fldCharType="separate"/>
    </w:r>
    <w:r>
      <w:rPr>
        <w:rFonts w:ascii="Calibri" w:eastAsia="Calibri" w:hAnsi="Calibri" w:cs="Calibri"/>
        <w:b/>
      </w:rPr>
      <w:t>17</w:t>
    </w:r>
    <w:r>
      <w:rPr>
        <w:rFonts w:ascii="Calibri" w:eastAsia="Calibri" w:hAnsi="Calibri" w:cs="Calibri"/>
        <w:b/>
      </w:rPr>
      <w:fldChar w:fldCharType="end"/>
    </w:r>
    <w:r>
      <w:rPr>
        <w:rFonts w:ascii="Calibri" w:eastAsia="Calibri" w:hAnsi="Calibri" w:cs="Calibri"/>
      </w:rPr>
      <w:t xml:space="preserve"> </w:t>
    </w:r>
  </w:p>
  <w:p w14:paraId="4B980C03" w14:textId="77777777" w:rsidR="003050DA" w:rsidRDefault="00AF286F">
    <w:pPr>
      <w:spacing w:after="0" w:line="259" w:lineRule="auto"/>
      <w:ind w:left="0" w:right="0" w:firstLine="0"/>
      <w:jc w:val="left"/>
    </w:pPr>
    <w:r>
      <w:rPr>
        <w:rFonts w:ascii="Calibri" w:eastAsia="Calibri" w:hAnsi="Calibri" w:cs="Calibri"/>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B42DAA" w14:textId="77777777" w:rsidR="007D6185" w:rsidRDefault="007D6185">
      <w:pPr>
        <w:spacing w:after="0" w:line="240" w:lineRule="auto"/>
      </w:pPr>
      <w:r>
        <w:separator/>
      </w:r>
    </w:p>
  </w:footnote>
  <w:footnote w:type="continuationSeparator" w:id="0">
    <w:p w14:paraId="0984DF24" w14:textId="77777777" w:rsidR="007D6185" w:rsidRDefault="007D61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DC0CFD"/>
    <w:multiLevelType w:val="hybridMultilevel"/>
    <w:tmpl w:val="F5043484"/>
    <w:lvl w:ilvl="0" w:tplc="06DCA2FC">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E9653D4">
      <w:start w:val="1"/>
      <w:numFmt w:val="lowerLetter"/>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77821C72">
      <w:start w:val="1"/>
      <w:numFmt w:val="lowerRoman"/>
      <w:lvlText w:val="%3"/>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980131C">
      <w:start w:val="1"/>
      <w:numFmt w:val="decimal"/>
      <w:lvlText w:val="%4"/>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F24D52E">
      <w:start w:val="1"/>
      <w:numFmt w:val="lowerLetter"/>
      <w:lvlText w:val="%5"/>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BBECDDBC">
      <w:start w:val="1"/>
      <w:numFmt w:val="lowerRoman"/>
      <w:lvlText w:val="%6"/>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2256C83E">
      <w:start w:val="1"/>
      <w:numFmt w:val="decimal"/>
      <w:lvlText w:val="%7"/>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410D730">
      <w:start w:val="1"/>
      <w:numFmt w:val="lowerLetter"/>
      <w:lvlText w:val="%8"/>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EF3EE526">
      <w:start w:val="1"/>
      <w:numFmt w:val="lowerRoman"/>
      <w:lvlText w:val="%9"/>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4BAE2586"/>
    <w:multiLevelType w:val="hybridMultilevel"/>
    <w:tmpl w:val="829AAB50"/>
    <w:lvl w:ilvl="0" w:tplc="BC128194">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09E60E8">
      <w:start w:val="1"/>
      <w:numFmt w:val="lowerLetter"/>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312A6570">
      <w:start w:val="1"/>
      <w:numFmt w:val="lowerRoman"/>
      <w:lvlText w:val="%3"/>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FB8E083A">
      <w:start w:val="1"/>
      <w:numFmt w:val="decimal"/>
      <w:lvlText w:val="%4"/>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076CAA4">
      <w:start w:val="1"/>
      <w:numFmt w:val="lowerLetter"/>
      <w:lvlText w:val="%5"/>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D66E97A">
      <w:start w:val="1"/>
      <w:numFmt w:val="lowerRoman"/>
      <w:lvlText w:val="%6"/>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6B69E88">
      <w:start w:val="1"/>
      <w:numFmt w:val="decimal"/>
      <w:lvlText w:val="%7"/>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CA811D4">
      <w:start w:val="1"/>
      <w:numFmt w:val="lowerLetter"/>
      <w:lvlText w:val="%8"/>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423E9D62">
      <w:start w:val="1"/>
      <w:numFmt w:val="lowerRoman"/>
      <w:lvlText w:val="%9"/>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58B27C66"/>
    <w:multiLevelType w:val="hybridMultilevel"/>
    <w:tmpl w:val="623645C8"/>
    <w:lvl w:ilvl="0" w:tplc="877C4A6C">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1946C28">
      <w:start w:val="1"/>
      <w:numFmt w:val="lowerLetter"/>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E22AC30">
      <w:start w:val="1"/>
      <w:numFmt w:val="lowerRoman"/>
      <w:lvlText w:val="%3"/>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48005B0">
      <w:start w:val="1"/>
      <w:numFmt w:val="decimal"/>
      <w:lvlText w:val="%4"/>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3DE8A24">
      <w:start w:val="1"/>
      <w:numFmt w:val="lowerLetter"/>
      <w:lvlText w:val="%5"/>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BD2B5E8">
      <w:start w:val="1"/>
      <w:numFmt w:val="lowerRoman"/>
      <w:lvlText w:val="%6"/>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0C1E3E04">
      <w:start w:val="1"/>
      <w:numFmt w:val="decimal"/>
      <w:lvlText w:val="%7"/>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55CAD94">
      <w:start w:val="1"/>
      <w:numFmt w:val="lowerLetter"/>
      <w:lvlText w:val="%8"/>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F226D5A">
      <w:start w:val="1"/>
      <w:numFmt w:val="lowerRoman"/>
      <w:lvlText w:val="%9"/>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2103645361">
    <w:abstractNumId w:val="2"/>
  </w:num>
  <w:num w:numId="2" w16cid:durableId="577522921">
    <w:abstractNumId w:val="1"/>
  </w:num>
  <w:num w:numId="3" w16cid:durableId="15563069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50DA"/>
    <w:rsid w:val="000171E9"/>
    <w:rsid w:val="000251B9"/>
    <w:rsid w:val="000374CC"/>
    <w:rsid w:val="000758D9"/>
    <w:rsid w:val="00095772"/>
    <w:rsid w:val="00123BF7"/>
    <w:rsid w:val="0015124E"/>
    <w:rsid w:val="00157904"/>
    <w:rsid w:val="001E6B15"/>
    <w:rsid w:val="003050DA"/>
    <w:rsid w:val="00412ED0"/>
    <w:rsid w:val="004B513D"/>
    <w:rsid w:val="004E1E8D"/>
    <w:rsid w:val="00523A58"/>
    <w:rsid w:val="00531547"/>
    <w:rsid w:val="00561943"/>
    <w:rsid w:val="005F7E59"/>
    <w:rsid w:val="00627E1A"/>
    <w:rsid w:val="006F17AB"/>
    <w:rsid w:val="007B783F"/>
    <w:rsid w:val="007D6185"/>
    <w:rsid w:val="00841FDA"/>
    <w:rsid w:val="008A3DE4"/>
    <w:rsid w:val="008E480D"/>
    <w:rsid w:val="008F241D"/>
    <w:rsid w:val="00943E56"/>
    <w:rsid w:val="009C701A"/>
    <w:rsid w:val="00B11F8B"/>
    <w:rsid w:val="00B633C2"/>
    <w:rsid w:val="00CB3B7B"/>
    <w:rsid w:val="00CE7CAC"/>
    <w:rsid w:val="00D56631"/>
    <w:rsid w:val="00E670E8"/>
    <w:rsid w:val="00F16598"/>
    <w:rsid w:val="00F27705"/>
    <w:rsid w:val="00F96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92DC9"/>
  <w15:docId w15:val="{68337A18-66D9-44AB-AED3-2BF368028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3" w:line="366" w:lineRule="auto"/>
      <w:ind w:left="10" w:right="60" w:hanging="10"/>
      <w:jc w:val="both"/>
    </w:pPr>
    <w:rPr>
      <w:rFonts w:ascii="Arial" w:eastAsia="Arial" w:hAnsi="Arial" w:cs="Arial"/>
      <w:color w:val="000000"/>
    </w:rPr>
  </w:style>
  <w:style w:type="paragraph" w:styleId="Heading1">
    <w:name w:val="heading 1"/>
    <w:next w:val="Normal"/>
    <w:link w:val="Heading1Char"/>
    <w:uiPriority w:val="9"/>
    <w:qFormat/>
    <w:pPr>
      <w:keepNext/>
      <w:keepLines/>
      <w:spacing w:after="263" w:line="265" w:lineRule="auto"/>
      <w:ind w:left="10" w:hanging="10"/>
      <w:outlineLvl w:val="0"/>
    </w:pPr>
    <w:rPr>
      <w:rFonts w:ascii="Arial" w:eastAsia="Arial" w:hAnsi="Arial" w:cs="Arial"/>
      <w:b/>
      <w:color w:val="000000"/>
    </w:rPr>
  </w:style>
  <w:style w:type="paragraph" w:styleId="Heading2">
    <w:name w:val="heading 2"/>
    <w:next w:val="Normal"/>
    <w:link w:val="Heading2Char"/>
    <w:uiPriority w:val="9"/>
    <w:unhideWhenUsed/>
    <w:qFormat/>
    <w:pPr>
      <w:keepNext/>
      <w:keepLines/>
      <w:spacing w:after="263" w:line="265" w:lineRule="auto"/>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22"/>
    </w:rPr>
  </w:style>
  <w:style w:type="paragraph" w:styleId="TOC1">
    <w:name w:val="toc 1"/>
    <w:hidden/>
    <w:pPr>
      <w:spacing w:after="129"/>
      <w:ind w:left="25" w:right="69" w:hanging="10"/>
    </w:pPr>
    <w:rPr>
      <w:rFonts w:ascii="Calibri" w:eastAsia="Calibri" w:hAnsi="Calibri" w:cs="Calibri"/>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17" Type="http://schemas.openxmlformats.org/officeDocument/2006/relationships/hyperlink" Target="https://www.northumberlandgazette.co.uk/news/people/ms-food-hall-at-silverlink-undergoes-facelift-3344507" TargetMode="External"/><Relationship Id="rId21" Type="http://schemas.openxmlformats.org/officeDocument/2006/relationships/hyperlink" Target="https://doi.org/10.1007/978-3-319-94709-9_39" TargetMode="External"/><Relationship Id="rId42" Type="http://schemas.openxmlformats.org/officeDocument/2006/relationships/hyperlink" Target="https://moto-way.com/2015/04/more-ms-simply-food-stores-now-open/" TargetMode="External"/><Relationship Id="rId63" Type="http://schemas.openxmlformats.org/officeDocument/2006/relationships/hyperlink" Target="https://www.liverpoolecho.co.uk/whats-on/shopping/gallery/look-inside-new-ms-foodhall-13999175" TargetMode="External"/><Relationship Id="rId84" Type="http://schemas.openxmlformats.org/officeDocument/2006/relationships/hyperlink" Target="https://doi.org/10.1016/j.jbusres.2015.10.149" TargetMode="External"/><Relationship Id="rId138" Type="http://schemas.openxmlformats.org/officeDocument/2006/relationships/hyperlink" Target="https://doi.org/10.1080/08956308.2021.1843331" TargetMode="External"/><Relationship Id="rId107" Type="http://schemas.openxmlformats.org/officeDocument/2006/relationships/hyperlink" Target="https://www.walesonline.co.uk/whats-on/food-drink-news/inside-wales-newly-refurbished-flagship-23994116.amp" TargetMode="External"/><Relationship Id="rId11" Type="http://schemas.openxmlformats.org/officeDocument/2006/relationships/footer" Target="footer1.xml"/><Relationship Id="rId32" Type="http://schemas.openxmlformats.org/officeDocument/2006/relationships/hyperlink" Target="https://moto-way.com/2015/04/more-ms-simply-food-stores-now-open/" TargetMode="External"/><Relationship Id="rId37" Type="http://schemas.openxmlformats.org/officeDocument/2006/relationships/hyperlink" Target="https://moto-way.com/2015/04/more-ms-simply-food-stores-now-open/" TargetMode="External"/><Relationship Id="rId53" Type="http://schemas.openxmlformats.org/officeDocument/2006/relationships/hyperlink" Target="https://www.liverpoolecho.co.uk/whats-on/shopping/gallery/look-inside-new-ms-foodhall-13999175" TargetMode="External"/><Relationship Id="rId58" Type="http://schemas.openxmlformats.org/officeDocument/2006/relationships/hyperlink" Target="https://www.liverpoolecho.co.uk/whats-on/shopping/gallery/look-inside-new-ms-foodhall-13999175" TargetMode="External"/><Relationship Id="rId74" Type="http://schemas.openxmlformats.org/officeDocument/2006/relationships/hyperlink" Target="https://www.marksandspencer.com/" TargetMode="External"/><Relationship Id="rId79" Type="http://schemas.openxmlformats.org/officeDocument/2006/relationships/hyperlink" Target="https://batterseapowerstation.co.uk/retailers/marks-spencer-food-hall/" TargetMode="External"/><Relationship Id="rId102" Type="http://schemas.openxmlformats.org/officeDocument/2006/relationships/hyperlink" Target="https://www.walesonline.co.uk/whats-on/food-drink-news/inside-wales-newly-refurbished-flagship-23994116.amp" TargetMode="External"/><Relationship Id="rId123" Type="http://schemas.openxmlformats.org/officeDocument/2006/relationships/hyperlink" Target="https://www.northumberlandgazette.co.uk/news/people/ms-food-hall-at-silverlink-undergoes-facelift-3344507" TargetMode="External"/><Relationship Id="rId128" Type="http://schemas.openxmlformats.org/officeDocument/2006/relationships/hyperlink" Target="https://www.northumberlandgazette.co.uk/news/people/ms-food-hall-at-silverlink-undergoes-facelift-3344507" TargetMode="External"/><Relationship Id="rId144" Type="http://schemas.openxmlformats.org/officeDocument/2006/relationships/theme" Target="theme/theme1.xml"/><Relationship Id="rId5" Type="http://schemas.openxmlformats.org/officeDocument/2006/relationships/footnotes" Target="footnotes.xml"/><Relationship Id="rId90" Type="http://schemas.openxmlformats.org/officeDocument/2006/relationships/hyperlink" Target="https://doi.org/10.1016/j.ijproman.2014.08.007" TargetMode="External"/><Relationship Id="rId95" Type="http://schemas.openxmlformats.org/officeDocument/2006/relationships/hyperlink" Target="https://doi.org/10.1016/j.procs.2017.01.055" TargetMode="External"/><Relationship Id="rId22" Type="http://schemas.openxmlformats.org/officeDocument/2006/relationships/hyperlink" Target="https://doi.org/10.1007/978-3-319-94709-9_39" TargetMode="External"/><Relationship Id="rId27" Type="http://schemas.openxmlformats.org/officeDocument/2006/relationships/hyperlink" Target="https://www.usenix.org/system/files/login/articles/310-bookreviews0808.pdf" TargetMode="External"/><Relationship Id="rId43" Type="http://schemas.openxmlformats.org/officeDocument/2006/relationships/hyperlink" Target="https://moto-way.com/2015/04/more-ms-simply-food-stores-now-open/" TargetMode="External"/><Relationship Id="rId48" Type="http://schemas.openxmlformats.org/officeDocument/2006/relationships/hyperlink" Target="https://doi.org/10.1155/2018/4891286" TargetMode="External"/><Relationship Id="rId64" Type="http://schemas.openxmlformats.org/officeDocument/2006/relationships/hyperlink" Target="https://www.liverpoolecho.co.uk/whats-on/shopping/gallery/look-inside-new-ms-foodhall-13999175" TargetMode="External"/><Relationship Id="rId69" Type="http://schemas.openxmlformats.org/officeDocument/2006/relationships/hyperlink" Target="https://books.google.com/books?hl=en&amp;lr=&amp;id=xlASDgAAQBAJ&amp;oi=fnd&amp;pg=PR19&amp;dq=overview+of+project+description+in+project+management&amp;ots=Xc8kTPN5BP&amp;sig=EJCVFilMH5uyMRX7SZyELnMpAS0" TargetMode="External"/><Relationship Id="rId113" Type="http://schemas.openxmlformats.org/officeDocument/2006/relationships/hyperlink" Target="https://www.walesonline.co.uk/whats-on/food-drink-news/inside-wales-newly-refurbished-flagship-23994116.amp" TargetMode="External"/><Relationship Id="rId118" Type="http://schemas.openxmlformats.org/officeDocument/2006/relationships/hyperlink" Target="https://www.northumberlandgazette.co.uk/news/people/ms-food-hall-at-silverlink-undergoes-facelift-3344507" TargetMode="External"/><Relationship Id="rId134" Type="http://schemas.openxmlformats.org/officeDocument/2006/relationships/hyperlink" Target="https://books.google.com/books?hl=en&amp;lr=&amp;id=smwtEAAAQBAJ&amp;oi=fnd&amp;pg=PA47&amp;dq=overview+of+project+management&amp;ots=mW8JoJHciL&amp;sig=yCXXEqQBulGmfAG0iz5URlunYtU" TargetMode="External"/><Relationship Id="rId139" Type="http://schemas.openxmlformats.org/officeDocument/2006/relationships/hyperlink" Target="https://doi.org/10.1080/08956308.2021.1843331" TargetMode="External"/><Relationship Id="rId80" Type="http://schemas.openxmlformats.org/officeDocument/2006/relationships/hyperlink" Target="https://batterseapowerstation.co.uk/retailers/marks-spencer-food-hall/" TargetMode="External"/><Relationship Id="rId85" Type="http://schemas.openxmlformats.org/officeDocument/2006/relationships/hyperlink" Target="https://books.google.com/books?hl=en&amp;lr=&amp;id=ipZXDwAAQBAJ&amp;oi=fnd&amp;pg=PR5&amp;dq=overview+of+project+description+in+project+management&amp;ots=Qxr2qGDHoQ&amp;sig=iaDrBAovS5XxjIBX8XC2ztSAosA" TargetMode="External"/><Relationship Id="rId12" Type="http://schemas.openxmlformats.org/officeDocument/2006/relationships/footer" Target="footer2.xml"/><Relationship Id="rId17" Type="http://schemas.openxmlformats.org/officeDocument/2006/relationships/hyperlink" Target="https://doi.org/10.1007/978-3-319-94709-9_39" TargetMode="External"/><Relationship Id="rId33" Type="http://schemas.openxmlformats.org/officeDocument/2006/relationships/hyperlink" Target="https://moto-way.com/2015/04/more-ms-simply-food-stores-now-open/" TargetMode="External"/><Relationship Id="rId38" Type="http://schemas.openxmlformats.org/officeDocument/2006/relationships/hyperlink" Target="https://moto-way.com/2015/04/more-ms-simply-food-stores-now-open/" TargetMode="External"/><Relationship Id="rId59" Type="http://schemas.openxmlformats.org/officeDocument/2006/relationships/hyperlink" Target="https://www.liverpoolecho.co.uk/whats-on/shopping/gallery/look-inside-new-ms-foodhall-13999175" TargetMode="External"/><Relationship Id="rId103" Type="http://schemas.openxmlformats.org/officeDocument/2006/relationships/hyperlink" Target="https://www.walesonline.co.uk/whats-on/food-drink-news/inside-wales-newly-refurbished-flagship-23994116.amp" TargetMode="External"/><Relationship Id="rId108" Type="http://schemas.openxmlformats.org/officeDocument/2006/relationships/hyperlink" Target="https://www.walesonline.co.uk/whats-on/food-drink-news/inside-wales-newly-refurbished-flagship-23994116.amp" TargetMode="External"/><Relationship Id="rId124" Type="http://schemas.openxmlformats.org/officeDocument/2006/relationships/hyperlink" Target="https://www.northumberlandgazette.co.uk/news/people/ms-food-hall-at-silverlink-undergoes-facelift-3344507" TargetMode="External"/><Relationship Id="rId129" Type="http://schemas.openxmlformats.org/officeDocument/2006/relationships/hyperlink" Target="https://www.northumberlandgazette.co.uk/news/people/ms-food-hall-at-silverlink-undergoes-facelift-3344507" TargetMode="External"/><Relationship Id="rId54" Type="http://schemas.openxmlformats.org/officeDocument/2006/relationships/hyperlink" Target="https://www.liverpoolecho.co.uk/whats-on/shopping/gallery/look-inside-new-ms-foodhall-13999175" TargetMode="External"/><Relationship Id="rId70" Type="http://schemas.openxmlformats.org/officeDocument/2006/relationships/hyperlink" Target="https://books.google.com/books?hl=en&amp;lr=&amp;id=xlASDgAAQBAJ&amp;oi=fnd&amp;pg=PR19&amp;dq=overview+of+project+description+in+project+management&amp;ots=Xc8kTPN5BP&amp;sig=EJCVFilMH5uyMRX7SZyELnMpAS0" TargetMode="External"/><Relationship Id="rId75" Type="http://schemas.openxmlformats.org/officeDocument/2006/relationships/hyperlink" Target="https://batterseapowerstation.co.uk/retailers/marks-spencer-food-hall/" TargetMode="External"/><Relationship Id="rId91" Type="http://schemas.openxmlformats.org/officeDocument/2006/relationships/hyperlink" Target="https://doi.org/10.1145/3345035.3345085" TargetMode="External"/><Relationship Id="rId96" Type="http://schemas.openxmlformats.org/officeDocument/2006/relationships/hyperlink" Target="https://doi.org/10.1016/j.procs.2017.01.055" TargetMode="External"/><Relationship Id="rId140" Type="http://schemas.openxmlformats.org/officeDocument/2006/relationships/footer" Target="footer4.xm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doi.org/10.1007/978-3-319-94709-9_39" TargetMode="External"/><Relationship Id="rId28" Type="http://schemas.openxmlformats.org/officeDocument/2006/relationships/hyperlink" Target="https://www.usenix.org/system/files/login/articles/310-bookreviews0808.pdf" TargetMode="External"/><Relationship Id="rId49" Type="http://schemas.openxmlformats.org/officeDocument/2006/relationships/hyperlink" Target="https://doi.org/10.1002/pmj.21546" TargetMode="External"/><Relationship Id="rId114" Type="http://schemas.openxmlformats.org/officeDocument/2006/relationships/hyperlink" Target="https://www.walesonline.co.uk/whats-on/food-drink-news/inside-wales-newly-refurbished-flagship-23994116.amp" TargetMode="External"/><Relationship Id="rId119" Type="http://schemas.openxmlformats.org/officeDocument/2006/relationships/hyperlink" Target="https://www.northumberlandgazette.co.uk/news/people/ms-food-hall-at-silverlink-undergoes-facelift-3344507" TargetMode="External"/><Relationship Id="rId44" Type="http://schemas.openxmlformats.org/officeDocument/2006/relationships/hyperlink" Target="https://moto-way.com/2015/04/more-ms-simply-food-stores-now-open/" TargetMode="External"/><Relationship Id="rId60" Type="http://schemas.openxmlformats.org/officeDocument/2006/relationships/hyperlink" Target="https://www.liverpoolecho.co.uk/whats-on/shopping/gallery/look-inside-new-ms-foodhall-13999175" TargetMode="External"/><Relationship Id="rId65" Type="http://schemas.openxmlformats.org/officeDocument/2006/relationships/hyperlink" Target="https://www.liverpoolecho.co.uk/whats-on/shopping/gallery/look-inside-new-ms-foodhall-13999175" TargetMode="External"/><Relationship Id="rId81" Type="http://schemas.openxmlformats.org/officeDocument/2006/relationships/hyperlink" Target="https://batterseapowerstation.co.uk/retailers/marks-spencer-food-hall/" TargetMode="External"/><Relationship Id="rId86" Type="http://schemas.openxmlformats.org/officeDocument/2006/relationships/hyperlink" Target="https://books.google.com/books?hl=en&amp;lr=&amp;id=ipZXDwAAQBAJ&amp;oi=fnd&amp;pg=PR5&amp;dq=overview+of+project+description+in+project+management&amp;ots=Qxr2qGDHoQ&amp;sig=iaDrBAovS5XxjIBX8XC2ztSAosA" TargetMode="External"/><Relationship Id="rId130" Type="http://schemas.openxmlformats.org/officeDocument/2006/relationships/hyperlink" Target="https://www.northumberlandgazette.co.uk/news/people/ms-food-hall-at-silverlink-undergoes-facelift-3344507" TargetMode="External"/><Relationship Id="rId135" Type="http://schemas.openxmlformats.org/officeDocument/2006/relationships/hyperlink" Target="https://books.google.com/books?hl=en&amp;lr=&amp;id=smwtEAAAQBAJ&amp;oi=fnd&amp;pg=PA47&amp;dq=overview+of+project+management&amp;ots=mW8JoJHciL&amp;sig=yCXXEqQBulGmfAG0iz5URlunYtU" TargetMode="External"/><Relationship Id="rId13" Type="http://schemas.openxmlformats.org/officeDocument/2006/relationships/footer" Target="footer3.xml"/><Relationship Id="rId18" Type="http://schemas.openxmlformats.org/officeDocument/2006/relationships/hyperlink" Target="https://doi.org/10.1007/978-3-319-94709-9_39" TargetMode="External"/><Relationship Id="rId39" Type="http://schemas.openxmlformats.org/officeDocument/2006/relationships/hyperlink" Target="https://moto-way.com/2015/04/more-ms-simply-food-stores-now-open/" TargetMode="External"/><Relationship Id="rId109" Type="http://schemas.openxmlformats.org/officeDocument/2006/relationships/hyperlink" Target="https://www.walesonline.co.uk/whats-on/food-drink-news/inside-wales-newly-refurbished-flagship-23994116.amp" TargetMode="External"/><Relationship Id="rId34" Type="http://schemas.openxmlformats.org/officeDocument/2006/relationships/hyperlink" Target="https://moto-way.com/2015/04/more-ms-simply-food-stores-now-open/" TargetMode="External"/><Relationship Id="rId50" Type="http://schemas.openxmlformats.org/officeDocument/2006/relationships/hyperlink" Target="https://doi.org/10.1002/pmj.21546" TargetMode="External"/><Relationship Id="rId55" Type="http://schemas.openxmlformats.org/officeDocument/2006/relationships/hyperlink" Target="https://www.liverpoolecho.co.uk/whats-on/shopping/gallery/look-inside-new-ms-foodhall-13999175" TargetMode="External"/><Relationship Id="rId76" Type="http://schemas.openxmlformats.org/officeDocument/2006/relationships/hyperlink" Target="https://batterseapowerstation.co.uk/retailers/marks-spencer-food-hall/" TargetMode="External"/><Relationship Id="rId97" Type="http://schemas.openxmlformats.org/officeDocument/2006/relationships/hyperlink" Target="https://www.walesonline.co.uk/whats-on/food-drink-news/inside-wales-newly-refurbished-flagship-23994116.amp" TargetMode="External"/><Relationship Id="rId104" Type="http://schemas.openxmlformats.org/officeDocument/2006/relationships/hyperlink" Target="https://www.walesonline.co.uk/whats-on/food-drink-news/inside-wales-newly-refurbished-flagship-23994116.amp" TargetMode="External"/><Relationship Id="rId120" Type="http://schemas.openxmlformats.org/officeDocument/2006/relationships/hyperlink" Target="https://www.northumberlandgazette.co.uk/news/people/ms-food-hall-at-silverlink-undergoes-facelift-3344507" TargetMode="External"/><Relationship Id="rId125" Type="http://schemas.openxmlformats.org/officeDocument/2006/relationships/hyperlink" Target="https://www.northumberlandgazette.co.uk/news/people/ms-food-hall-at-silverlink-undergoes-facelift-3344507" TargetMode="External"/><Relationship Id="rId141" Type="http://schemas.openxmlformats.org/officeDocument/2006/relationships/footer" Target="footer5.xml"/><Relationship Id="rId7" Type="http://schemas.openxmlformats.org/officeDocument/2006/relationships/image" Target="media/image1.png"/><Relationship Id="rId71" Type="http://schemas.openxmlformats.org/officeDocument/2006/relationships/hyperlink" Target="https://books.google.com/books?hl=en&amp;lr=&amp;id=xlASDgAAQBAJ&amp;oi=fnd&amp;pg=PR19&amp;dq=overview+of+project+description+in+project+management&amp;ots=Xc8kTPN5BP&amp;sig=EJCVFilMH5uyMRX7SZyELnMpAS0" TargetMode="External"/><Relationship Id="rId92" Type="http://schemas.openxmlformats.org/officeDocument/2006/relationships/hyperlink" Target="https://doi.org/10.1145/3345035.3345085" TargetMode="External"/><Relationship Id="rId2" Type="http://schemas.openxmlformats.org/officeDocument/2006/relationships/styles" Target="styles.xml"/><Relationship Id="rId29" Type="http://schemas.openxmlformats.org/officeDocument/2006/relationships/hyperlink" Target="https://doi.org/10.1080/08956308.2018.1421380" TargetMode="External"/><Relationship Id="rId24" Type="http://schemas.openxmlformats.org/officeDocument/2006/relationships/hyperlink" Target="https://doi.org/10.1007/978-3-319-94709-9_39" TargetMode="External"/><Relationship Id="rId40" Type="http://schemas.openxmlformats.org/officeDocument/2006/relationships/hyperlink" Target="https://moto-way.com/2015/04/more-ms-simply-food-stores-now-open/" TargetMode="External"/><Relationship Id="rId45" Type="http://schemas.openxmlformats.org/officeDocument/2006/relationships/hyperlink" Target="https://moto-way.com/2015/04/more-ms-simply-food-stores-now-open/" TargetMode="External"/><Relationship Id="rId66" Type="http://schemas.openxmlformats.org/officeDocument/2006/relationships/hyperlink" Target="https://www.liverpoolecho.co.uk/whats-on/shopping/gallery/look-inside-new-ms-foodhall-13999175" TargetMode="External"/><Relationship Id="rId87" Type="http://schemas.openxmlformats.org/officeDocument/2006/relationships/hyperlink" Target="https://books.google.com/books?hl=en&amp;lr=&amp;id=ipZXDwAAQBAJ&amp;oi=fnd&amp;pg=PR5&amp;dq=overview+of+project+description+in+project+management&amp;ots=Qxr2qGDHoQ&amp;sig=iaDrBAovS5XxjIBX8XC2ztSAosA" TargetMode="External"/><Relationship Id="rId110" Type="http://schemas.openxmlformats.org/officeDocument/2006/relationships/hyperlink" Target="https://www.walesonline.co.uk/whats-on/food-drink-news/inside-wales-newly-refurbished-flagship-23994116.amp" TargetMode="External"/><Relationship Id="rId115" Type="http://schemas.openxmlformats.org/officeDocument/2006/relationships/hyperlink" Target="https://www.northumberlandgazette.co.uk/news/people/ms-food-hall-at-silverlink-undergoes-facelift-3344507" TargetMode="External"/><Relationship Id="rId131" Type="http://schemas.openxmlformats.org/officeDocument/2006/relationships/hyperlink" Target="https://doi.org/10.1016/j.ijproman.2014.06.004" TargetMode="External"/><Relationship Id="rId136" Type="http://schemas.openxmlformats.org/officeDocument/2006/relationships/hyperlink" Target="https://doi.org/10.5762/KAIS.2018.19.4.77" TargetMode="External"/><Relationship Id="rId61" Type="http://schemas.openxmlformats.org/officeDocument/2006/relationships/hyperlink" Target="https://www.liverpoolecho.co.uk/whats-on/shopping/gallery/look-inside-new-ms-foodhall-13999175" TargetMode="External"/><Relationship Id="rId82" Type="http://schemas.openxmlformats.org/officeDocument/2006/relationships/hyperlink" Target="https://batterseapowerstation.co.uk/retailers/marks-spencer-food-hall/" TargetMode="External"/><Relationship Id="rId19" Type="http://schemas.openxmlformats.org/officeDocument/2006/relationships/hyperlink" Target="https://doi.org/10.1007/978-3-319-94709-9_39" TargetMode="External"/><Relationship Id="rId14" Type="http://schemas.openxmlformats.org/officeDocument/2006/relationships/hyperlink" Target="https://doi.org/10.3390/su11092664" TargetMode="External"/><Relationship Id="rId30" Type="http://schemas.openxmlformats.org/officeDocument/2006/relationships/hyperlink" Target="https://doi.org/10.1080/08956308.2018.1421380" TargetMode="External"/><Relationship Id="rId35" Type="http://schemas.openxmlformats.org/officeDocument/2006/relationships/hyperlink" Target="https://moto-way.com/2015/04/more-ms-simply-food-stores-now-open/" TargetMode="External"/><Relationship Id="rId56" Type="http://schemas.openxmlformats.org/officeDocument/2006/relationships/hyperlink" Target="https://www.liverpoolecho.co.uk/whats-on/shopping/gallery/look-inside-new-ms-foodhall-13999175" TargetMode="External"/><Relationship Id="rId77" Type="http://schemas.openxmlformats.org/officeDocument/2006/relationships/hyperlink" Target="https://batterseapowerstation.co.uk/retailers/marks-spencer-food-hall/" TargetMode="External"/><Relationship Id="rId100" Type="http://schemas.openxmlformats.org/officeDocument/2006/relationships/hyperlink" Target="https://www.walesonline.co.uk/whats-on/food-drink-news/inside-wales-newly-refurbished-flagship-23994116.amp" TargetMode="External"/><Relationship Id="rId105" Type="http://schemas.openxmlformats.org/officeDocument/2006/relationships/hyperlink" Target="https://www.walesonline.co.uk/whats-on/food-drink-news/inside-wales-newly-refurbished-flagship-23994116.amp" TargetMode="External"/><Relationship Id="rId126" Type="http://schemas.openxmlformats.org/officeDocument/2006/relationships/hyperlink" Target="https://www.northumberlandgazette.co.uk/news/people/ms-food-hall-at-silverlink-undergoes-facelift-3344507" TargetMode="External"/><Relationship Id="rId8" Type="http://schemas.openxmlformats.org/officeDocument/2006/relationships/image" Target="media/image2.png"/><Relationship Id="rId51" Type="http://schemas.openxmlformats.org/officeDocument/2006/relationships/hyperlink" Target="https://doi.org/10.1016/j.ijproman.2014.09.006" TargetMode="External"/><Relationship Id="rId72" Type="http://schemas.openxmlformats.org/officeDocument/2006/relationships/hyperlink" Target="https://books.google.com/books?hl=en&amp;lr=&amp;id=xlASDgAAQBAJ&amp;oi=fnd&amp;pg=PR19&amp;dq=overview+of+project+description+in+project+management&amp;ots=Xc8kTPN5BP&amp;sig=EJCVFilMH5uyMRX7SZyELnMpAS0" TargetMode="External"/><Relationship Id="rId93" Type="http://schemas.openxmlformats.org/officeDocument/2006/relationships/hyperlink" Target="https://doi.org/10.1016/j.proeng.2017.08.048" TargetMode="External"/><Relationship Id="rId98" Type="http://schemas.openxmlformats.org/officeDocument/2006/relationships/hyperlink" Target="https://www.walesonline.co.uk/whats-on/food-drink-news/inside-wales-newly-refurbished-flagship-23994116.amp" TargetMode="External"/><Relationship Id="rId121" Type="http://schemas.openxmlformats.org/officeDocument/2006/relationships/hyperlink" Target="https://www.northumberlandgazette.co.uk/news/people/ms-food-hall-at-silverlink-undergoes-facelift-3344507" TargetMode="External"/><Relationship Id="rId142" Type="http://schemas.openxmlformats.org/officeDocument/2006/relationships/footer" Target="footer6.xml"/><Relationship Id="rId3" Type="http://schemas.openxmlformats.org/officeDocument/2006/relationships/settings" Target="settings.xml"/><Relationship Id="rId25" Type="http://schemas.openxmlformats.org/officeDocument/2006/relationships/hyperlink" Target="https://www.usenix.org/system/files/login/articles/310-bookreviews0808.pdf" TargetMode="External"/><Relationship Id="rId46" Type="http://schemas.openxmlformats.org/officeDocument/2006/relationships/hyperlink" Target="https://moto-way.com/2015/04/more-ms-simply-food-stores-now-open/" TargetMode="External"/><Relationship Id="rId67" Type="http://schemas.openxmlformats.org/officeDocument/2006/relationships/hyperlink" Target="https://doi.org/10.1016/j.ijproman.2014.03.002" TargetMode="External"/><Relationship Id="rId116" Type="http://schemas.openxmlformats.org/officeDocument/2006/relationships/hyperlink" Target="https://www.northumberlandgazette.co.uk/news/people/ms-food-hall-at-silverlink-undergoes-facelift-3344507" TargetMode="External"/><Relationship Id="rId137" Type="http://schemas.openxmlformats.org/officeDocument/2006/relationships/hyperlink" Target="https://doi.org/10.5762/KAIS.2018.19.4.77" TargetMode="External"/><Relationship Id="rId20" Type="http://schemas.openxmlformats.org/officeDocument/2006/relationships/hyperlink" Target="https://doi.org/10.1007/978-3-319-94709-9_39" TargetMode="External"/><Relationship Id="rId41" Type="http://schemas.openxmlformats.org/officeDocument/2006/relationships/hyperlink" Target="https://moto-way.com/2015/04/more-ms-simply-food-stores-now-open/" TargetMode="External"/><Relationship Id="rId62" Type="http://schemas.openxmlformats.org/officeDocument/2006/relationships/hyperlink" Target="https://www.liverpoolecho.co.uk/whats-on/shopping/gallery/look-inside-new-ms-foodhall-13999175" TargetMode="External"/><Relationship Id="rId83" Type="http://schemas.openxmlformats.org/officeDocument/2006/relationships/hyperlink" Target="https://doi.org/10.1016/j.jbusres.2015.10.149" TargetMode="External"/><Relationship Id="rId88" Type="http://schemas.openxmlformats.org/officeDocument/2006/relationships/hyperlink" Target="https://books.google.com/books?hl=en&amp;lr=&amp;id=ipZXDwAAQBAJ&amp;oi=fnd&amp;pg=PR5&amp;dq=overview+of+project+description+in+project+management&amp;ots=Qxr2qGDHoQ&amp;sig=iaDrBAovS5XxjIBX8XC2ztSAosA" TargetMode="External"/><Relationship Id="rId111" Type="http://schemas.openxmlformats.org/officeDocument/2006/relationships/hyperlink" Target="https://www.walesonline.co.uk/whats-on/food-drink-news/inside-wales-newly-refurbished-flagship-23994116.amp" TargetMode="External"/><Relationship Id="rId132" Type="http://schemas.openxmlformats.org/officeDocument/2006/relationships/hyperlink" Target="https://doi.org/10.1016/j.ijproman.2014.06.004" TargetMode="External"/><Relationship Id="rId15" Type="http://schemas.openxmlformats.org/officeDocument/2006/relationships/hyperlink" Target="https://doi.org/10.3390/su11092664" TargetMode="External"/><Relationship Id="rId36" Type="http://schemas.openxmlformats.org/officeDocument/2006/relationships/hyperlink" Target="https://moto-way.com/2015/04/more-ms-simply-food-stores-now-open/" TargetMode="External"/><Relationship Id="rId57" Type="http://schemas.openxmlformats.org/officeDocument/2006/relationships/hyperlink" Target="https://www.liverpoolecho.co.uk/whats-on/shopping/gallery/look-inside-new-ms-foodhall-13999175" TargetMode="External"/><Relationship Id="rId106" Type="http://schemas.openxmlformats.org/officeDocument/2006/relationships/hyperlink" Target="https://www.walesonline.co.uk/whats-on/food-drink-news/inside-wales-newly-refurbished-flagship-23994116.amp" TargetMode="External"/><Relationship Id="rId127" Type="http://schemas.openxmlformats.org/officeDocument/2006/relationships/hyperlink" Target="https://www.northumberlandgazette.co.uk/news/people/ms-food-hall-at-silverlink-undergoes-facelift-3344507" TargetMode="External"/><Relationship Id="rId10" Type="http://schemas.openxmlformats.org/officeDocument/2006/relationships/image" Target="media/image4.png"/><Relationship Id="rId31" Type="http://schemas.openxmlformats.org/officeDocument/2006/relationships/hyperlink" Target="https://moto-way.com/2015/04/more-ms-simply-food-stores-now-open/" TargetMode="External"/><Relationship Id="rId52" Type="http://schemas.openxmlformats.org/officeDocument/2006/relationships/hyperlink" Target="https://doi.org/10.1016/j.ijproman.2014.09.006" TargetMode="External"/><Relationship Id="rId73" Type="http://schemas.openxmlformats.org/officeDocument/2006/relationships/hyperlink" Target="https://www.marksandspencer.com/" TargetMode="External"/><Relationship Id="rId78" Type="http://schemas.openxmlformats.org/officeDocument/2006/relationships/hyperlink" Target="https://batterseapowerstation.co.uk/retailers/marks-spencer-food-hall/" TargetMode="External"/><Relationship Id="rId94" Type="http://schemas.openxmlformats.org/officeDocument/2006/relationships/hyperlink" Target="https://doi.org/10.1016/j.proeng.2017.08.048" TargetMode="External"/><Relationship Id="rId99" Type="http://schemas.openxmlformats.org/officeDocument/2006/relationships/hyperlink" Target="https://www.walesonline.co.uk/whats-on/food-drink-news/inside-wales-newly-refurbished-flagship-23994116.amp" TargetMode="External"/><Relationship Id="rId101" Type="http://schemas.openxmlformats.org/officeDocument/2006/relationships/hyperlink" Target="https://www.walesonline.co.uk/whats-on/food-drink-news/inside-wales-newly-refurbished-flagship-23994116.amp" TargetMode="External"/><Relationship Id="rId122" Type="http://schemas.openxmlformats.org/officeDocument/2006/relationships/hyperlink" Target="https://www.northumberlandgazette.co.uk/news/people/ms-food-hall-at-silverlink-undergoes-facelift-3344507" TargetMode="External"/><Relationship Id="rId143"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26" Type="http://schemas.openxmlformats.org/officeDocument/2006/relationships/hyperlink" Target="https://www.usenix.org/system/files/login/articles/310-bookreviews0808.pdf" TargetMode="External"/><Relationship Id="rId47" Type="http://schemas.openxmlformats.org/officeDocument/2006/relationships/hyperlink" Target="https://doi.org/10.1155/2018/4891286" TargetMode="External"/><Relationship Id="rId68" Type="http://schemas.openxmlformats.org/officeDocument/2006/relationships/hyperlink" Target="https://doi.org/10.1016/j.ijproman.2014.03.002" TargetMode="External"/><Relationship Id="rId89" Type="http://schemas.openxmlformats.org/officeDocument/2006/relationships/hyperlink" Target="https://doi.org/10.1016/j.ijproman.2014.08.007" TargetMode="External"/><Relationship Id="rId112" Type="http://schemas.openxmlformats.org/officeDocument/2006/relationships/hyperlink" Target="https://www.walesonline.co.uk/whats-on/food-drink-news/inside-wales-newly-refurbished-flagship-23994116.amp" TargetMode="External"/><Relationship Id="rId133" Type="http://schemas.openxmlformats.org/officeDocument/2006/relationships/hyperlink" Target="https://books.google.com/books?hl=en&amp;lr=&amp;id=smwtEAAAQBAJ&amp;oi=fnd&amp;pg=PA47&amp;dq=overview+of+project+management&amp;ots=mW8JoJHciL&amp;sig=yCXXEqQBulGmfAG0iz5URlunYtU" TargetMode="External"/><Relationship Id="rId16" Type="http://schemas.openxmlformats.org/officeDocument/2006/relationships/hyperlink" Target="https://doi.org/10.1007/978-3-319-94709-9_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18</Pages>
  <Words>5716</Words>
  <Characters>32582</Characters>
  <Application>Microsoft Office Word</Application>
  <DocSecurity>0</DocSecurity>
  <Lines>271</Lines>
  <Paragraphs>76</Paragraphs>
  <ScaleCrop>false</ScaleCrop>
  <Company/>
  <LinksUpToDate>false</LinksUpToDate>
  <CharactersWithSpaces>38222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oladipupoadesinaadeyinka@gmail.com</dc:creator>
  <cp:keywords/>
  <cp:lastModifiedBy>Aminat Morakinyo</cp:lastModifiedBy>
  <cp:revision>2</cp:revision>
  <dcterms:created xsi:type="dcterms:W3CDTF">2023-05-02T12:14:00Z</dcterms:created>
  <dcterms:modified xsi:type="dcterms:W3CDTF">2023-05-02T12:14:00Z</dcterms:modified>
</cp:coreProperties>
</file>