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8"/>
      </w:tblGrid>
      <w:tr w:rsidR="00F927A1" w:rsidRPr="005D3F07" w14:paraId="68CAA39D" w14:textId="77777777" w:rsidTr="0004005C">
        <w:trPr>
          <w:trHeight w:val="4608"/>
        </w:trPr>
        <w:tc>
          <w:tcPr>
            <w:tcW w:w="10898" w:type="dxa"/>
          </w:tcPr>
          <w:p w14:paraId="02F8EE88" w14:textId="244A0E3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D304E">
              <w:rPr>
                <w:rFonts w:ascii="Times New Roman" w:hAnsi="Times New Roman" w:cs="Times New Roman"/>
                <w:b/>
                <w:color w:val="auto"/>
                <w:sz w:val="48"/>
              </w:rPr>
              <w:t>Mandy Hughes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46DD4E2B" w:rsidR="00986B43" w:rsidRDefault="00CD7BEE" w:rsidP="005D3F07">
            <w:pPr>
              <w:overflowPunct/>
              <w:autoSpaceDE/>
              <w:autoSpaceDN/>
              <w:adjustRightInd/>
              <w:ind w:right="-957"/>
              <w:textAlignment w:val="auto"/>
              <w:rPr>
                <w:rFonts w:ascii="Times New Roman" w:hAnsi="Times New Roman" w:cs="Times New Roman"/>
                <w:b/>
                <w:color w:val="auto"/>
                <w:sz w:val="48"/>
              </w:rPr>
            </w:pPr>
            <w:hyperlink r:id="rId11" w:history="1">
              <w:r w:rsidRPr="00C96890">
                <w:rPr>
                  <w:rStyle w:val="Hyperlink"/>
                  <w:rFonts w:ascii="Times New Roman" w:hAnsi="Times New Roman" w:cs="Times New Roman"/>
                  <w:b/>
                  <w:sz w:val="48"/>
                </w:rPr>
                <w:t>mandyhughes2@ynysmon.llyw.cymru</w:t>
              </w:r>
            </w:hyperlink>
          </w:p>
          <w:p w14:paraId="467CD592" w14:textId="77777777" w:rsidR="00EB5A0E" w:rsidRDefault="00EB5A0E" w:rsidP="005D3F07">
            <w:pPr>
              <w:overflowPunct/>
              <w:autoSpaceDE/>
              <w:autoSpaceDN/>
              <w:adjustRightInd/>
              <w:ind w:right="-957"/>
              <w:textAlignment w:val="auto"/>
              <w:rPr>
                <w:rFonts w:ascii="Times New Roman" w:hAnsi="Times New Roman" w:cs="Times New Roman"/>
                <w:b/>
                <w:color w:val="auto"/>
                <w:sz w:val="48"/>
              </w:rPr>
            </w:pPr>
          </w:p>
          <w:p w14:paraId="0DE696B2" w14:textId="6E856D0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4005C">
              <w:t xml:space="preserve"> </w:t>
            </w:r>
            <w:r w:rsidR="0004005C" w:rsidRPr="0004005C">
              <w:rPr>
                <w:rFonts w:ascii="Times New Roman" w:hAnsi="Times New Roman" w:cs="Times New Roman"/>
                <w:b/>
                <w:color w:val="auto"/>
                <w:sz w:val="48"/>
              </w:rPr>
              <w:t>2421174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0B2CB6ED" w14:textId="77777777" w:rsidR="00357B65" w:rsidRPr="00357B65" w:rsidRDefault="00357B65" w:rsidP="00357B65">
            <w:pPr>
              <w:spacing w:line="276" w:lineRule="auto"/>
              <w:jc w:val="both"/>
              <w:rPr>
                <w:rFonts w:ascii="Times New Roman" w:hAnsi="Times New Roman" w:cs="Times New Roman"/>
                <w:iCs/>
                <w:sz w:val="24"/>
                <w:szCs w:val="24"/>
              </w:rPr>
            </w:pPr>
          </w:p>
          <w:p w14:paraId="4D724863"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This assignment provides a critical reflection on a case study arising from my involvement in responding to an adult safeguarding concern. It begins with a concise overview of the case before examining its relevance to safeguarding law and practice. The discussion demonstrates my understanding of the key legislative framework underpinning my role, particularly the Social Services and Well‑being (Wales) Act 2014 (SSWBA), supported by Working Together to Safeguard People: Volume 6, Handling Individual Cases to Protect Adults at Risk.  In addition, the reflection considers how associated legislation, policies, procedures, professional standards, theories, and statutory guidance informed assessment and decision‑making throughout the intervention (Pacey, 2025).</w:t>
            </w:r>
          </w:p>
          <w:p w14:paraId="344FD0D6" w14:textId="77777777" w:rsidR="00357B65" w:rsidRPr="00357B65" w:rsidRDefault="00357B65" w:rsidP="00357B65">
            <w:pPr>
              <w:spacing w:line="276" w:lineRule="auto"/>
              <w:jc w:val="both"/>
              <w:rPr>
                <w:rFonts w:ascii="Times New Roman" w:hAnsi="Times New Roman" w:cs="Times New Roman"/>
                <w:iCs/>
                <w:sz w:val="24"/>
                <w:szCs w:val="24"/>
              </w:rPr>
            </w:pPr>
          </w:p>
          <w:p w14:paraId="750B7788"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In line with the Code of Professional Practice for Social Care and the SSWBA 2014 principles, all individuals have been anonymised to protect identity and uphold confidentiality. The adult will be referred to as “3’’.</w:t>
            </w:r>
          </w:p>
          <w:p w14:paraId="53F59BC9" w14:textId="77777777" w:rsidR="00357B65" w:rsidRPr="00357B65" w:rsidRDefault="00357B65" w:rsidP="00357B65">
            <w:pPr>
              <w:spacing w:line="276" w:lineRule="auto"/>
              <w:jc w:val="both"/>
              <w:rPr>
                <w:rFonts w:ascii="Times New Roman" w:hAnsi="Times New Roman" w:cs="Times New Roman"/>
                <w:iCs/>
                <w:sz w:val="24"/>
                <w:szCs w:val="24"/>
              </w:rPr>
            </w:pPr>
          </w:p>
          <w:p w14:paraId="10663FC5"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 xml:space="preserve">3 is a Welsh‑speaking woman in her seventies who has lived in Wales throughout her life and has not previously been involved with statutory social care services. She resides with her daughter in a rural area. She presents with physical health needs, apparent frailty and emerging memory concerns, factors indicating possible care and support needs and warranting proportionate assessment under the SSWBA </w:t>
            </w:r>
            <w:r w:rsidRPr="00357B65">
              <w:rPr>
                <w:rFonts w:ascii="Times New Roman" w:hAnsi="Times New Roman" w:cs="Times New Roman"/>
                <w:iCs/>
                <w:sz w:val="24"/>
                <w:szCs w:val="24"/>
              </w:rPr>
              <w:lastRenderedPageBreak/>
              <w:t>(2014). At present, informal care is provided by her daughter and a neighbour who is a close friend, reflective of the Act’s emphasis on well‑being, prevention and the role of families and communities.</w:t>
            </w:r>
          </w:p>
          <w:p w14:paraId="3DA92290" w14:textId="77777777" w:rsidR="00357B65" w:rsidRPr="00357B65" w:rsidRDefault="00357B65" w:rsidP="00357B65">
            <w:pPr>
              <w:spacing w:line="276" w:lineRule="auto"/>
              <w:jc w:val="both"/>
              <w:rPr>
                <w:rFonts w:ascii="Times New Roman" w:hAnsi="Times New Roman" w:cs="Times New Roman"/>
                <w:iCs/>
                <w:sz w:val="24"/>
                <w:szCs w:val="24"/>
              </w:rPr>
            </w:pPr>
          </w:p>
          <w:p w14:paraId="1C9FB86B"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3 has a brother whom she speaks with daily by telephone, he lives in South of England. He travelled from his home after becoming concerned during a recent conversation. As a result, he contacted the relevant local authority to report allegations that 3 was experiencing verbal and physical abuse by her daughter. These concerns were informed by his discussions with 3 and her neighbour who provides daily support and had observed unexplained bruising observed on 3’s arms, although 3 did not make any disclosures against her daughter. 3’s daughter was known to the police due to involvement with illegal substance use and had previously been found in possession of controlled drugs on several occasions. She had also been arrested in connection with an alleged assault; however, the case did not proceed due to insufficient evidence. While the daughter remained registered as living at 3’s address, it was reported that over the previous six months she had spent increasing amounts of time residing with a new partner in a neighbouring village, returning to see 3 roughly every three days.</w:t>
            </w:r>
          </w:p>
          <w:p w14:paraId="3672AD00" w14:textId="77777777" w:rsidR="00357B65" w:rsidRPr="00357B65" w:rsidRDefault="00357B65" w:rsidP="00357B65">
            <w:pPr>
              <w:spacing w:line="276" w:lineRule="auto"/>
              <w:jc w:val="both"/>
              <w:rPr>
                <w:rFonts w:ascii="Times New Roman" w:hAnsi="Times New Roman" w:cs="Times New Roman"/>
                <w:iCs/>
                <w:sz w:val="24"/>
                <w:szCs w:val="24"/>
              </w:rPr>
            </w:pPr>
          </w:p>
          <w:p w14:paraId="6863A174"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Considering the information available, 3 was identified as an adult at risk under the safeguarding procedures, and a safeguarding referral was completed. 3 was informed that this referral was being made, in line with the Wales Safeguarding Procedures, which emphasise that individuals should be involved in safeguarding processes wherever it is safe and appropriate to do so (Wales Safeguarding Procedures Project Board, 2019). This is important because the SSWBA (2014) places the individual at the centre of all safeguarding activity, requiring practitioners to promote voice, choice, and control and to ensure that people are supported to participate in decisions about their own safety and well‑being (Welsh Government, 2014).  In the context of this case, sharing information with 3 and involving them in the referral process helped ensure transparency, supported their understanding of the concerns raised, and enabled them to express their wishes and desired outcomes. This person‑centred approach aligns with the statutory expectation that safeguarding interventions should be proportionate, collaborative, and focused on promoting the individual’s well‑being.</w:t>
            </w:r>
          </w:p>
          <w:p w14:paraId="5135D1C8" w14:textId="77777777" w:rsidR="00357B65" w:rsidRPr="00357B65" w:rsidRDefault="00357B65" w:rsidP="00357B65">
            <w:pPr>
              <w:spacing w:line="276" w:lineRule="auto"/>
              <w:jc w:val="both"/>
              <w:rPr>
                <w:rFonts w:ascii="Times New Roman" w:hAnsi="Times New Roman" w:cs="Times New Roman"/>
                <w:iCs/>
                <w:sz w:val="24"/>
                <w:szCs w:val="24"/>
              </w:rPr>
            </w:pPr>
          </w:p>
          <w:p w14:paraId="18BDBC0D"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The SSWBA (2014), brought together a wide range of previous social care laws into one coherent system when it was implemented in April 2016, creating a single legal framework for how care and support should be delivered across Wales (Welsh Government, 2014; Welsh Government, 2016). According to Welsh Government and Social Care Wales overviews, the Act was introduced to modernize social care legislation, strengthen consistency, and place a greater emphasis on the outcomes people want to achieve in their lives. (Social Care Wales, 2016; Seddon, Toms and Verity, 2021).   It sets clear duties for local authorities and partners to assess needs, plan support, safeguard people and work together. Its core principles, giving people a genuine voice in decisions, preventing needs from escalating, promoting well‑being, working in partnership, and coordinating across services create a distinctly person‑centred, outcomes‑focused approach that underpins social work practice in Wales.</w:t>
            </w:r>
          </w:p>
          <w:p w14:paraId="41E402C2" w14:textId="77777777" w:rsidR="00357B65" w:rsidRPr="00357B65" w:rsidRDefault="00357B65" w:rsidP="00357B65">
            <w:pPr>
              <w:spacing w:line="276" w:lineRule="auto"/>
              <w:jc w:val="both"/>
              <w:rPr>
                <w:rFonts w:ascii="Times New Roman" w:hAnsi="Times New Roman" w:cs="Times New Roman"/>
                <w:iCs/>
                <w:sz w:val="24"/>
                <w:szCs w:val="24"/>
              </w:rPr>
            </w:pPr>
          </w:p>
          <w:p w14:paraId="634AA39E"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lastRenderedPageBreak/>
              <w:t>The SSWBA (2014), which contains eleven Parts, sets the legal basis for safeguarding in Wales. Safeguarding is primarily driven by Part 7, which creates the duties to report adults and children at risk, requires local authorities to make enquiries under Section 126, establishes Adult Protection and Support Orders, and sets out the roles of Regional Safeguarding Boards, forming the foundation of the Wales Safeguarding Procedures (2019). The Wales Safeguarding Procedures (2019) provide a national framework for safeguarding children and adults at risk in Wales and support the effective implementation of the SSWBA (2014) (Wales Safeguarding Procedures Project Board, 2019; Social Care Wales, 2019). They offer consistent guidance on identifying, reporting, assessing, and responding to concerns of abuse or neglect, ensuring that safeguarding practice is person‑centred, proportionate, and focused on promoting individual well‑being. The Procedures emphasise the importance of multi‑agency working, information sharing, timely decision‑making, and the active involvement of adults at risk in safeguarding processes (Wales Safeguarding Procedures Project Board, 2019). In my role, this required working collaboratively with partner agencies, sharing information lawfully and proportionately, and ensuring that 3’s voice, wishes, and preferred outcomes remained central to all decisions about her safety and well‑being. These responsibilities are reinforced by the SSWBA (2014), which places a statutory duty on practitioners to promote voice, choice, and control in all safeguarding activity (Welsh Government, 2014).</w:t>
            </w:r>
          </w:p>
          <w:p w14:paraId="4173C7C1" w14:textId="77777777" w:rsidR="00357B65" w:rsidRPr="00357B65" w:rsidRDefault="00357B65" w:rsidP="00357B65">
            <w:pPr>
              <w:spacing w:line="276" w:lineRule="auto"/>
              <w:jc w:val="both"/>
              <w:rPr>
                <w:rFonts w:ascii="Times New Roman" w:hAnsi="Times New Roman" w:cs="Times New Roman"/>
                <w:iCs/>
                <w:sz w:val="24"/>
                <w:szCs w:val="24"/>
              </w:rPr>
            </w:pPr>
          </w:p>
          <w:p w14:paraId="11C30B69"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Safeguarding is also embedded in Part 2 (General Functions) of the SSWBA (2014), which places an overarching and statutory duty on local authorities to promote the well-being of individuals who may require care and support, including protection from abuse and neglect, and to adapt a preventative, strength-based approach. Part 9 (Co‑operation and Partnership) places duties on local authorities and partners to work collaboratively, share information effectively and provide coordinated multi‑agency responses, principles that were central to this case (Welsh Government, 2014; Welsh Government, 2015).</w:t>
            </w:r>
          </w:p>
          <w:p w14:paraId="02997BE3" w14:textId="77777777" w:rsidR="00357B65" w:rsidRPr="00357B65" w:rsidRDefault="00357B65" w:rsidP="00357B65">
            <w:pPr>
              <w:spacing w:line="276" w:lineRule="auto"/>
              <w:jc w:val="both"/>
              <w:rPr>
                <w:rFonts w:ascii="Times New Roman" w:hAnsi="Times New Roman" w:cs="Times New Roman"/>
                <w:iCs/>
                <w:sz w:val="24"/>
                <w:szCs w:val="24"/>
              </w:rPr>
            </w:pPr>
          </w:p>
          <w:p w14:paraId="0948015E"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At the outset of my involvement in this process, I revisited the statutory meaning of safeguarding, which encompasses not only protection from abuse and neglect but also the promotion of well-being and the right to live free from harm. Section 126 of the SSWBA (2014), provides a clear legal threshold by defining an adult at risk as someone with care and support needs who is experiencing, or is at risk of, abuse or neglect and is unable to protect themselves because of those needs (Welsh Government, 2014).</w:t>
            </w:r>
          </w:p>
          <w:p w14:paraId="2A69279A"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Applying this framework to 3’s circumstances required careful professional judgement. While 3 did not explicitly disclose abuse, her physical frailty, emerging memory concerns, and apparent anxiety shown regarding her daughter raised questions about her capacity to safeguard herself. Concerns reported by 3’s brother regarding potential physical abuse were further explored through a physical examination by the General Practitioner by effective information sharing, in line with the duty to cooperate under Part 9 of the SSWBA (2014). This process strengthened the evidential basis for intervention and reduced the risk of decisions being made on uncorroborated information alone (Wales Safeguarding Procedures Project Board, 2019; Llewellyn et al., 2023; Seddon, Toms and Verity, 2021).</w:t>
            </w:r>
          </w:p>
          <w:p w14:paraId="1F20F81E" w14:textId="77777777" w:rsidR="00357B65" w:rsidRPr="00357B65" w:rsidRDefault="00357B65" w:rsidP="00357B65">
            <w:pPr>
              <w:spacing w:line="276" w:lineRule="auto"/>
              <w:jc w:val="both"/>
              <w:rPr>
                <w:rFonts w:ascii="Times New Roman" w:hAnsi="Times New Roman" w:cs="Times New Roman"/>
                <w:iCs/>
                <w:sz w:val="24"/>
                <w:szCs w:val="24"/>
              </w:rPr>
            </w:pPr>
          </w:p>
          <w:p w14:paraId="4EDB6114"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lastRenderedPageBreak/>
              <w:t>Ongoing reflection and supervision were central to evaluating whether the response was proportionate and justified. Through this process, I was reassured that 3 met the statutory criteria of an adult at risk as outlined in Section 126, and that a safeguarding referral was an appropriate course of action. The decision aligned with the Safeguarding Code of Practice and the Wales Safeguarding Procedures, ensuring that the response prioritised 3’s safety while remaining legally grounded, proportionate, and ethically defensible.</w:t>
            </w:r>
          </w:p>
          <w:p w14:paraId="51280F5C" w14:textId="77777777" w:rsidR="00357B65" w:rsidRPr="00357B65" w:rsidRDefault="00357B65" w:rsidP="00357B65">
            <w:pPr>
              <w:spacing w:line="276" w:lineRule="auto"/>
              <w:jc w:val="both"/>
              <w:rPr>
                <w:rFonts w:ascii="Times New Roman" w:hAnsi="Times New Roman" w:cs="Times New Roman"/>
                <w:iCs/>
                <w:sz w:val="24"/>
                <w:szCs w:val="24"/>
              </w:rPr>
            </w:pPr>
          </w:p>
          <w:p w14:paraId="08E22720"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 xml:space="preserve">Adult abuse statistics provide essential context for understanding the safeguarding concerns identified in 3’s case and underline the importance of professional vigilance. In Wales during 2023–24, local authorities received 25,492 reports of an adult suspected of being at risk of abuse or neglect, and 18,169 adults were recorded as suspected of being at risk across the year. </w:t>
            </w:r>
          </w:p>
          <w:p w14:paraId="67039CE9"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The prevalence of neglect, physical abuse, and financial exploitation within Welsh safeguarding activity mirrors the concerns raised in relation to 3, particularly indicators of potential physical harm and financial abuse by a family member (Welsh Government/Stats Wales, 2025). Globally, the World Health Organization estimates that around 1 in 6 (≈15.7%) adults aged 60 years and over experience some form of abuse each year, with psychological and financial abuse among the most frequently reported (World Health Organization, 2024).</w:t>
            </w:r>
          </w:p>
          <w:p w14:paraId="10A78FE2" w14:textId="77777777" w:rsidR="00357B65" w:rsidRPr="00357B65" w:rsidRDefault="00357B65" w:rsidP="00357B65">
            <w:pPr>
              <w:spacing w:line="276" w:lineRule="auto"/>
              <w:jc w:val="both"/>
              <w:rPr>
                <w:rFonts w:ascii="Times New Roman" w:hAnsi="Times New Roman" w:cs="Times New Roman"/>
                <w:iCs/>
                <w:sz w:val="24"/>
                <w:szCs w:val="24"/>
              </w:rPr>
            </w:pPr>
          </w:p>
          <w:p w14:paraId="07478089"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As an older adult with frailty and emerging memory difficulties, 3 is at heightened risk of abuse, making professional curiosity essential. Practitioners must look, listen, and probe beyond surface explanations especially when something feels wrong, information is unclear, or the adult cannot easily express concerns. Safeguarding Boards strengthen this process by providing strategic leadership and multi‑agency coordination, ensuring consistent, lawful safeguarding practice and improving information‑sharing so risks are recognised and escalated early. In Adult Practice Reviews, missed opportunities often stem from unchallenged assumptions and failure to connect small but significant indicators. Applying professional curiosity enables practitioners to identify early warning signs such as fear, unexplained injuries, or financial irregularities even without direct disclosure, supporting timely, proportionate, and person‑centred intervention that prevents further harm and fulfils safeguarding duties under the SSWBA (2014).</w:t>
            </w:r>
          </w:p>
          <w:p w14:paraId="5D1ABA6B" w14:textId="77777777" w:rsidR="00357B65" w:rsidRPr="00357B65" w:rsidRDefault="00357B65" w:rsidP="00357B65">
            <w:pPr>
              <w:spacing w:line="276" w:lineRule="auto"/>
              <w:jc w:val="both"/>
              <w:rPr>
                <w:rFonts w:ascii="Times New Roman" w:hAnsi="Times New Roman" w:cs="Times New Roman"/>
                <w:iCs/>
                <w:sz w:val="24"/>
                <w:szCs w:val="24"/>
              </w:rPr>
            </w:pPr>
          </w:p>
          <w:p w14:paraId="656E92FB" w14:textId="77777777" w:rsidR="00357B65" w:rsidRPr="00357B65" w:rsidRDefault="00357B65" w:rsidP="00357B65">
            <w:pPr>
              <w:spacing w:line="276" w:lineRule="auto"/>
              <w:jc w:val="both"/>
              <w:rPr>
                <w:rFonts w:ascii="Times New Roman" w:hAnsi="Times New Roman" w:cs="Times New Roman"/>
                <w:iCs/>
                <w:sz w:val="24"/>
                <w:szCs w:val="24"/>
              </w:rPr>
            </w:pPr>
          </w:p>
          <w:p w14:paraId="5E09878A" w14:textId="63068BC4"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A strong understanding of legislation and legal processes was essential throughout 3’s safeguarding journey and directly informed professional decision-making at each stage. The Code of Professional Practice for Social Care (Social Care Wales, 2017) underpinned practice by requiring lawful, accountable, and rights-based intervention, particularly in recognising safeguarding indicators and taking responsibility for proportionate action. In 3’s case, this meant responding to concerns raised by a third party despite the absence of direct disclosure, while ensuring that actions taken were defensible and ethically justified in line with the SSWBA (2014) threshold for adults at risk and associated statutory guidance on responding to concerns (Welsh Government, 2016; Wales Safeguarding Procedures Project Board/Social Care Wales, 2019).</w:t>
            </w:r>
          </w:p>
          <w:p w14:paraId="2EA1A99A" w14:textId="77777777" w:rsidR="00357B65" w:rsidRPr="00357B65" w:rsidRDefault="00357B65" w:rsidP="00357B65">
            <w:pPr>
              <w:spacing w:line="276" w:lineRule="auto"/>
              <w:jc w:val="both"/>
              <w:rPr>
                <w:rFonts w:ascii="Times New Roman" w:hAnsi="Times New Roman" w:cs="Times New Roman"/>
                <w:iCs/>
                <w:sz w:val="24"/>
                <w:szCs w:val="24"/>
              </w:rPr>
            </w:pPr>
          </w:p>
          <w:p w14:paraId="0AF44513" w14:textId="3692E951"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At a Welsh legislative level, the SSWBA (2014) provided the primary statutory framework guiding intervention. Section 126 was central to decision‑making, as 3 met the legal definition of an adult at risk due to her care and support needs, alleged exposure to abuse, and potential inability to protect herself because of frailty and emerging memory concerns. Part 7 of the Act placed a clear duty on the local authority to make safeguarding enquiries, while Part 9 supported effective multi‑agency cooperation, enabling information sharing between social services, police, and health professionals to corroborate concerns regarding physical abuse (Welsh Government, 2014; Welsh Government, 20</w:t>
            </w:r>
            <w:r w:rsidR="00C235F2">
              <w:rPr>
                <w:rFonts w:ascii="Times New Roman" w:hAnsi="Times New Roman" w:cs="Times New Roman"/>
                <w:iCs/>
                <w:sz w:val="24"/>
                <w:szCs w:val="24"/>
              </w:rPr>
              <w:t>1</w:t>
            </w:r>
            <w:r w:rsidRPr="00357B65">
              <w:rPr>
                <w:rFonts w:ascii="Times New Roman" w:hAnsi="Times New Roman" w:cs="Times New Roman"/>
                <w:iCs/>
                <w:sz w:val="24"/>
                <w:szCs w:val="24"/>
              </w:rPr>
              <w:t>5). This legislative clarity ensured that safeguarding action was timely, proportionate, and legally grounded (Wales Safeguarding Procedures Project Board/Social Care Wales, 2019)</w:t>
            </w:r>
          </w:p>
          <w:p w14:paraId="580AB25B" w14:textId="77777777" w:rsidR="00357B65" w:rsidRPr="00357B65" w:rsidRDefault="00357B65" w:rsidP="00357B65">
            <w:pPr>
              <w:spacing w:line="276" w:lineRule="auto"/>
              <w:jc w:val="both"/>
              <w:rPr>
                <w:rFonts w:ascii="Times New Roman" w:hAnsi="Times New Roman" w:cs="Times New Roman"/>
                <w:iCs/>
                <w:sz w:val="24"/>
                <w:szCs w:val="24"/>
              </w:rPr>
            </w:pPr>
          </w:p>
          <w:p w14:paraId="2D693FB3"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Human rights legislation also played a critical role in balancing protection with autonomy. The Human Rights Act 1998 and the European Convention on Human Rights informed practice by reinforcing 3’s right to dignity, private and family life (ECHR Article 8), and protection from inhuman or degrading treatment (ECHR Article 3) (Welsh Government, 1998; Council of Europe/ECtHR, 2025a; Council of Europe/ECtHR, 2025b). As Braye, Orr and Preston‑Shoot (2015) argue, safeguarding practice is characterised by inherent dilemmas, requiring practitioners to navigate the competing demands of autonomy, protection, rights and risk within complex family dynamics. These principles were particularly relevant given 3’s reluctance to speak against her daughter, requiring practitioners to carefully weigh her wishes against the duty to protect her from harm (Braye, Orr &amp; Preston‑Shoot, 2015; Council of Europe/ECtHR, 2025a; Council of Europe/ECtHR, 2025b). Respecting 3’s involvement in the safeguarding process, including informing her of the referral, demonstrated compliance with these rights while prioritising safety, aligning with findings from Manthorpe and Martineau (2017) that effective safeguarding requires clear communication, involvement of the adult and proportionate responses to risk.</w:t>
            </w:r>
          </w:p>
          <w:p w14:paraId="39BD8C6C" w14:textId="77777777" w:rsidR="00357B65" w:rsidRPr="00357B65" w:rsidRDefault="00357B65" w:rsidP="00357B65">
            <w:pPr>
              <w:spacing w:line="276" w:lineRule="auto"/>
              <w:jc w:val="both"/>
              <w:rPr>
                <w:rFonts w:ascii="Times New Roman" w:hAnsi="Times New Roman" w:cs="Times New Roman"/>
                <w:iCs/>
                <w:sz w:val="24"/>
                <w:szCs w:val="24"/>
              </w:rPr>
            </w:pPr>
          </w:p>
          <w:p w14:paraId="37C0CF45"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Beyond the UK context, international frameworks such as the UN Convention on the Rights of Persons with Disabilities (CRPD), ratified by the UK reinforce the importance of protecting persons with disabilities, including older adults with potential cognitive impairment, from abuse, discrimination and exploitation; Article 16 calls for prevention, protection, monitoring and recovery supports. While not directly enforceable in domestic courts like the HRA, these principles strengthen a rights‑based approach to 3’s safeguarding journey by emphasising equality, protection and inclusion within decision‑making processes (UN, 2006; UN DESA, 2006).</w:t>
            </w:r>
          </w:p>
          <w:p w14:paraId="7ADC6134"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Overall, 3’s case demonstrates how a practitioner’s sound knowledge of legislation and policy is critical to identifying risk, justifying safeguarding intervention, working collaboratively across agencies, and ensuring that actions taken are lawful, ethical and centred on the individual’s well‑being, as required by the Code of Professional Practice for Social Care (Social Care Wales, 2017).</w:t>
            </w:r>
          </w:p>
          <w:p w14:paraId="738A119B" w14:textId="77777777" w:rsidR="00357B65" w:rsidRPr="00357B65" w:rsidRDefault="00357B65" w:rsidP="00357B65">
            <w:pPr>
              <w:spacing w:line="276" w:lineRule="auto"/>
              <w:jc w:val="both"/>
              <w:rPr>
                <w:rFonts w:ascii="Times New Roman" w:hAnsi="Times New Roman" w:cs="Times New Roman"/>
                <w:iCs/>
                <w:sz w:val="24"/>
                <w:szCs w:val="24"/>
              </w:rPr>
            </w:pPr>
          </w:p>
          <w:p w14:paraId="12D2621F"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 xml:space="preserve">Information handling throughout 3’s safeguarding process was governed by the Data Protection Act 2018, which incorporates UK GDPR principles and permits the sharing of sensitive personal data, when </w:t>
            </w:r>
            <w:r w:rsidRPr="00357B65">
              <w:rPr>
                <w:rFonts w:ascii="Times New Roman" w:hAnsi="Times New Roman" w:cs="Times New Roman"/>
                <w:iCs/>
                <w:sz w:val="24"/>
                <w:szCs w:val="24"/>
              </w:rPr>
              <w:lastRenderedPageBreak/>
              <w:t>necessary, proportionate, and in the public interest, particularly within multi‑agency safeguarding contexts (ICO; GOV.UK). These legal duties provided practitioners with a clear basis for sharing relevant information while avoiding both inappropriate disclosure and unsafe withholding of risk‑critical details.</w:t>
            </w:r>
          </w:p>
          <w:p w14:paraId="2C0AE7A6"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Across Wales, England, and internationally, data‑protection frameworks share the same aim: to protect individuals’ privacy while ensuring personal information is handled responsibly. Importantly, these laws do not prevent information‑sharing in safeguarding; instead, they set out how it must be done lawfully and safely. In Wales, the Data Protection Act 2018 explicitly recognises safeguarding as a legitimate ground for processing and sharing information, enabling practitioners to share relevant data where necessary to prevent abuse or neglect. This aligns with statutory safeguarding duties under the Social Services and Well‑being (Wales) Act 2014, which allows concerns about risk to override routine expectations of confidentiality when needed to protect adults at risk (Welsh Government).</w:t>
            </w:r>
          </w:p>
          <w:p w14:paraId="3965A179" w14:textId="1CA6F173"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These frameworks guide how professionals gather, record, and share information throughout a safeguarding enquiry</w:t>
            </w:r>
            <w:r w:rsidR="00426233">
              <w:rPr>
                <w:rFonts w:ascii="Times New Roman" w:hAnsi="Times New Roman" w:cs="Times New Roman"/>
                <w:iCs/>
                <w:sz w:val="24"/>
                <w:szCs w:val="24"/>
              </w:rPr>
              <w:t xml:space="preserve"> </w:t>
            </w:r>
            <w:r w:rsidRPr="00357B65">
              <w:rPr>
                <w:rFonts w:ascii="Times New Roman" w:hAnsi="Times New Roman" w:cs="Times New Roman"/>
                <w:iCs/>
                <w:sz w:val="24"/>
                <w:szCs w:val="24"/>
              </w:rPr>
              <w:t>requiring them to limit sharing to what is relevant, ensure accuracy, store records securely, and explain information‑sharing to the adult unless doing so increases risk. This promotes transparency and trust while ensuring lawful practice. Taken together, the UK GDPR, Data Protection Act 2018, and SSWBA (2014) require social workers to balance respect for privacy with their overarching duty to protect individuals from abuse and neglect. Data protection is therefore not separate from safeguarding; it defines how safeguarding actions must be carried out, ensuring interventions remain both legally compliant and ethically grounded.</w:t>
            </w:r>
          </w:p>
          <w:p w14:paraId="0AF07474" w14:textId="08C602F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In Wales, advocacy is a statutory mechanism to keep the adult’s voice and rights central. Under the Part 10 Code of Practice (Advocacy) revised Code appointed 1 January 2020, the local authority must consider and, where required, arrange independent advocacy to secure meaningful participation, this was considered and discussed with 3 and her family as part of proportionate enquiries (Welsh Government, 2014; Welsh Government, 2015</w:t>
            </w:r>
            <w:r w:rsidR="005A3AEE">
              <w:rPr>
                <w:rFonts w:ascii="Times New Roman" w:hAnsi="Times New Roman" w:cs="Times New Roman"/>
                <w:iCs/>
                <w:sz w:val="24"/>
                <w:szCs w:val="24"/>
              </w:rPr>
              <w:t>, Age Cymru 2017</w:t>
            </w:r>
            <w:r w:rsidRPr="00357B65">
              <w:rPr>
                <w:rFonts w:ascii="Times New Roman" w:hAnsi="Times New Roman" w:cs="Times New Roman"/>
                <w:iCs/>
                <w:sz w:val="24"/>
                <w:szCs w:val="24"/>
              </w:rPr>
              <w:t xml:space="preserve">).  Advocates help address power imbalances, enabling adults to express views, challenge assumptions, understand risks and options, and grasp the implications of protective actions reinforcing dignity, autonomy and participation (Mencap, 2017). </w:t>
            </w:r>
          </w:p>
          <w:p w14:paraId="45B04348"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Overall, advocacy strengthens safeguarding by ensuring person‑centred, proportionate and legally defensible interventions throughout the enquiry (Welsh Government, 2015).</w:t>
            </w:r>
          </w:p>
          <w:p w14:paraId="16120364" w14:textId="77777777" w:rsidR="00357B65" w:rsidRPr="00357B65" w:rsidRDefault="00357B65" w:rsidP="00357B65">
            <w:pPr>
              <w:spacing w:line="276" w:lineRule="auto"/>
              <w:jc w:val="both"/>
              <w:rPr>
                <w:rFonts w:ascii="Times New Roman" w:hAnsi="Times New Roman" w:cs="Times New Roman"/>
                <w:iCs/>
                <w:sz w:val="24"/>
                <w:szCs w:val="24"/>
              </w:rPr>
            </w:pPr>
          </w:p>
          <w:p w14:paraId="4C18CBD3"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Using Tedam’s 4D2P (Discuss, Discover, Decide, Disrupt across the domains of Power and Privilege) helped me keep practice explicitly anti‑oppressive. I discussed the concerns with 3 in her preferred language and ensured information was accessible; I discovered triangulating evidence (brother’s account, neighbour’s observations, GP findings) through proportionate enquiries; I decided on least‑restrictive, person‑centred actions consistent with Volume 6; and I disrupted potential power imbalances by actively offering advocacy and Welsh‑language support so that family or professional voices did not eclipse 3’s own outcomes. This structured lens made the intervention more transparent, participatory and defensible.</w:t>
            </w:r>
          </w:p>
          <w:p w14:paraId="6E5035D7" w14:textId="77777777" w:rsidR="00357B65" w:rsidRPr="00357B65" w:rsidRDefault="00357B65" w:rsidP="00357B65">
            <w:pPr>
              <w:spacing w:line="276" w:lineRule="auto"/>
              <w:jc w:val="both"/>
              <w:rPr>
                <w:rFonts w:ascii="Times New Roman" w:hAnsi="Times New Roman" w:cs="Times New Roman"/>
                <w:iCs/>
                <w:sz w:val="24"/>
                <w:szCs w:val="24"/>
              </w:rPr>
            </w:pPr>
          </w:p>
          <w:p w14:paraId="162E714B"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lastRenderedPageBreak/>
              <w:t>Person-centred practice places the individual at the heart of all assessment and intervention by emphasising partnership working, respect, and shared decision-making. Rather than professionals directing outcomes, this approach prioritises meaningful engagement, adaptability, and relationship-building. These principles reflect the core values of the SSWBA (2014) and are reinforced within the Wales Safeguarding Procedures, which emphasise the importance of maintaining a focus on the individual even when responding to concerns of abuse or neglect. Applying a person‑centred and strengths‑based approach required balancing statutory safeguarding responsibilities with a genuine exploration of 3’s lived experience. While it was necessary to consider the risks identified, equal importance was placed on understanding 3’s perspective, including how she viewed her circumstances, what mattered most to her and how she defined her own well‑being. Through open and respectful dialogue, I was able to identify 3’s existing strengths, such as her supportive neighbour, strong family connections and established routines, alongside areas of need, potential risks and protective factors. This enabled the development of achievable well‑being outcomes that built upon her capabilities and natural networks while ensuring appropriate support (Seddon, Toms and Verity, 2021; Llewellyn et al., 2023).</w:t>
            </w:r>
          </w:p>
          <w:p w14:paraId="0EBD0B36"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The person‑centred approach was significant in this case it enabled 3’s voice to remain central to the safeguarding process. 3 clearly expressed that family relationships were of great importance to her and spoke positively about her daughter as a source of companionship, reflecting on shared experiences and expressing feelings of loss during her absence. This insight highlighted the emotional complexity of the situation and reinforced the importance of approaching safeguarding in a way that acknowledged 3’s values, relationships, and sense of identity, rather than focusing solely on risk.</w:t>
            </w:r>
          </w:p>
          <w:p w14:paraId="0563DC9B" w14:textId="77777777" w:rsidR="00357B65" w:rsidRPr="00357B65" w:rsidRDefault="00357B65" w:rsidP="00357B65">
            <w:pPr>
              <w:spacing w:line="276" w:lineRule="auto"/>
              <w:jc w:val="both"/>
              <w:rPr>
                <w:rFonts w:ascii="Times New Roman" w:hAnsi="Times New Roman" w:cs="Times New Roman"/>
                <w:iCs/>
                <w:sz w:val="24"/>
                <w:szCs w:val="24"/>
              </w:rPr>
            </w:pPr>
          </w:p>
          <w:p w14:paraId="6312CC72" w14:textId="25AD3A65"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 xml:space="preserve">The </w:t>
            </w:r>
            <w:r w:rsidRPr="00BD5587">
              <w:rPr>
                <w:rFonts w:ascii="Times New Roman" w:hAnsi="Times New Roman" w:cs="Times New Roman"/>
                <w:i/>
                <w:sz w:val="24"/>
                <w:szCs w:val="24"/>
              </w:rPr>
              <w:t>More Than Just Words</w:t>
            </w:r>
            <w:r w:rsidRPr="00357B65">
              <w:rPr>
                <w:rFonts w:ascii="Times New Roman" w:hAnsi="Times New Roman" w:cs="Times New Roman"/>
                <w:iCs/>
                <w:sz w:val="24"/>
                <w:szCs w:val="24"/>
              </w:rPr>
              <w:t xml:space="preserve"> approach was integral in 3’s case because Welsh is her first language. Clear, accessible communication was essential given her age, emerging memory issues, and the sensitivity of the allegations. In line with Part 7 of the SSWBA (2014), practitioners supported 3’s meaningful participation in raising concerns, assessment, and decision‑making; providing services in the language she felt safest using helped prevent minimisation or misunderstanding of disclosures and reduced the likelihood of missed indicators of abuse.</w:t>
            </w:r>
            <w:r w:rsidR="004324B5">
              <w:rPr>
                <w:rFonts w:ascii="Times New Roman" w:hAnsi="Times New Roman" w:cs="Times New Roman"/>
                <w:iCs/>
                <w:sz w:val="24"/>
                <w:szCs w:val="24"/>
              </w:rPr>
              <w:t xml:space="preserve"> </w:t>
            </w:r>
            <w:r w:rsidRPr="00357B65">
              <w:rPr>
                <w:rFonts w:ascii="Times New Roman" w:hAnsi="Times New Roman" w:cs="Times New Roman"/>
                <w:iCs/>
                <w:sz w:val="24"/>
                <w:szCs w:val="24"/>
              </w:rPr>
              <w:t xml:space="preserve">Applying </w:t>
            </w:r>
            <w:r w:rsidRPr="00BD5587">
              <w:rPr>
                <w:rFonts w:ascii="Times New Roman" w:hAnsi="Times New Roman" w:cs="Times New Roman"/>
                <w:i/>
                <w:sz w:val="24"/>
                <w:szCs w:val="24"/>
              </w:rPr>
              <w:t>More Than Just Words</w:t>
            </w:r>
            <w:r w:rsidRPr="00357B65">
              <w:rPr>
                <w:rFonts w:ascii="Times New Roman" w:hAnsi="Times New Roman" w:cs="Times New Roman"/>
                <w:iCs/>
                <w:sz w:val="24"/>
                <w:szCs w:val="24"/>
              </w:rPr>
              <w:t xml:space="preserve"> throughout the enquiry strengthened 3’s voice and helped address power imbalances linked to family dynamics and fear, while supporting person‑centred and trauma‑informed practice by lowering anxiety and promoting emotional safety. When planning ongoing protection and support, providing discussions, written information, and safeguarding plans in Welsh ensured accessibility, dignity, independence, and informed participation, so that interventions reflected 3’s wishes and lived experience rather than assumptions. Overall, Welsh‑language provision was fundamental not supplementary to safe, lawful, and ethical safeguarding, upholding 3’s rights and well‑being across the process (Welsh Government, 2014; Wales Safeguarding Procedures Project Board</w:t>
            </w:r>
            <w:r w:rsidR="00B24B74">
              <w:rPr>
                <w:rFonts w:ascii="Times New Roman" w:hAnsi="Times New Roman" w:cs="Times New Roman"/>
                <w:iCs/>
                <w:sz w:val="24"/>
                <w:szCs w:val="24"/>
              </w:rPr>
              <w:t xml:space="preserve">, </w:t>
            </w:r>
            <w:r w:rsidRPr="00357B65">
              <w:rPr>
                <w:rFonts w:ascii="Times New Roman" w:hAnsi="Times New Roman" w:cs="Times New Roman"/>
                <w:iCs/>
                <w:sz w:val="24"/>
                <w:szCs w:val="24"/>
              </w:rPr>
              <w:t>Social Care Wales, 2019).</w:t>
            </w:r>
          </w:p>
          <w:p w14:paraId="633A1CB6"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 xml:space="preserve">  </w:t>
            </w:r>
          </w:p>
          <w:p w14:paraId="476C5027"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 xml:space="preserve">As the allocated social worker, my responsibility was to undertake safeguarding enquiries in line with Section 126 of the SSWBA (2014).  For 3, this involved arranging a visit to discuss the concerns that had been raised, gather relevant information, and explore her views, wishes, and feelings. A clear </w:t>
            </w:r>
            <w:r w:rsidRPr="00357B65">
              <w:rPr>
                <w:rFonts w:ascii="Times New Roman" w:hAnsi="Times New Roman" w:cs="Times New Roman"/>
                <w:iCs/>
                <w:sz w:val="24"/>
                <w:szCs w:val="24"/>
              </w:rPr>
              <w:lastRenderedPageBreak/>
              <w:t>understanding of my professional role, alongside the relevant legislative frameworks and guidance relating to adults at risk, was essential to ensure that any intervention was both lawful and ethically sound. This knowledge also enabled me to explain clearly to 3 the purpose of my involvement and the statutory duties underpinning my actions.</w:t>
            </w:r>
          </w:p>
          <w:p w14:paraId="214BC070"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Throughout the intervention, it was important to adopt a person‑centred approach, recognising that 3 was best placed to describe what would support her well‑being, while also maintaining professional curiosity in relation to the safeguarding concerns and potential risks identified. A core element of the safeguarding enquiry involved establishing information and supporting 3 to make informed decisions about how she wished matters to proceed, ensuring the process remained empowering rather than punitive (Welsh Government, 2014; Welsh Government, 2019).  Following information‑gathering, a balanced analysis was required to consider both ongoing risks and existing protective factors. In 3’s situation, the immediate level of risk had reduced, as her daughter had temporarily relocated abroad with her partner.</w:t>
            </w:r>
          </w:p>
          <w:p w14:paraId="72223B1D" w14:textId="77777777" w:rsidR="00357B65" w:rsidRPr="00357B65" w:rsidRDefault="00357B65" w:rsidP="00357B65">
            <w:pPr>
              <w:spacing w:line="276" w:lineRule="auto"/>
              <w:jc w:val="both"/>
              <w:rPr>
                <w:rFonts w:ascii="Times New Roman" w:hAnsi="Times New Roman" w:cs="Times New Roman"/>
                <w:iCs/>
                <w:sz w:val="24"/>
                <w:szCs w:val="24"/>
              </w:rPr>
            </w:pPr>
          </w:p>
          <w:p w14:paraId="2642AABE"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During the enquiry, 3 did not raise any complaints and clearly expressed a wish for the safeguarding process not to continue. A decision‑specific assessment under the Mental Capacity Act 2005 established that she had capacity to decide about her participation; accordingly, and in line with MCA principles (presumption of capacity, respect for capacitated refusal, and least‑restrictive practice), her choice was upheld.  Although the case was complex and there was potential future risk should the daughter return, the legal position required that capacitated wishes be honoured. Consequently, rather than convening a strategy meeting, the case was not progressed under Section 126, and proportionate alternatives (e.g., monitoring and routine care‑management liaison) were considered in accordance with Working Together to Safeguard People: Volume 6 (Adults at Risk).  3 was informed of this outcome and the rationale, consistent with the Social Care Wales Code of Professional Practice, which emphasises honesty, transparency and the development of trust and confidence in professional relationships, alongside clear and accurate recording.</w:t>
            </w:r>
          </w:p>
          <w:p w14:paraId="669D0161" w14:textId="77777777" w:rsidR="00357B65" w:rsidRPr="00357B65" w:rsidRDefault="00357B65" w:rsidP="00357B65">
            <w:pPr>
              <w:spacing w:line="276" w:lineRule="auto"/>
              <w:jc w:val="both"/>
              <w:rPr>
                <w:rFonts w:ascii="Times New Roman" w:hAnsi="Times New Roman" w:cs="Times New Roman"/>
                <w:iCs/>
                <w:sz w:val="24"/>
                <w:szCs w:val="24"/>
              </w:rPr>
            </w:pPr>
          </w:p>
          <w:p w14:paraId="304AD595" w14:textId="77777777" w:rsidR="00357B65" w:rsidRPr="00357B65" w:rsidRDefault="00357B65" w:rsidP="00357B65">
            <w:pPr>
              <w:spacing w:line="276" w:lineRule="auto"/>
              <w:jc w:val="both"/>
              <w:rPr>
                <w:rFonts w:ascii="Times New Roman" w:hAnsi="Times New Roman" w:cs="Times New Roman"/>
                <w:iCs/>
                <w:sz w:val="24"/>
                <w:szCs w:val="24"/>
              </w:rPr>
            </w:pPr>
          </w:p>
          <w:p w14:paraId="41F08BD2"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Had the case progressed to a strategy meeting under Section 126 of the SSWBA (2014), I would have ensured that the agreed actions, roles and timescales were clearly communicated to 3 in accordance with the Code of Professional Practice for Social Care, which emphasises honesty, transparency and active support for participation (Social Care Wales, 2017). The purpose of the strategy meeting would have been to review the information gathered during the enquiry, assess the immediacy and likelihood of harm, and agree proportionate next steps with multi‑agency partners, as required by the Wales Safeguarding Procedures (Welsh Government, 2019).</w:t>
            </w:r>
          </w:p>
          <w:p w14:paraId="4430D733"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 xml:space="preserve">During this multi‑agency discussion, practitioners would have considered whether any residual or future risks required safeguarding action under Working Together to Safeguard People: Volume 6. This may have included ongoing monitoring, preventative interventions, additional information‑gathering, or a coordinated protection plan to mitigate potential harm (Welsh Government, 2019). If a protection plan had been deemed necessary, I would have ensured that 3’s wishes and outcomes remained central </w:t>
            </w:r>
            <w:r w:rsidRPr="00357B65">
              <w:rPr>
                <w:rFonts w:ascii="Times New Roman" w:hAnsi="Times New Roman" w:cs="Times New Roman"/>
                <w:iCs/>
                <w:sz w:val="24"/>
                <w:szCs w:val="24"/>
              </w:rPr>
              <w:lastRenderedPageBreak/>
              <w:t>to decision‑making, consistent with the principles of voice, choice and control under the SSWBA (2014).</w:t>
            </w:r>
          </w:p>
          <w:p w14:paraId="20BC8630"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If, following the evaluation of evidence, the conclusion was that the threshold for further safeguarding intervention had not been met, the Section 126 enquiry would have been formally concluded. In this situation, my role would have involved clearly recording the rationale for ceasing the enquiry, outlining how the decision complied with statutory duties, was informed by multi‑agency consultation, and demonstrated a proportionate response in line with Volume 6 guidance. I would also have ensured that 3 was informed of the outcome in a way that supported understanding and participation, reflecting anti‑oppressive, person‑centred practice.</w:t>
            </w:r>
          </w:p>
          <w:p w14:paraId="7B749DED"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Throughout the process whether the enquiry proceeded to a strategy meeting or was closed every decision, conversation and professional judgement would have been recorded promptly and accurately within the case‑management system. This aligns with the Code of Professional Practice requirements for clear, timely and accountable record‑keeping that supports continuity, defensibility and effective safeguarding practice (Social Care Wales, 2017).</w:t>
            </w:r>
          </w:p>
          <w:p w14:paraId="43DB79AB" w14:textId="77777777" w:rsidR="00357B65" w:rsidRPr="00357B65" w:rsidRDefault="00357B65" w:rsidP="00357B65">
            <w:pPr>
              <w:spacing w:line="276" w:lineRule="auto"/>
              <w:jc w:val="both"/>
              <w:rPr>
                <w:rFonts w:ascii="Times New Roman" w:hAnsi="Times New Roman" w:cs="Times New Roman"/>
                <w:iCs/>
                <w:sz w:val="24"/>
                <w:szCs w:val="24"/>
              </w:rPr>
            </w:pPr>
          </w:p>
          <w:p w14:paraId="55D7769A" w14:textId="1F8EC859"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An ecological (bioecological) perspective clarifies how risks and protections operate across levels. At the microsystem, 3’s immediate relationships (daughter, neighbour, brother) shaped both risk (allegations of abuse, carer strain) and protection (daily observation by a trusted friend). The mesosystem captured interactions between these microsystems (e.g., neighbour- GP- social services), which strengthened corroboration and reduced reliance on unverified accounts. The exosystem included service configuration and rural access constraints that affected placement options and visit frequency. The macrosystem involved Welsh policy frameworks, the SSWBA (2014), Wales Safeguarding Procedures, and More than Just Words which require voice, well‑being, proportionate response and language rights. Finally, the chronosystem mattered because risk indicators and living arrangements changed over time (e.g., daughter’s periods away), requiring dynamic review rather than one‑off judgement. This lens supported proportionate, context‑aware decisions and justified least-restrictive safeguarding action, selected and reviewed in partnership with 3, consistent with Working Together to Safeguard People: Volume 6 (Adults at Risk), which requires person‑centred enquiries, coordinated multi‑agency planning and interventions no more intrusive than necessary (</w:t>
            </w:r>
            <w:r w:rsidR="00272786" w:rsidRPr="00357B65">
              <w:rPr>
                <w:rFonts w:ascii="Times New Roman" w:hAnsi="Times New Roman" w:cs="Times New Roman"/>
                <w:iCs/>
                <w:sz w:val="24"/>
                <w:szCs w:val="24"/>
              </w:rPr>
              <w:t>Bronfenbrenner,</w:t>
            </w:r>
            <w:r w:rsidRPr="00357B65">
              <w:rPr>
                <w:rFonts w:ascii="Times New Roman" w:hAnsi="Times New Roman" w:cs="Times New Roman"/>
                <w:iCs/>
                <w:sz w:val="24"/>
                <w:szCs w:val="24"/>
              </w:rPr>
              <w:t xml:space="preserve"> et al 2006). </w:t>
            </w:r>
          </w:p>
          <w:p w14:paraId="45EDD7D9" w14:textId="77777777" w:rsidR="00357B65" w:rsidRPr="00357B65" w:rsidRDefault="00357B65" w:rsidP="00357B65">
            <w:pPr>
              <w:spacing w:line="276" w:lineRule="auto"/>
              <w:jc w:val="both"/>
              <w:rPr>
                <w:rFonts w:ascii="Times New Roman" w:hAnsi="Times New Roman" w:cs="Times New Roman"/>
                <w:iCs/>
                <w:sz w:val="24"/>
                <w:szCs w:val="24"/>
              </w:rPr>
            </w:pPr>
          </w:p>
          <w:p w14:paraId="507E7ADF"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Reflecting on my involvement in 3’s safeguarding case has highlighted the complexity of balancing statutory safeguarding duties with respect for an individual’s autonomy. One key learning points was recognising that safeguarding decisions cannot rely solely on disclosure. Although 3 did not make allegations against her daughter, her frailty, emerging memory concerns, and apparent fear indicated increased vulnerability. Applying Section 126 of the SSWBA (2014) supported a holistic view of risk and reinforced that safeguarding intervention can be justified where indicators of harm are present, even in the absence of explicit disclosure. Supervision played a crucial role in supporting reflective decision-making and reassured me that the response was proportionate and legally sound.</w:t>
            </w:r>
          </w:p>
          <w:p w14:paraId="1F3C8B17" w14:textId="77777777" w:rsidR="00357B65" w:rsidRPr="00357B65" w:rsidRDefault="00357B65" w:rsidP="00357B65">
            <w:pPr>
              <w:spacing w:line="276" w:lineRule="auto"/>
              <w:jc w:val="both"/>
              <w:rPr>
                <w:rFonts w:ascii="Times New Roman" w:hAnsi="Times New Roman" w:cs="Times New Roman"/>
                <w:iCs/>
                <w:sz w:val="24"/>
                <w:szCs w:val="24"/>
              </w:rPr>
            </w:pPr>
          </w:p>
          <w:p w14:paraId="70B0AF2B"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lastRenderedPageBreak/>
              <w:t>Working collaboratively was central to effective safeguarding in this case. Multi-agency information sharing, in line with Part 9 of the SSWBA (2014), strengthened the assessment by corroborating concerns and reducing reliance on third-party accounts alone. I learned that collaborative working not only improves the quality of decision-making but also provides professional reassurance in complex cases. In future practice, I would initiate multi-agency discussions earlier where emerging risk is identified, to support preventative and timely safeguarding responses.</w:t>
            </w:r>
          </w:p>
          <w:p w14:paraId="453CFF34" w14:textId="77777777" w:rsidR="00357B65" w:rsidRPr="00357B65" w:rsidRDefault="00357B65" w:rsidP="00357B65">
            <w:pPr>
              <w:spacing w:line="276" w:lineRule="auto"/>
              <w:jc w:val="both"/>
              <w:rPr>
                <w:rFonts w:ascii="Times New Roman" w:hAnsi="Times New Roman" w:cs="Times New Roman"/>
                <w:iCs/>
                <w:sz w:val="24"/>
                <w:szCs w:val="24"/>
              </w:rPr>
            </w:pPr>
          </w:p>
          <w:p w14:paraId="50174E06"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The intervention reinforced the importance of person-centred and rights-based practice. Ensuring 3 was informed, involved, and able to communicate in her first language supported her dignity and participation. However, managing 3’s wish for the safeguarding process to end, while recognising potential future risk, was challenging. Reflecting on this, I would seek advocacy support earlier in similar cases to further strengthen the adult’s voice and support informed decision-making.</w:t>
            </w:r>
          </w:p>
          <w:p w14:paraId="291917BE" w14:textId="77777777" w:rsidR="00357B65" w:rsidRPr="00357B65" w:rsidRDefault="00357B65" w:rsidP="00357B65">
            <w:pPr>
              <w:spacing w:line="276" w:lineRule="auto"/>
              <w:jc w:val="both"/>
              <w:rPr>
                <w:rFonts w:ascii="Times New Roman" w:hAnsi="Times New Roman" w:cs="Times New Roman"/>
                <w:iCs/>
                <w:sz w:val="24"/>
                <w:szCs w:val="24"/>
              </w:rPr>
            </w:pPr>
          </w:p>
          <w:p w14:paraId="42B0AC84" w14:textId="77777777" w:rsidR="00357B65" w:rsidRPr="00357B65" w:rsidRDefault="00357B65" w:rsidP="00357B65">
            <w:pPr>
              <w:spacing w:line="276" w:lineRule="auto"/>
              <w:jc w:val="both"/>
              <w:rPr>
                <w:rFonts w:ascii="Times New Roman" w:hAnsi="Times New Roman" w:cs="Times New Roman"/>
                <w:iCs/>
                <w:sz w:val="24"/>
                <w:szCs w:val="24"/>
              </w:rPr>
            </w:pPr>
          </w:p>
          <w:p w14:paraId="0ED70B4A" w14:textId="77777777" w:rsidR="00357B65" w:rsidRPr="00357B65" w:rsidRDefault="00357B65" w:rsidP="00357B65">
            <w:pPr>
              <w:spacing w:line="276" w:lineRule="auto"/>
              <w:jc w:val="both"/>
              <w:rPr>
                <w:rFonts w:ascii="Times New Roman" w:hAnsi="Times New Roman" w:cs="Times New Roman"/>
                <w:iCs/>
                <w:sz w:val="24"/>
                <w:szCs w:val="24"/>
              </w:rPr>
            </w:pPr>
            <w:r w:rsidRPr="00357B65">
              <w:rPr>
                <w:rFonts w:ascii="Times New Roman" w:hAnsi="Times New Roman" w:cs="Times New Roman"/>
                <w:iCs/>
                <w:sz w:val="24"/>
                <w:szCs w:val="24"/>
              </w:rPr>
              <w:t>Overall, this case strengthened my understanding of how safeguarding practice is shaped not only by legislation and statutory guidance but also by key theoretical perspectives that support ethical and defensible decision‑making. Empowerment theory and rights‑based practice informed my approach to promoting 3’s voice, choice and control, even when concerns about risk created tension between autonomy and protection. Ethical decision‑making frameworks, including the recognition of inherent safeguarding dilemmas highlighted by authors such as Lloyd and Harrington (2016) and Braye, Orr and Preston‑Shoot (2015), helped me navigate the conflict between respecting 3’s wishes and fulfilling statutory duties to prevent harm. Anti‑oppressive practice, supported using Tedam’s 4D2P model, enabled me to reflect on issues of power, privilege and language, ensuring that 3’s Welsh‑language needs and personal identity remained central to the process. Person‑centred and strengths‑based approaches, consistent with the SSWBA (2014), guided my engagement with 3’s lived experience, relationships and well‑being outcomes. Together, these theories provided a coherent framework that supported proportionate, transparent and ethically grounded safeguarding practice throughout the intervention.</w:t>
            </w:r>
          </w:p>
          <w:p w14:paraId="6AD8C65C" w14:textId="77777777" w:rsidR="00357B65" w:rsidRPr="00357B65" w:rsidRDefault="00357B65" w:rsidP="00357B65">
            <w:pPr>
              <w:spacing w:line="276" w:lineRule="auto"/>
              <w:jc w:val="both"/>
              <w:rPr>
                <w:rFonts w:ascii="Times New Roman" w:hAnsi="Times New Roman" w:cs="Times New Roman"/>
                <w:iCs/>
                <w:sz w:val="24"/>
                <w:szCs w:val="24"/>
              </w:rPr>
            </w:pPr>
          </w:p>
          <w:p w14:paraId="613FE3D4" w14:textId="77777777" w:rsidR="00357B65" w:rsidRPr="00357B65" w:rsidRDefault="00357B65" w:rsidP="00357B65">
            <w:pPr>
              <w:spacing w:line="276" w:lineRule="auto"/>
              <w:jc w:val="both"/>
              <w:rPr>
                <w:rFonts w:ascii="Times New Roman" w:hAnsi="Times New Roman" w:cs="Times New Roman"/>
                <w:iCs/>
                <w:sz w:val="24"/>
                <w:szCs w:val="24"/>
              </w:rPr>
            </w:pPr>
          </w:p>
          <w:p w14:paraId="12DC2F24" w14:textId="18BF4F32" w:rsidR="00D3203C" w:rsidRPr="00357B65" w:rsidRDefault="00106A29" w:rsidP="00357B65">
            <w:pPr>
              <w:spacing w:line="276" w:lineRule="auto"/>
              <w:jc w:val="both"/>
              <w:rPr>
                <w:rFonts w:ascii="Times New Roman" w:hAnsi="Times New Roman" w:cs="Times New Roman"/>
                <w:iCs/>
                <w:sz w:val="24"/>
                <w:szCs w:val="24"/>
              </w:rPr>
            </w:pPr>
            <w:r>
              <w:rPr>
                <w:rFonts w:ascii="Times New Roman" w:hAnsi="Times New Roman" w:cs="Times New Roman"/>
                <w:iCs/>
                <w:sz w:val="24"/>
                <w:szCs w:val="24"/>
              </w:rPr>
              <w:t>(</w:t>
            </w:r>
            <w:r w:rsidR="00357B65" w:rsidRPr="00357B65">
              <w:rPr>
                <w:rFonts w:ascii="Times New Roman" w:hAnsi="Times New Roman" w:cs="Times New Roman"/>
                <w:iCs/>
                <w:sz w:val="24"/>
                <w:szCs w:val="24"/>
              </w:rPr>
              <w:t>43</w:t>
            </w:r>
            <w:r w:rsidR="00BF27C3">
              <w:rPr>
                <w:rFonts w:ascii="Times New Roman" w:hAnsi="Times New Roman" w:cs="Times New Roman"/>
                <w:iCs/>
                <w:sz w:val="24"/>
                <w:szCs w:val="24"/>
              </w:rPr>
              <w:t>6</w:t>
            </w:r>
            <w:r>
              <w:rPr>
                <w:rFonts w:ascii="Times New Roman" w:hAnsi="Times New Roman" w:cs="Times New Roman"/>
                <w:iCs/>
                <w:sz w:val="24"/>
                <w:szCs w:val="24"/>
              </w:rPr>
              <w:t>9</w:t>
            </w:r>
            <w:r w:rsidR="00357B65" w:rsidRPr="00357B65">
              <w:rPr>
                <w:rFonts w:ascii="Times New Roman" w:hAnsi="Times New Roman" w:cs="Times New Roman"/>
                <w:iCs/>
                <w:sz w:val="24"/>
                <w:szCs w:val="24"/>
              </w:rPr>
              <w:t>)</w:t>
            </w: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05C"/>
    <w:rsid w:val="0004079F"/>
    <w:rsid w:val="00043543"/>
    <w:rsid w:val="00044969"/>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304E"/>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A29"/>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59FD"/>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2786"/>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7B65"/>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26233"/>
    <w:rsid w:val="00430DE3"/>
    <w:rsid w:val="004324B5"/>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5DB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0152"/>
    <w:rsid w:val="00581E0A"/>
    <w:rsid w:val="00586D89"/>
    <w:rsid w:val="005877C8"/>
    <w:rsid w:val="00587923"/>
    <w:rsid w:val="00594F9F"/>
    <w:rsid w:val="005A1B4C"/>
    <w:rsid w:val="005A3AEE"/>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634"/>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23E6"/>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4B7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5587"/>
    <w:rsid w:val="00BE0F7B"/>
    <w:rsid w:val="00BE10C2"/>
    <w:rsid w:val="00BF0D6C"/>
    <w:rsid w:val="00BF27C3"/>
    <w:rsid w:val="00C01D14"/>
    <w:rsid w:val="00C01D97"/>
    <w:rsid w:val="00C025B4"/>
    <w:rsid w:val="00C029EC"/>
    <w:rsid w:val="00C124A9"/>
    <w:rsid w:val="00C161FD"/>
    <w:rsid w:val="00C17C9F"/>
    <w:rsid w:val="00C235F2"/>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BEE"/>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01F6"/>
    <w:rsid w:val="00E812B5"/>
    <w:rsid w:val="00E83D90"/>
    <w:rsid w:val="00E83F91"/>
    <w:rsid w:val="00E86299"/>
    <w:rsid w:val="00E9107A"/>
    <w:rsid w:val="00E91F62"/>
    <w:rsid w:val="00E929FD"/>
    <w:rsid w:val="00E92E7C"/>
    <w:rsid w:val="00E93240"/>
    <w:rsid w:val="00E9479B"/>
    <w:rsid w:val="00E94E22"/>
    <w:rsid w:val="00E95F08"/>
    <w:rsid w:val="00E97171"/>
    <w:rsid w:val="00EA4D48"/>
    <w:rsid w:val="00EA7ADF"/>
    <w:rsid w:val="00EB2173"/>
    <w:rsid w:val="00EB5A0E"/>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02F"/>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B5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ndyhughes2@ynysmon.llyw.cymr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4591</Words>
  <Characters>28241</Characters>
  <Application>Microsoft Office Word</Application>
  <DocSecurity>0</DocSecurity>
  <Lines>427</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Mandy L. Hughes</cp:lastModifiedBy>
  <cp:revision>2</cp:revision>
  <cp:lastPrinted>2020-02-11T19:20:00Z</cp:lastPrinted>
  <dcterms:created xsi:type="dcterms:W3CDTF">2026-02-24T20:31:00Z</dcterms:created>
  <dcterms:modified xsi:type="dcterms:W3CDTF">2026-02-24T20:31:00Z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