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63" w:line="360" w:lineRule="auto"/>
      </w:pPr>
    </w:p>
    <w:p>
      <w:pPr>
        <w:spacing w:before="163" w:line="360" w:lineRule="auto"/>
      </w:pPr>
    </w:p>
    <w:p>
      <w:pPr>
        <w:spacing w:before="163" w:line="360" w:lineRule="auto"/>
      </w:pPr>
    </w:p>
    <w:p>
      <w:pPr>
        <w:spacing w:before="163" w:line="360" w:lineRule="auto"/>
      </w:pPr>
    </w:p>
    <w:p>
      <w:pPr>
        <w:spacing w:before="163" w:line="360" w:lineRule="auto"/>
      </w:pPr>
    </w:p>
    <w:p>
      <w:pPr>
        <w:spacing w:before="163" w:line="360" w:lineRule="auto"/>
      </w:pPr>
    </w:p>
    <w:p>
      <w:pPr>
        <w:spacing w:before="163" w:line="360" w:lineRule="auto"/>
      </w:pPr>
    </w:p>
    <w:p>
      <w:pPr>
        <w:pStyle w:val="2"/>
        <w:spacing w:before="163"/>
      </w:pPr>
      <w:bookmarkStart w:id="24" w:name="_GoBack"/>
      <w:bookmarkStart w:id="0" w:name="_Toc130756975"/>
      <w:r>
        <w:t>BMMB7007 ASSIGNMENT 1</w:t>
      </w:r>
      <w:bookmarkEnd w:id="0"/>
    </w:p>
    <w:p>
      <w:pPr>
        <w:pStyle w:val="2"/>
        <w:spacing w:before="163"/>
      </w:pPr>
      <w:bookmarkStart w:id="1" w:name="_Toc130756976"/>
      <w:r>
        <w:t>HR Analysis of Huawei</w:t>
      </w:r>
      <w:bookmarkEnd w:id="1"/>
    </w:p>
    <w:bookmarkEnd w:id="24"/>
    <w:p>
      <w:pPr>
        <w:spacing w:before="163" w:line="360" w:lineRule="auto"/>
        <w:rPr>
          <w:rFonts w:hint="eastAsia"/>
          <w:lang w:val="en-US" w:eastAsia="zh-CN"/>
        </w:rPr>
      </w:pPr>
    </w:p>
    <w:p>
      <w:pPr>
        <w:spacing w:before="163" w:line="360" w:lineRule="auto"/>
        <w:rPr>
          <w:rFonts w:hint="eastAsia"/>
          <w:lang w:val="en-US" w:eastAsia="zh-CN"/>
        </w:rPr>
      </w:pPr>
      <w:r>
        <w:rPr>
          <w:rFonts w:hint="eastAsia"/>
          <w:lang w:val="en-US" w:eastAsia="zh-CN"/>
        </w:rPr>
        <w:t>Xue Sun* 2233452</w:t>
      </w:r>
    </w:p>
    <w:p>
      <w:pPr>
        <w:spacing w:before="163" w:line="360" w:lineRule="auto"/>
        <w:rPr>
          <w:rFonts w:hint="default"/>
          <w:lang w:val="en-US" w:eastAsia="zh-CN"/>
        </w:rPr>
      </w:pPr>
      <w:r>
        <w:rPr>
          <w:rFonts w:hint="eastAsia"/>
          <w:lang w:val="en-US" w:eastAsia="zh-CN"/>
        </w:rPr>
        <w:t>26.03.2023</w:t>
      </w:r>
    </w:p>
    <w:p>
      <w:pPr>
        <w:spacing w:before="163" w:line="360" w:lineRule="auto"/>
        <w:rPr>
          <w:rFonts w:hint="default"/>
          <w:lang w:val="en-US" w:eastAsia="zh-CN"/>
        </w:rPr>
      </w:pPr>
    </w:p>
    <w:p>
      <w:pPr>
        <w:spacing w:before="163" w:line="360" w:lineRule="auto"/>
        <w:rPr>
          <w:rFonts w:hint="default"/>
          <w:lang w:val="en-US" w:eastAsia="zh-CN"/>
        </w:rPr>
      </w:pPr>
    </w:p>
    <w:p>
      <w:pPr>
        <w:spacing w:before="163" w:line="360" w:lineRule="auto"/>
      </w:pPr>
    </w:p>
    <w:p>
      <w:pPr>
        <w:spacing w:before="163" w:line="360" w:lineRule="auto"/>
      </w:pPr>
    </w:p>
    <w:p>
      <w:pPr>
        <w:spacing w:before="163" w:line="360" w:lineRule="auto"/>
      </w:pPr>
    </w:p>
    <w:p>
      <w:pPr>
        <w:spacing w:before="163" w:line="360" w:lineRule="auto"/>
      </w:pPr>
    </w:p>
    <w:p>
      <w:pPr>
        <w:spacing w:before="163" w:line="360" w:lineRule="auto"/>
      </w:pPr>
    </w:p>
    <w:p>
      <w:pPr>
        <w:spacing w:before="163" w:line="360" w:lineRule="auto"/>
      </w:pPr>
    </w:p>
    <w:p>
      <w:pPr>
        <w:spacing w:before="163" w:line="360" w:lineRule="auto"/>
      </w:pPr>
    </w:p>
    <w:p>
      <w:pPr>
        <w:pStyle w:val="2"/>
        <w:spacing w:before="163"/>
      </w:pPr>
      <w:bookmarkStart w:id="2" w:name="_Toc130756977"/>
      <w:r>
        <w:t>Executive Summary</w:t>
      </w:r>
      <w:bookmarkEnd w:id="2"/>
    </w:p>
    <w:p>
      <w:pPr>
        <w:spacing w:before="163" w:line="360" w:lineRule="auto"/>
      </w:pPr>
      <w:r>
        <w:t>Recruitment, selection, and onboarding are among Huawei's most valued HR activities. However, Huawei's current recruitment and selection practices only retain campus recruitment, and social recruitment has been temporarily suspended. This article briefly analyzes the adverse effects of Huawei's current over-reliance on campus recruitment on the organization, employees, and other stakeholders. At the same time, this paper gives corresponding suggestions to improve this recruitment mode in order to strike a balance between campus recruitment and social recruitment.</w:t>
      </w:r>
    </w:p>
    <w:p>
      <w:pPr>
        <w:spacing w:before="163" w:line="360" w:lineRule="auto"/>
      </w:pPr>
      <w:r>
        <w:br w:type="page"/>
      </w:r>
    </w:p>
    <w:sdt>
      <w:sdtPr>
        <w:rPr>
          <w:lang w:val="zh-CN"/>
        </w:rPr>
        <w:id w:val="-234560157"/>
        <w:docPartObj>
          <w:docPartGallery w:val="Table of Contents"/>
          <w:docPartUnique/>
        </w:docPartObj>
      </w:sdtPr>
      <w:sdtEndPr>
        <w:rPr>
          <w:rFonts w:ascii="Times New Roman" w:hAnsi="Times New Roman" w:eastAsia="宋体" w:cstheme="minorBidi"/>
          <w:b/>
          <w:bCs/>
          <w:color w:val="auto"/>
          <w:kern w:val="2"/>
          <w:sz w:val="24"/>
          <w:szCs w:val="22"/>
          <w:lang w:val="zh-CN"/>
        </w:rPr>
      </w:sdtEndPr>
      <w:sdtContent>
        <w:p>
          <w:pPr>
            <w:pStyle w:val="16"/>
            <w:spacing w:before="163" w:line="360" w:lineRule="auto"/>
            <w:rPr>
              <w:rFonts w:hint="eastAsia"/>
              <w:b/>
              <w:bCs/>
            </w:rPr>
          </w:pPr>
          <w:r>
            <w:rPr>
              <w:rFonts w:hint="eastAsia"/>
              <w:b/>
              <w:bCs/>
              <w:lang w:val="zh-CN"/>
            </w:rPr>
            <w:t>C</w:t>
          </w:r>
          <w:r>
            <w:rPr>
              <w:b/>
              <w:bCs/>
              <w:lang w:val="zh-CN"/>
            </w:rPr>
            <w:t>ONTENTS TABLE</w:t>
          </w:r>
        </w:p>
        <w:p>
          <w:pPr>
            <w:pStyle w:val="5"/>
            <w:tabs>
              <w:tab w:val="right" w:leader="dot" w:pos="9016"/>
            </w:tabs>
            <w:spacing w:before="163" w:line="360" w:lineRule="auto"/>
          </w:pPr>
          <w:r>
            <w:fldChar w:fldCharType="begin"/>
          </w:r>
          <w:r>
            <w:instrText xml:space="preserve"> TOC \o "1-3" \h \z \u </w:instrText>
          </w:r>
          <w:r>
            <w:fldChar w:fldCharType="separate"/>
          </w:r>
          <w:r>
            <w:fldChar w:fldCharType="begin"/>
          </w:r>
          <w:r>
            <w:instrText xml:space="preserve"> HYPERLINK \l "_Toc130756975" </w:instrText>
          </w:r>
          <w:r>
            <w:fldChar w:fldCharType="separate"/>
          </w:r>
          <w:r>
            <w:rPr>
              <w:rStyle w:val="10"/>
            </w:rPr>
            <w:t>BMMB7007 ASSIGNMENT 1</w:t>
          </w:r>
          <w:r>
            <w:tab/>
          </w:r>
          <w:r>
            <w:fldChar w:fldCharType="begin"/>
          </w:r>
          <w:r>
            <w:instrText xml:space="preserve"> PAGEREF _Toc130756975 \h </w:instrText>
          </w:r>
          <w:r>
            <w:fldChar w:fldCharType="separate"/>
          </w:r>
          <w:r>
            <w:t>1</w:t>
          </w:r>
          <w:r>
            <w:fldChar w:fldCharType="end"/>
          </w:r>
          <w:r>
            <w:fldChar w:fldCharType="end"/>
          </w:r>
        </w:p>
        <w:p>
          <w:pPr>
            <w:pStyle w:val="5"/>
            <w:tabs>
              <w:tab w:val="right" w:leader="dot" w:pos="9016"/>
            </w:tabs>
            <w:spacing w:before="163" w:line="360" w:lineRule="auto"/>
          </w:pPr>
          <w:r>
            <w:fldChar w:fldCharType="begin"/>
          </w:r>
          <w:r>
            <w:instrText xml:space="preserve"> HYPERLINK \l "_Toc130756976" </w:instrText>
          </w:r>
          <w:r>
            <w:fldChar w:fldCharType="separate"/>
          </w:r>
          <w:r>
            <w:rPr>
              <w:rStyle w:val="10"/>
            </w:rPr>
            <w:t>HR Analysis of Huawei</w:t>
          </w:r>
          <w:r>
            <w:tab/>
          </w:r>
          <w:r>
            <w:fldChar w:fldCharType="begin"/>
          </w:r>
          <w:r>
            <w:instrText xml:space="preserve"> PAGEREF _Toc130756976 \h </w:instrText>
          </w:r>
          <w:r>
            <w:fldChar w:fldCharType="separate"/>
          </w:r>
          <w:r>
            <w:t>1</w:t>
          </w:r>
          <w:r>
            <w:fldChar w:fldCharType="end"/>
          </w:r>
          <w:r>
            <w:fldChar w:fldCharType="end"/>
          </w:r>
        </w:p>
        <w:p>
          <w:pPr>
            <w:pStyle w:val="5"/>
            <w:tabs>
              <w:tab w:val="right" w:leader="dot" w:pos="9016"/>
            </w:tabs>
            <w:spacing w:before="163" w:line="360" w:lineRule="auto"/>
          </w:pPr>
          <w:r>
            <w:fldChar w:fldCharType="begin"/>
          </w:r>
          <w:r>
            <w:instrText xml:space="preserve"> HYPERLINK \l "_Toc130756977" </w:instrText>
          </w:r>
          <w:r>
            <w:fldChar w:fldCharType="separate"/>
          </w:r>
          <w:r>
            <w:rPr>
              <w:rStyle w:val="10"/>
            </w:rPr>
            <w:t>Executive Summary</w:t>
          </w:r>
          <w:r>
            <w:tab/>
          </w:r>
          <w:r>
            <w:fldChar w:fldCharType="begin"/>
          </w:r>
          <w:r>
            <w:instrText xml:space="preserve"> PAGEREF _Toc130756977 \h </w:instrText>
          </w:r>
          <w:r>
            <w:fldChar w:fldCharType="separate"/>
          </w:r>
          <w:r>
            <w:t>2</w:t>
          </w:r>
          <w:r>
            <w:fldChar w:fldCharType="end"/>
          </w:r>
          <w:r>
            <w:fldChar w:fldCharType="end"/>
          </w:r>
        </w:p>
        <w:p>
          <w:pPr>
            <w:pStyle w:val="6"/>
            <w:tabs>
              <w:tab w:val="left" w:pos="840"/>
              <w:tab w:val="right" w:leader="dot" w:pos="9016"/>
            </w:tabs>
            <w:spacing w:before="163" w:line="360" w:lineRule="auto"/>
            <w:ind w:left="480"/>
            <w:rPr>
              <w:rFonts w:asciiTheme="minorHAnsi" w:hAnsiTheme="minorHAnsi" w:eastAsiaTheme="minorEastAsia"/>
              <w:sz w:val="21"/>
            </w:rPr>
          </w:pPr>
          <w:r>
            <w:fldChar w:fldCharType="begin"/>
          </w:r>
          <w:r>
            <w:instrText xml:space="preserve"> HYPERLINK \l "_Toc130756978" </w:instrText>
          </w:r>
          <w:r>
            <w:fldChar w:fldCharType="separate"/>
          </w:r>
          <w:r>
            <w:rPr>
              <w:rStyle w:val="10"/>
            </w:rPr>
            <w:t>1.</w:t>
          </w:r>
          <w:r>
            <w:rPr>
              <w:rFonts w:asciiTheme="minorHAnsi" w:hAnsiTheme="minorHAnsi" w:eastAsiaTheme="minorEastAsia"/>
              <w:sz w:val="21"/>
            </w:rPr>
            <w:tab/>
          </w:r>
          <w:r>
            <w:rPr>
              <w:rStyle w:val="10"/>
            </w:rPr>
            <w:t>Introduction</w:t>
          </w:r>
          <w:r>
            <w:tab/>
          </w:r>
          <w:r>
            <w:fldChar w:fldCharType="begin"/>
          </w:r>
          <w:r>
            <w:instrText xml:space="preserve"> PAGEREF _Toc130756978 \h </w:instrText>
          </w:r>
          <w:r>
            <w:fldChar w:fldCharType="separate"/>
          </w:r>
          <w:r>
            <w:t>4</w:t>
          </w:r>
          <w:r>
            <w:fldChar w:fldCharType="end"/>
          </w:r>
          <w:r>
            <w:fldChar w:fldCharType="end"/>
          </w:r>
        </w:p>
        <w:p>
          <w:pPr>
            <w:pStyle w:val="6"/>
            <w:tabs>
              <w:tab w:val="left" w:pos="840"/>
              <w:tab w:val="right" w:leader="dot" w:pos="9016"/>
            </w:tabs>
            <w:spacing w:before="163" w:line="360" w:lineRule="auto"/>
            <w:ind w:left="480"/>
            <w:rPr>
              <w:rFonts w:asciiTheme="minorHAnsi" w:hAnsiTheme="minorHAnsi" w:eastAsiaTheme="minorEastAsia"/>
              <w:sz w:val="21"/>
            </w:rPr>
          </w:pPr>
          <w:r>
            <w:fldChar w:fldCharType="begin"/>
          </w:r>
          <w:r>
            <w:instrText xml:space="preserve"> HYPERLINK \l "_Toc130756979" </w:instrText>
          </w:r>
          <w:r>
            <w:fldChar w:fldCharType="separate"/>
          </w:r>
          <w:r>
            <w:rPr>
              <w:rStyle w:val="10"/>
            </w:rPr>
            <w:t>2.</w:t>
          </w:r>
          <w:r>
            <w:rPr>
              <w:rFonts w:asciiTheme="minorHAnsi" w:hAnsiTheme="minorHAnsi" w:eastAsiaTheme="minorEastAsia"/>
              <w:sz w:val="21"/>
            </w:rPr>
            <w:tab/>
          </w:r>
          <w:r>
            <w:rPr>
              <w:rStyle w:val="10"/>
            </w:rPr>
            <w:t>Organizational Overview</w:t>
          </w:r>
          <w:r>
            <w:tab/>
          </w:r>
          <w:r>
            <w:fldChar w:fldCharType="begin"/>
          </w:r>
          <w:r>
            <w:instrText xml:space="preserve"> PAGEREF _Toc130756979 \h </w:instrText>
          </w:r>
          <w:r>
            <w:fldChar w:fldCharType="separate"/>
          </w:r>
          <w:r>
            <w:t>4</w:t>
          </w:r>
          <w:r>
            <w:fldChar w:fldCharType="end"/>
          </w:r>
          <w:r>
            <w:fldChar w:fldCharType="end"/>
          </w:r>
        </w:p>
        <w:p>
          <w:pPr>
            <w:pStyle w:val="6"/>
            <w:tabs>
              <w:tab w:val="left" w:pos="840"/>
              <w:tab w:val="right" w:leader="dot" w:pos="9016"/>
            </w:tabs>
            <w:spacing w:before="163" w:line="360" w:lineRule="auto"/>
            <w:ind w:left="480"/>
            <w:rPr>
              <w:rFonts w:asciiTheme="minorHAnsi" w:hAnsiTheme="minorHAnsi" w:eastAsiaTheme="minorEastAsia"/>
              <w:sz w:val="21"/>
            </w:rPr>
          </w:pPr>
          <w:r>
            <w:fldChar w:fldCharType="begin"/>
          </w:r>
          <w:r>
            <w:instrText xml:space="preserve"> HYPERLINK \l "_Toc130756980" </w:instrText>
          </w:r>
          <w:r>
            <w:fldChar w:fldCharType="separate"/>
          </w:r>
          <w:r>
            <w:rPr>
              <w:rStyle w:val="10"/>
            </w:rPr>
            <w:t>3.</w:t>
          </w:r>
          <w:r>
            <w:rPr>
              <w:rFonts w:asciiTheme="minorHAnsi" w:hAnsiTheme="minorHAnsi" w:eastAsiaTheme="minorEastAsia"/>
              <w:sz w:val="21"/>
            </w:rPr>
            <w:tab/>
          </w:r>
          <w:r>
            <w:rPr>
              <w:rStyle w:val="10"/>
            </w:rPr>
            <w:t>Priority Areas</w:t>
          </w:r>
          <w:r>
            <w:tab/>
          </w:r>
          <w:r>
            <w:fldChar w:fldCharType="begin"/>
          </w:r>
          <w:r>
            <w:instrText xml:space="preserve"> PAGEREF _Toc130756980 \h </w:instrText>
          </w:r>
          <w:r>
            <w:fldChar w:fldCharType="separate"/>
          </w:r>
          <w:r>
            <w:t>4</w:t>
          </w:r>
          <w:r>
            <w:fldChar w:fldCharType="end"/>
          </w:r>
          <w:r>
            <w:fldChar w:fldCharType="end"/>
          </w:r>
        </w:p>
        <w:p>
          <w:pPr>
            <w:pStyle w:val="6"/>
            <w:tabs>
              <w:tab w:val="left" w:pos="840"/>
              <w:tab w:val="right" w:leader="dot" w:pos="9016"/>
            </w:tabs>
            <w:spacing w:before="163" w:line="360" w:lineRule="auto"/>
            <w:ind w:left="480"/>
            <w:rPr>
              <w:rFonts w:asciiTheme="minorHAnsi" w:hAnsiTheme="minorHAnsi" w:eastAsiaTheme="minorEastAsia"/>
              <w:sz w:val="21"/>
            </w:rPr>
          </w:pPr>
          <w:r>
            <w:fldChar w:fldCharType="begin"/>
          </w:r>
          <w:r>
            <w:instrText xml:space="preserve"> HYPERLINK \l "_Toc130756981" </w:instrText>
          </w:r>
          <w:r>
            <w:fldChar w:fldCharType="separate"/>
          </w:r>
          <w:r>
            <w:rPr>
              <w:rStyle w:val="10"/>
            </w:rPr>
            <w:t>4.</w:t>
          </w:r>
          <w:r>
            <w:rPr>
              <w:rFonts w:asciiTheme="minorHAnsi" w:hAnsiTheme="minorHAnsi" w:eastAsiaTheme="minorEastAsia"/>
              <w:sz w:val="21"/>
            </w:rPr>
            <w:tab/>
          </w:r>
          <w:r>
            <w:rPr>
              <w:rStyle w:val="10"/>
            </w:rPr>
            <w:t>Adverse Effects</w:t>
          </w:r>
          <w:r>
            <w:tab/>
          </w:r>
          <w:r>
            <w:fldChar w:fldCharType="begin"/>
          </w:r>
          <w:r>
            <w:instrText xml:space="preserve"> PAGEREF _Toc130756981 \h </w:instrText>
          </w:r>
          <w:r>
            <w:fldChar w:fldCharType="separate"/>
          </w:r>
          <w:r>
            <w:t>5</w:t>
          </w:r>
          <w:r>
            <w:fldChar w:fldCharType="end"/>
          </w:r>
          <w:r>
            <w:fldChar w:fldCharType="end"/>
          </w:r>
        </w:p>
        <w:p>
          <w:pPr>
            <w:pStyle w:val="6"/>
            <w:tabs>
              <w:tab w:val="left" w:pos="840"/>
              <w:tab w:val="right" w:leader="dot" w:pos="9016"/>
            </w:tabs>
            <w:spacing w:before="163" w:line="360" w:lineRule="auto"/>
            <w:ind w:left="480"/>
            <w:rPr>
              <w:rFonts w:asciiTheme="minorHAnsi" w:hAnsiTheme="minorHAnsi" w:eastAsiaTheme="minorEastAsia"/>
              <w:sz w:val="21"/>
            </w:rPr>
          </w:pPr>
          <w:r>
            <w:fldChar w:fldCharType="begin"/>
          </w:r>
          <w:r>
            <w:instrText xml:space="preserve"> HYPERLINK \l "_Toc130756982" </w:instrText>
          </w:r>
          <w:r>
            <w:fldChar w:fldCharType="separate"/>
          </w:r>
          <w:r>
            <w:rPr>
              <w:rStyle w:val="10"/>
            </w:rPr>
            <w:t>5.</w:t>
          </w:r>
          <w:r>
            <w:rPr>
              <w:rFonts w:asciiTheme="minorHAnsi" w:hAnsiTheme="minorHAnsi" w:eastAsiaTheme="minorEastAsia"/>
              <w:sz w:val="21"/>
            </w:rPr>
            <w:tab/>
          </w:r>
          <w:r>
            <w:rPr>
              <w:rStyle w:val="10"/>
            </w:rPr>
            <w:t>Benefits of Improvement</w:t>
          </w:r>
          <w:r>
            <w:tab/>
          </w:r>
          <w:r>
            <w:fldChar w:fldCharType="begin"/>
          </w:r>
          <w:r>
            <w:instrText xml:space="preserve"> PAGEREF _Toc130756982 \h </w:instrText>
          </w:r>
          <w:r>
            <w:fldChar w:fldCharType="separate"/>
          </w:r>
          <w:r>
            <w:t>7</w:t>
          </w:r>
          <w:r>
            <w:fldChar w:fldCharType="end"/>
          </w:r>
          <w:r>
            <w:fldChar w:fldCharType="end"/>
          </w:r>
        </w:p>
        <w:p>
          <w:pPr>
            <w:pStyle w:val="6"/>
            <w:tabs>
              <w:tab w:val="left" w:pos="840"/>
              <w:tab w:val="right" w:leader="dot" w:pos="9016"/>
            </w:tabs>
            <w:spacing w:before="163" w:line="360" w:lineRule="auto"/>
            <w:ind w:left="480"/>
            <w:rPr>
              <w:rFonts w:asciiTheme="minorHAnsi" w:hAnsiTheme="minorHAnsi" w:eastAsiaTheme="minorEastAsia"/>
              <w:sz w:val="21"/>
            </w:rPr>
          </w:pPr>
          <w:r>
            <w:fldChar w:fldCharType="begin"/>
          </w:r>
          <w:r>
            <w:instrText xml:space="preserve"> HYPERLINK \l "_Toc130756983" </w:instrText>
          </w:r>
          <w:r>
            <w:fldChar w:fldCharType="separate"/>
          </w:r>
          <w:r>
            <w:rPr>
              <w:rStyle w:val="10"/>
            </w:rPr>
            <w:t>6.</w:t>
          </w:r>
          <w:r>
            <w:rPr>
              <w:rFonts w:asciiTheme="minorHAnsi" w:hAnsiTheme="minorHAnsi" w:eastAsiaTheme="minorEastAsia"/>
              <w:sz w:val="21"/>
            </w:rPr>
            <w:tab/>
          </w:r>
          <w:r>
            <w:rPr>
              <w:rStyle w:val="10"/>
            </w:rPr>
            <w:t>Conclusion</w:t>
          </w:r>
          <w:r>
            <w:tab/>
          </w:r>
          <w:r>
            <w:fldChar w:fldCharType="begin"/>
          </w:r>
          <w:r>
            <w:instrText xml:space="preserve"> PAGEREF _Toc130756983 \h </w:instrText>
          </w:r>
          <w:r>
            <w:fldChar w:fldCharType="separate"/>
          </w:r>
          <w:r>
            <w:t>7</w:t>
          </w:r>
          <w:r>
            <w:fldChar w:fldCharType="end"/>
          </w:r>
          <w:r>
            <w:fldChar w:fldCharType="end"/>
          </w:r>
        </w:p>
        <w:p>
          <w:pPr>
            <w:pStyle w:val="6"/>
            <w:tabs>
              <w:tab w:val="left" w:pos="840"/>
              <w:tab w:val="right" w:leader="dot" w:pos="9016"/>
            </w:tabs>
            <w:spacing w:before="163" w:line="360" w:lineRule="auto"/>
            <w:ind w:left="480"/>
            <w:rPr>
              <w:rFonts w:asciiTheme="minorHAnsi" w:hAnsiTheme="minorHAnsi" w:eastAsiaTheme="minorEastAsia"/>
              <w:sz w:val="21"/>
            </w:rPr>
          </w:pPr>
          <w:r>
            <w:fldChar w:fldCharType="begin"/>
          </w:r>
          <w:r>
            <w:instrText xml:space="preserve"> HYPERLINK \l "_Toc130756984" </w:instrText>
          </w:r>
          <w:r>
            <w:fldChar w:fldCharType="separate"/>
          </w:r>
          <w:r>
            <w:rPr>
              <w:rStyle w:val="10"/>
            </w:rPr>
            <w:t>7.</w:t>
          </w:r>
          <w:r>
            <w:rPr>
              <w:rFonts w:asciiTheme="minorHAnsi" w:hAnsiTheme="minorHAnsi" w:eastAsiaTheme="minorEastAsia"/>
              <w:sz w:val="21"/>
            </w:rPr>
            <w:tab/>
          </w:r>
          <w:r>
            <w:rPr>
              <w:rStyle w:val="10"/>
            </w:rPr>
            <w:t>Recommendations</w:t>
          </w:r>
          <w:r>
            <w:tab/>
          </w:r>
          <w:r>
            <w:fldChar w:fldCharType="begin"/>
          </w:r>
          <w:r>
            <w:instrText xml:space="preserve"> PAGEREF _Toc130756984 \h </w:instrText>
          </w:r>
          <w:r>
            <w:fldChar w:fldCharType="separate"/>
          </w:r>
          <w:r>
            <w:t>8</w:t>
          </w:r>
          <w:r>
            <w:fldChar w:fldCharType="end"/>
          </w:r>
          <w:r>
            <w:fldChar w:fldCharType="end"/>
          </w:r>
        </w:p>
        <w:p>
          <w:pPr>
            <w:pStyle w:val="6"/>
            <w:tabs>
              <w:tab w:val="left" w:pos="840"/>
              <w:tab w:val="right" w:leader="dot" w:pos="9016"/>
            </w:tabs>
            <w:spacing w:before="163" w:line="360" w:lineRule="auto"/>
            <w:ind w:left="480"/>
            <w:rPr>
              <w:rFonts w:asciiTheme="minorHAnsi" w:hAnsiTheme="minorHAnsi" w:eastAsiaTheme="minorEastAsia"/>
              <w:sz w:val="21"/>
            </w:rPr>
          </w:pPr>
          <w:r>
            <w:fldChar w:fldCharType="begin"/>
          </w:r>
          <w:r>
            <w:instrText xml:space="preserve"> HYPERLINK \l "_Toc130756985" </w:instrText>
          </w:r>
          <w:r>
            <w:fldChar w:fldCharType="separate"/>
          </w:r>
          <w:r>
            <w:rPr>
              <w:rStyle w:val="10"/>
            </w:rPr>
            <w:t>8.</w:t>
          </w:r>
          <w:r>
            <w:rPr>
              <w:rFonts w:asciiTheme="minorHAnsi" w:hAnsiTheme="minorHAnsi" w:eastAsiaTheme="minorEastAsia"/>
              <w:sz w:val="21"/>
            </w:rPr>
            <w:tab/>
          </w:r>
          <w:r>
            <w:rPr>
              <w:rStyle w:val="10"/>
            </w:rPr>
            <w:t>References List:</w:t>
          </w:r>
          <w:r>
            <w:tab/>
          </w:r>
          <w:r>
            <w:fldChar w:fldCharType="begin"/>
          </w:r>
          <w:r>
            <w:instrText xml:space="preserve"> PAGEREF _Toc130756985 \h </w:instrText>
          </w:r>
          <w:r>
            <w:fldChar w:fldCharType="separate"/>
          </w:r>
          <w:r>
            <w:t>10</w:t>
          </w:r>
          <w:r>
            <w:fldChar w:fldCharType="end"/>
          </w:r>
          <w:r>
            <w:fldChar w:fldCharType="end"/>
          </w:r>
        </w:p>
        <w:p>
          <w:pPr>
            <w:spacing w:before="163" w:line="360" w:lineRule="auto"/>
          </w:pPr>
          <w:r>
            <w:rPr>
              <w:b/>
              <w:bCs/>
              <w:lang w:val="zh-CN"/>
            </w:rPr>
            <w:fldChar w:fldCharType="end"/>
          </w:r>
        </w:p>
      </w:sdtContent>
    </w:sdt>
    <w:p>
      <w:pPr>
        <w:spacing w:before="163" w:line="360" w:lineRule="auto"/>
      </w:pPr>
    </w:p>
    <w:p>
      <w:pPr>
        <w:spacing w:before="163" w:line="360" w:lineRule="auto"/>
        <w:rPr>
          <w:rFonts w:hint="eastAsia"/>
        </w:rPr>
      </w:pPr>
      <w:r>
        <w:br w:type="page"/>
      </w:r>
    </w:p>
    <w:p>
      <w:pPr>
        <w:pStyle w:val="3"/>
      </w:pPr>
      <w:bookmarkStart w:id="3" w:name="_Toc130756978"/>
      <w:bookmarkStart w:id="4" w:name="_Toc130756641"/>
      <w:r>
        <w:t>Introduction</w:t>
      </w:r>
      <w:bookmarkEnd w:id="3"/>
      <w:bookmarkEnd w:id="4"/>
    </w:p>
    <w:p>
      <w:pPr>
        <w:spacing w:before="163" w:line="360" w:lineRule="auto"/>
        <w:ind w:firstLine="480" w:firstLineChars="200"/>
      </w:pPr>
      <w:r>
        <w:t xml:space="preserve">Huawei is one of the most well-known private enterprises in China. From the 1980s to the present, the human resource management of this enterprise has gone through the personnel service stage, the standardized and intelligent stage, the business partner stage, and gradually transitioned to today's strategic human resources stage (Shuming et al., 2019). As a customer-centric enterprise, Huawei's human resource management always stands from the perspective of customers, adheres to the principle of long-term hard work, attracts and retains core talents, and promotes production efficiency (Murmann et al., 2021).This article aims to explore Huawei's current </w:t>
      </w:r>
      <w:r>
        <w:rPr>
          <w:b/>
          <w:bCs/>
        </w:rPr>
        <w:t>Recruitment, selection and onboarding priority area</w:t>
      </w:r>
      <w:r>
        <w:t>, put forward the advantages and disadvantages of the system, and put forward reasonable suggestions to provide reference for the company's research in related fields. I specifically analyzed Huawei's current human resource management system, focusing on the recruitment, selection, and entry of talents. First of all, this article briefly introduces Huawei's company profile and human resources system. Secondly, this article discusses the problems that Huawei currently has in the recruitment, selection, and onboarding processes. This paper identifies the current direction in which the organization needs to improve and analyzes the adverse effects of this deficiency from the perspective of the organization, employees, and other stakeholders. Finally, after a brief summary, this paper puts forward targeted improvement suggestions for the above problems.</w:t>
      </w:r>
    </w:p>
    <w:p>
      <w:pPr>
        <w:spacing w:before="163" w:line="360" w:lineRule="auto"/>
      </w:pPr>
    </w:p>
    <w:p>
      <w:pPr>
        <w:pStyle w:val="3"/>
      </w:pPr>
      <w:bookmarkStart w:id="5" w:name="_Toc130756642"/>
      <w:bookmarkStart w:id="6" w:name="_Toc130756979"/>
      <w:r>
        <w:t>Organizational Overview</w:t>
      </w:r>
      <w:bookmarkEnd w:id="5"/>
      <w:bookmarkEnd w:id="6"/>
    </w:p>
    <w:p>
      <w:pPr>
        <w:spacing w:before="163" w:line="360" w:lineRule="auto"/>
        <w:ind w:firstLine="480" w:firstLineChars="200"/>
      </w:pPr>
      <w:r>
        <w:t>Huawei is the world's leading provider of information and communication infrastructure and smart terminals. The private enterprise was founded in 1987. As a global enterprise, its business covers more than 170 countries and regions, and the total number of employees is close to 200,000 (Jolly, 2022). Huawei's human resource management department is divided into three systems, namely, the cadre department, the HR department of each business department, and the HR quality and operations department (Zhu et al., 2019). These three departments perform their own duties and develop together. Huawei attaches great importance to the human resource management of the enterprise. As a priority field in the enterprise, human resource management has always been a key development department of Huawei, and human resource management occupies an important position in the enterprise. As a business partner, HRBP understands strategy and business, clarifies requirements, takes the lead in integrating COE solutions, and is responsible for the integration and implementation of business solutions (Tang et al., 2022). As an expert center of excellence, HR COE formulates policies and management systems based on concepts to guide the effective operation of HR processes (Patel et al., 2022). HR SSC is an efficient shared service center that provides standardized human resources services, focusing on process execution and transactional work of the service delivery platform (Cheng, 2023).</w:t>
      </w:r>
    </w:p>
    <w:p>
      <w:pPr>
        <w:spacing w:before="163" w:line="360" w:lineRule="auto"/>
      </w:pPr>
    </w:p>
    <w:p>
      <w:pPr>
        <w:pStyle w:val="3"/>
      </w:pPr>
      <w:bookmarkStart w:id="7" w:name="_Toc130756980"/>
      <w:bookmarkStart w:id="8" w:name="_Toc130756643"/>
      <w:r>
        <w:t>Priority Areas</w:t>
      </w:r>
      <w:bookmarkEnd w:id="7"/>
      <w:bookmarkEnd w:id="8"/>
    </w:p>
    <w:p>
      <w:pPr>
        <w:spacing w:before="163" w:line="360" w:lineRule="auto"/>
        <w:ind w:firstLine="480" w:firstLineChars="200"/>
      </w:pPr>
      <w:r>
        <w:t>Recruitment, selection, and onboarding are priority areas for Huawei to improve. This area is important to Huawei. First, recruitment is the process of generating a candidate pool from which suitable individuals are selected to fill job vacancies (Heery &amp; Noon, 2008). For a large organization like Huawei, reasonable recruitment can absorb more resources and create more engaged employees (Armstrong, 2020). Second, selection is the step of selecting suitable candidates for current or future direct vacancies (Henderson, 2017), which determines the quality of new hires. Finally, onboarding is the process of integrating new people into the organization, which ensures that fresh talent can be effective quickly (Armstrong, 2020). Although there is a comprehensive talent selection mechanism and training plan, in Huawei's recruitment, selection, and onboarding system, the HR department focuses all recruitment on campus recruitment. Although the epidemic has led to a severe economic situation in the global market, Huawei has never been the most sensitive to the economy and the external environment and even lags behind in many cases. In principle, Huawei stops ordinary social recruitment, and departments that are not within the scope of outstanding former students, key scarce talents, or company special recruitment are not allowed to issue offers. Special circumstances must be approved by the rotating chairman (Chen, 2019). Such a recruitment method is not conducive to absorbing diverse talents, so Huawei needs to improve.</w:t>
      </w:r>
    </w:p>
    <w:p>
      <w:pPr>
        <w:spacing w:before="163" w:line="360" w:lineRule="auto"/>
      </w:pPr>
    </w:p>
    <w:p>
      <w:pPr>
        <w:pStyle w:val="3"/>
      </w:pPr>
      <w:bookmarkStart w:id="9" w:name="_Toc130756981"/>
      <w:bookmarkStart w:id="10" w:name="_Toc130756644"/>
      <w:r>
        <w:t>Adverse Effects</w:t>
      </w:r>
      <w:bookmarkEnd w:id="9"/>
      <w:bookmarkEnd w:id="10"/>
    </w:p>
    <w:p>
      <w:pPr>
        <w:spacing w:before="163" w:line="360" w:lineRule="auto"/>
        <w:ind w:firstLine="480" w:firstLineChars="200"/>
      </w:pPr>
      <w:r>
        <w:t>Huawei's use of campus recruitment as the only channel for recruiting the vast majority of talents has had a negative impact on the performance of the organization. The specific impact mechanism is concentrated in the following three aspects:</w:t>
      </w:r>
    </w:p>
    <w:p>
      <w:pPr>
        <w:spacing w:before="163" w:line="360" w:lineRule="auto"/>
        <w:ind w:firstLine="480" w:firstLineChars="200"/>
      </w:pPr>
      <w:r>
        <w:t>From an organizational perspective, first of all, campus recruitment requires medium- and long-term human resource planning (Jahan, 2020). This can take a lot of time and effort. Huawei puts all the focus on campus recruitment, which will lead to greater pressure on the organization's human resource planning (Chelladurai &amp; Kim, 2022). Due to the relatively concentrated time for campus recruitment, there are only two time periods: March-April and July-August. Huawei needs to recruit most of the employees that the company needs within a year during this period. At the same time, during this period of time, major companies will also join the competition for campus recruitment. For the organization, it not only faces the pressure of recruitment and selection but also competes with other companies for high-quality employees. If the organization wants to recruit the best employees, it needs to face challenges. In addition, due to the long preparation time, cumbersome screening process, and uncertainty brought to the enterprise when job seekers face multiple offers, the cost of organizational recruitment has increased significantly (Anand et al., 2018).</w:t>
      </w:r>
    </w:p>
    <w:p>
      <w:pPr>
        <w:spacing w:before="163" w:line="360" w:lineRule="auto"/>
        <w:ind w:firstLine="480" w:firstLineChars="200"/>
      </w:pPr>
      <w:r>
        <w:t>Secondly, companies that rely too much on campus recruitment must pay for the social adaptability of fresh graduates. When students grow up in the company for two or three years and start to have some work experience, it is the time when they start to feel burnout about the company and their career, and there is a high risk of brain drain. Especially when graduates are not unified in the contradiction between work ideals and reality, they will resign because they do not adapt to society (Mourtgos et al., 2022). At this time, the organization must face a new round of talent recruitment, talent training, and other issues. This will consume more time and effort. At the same time, a high turnover rate may affect the corporate image (Yasin, 2021) and may put the company at a disadvantage in the competition with other companies when recruiting new talents.</w:t>
      </w:r>
    </w:p>
    <w:p>
      <w:pPr>
        <w:spacing w:before="163" w:line="360" w:lineRule="auto"/>
        <w:ind w:firstLine="482" w:firstLineChars="200"/>
      </w:pPr>
      <w:r>
        <w:rPr>
          <w:b/>
          <w:bCs/>
        </w:rPr>
        <w:t>From the perspective of employees,</w:t>
      </w:r>
      <w:r>
        <w:t xml:space="preserve"> first of all, employees in the human resources department, on the one hand, the cumbersome recruitment process and huge personnel demand will bring recruitment pressure. The mental health of human resources practitioners is related to their job performance, which directly affects the recruitment process of enterprises. Campus recruitment takes a long time and costs a lot, and human resources practitioners need to spend more time and energy on recruitment and selection than social recruitment. Using school recruitment as the main recruitment method may bring greater psychological pressure (Hamouche, 2021). </w:t>
      </w:r>
    </w:p>
    <w:p>
      <w:pPr>
        <w:spacing w:before="163" w:line="360" w:lineRule="auto"/>
        <w:ind w:firstLine="480" w:firstLineChars="200"/>
      </w:pPr>
      <w:r>
        <w:t xml:space="preserve">On the other hand, </w:t>
      </w:r>
      <w:r>
        <w:rPr>
          <w:b/>
          <w:bCs/>
        </w:rPr>
        <w:t>post-hiring onboarding</w:t>
      </w:r>
      <w:r>
        <w:t xml:space="preserve"> takes more effort. If most of the new employees rely on campus recruitment, it will be more difficult for induction training and later talent cultivation at enterprises (Choudhury et al., 2023). Unlike job seekers recruited from the community, fresh graduates generally have no relevant work experience or social experience. Therefore, Huawei's human resources department needs to invest a lot of patience and money in training. One disadvantage of relying on campus recruitment is that the management talents needed by the company need to be selected from within the company, which leads to the need for a mature manager to consume a lot of resources and money for the company. This also increases the workload of the HR department to a certain extent. When an enterprise's human resources department spends most of its energy on recruitment, selection, and training, it will inevitably affect the performance of other human resources activities.</w:t>
      </w:r>
    </w:p>
    <w:p>
      <w:pPr>
        <w:spacing w:before="163" w:line="360" w:lineRule="auto"/>
        <w:ind w:firstLine="482" w:firstLineChars="200"/>
      </w:pPr>
      <w:r>
        <w:rPr>
          <w:b/>
          <w:bCs/>
        </w:rPr>
        <w:t xml:space="preserve">For managers. </w:t>
      </w:r>
      <w:r>
        <w:t>The difficulty of management increases. If the focus of recruitment is on campus recruitment, it will lead to common characteristics among new employees. Studies have shown that the new generation of fresh graduates is self-centered and difficult to manage (Yokoyama &amp; Bando, 2019). New students have strong self-awareness and are not bound by workplace rules, which can easily break the balance of team management and increase the difficulty of management (Magano et al., 2020). This makes it difficult for managers to manage their teams on a day-to-day basis.</w:t>
      </w:r>
    </w:p>
    <w:p>
      <w:pPr>
        <w:spacing w:before="163" w:line="360" w:lineRule="auto"/>
        <w:ind w:firstLine="482" w:firstLineChars="200"/>
      </w:pPr>
      <w:r>
        <w:rPr>
          <w:b/>
          <w:bCs/>
        </w:rPr>
        <w:t>For ordinary employees,</w:t>
      </w:r>
      <w:r>
        <w:t xml:space="preserve"> fresh graduates tend to form a network within the organization (Succi &amp; Canovi, 2020), which is not conducive to creating a good atmosphere. Students from the same class or the same university are more likely to form small groups because of their shared interests. This is considered detrimental to the unity of the entire organization and to the creation of a good working atmosphere.</w:t>
      </w:r>
    </w:p>
    <w:p>
      <w:pPr>
        <w:spacing w:before="163" w:line="360" w:lineRule="auto"/>
        <w:ind w:firstLine="482" w:firstLineChars="200"/>
      </w:pPr>
      <w:r>
        <w:rPr>
          <w:b/>
          <w:bCs/>
        </w:rPr>
        <w:t>For other stakeholders,</w:t>
      </w:r>
      <w:r>
        <w:t xml:space="preserve"> the impact of an over-reliance on campus recruitment on organizational performance may have secondary harm. The profit distribution to shareholders is related to the operation of the entire enterprise. Excessive recruitment costs will increase expenses, affect the organization's performance, and then affect shareholders' rights and interests. At the same time, the high mobility of employees brought about by campus recruitment has given opportunities to other competitors. Due to the pressure of recruitment and training and the lack of adaptation of fresh graduates, the employees who leave have become the social recruitment targets of other competitors. The cost of recruiting these talents is lower for rival companies, and it is easier for them to absorb social talents with more advantages. This can help them gain an advantage in the competition. In addition, for job seekers with certain experience in society, large enterprises like Huawei are their first choice of candidates. And Huawei's excessive focus on campus recruitment has ruined their job opportunities. This puts pressure on their candidates, and at the same time, they are reluctant to go to smaller companies. This results in more job seekers staying out of work longer. This puts pressure on local social security departments (Hadley &amp; McGrath, 2021).</w:t>
      </w:r>
    </w:p>
    <w:p>
      <w:pPr>
        <w:spacing w:before="163" w:line="360" w:lineRule="auto"/>
      </w:pPr>
    </w:p>
    <w:p>
      <w:pPr>
        <w:pStyle w:val="3"/>
      </w:pPr>
      <w:bookmarkStart w:id="11" w:name="_Toc130756645"/>
      <w:bookmarkStart w:id="12" w:name="_Toc130756982"/>
      <w:r>
        <w:t>Benefits of Improvement</w:t>
      </w:r>
      <w:bookmarkEnd w:id="11"/>
      <w:bookmarkEnd w:id="12"/>
    </w:p>
    <w:p>
      <w:pPr>
        <w:spacing w:before="163" w:line="360" w:lineRule="auto"/>
        <w:ind w:firstLine="480" w:firstLineChars="200"/>
      </w:pPr>
      <w:r>
        <w:t>For the above three perspectives, Huawei’s improvement of the current recruitment and selection system can bring obvious benefits. First of all, for the organization, balancing the relationship between campus recruitment and social recruitment can significantly reduce the organization’s recruitment pressure and reduce costs (Abdalla Hamza et al., 2021). One of the benefits of social recruitment is that companies recruit from the whole society. There are more applicants for each position, and companies have more choices, so the pressure of recruitment will be significantly reduced. Enterprises can more easily screen employees and recruit them on merit. At the same time, social recruitment can be carried out at any time. When a company has a job vacancy at any time, it can quickly obtain useful talents through social recruitment, which will not cause a backlog of recruitment needs. Secondly, for employees, the balance of the number of employees from social backgrounds and fresh graduates ensures the diversity of employees to a certain extent (Clarke, 2018). This can add vitality to the internal innovation of enterprises. At the same time, employees with certain work experience can greatly reduce the training pressure on the human resources department. It is worth noting that employees from different social backgrounds effectively avoid the emergence of small groups, making team management easier. Finally, for other stakeholders, the participation of social recruitment saves time and money in organizational recruitment, allowing the HR department to focus on improving organizational performance, which helps improve the distribution of shareholder benefits. Employees from social backgrounds are considered not to leave easily, which reduces the turnover rate of the organization and prevents competitors from recruiting employees who left Huawei. Moreover, the reasonable recruitment of outstanding job seekers who are waiting for work in society will help the social security department reduce the pressure on personnel allocation and reduce the financial burden caused by the issuance of unemployment subsidies.</w:t>
      </w:r>
    </w:p>
    <w:p>
      <w:pPr>
        <w:spacing w:before="163" w:line="360" w:lineRule="auto"/>
      </w:pPr>
    </w:p>
    <w:p>
      <w:pPr>
        <w:pStyle w:val="3"/>
      </w:pPr>
      <w:bookmarkStart w:id="13" w:name="_Toc130756646"/>
      <w:bookmarkStart w:id="14" w:name="_Toc130756983"/>
      <w:r>
        <w:t>Conclusion</w:t>
      </w:r>
      <w:bookmarkEnd w:id="13"/>
      <w:bookmarkEnd w:id="14"/>
    </w:p>
    <w:p>
      <w:pPr>
        <w:spacing w:before="163" w:line="360" w:lineRule="auto"/>
        <w:ind w:firstLine="480" w:firstLineChars="200"/>
      </w:pPr>
      <w:r>
        <w:t>Being one of the most well-known companies in China, Huawei attaches great importance to the recruitment and training of talent. However, in recent years, Huawei has gradually started to recruit from the society while relying too much on campus recruitment. This creates some intractable problems for the entire enterprise. First of all, excessive reliance on campus recruitment makes the recruitment risk of the entire organization higher, and enterprises have to bear the heavy cost of human resource recruitment, selection, and training. Second, there is an increased burden on HR departments, which can affect organizational performance. This also brings a certain burden to the management activities of managers and the work of ordinary employees. Finally, the rights and interests of some stakeholders are affected. High recruitment and selection costs affect the distribution of shareholders' interests. At the same time, campus recruiting can trigger high turnover, which presents opportunities for competitors. In addition, it is difficult to recruit social talents, which makes the national social security department face the pressure of personnel allocation and financial burden. Therefore, Huawei should consider how to balance the relationship between campus recruitment and social recruitment and provide assistance to all levels of the organization while absorbing talents in an all-round way.</w:t>
      </w:r>
    </w:p>
    <w:p>
      <w:pPr>
        <w:spacing w:before="163" w:line="360" w:lineRule="auto"/>
      </w:pPr>
    </w:p>
    <w:p>
      <w:pPr>
        <w:pStyle w:val="3"/>
      </w:pPr>
      <w:bookmarkStart w:id="15" w:name="_Toc130756647"/>
      <w:bookmarkStart w:id="16" w:name="_Toc130756984"/>
      <w:r>
        <w:t>Recommendations</w:t>
      </w:r>
      <w:bookmarkEnd w:id="15"/>
      <w:bookmarkEnd w:id="16"/>
    </w:p>
    <w:p>
      <w:pPr>
        <w:spacing w:before="163" w:line="360" w:lineRule="auto"/>
        <w:ind w:firstLine="480" w:firstLineChars="200"/>
      </w:pPr>
      <w:r>
        <w:t>Combination of campus recruitment and social recruitment is a feasible solution for Huawei to alleviate the current problems. However, how to balance campus recruitment and social recruitment is a question worth thinking about. First of all, due to different recruiting objectives, enterprises need to establish a recruitment system that is completely different from campus recruitment. Huawei's current need is to obtain a more stable source of talent without facing excessive recruitment pressure. In order to meet this demand, the challenge that enterprises need to face is how to improve the social recruitment process to ensure that they can also absorb high-quality social talents for enterprises in non-campus recruitment seasons. To achieve this, Huawei must formulate a recruitment system based on the characteristics of social job seekers. Unlike recent graduates, social job seekers tend to be more aware of recruitment patterns and are prone to fraud (Drasch &amp; Jungbauer-Gans, 2019). Therefore, when the human resources department is selecting, it is necessary to strengthen the approval and control of the recruitment positions and implement effective tracking and evaluation management. Adding a level of detail to the background check for the interview process is imperative. However, the risk of doing so is that some privacy issues may be involved, which may lead to adverse litigation for enterprises (Bleier et al., 2020).</w:t>
      </w:r>
    </w:p>
    <w:p>
      <w:pPr>
        <w:spacing w:before="163" w:line="360" w:lineRule="auto"/>
        <w:ind w:firstLine="480" w:firstLineChars="200"/>
      </w:pPr>
      <w:r>
        <w:t>Secondly, due to the different time periods of talent supply, the two recruitment plans of enterprises need to communicate and cooperate with each other. The time for campus recruitment is concentrated in April–June and July–August. During this time period, the human resources department of the enterprise needs to focus on campus recruitment. The organization needs to gain a competitive advantage in the campus recruitment process. Because campus recruitment has become a new competitive strategy (Abdalla Hamza et al., 2021), its importance cannot be ignored. And smart social candidates may avoid this more competitive time period. The challenge that enterprises face is that they cannot take into account the needs of the two recruitment modes at the same time. Therefore, during these two time periods, companies can relatively reduce the number of jobs they face. The risk of doing this is that if there are too many candidates for campus recruitment, the company will have no extra positions to allocate to the next social recruitment, which may cause the organization to lose some outstanding social talents.</w:t>
      </w:r>
    </w:p>
    <w:p>
      <w:pPr>
        <w:spacing w:before="163" w:line="360" w:lineRule="auto"/>
        <w:ind w:firstLine="480" w:firstLineChars="200"/>
      </w:pPr>
      <w:r>
        <w:t>Finally, due to different recruitment purposes, companies need to conduct personalized induction training for different employees. For school enrollment, what the company sees is his future ability. As for social recruitment, what the company sees is his current ability and value. The needs of enterprises at this stage are to better retain employees and allow employees to fully integrate into the organization. The challenge that organizations need to face is how to ensure a low turnover rate and a high sense of organizational identity in the face of new employees with different backgrounds. Research shows that fresh graduates are more malleable and have a higher degree of cultural identity with the company, but their adaptability is poor (Emerson et al., 2023). Employees with social backgrounds are adaptable but have little room for improvement (de Lucas Ancillo et al., 2021). Therefore, in the induction training process, the human resources department should focus on the cultivation of adaptability. Finding suitable seniors for long-term guidance is one of the feasible solutions. For employees with social backgrounds, effective engagement training is necessary, which may require increased organizational culture training. The risk of doing so is that it may impose prohibitive training costs on the organization.</w:t>
      </w:r>
      <w:r>
        <w:br w:type="page"/>
      </w:r>
    </w:p>
    <w:p>
      <w:pPr>
        <w:pStyle w:val="3"/>
      </w:pPr>
      <w:bookmarkStart w:id="17" w:name="_Toc130756985"/>
      <w:r>
        <w:t>References List:</w:t>
      </w:r>
      <w:bookmarkEnd w:id="17"/>
    </w:p>
    <w:p>
      <w:pPr>
        <w:spacing w:before="163" w:line="360" w:lineRule="auto"/>
        <w:ind w:left="480" w:hanging="480" w:hangingChars="200"/>
      </w:pPr>
      <w:r>
        <w:t xml:space="preserve">Abdalla Hamza, P., Jabbar Othman, B., Gardi, B., Sorguli, S., Mahmood Aziz, H., Ali Ahmed, S., ... and Anwar, G. 2021. Recruitment and selection: The relationship between recruitment and selection with organizational performance. </w:t>
      </w:r>
      <w:r>
        <w:rPr>
          <w:i/>
          <w:iCs/>
        </w:rPr>
        <w:t>Hamza, PA, Othman, BJ, Gardi, B., Sorguli, S., Aziz, HM, Ahmed, SA, Sabir, BY, Ismael, NB, Ali, BJ, Anwar, G.(2021). Recruitment and Selection: The Relationship between Recruitment and Selection with Organizational Performance</w:t>
      </w:r>
      <w:r>
        <w:t>.</w:t>
      </w:r>
    </w:p>
    <w:p>
      <w:pPr>
        <w:spacing w:before="163" w:line="360" w:lineRule="auto"/>
        <w:ind w:left="480" w:hanging="480" w:hangingChars="200"/>
        <w:rPr>
          <w:lang w:val="en-GB"/>
        </w:rPr>
      </w:pPr>
      <w:r>
        <w:rPr>
          <w:lang w:val="en-GB"/>
        </w:rPr>
        <w:t xml:space="preserve">Armstrong, M. 2020 </w:t>
      </w:r>
      <w:r>
        <w:rPr>
          <w:i/>
          <w:iCs/>
          <w:lang w:val="en-GB"/>
        </w:rPr>
        <w:t>Armstrong's Handbook of Human Resource Management Practice.</w:t>
      </w:r>
      <w:r>
        <w:rPr>
          <w:lang w:val="en-GB"/>
        </w:rPr>
        <w:t xml:space="preserve"> 15</w:t>
      </w:r>
      <w:r>
        <w:rPr>
          <w:vertAlign w:val="superscript"/>
          <w:lang w:val="en-GB"/>
        </w:rPr>
        <w:t>th</w:t>
      </w:r>
      <w:r>
        <w:rPr>
          <w:lang w:val="en-GB"/>
        </w:rPr>
        <w:t xml:space="preserve"> Ed. London: Konan Page</w:t>
      </w:r>
    </w:p>
    <w:p>
      <w:pPr>
        <w:spacing w:before="163" w:line="360" w:lineRule="auto"/>
        <w:ind w:left="480" w:hanging="480" w:hangingChars="200"/>
      </w:pPr>
      <w:r>
        <w:t xml:space="preserve">Anand, V. V., Shanthanlakshmi, M., Srinivasan, G. U., Arunkumar, V., Icewarya, G., Nandhu, S. and Kamatchi, S. M. 2018. A study on effectiveness of recruitment organizational support in ITes. </w:t>
      </w:r>
      <w:r>
        <w:rPr>
          <w:i/>
          <w:iCs/>
        </w:rPr>
        <w:t>International Journal of Pure and Applied Mathematics</w:t>
      </w:r>
      <w:r>
        <w:t xml:space="preserve">, </w:t>
      </w:r>
      <w:r>
        <w:rPr>
          <w:i/>
          <w:iCs/>
        </w:rPr>
        <w:t>119</w:t>
      </w:r>
      <w:r>
        <w:t>(7), 2755-2764.</w:t>
      </w:r>
    </w:p>
    <w:p>
      <w:pPr>
        <w:spacing w:before="163" w:line="360" w:lineRule="auto"/>
        <w:ind w:left="480" w:hanging="480" w:hangingChars="200"/>
      </w:pPr>
      <w:r>
        <w:t xml:space="preserve">Bleier, A., Goldfarb, A. and Tucker, C. 2020. Consumer privacy and the future of data-based innovation and marketing. </w:t>
      </w:r>
      <w:r>
        <w:rPr>
          <w:i/>
          <w:iCs/>
        </w:rPr>
        <w:t>International Journal of Research in Marketing</w:t>
      </w:r>
      <w:r>
        <w:t xml:space="preserve">, </w:t>
      </w:r>
      <w:r>
        <w:rPr>
          <w:i/>
          <w:iCs/>
        </w:rPr>
        <w:t>37</w:t>
      </w:r>
      <w:r>
        <w:t>(3), 466-480.</w:t>
      </w:r>
    </w:p>
    <w:p>
      <w:pPr>
        <w:spacing w:before="163" w:line="360" w:lineRule="auto"/>
        <w:ind w:left="480" w:hanging="480" w:hangingChars="200"/>
      </w:pPr>
      <w:r>
        <w:t xml:space="preserve">Clarke, M. 2018. Rethinking graduate employability: The role of capital, individual attributes and context. </w:t>
      </w:r>
      <w:r>
        <w:rPr>
          <w:i/>
          <w:iCs/>
        </w:rPr>
        <w:t>Studies in higher education</w:t>
      </w:r>
      <w:r>
        <w:t xml:space="preserve">, </w:t>
      </w:r>
      <w:r>
        <w:rPr>
          <w:i/>
          <w:iCs/>
        </w:rPr>
        <w:t>43</w:t>
      </w:r>
      <w:r>
        <w:t>(11), 1923-1937</w:t>
      </w:r>
    </w:p>
    <w:p>
      <w:pPr>
        <w:spacing w:before="163" w:line="360" w:lineRule="auto"/>
        <w:ind w:left="480" w:hanging="480" w:hangingChars="200"/>
      </w:pPr>
      <w:r>
        <w:t xml:space="preserve">Choudhury, P., Khanna, T. and Sevcenko, V. 2023. Firm-induced migration paths and strategic human-capital outcomes. </w:t>
      </w:r>
      <w:r>
        <w:rPr>
          <w:i/>
          <w:iCs/>
        </w:rPr>
        <w:t>Management Science</w:t>
      </w:r>
      <w:r>
        <w:t xml:space="preserve">, </w:t>
      </w:r>
      <w:r>
        <w:rPr>
          <w:i/>
          <w:iCs/>
        </w:rPr>
        <w:t>69</w:t>
      </w:r>
      <w:r>
        <w:t>(1), 419-445.</w:t>
      </w:r>
    </w:p>
    <w:p>
      <w:pPr>
        <w:spacing w:before="163" w:line="360" w:lineRule="auto"/>
        <w:ind w:left="480" w:hanging="480" w:hangingChars="200"/>
      </w:pPr>
      <w:r>
        <w:t xml:space="preserve">Chelladurai, P. and Kim, A. C. H. 2022. </w:t>
      </w:r>
      <w:r>
        <w:rPr>
          <w:i/>
          <w:iCs/>
        </w:rPr>
        <w:t>Human resource management in sport and recreation</w:t>
      </w:r>
      <w:r>
        <w:t>. Human Kinetics.</w:t>
      </w:r>
    </w:p>
    <w:p>
      <w:pPr>
        <w:spacing w:before="163" w:line="360" w:lineRule="auto"/>
        <w:ind w:left="480" w:hanging="480" w:hangingChars="200"/>
      </w:pPr>
      <w:r>
        <w:t xml:space="preserve">Chen, X. 2019. </w:t>
      </w:r>
      <w:r>
        <w:rPr>
          <w:i/>
          <w:iCs/>
        </w:rPr>
        <w:t>The exploration of SHRM in Huawei company</w:t>
      </w:r>
      <w:r>
        <w:t xml:space="preserve"> (Master's thesis).</w:t>
      </w:r>
    </w:p>
    <w:p>
      <w:pPr>
        <w:spacing w:before="163" w:line="360" w:lineRule="auto"/>
        <w:ind w:left="480" w:hanging="480" w:hangingChars="200"/>
      </w:pPr>
      <w:r>
        <w:t xml:space="preserve">Cheng, Z. 2023. Research on the Enterprise HRM Program Based on the Three-Pillar Analysis Model. In </w:t>
      </w:r>
      <w:r>
        <w:rPr>
          <w:i/>
          <w:iCs/>
        </w:rPr>
        <w:t>Proceedings of the 4th Management Science Informatization and Economic Innovation Development Conference, MSIEID 2022, December 9-11, 2022, Chongqing, China</w:t>
      </w:r>
    </w:p>
    <w:p>
      <w:pPr>
        <w:spacing w:before="163" w:line="360" w:lineRule="auto"/>
        <w:ind w:left="480" w:hanging="480" w:hangingChars="200"/>
      </w:pPr>
      <w:r>
        <w:t xml:space="preserve">de Lucas Ancillo, A., del Val Núñez, M. T. and Gavrila, S. G. 2021. Workplace change within the COVID-19 context: a grounded theory approach. </w:t>
      </w:r>
      <w:r>
        <w:rPr>
          <w:i/>
          <w:iCs/>
        </w:rPr>
        <w:t>Economic Research-Ekonomska Istraživanja</w:t>
      </w:r>
      <w:r>
        <w:t xml:space="preserve">, </w:t>
      </w:r>
      <w:r>
        <w:rPr>
          <w:i/>
          <w:iCs/>
        </w:rPr>
        <w:t>34</w:t>
      </w:r>
      <w:r>
        <w:t>(1), 2297-2316.</w:t>
      </w:r>
    </w:p>
    <w:p>
      <w:pPr>
        <w:spacing w:before="163" w:line="360" w:lineRule="auto"/>
        <w:ind w:left="480" w:hanging="480" w:hangingChars="200"/>
      </w:pPr>
      <w:bookmarkStart w:id="18" w:name="OLE_LINK12"/>
      <w:r>
        <w:t xml:space="preserve">Emerson, </w:t>
      </w:r>
      <w:bookmarkEnd w:id="18"/>
      <w:r>
        <w:t xml:space="preserve">D. J., Hair Jr, J. F. and Smith, K. J. 2023. Psychological distress, burnout, and business student turnover: The role of resilience as a coping mechanism. </w:t>
      </w:r>
      <w:r>
        <w:rPr>
          <w:i/>
          <w:iCs/>
        </w:rPr>
        <w:t>Research in higher education</w:t>
      </w:r>
      <w:r>
        <w:t xml:space="preserve">, </w:t>
      </w:r>
      <w:r>
        <w:rPr>
          <w:i/>
          <w:iCs/>
        </w:rPr>
        <w:t>64</w:t>
      </w:r>
      <w:r>
        <w:t>(2), 228-259.</w:t>
      </w:r>
    </w:p>
    <w:p>
      <w:pPr>
        <w:spacing w:before="163" w:line="360" w:lineRule="auto"/>
        <w:ind w:left="480" w:hanging="480" w:hangingChars="200"/>
      </w:pPr>
      <w:r>
        <w:t xml:space="preserve">Heery, E. and Noon, M. 2008. </w:t>
      </w:r>
      <w:r>
        <w:rPr>
          <w:i/>
          <w:iCs/>
        </w:rPr>
        <w:t>A dictionary of human resource management</w:t>
      </w:r>
      <w:r>
        <w:t>. OUP Oxford.</w:t>
      </w:r>
    </w:p>
    <w:p>
      <w:pPr>
        <w:spacing w:before="163" w:line="360" w:lineRule="auto"/>
        <w:ind w:left="480" w:hanging="480" w:hangingChars="200"/>
        <w:rPr>
          <w:lang w:val="en-GB"/>
        </w:rPr>
      </w:pPr>
      <w:r>
        <w:rPr>
          <w:lang w:val="en-GB"/>
        </w:rPr>
        <w:t xml:space="preserve">Henderson, I. 2017 </w:t>
      </w:r>
      <w:r>
        <w:rPr>
          <w:i/>
          <w:iCs/>
          <w:lang w:val="en-GB"/>
        </w:rPr>
        <w:t>Human Resource Management for MBA Students</w:t>
      </w:r>
      <w:r>
        <w:rPr>
          <w:lang w:val="en-GB"/>
        </w:rPr>
        <w:t>. 3</w:t>
      </w:r>
      <w:r>
        <w:rPr>
          <w:vertAlign w:val="superscript"/>
          <w:lang w:val="en-GB"/>
        </w:rPr>
        <w:t>rd</w:t>
      </w:r>
      <w:r>
        <w:rPr>
          <w:lang w:val="en-GB"/>
        </w:rPr>
        <w:t xml:space="preserve"> Ed. London: CIPD </w:t>
      </w:r>
    </w:p>
    <w:p>
      <w:pPr>
        <w:spacing w:before="163" w:line="360" w:lineRule="auto"/>
        <w:ind w:left="480" w:hanging="480" w:hangingChars="200"/>
      </w:pPr>
      <w:r>
        <w:t xml:space="preserve">Hadley, R. and McGrath, M. 2021. </w:t>
      </w:r>
      <w:r>
        <w:rPr>
          <w:i/>
          <w:iCs/>
        </w:rPr>
        <w:t>When social services are local: The Normanton experience</w:t>
      </w:r>
      <w:r>
        <w:t>. Routledge.</w:t>
      </w:r>
    </w:p>
    <w:p>
      <w:pPr>
        <w:spacing w:before="163" w:line="360" w:lineRule="auto"/>
        <w:ind w:left="480" w:hanging="480" w:hangingChars="200"/>
      </w:pPr>
      <w:r>
        <w:t xml:space="preserve">Hamouche, S. 2021. Human resource management and the COVID-19 crisis: Implications, challenges, opportunities, and future organizational directions. </w:t>
      </w:r>
      <w:r>
        <w:rPr>
          <w:i/>
          <w:iCs/>
        </w:rPr>
        <w:t>Journal of Management &amp; Organization</w:t>
      </w:r>
      <w:r>
        <w:t>, 1-16.</w:t>
      </w:r>
    </w:p>
    <w:p>
      <w:pPr>
        <w:spacing w:before="163" w:line="360" w:lineRule="auto"/>
        <w:ind w:left="480" w:hanging="480" w:hangingChars="200"/>
      </w:pPr>
      <w:bookmarkStart w:id="19" w:name="OLE_LINK2"/>
      <w:r>
        <w:t>Jolly,</w:t>
      </w:r>
      <w:bookmarkEnd w:id="19"/>
      <w:r>
        <w:t xml:space="preserve"> D. 2022. The Iconic Case of Telecommunications. In </w:t>
      </w:r>
      <w:r>
        <w:rPr>
          <w:i/>
          <w:iCs/>
        </w:rPr>
        <w:t>The New Threat: China’s Rapid Technological Transformation</w:t>
      </w:r>
      <w:r>
        <w:t xml:space="preserve"> (pp. 59-73). Cham: Springer International Publishing.</w:t>
      </w:r>
    </w:p>
    <w:p>
      <w:pPr>
        <w:spacing w:before="163" w:line="360" w:lineRule="auto"/>
        <w:ind w:left="480" w:hanging="480" w:hangingChars="200"/>
      </w:pPr>
      <w:r>
        <w:t>Jahan, S. 2020. Human Resource Planning and Recruitment Process of GTR.</w:t>
      </w:r>
    </w:p>
    <w:p>
      <w:pPr>
        <w:spacing w:before="163" w:line="360" w:lineRule="auto"/>
        <w:ind w:left="480" w:hanging="480" w:hangingChars="200"/>
      </w:pPr>
      <w:r>
        <w:t xml:space="preserve">Krug, G., Drasch, K. and Jungbauer-Gans, M. 2019. The social stigma of unemployment: consequences of stigma consciousness on job search attitudes, behaviour and success. </w:t>
      </w:r>
      <w:r>
        <w:rPr>
          <w:i/>
          <w:iCs/>
        </w:rPr>
        <w:t>Journal for Labour Market Research</w:t>
      </w:r>
      <w:r>
        <w:t xml:space="preserve">, </w:t>
      </w:r>
      <w:r>
        <w:rPr>
          <w:i/>
          <w:iCs/>
        </w:rPr>
        <w:t>53</w:t>
      </w:r>
      <w:r>
        <w:t>(1), 1-27.</w:t>
      </w:r>
    </w:p>
    <w:p>
      <w:pPr>
        <w:spacing w:before="163" w:line="360" w:lineRule="auto"/>
        <w:ind w:left="480" w:hanging="480" w:hangingChars="200"/>
      </w:pPr>
      <w:r>
        <w:t xml:space="preserve">Magano, J., Silva, C., Figueiredo, C., Vitória, A., Nogueira, T. and Pimenta Dinis, M. A. (2020). Generation Z: Fitting project management soft skills competencies—A mixed-method approach. </w:t>
      </w:r>
      <w:r>
        <w:rPr>
          <w:i/>
          <w:iCs/>
        </w:rPr>
        <w:t>Education sciences</w:t>
      </w:r>
      <w:r>
        <w:t xml:space="preserve">, </w:t>
      </w:r>
      <w:r>
        <w:rPr>
          <w:i/>
          <w:iCs/>
        </w:rPr>
        <w:t>10</w:t>
      </w:r>
      <w:r>
        <w:t>(7), 187.</w:t>
      </w:r>
    </w:p>
    <w:p>
      <w:pPr>
        <w:spacing w:before="163" w:line="360" w:lineRule="auto"/>
        <w:ind w:left="480" w:hanging="480" w:hangingChars="200"/>
      </w:pPr>
      <w:r>
        <w:t xml:space="preserve">Murmann, J. P., Guo, B. and Huang, C. 2021. A Dynamic Perspective on Huawei. </w:t>
      </w:r>
      <w:r>
        <w:rPr>
          <w:i/>
          <w:iCs/>
        </w:rPr>
        <w:t>Management and Organization Review</w:t>
      </w:r>
      <w:r>
        <w:t xml:space="preserve">, </w:t>
      </w:r>
      <w:r>
        <w:rPr>
          <w:i/>
          <w:iCs/>
        </w:rPr>
        <w:t>17</w:t>
      </w:r>
      <w:r>
        <w:t>(5), 1087-1100.</w:t>
      </w:r>
    </w:p>
    <w:p>
      <w:pPr>
        <w:spacing w:before="163" w:line="360" w:lineRule="auto"/>
        <w:ind w:left="480" w:hanging="480" w:hangingChars="200"/>
      </w:pPr>
      <w:r>
        <w:t xml:space="preserve">Mourtgos, S. M., Adams, I. T. and Nix, J. 2022. Elevated police turnover following the summer of George Floyd protests: A synthetic control study. </w:t>
      </w:r>
      <w:r>
        <w:rPr>
          <w:i/>
          <w:iCs/>
        </w:rPr>
        <w:t>Criminology &amp; Public Policy</w:t>
      </w:r>
      <w:r>
        <w:t xml:space="preserve">, </w:t>
      </w:r>
      <w:r>
        <w:rPr>
          <w:i/>
          <w:iCs/>
        </w:rPr>
        <w:t>21</w:t>
      </w:r>
      <w:r>
        <w:t>(1), 9-33.</w:t>
      </w:r>
    </w:p>
    <w:p>
      <w:pPr>
        <w:spacing w:before="163" w:line="360" w:lineRule="auto"/>
        <w:ind w:left="480" w:hanging="480" w:hangingChars="200"/>
      </w:pPr>
      <w:bookmarkStart w:id="20" w:name="OLE_LINK5"/>
      <w:r>
        <w:t>Patel</w:t>
      </w:r>
      <w:bookmarkEnd w:id="20"/>
      <w:r>
        <w:t xml:space="preserve">, P., Varma, A., Sengupta, S., Prikshat, V. and Park, H. 2022. The international training of expatriates in Western subsidiaries of emerging multinational enterprises: a knowledge-based perspective. </w:t>
      </w:r>
      <w:r>
        <w:rPr>
          <w:i/>
          <w:iCs/>
        </w:rPr>
        <w:t>Journal of International Management</w:t>
      </w:r>
      <w:r>
        <w:t xml:space="preserve">, </w:t>
      </w:r>
      <w:r>
        <w:rPr>
          <w:i/>
          <w:iCs/>
        </w:rPr>
        <w:t>28</w:t>
      </w:r>
      <w:r>
        <w:t>(1), 100908.</w:t>
      </w:r>
    </w:p>
    <w:p>
      <w:pPr>
        <w:spacing w:before="163" w:line="360" w:lineRule="auto"/>
        <w:ind w:left="480" w:hanging="480" w:hangingChars="200"/>
      </w:pPr>
      <w:r>
        <w:t xml:space="preserve">Succi, C. and Canovi, M. 2020. Soft skills to enhance graduate employability: comparing students and employers’ perceptions. </w:t>
      </w:r>
      <w:r>
        <w:rPr>
          <w:i/>
          <w:iCs/>
        </w:rPr>
        <w:t>Studies in higher education</w:t>
      </w:r>
      <w:r>
        <w:t xml:space="preserve">, </w:t>
      </w:r>
      <w:r>
        <w:rPr>
          <w:i/>
          <w:iCs/>
        </w:rPr>
        <w:t>45</w:t>
      </w:r>
      <w:r>
        <w:t>(9), 1834-1847.</w:t>
      </w:r>
    </w:p>
    <w:p>
      <w:pPr>
        <w:spacing w:before="163" w:line="360" w:lineRule="auto"/>
        <w:ind w:left="480" w:hanging="480" w:hangingChars="200"/>
      </w:pPr>
      <w:r>
        <w:t xml:space="preserve">Shuming, Z., Min, Z. and Yixuan, Z. 2019. A Review on the Past 100 Years of Human Resource Management: Evolution and Development. </w:t>
      </w:r>
      <w:r>
        <w:rPr>
          <w:i/>
          <w:iCs/>
        </w:rPr>
        <w:t>Foreign Economics &amp; Management</w:t>
      </w:r>
      <w:r>
        <w:t xml:space="preserve">, </w:t>
      </w:r>
      <w:r>
        <w:rPr>
          <w:i/>
          <w:iCs/>
        </w:rPr>
        <w:t>41</w:t>
      </w:r>
      <w:r>
        <w:t>(12), 50-73.</w:t>
      </w:r>
    </w:p>
    <w:p>
      <w:pPr>
        <w:spacing w:before="163" w:line="360" w:lineRule="auto"/>
        <w:ind w:left="480" w:hanging="480" w:hangingChars="200"/>
      </w:pPr>
      <w:bookmarkStart w:id="21" w:name="OLE_LINK4"/>
      <w:r>
        <w:t>Tang</w:t>
      </w:r>
      <w:bookmarkEnd w:id="21"/>
      <w:r>
        <w:t xml:space="preserve">, X. and Zainal, S. R. B. M. 2022. Reflections on the Shared Mode of HR Services Practice in China: A Case Study on the Cooperation between HRBP and HRCOE. </w:t>
      </w:r>
      <w:r>
        <w:rPr>
          <w:i/>
          <w:iCs/>
        </w:rPr>
        <w:t>Global Business &amp; Management Research</w:t>
      </w:r>
      <w:r>
        <w:t xml:space="preserve">, </w:t>
      </w:r>
      <w:r>
        <w:rPr>
          <w:i/>
          <w:iCs/>
        </w:rPr>
        <w:t>14</w:t>
      </w:r>
      <w:r>
        <w:t>.</w:t>
      </w:r>
    </w:p>
    <w:p>
      <w:pPr>
        <w:spacing w:before="163" w:line="360" w:lineRule="auto"/>
        <w:ind w:left="480" w:hanging="480" w:hangingChars="200"/>
      </w:pPr>
      <w:r>
        <w:t xml:space="preserve">Yasin, R. 2021. Responsible leadership and employees’ turnover intention. Explore the mediating roles of ethical climate and corporate image. </w:t>
      </w:r>
      <w:r>
        <w:rPr>
          <w:i/>
          <w:iCs/>
        </w:rPr>
        <w:t>Journal of Knowledge Management</w:t>
      </w:r>
      <w:r>
        <w:t xml:space="preserve">, </w:t>
      </w:r>
      <w:r>
        <w:rPr>
          <w:i/>
          <w:iCs/>
        </w:rPr>
        <w:t>25</w:t>
      </w:r>
      <w:r>
        <w:t>(7), 1760-1781.</w:t>
      </w:r>
    </w:p>
    <w:p>
      <w:pPr>
        <w:spacing w:before="163" w:line="360" w:lineRule="auto"/>
        <w:ind w:left="480" w:hanging="480" w:hangingChars="200"/>
      </w:pPr>
      <w:bookmarkStart w:id="22" w:name="OLE_LINK7"/>
      <w:r>
        <w:t>Yokoyama, T. and Bando,</w:t>
      </w:r>
      <w:bookmarkEnd w:id="22"/>
      <w:r>
        <w:t xml:space="preserve"> H. 2019. Characteristic Egogram State of Younger Generation. </w:t>
      </w:r>
      <w:r>
        <w:rPr>
          <w:i/>
          <w:iCs/>
        </w:rPr>
        <w:t>Edelweiss: Psychiatry Open Access</w:t>
      </w:r>
      <w:r>
        <w:t xml:space="preserve">, </w:t>
      </w:r>
      <w:r>
        <w:rPr>
          <w:i/>
          <w:iCs/>
        </w:rPr>
        <w:t>3</w:t>
      </w:r>
      <w:r>
        <w:t>(1), 25-28.</w:t>
      </w:r>
    </w:p>
    <w:p>
      <w:pPr>
        <w:spacing w:before="163" w:line="360" w:lineRule="auto"/>
        <w:ind w:left="480" w:hanging="480" w:hangingChars="200"/>
      </w:pPr>
      <w:bookmarkStart w:id="23" w:name="OLE_LINK3"/>
      <w:r>
        <w:t>Zhu</w:t>
      </w:r>
      <w:bookmarkEnd w:id="23"/>
      <w:r>
        <w:t xml:space="preserve">, Y., Yang, H. and Bai, G. 2019. RELATIONSHIP BETWEEN STAFF COMPETENCY AND PERFORMANCE OF SERVICE-ORIENTED MANUFACTURING ENTERPRISES IN CHINA. </w:t>
      </w:r>
      <w:r>
        <w:rPr>
          <w:i/>
          <w:iCs/>
        </w:rPr>
        <w:t>Transformations in Business &amp; Economics</w:t>
      </w:r>
      <w:r>
        <w:t xml:space="preserve">, </w:t>
      </w:r>
      <w:r>
        <w:rPr>
          <w:i/>
          <w:iCs/>
        </w:rPr>
        <w:t>18</w:t>
      </w:r>
      <w:r>
        <w:t>(1).</w:t>
      </w:r>
    </w:p>
    <w:p>
      <w:pPr>
        <w:spacing w:before="163" w:line="360" w:lineRule="auto"/>
        <w:ind w:left="480" w:hanging="480" w:hangingChars="200"/>
      </w:pPr>
    </w:p>
    <w:p>
      <w:pPr>
        <w:spacing w:before="163" w:line="360" w:lineRule="auto"/>
      </w:pPr>
    </w:p>
    <w:sectPr>
      <w:pgSz w:w="11906" w:h="16838"/>
      <w:pgMar w:top="1440" w:right="1440" w:bottom="1440" w:left="1440" w:header="851" w:footer="992" w:gutter="0"/>
      <w:cols w:space="425" w:num="1"/>
      <w:docGrid w:type="lines" w:linePitch="326"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pPr>
      <w:r>
        <w:separator/>
      </w:r>
    </w:p>
  </w:footnote>
  <w:footnote w:type="continuationSeparator" w:id="1">
    <w:p>
      <w:pPr>
        <w:spacing w:before="0" w:after="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BC16219"/>
    <w:multiLevelType w:val="multilevel"/>
    <w:tmpl w:val="4BC16219"/>
    <w:lvl w:ilvl="0" w:tentative="0">
      <w:start w:val="1"/>
      <w:numFmt w:val="decimal"/>
      <w:pStyle w:val="3"/>
      <w:lvlText w:val="%1."/>
      <w:lvlJc w:val="left"/>
      <w:pPr>
        <w:ind w:left="440" w:hanging="440"/>
      </w:pPr>
    </w:lvl>
    <w:lvl w:ilvl="1" w:tentative="0">
      <w:start w:val="1"/>
      <w:numFmt w:val="lowerLetter"/>
      <w:lvlText w:val="%2)"/>
      <w:lvlJc w:val="left"/>
      <w:pPr>
        <w:ind w:left="880" w:hanging="440"/>
      </w:pPr>
    </w:lvl>
    <w:lvl w:ilvl="2" w:tentative="0">
      <w:start w:val="1"/>
      <w:numFmt w:val="lowerRoman"/>
      <w:lvlText w:val="%3."/>
      <w:lvlJc w:val="right"/>
      <w:pPr>
        <w:ind w:left="1320" w:hanging="440"/>
      </w:pPr>
    </w:lvl>
    <w:lvl w:ilvl="3" w:tentative="0">
      <w:start w:val="1"/>
      <w:numFmt w:val="decimal"/>
      <w:lvlText w:val="%4."/>
      <w:lvlJc w:val="left"/>
      <w:pPr>
        <w:ind w:left="1760" w:hanging="440"/>
      </w:pPr>
    </w:lvl>
    <w:lvl w:ilvl="4" w:tentative="0">
      <w:start w:val="1"/>
      <w:numFmt w:val="lowerLetter"/>
      <w:lvlText w:val="%5)"/>
      <w:lvlJc w:val="left"/>
      <w:pPr>
        <w:ind w:left="2200" w:hanging="440"/>
      </w:pPr>
    </w:lvl>
    <w:lvl w:ilvl="5" w:tentative="0">
      <w:start w:val="1"/>
      <w:numFmt w:val="lowerRoman"/>
      <w:lvlText w:val="%6."/>
      <w:lvlJc w:val="right"/>
      <w:pPr>
        <w:ind w:left="2640" w:hanging="440"/>
      </w:pPr>
    </w:lvl>
    <w:lvl w:ilvl="6" w:tentative="0">
      <w:start w:val="1"/>
      <w:numFmt w:val="decimal"/>
      <w:lvlText w:val="%7."/>
      <w:lvlJc w:val="left"/>
      <w:pPr>
        <w:ind w:left="3080" w:hanging="440"/>
      </w:pPr>
    </w:lvl>
    <w:lvl w:ilvl="7" w:tentative="0">
      <w:start w:val="1"/>
      <w:numFmt w:val="lowerLetter"/>
      <w:lvlText w:val="%8)"/>
      <w:lvlJc w:val="left"/>
      <w:pPr>
        <w:ind w:left="3520" w:hanging="440"/>
      </w:pPr>
    </w:lvl>
    <w:lvl w:ilvl="8" w:tentative="0">
      <w:start w:val="1"/>
      <w:numFmt w:val="lowerRoman"/>
      <w:lvlText w:val="%9."/>
      <w:lvlJc w:val="right"/>
      <w:pPr>
        <w:ind w:left="3960" w:hanging="44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420"/>
  <w:drawingGridHorizontalSpacing w:val="120"/>
  <w:drawingGridVerticalSpacing w:val="163"/>
  <w:displayHorizontalDrawingGridEvery w:val="0"/>
  <w:displayVerticalDrawingGridEvery w:val="2"/>
  <w:characterSpacingControl w:val="compressPunctuation"/>
  <w:footnotePr>
    <w:footnote w:id="0"/>
    <w:footnote w:id="1"/>
  </w:foot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zEzZDM4YWFlNDYwNjdiYTNhMTdhZmJlNzI3MjcyYTYifQ=="/>
  </w:docVars>
  <w:rsids>
    <w:rsidRoot w:val="004911D7"/>
    <w:rsid w:val="0003033C"/>
    <w:rsid w:val="001B2130"/>
    <w:rsid w:val="003542AF"/>
    <w:rsid w:val="003D26FD"/>
    <w:rsid w:val="0043354D"/>
    <w:rsid w:val="00461168"/>
    <w:rsid w:val="004911D7"/>
    <w:rsid w:val="005E231C"/>
    <w:rsid w:val="006E14C8"/>
    <w:rsid w:val="00A12BF2"/>
    <w:rsid w:val="00B46D9E"/>
    <w:rsid w:val="00DB1ACF"/>
    <w:rsid w:val="5FE6359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before="50" w:beforeLines="50" w:after="160"/>
      <w:jc w:val="both"/>
    </w:pPr>
    <w:rPr>
      <w:rFonts w:ascii="Times New Roman" w:hAnsi="Times New Roman" w:eastAsia="宋体" w:cstheme="minorBidi"/>
      <w:kern w:val="2"/>
      <w:sz w:val="24"/>
      <w:szCs w:val="22"/>
      <w:lang w:val="en-US" w:eastAsia="zh-CN" w:bidi="ar-SA"/>
    </w:rPr>
  </w:style>
  <w:style w:type="paragraph" w:styleId="2">
    <w:name w:val="heading 1"/>
    <w:basedOn w:val="1"/>
    <w:next w:val="1"/>
    <w:link w:val="11"/>
    <w:qFormat/>
    <w:uiPriority w:val="9"/>
    <w:pPr>
      <w:keepNext/>
      <w:keepLines/>
      <w:widowControl/>
      <w:spacing w:before="240" w:after="120" w:line="360" w:lineRule="auto"/>
      <w:outlineLvl w:val="0"/>
    </w:pPr>
    <w:rPr>
      <w:rFonts w:cs="Times New Roman"/>
      <w:b/>
      <w:bCs/>
      <w:caps/>
      <w:szCs w:val="24"/>
    </w:rPr>
  </w:style>
  <w:style w:type="paragraph" w:styleId="3">
    <w:name w:val="heading 2"/>
    <w:basedOn w:val="1"/>
    <w:next w:val="1"/>
    <w:link w:val="12"/>
    <w:unhideWhenUsed/>
    <w:qFormat/>
    <w:uiPriority w:val="9"/>
    <w:pPr>
      <w:keepNext/>
      <w:keepLines/>
      <w:widowControl/>
      <w:numPr>
        <w:ilvl w:val="0"/>
        <w:numId w:val="1"/>
      </w:numPr>
      <w:spacing w:before="163" w:after="120" w:line="360" w:lineRule="auto"/>
      <w:outlineLvl w:val="1"/>
    </w:pPr>
    <w:rPr>
      <w:rFonts w:cs="Times New Roman"/>
      <w:b/>
      <w:bCs/>
      <w:szCs w:val="24"/>
    </w:rPr>
  </w:style>
  <w:style w:type="paragraph" w:styleId="4">
    <w:name w:val="heading 3"/>
    <w:basedOn w:val="1"/>
    <w:next w:val="1"/>
    <w:link w:val="14"/>
    <w:unhideWhenUsed/>
    <w:qFormat/>
    <w:uiPriority w:val="9"/>
    <w:pPr>
      <w:keepNext/>
      <w:keepLines/>
      <w:spacing w:after="0"/>
      <w:outlineLvl w:val="2"/>
    </w:pPr>
    <w:rPr>
      <w:b/>
      <w:bCs/>
      <w:i/>
      <w:szCs w:val="32"/>
    </w:rPr>
  </w:style>
  <w:style w:type="character" w:default="1" w:styleId="9">
    <w:name w:val="Default Paragraph Font"/>
    <w:unhideWhenUsed/>
    <w:uiPriority w:val="1"/>
  </w:style>
  <w:style w:type="table" w:default="1" w:styleId="8">
    <w:name w:val="Normal Table"/>
    <w:semiHidden/>
    <w:unhideWhenUsed/>
    <w:uiPriority w:val="99"/>
    <w:tblPr>
      <w:tblCellMar>
        <w:top w:w="0" w:type="dxa"/>
        <w:left w:w="108" w:type="dxa"/>
        <w:bottom w:w="0" w:type="dxa"/>
        <w:right w:w="108" w:type="dxa"/>
      </w:tblCellMar>
    </w:tblPr>
  </w:style>
  <w:style w:type="paragraph" w:styleId="5">
    <w:name w:val="toc 1"/>
    <w:basedOn w:val="1"/>
    <w:next w:val="1"/>
    <w:unhideWhenUsed/>
    <w:qFormat/>
    <w:uiPriority w:val="39"/>
  </w:style>
  <w:style w:type="paragraph" w:styleId="6">
    <w:name w:val="toc 2"/>
    <w:basedOn w:val="1"/>
    <w:next w:val="1"/>
    <w:unhideWhenUsed/>
    <w:uiPriority w:val="39"/>
    <w:pPr>
      <w:ind w:left="420" w:leftChars="200"/>
    </w:pPr>
  </w:style>
  <w:style w:type="paragraph" w:styleId="7">
    <w:name w:val="Title"/>
    <w:basedOn w:val="1"/>
    <w:next w:val="1"/>
    <w:link w:val="13"/>
    <w:qFormat/>
    <w:uiPriority w:val="10"/>
    <w:pPr>
      <w:spacing w:after="0"/>
      <w:jc w:val="center"/>
      <w:outlineLvl w:val="0"/>
    </w:pPr>
    <w:rPr>
      <w:rFonts w:eastAsiaTheme="majorEastAsia" w:cstheme="majorBidi"/>
      <w:b/>
      <w:bCs/>
      <w:szCs w:val="32"/>
    </w:rPr>
  </w:style>
  <w:style w:type="character" w:styleId="10">
    <w:name w:val="Hyperlink"/>
    <w:basedOn w:val="9"/>
    <w:unhideWhenUsed/>
    <w:uiPriority w:val="99"/>
    <w:rPr>
      <w:color w:val="0563C1" w:themeColor="hyperlink"/>
      <w:u w:val="single"/>
      <w14:textFill>
        <w14:solidFill>
          <w14:schemeClr w14:val="hlink"/>
        </w14:solidFill>
      </w14:textFill>
    </w:rPr>
  </w:style>
  <w:style w:type="character" w:customStyle="1" w:styleId="11">
    <w:name w:val="标题 1 字符"/>
    <w:basedOn w:val="9"/>
    <w:link w:val="2"/>
    <w:uiPriority w:val="9"/>
    <w:rPr>
      <w:rFonts w:ascii="Times New Roman" w:hAnsi="Times New Roman" w:eastAsia="宋体" w:cs="Times New Roman"/>
      <w:b/>
      <w:bCs/>
      <w:caps/>
      <w:sz w:val="24"/>
      <w:szCs w:val="24"/>
    </w:rPr>
  </w:style>
  <w:style w:type="character" w:customStyle="1" w:styleId="12">
    <w:name w:val="标题 2 字符"/>
    <w:basedOn w:val="9"/>
    <w:link w:val="3"/>
    <w:uiPriority w:val="9"/>
    <w:rPr>
      <w:rFonts w:ascii="Times New Roman" w:hAnsi="Times New Roman" w:eastAsia="宋体" w:cs="Times New Roman"/>
      <w:b/>
      <w:bCs/>
      <w:sz w:val="24"/>
      <w:szCs w:val="24"/>
    </w:rPr>
  </w:style>
  <w:style w:type="character" w:customStyle="1" w:styleId="13">
    <w:name w:val="标题 字符"/>
    <w:basedOn w:val="9"/>
    <w:link w:val="7"/>
    <w:uiPriority w:val="10"/>
    <w:rPr>
      <w:rFonts w:ascii="Times New Roman" w:hAnsi="Times New Roman" w:eastAsiaTheme="majorEastAsia" w:cstheme="majorBidi"/>
      <w:b/>
      <w:bCs/>
      <w:sz w:val="24"/>
      <w:szCs w:val="32"/>
    </w:rPr>
  </w:style>
  <w:style w:type="character" w:customStyle="1" w:styleId="14">
    <w:name w:val="标题 3 字符"/>
    <w:basedOn w:val="9"/>
    <w:link w:val="4"/>
    <w:uiPriority w:val="9"/>
    <w:rPr>
      <w:rFonts w:ascii="Times New Roman" w:hAnsi="Times New Roman" w:eastAsia="Times New Roman"/>
      <w:b/>
      <w:bCs/>
      <w:i/>
      <w:sz w:val="24"/>
      <w:szCs w:val="32"/>
    </w:rPr>
  </w:style>
  <w:style w:type="character" w:customStyle="1" w:styleId="15">
    <w:name w:val="Unresolved Mention"/>
    <w:basedOn w:val="9"/>
    <w:semiHidden/>
    <w:unhideWhenUsed/>
    <w:uiPriority w:val="99"/>
    <w:rPr>
      <w:color w:val="605E5C"/>
      <w:shd w:val="clear" w:color="auto" w:fill="E1DFDD"/>
    </w:rPr>
  </w:style>
  <w:style w:type="paragraph" w:customStyle="1" w:styleId="16">
    <w:name w:val="TOC Heading"/>
    <w:basedOn w:val="2"/>
    <w:next w:val="1"/>
    <w:unhideWhenUsed/>
    <w:qFormat/>
    <w:uiPriority w:val="39"/>
    <w:pPr>
      <w:spacing w:beforeLines="0" w:after="0" w:line="259" w:lineRule="auto"/>
      <w:jc w:val="left"/>
      <w:outlineLvl w:val="9"/>
    </w:pPr>
    <w:rPr>
      <w:rFonts w:asciiTheme="majorHAnsi" w:hAnsiTheme="majorHAnsi" w:eastAsiaTheme="majorEastAsia" w:cstheme="majorBidi"/>
      <w:b w:val="0"/>
      <w:bCs w:val="0"/>
      <w:caps w:val="0"/>
      <w:color w:val="2F5597" w:themeColor="accent1" w:themeShade="BF"/>
      <w:kern w:val="0"/>
      <w:sz w:val="32"/>
      <w:szCs w:val="32"/>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theme" Target="theme/theme1.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15</Pages>
  <Words>3606</Words>
  <Characters>20675</Characters>
  <Lines>177</Lines>
  <Paragraphs>49</Paragraphs>
  <TotalTime>29</TotalTime>
  <ScaleCrop>false</ScaleCrop>
  <LinksUpToDate>false</LinksUpToDate>
  <CharactersWithSpaces>24253</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2023-03-26T12:59:00Z</dcterms:created>
  <dc:creator> </dc:creator>
  <cp:lastModifiedBy>norman</cp:lastModifiedBy>
  <dcterms:modified xsi:type="dcterms:W3CDTF">2023-03-26T15:21:44Z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F66CC7A024474A439FB9843EC4C99598</vt:lpwstr>
  </property>
</Properties>
</file>