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BF1741" w14:textId="09245FB4" w:rsidR="00DF3BF7" w:rsidRPr="00DF3BF7" w:rsidRDefault="00DF3BF7">
      <w:pPr>
        <w:rPr>
          <w:rFonts w:ascii="Calibri" w:hAnsi="Calibri" w:cs="Arial"/>
          <w:color w:val="000000"/>
          <w:sz w:val="24"/>
          <w:szCs w:val="24"/>
          <w:lang w:eastAsia="en-US"/>
        </w:rPr>
      </w:pPr>
      <w:r w:rsidRPr="00DF3BF7">
        <w:rPr>
          <w:rFonts w:ascii="Calibri" w:hAnsi="Calibri" w:cs="Arial"/>
          <w:color w:val="000000"/>
          <w:sz w:val="24"/>
          <w:szCs w:val="24"/>
          <w:lang w:eastAsia="en-US"/>
        </w:rPr>
        <w:t>Reading List</w:t>
      </w:r>
    </w:p>
    <w:p w14:paraId="537832A3" w14:textId="77777777" w:rsidR="00DF3BF7" w:rsidRDefault="00DF3BF7"/>
    <w:tbl>
      <w:tblPr>
        <w:tblStyle w:val="TableGrid3"/>
        <w:tblW w:w="0" w:type="auto"/>
        <w:tblInd w:w="5" w:type="dxa"/>
        <w:tblLook w:val="04A0" w:firstRow="1" w:lastRow="0" w:firstColumn="1" w:lastColumn="0" w:noHBand="0" w:noVBand="1"/>
      </w:tblPr>
      <w:tblGrid>
        <w:gridCol w:w="5605"/>
        <w:gridCol w:w="1366"/>
      </w:tblGrid>
      <w:tr w:rsidR="00DF3BF7" w:rsidRPr="00B95A74" w14:paraId="342FA5FC" w14:textId="77777777" w:rsidTr="00DF3BF7">
        <w:tc>
          <w:tcPr>
            <w:tcW w:w="5605" w:type="dxa"/>
            <w:shd w:val="clear" w:color="auto" w:fill="auto"/>
            <w:vAlign w:val="bottom"/>
          </w:tcPr>
          <w:p w14:paraId="37AF5C0F" w14:textId="77777777" w:rsidR="00DF3BF7" w:rsidRDefault="00DF3BF7" w:rsidP="00AB653F">
            <w:pPr>
              <w:rPr>
                <w:rFonts w:ascii="Calibri" w:hAnsi="Calibri" w:cs="Arial"/>
                <w:color w:val="000000"/>
                <w:sz w:val="24"/>
                <w:szCs w:val="24"/>
                <w:lang w:eastAsia="en-US"/>
              </w:rPr>
            </w:pPr>
          </w:p>
          <w:p w14:paraId="009D5CCB" w14:textId="77777777" w:rsidR="00DF3BF7" w:rsidRDefault="00DF3BF7" w:rsidP="00AB653F">
            <w:pPr>
              <w:rPr>
                <w:rFonts w:ascii="Calibri" w:hAnsi="Calibri" w:cs="Arial"/>
                <w:color w:val="000000"/>
                <w:sz w:val="24"/>
                <w:szCs w:val="24"/>
                <w:lang w:eastAsia="en-US"/>
              </w:rPr>
            </w:pPr>
          </w:p>
          <w:p w14:paraId="653748EE" w14:textId="5D6B836A" w:rsidR="00DF3BF7" w:rsidRPr="00B95A74" w:rsidRDefault="00DF3BF7" w:rsidP="00AB653F">
            <w:pPr>
              <w:rPr>
                <w:rFonts w:ascii="Calibri" w:hAnsi="Calibri" w:cs="Arial"/>
                <w:sz w:val="24"/>
                <w:szCs w:val="24"/>
                <w:lang w:eastAsia="en-US"/>
              </w:rPr>
            </w:pPr>
            <w:r w:rsidRPr="00B95A74">
              <w:rPr>
                <w:rFonts w:ascii="Calibri" w:hAnsi="Calibri" w:cs="Arial"/>
                <w:color w:val="000000"/>
                <w:sz w:val="24"/>
                <w:szCs w:val="24"/>
                <w:lang w:eastAsia="en-US"/>
              </w:rPr>
              <w:t xml:space="preserve">Buchanan, D. A. &amp; </w:t>
            </w:r>
            <w:proofErr w:type="spellStart"/>
            <w:r w:rsidRPr="00B95A74">
              <w:rPr>
                <w:rFonts w:ascii="Calibri" w:hAnsi="Calibri" w:cs="Arial"/>
                <w:color w:val="000000"/>
                <w:sz w:val="24"/>
                <w:szCs w:val="24"/>
                <w:lang w:eastAsia="en-US"/>
              </w:rPr>
              <w:t>Badham</w:t>
            </w:r>
            <w:proofErr w:type="spellEnd"/>
            <w:r w:rsidRPr="00B95A74">
              <w:rPr>
                <w:rFonts w:ascii="Calibri" w:hAnsi="Calibri" w:cs="Arial"/>
                <w:color w:val="000000"/>
                <w:sz w:val="24"/>
                <w:szCs w:val="24"/>
                <w:lang w:eastAsia="en-US"/>
              </w:rPr>
              <w:t>, R.J. (2008), Power, Politics and Organisational Change, 2nd edition, London: Sage Publications</w:t>
            </w:r>
          </w:p>
        </w:tc>
        <w:tc>
          <w:tcPr>
            <w:tcW w:w="1366" w:type="dxa"/>
          </w:tcPr>
          <w:p w14:paraId="14F5C913" w14:textId="2E6181D8" w:rsidR="00DF3BF7" w:rsidRPr="00B95A74" w:rsidRDefault="00DF3BF7" w:rsidP="00AB653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Calibri" w:hAnsi="Calibri" w:cs="Arial"/>
                <w:sz w:val="24"/>
                <w:szCs w:val="24"/>
                <w:lang w:eastAsia="en-US"/>
              </w:rPr>
            </w:pPr>
            <w:r>
              <w:rPr>
                <w:rFonts w:ascii="Segoe UI Symbol" w:eastAsia="MS Gothic" w:hAnsi="Segoe UI Symbol" w:cs="Segoe UI Symbol"/>
                <w:sz w:val="24"/>
                <w:szCs w:val="24"/>
                <w:lang w:eastAsia="en-US"/>
              </w:rPr>
              <w:t xml:space="preserve">Electronic resources </w:t>
            </w:r>
            <w:r w:rsidRPr="00B95A74">
              <w:rPr>
                <w:rFonts w:ascii="Segoe UI Symbol" w:eastAsia="MS Gothic" w:hAnsi="Segoe UI Symbol" w:cs="Segoe UI Symbol"/>
                <w:sz w:val="24"/>
                <w:szCs w:val="24"/>
                <w:lang w:eastAsia="en-US"/>
              </w:rPr>
              <w:t>☒</w:t>
            </w:r>
          </w:p>
        </w:tc>
      </w:tr>
      <w:tr w:rsidR="00DF3BF7" w:rsidRPr="00B95A74" w14:paraId="3CB48BF1" w14:textId="77777777" w:rsidTr="00DF3BF7">
        <w:tc>
          <w:tcPr>
            <w:tcW w:w="5605" w:type="dxa"/>
            <w:shd w:val="clear" w:color="auto" w:fill="auto"/>
            <w:vAlign w:val="bottom"/>
          </w:tcPr>
          <w:p w14:paraId="20207661" w14:textId="77777777" w:rsidR="00DF3BF7" w:rsidRPr="00B95A74" w:rsidRDefault="00DF3BF7" w:rsidP="00AB653F">
            <w:pPr>
              <w:rPr>
                <w:rFonts w:ascii="Calibri" w:hAnsi="Calibri" w:cs="Arial"/>
                <w:sz w:val="24"/>
                <w:szCs w:val="24"/>
                <w:lang w:eastAsia="en-US"/>
              </w:rPr>
            </w:pPr>
            <w:r w:rsidRPr="00B95A74">
              <w:rPr>
                <w:rFonts w:ascii="Calibri" w:hAnsi="Calibri" w:cs="Arial"/>
                <w:color w:val="000000"/>
                <w:sz w:val="24"/>
                <w:szCs w:val="24"/>
                <w:lang w:eastAsia="en-US"/>
              </w:rPr>
              <w:t>Hayes, J. (201</w:t>
            </w:r>
            <w:r>
              <w:rPr>
                <w:rFonts w:ascii="Calibri" w:hAnsi="Calibri" w:cs="Arial"/>
                <w:color w:val="000000"/>
                <w:sz w:val="24"/>
                <w:szCs w:val="24"/>
                <w:lang w:eastAsia="en-US"/>
              </w:rPr>
              <w:t>8</w:t>
            </w:r>
            <w:r w:rsidRPr="00B95A74">
              <w:rPr>
                <w:rFonts w:ascii="Calibri" w:hAnsi="Calibri" w:cs="Arial"/>
                <w:color w:val="000000"/>
                <w:sz w:val="24"/>
                <w:szCs w:val="24"/>
                <w:lang w:eastAsia="en-US"/>
              </w:rPr>
              <w:t xml:space="preserve">), The Theory and Practice of Change Management, </w:t>
            </w:r>
            <w:r>
              <w:rPr>
                <w:rFonts w:ascii="Calibri" w:hAnsi="Calibri" w:cs="Arial"/>
                <w:color w:val="000000"/>
                <w:sz w:val="24"/>
                <w:szCs w:val="24"/>
                <w:lang w:eastAsia="en-US"/>
              </w:rPr>
              <w:t>5</w:t>
            </w:r>
            <w:r w:rsidRPr="00B95A74">
              <w:rPr>
                <w:rFonts w:ascii="Calibri" w:hAnsi="Calibri" w:cs="Arial"/>
                <w:color w:val="000000"/>
                <w:sz w:val="24"/>
                <w:szCs w:val="24"/>
                <w:lang w:eastAsia="en-US"/>
              </w:rPr>
              <w:t>th edition, Basingstoke: Palgrave Macmillan</w:t>
            </w:r>
          </w:p>
        </w:tc>
        <w:tc>
          <w:tcPr>
            <w:tcW w:w="1366" w:type="dxa"/>
          </w:tcPr>
          <w:p w14:paraId="186A2FB2" w14:textId="77777777" w:rsidR="00DF3BF7" w:rsidRPr="00B95A74" w:rsidRDefault="00DF3BF7" w:rsidP="00AB653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Calibri" w:hAnsi="Calibri" w:cs="Arial"/>
                <w:sz w:val="24"/>
                <w:szCs w:val="24"/>
                <w:lang w:eastAsia="en-US"/>
              </w:rPr>
            </w:pPr>
            <w:r w:rsidRPr="00B95A74">
              <w:rPr>
                <w:rFonts w:ascii="Segoe UI Symbol" w:eastAsia="MS Gothic" w:hAnsi="Segoe UI Symbol" w:cs="Segoe UI Symbol"/>
                <w:sz w:val="24"/>
                <w:szCs w:val="24"/>
                <w:lang w:eastAsia="en-US"/>
              </w:rPr>
              <w:t>☒</w:t>
            </w:r>
          </w:p>
        </w:tc>
      </w:tr>
      <w:tr w:rsidR="00DF3BF7" w:rsidRPr="00B95A74" w14:paraId="720F605C" w14:textId="77777777" w:rsidTr="00DF3BF7">
        <w:tc>
          <w:tcPr>
            <w:tcW w:w="5605" w:type="dxa"/>
            <w:shd w:val="clear" w:color="auto" w:fill="auto"/>
            <w:vAlign w:val="bottom"/>
          </w:tcPr>
          <w:p w14:paraId="3F850EF7" w14:textId="77777777" w:rsidR="00DF3BF7" w:rsidRPr="00B95A74" w:rsidRDefault="00DF3BF7" w:rsidP="00AB653F">
            <w:pPr>
              <w:rPr>
                <w:rFonts w:ascii="Calibri" w:hAnsi="Calibri" w:cs="Arial"/>
                <w:sz w:val="24"/>
                <w:szCs w:val="24"/>
                <w:lang w:eastAsia="en-US"/>
              </w:rPr>
            </w:pPr>
            <w:r w:rsidRPr="00B95A74">
              <w:rPr>
                <w:rFonts w:ascii="Calibri" w:hAnsi="Calibri" w:cs="Arial"/>
                <w:color w:val="000000"/>
                <w:sz w:val="24"/>
                <w:szCs w:val="24"/>
                <w:lang w:eastAsia="en-US"/>
              </w:rPr>
              <w:t>Burnes, B. (201</w:t>
            </w:r>
            <w:r>
              <w:rPr>
                <w:rFonts w:ascii="Calibri" w:hAnsi="Calibri" w:cs="Arial"/>
                <w:color w:val="000000"/>
                <w:sz w:val="24"/>
                <w:szCs w:val="24"/>
                <w:lang w:eastAsia="en-US"/>
              </w:rPr>
              <w:t>7</w:t>
            </w:r>
            <w:r w:rsidRPr="00B95A74">
              <w:rPr>
                <w:rFonts w:ascii="Calibri" w:hAnsi="Calibri" w:cs="Arial"/>
                <w:color w:val="000000"/>
                <w:sz w:val="24"/>
                <w:szCs w:val="24"/>
                <w:lang w:eastAsia="en-US"/>
              </w:rPr>
              <w:t xml:space="preserve">), Managing Change, </w:t>
            </w:r>
            <w:r>
              <w:rPr>
                <w:rFonts w:ascii="Calibri" w:hAnsi="Calibri" w:cs="Arial"/>
                <w:color w:val="000000"/>
                <w:sz w:val="24"/>
                <w:szCs w:val="24"/>
                <w:lang w:eastAsia="en-US"/>
              </w:rPr>
              <w:t>7</w:t>
            </w:r>
            <w:r w:rsidRPr="00B95A74">
              <w:rPr>
                <w:rFonts w:ascii="Calibri" w:hAnsi="Calibri" w:cs="Arial"/>
                <w:color w:val="000000"/>
                <w:sz w:val="24"/>
                <w:szCs w:val="24"/>
                <w:lang w:eastAsia="en-US"/>
              </w:rPr>
              <w:t>th edition, Harlow: Pearson</w:t>
            </w:r>
          </w:p>
        </w:tc>
        <w:tc>
          <w:tcPr>
            <w:tcW w:w="1366" w:type="dxa"/>
          </w:tcPr>
          <w:p w14:paraId="6E9C0241" w14:textId="77777777" w:rsidR="00DF3BF7" w:rsidRPr="00B95A74" w:rsidRDefault="00DF3BF7" w:rsidP="00AB653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Calibri" w:hAnsi="Calibri" w:cs="Arial"/>
                <w:sz w:val="24"/>
                <w:szCs w:val="24"/>
                <w:lang w:eastAsia="en-US"/>
              </w:rPr>
            </w:pPr>
            <w:r w:rsidRPr="00B95A74">
              <w:rPr>
                <w:rFonts w:ascii="Segoe UI Symbol" w:eastAsia="MS Gothic" w:hAnsi="Segoe UI Symbol" w:cs="Segoe UI Symbol"/>
                <w:sz w:val="24"/>
                <w:szCs w:val="24"/>
                <w:lang w:eastAsia="en-US"/>
              </w:rPr>
              <w:t>☒</w:t>
            </w:r>
          </w:p>
        </w:tc>
      </w:tr>
      <w:tr w:rsidR="00DF3BF7" w:rsidRPr="00B95A74" w14:paraId="4D01EF47" w14:textId="77777777" w:rsidTr="00DF3BF7">
        <w:tc>
          <w:tcPr>
            <w:tcW w:w="5605" w:type="dxa"/>
            <w:shd w:val="clear" w:color="auto" w:fill="auto"/>
            <w:vAlign w:val="bottom"/>
          </w:tcPr>
          <w:p w14:paraId="754C3502" w14:textId="77777777" w:rsidR="00DF3BF7" w:rsidRPr="00B95A74" w:rsidRDefault="00DF3BF7" w:rsidP="00AB653F">
            <w:pPr>
              <w:rPr>
                <w:rFonts w:ascii="Calibri" w:hAnsi="Calibri" w:cs="Arial"/>
                <w:sz w:val="24"/>
                <w:szCs w:val="24"/>
                <w:lang w:eastAsia="en-US"/>
              </w:rPr>
            </w:pPr>
            <w:proofErr w:type="spellStart"/>
            <w:r w:rsidRPr="00B95A74">
              <w:rPr>
                <w:rFonts w:ascii="Calibri" w:hAnsi="Calibri" w:cs="Arial"/>
                <w:color w:val="000000"/>
                <w:sz w:val="24"/>
                <w:szCs w:val="24"/>
                <w:lang w:eastAsia="en-US"/>
              </w:rPr>
              <w:t>Carnall</w:t>
            </w:r>
            <w:proofErr w:type="spellEnd"/>
            <w:r w:rsidRPr="00B95A74">
              <w:rPr>
                <w:rFonts w:ascii="Calibri" w:hAnsi="Calibri" w:cs="Arial"/>
                <w:color w:val="000000"/>
                <w:sz w:val="24"/>
                <w:szCs w:val="24"/>
                <w:lang w:eastAsia="en-US"/>
              </w:rPr>
              <w:t xml:space="preserve">, C. &amp; </w:t>
            </w:r>
            <w:proofErr w:type="spellStart"/>
            <w:r w:rsidRPr="00B95A74">
              <w:rPr>
                <w:rFonts w:ascii="Calibri" w:hAnsi="Calibri" w:cs="Arial"/>
                <w:color w:val="000000"/>
                <w:sz w:val="24"/>
                <w:szCs w:val="24"/>
                <w:lang w:eastAsia="en-US"/>
              </w:rPr>
              <w:t>Todnem</w:t>
            </w:r>
            <w:proofErr w:type="spellEnd"/>
            <w:r w:rsidRPr="00B95A74">
              <w:rPr>
                <w:rFonts w:ascii="Calibri" w:hAnsi="Calibri" w:cs="Arial"/>
                <w:color w:val="000000"/>
                <w:sz w:val="24"/>
                <w:szCs w:val="24"/>
                <w:lang w:eastAsia="en-US"/>
              </w:rPr>
              <w:t>, B. (2014), Managing Change in Organisations, 6th edition, Harlow: Pearson</w:t>
            </w:r>
          </w:p>
        </w:tc>
        <w:tc>
          <w:tcPr>
            <w:tcW w:w="1366" w:type="dxa"/>
          </w:tcPr>
          <w:p w14:paraId="079A7EDF" w14:textId="77777777" w:rsidR="00DF3BF7" w:rsidRPr="00B95A74" w:rsidRDefault="00DF3BF7" w:rsidP="00AB653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Calibri" w:hAnsi="Calibri" w:cs="Arial"/>
                <w:sz w:val="24"/>
                <w:szCs w:val="24"/>
                <w:lang w:eastAsia="en-US"/>
              </w:rPr>
            </w:pPr>
            <w:r w:rsidRPr="00B95A74">
              <w:rPr>
                <w:rFonts w:ascii="Segoe UI Symbol" w:eastAsia="MS Gothic" w:hAnsi="Segoe UI Symbol" w:cs="Segoe UI Symbol"/>
                <w:sz w:val="24"/>
                <w:szCs w:val="24"/>
                <w:lang w:eastAsia="en-US"/>
              </w:rPr>
              <w:t>☒</w:t>
            </w:r>
          </w:p>
        </w:tc>
      </w:tr>
      <w:tr w:rsidR="00DF3BF7" w:rsidRPr="00B95A74" w14:paraId="026748E3" w14:textId="77777777" w:rsidTr="00DF3BF7">
        <w:tc>
          <w:tcPr>
            <w:tcW w:w="5605" w:type="dxa"/>
            <w:shd w:val="clear" w:color="auto" w:fill="auto"/>
            <w:vAlign w:val="bottom"/>
          </w:tcPr>
          <w:p w14:paraId="23DFCC47" w14:textId="77777777" w:rsidR="00DF3BF7" w:rsidRPr="00B95A74" w:rsidRDefault="00DF3BF7" w:rsidP="00AB653F">
            <w:pPr>
              <w:rPr>
                <w:rFonts w:ascii="Calibri" w:hAnsi="Calibri" w:cs="Arial"/>
                <w:sz w:val="24"/>
                <w:szCs w:val="24"/>
                <w:lang w:eastAsia="en-US"/>
              </w:rPr>
            </w:pPr>
            <w:r w:rsidRPr="00B95A74">
              <w:rPr>
                <w:rFonts w:ascii="Calibri" w:hAnsi="Calibri" w:cs="Arial"/>
                <w:color w:val="000000"/>
                <w:sz w:val="24"/>
                <w:szCs w:val="24"/>
                <w:lang w:eastAsia="en-US"/>
              </w:rPr>
              <w:t xml:space="preserve">Drucker, P. (2009), Innovation and Entrepreneurship, London, Butterworth-Heinemann. </w:t>
            </w:r>
          </w:p>
        </w:tc>
        <w:tc>
          <w:tcPr>
            <w:tcW w:w="1366" w:type="dxa"/>
          </w:tcPr>
          <w:p w14:paraId="5BAC773D" w14:textId="77777777" w:rsidR="00DF3BF7" w:rsidRPr="00B95A74" w:rsidRDefault="00DF3BF7" w:rsidP="00AB653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Calibri" w:hAnsi="Calibri" w:cs="Arial"/>
                <w:sz w:val="24"/>
                <w:szCs w:val="24"/>
                <w:lang w:eastAsia="en-US"/>
              </w:rPr>
            </w:pPr>
            <w:r w:rsidRPr="00B95A74">
              <w:rPr>
                <w:rFonts w:ascii="Segoe UI Symbol" w:eastAsia="MS Gothic" w:hAnsi="Segoe UI Symbol" w:cs="Segoe UI Symbol"/>
                <w:sz w:val="24"/>
                <w:szCs w:val="24"/>
                <w:lang w:eastAsia="en-US"/>
              </w:rPr>
              <w:t>☒</w:t>
            </w:r>
          </w:p>
        </w:tc>
      </w:tr>
      <w:tr w:rsidR="00DF3BF7" w:rsidRPr="00B95A74" w14:paraId="3F2DAA39" w14:textId="77777777" w:rsidTr="00DF3BF7">
        <w:tc>
          <w:tcPr>
            <w:tcW w:w="5605" w:type="dxa"/>
            <w:shd w:val="clear" w:color="auto" w:fill="auto"/>
            <w:vAlign w:val="bottom"/>
          </w:tcPr>
          <w:p w14:paraId="4744FEB2" w14:textId="77777777" w:rsidR="00DF3BF7" w:rsidRPr="00B95A74" w:rsidRDefault="00DF3BF7" w:rsidP="00AB653F">
            <w:pPr>
              <w:rPr>
                <w:rFonts w:ascii="Calibri" w:hAnsi="Calibri" w:cs="Arial"/>
                <w:sz w:val="24"/>
                <w:szCs w:val="24"/>
                <w:lang w:eastAsia="en-US"/>
              </w:rPr>
            </w:pPr>
            <w:r w:rsidRPr="00B95A74">
              <w:rPr>
                <w:rFonts w:ascii="Calibri" w:hAnsi="Calibri" w:cs="Arial"/>
                <w:color w:val="000000"/>
                <w:sz w:val="24"/>
                <w:szCs w:val="24"/>
                <w:lang w:eastAsia="en-US"/>
              </w:rPr>
              <w:t>Greenfield, A. (2008), The 5 Forces of Change: A Blueprint for Leading Successful Change, New York: Management Books</w:t>
            </w:r>
          </w:p>
        </w:tc>
        <w:tc>
          <w:tcPr>
            <w:tcW w:w="1366" w:type="dxa"/>
          </w:tcPr>
          <w:p w14:paraId="3CEBDA97" w14:textId="77777777" w:rsidR="00DF3BF7" w:rsidRPr="00B95A74" w:rsidRDefault="00DF3BF7" w:rsidP="00AB653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Calibri" w:hAnsi="Calibri" w:cs="Arial"/>
                <w:sz w:val="24"/>
                <w:szCs w:val="24"/>
                <w:lang w:eastAsia="en-US"/>
              </w:rPr>
            </w:pPr>
            <w:r w:rsidRPr="00B95A74">
              <w:rPr>
                <w:rFonts w:ascii="Segoe UI Symbol" w:eastAsia="MS Gothic" w:hAnsi="Segoe UI Symbol" w:cs="Segoe UI Symbol"/>
                <w:sz w:val="24"/>
                <w:szCs w:val="24"/>
                <w:lang w:eastAsia="en-US"/>
              </w:rPr>
              <w:t>☒</w:t>
            </w:r>
          </w:p>
        </w:tc>
      </w:tr>
      <w:tr w:rsidR="00DF3BF7" w:rsidRPr="00B95A74" w14:paraId="599E26D7" w14:textId="77777777" w:rsidTr="00DF3BF7">
        <w:tc>
          <w:tcPr>
            <w:tcW w:w="5605" w:type="dxa"/>
            <w:shd w:val="clear" w:color="auto" w:fill="auto"/>
            <w:vAlign w:val="bottom"/>
          </w:tcPr>
          <w:p w14:paraId="44EAE83D" w14:textId="77777777" w:rsidR="00DF3BF7" w:rsidRPr="00B95A74" w:rsidRDefault="00DF3BF7" w:rsidP="00AB653F">
            <w:pPr>
              <w:rPr>
                <w:rFonts w:ascii="Calibri" w:hAnsi="Calibri" w:cs="Arial"/>
                <w:sz w:val="24"/>
                <w:szCs w:val="24"/>
                <w:lang w:eastAsia="en-US"/>
              </w:rPr>
            </w:pPr>
            <w:r w:rsidRPr="00B95A74">
              <w:rPr>
                <w:rFonts w:ascii="Calibri" w:hAnsi="Calibri" w:cs="Arial"/>
                <w:color w:val="000000"/>
                <w:sz w:val="24"/>
                <w:szCs w:val="24"/>
                <w:lang w:eastAsia="en-US"/>
              </w:rPr>
              <w:t>Hayes, J. (201</w:t>
            </w:r>
            <w:r>
              <w:rPr>
                <w:rFonts w:ascii="Calibri" w:hAnsi="Calibri" w:cs="Arial"/>
                <w:color w:val="000000"/>
                <w:sz w:val="24"/>
                <w:szCs w:val="24"/>
                <w:lang w:eastAsia="en-US"/>
              </w:rPr>
              <w:t>8</w:t>
            </w:r>
            <w:r w:rsidRPr="00B95A74">
              <w:rPr>
                <w:rFonts w:ascii="Calibri" w:hAnsi="Calibri" w:cs="Arial"/>
                <w:color w:val="000000"/>
                <w:sz w:val="24"/>
                <w:szCs w:val="24"/>
                <w:lang w:eastAsia="en-US"/>
              </w:rPr>
              <w:t xml:space="preserve">), The Theory and Practice of Change Management, </w:t>
            </w:r>
            <w:r>
              <w:rPr>
                <w:rFonts w:ascii="Calibri" w:hAnsi="Calibri" w:cs="Arial"/>
                <w:color w:val="000000"/>
                <w:sz w:val="24"/>
                <w:szCs w:val="24"/>
                <w:lang w:eastAsia="en-US"/>
              </w:rPr>
              <w:t>5</w:t>
            </w:r>
            <w:r w:rsidRPr="00B95A74">
              <w:rPr>
                <w:rFonts w:ascii="Calibri" w:hAnsi="Calibri" w:cs="Arial"/>
                <w:color w:val="000000"/>
                <w:sz w:val="24"/>
                <w:szCs w:val="24"/>
                <w:lang w:eastAsia="en-US"/>
              </w:rPr>
              <w:t>th edition, Basingstoke: Palgrave Macmillan</w:t>
            </w:r>
          </w:p>
        </w:tc>
        <w:tc>
          <w:tcPr>
            <w:tcW w:w="1366" w:type="dxa"/>
          </w:tcPr>
          <w:p w14:paraId="02DC5464" w14:textId="77777777" w:rsidR="00DF3BF7" w:rsidRPr="00B95A74" w:rsidRDefault="00DF3BF7" w:rsidP="00AB653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Calibri" w:hAnsi="Calibri" w:cs="Arial"/>
                <w:sz w:val="24"/>
                <w:szCs w:val="24"/>
                <w:lang w:eastAsia="en-US"/>
              </w:rPr>
            </w:pPr>
            <w:r w:rsidRPr="00B95A74">
              <w:rPr>
                <w:rFonts w:ascii="Segoe UI Symbol" w:eastAsia="MS Gothic" w:hAnsi="Segoe UI Symbol" w:cs="Segoe UI Symbol"/>
                <w:sz w:val="24"/>
                <w:szCs w:val="24"/>
                <w:lang w:eastAsia="en-US"/>
              </w:rPr>
              <w:t>☒</w:t>
            </w:r>
          </w:p>
        </w:tc>
      </w:tr>
      <w:tr w:rsidR="00DF3BF7" w:rsidRPr="00B95A74" w14:paraId="65D3ED79" w14:textId="77777777" w:rsidTr="00DF3BF7">
        <w:tc>
          <w:tcPr>
            <w:tcW w:w="5605" w:type="dxa"/>
            <w:shd w:val="clear" w:color="auto" w:fill="auto"/>
            <w:vAlign w:val="bottom"/>
          </w:tcPr>
          <w:p w14:paraId="2666D789" w14:textId="77777777" w:rsidR="00DF3BF7" w:rsidRPr="00B95A74" w:rsidRDefault="00DF3BF7" w:rsidP="00AB653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Calibri" w:hAnsi="Calibri" w:cs="Arial"/>
                <w:sz w:val="24"/>
                <w:szCs w:val="24"/>
                <w:lang w:eastAsia="en-US"/>
              </w:rPr>
            </w:pPr>
            <w:r w:rsidRPr="00B95A74">
              <w:rPr>
                <w:rFonts w:ascii="Calibri" w:hAnsi="Calibri" w:cs="Arial"/>
                <w:color w:val="000000"/>
                <w:sz w:val="24"/>
                <w:szCs w:val="24"/>
                <w:lang w:eastAsia="en-US"/>
              </w:rPr>
              <w:t>Kotter, J. P. (2009) Leading Change, Mass :Harvard Business Essentials</w:t>
            </w:r>
          </w:p>
        </w:tc>
        <w:tc>
          <w:tcPr>
            <w:tcW w:w="1366" w:type="dxa"/>
          </w:tcPr>
          <w:p w14:paraId="526773D7" w14:textId="77777777" w:rsidR="00DF3BF7" w:rsidRPr="00B95A74" w:rsidRDefault="00DF3BF7" w:rsidP="00AB653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Calibri" w:hAnsi="Calibri" w:cs="Arial"/>
                <w:sz w:val="24"/>
                <w:szCs w:val="24"/>
                <w:lang w:eastAsia="en-US"/>
              </w:rPr>
            </w:pPr>
            <w:r w:rsidRPr="00B95A74">
              <w:rPr>
                <w:rFonts w:ascii="Segoe UI Symbol" w:eastAsia="MS Gothic" w:hAnsi="Segoe UI Symbol" w:cs="Segoe UI Symbol"/>
                <w:sz w:val="24"/>
                <w:szCs w:val="24"/>
                <w:lang w:eastAsia="en-US"/>
              </w:rPr>
              <w:t>☒</w:t>
            </w:r>
          </w:p>
        </w:tc>
      </w:tr>
      <w:tr w:rsidR="00DF3BF7" w:rsidRPr="00B95A74" w14:paraId="5DF84D5F" w14:textId="77777777" w:rsidTr="00DF3BF7">
        <w:tc>
          <w:tcPr>
            <w:tcW w:w="5605" w:type="dxa"/>
            <w:shd w:val="clear" w:color="auto" w:fill="auto"/>
          </w:tcPr>
          <w:p w14:paraId="4E3FE2EC" w14:textId="13A45F3F" w:rsidR="00DF3BF7" w:rsidRPr="00B95A74" w:rsidRDefault="00DF3BF7" w:rsidP="00AB653F">
            <w:pPr>
              <w:tabs>
                <w:tab w:val="left" w:pos="-1440"/>
                <w:tab w:val="left" w:pos="-720"/>
                <w:tab w:val="left" w:pos="331"/>
                <w:tab w:val="left" w:pos="3578"/>
              </w:tabs>
              <w:rPr>
                <w:rFonts w:ascii="Calibri" w:hAnsi="Calibri" w:cs="Arial"/>
                <w:sz w:val="24"/>
                <w:szCs w:val="24"/>
                <w:lang w:eastAsia="en-US"/>
              </w:rPr>
            </w:pPr>
            <w:r w:rsidRPr="00B95A74">
              <w:rPr>
                <w:rFonts w:ascii="Calibri" w:hAnsi="Calibri" w:cs="Arial"/>
                <w:sz w:val="24"/>
                <w:szCs w:val="24"/>
                <w:lang w:eastAsia="en-US"/>
              </w:rPr>
              <w:t>Cameron, E. &amp; Green, M. (20</w:t>
            </w:r>
            <w:r>
              <w:rPr>
                <w:rFonts w:ascii="Calibri" w:hAnsi="Calibri" w:cs="Arial"/>
                <w:sz w:val="24"/>
                <w:szCs w:val="24"/>
                <w:lang w:eastAsia="en-US"/>
              </w:rPr>
              <w:t>20</w:t>
            </w:r>
            <w:r w:rsidRPr="00B95A74">
              <w:rPr>
                <w:rFonts w:ascii="Calibri" w:hAnsi="Calibri" w:cs="Arial"/>
                <w:sz w:val="24"/>
                <w:szCs w:val="24"/>
                <w:lang w:eastAsia="en-US"/>
              </w:rPr>
              <w:t xml:space="preserve">), Making Sense of Change Management: A Complete Guide to the Models, Tools and Techniques of Organisational Change, </w:t>
            </w:r>
            <w:r>
              <w:rPr>
                <w:rFonts w:ascii="Calibri" w:hAnsi="Calibri" w:cs="Arial"/>
                <w:sz w:val="24"/>
                <w:szCs w:val="24"/>
                <w:lang w:eastAsia="en-US"/>
              </w:rPr>
              <w:t>5</w:t>
            </w:r>
            <w:r w:rsidRPr="00B95A74">
              <w:rPr>
                <w:rFonts w:ascii="Calibri" w:hAnsi="Calibri" w:cs="Arial"/>
                <w:sz w:val="24"/>
                <w:szCs w:val="24"/>
                <w:vertAlign w:val="superscript"/>
                <w:lang w:eastAsia="en-US"/>
              </w:rPr>
              <w:t>th</w:t>
            </w:r>
            <w:r w:rsidRPr="00B95A74">
              <w:rPr>
                <w:rFonts w:ascii="Calibri" w:hAnsi="Calibri" w:cs="Arial"/>
                <w:sz w:val="24"/>
                <w:szCs w:val="24"/>
                <w:lang w:eastAsia="en-US"/>
              </w:rPr>
              <w:t xml:space="preserve"> edition, London: Kogan Page</w:t>
            </w:r>
          </w:p>
        </w:tc>
        <w:tc>
          <w:tcPr>
            <w:tcW w:w="1366" w:type="dxa"/>
          </w:tcPr>
          <w:p w14:paraId="03F15FE4" w14:textId="77777777" w:rsidR="00DF3BF7" w:rsidRPr="00B95A74" w:rsidRDefault="00DF3BF7" w:rsidP="00AB653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Calibri" w:eastAsia="MS Gothic" w:hAnsi="Calibri" w:cs="Arial"/>
                <w:sz w:val="24"/>
                <w:szCs w:val="24"/>
                <w:lang w:eastAsia="en-US"/>
              </w:rPr>
            </w:pPr>
          </w:p>
        </w:tc>
      </w:tr>
    </w:tbl>
    <w:p w14:paraId="19BD2169" w14:textId="77777777" w:rsidR="00DF3BF7" w:rsidRPr="00B95A74" w:rsidRDefault="00DF3BF7" w:rsidP="00DF3BF7">
      <w:pPr>
        <w:rPr>
          <w:rFonts w:ascii="Arial" w:eastAsia="Calibri" w:hAnsi="Arial" w:cs="Arial"/>
          <w:b/>
          <w:bCs/>
          <w:sz w:val="22"/>
          <w:szCs w:val="22"/>
          <w:lang w:eastAsia="en-US"/>
        </w:rPr>
      </w:pPr>
    </w:p>
    <w:p w14:paraId="07B78234" w14:textId="77777777" w:rsidR="00DF3BF7" w:rsidRPr="00B95A74" w:rsidRDefault="00DF3BF7" w:rsidP="00DF3BF7">
      <w:pPr>
        <w:spacing w:after="200" w:line="276" w:lineRule="auto"/>
        <w:rPr>
          <w:rFonts w:ascii="Calibri" w:eastAsia="Calibri" w:hAnsi="Calibri" w:cs="Arial"/>
          <w:b/>
          <w:bCs/>
          <w:sz w:val="24"/>
          <w:szCs w:val="24"/>
          <w:lang w:eastAsia="en-US"/>
        </w:rPr>
      </w:pPr>
    </w:p>
    <w:p w14:paraId="1ACFEA96" w14:textId="77777777" w:rsidR="006F2D8F" w:rsidRDefault="006F2D8F"/>
    <w:sectPr w:rsidR="006F2D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3BF7"/>
    <w:rsid w:val="006F2D8F"/>
    <w:rsid w:val="00DF3B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EFC006"/>
  <w15:chartTrackingRefBased/>
  <w15:docId w15:val="{2B7B926E-5CD2-4570-B865-A080815CE0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F3BF7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3">
    <w:name w:val="Table Grid3"/>
    <w:basedOn w:val="TableNormal"/>
    <w:next w:val="TableGrid"/>
    <w:uiPriority w:val="59"/>
    <w:rsid w:val="00DF3BF7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DF3BF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151</Words>
  <Characters>866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1015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Roisin Mullins</dc:creator>
  <cp:keywords/>
  <dc:description/>
  <cp:lastModifiedBy>Roisin Mullins</cp:lastModifiedBy>
  <cp:revision>1</cp:revision>
  <dcterms:created xsi:type="dcterms:W3CDTF">2022-05-09T07:40:00Z</dcterms:created>
  <dcterms:modified xsi:type="dcterms:W3CDTF">2022-05-09T07:42:00Z</dcterms:modified>
</cp:coreProperties>
</file>