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08188936"/>
        <w:docPartObj>
          <w:docPartGallery w:val="Cover Pages"/>
          <w:docPartUnique/>
        </w:docPartObj>
      </w:sdtPr>
      <w:sdtEndPr/>
      <w:sdtContent>
        <w:p w14:paraId="26648A45" w14:textId="2D1D7AB9" w:rsidR="00DB58A3" w:rsidRDefault="00DB58A3">
          <w:r>
            <w:rPr>
              <w:noProof/>
            </w:rPr>
            <mc:AlternateContent>
              <mc:Choice Requires="wps">
                <w:drawing>
                  <wp:anchor distT="0" distB="0" distL="114300" distR="114300" simplePos="0" relativeHeight="251659264" behindDoc="1" locked="0" layoutInCell="1" allowOverlap="0" wp14:anchorId="7A19359B" wp14:editId="342A7285">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DB58A3" w14:paraId="2A4BB8DB" w14:textId="77777777">
                                  <w:trPr>
                                    <w:trHeight w:hRule="exact" w:val="9360"/>
                                  </w:trPr>
                                  <w:tc>
                                    <w:tcPr>
                                      <w:tcW w:w="5000" w:type="pct"/>
                                    </w:tcPr>
                                    <w:p w14:paraId="22A18A84" w14:textId="77777777" w:rsidR="00DB58A3" w:rsidRDefault="00DB58A3">
                                      <w:r>
                                        <w:rPr>
                                          <w:noProof/>
                                        </w:rPr>
                                        <w:drawing>
                                          <wp:inline distT="0" distB="0" distL="0" distR="0" wp14:anchorId="152377BE" wp14:editId="0CB56807">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5">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DB58A3" w14:paraId="5D69E8F6" w14:textId="77777777">
                                  <w:trPr>
                                    <w:trHeight w:hRule="exact" w:val="4320"/>
                                  </w:trPr>
                                  <w:tc>
                                    <w:tcPr>
                                      <w:tcW w:w="5000" w:type="pct"/>
                                      <w:shd w:val="clear" w:color="auto" w:fill="4472C4" w:themeFill="accent1"/>
                                      <w:vAlign w:val="center"/>
                                    </w:tcPr>
                                    <w:p w14:paraId="35FF674D" w14:textId="3E72E077" w:rsidR="00DB58A3" w:rsidRDefault="00261752">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6B3F4C">
                                            <w:rPr>
                                              <w:rFonts w:asciiTheme="majorHAnsi" w:hAnsiTheme="majorHAnsi"/>
                                              <w:color w:val="FFFFFF" w:themeColor="background1"/>
                                              <w:sz w:val="96"/>
                                              <w:szCs w:val="96"/>
                                            </w:rPr>
                                            <w:t>Tort Law.</w:t>
                                          </w:r>
                                        </w:sdtContent>
                                      </w:sdt>
                                    </w:p>
                                    <w:p w14:paraId="222AC23A" w14:textId="77777777" w:rsidR="00DB58A3" w:rsidRDefault="00261752">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DB58A3">
                                            <w:rPr>
                                              <w:color w:val="FFFFFF" w:themeColor="background1"/>
                                              <w:sz w:val="32"/>
                                              <w:szCs w:val="32"/>
                                            </w:rPr>
                                            <w:t>[Document subtitle]</w:t>
                                          </w:r>
                                        </w:sdtContent>
                                      </w:sdt>
                                      <w:r w:rsidR="00DB58A3">
                                        <w:rPr>
                                          <w:color w:val="FFFFFF" w:themeColor="background1"/>
                                          <w:sz w:val="32"/>
                                          <w:szCs w:val="32"/>
                                        </w:rPr>
                                        <w:t xml:space="preserve"> </w:t>
                                      </w:r>
                                    </w:p>
                                  </w:tc>
                                </w:tr>
                                <w:tr w:rsidR="00DB58A3" w14:paraId="41424347"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DB58A3" w14:paraId="4D22435C"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431B008E" w14:textId="6E0EB868" w:rsidR="00DB58A3" w:rsidRDefault="00DB58A3">
                                                <w:pPr>
                                                  <w:pStyle w:val="NoSpacing"/>
                                                  <w:ind w:left="144" w:right="144"/>
                                                  <w:jc w:val="center"/>
                                                  <w:rPr>
                                                    <w:color w:val="FFFFFF" w:themeColor="background1"/>
                                                  </w:rPr>
                                                </w:pPr>
                                                <w:r>
                                                  <w:rPr>
                                                    <w:color w:val="FFFFFF" w:themeColor="background1"/>
                                                  </w:rPr>
                                                  <w:t>Mel Jane Box (2003707)</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2-01-03T00:00:00Z">
                                                <w:dateFormat w:val="M/d/yy"/>
                                                <w:lid w:val="en-US"/>
                                                <w:storeMappedDataAs w:val="dateTime"/>
                                                <w:calendar w:val="gregorian"/>
                                              </w:date>
                                            </w:sdtPr>
                                            <w:sdtEndPr/>
                                            <w:sdtContent>
                                              <w:p w14:paraId="7DF12398" w14:textId="7988C924" w:rsidR="00DB58A3" w:rsidRDefault="006B3F4C">
                                                <w:pPr>
                                                  <w:pStyle w:val="NoSpacing"/>
                                                  <w:ind w:left="144" w:right="144"/>
                                                  <w:jc w:val="center"/>
                                                  <w:rPr>
                                                    <w:color w:val="FFFFFF" w:themeColor="background1"/>
                                                  </w:rPr>
                                                </w:pPr>
                                                <w:r>
                                                  <w:rPr>
                                                    <w:color w:val="FFFFFF" w:themeColor="background1"/>
                                                  </w:rPr>
                                                  <w:t>1/3/22</w:t>
                                                </w:r>
                                              </w:p>
                                            </w:sdtContent>
                                          </w:sdt>
                                        </w:tc>
                                        <w:sdt>
                                          <w:sdtPr>
                                            <w:rPr>
                                              <w:rFonts w:ascii="Arial" w:hAnsi="Arial" w:cs="Arial"/>
                                              <w:color w:val="FFFFFF" w:themeColor="background1"/>
                                              <w:sz w:val="48"/>
                                              <w:szCs w:val="48"/>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26EF8085" w14:textId="46F17203" w:rsidR="00DB58A3" w:rsidRDefault="006B3F4C">
                                                <w:pPr>
                                                  <w:pStyle w:val="NoSpacing"/>
                                                  <w:ind w:left="144" w:right="720"/>
                                                  <w:jc w:val="right"/>
                                                  <w:rPr>
                                                    <w:color w:val="FFFFFF" w:themeColor="background1"/>
                                                  </w:rPr>
                                                </w:pPr>
                                                <w:r w:rsidRPr="006B3F4C">
                                                  <w:rPr>
                                                    <w:rFonts w:ascii="Arial" w:hAnsi="Arial" w:cs="Arial"/>
                                                    <w:color w:val="FFFFFF" w:themeColor="background1"/>
                                                    <w:sz w:val="48"/>
                                                    <w:szCs w:val="48"/>
                                                  </w:rPr>
                                                  <w:t>BMLW5008</w:t>
                                                </w:r>
                                              </w:p>
                                            </w:tc>
                                          </w:sdtContent>
                                        </w:sdt>
                                      </w:tr>
                                    </w:tbl>
                                    <w:p w14:paraId="367F007B" w14:textId="77777777" w:rsidR="00DB58A3" w:rsidRDefault="00DB58A3"/>
                                  </w:tc>
                                </w:tr>
                              </w:tbl>
                              <w:p w14:paraId="261BD768" w14:textId="77777777" w:rsidR="00DB58A3" w:rsidRDefault="00DB58A3"/>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A19359B"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DB58A3" w14:paraId="2A4BB8DB" w14:textId="77777777">
                            <w:trPr>
                              <w:trHeight w:hRule="exact" w:val="9360"/>
                            </w:trPr>
                            <w:tc>
                              <w:tcPr>
                                <w:tcW w:w="5000" w:type="pct"/>
                              </w:tcPr>
                              <w:p w14:paraId="22A18A84" w14:textId="77777777" w:rsidR="00DB58A3" w:rsidRDefault="00DB58A3">
                                <w:r>
                                  <w:rPr>
                                    <w:noProof/>
                                  </w:rPr>
                                  <w:drawing>
                                    <wp:inline distT="0" distB="0" distL="0" distR="0" wp14:anchorId="152377BE" wp14:editId="0CB56807">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5">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DB58A3" w14:paraId="5D69E8F6" w14:textId="77777777">
                            <w:trPr>
                              <w:trHeight w:hRule="exact" w:val="4320"/>
                            </w:trPr>
                            <w:tc>
                              <w:tcPr>
                                <w:tcW w:w="5000" w:type="pct"/>
                                <w:shd w:val="clear" w:color="auto" w:fill="4472C4" w:themeFill="accent1"/>
                                <w:vAlign w:val="center"/>
                              </w:tcPr>
                              <w:p w14:paraId="35FF674D" w14:textId="3E72E077" w:rsidR="00DB58A3" w:rsidRDefault="00261752">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6B3F4C">
                                      <w:rPr>
                                        <w:rFonts w:asciiTheme="majorHAnsi" w:hAnsiTheme="majorHAnsi"/>
                                        <w:color w:val="FFFFFF" w:themeColor="background1"/>
                                        <w:sz w:val="96"/>
                                        <w:szCs w:val="96"/>
                                      </w:rPr>
                                      <w:t>Tort Law.</w:t>
                                    </w:r>
                                  </w:sdtContent>
                                </w:sdt>
                              </w:p>
                              <w:p w14:paraId="222AC23A" w14:textId="77777777" w:rsidR="00DB58A3" w:rsidRDefault="00261752">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sdtContent>
                                    <w:r w:rsidR="00DB58A3">
                                      <w:rPr>
                                        <w:color w:val="FFFFFF" w:themeColor="background1"/>
                                        <w:sz w:val="32"/>
                                        <w:szCs w:val="32"/>
                                      </w:rPr>
                                      <w:t>[Document subtitle]</w:t>
                                    </w:r>
                                  </w:sdtContent>
                                </w:sdt>
                                <w:r w:rsidR="00DB58A3">
                                  <w:rPr>
                                    <w:color w:val="FFFFFF" w:themeColor="background1"/>
                                    <w:sz w:val="32"/>
                                    <w:szCs w:val="32"/>
                                  </w:rPr>
                                  <w:t xml:space="preserve"> </w:t>
                                </w:r>
                              </w:p>
                            </w:tc>
                          </w:tr>
                          <w:tr w:rsidR="00DB58A3" w14:paraId="41424347"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DB58A3" w14:paraId="4D22435C"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431B008E" w14:textId="6E0EB868" w:rsidR="00DB58A3" w:rsidRDefault="00DB58A3">
                                          <w:pPr>
                                            <w:pStyle w:val="NoSpacing"/>
                                            <w:ind w:left="144" w:right="144"/>
                                            <w:jc w:val="center"/>
                                            <w:rPr>
                                              <w:color w:val="FFFFFF" w:themeColor="background1"/>
                                            </w:rPr>
                                          </w:pPr>
                                          <w:r>
                                            <w:rPr>
                                              <w:color w:val="FFFFFF" w:themeColor="background1"/>
                                            </w:rPr>
                                            <w:t>Mel Jane Box (2003707)</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2-01-03T00:00:00Z">
                                          <w:dateFormat w:val="M/d/yy"/>
                                          <w:lid w:val="en-US"/>
                                          <w:storeMappedDataAs w:val="dateTime"/>
                                          <w:calendar w:val="gregorian"/>
                                        </w:date>
                                      </w:sdtPr>
                                      <w:sdtEndPr/>
                                      <w:sdtContent>
                                        <w:p w14:paraId="7DF12398" w14:textId="7988C924" w:rsidR="00DB58A3" w:rsidRDefault="006B3F4C">
                                          <w:pPr>
                                            <w:pStyle w:val="NoSpacing"/>
                                            <w:ind w:left="144" w:right="144"/>
                                            <w:jc w:val="center"/>
                                            <w:rPr>
                                              <w:color w:val="FFFFFF" w:themeColor="background1"/>
                                            </w:rPr>
                                          </w:pPr>
                                          <w:r>
                                            <w:rPr>
                                              <w:color w:val="FFFFFF" w:themeColor="background1"/>
                                            </w:rPr>
                                            <w:t>1/3/22</w:t>
                                          </w:r>
                                        </w:p>
                                      </w:sdtContent>
                                    </w:sdt>
                                  </w:tc>
                                  <w:sdt>
                                    <w:sdtPr>
                                      <w:rPr>
                                        <w:rFonts w:ascii="Arial" w:hAnsi="Arial" w:cs="Arial"/>
                                        <w:color w:val="FFFFFF" w:themeColor="background1"/>
                                        <w:sz w:val="48"/>
                                        <w:szCs w:val="48"/>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26EF8085" w14:textId="46F17203" w:rsidR="00DB58A3" w:rsidRDefault="006B3F4C">
                                          <w:pPr>
                                            <w:pStyle w:val="NoSpacing"/>
                                            <w:ind w:left="144" w:right="720"/>
                                            <w:jc w:val="right"/>
                                            <w:rPr>
                                              <w:color w:val="FFFFFF" w:themeColor="background1"/>
                                            </w:rPr>
                                          </w:pPr>
                                          <w:r w:rsidRPr="006B3F4C">
                                            <w:rPr>
                                              <w:rFonts w:ascii="Arial" w:hAnsi="Arial" w:cs="Arial"/>
                                              <w:color w:val="FFFFFF" w:themeColor="background1"/>
                                              <w:sz w:val="48"/>
                                              <w:szCs w:val="48"/>
                                            </w:rPr>
                                            <w:t>BMLW5008</w:t>
                                          </w:r>
                                        </w:p>
                                      </w:tc>
                                    </w:sdtContent>
                                  </w:sdt>
                                </w:tr>
                              </w:tbl>
                              <w:p w14:paraId="367F007B" w14:textId="77777777" w:rsidR="00DB58A3" w:rsidRDefault="00DB58A3"/>
                            </w:tc>
                          </w:tr>
                        </w:tbl>
                        <w:p w14:paraId="261BD768" w14:textId="77777777" w:rsidR="00DB58A3" w:rsidRDefault="00DB58A3"/>
                      </w:txbxContent>
                    </v:textbox>
                    <w10:wrap anchorx="page" anchory="page"/>
                  </v:shape>
                </w:pict>
              </mc:Fallback>
            </mc:AlternateContent>
          </w:r>
        </w:p>
        <w:p w14:paraId="74B452C9" w14:textId="5B7831DB" w:rsidR="00DB58A3" w:rsidRDefault="00DB58A3">
          <w:r>
            <w:br w:type="page"/>
          </w:r>
        </w:p>
      </w:sdtContent>
    </w:sdt>
    <w:p w14:paraId="67CF9C06" w14:textId="4EC1D048" w:rsidR="00DB58A3" w:rsidRDefault="006B3F4C" w:rsidP="006B3F4C">
      <w:pPr>
        <w:spacing w:line="600" w:lineRule="auto"/>
        <w:rPr>
          <w:rFonts w:ascii="Arial" w:hAnsi="Arial" w:cs="Arial"/>
          <w:sz w:val="52"/>
          <w:szCs w:val="52"/>
          <w:u w:val="single"/>
        </w:rPr>
      </w:pPr>
      <w:r>
        <w:rPr>
          <w:rFonts w:ascii="Arial" w:hAnsi="Arial" w:cs="Arial"/>
          <w:sz w:val="24"/>
          <w:szCs w:val="24"/>
        </w:rPr>
        <w:lastRenderedPageBreak/>
        <w:t xml:space="preserve">                                                 </w:t>
      </w:r>
      <w:r w:rsidRPr="006B3F4C">
        <w:rPr>
          <w:rFonts w:ascii="Arial" w:hAnsi="Arial" w:cs="Arial"/>
          <w:sz w:val="52"/>
          <w:szCs w:val="52"/>
          <w:u w:val="single"/>
        </w:rPr>
        <w:t>Tort Law.</w:t>
      </w:r>
    </w:p>
    <w:p w14:paraId="7C604407" w14:textId="284188CE" w:rsidR="006B3F4C" w:rsidRDefault="006B3F4C" w:rsidP="006B3F4C">
      <w:pPr>
        <w:spacing w:line="600" w:lineRule="auto"/>
        <w:rPr>
          <w:rFonts w:ascii="Arial" w:hAnsi="Arial" w:cs="Arial"/>
          <w:sz w:val="24"/>
          <w:szCs w:val="24"/>
        </w:rPr>
      </w:pPr>
      <w:r>
        <w:rPr>
          <w:rFonts w:ascii="Arial" w:hAnsi="Arial" w:cs="Arial"/>
          <w:sz w:val="24"/>
          <w:szCs w:val="24"/>
        </w:rPr>
        <w:t>Occupiers’ liability is a duty owed by anyone who occupies land and any premises on the land who owe a safety to these people or persons who enter this piece of land.</w:t>
      </w:r>
    </w:p>
    <w:p w14:paraId="752A18A8" w14:textId="45DB0DC4" w:rsidR="006B3F4C" w:rsidRDefault="006B3F4C" w:rsidP="006B3F4C">
      <w:pPr>
        <w:spacing w:line="600" w:lineRule="auto"/>
        <w:rPr>
          <w:rFonts w:ascii="Arial" w:hAnsi="Arial" w:cs="Arial"/>
          <w:sz w:val="24"/>
          <w:szCs w:val="24"/>
        </w:rPr>
      </w:pPr>
      <w:r>
        <w:rPr>
          <w:rFonts w:ascii="Arial" w:hAnsi="Arial" w:cs="Arial"/>
          <w:sz w:val="24"/>
          <w:szCs w:val="24"/>
        </w:rPr>
        <w:t xml:space="preserve">This </w:t>
      </w:r>
      <w:proofErr w:type="gramStart"/>
      <w:r>
        <w:rPr>
          <w:rFonts w:ascii="Arial" w:hAnsi="Arial" w:cs="Arial"/>
          <w:sz w:val="24"/>
          <w:szCs w:val="24"/>
        </w:rPr>
        <w:t>particular part</w:t>
      </w:r>
      <w:proofErr w:type="gramEnd"/>
      <w:r>
        <w:rPr>
          <w:rFonts w:ascii="Arial" w:hAnsi="Arial" w:cs="Arial"/>
          <w:sz w:val="24"/>
          <w:szCs w:val="24"/>
        </w:rPr>
        <w:t xml:space="preserve"> of tort law is somewhat similar to negligence which originally progressed through common law. Today this is controlled by statute. These statues are as follows. A duty which is owed to any lawful visitors or anyone who has permission to be on this land, this can be explained in the Occupiers Liability Act (1957). Also</w:t>
      </w:r>
      <w:r w:rsidR="00513372">
        <w:rPr>
          <w:rFonts w:ascii="Arial" w:hAnsi="Arial" w:cs="Arial"/>
          <w:sz w:val="24"/>
          <w:szCs w:val="24"/>
        </w:rPr>
        <w:t>,</w:t>
      </w:r>
      <w:r>
        <w:rPr>
          <w:rFonts w:ascii="Arial" w:hAnsi="Arial" w:cs="Arial"/>
          <w:sz w:val="24"/>
          <w:szCs w:val="24"/>
        </w:rPr>
        <w:t xml:space="preserve"> a duty of care is owed to those who enter onto premisses or land without any lawful permission, this is explained in the Occupiers Liability Act (1984).</w:t>
      </w:r>
    </w:p>
    <w:p w14:paraId="7FABF749" w14:textId="479C042D" w:rsidR="00513372" w:rsidRDefault="00513372" w:rsidP="006B3F4C">
      <w:pPr>
        <w:spacing w:line="600" w:lineRule="auto"/>
        <w:rPr>
          <w:rFonts w:ascii="Arial" w:hAnsi="Arial" w:cs="Arial"/>
          <w:sz w:val="24"/>
          <w:szCs w:val="24"/>
        </w:rPr>
      </w:pPr>
      <w:r>
        <w:rPr>
          <w:rFonts w:ascii="Arial" w:hAnsi="Arial" w:cs="Arial"/>
          <w:sz w:val="24"/>
          <w:szCs w:val="24"/>
        </w:rPr>
        <w:t xml:space="preserve">In the case of Leo and Carlton Parks Limited the liability would be with the theme park. The liability or occupier’s liability is the duty owed by anyone who occupies premisses or land, which goes towards the safety of anyone who </w:t>
      </w:r>
      <w:proofErr w:type="gramStart"/>
      <w:r>
        <w:rPr>
          <w:rFonts w:ascii="Arial" w:hAnsi="Arial" w:cs="Arial"/>
          <w:sz w:val="24"/>
          <w:szCs w:val="24"/>
        </w:rPr>
        <w:t>actually accesses</w:t>
      </w:r>
      <w:proofErr w:type="gramEnd"/>
      <w:r>
        <w:rPr>
          <w:rFonts w:ascii="Arial" w:hAnsi="Arial" w:cs="Arial"/>
          <w:sz w:val="24"/>
          <w:szCs w:val="24"/>
        </w:rPr>
        <w:t xml:space="preserve"> or enters the land.</w:t>
      </w:r>
    </w:p>
    <w:p w14:paraId="47590957" w14:textId="727CADFD" w:rsidR="00513372" w:rsidRDefault="00513372" w:rsidP="006B3F4C">
      <w:pPr>
        <w:spacing w:line="600" w:lineRule="auto"/>
        <w:rPr>
          <w:rFonts w:ascii="Arial" w:hAnsi="Arial" w:cs="Arial"/>
          <w:sz w:val="24"/>
          <w:szCs w:val="24"/>
        </w:rPr>
      </w:pPr>
      <w:r>
        <w:rPr>
          <w:rFonts w:ascii="Arial" w:hAnsi="Arial" w:cs="Arial"/>
          <w:sz w:val="24"/>
          <w:szCs w:val="24"/>
        </w:rPr>
        <w:t>As Leo and his parents had permission after buying a ticket, Carlton Parks Limited are liable for the injuries that Leo sustained while upon the property, this would be under the Occupiers Liability Act (1957). The act sets out any duty of care which would be owed to any visitors.</w:t>
      </w:r>
    </w:p>
    <w:p w14:paraId="5833D24F" w14:textId="103A8F7D" w:rsidR="00016E60" w:rsidRDefault="00513372" w:rsidP="006B3F4C">
      <w:pPr>
        <w:spacing w:line="600" w:lineRule="auto"/>
        <w:rPr>
          <w:rFonts w:ascii="Arial" w:hAnsi="Arial" w:cs="Arial"/>
          <w:sz w:val="24"/>
          <w:szCs w:val="24"/>
        </w:rPr>
      </w:pPr>
      <w:r>
        <w:rPr>
          <w:rFonts w:ascii="Arial" w:hAnsi="Arial" w:cs="Arial"/>
          <w:sz w:val="24"/>
          <w:szCs w:val="24"/>
        </w:rPr>
        <w:lastRenderedPageBreak/>
        <w:t xml:space="preserve">A section 1 (2) states that the common law rule would or should be applied here. Under this section, there would be a test to define who </w:t>
      </w:r>
      <w:proofErr w:type="gramStart"/>
      <w:r>
        <w:rPr>
          <w:rFonts w:ascii="Arial" w:hAnsi="Arial" w:cs="Arial"/>
          <w:sz w:val="24"/>
          <w:szCs w:val="24"/>
        </w:rPr>
        <w:t>is considered to be</w:t>
      </w:r>
      <w:proofErr w:type="gramEnd"/>
      <w:r>
        <w:rPr>
          <w:rFonts w:ascii="Arial" w:hAnsi="Arial" w:cs="Arial"/>
          <w:sz w:val="24"/>
          <w:szCs w:val="24"/>
        </w:rPr>
        <w:t xml:space="preserve"> an occupier, which would be one of control.</w:t>
      </w:r>
      <w:r w:rsidR="00016E60">
        <w:rPr>
          <w:rFonts w:ascii="Arial" w:hAnsi="Arial" w:cs="Arial"/>
          <w:sz w:val="24"/>
          <w:szCs w:val="24"/>
        </w:rPr>
        <w:t xml:space="preserve"> This means that someone has a degree of control over the premisses. The case that was used to define this was Wheat V E. </w:t>
      </w:r>
      <w:proofErr w:type="spellStart"/>
      <w:r w:rsidR="00016E60">
        <w:rPr>
          <w:rFonts w:ascii="Arial" w:hAnsi="Arial" w:cs="Arial"/>
          <w:sz w:val="24"/>
          <w:szCs w:val="24"/>
        </w:rPr>
        <w:t>Lacon</w:t>
      </w:r>
      <w:proofErr w:type="spellEnd"/>
      <w:r w:rsidR="00016E60">
        <w:rPr>
          <w:rFonts w:ascii="Arial" w:hAnsi="Arial" w:cs="Arial"/>
          <w:sz w:val="24"/>
          <w:szCs w:val="24"/>
        </w:rPr>
        <w:t xml:space="preserve"> and Co (1966). A defendant brewery company that owned the Golfers Arms Public House, employed a live-in manager and his wife who lived on the first floor of these premisses. From time to time paying guests were taken in. A Mr. Mrs. Wheat were residing at the Golfers Arms when Mr. Wheat fell down the stairs and was killed. This was due to the handrail being too short </w:t>
      </w:r>
      <w:proofErr w:type="gramStart"/>
      <w:r w:rsidR="00016E60">
        <w:rPr>
          <w:rFonts w:ascii="Arial" w:hAnsi="Arial" w:cs="Arial"/>
          <w:sz w:val="24"/>
          <w:szCs w:val="24"/>
        </w:rPr>
        <w:t>and also</w:t>
      </w:r>
      <w:proofErr w:type="gramEnd"/>
      <w:r w:rsidR="00016E60">
        <w:rPr>
          <w:rFonts w:ascii="Arial" w:hAnsi="Arial" w:cs="Arial"/>
          <w:sz w:val="24"/>
          <w:szCs w:val="24"/>
        </w:rPr>
        <w:t xml:space="preserve"> the stairs were unlit too. </w:t>
      </w:r>
      <w:r w:rsidR="00C00AB1">
        <w:rPr>
          <w:rFonts w:ascii="Arial" w:hAnsi="Arial" w:cs="Arial"/>
          <w:sz w:val="24"/>
          <w:szCs w:val="24"/>
        </w:rPr>
        <w:t>So,</w:t>
      </w:r>
      <w:r w:rsidR="00016E60">
        <w:rPr>
          <w:rFonts w:ascii="Arial" w:hAnsi="Arial" w:cs="Arial"/>
          <w:sz w:val="24"/>
          <w:szCs w:val="24"/>
        </w:rPr>
        <w:t xml:space="preserve"> did the brewery owe a duty of care to Mr. Wheat?</w:t>
      </w:r>
    </w:p>
    <w:p w14:paraId="243B61DA" w14:textId="5AD2D5C8" w:rsidR="00016E60" w:rsidRDefault="00016E60" w:rsidP="006B3F4C">
      <w:pPr>
        <w:spacing w:line="600" w:lineRule="auto"/>
        <w:rPr>
          <w:rFonts w:ascii="Arial" w:hAnsi="Arial" w:cs="Arial"/>
          <w:sz w:val="24"/>
          <w:szCs w:val="24"/>
        </w:rPr>
      </w:pPr>
      <w:r>
        <w:rPr>
          <w:rFonts w:ascii="Arial" w:hAnsi="Arial" w:cs="Arial"/>
          <w:sz w:val="24"/>
          <w:szCs w:val="24"/>
        </w:rPr>
        <w:t>The occupier in this case need not be the actual owner of the premisses or the land but just a tenant who is being paid to do a job, so there could be more than one occupier at the same time.</w:t>
      </w:r>
    </w:p>
    <w:p w14:paraId="446ADDC7" w14:textId="49250287" w:rsidR="000A06DE" w:rsidRDefault="00016E60" w:rsidP="006B3F4C">
      <w:pPr>
        <w:spacing w:line="600" w:lineRule="auto"/>
        <w:rPr>
          <w:rFonts w:ascii="Arial" w:hAnsi="Arial" w:cs="Arial"/>
          <w:sz w:val="24"/>
          <w:szCs w:val="24"/>
        </w:rPr>
      </w:pPr>
      <w:r>
        <w:rPr>
          <w:rFonts w:ascii="Arial" w:hAnsi="Arial" w:cs="Arial"/>
          <w:sz w:val="24"/>
          <w:szCs w:val="24"/>
        </w:rPr>
        <w:t xml:space="preserve">There was also the case of Harris V Birkenhead Corporation </w:t>
      </w:r>
      <w:r w:rsidR="007465B4">
        <w:rPr>
          <w:rFonts w:ascii="Arial" w:hAnsi="Arial" w:cs="Arial"/>
          <w:sz w:val="24"/>
          <w:szCs w:val="24"/>
        </w:rPr>
        <w:t xml:space="preserve">(1976), where the local council had a compulsory purchase of a house where they were able to take ownership of this two weeks later. The house wasn’t made secure after the people moved out of it, a child entered and was injured by falling out of an upstairs window. It was held that the council was its known occupier at the time even though </w:t>
      </w:r>
      <w:r w:rsidR="00C00AB1">
        <w:rPr>
          <w:rFonts w:ascii="Arial" w:hAnsi="Arial" w:cs="Arial"/>
          <w:sz w:val="24"/>
          <w:szCs w:val="24"/>
        </w:rPr>
        <w:t>they</w:t>
      </w:r>
      <w:r w:rsidR="007465B4">
        <w:rPr>
          <w:rFonts w:ascii="Arial" w:hAnsi="Arial" w:cs="Arial"/>
          <w:sz w:val="24"/>
          <w:szCs w:val="24"/>
        </w:rPr>
        <w:t xml:space="preserve"> had not yet taken possession of the house. </w:t>
      </w:r>
      <w:r w:rsidR="000A06DE">
        <w:rPr>
          <w:rFonts w:ascii="Arial" w:hAnsi="Arial" w:cs="Arial"/>
          <w:sz w:val="24"/>
          <w:szCs w:val="24"/>
        </w:rPr>
        <w:t>Therefore,</w:t>
      </w:r>
      <w:r w:rsidR="007465B4">
        <w:rPr>
          <w:rFonts w:ascii="Arial" w:hAnsi="Arial" w:cs="Arial"/>
          <w:sz w:val="24"/>
          <w:szCs w:val="24"/>
        </w:rPr>
        <w:t xml:space="preserve"> the legal right of control stood with the council and they had to prevent any such incidents from happening.</w:t>
      </w:r>
    </w:p>
    <w:p w14:paraId="3B6027DE" w14:textId="77777777" w:rsidR="00020CBD" w:rsidRDefault="000A06DE" w:rsidP="006B3F4C">
      <w:pPr>
        <w:spacing w:line="600" w:lineRule="auto"/>
        <w:rPr>
          <w:rFonts w:ascii="Arial" w:hAnsi="Arial" w:cs="Arial"/>
          <w:sz w:val="24"/>
          <w:szCs w:val="24"/>
        </w:rPr>
      </w:pPr>
      <w:r>
        <w:rPr>
          <w:rFonts w:ascii="Arial" w:hAnsi="Arial" w:cs="Arial"/>
          <w:sz w:val="24"/>
          <w:szCs w:val="24"/>
        </w:rPr>
        <w:lastRenderedPageBreak/>
        <w:t>With regards to the twenty-year-old student, Millie she entered the theme park without permission so was trespassing as she had refused to pay the expensive entrance fee. Technically Millie was trespassing, but under the Occupiers Liability Act (1984) then the occupier (in this case the theme park owner’s) could still be liable to some form of prosecution</w:t>
      </w:r>
      <w:r w:rsidR="00020CBD">
        <w:rPr>
          <w:rFonts w:ascii="Arial" w:hAnsi="Arial" w:cs="Arial"/>
          <w:sz w:val="24"/>
          <w:szCs w:val="24"/>
        </w:rPr>
        <w:t xml:space="preserve"> under this act.</w:t>
      </w:r>
    </w:p>
    <w:p w14:paraId="65603178" w14:textId="7A0E78C6" w:rsidR="00016E60" w:rsidRDefault="00020CBD" w:rsidP="006B3F4C">
      <w:pPr>
        <w:spacing w:line="600" w:lineRule="auto"/>
        <w:rPr>
          <w:rFonts w:ascii="Arial" w:hAnsi="Arial" w:cs="Arial"/>
          <w:sz w:val="24"/>
          <w:szCs w:val="24"/>
        </w:rPr>
      </w:pPr>
      <w:r>
        <w:rPr>
          <w:rFonts w:ascii="Arial" w:hAnsi="Arial" w:cs="Arial"/>
          <w:sz w:val="24"/>
          <w:szCs w:val="24"/>
        </w:rPr>
        <w:t xml:space="preserve">The theme park owes a duty of care to Millie even though she refused to pay the entry fee because the </w:t>
      </w:r>
      <w:proofErr w:type="spellStart"/>
      <w:r>
        <w:rPr>
          <w:rFonts w:ascii="Arial" w:hAnsi="Arial" w:cs="Arial"/>
          <w:sz w:val="24"/>
          <w:szCs w:val="24"/>
        </w:rPr>
        <w:t>waltzers</w:t>
      </w:r>
      <w:proofErr w:type="spellEnd"/>
      <w:r>
        <w:rPr>
          <w:rFonts w:ascii="Arial" w:hAnsi="Arial" w:cs="Arial"/>
          <w:sz w:val="24"/>
          <w:szCs w:val="24"/>
        </w:rPr>
        <w:t xml:space="preserve"> were unsafe to be used, these should have been checked at certain points and if genuine should have had a certificate of proof.</w:t>
      </w:r>
      <w:r w:rsidR="007465B4">
        <w:rPr>
          <w:rFonts w:ascii="Arial" w:hAnsi="Arial" w:cs="Arial"/>
          <w:sz w:val="24"/>
          <w:szCs w:val="24"/>
        </w:rPr>
        <w:t xml:space="preserve"> </w:t>
      </w:r>
    </w:p>
    <w:p w14:paraId="477993B2" w14:textId="3AEB3C09" w:rsidR="00020CBD" w:rsidRDefault="00020CBD" w:rsidP="006B3F4C">
      <w:pPr>
        <w:spacing w:line="600" w:lineRule="auto"/>
        <w:rPr>
          <w:rFonts w:ascii="Arial" w:hAnsi="Arial" w:cs="Arial"/>
          <w:sz w:val="24"/>
          <w:szCs w:val="24"/>
        </w:rPr>
      </w:pPr>
      <w:r>
        <w:rPr>
          <w:rFonts w:ascii="Arial" w:hAnsi="Arial" w:cs="Arial"/>
          <w:sz w:val="24"/>
          <w:szCs w:val="24"/>
        </w:rPr>
        <w:t>For both Leo and Millie, a section 2 (1) of the Occupiers Liability Act (1957) states that a person who owns premisses would owe a common duty of care to any visitors who are on the premisses. A section 2 (2) states that a duty to take such care as in all the circumstances of the case is</w:t>
      </w:r>
      <w:r w:rsidR="00B6353D">
        <w:rPr>
          <w:rFonts w:ascii="Arial" w:hAnsi="Arial" w:cs="Arial"/>
          <w:sz w:val="24"/>
          <w:szCs w:val="24"/>
        </w:rPr>
        <w:t xml:space="preserve"> reasonable to see that the visitors will be safe when using the premises for the purpose that it was intended to be used for.</w:t>
      </w:r>
    </w:p>
    <w:p w14:paraId="6D6AE5DB" w14:textId="468B3416" w:rsidR="00B6353D" w:rsidRDefault="00B6353D" w:rsidP="006B3F4C">
      <w:pPr>
        <w:spacing w:line="600" w:lineRule="auto"/>
        <w:rPr>
          <w:rFonts w:ascii="Arial" w:hAnsi="Arial" w:cs="Arial"/>
          <w:sz w:val="24"/>
          <w:szCs w:val="24"/>
        </w:rPr>
      </w:pPr>
      <w:r>
        <w:rPr>
          <w:rFonts w:ascii="Arial" w:hAnsi="Arial" w:cs="Arial"/>
          <w:sz w:val="24"/>
          <w:szCs w:val="24"/>
        </w:rPr>
        <w:t xml:space="preserve">The 1957 Occupiers Liability Act says that a duty only applies to its visitors when they use for its correct purposes. In the case of the </w:t>
      </w:r>
      <w:proofErr w:type="spellStart"/>
      <w:r>
        <w:rPr>
          <w:rFonts w:ascii="Arial" w:hAnsi="Arial" w:cs="Arial"/>
          <w:sz w:val="24"/>
          <w:szCs w:val="24"/>
        </w:rPr>
        <w:t>Calgarth</w:t>
      </w:r>
      <w:proofErr w:type="spellEnd"/>
      <w:r>
        <w:rPr>
          <w:rFonts w:ascii="Arial" w:hAnsi="Arial" w:cs="Arial"/>
          <w:sz w:val="24"/>
          <w:szCs w:val="24"/>
        </w:rPr>
        <w:t xml:space="preserve"> (1927) Lord Justice </w:t>
      </w:r>
      <w:proofErr w:type="spellStart"/>
      <w:r>
        <w:rPr>
          <w:rFonts w:ascii="Arial" w:hAnsi="Arial" w:cs="Arial"/>
          <w:sz w:val="24"/>
          <w:szCs w:val="24"/>
        </w:rPr>
        <w:t>Scrutton</w:t>
      </w:r>
      <w:proofErr w:type="spellEnd"/>
      <w:r>
        <w:rPr>
          <w:rFonts w:ascii="Arial" w:hAnsi="Arial" w:cs="Arial"/>
          <w:sz w:val="24"/>
          <w:szCs w:val="24"/>
        </w:rPr>
        <w:t xml:space="preserve"> summed this up by saying that if you invite a person into your house to use your stairs you don’t expect them to slide down the bannister. So, if a visitor does something untoward, like Millie did then the occupier does not owe a duty of care to the person under the Occupiers Liability Act (1957).</w:t>
      </w:r>
    </w:p>
    <w:p w14:paraId="655A08EE" w14:textId="3E517AA6" w:rsidR="00B6353D" w:rsidRDefault="00B6353D" w:rsidP="006B3F4C">
      <w:pPr>
        <w:spacing w:line="600" w:lineRule="auto"/>
        <w:rPr>
          <w:rFonts w:ascii="Arial" w:hAnsi="Arial" w:cs="Arial"/>
          <w:sz w:val="24"/>
          <w:szCs w:val="24"/>
        </w:rPr>
      </w:pPr>
      <w:r>
        <w:rPr>
          <w:rFonts w:ascii="Arial" w:hAnsi="Arial" w:cs="Arial"/>
          <w:sz w:val="24"/>
          <w:szCs w:val="24"/>
        </w:rPr>
        <w:lastRenderedPageBreak/>
        <w:t xml:space="preserve">In the case of Tomlinson V Congleton Borough Council (2004) 1 A C46) the claimant went into a lake, made a forward </w:t>
      </w:r>
      <w:proofErr w:type="gramStart"/>
      <w:r>
        <w:rPr>
          <w:rFonts w:ascii="Arial" w:hAnsi="Arial" w:cs="Arial"/>
          <w:sz w:val="24"/>
          <w:szCs w:val="24"/>
        </w:rPr>
        <w:t>dive</w:t>
      </w:r>
      <w:proofErr w:type="gramEnd"/>
      <w:r>
        <w:rPr>
          <w:rFonts w:ascii="Arial" w:hAnsi="Arial" w:cs="Arial"/>
          <w:sz w:val="24"/>
          <w:szCs w:val="24"/>
        </w:rPr>
        <w:t xml:space="preserve"> and hit his head on the bottom </w:t>
      </w:r>
      <w:r w:rsidR="00CE61E0">
        <w:rPr>
          <w:rFonts w:ascii="Arial" w:hAnsi="Arial" w:cs="Arial"/>
          <w:sz w:val="24"/>
          <w:szCs w:val="24"/>
        </w:rPr>
        <w:t>suffering serious injuries. The lake was an old quarry before the council made it a beauty spot. A risk assessment was done, and the council deemed the lake unfit for swimming as a swimmer could be hit by windsurfers. Warning signs were put in place but were not effective so the only way to stop the swimmers was to make the area less inviting. Before the accident, there was a sum of money used to cover or remove the beaches and replace them with something rather less inviting. The beach had been destroyed several months after the claimant’s accident. The case was eventually put before the House of Lords.</w:t>
      </w:r>
    </w:p>
    <w:p w14:paraId="56DAFD62" w14:textId="1E72D608" w:rsidR="00CE61E0" w:rsidRDefault="00CE61E0" w:rsidP="006B3F4C">
      <w:pPr>
        <w:spacing w:line="600" w:lineRule="auto"/>
        <w:rPr>
          <w:rFonts w:ascii="Arial" w:hAnsi="Arial" w:cs="Arial"/>
          <w:sz w:val="24"/>
          <w:szCs w:val="24"/>
        </w:rPr>
      </w:pPr>
      <w:r>
        <w:rPr>
          <w:rFonts w:ascii="Arial" w:hAnsi="Arial" w:cs="Arial"/>
          <w:sz w:val="24"/>
          <w:szCs w:val="24"/>
        </w:rPr>
        <w:t>Carlton Parks Limited were aware of the rotting fence due to water damage but it looked like they failed to act upon this after an investigation. The fence was not fixed, and no warning signs were put in place. In the case regarding Millie, then the occupier may try to lessen the duty which is owed by visitors.</w:t>
      </w:r>
      <w:r w:rsidR="00DD09C6">
        <w:rPr>
          <w:rFonts w:ascii="Arial" w:hAnsi="Arial" w:cs="Arial"/>
          <w:sz w:val="24"/>
          <w:szCs w:val="24"/>
        </w:rPr>
        <w:t xml:space="preserve"> This duty though can only be changed under the Unfair Contract Terms Act (1977). This means that an occupier cannot leave out liability for personal injury or death to a visitor which would be caused by negligence. If this is damage to property, then the liability is left out only if this was a reasonable thing to do. This will be different for each case that is heard in court.</w:t>
      </w:r>
    </w:p>
    <w:p w14:paraId="3689B89D" w14:textId="2CD492D5" w:rsidR="00DD09C6" w:rsidRDefault="00DD09C6" w:rsidP="006B3F4C">
      <w:pPr>
        <w:spacing w:line="600" w:lineRule="auto"/>
        <w:rPr>
          <w:rFonts w:ascii="Arial" w:hAnsi="Arial" w:cs="Arial"/>
          <w:sz w:val="24"/>
          <w:szCs w:val="24"/>
        </w:rPr>
      </w:pPr>
      <w:r>
        <w:rPr>
          <w:rFonts w:ascii="Arial" w:hAnsi="Arial" w:cs="Arial"/>
          <w:sz w:val="24"/>
          <w:szCs w:val="24"/>
        </w:rPr>
        <w:lastRenderedPageBreak/>
        <w:t>Millie suffered a fractured skull due to the negligence of the theme park so Carlton Parks would have to pay some compensation</w:t>
      </w:r>
      <w:r w:rsidR="00951F1E">
        <w:rPr>
          <w:rFonts w:ascii="Arial" w:hAnsi="Arial" w:cs="Arial"/>
          <w:sz w:val="24"/>
          <w:szCs w:val="24"/>
        </w:rPr>
        <w:t xml:space="preserve"> towards her recuperation.</w:t>
      </w:r>
    </w:p>
    <w:p w14:paraId="7211B7D6" w14:textId="7624BE42" w:rsidR="00951F1E" w:rsidRDefault="00C3660C" w:rsidP="006B3F4C">
      <w:pPr>
        <w:spacing w:line="600" w:lineRule="auto"/>
        <w:rPr>
          <w:rFonts w:ascii="Arial" w:hAnsi="Arial" w:cs="Arial"/>
          <w:sz w:val="24"/>
          <w:szCs w:val="24"/>
        </w:rPr>
      </w:pPr>
      <w:r>
        <w:rPr>
          <w:rFonts w:ascii="Arial" w:hAnsi="Arial" w:cs="Arial"/>
          <w:sz w:val="24"/>
          <w:szCs w:val="24"/>
        </w:rPr>
        <w:t>Leakey V National Trust (1980) is where a defendant owned some land which had an occurring mound. No precautions were</w:t>
      </w:r>
      <w:r w:rsidR="007E184A">
        <w:rPr>
          <w:rFonts w:ascii="Arial" w:hAnsi="Arial" w:cs="Arial"/>
          <w:sz w:val="24"/>
          <w:szCs w:val="24"/>
        </w:rPr>
        <w:t xml:space="preserve"> taken by the defendant to stop this mound from causing a landslide which fell onto the neighbouring land.</w:t>
      </w:r>
    </w:p>
    <w:p w14:paraId="6C432B89" w14:textId="4F9B0A3E" w:rsidR="006B3F4C" w:rsidRDefault="007E184A" w:rsidP="006B3F4C">
      <w:pPr>
        <w:spacing w:line="600" w:lineRule="auto"/>
        <w:rPr>
          <w:rFonts w:ascii="Arial" w:hAnsi="Arial" w:cs="Arial"/>
          <w:sz w:val="24"/>
          <w:szCs w:val="24"/>
        </w:rPr>
      </w:pPr>
      <w:r>
        <w:rPr>
          <w:rFonts w:ascii="Arial" w:hAnsi="Arial" w:cs="Arial"/>
          <w:sz w:val="24"/>
          <w:szCs w:val="24"/>
        </w:rPr>
        <w:t>The defendant in this case, Carlton Parks Limited knew about the incidents and failed to undertake any fixtures or any reasonable precautions.</w:t>
      </w:r>
    </w:p>
    <w:p w14:paraId="09E4DBF2" w14:textId="24632CD2" w:rsidR="008C0C35" w:rsidRDefault="008C0C35" w:rsidP="006B3F4C">
      <w:pPr>
        <w:spacing w:line="600" w:lineRule="auto"/>
        <w:rPr>
          <w:rFonts w:ascii="Arial" w:hAnsi="Arial" w:cs="Arial"/>
          <w:sz w:val="24"/>
          <w:szCs w:val="24"/>
        </w:rPr>
      </w:pPr>
      <w:r>
        <w:rPr>
          <w:rFonts w:ascii="Arial" w:hAnsi="Arial" w:cs="Arial"/>
          <w:sz w:val="24"/>
          <w:szCs w:val="24"/>
        </w:rPr>
        <w:t xml:space="preserve">Nia was owed a duty of care by the theme park, Carlton Parks Limited of which can be defined </w:t>
      </w:r>
      <w:r w:rsidR="00404F06">
        <w:rPr>
          <w:rFonts w:ascii="Arial" w:hAnsi="Arial" w:cs="Arial"/>
          <w:sz w:val="24"/>
          <w:szCs w:val="24"/>
        </w:rPr>
        <w:t xml:space="preserve">in section 2 (2) Occupiers Liability Act (1994). This is care that is required to keep visitors reasonably safe while using their premises for the purpose in which it is intended to be used. Overtime, the right situations where the Act applies has become difficult due to descriptions in section 1 (1) of the 1994 Act. This part of the Act would regulate the duty of which an occupier of such premises </w:t>
      </w:r>
      <w:proofErr w:type="gramStart"/>
      <w:r w:rsidR="00404F06">
        <w:rPr>
          <w:rFonts w:ascii="Arial" w:hAnsi="Arial" w:cs="Arial"/>
          <w:sz w:val="24"/>
          <w:szCs w:val="24"/>
        </w:rPr>
        <w:t>actually owes</w:t>
      </w:r>
      <w:proofErr w:type="gramEnd"/>
      <w:r w:rsidR="00404F06">
        <w:rPr>
          <w:rFonts w:ascii="Arial" w:hAnsi="Arial" w:cs="Arial"/>
          <w:sz w:val="24"/>
          <w:szCs w:val="24"/>
        </w:rPr>
        <w:t xml:space="preserve"> to its visitors, with regards to dangers due to either nothing being done or the state of the premises itself. The case of Fairchild v </w:t>
      </w:r>
      <w:proofErr w:type="spellStart"/>
      <w:r w:rsidR="00404F06">
        <w:rPr>
          <w:rFonts w:ascii="Arial" w:hAnsi="Arial" w:cs="Arial"/>
          <w:sz w:val="24"/>
          <w:szCs w:val="24"/>
        </w:rPr>
        <w:t>Glenhaven</w:t>
      </w:r>
      <w:proofErr w:type="spellEnd"/>
      <w:r w:rsidR="00404F06">
        <w:rPr>
          <w:rFonts w:ascii="Arial" w:hAnsi="Arial" w:cs="Arial"/>
          <w:sz w:val="24"/>
          <w:szCs w:val="24"/>
        </w:rPr>
        <w:t xml:space="preserve"> Funeral Services (2002) could be</w:t>
      </w:r>
      <w:r w:rsidR="004A05B9">
        <w:rPr>
          <w:rFonts w:ascii="Arial" w:hAnsi="Arial" w:cs="Arial"/>
          <w:sz w:val="24"/>
          <w:szCs w:val="24"/>
        </w:rPr>
        <w:t xml:space="preserve"> looked upon for the above case with Nia. In this case the claimants had developed a form of cancer </w:t>
      </w:r>
      <w:proofErr w:type="gramStart"/>
      <w:r w:rsidR="004A05B9">
        <w:rPr>
          <w:rFonts w:ascii="Arial" w:hAnsi="Arial" w:cs="Arial"/>
          <w:sz w:val="24"/>
          <w:szCs w:val="24"/>
        </w:rPr>
        <w:t>as a result of</w:t>
      </w:r>
      <w:proofErr w:type="gramEnd"/>
      <w:r w:rsidR="004A05B9">
        <w:rPr>
          <w:rFonts w:ascii="Arial" w:hAnsi="Arial" w:cs="Arial"/>
          <w:sz w:val="24"/>
          <w:szCs w:val="24"/>
        </w:rPr>
        <w:t xml:space="preserve"> being over exposed to asbestos. </w:t>
      </w:r>
      <w:proofErr w:type="gramStart"/>
      <w:r w:rsidR="004A05B9">
        <w:rPr>
          <w:rFonts w:ascii="Arial" w:hAnsi="Arial" w:cs="Arial"/>
          <w:sz w:val="24"/>
          <w:szCs w:val="24"/>
        </w:rPr>
        <w:t>A number of</w:t>
      </w:r>
      <w:proofErr w:type="gramEnd"/>
      <w:r w:rsidR="004A05B9">
        <w:rPr>
          <w:rFonts w:ascii="Arial" w:hAnsi="Arial" w:cs="Arial"/>
          <w:sz w:val="24"/>
          <w:szCs w:val="24"/>
        </w:rPr>
        <w:t xml:space="preserve"> employers had exposed them to the asbestos so the claimants could not really say which of the employers were liable for this. If the claimants had developed </w:t>
      </w:r>
      <w:r w:rsidR="004A05B9">
        <w:rPr>
          <w:rFonts w:ascii="Arial" w:hAnsi="Arial" w:cs="Arial"/>
          <w:sz w:val="24"/>
          <w:szCs w:val="24"/>
        </w:rPr>
        <w:lastRenderedPageBreak/>
        <w:t>asbestosis, then each employer would have been liable as the claimants failed to establish the causation.</w:t>
      </w:r>
    </w:p>
    <w:p w14:paraId="0E36A733" w14:textId="44FD0868" w:rsidR="00334481" w:rsidRDefault="004A05B9" w:rsidP="006B3F4C">
      <w:pPr>
        <w:spacing w:line="600" w:lineRule="auto"/>
        <w:rPr>
          <w:rFonts w:ascii="Arial" w:hAnsi="Arial" w:cs="Arial"/>
          <w:sz w:val="24"/>
          <w:szCs w:val="24"/>
        </w:rPr>
      </w:pPr>
      <w:r>
        <w:rPr>
          <w:rFonts w:ascii="Arial" w:hAnsi="Arial" w:cs="Arial"/>
          <w:sz w:val="24"/>
          <w:szCs w:val="24"/>
        </w:rPr>
        <w:t xml:space="preserve">As Nia was a primary victim, the case for post traumatic stress disorder was foreseeable so she </w:t>
      </w:r>
      <w:proofErr w:type="gramStart"/>
      <w:r>
        <w:rPr>
          <w:rFonts w:ascii="Arial" w:hAnsi="Arial" w:cs="Arial"/>
          <w:sz w:val="24"/>
          <w:szCs w:val="24"/>
        </w:rPr>
        <w:t>is able to</w:t>
      </w:r>
      <w:proofErr w:type="gramEnd"/>
      <w:r>
        <w:rPr>
          <w:rFonts w:ascii="Arial" w:hAnsi="Arial" w:cs="Arial"/>
          <w:sz w:val="24"/>
          <w:szCs w:val="24"/>
        </w:rPr>
        <w:t xml:space="preserve"> make a claim</w:t>
      </w:r>
      <w:r w:rsidR="00334481">
        <w:rPr>
          <w:rFonts w:ascii="Arial" w:hAnsi="Arial" w:cs="Arial"/>
          <w:sz w:val="24"/>
          <w:szCs w:val="24"/>
        </w:rPr>
        <w:t xml:space="preserve"> against the theme park. The thin skull rule or remoteness of damage maybe used in this case of Nia. This can be used to represent any attempt of law to place such limits upon liability for any damage on behalf of the defendant’s negligence which has been the cause but for which, due to legal policies, then no liabilities should be attached. As primary victims are only in fear of their own safety and can claim if they are suffering from a psychiatric medical condition and if the harm sustained to this person was foreseeable. The two cases which can be referred to here which set out to define a primary victim would be the case of </w:t>
      </w:r>
      <w:proofErr w:type="spellStart"/>
      <w:r w:rsidR="00334481">
        <w:rPr>
          <w:rFonts w:ascii="Arial" w:hAnsi="Arial" w:cs="Arial"/>
          <w:sz w:val="24"/>
          <w:szCs w:val="24"/>
        </w:rPr>
        <w:t>Dulie</w:t>
      </w:r>
      <w:r w:rsidR="00D4290B">
        <w:rPr>
          <w:rFonts w:ascii="Arial" w:hAnsi="Arial" w:cs="Arial"/>
          <w:sz w:val="24"/>
          <w:szCs w:val="24"/>
        </w:rPr>
        <w:t>u</w:t>
      </w:r>
      <w:proofErr w:type="spellEnd"/>
      <w:r w:rsidR="00D4290B">
        <w:rPr>
          <w:rFonts w:ascii="Arial" w:hAnsi="Arial" w:cs="Arial"/>
          <w:sz w:val="24"/>
          <w:szCs w:val="24"/>
        </w:rPr>
        <w:t xml:space="preserve"> v White and Sons (1901) and Page v Smith (1995).</w:t>
      </w:r>
    </w:p>
    <w:p w14:paraId="3A385539" w14:textId="70B07B4F" w:rsidR="00D4290B" w:rsidRDefault="00D4290B" w:rsidP="006B3F4C">
      <w:pPr>
        <w:spacing w:line="600" w:lineRule="auto"/>
        <w:rPr>
          <w:rFonts w:ascii="Arial" w:hAnsi="Arial" w:cs="Arial"/>
          <w:sz w:val="24"/>
          <w:szCs w:val="24"/>
        </w:rPr>
      </w:pPr>
      <w:r>
        <w:rPr>
          <w:rFonts w:ascii="Arial" w:hAnsi="Arial" w:cs="Arial"/>
          <w:sz w:val="24"/>
          <w:szCs w:val="24"/>
        </w:rPr>
        <w:t xml:space="preserve">For </w:t>
      </w:r>
      <w:proofErr w:type="spellStart"/>
      <w:r>
        <w:rPr>
          <w:rFonts w:ascii="Arial" w:hAnsi="Arial" w:cs="Arial"/>
          <w:sz w:val="24"/>
          <w:szCs w:val="24"/>
        </w:rPr>
        <w:t>Dulieu</w:t>
      </w:r>
      <w:proofErr w:type="spellEnd"/>
      <w:r>
        <w:rPr>
          <w:rFonts w:ascii="Arial" w:hAnsi="Arial" w:cs="Arial"/>
          <w:sz w:val="24"/>
          <w:szCs w:val="24"/>
        </w:rPr>
        <w:t xml:space="preserve"> v White and Sons the claimant was working in a public house behind the bar. A horse and cart crashed into the bar, but the claimant wasn’t injured physically but suffered nervous shock. This case was deemed successful as it was seen that harm could occur so was foreseeable. The second case of Page v Smith is a very important case as this should clarify so many of the legal points with regards to primary and secondary victims.</w:t>
      </w:r>
      <w:r w:rsidR="00EC31B4">
        <w:rPr>
          <w:rFonts w:ascii="Arial" w:hAnsi="Arial" w:cs="Arial"/>
          <w:sz w:val="24"/>
          <w:szCs w:val="24"/>
        </w:rPr>
        <w:t xml:space="preserve"> The claimant had been in a car accident which was caused by the defendant’s negligence. He / she was not physically injured but the shock of the accident caused an existing illness to be aggravated again. This claim </w:t>
      </w:r>
      <w:r w:rsidR="00EC31B4">
        <w:rPr>
          <w:rFonts w:ascii="Arial" w:hAnsi="Arial" w:cs="Arial"/>
          <w:sz w:val="24"/>
          <w:szCs w:val="24"/>
        </w:rPr>
        <w:lastRenderedPageBreak/>
        <w:t>was successful, and the court claimed a primary victim can be successful as this claim was foreseeable. In cases like these, then the thin skull rule applies, defendants must take their victims as they find them.</w:t>
      </w:r>
    </w:p>
    <w:p w14:paraId="3D778348" w14:textId="7DB1DDA8" w:rsidR="00EC31B4" w:rsidRDefault="00EC31B4" w:rsidP="006B3F4C">
      <w:pPr>
        <w:spacing w:line="600" w:lineRule="auto"/>
        <w:rPr>
          <w:rFonts w:ascii="Arial" w:hAnsi="Arial" w:cs="Arial"/>
          <w:sz w:val="24"/>
          <w:szCs w:val="24"/>
        </w:rPr>
      </w:pPr>
      <w:r>
        <w:rPr>
          <w:rFonts w:ascii="Arial" w:hAnsi="Arial" w:cs="Arial"/>
          <w:sz w:val="24"/>
          <w:szCs w:val="24"/>
        </w:rPr>
        <w:t xml:space="preserve">The case of the Wagon Mound (1961) can be used here for Owen. This was an oil spill from the defendant’s tanker set a float in Sydney Harbour, Australia. Nearby sparks from welding caught the tanker and oil which then set fire to the wharf. This type of damage was </w:t>
      </w:r>
      <w:r w:rsidR="003D5746">
        <w:rPr>
          <w:rFonts w:ascii="Arial" w:hAnsi="Arial" w:cs="Arial"/>
          <w:sz w:val="24"/>
          <w:szCs w:val="24"/>
        </w:rPr>
        <w:t>unforeseeable,</w:t>
      </w:r>
      <w:r>
        <w:rPr>
          <w:rFonts w:ascii="Arial" w:hAnsi="Arial" w:cs="Arial"/>
          <w:sz w:val="24"/>
          <w:szCs w:val="24"/>
        </w:rPr>
        <w:t xml:space="preserve"> so the defendant was not liable in this case.</w:t>
      </w:r>
    </w:p>
    <w:p w14:paraId="2540E2A6" w14:textId="7ED3653D" w:rsidR="003D5746" w:rsidRDefault="003D5746" w:rsidP="006B3F4C">
      <w:pPr>
        <w:spacing w:line="600" w:lineRule="auto"/>
        <w:rPr>
          <w:rFonts w:ascii="Arial" w:hAnsi="Arial" w:cs="Arial"/>
          <w:sz w:val="24"/>
          <w:szCs w:val="24"/>
        </w:rPr>
      </w:pPr>
      <w:r>
        <w:rPr>
          <w:rFonts w:ascii="Arial" w:hAnsi="Arial" w:cs="Arial"/>
          <w:sz w:val="24"/>
          <w:szCs w:val="24"/>
        </w:rPr>
        <w:t xml:space="preserve">As Owen is only a secondary victim, he can not make a claim for compensation, only primary victims are entitled to make this claim for things like psychiatric injuries, nervous shock, and depression. Owen’s injuries were not </w:t>
      </w:r>
      <w:proofErr w:type="gramStart"/>
      <w:r>
        <w:rPr>
          <w:rFonts w:ascii="Arial" w:hAnsi="Arial" w:cs="Arial"/>
          <w:sz w:val="24"/>
          <w:szCs w:val="24"/>
        </w:rPr>
        <w:t>physical</w:t>
      </w:r>
      <w:proofErr w:type="gramEnd"/>
      <w:r>
        <w:rPr>
          <w:rFonts w:ascii="Arial" w:hAnsi="Arial" w:cs="Arial"/>
          <w:sz w:val="24"/>
          <w:szCs w:val="24"/>
        </w:rPr>
        <w:t xml:space="preserve"> and he suffered with depression, this was not foreseeable like the above case.</w:t>
      </w:r>
    </w:p>
    <w:p w14:paraId="0EDFC362" w14:textId="03D317F8" w:rsidR="003D5746" w:rsidRDefault="003D5746" w:rsidP="006B3F4C">
      <w:pPr>
        <w:spacing w:line="600" w:lineRule="auto"/>
        <w:rPr>
          <w:rFonts w:ascii="Arial" w:hAnsi="Arial" w:cs="Arial"/>
          <w:sz w:val="24"/>
          <w:szCs w:val="24"/>
        </w:rPr>
      </w:pPr>
      <w:r>
        <w:rPr>
          <w:rFonts w:ascii="Arial" w:hAnsi="Arial" w:cs="Arial"/>
          <w:sz w:val="24"/>
          <w:szCs w:val="24"/>
        </w:rPr>
        <w:t xml:space="preserve">With Owen not being close enough to the accident at the time, he would be classed as a secondary victim so is unlikely to be able to claim any sort of compensation. To be able to claim as a secondary victim then Owen must have very close ties to Nia. These close ties would be of love and affection, just because they are brother and sister would not automatically prove the test. Secondary victims are in no physical danger themselves but fear for the primary victims. So therefore, the courts would be reluctant to allow their claims. Certain claims can be prevented due to control mechanisms. This was established in the </w:t>
      </w:r>
      <w:proofErr w:type="spellStart"/>
      <w:r>
        <w:rPr>
          <w:rFonts w:ascii="Arial" w:hAnsi="Arial" w:cs="Arial"/>
          <w:sz w:val="24"/>
          <w:szCs w:val="24"/>
        </w:rPr>
        <w:t>Alcock</w:t>
      </w:r>
      <w:proofErr w:type="spellEnd"/>
      <w:r w:rsidR="00297027">
        <w:rPr>
          <w:rFonts w:ascii="Arial" w:hAnsi="Arial" w:cs="Arial"/>
          <w:sz w:val="24"/>
          <w:szCs w:val="24"/>
        </w:rPr>
        <w:t xml:space="preserve"> v Chief Constable of South </w:t>
      </w:r>
      <w:r w:rsidR="00297027">
        <w:rPr>
          <w:rFonts w:ascii="Arial" w:hAnsi="Arial" w:cs="Arial"/>
          <w:sz w:val="24"/>
          <w:szCs w:val="24"/>
        </w:rPr>
        <w:lastRenderedPageBreak/>
        <w:t>Yorkshire (1991). This case also sets out the test for all secondary victims and is still in use today.</w:t>
      </w:r>
      <w:r w:rsidR="00191726">
        <w:rPr>
          <w:rFonts w:ascii="Arial" w:hAnsi="Arial" w:cs="Arial"/>
          <w:sz w:val="24"/>
          <w:szCs w:val="24"/>
        </w:rPr>
        <w:t xml:space="preserve"> </w:t>
      </w:r>
    </w:p>
    <w:p w14:paraId="544B2862" w14:textId="4927E0ED" w:rsidR="00191726" w:rsidRDefault="00191726" w:rsidP="006B3F4C">
      <w:pPr>
        <w:spacing w:line="600" w:lineRule="auto"/>
        <w:rPr>
          <w:rFonts w:ascii="Arial" w:hAnsi="Arial" w:cs="Arial"/>
          <w:sz w:val="24"/>
          <w:szCs w:val="24"/>
        </w:rPr>
      </w:pPr>
      <w:r>
        <w:rPr>
          <w:rFonts w:ascii="Arial" w:hAnsi="Arial" w:cs="Arial"/>
          <w:sz w:val="24"/>
          <w:szCs w:val="24"/>
        </w:rPr>
        <w:t xml:space="preserve">This was the Hillsborough disaster where sixteen claimants were friends or relatives of the primary victims. These sixteen claimants all suffered with nervous shock in </w:t>
      </w:r>
      <w:proofErr w:type="gramStart"/>
      <w:r>
        <w:rPr>
          <w:rFonts w:ascii="Arial" w:hAnsi="Arial" w:cs="Arial"/>
          <w:sz w:val="24"/>
          <w:szCs w:val="24"/>
        </w:rPr>
        <w:t>many different ways</w:t>
      </w:r>
      <w:proofErr w:type="gramEnd"/>
      <w:r>
        <w:rPr>
          <w:rFonts w:ascii="Arial" w:hAnsi="Arial" w:cs="Arial"/>
          <w:sz w:val="24"/>
          <w:szCs w:val="24"/>
        </w:rPr>
        <w:t xml:space="preserve">. Some of the claimants were present at the football ground, others watched this live on television and the rest had to identify bodies at the mortuary. Their requests were rejected by the House of Lords, so a test was established for all secondary victims. There are two points to this test, the first being that the secondary victim had to witness the actual accident with unaided senses. It was deemed insufficient to have seen this unfold on television or to be told about this by another person. The Second point of the </w:t>
      </w:r>
      <w:proofErr w:type="spellStart"/>
      <w:r>
        <w:rPr>
          <w:rFonts w:ascii="Arial" w:hAnsi="Arial" w:cs="Arial"/>
          <w:sz w:val="24"/>
          <w:szCs w:val="24"/>
        </w:rPr>
        <w:t>Alcock</w:t>
      </w:r>
      <w:proofErr w:type="spellEnd"/>
      <w:r>
        <w:rPr>
          <w:rFonts w:ascii="Arial" w:hAnsi="Arial" w:cs="Arial"/>
          <w:sz w:val="24"/>
          <w:szCs w:val="24"/>
        </w:rPr>
        <w:t xml:space="preserve"> test was that all claimant</w:t>
      </w:r>
      <w:r w:rsidR="00326FC0">
        <w:rPr>
          <w:rFonts w:ascii="Arial" w:hAnsi="Arial" w:cs="Arial"/>
          <w:sz w:val="24"/>
          <w:szCs w:val="24"/>
        </w:rPr>
        <w:t>s had seen the event or any immediate aftermath.</w:t>
      </w:r>
    </w:p>
    <w:p w14:paraId="19ECBF23" w14:textId="4B10184A" w:rsidR="004D517F" w:rsidRDefault="004D517F" w:rsidP="006B3F4C">
      <w:pPr>
        <w:spacing w:line="600" w:lineRule="auto"/>
        <w:rPr>
          <w:rFonts w:ascii="Arial" w:hAnsi="Arial" w:cs="Arial"/>
          <w:sz w:val="24"/>
          <w:szCs w:val="24"/>
        </w:rPr>
      </w:pPr>
      <w:r>
        <w:rPr>
          <w:rFonts w:ascii="Arial" w:hAnsi="Arial" w:cs="Arial"/>
          <w:sz w:val="24"/>
          <w:szCs w:val="24"/>
        </w:rPr>
        <w:t xml:space="preserve">In the case of Ward v Tesco Stores Limited (1976) then the claimant slipped on the supermarket floor, this was down to a spillage of yoghurt. The claimant could prove no more, but to say that three weeks later after her accident orange juice was on the floor of the supermarket for at least fifteen minutes. It was held that the evidence from the claimant would constitute a prima facie case of negligence. No reasonable care was taken in this </w:t>
      </w:r>
      <w:proofErr w:type="gramStart"/>
      <w:r>
        <w:rPr>
          <w:rFonts w:ascii="Arial" w:hAnsi="Arial" w:cs="Arial"/>
          <w:sz w:val="24"/>
          <w:szCs w:val="24"/>
        </w:rPr>
        <w:t>particular case</w:t>
      </w:r>
      <w:proofErr w:type="gramEnd"/>
      <w:r>
        <w:rPr>
          <w:rFonts w:ascii="Arial" w:hAnsi="Arial" w:cs="Arial"/>
          <w:sz w:val="24"/>
          <w:szCs w:val="24"/>
        </w:rPr>
        <w:t>, so the defendants were seen as obliged to take some reasonable care. They had failed to comply to take any reasonable duty of care, so the claimant was able to succeed with the case.</w:t>
      </w:r>
    </w:p>
    <w:p w14:paraId="4380A427" w14:textId="6DF3EBAB" w:rsidR="004D517F" w:rsidRDefault="004D517F" w:rsidP="006B3F4C">
      <w:pPr>
        <w:spacing w:line="600" w:lineRule="auto"/>
        <w:rPr>
          <w:rFonts w:ascii="Arial" w:hAnsi="Arial" w:cs="Arial"/>
          <w:sz w:val="24"/>
          <w:szCs w:val="24"/>
        </w:rPr>
      </w:pPr>
      <w:r>
        <w:rPr>
          <w:rFonts w:ascii="Arial" w:hAnsi="Arial" w:cs="Arial"/>
          <w:sz w:val="24"/>
          <w:szCs w:val="24"/>
        </w:rPr>
        <w:lastRenderedPageBreak/>
        <w:t xml:space="preserve">The judgments within this case of Ward v Tesco would not relieve the claimant of any burden of proof so she had to prove that </w:t>
      </w:r>
      <w:r w:rsidR="00335248">
        <w:rPr>
          <w:rFonts w:ascii="Arial" w:hAnsi="Arial" w:cs="Arial"/>
          <w:sz w:val="24"/>
          <w:szCs w:val="24"/>
        </w:rPr>
        <w:t xml:space="preserve">the accident was prima facie evidence as </w:t>
      </w:r>
      <w:proofErr w:type="gramStart"/>
      <w:r w:rsidR="00335248">
        <w:rPr>
          <w:rFonts w:ascii="Arial" w:hAnsi="Arial" w:cs="Arial"/>
          <w:sz w:val="24"/>
          <w:szCs w:val="24"/>
        </w:rPr>
        <w:t>a</w:t>
      </w:r>
      <w:proofErr w:type="gramEnd"/>
      <w:r w:rsidR="00335248">
        <w:rPr>
          <w:rFonts w:ascii="Arial" w:hAnsi="Arial" w:cs="Arial"/>
          <w:sz w:val="24"/>
          <w:szCs w:val="24"/>
        </w:rPr>
        <w:t xml:space="preserve"> undue lack of care on the part of Tesco as they had failed to use a system which was designed to protect her from injury or accident. (Hall v Holker estate) (2008) EWCA </w:t>
      </w:r>
      <w:proofErr w:type="spellStart"/>
      <w:r w:rsidR="00335248">
        <w:rPr>
          <w:rFonts w:ascii="Arial" w:hAnsi="Arial" w:cs="Arial"/>
          <w:sz w:val="24"/>
          <w:szCs w:val="24"/>
        </w:rPr>
        <w:t>Civ</w:t>
      </w:r>
      <w:proofErr w:type="spellEnd"/>
      <w:r w:rsidR="00335248">
        <w:rPr>
          <w:rFonts w:ascii="Arial" w:hAnsi="Arial" w:cs="Arial"/>
          <w:sz w:val="24"/>
          <w:szCs w:val="24"/>
        </w:rPr>
        <w:t xml:space="preserve"> 1422.</w:t>
      </w:r>
    </w:p>
    <w:p w14:paraId="41A4E04E" w14:textId="6D3DDA70" w:rsidR="00BB26E2" w:rsidRDefault="00BB26E2" w:rsidP="006B3F4C">
      <w:pPr>
        <w:spacing w:line="600" w:lineRule="auto"/>
        <w:rPr>
          <w:rFonts w:ascii="Arial" w:hAnsi="Arial" w:cs="Arial"/>
          <w:sz w:val="24"/>
          <w:szCs w:val="24"/>
        </w:rPr>
      </w:pPr>
    </w:p>
    <w:p w14:paraId="78F1ED2D" w14:textId="46BF0656" w:rsidR="00BB26E2" w:rsidRDefault="00BB26E2" w:rsidP="006B3F4C">
      <w:pPr>
        <w:spacing w:line="600" w:lineRule="auto"/>
        <w:rPr>
          <w:rFonts w:ascii="Arial" w:hAnsi="Arial" w:cs="Arial"/>
          <w:sz w:val="24"/>
          <w:szCs w:val="24"/>
        </w:rPr>
      </w:pPr>
      <w:proofErr w:type="spellStart"/>
      <w:r>
        <w:rPr>
          <w:rFonts w:ascii="Arial" w:hAnsi="Arial" w:cs="Arial"/>
          <w:sz w:val="24"/>
          <w:szCs w:val="24"/>
        </w:rPr>
        <w:t>Alcock</w:t>
      </w:r>
      <w:proofErr w:type="spellEnd"/>
      <w:r>
        <w:rPr>
          <w:rFonts w:ascii="Arial" w:hAnsi="Arial" w:cs="Arial"/>
          <w:sz w:val="24"/>
          <w:szCs w:val="24"/>
        </w:rPr>
        <w:t xml:space="preserve"> v Chief Constable of South Yorkshire (1991) 4 ALL ER 907 (HL); Affirming (1991) 3 ALL ER 88.</w:t>
      </w:r>
    </w:p>
    <w:p w14:paraId="2962EAA2" w14:textId="3DA7F2B1" w:rsidR="00BB26E2" w:rsidRDefault="00BB26E2" w:rsidP="006B3F4C">
      <w:pPr>
        <w:spacing w:line="600" w:lineRule="auto"/>
        <w:rPr>
          <w:rFonts w:ascii="Arial" w:hAnsi="Arial" w:cs="Arial"/>
          <w:sz w:val="24"/>
          <w:szCs w:val="24"/>
        </w:rPr>
      </w:pPr>
      <w:proofErr w:type="spellStart"/>
      <w:r>
        <w:rPr>
          <w:rFonts w:ascii="Arial" w:hAnsi="Arial" w:cs="Arial"/>
          <w:sz w:val="24"/>
          <w:szCs w:val="24"/>
        </w:rPr>
        <w:t>Dulieu</w:t>
      </w:r>
      <w:proofErr w:type="spellEnd"/>
      <w:r>
        <w:rPr>
          <w:rFonts w:ascii="Arial" w:hAnsi="Arial" w:cs="Arial"/>
          <w:sz w:val="24"/>
          <w:szCs w:val="24"/>
        </w:rPr>
        <w:t xml:space="preserve"> v White and Sons (1901) 2 KB 669.</w:t>
      </w:r>
    </w:p>
    <w:p w14:paraId="6F1641E5" w14:textId="6CCF4732" w:rsidR="00BB26E2" w:rsidRDefault="00BB26E2" w:rsidP="006B3F4C">
      <w:pPr>
        <w:spacing w:line="600" w:lineRule="auto"/>
        <w:rPr>
          <w:rFonts w:ascii="Arial" w:hAnsi="Arial" w:cs="Arial"/>
          <w:sz w:val="24"/>
          <w:szCs w:val="24"/>
        </w:rPr>
      </w:pPr>
      <w:r>
        <w:rPr>
          <w:rFonts w:ascii="Arial" w:hAnsi="Arial" w:cs="Arial"/>
          <w:sz w:val="24"/>
          <w:szCs w:val="24"/>
        </w:rPr>
        <w:t xml:space="preserve">Fairchild v </w:t>
      </w:r>
      <w:proofErr w:type="spellStart"/>
      <w:r>
        <w:rPr>
          <w:rFonts w:ascii="Arial" w:hAnsi="Arial" w:cs="Arial"/>
          <w:sz w:val="24"/>
          <w:szCs w:val="24"/>
        </w:rPr>
        <w:t>Glenhaven</w:t>
      </w:r>
      <w:proofErr w:type="spellEnd"/>
      <w:r>
        <w:rPr>
          <w:rFonts w:ascii="Arial" w:hAnsi="Arial" w:cs="Arial"/>
          <w:sz w:val="24"/>
          <w:szCs w:val="24"/>
        </w:rPr>
        <w:t xml:space="preserve"> Funeral Services (2002) 1 WLR 1052.</w:t>
      </w:r>
    </w:p>
    <w:p w14:paraId="66EB3EA6" w14:textId="49D08928" w:rsidR="00BB26E2" w:rsidRDefault="00BB26E2" w:rsidP="006B3F4C">
      <w:pPr>
        <w:spacing w:line="600" w:lineRule="auto"/>
        <w:rPr>
          <w:rFonts w:ascii="Arial" w:hAnsi="Arial" w:cs="Arial"/>
          <w:sz w:val="24"/>
          <w:szCs w:val="24"/>
        </w:rPr>
      </w:pPr>
      <w:r>
        <w:rPr>
          <w:rFonts w:ascii="Arial" w:hAnsi="Arial" w:cs="Arial"/>
          <w:sz w:val="24"/>
          <w:szCs w:val="24"/>
        </w:rPr>
        <w:t>Harris v Birkenhead Corporation (1976) 1 WLR 279.</w:t>
      </w:r>
    </w:p>
    <w:p w14:paraId="602AA89C" w14:textId="17B9B533" w:rsidR="00BB26E2" w:rsidRDefault="00BB26E2" w:rsidP="006B3F4C">
      <w:pPr>
        <w:spacing w:line="600" w:lineRule="auto"/>
        <w:rPr>
          <w:rFonts w:ascii="Arial" w:hAnsi="Arial" w:cs="Arial"/>
          <w:sz w:val="24"/>
          <w:szCs w:val="24"/>
        </w:rPr>
      </w:pPr>
      <w:r>
        <w:rPr>
          <w:rFonts w:ascii="Arial" w:hAnsi="Arial" w:cs="Arial"/>
          <w:sz w:val="24"/>
          <w:szCs w:val="24"/>
        </w:rPr>
        <w:t>Leakey v National Trust (1980) QB 485.</w:t>
      </w:r>
    </w:p>
    <w:p w14:paraId="4A692E48" w14:textId="7869E8A1" w:rsidR="00BB26E2" w:rsidRDefault="00BB26E2" w:rsidP="006B3F4C">
      <w:pPr>
        <w:spacing w:line="600" w:lineRule="auto"/>
        <w:rPr>
          <w:rFonts w:ascii="Arial" w:hAnsi="Arial" w:cs="Arial"/>
          <w:sz w:val="24"/>
          <w:szCs w:val="24"/>
        </w:rPr>
      </w:pPr>
      <w:r>
        <w:rPr>
          <w:rFonts w:ascii="Arial" w:hAnsi="Arial" w:cs="Arial"/>
          <w:sz w:val="24"/>
          <w:szCs w:val="24"/>
        </w:rPr>
        <w:t>Page v Smith (1995) 2 ALL ER 736.</w:t>
      </w:r>
    </w:p>
    <w:p w14:paraId="120E6BEA" w14:textId="14477522" w:rsidR="00BB26E2" w:rsidRDefault="00BB26E2" w:rsidP="006B3F4C">
      <w:pPr>
        <w:spacing w:line="600" w:lineRule="auto"/>
        <w:rPr>
          <w:rFonts w:ascii="Arial" w:hAnsi="Arial" w:cs="Arial"/>
          <w:sz w:val="24"/>
          <w:szCs w:val="24"/>
        </w:rPr>
      </w:pPr>
      <w:r>
        <w:rPr>
          <w:rFonts w:ascii="Arial" w:hAnsi="Arial" w:cs="Arial"/>
          <w:sz w:val="24"/>
          <w:szCs w:val="24"/>
        </w:rPr>
        <w:t>The Wagon Mound (1961) 2 ALL ER 736.</w:t>
      </w:r>
    </w:p>
    <w:p w14:paraId="14656110" w14:textId="37CB7E9A" w:rsidR="00BB26E2" w:rsidRDefault="00BB26E2" w:rsidP="006B3F4C">
      <w:pPr>
        <w:spacing w:line="600" w:lineRule="auto"/>
        <w:rPr>
          <w:rFonts w:ascii="Arial" w:hAnsi="Arial" w:cs="Arial"/>
          <w:sz w:val="24"/>
          <w:szCs w:val="24"/>
        </w:rPr>
      </w:pPr>
      <w:r>
        <w:rPr>
          <w:rFonts w:ascii="Arial" w:hAnsi="Arial" w:cs="Arial"/>
          <w:sz w:val="24"/>
          <w:szCs w:val="24"/>
        </w:rPr>
        <w:t>Tomlinson v Congleton Borough Council (2003) 3 ALL ER</w:t>
      </w:r>
    </w:p>
    <w:p w14:paraId="14C4A181" w14:textId="65E8CC06" w:rsidR="00BB26E2" w:rsidRDefault="00BB26E2" w:rsidP="006B3F4C">
      <w:pPr>
        <w:spacing w:line="600" w:lineRule="auto"/>
        <w:rPr>
          <w:rFonts w:ascii="Arial" w:hAnsi="Arial" w:cs="Arial"/>
          <w:sz w:val="24"/>
          <w:szCs w:val="24"/>
        </w:rPr>
      </w:pPr>
      <w:r>
        <w:rPr>
          <w:rFonts w:ascii="Arial" w:hAnsi="Arial" w:cs="Arial"/>
          <w:sz w:val="24"/>
          <w:szCs w:val="24"/>
        </w:rPr>
        <w:t>Ward v Tesco Stores Limited (1976) 1 WLR 810.</w:t>
      </w:r>
    </w:p>
    <w:p w14:paraId="2EE80023" w14:textId="3CC6A3F1" w:rsidR="00BB26E2" w:rsidRDefault="00BB26E2" w:rsidP="006B3F4C">
      <w:pPr>
        <w:spacing w:line="600" w:lineRule="auto"/>
        <w:rPr>
          <w:rFonts w:ascii="Arial" w:hAnsi="Arial" w:cs="Arial"/>
          <w:sz w:val="24"/>
          <w:szCs w:val="24"/>
        </w:rPr>
      </w:pPr>
      <w:r>
        <w:rPr>
          <w:rFonts w:ascii="Arial" w:hAnsi="Arial" w:cs="Arial"/>
          <w:sz w:val="24"/>
          <w:szCs w:val="24"/>
        </w:rPr>
        <w:t xml:space="preserve">Wheat v E. </w:t>
      </w:r>
      <w:proofErr w:type="spellStart"/>
      <w:r>
        <w:rPr>
          <w:rFonts w:ascii="Arial" w:hAnsi="Arial" w:cs="Arial"/>
          <w:sz w:val="24"/>
          <w:szCs w:val="24"/>
        </w:rPr>
        <w:t>Lacon</w:t>
      </w:r>
      <w:proofErr w:type="spellEnd"/>
      <w:r>
        <w:rPr>
          <w:rFonts w:ascii="Arial" w:hAnsi="Arial" w:cs="Arial"/>
          <w:sz w:val="24"/>
          <w:szCs w:val="24"/>
        </w:rPr>
        <w:t xml:space="preserve"> and Company (1966) AC 522.</w:t>
      </w:r>
    </w:p>
    <w:p w14:paraId="2B8C2AA5" w14:textId="3B4CCA78" w:rsidR="00BB26E2" w:rsidRDefault="00BB26E2" w:rsidP="006B3F4C">
      <w:pPr>
        <w:spacing w:line="600" w:lineRule="auto"/>
        <w:rPr>
          <w:rFonts w:ascii="Arial" w:hAnsi="Arial" w:cs="Arial"/>
          <w:sz w:val="24"/>
          <w:szCs w:val="24"/>
        </w:rPr>
      </w:pPr>
    </w:p>
    <w:p w14:paraId="0C001EDC" w14:textId="675E621F" w:rsidR="00BB26E2" w:rsidRDefault="00BB26E2" w:rsidP="006B3F4C">
      <w:pPr>
        <w:spacing w:line="600" w:lineRule="auto"/>
        <w:rPr>
          <w:rFonts w:ascii="Arial" w:hAnsi="Arial" w:cs="Arial"/>
          <w:sz w:val="24"/>
          <w:szCs w:val="24"/>
        </w:rPr>
      </w:pPr>
      <w:r>
        <w:rPr>
          <w:rFonts w:ascii="Arial" w:hAnsi="Arial" w:cs="Arial"/>
          <w:sz w:val="24"/>
          <w:szCs w:val="24"/>
        </w:rPr>
        <w:lastRenderedPageBreak/>
        <w:t>Bradbury, E &amp; Rowlands, C, (2007) A2 Law Tort Law. Oxfordshire, Philip Allan Updates.</w:t>
      </w:r>
    </w:p>
    <w:p w14:paraId="2AE72697" w14:textId="0CC15565" w:rsidR="00BB26E2" w:rsidRDefault="006F5F07" w:rsidP="006B3F4C">
      <w:pPr>
        <w:spacing w:line="600" w:lineRule="auto"/>
        <w:rPr>
          <w:rFonts w:ascii="Arial" w:hAnsi="Arial" w:cs="Arial"/>
          <w:sz w:val="24"/>
          <w:szCs w:val="24"/>
        </w:rPr>
      </w:pPr>
      <w:r>
        <w:rPr>
          <w:rFonts w:ascii="Arial" w:hAnsi="Arial" w:cs="Arial"/>
          <w:sz w:val="24"/>
          <w:szCs w:val="24"/>
        </w:rPr>
        <w:t>Cooke, J. (2015) Law of Tort. Harlow, Pearson Education Limited.</w:t>
      </w:r>
    </w:p>
    <w:p w14:paraId="6FF5A8B4" w14:textId="081B5DC6" w:rsidR="006F5F07" w:rsidRDefault="006F5F07" w:rsidP="006B3F4C">
      <w:pPr>
        <w:spacing w:line="600" w:lineRule="auto"/>
        <w:rPr>
          <w:rFonts w:ascii="Arial" w:hAnsi="Arial" w:cs="Arial"/>
          <w:sz w:val="24"/>
          <w:szCs w:val="24"/>
        </w:rPr>
      </w:pPr>
      <w:proofErr w:type="spellStart"/>
      <w:r>
        <w:rPr>
          <w:rFonts w:ascii="Arial" w:hAnsi="Arial" w:cs="Arial"/>
          <w:sz w:val="24"/>
          <w:szCs w:val="24"/>
        </w:rPr>
        <w:t>Lunney</w:t>
      </w:r>
      <w:proofErr w:type="spellEnd"/>
      <w:r>
        <w:rPr>
          <w:rFonts w:ascii="Arial" w:hAnsi="Arial" w:cs="Arial"/>
          <w:sz w:val="24"/>
          <w:szCs w:val="24"/>
        </w:rPr>
        <w:t>, M &amp; Oliphant K, (2012) Tort Law Text and Materials. Oxfordshire, Oxford University Press.</w:t>
      </w:r>
    </w:p>
    <w:p w14:paraId="72B4169E" w14:textId="01D499FF" w:rsidR="00335248" w:rsidRDefault="00335248" w:rsidP="006B3F4C">
      <w:pPr>
        <w:spacing w:line="600" w:lineRule="auto"/>
        <w:rPr>
          <w:rFonts w:ascii="Arial" w:hAnsi="Arial" w:cs="Arial"/>
          <w:sz w:val="24"/>
          <w:szCs w:val="24"/>
        </w:rPr>
      </w:pPr>
    </w:p>
    <w:p w14:paraId="54248302" w14:textId="77777777" w:rsidR="00335248" w:rsidRDefault="00335248" w:rsidP="006B3F4C">
      <w:pPr>
        <w:spacing w:line="600" w:lineRule="auto"/>
        <w:rPr>
          <w:rFonts w:ascii="Arial" w:hAnsi="Arial" w:cs="Arial"/>
          <w:sz w:val="24"/>
          <w:szCs w:val="24"/>
        </w:rPr>
      </w:pPr>
    </w:p>
    <w:p w14:paraId="41F7F324" w14:textId="77777777" w:rsidR="00334481" w:rsidRPr="006B3F4C" w:rsidRDefault="00334481" w:rsidP="006B3F4C">
      <w:pPr>
        <w:spacing w:line="600" w:lineRule="auto"/>
        <w:rPr>
          <w:rFonts w:ascii="Arial" w:hAnsi="Arial" w:cs="Arial"/>
          <w:sz w:val="24"/>
          <w:szCs w:val="24"/>
        </w:rPr>
      </w:pPr>
    </w:p>
    <w:sectPr w:rsidR="00334481" w:rsidRPr="006B3F4C" w:rsidSect="00DB58A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8A3"/>
    <w:rsid w:val="00016E60"/>
    <w:rsid w:val="00020CBD"/>
    <w:rsid w:val="000A06DE"/>
    <w:rsid w:val="00191726"/>
    <w:rsid w:val="00261752"/>
    <w:rsid w:val="00297027"/>
    <w:rsid w:val="00326FC0"/>
    <w:rsid w:val="00334481"/>
    <w:rsid w:val="00335248"/>
    <w:rsid w:val="003D5746"/>
    <w:rsid w:val="00404F06"/>
    <w:rsid w:val="004A05B9"/>
    <w:rsid w:val="004D517F"/>
    <w:rsid w:val="00513372"/>
    <w:rsid w:val="005A24E0"/>
    <w:rsid w:val="006B3F4C"/>
    <w:rsid w:val="006F4368"/>
    <w:rsid w:val="006F5F07"/>
    <w:rsid w:val="007465B4"/>
    <w:rsid w:val="007E184A"/>
    <w:rsid w:val="008C0C35"/>
    <w:rsid w:val="00951F1E"/>
    <w:rsid w:val="00B6353D"/>
    <w:rsid w:val="00BB26E2"/>
    <w:rsid w:val="00C00AB1"/>
    <w:rsid w:val="00C3660C"/>
    <w:rsid w:val="00CE61E0"/>
    <w:rsid w:val="00D4290B"/>
    <w:rsid w:val="00DB58A3"/>
    <w:rsid w:val="00DD09C6"/>
    <w:rsid w:val="00EC31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D8319"/>
  <w15:chartTrackingRefBased/>
  <w15:docId w15:val="{D48011F5-50BA-420F-82C1-E3EA78FFE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B58A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58A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2022-01-03T00:00:00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1946</Words>
  <Characters>11094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Tort Law.</vt:lpstr>
    </vt:vector>
  </TitlesOfParts>
  <Company/>
  <LinksUpToDate>false</LinksUpToDate>
  <CharactersWithSpaces>13014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Tort Law.</dc:title>
  <dc:subject/>
  <dc:creator>Mel Jane Box (2003707)</dc:creator>
  <cp:keywords/>
  <dc:description/>
  <cp:lastModifiedBy>Mel Jane Box (2003707)</cp:lastModifiedBy>
  <cp:revision>2</cp:revision>
  <dcterms:created xsi:type="dcterms:W3CDTF">2022-01-05T10:20:00Z</dcterms:created>
  <dcterms:modified xsi:type="dcterms:W3CDTF">2022-01-05T10:20:00Z</dcterms:modified>
  <cp:category>BMLW5008</cp:category>
</cp:coreProperties>
</file>