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A52CE3">
      <w:pPr>
        <w:spacing w:line="360" w:lineRule="auto"/>
        <w:rPr>
          <w:rFonts w:ascii="Arial" w:hAnsi="Arial" w:cs="Arial"/>
          <w:sz w:val="22"/>
        </w:rPr>
      </w:pPr>
      <w:r>
        <w:rPr>
          <w:rFonts w:ascii="Arial" w:hAnsi="Arial" w:cs="Arial"/>
          <w:sz w:val="22"/>
          <w:lang w:eastAsia="en-GB"/>
        </w:rPr>
        <w:drawing>
          <wp:anchor distT="0" distB="0" distL="114300" distR="114300" simplePos="0" relativeHeight="251659264" behindDoc="0" locked="0" layoutInCell="1" allowOverlap="1">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p>
    <w:p w14:paraId="585F3537">
      <w:pPr>
        <w:spacing w:line="360" w:lineRule="auto"/>
        <w:rPr>
          <w:rFonts w:ascii="Arial" w:hAnsi="Arial" w:cs="Arial"/>
          <w:sz w:val="22"/>
        </w:rPr>
      </w:pPr>
    </w:p>
    <w:p w14:paraId="4E267F2C">
      <w:pPr>
        <w:spacing w:line="360" w:lineRule="auto"/>
        <w:rPr>
          <w:rFonts w:ascii="Arial" w:hAnsi="Arial" w:cs="Arial"/>
          <w:sz w:val="22"/>
        </w:rPr>
      </w:pPr>
    </w:p>
    <w:p w14:paraId="5D864E3F">
      <w:pPr>
        <w:spacing w:line="360" w:lineRule="auto"/>
        <w:rPr>
          <w:rFonts w:ascii="Arial" w:hAnsi="Arial" w:cs="Arial"/>
          <w:sz w:val="22"/>
        </w:rPr>
      </w:pPr>
    </w:p>
    <w:p w14:paraId="7D557BA5">
      <w:pPr>
        <w:tabs>
          <w:tab w:val="left" w:pos="6540"/>
        </w:tabs>
        <w:spacing w:line="360" w:lineRule="auto"/>
        <w:rPr>
          <w:rFonts w:hint="default" w:ascii="Arial" w:hAnsi="Arial" w:cs="Arial"/>
          <w:sz w:val="28"/>
          <w:szCs w:val="28"/>
          <w:lang w:val="en-GB"/>
        </w:rPr>
      </w:pPr>
      <w:r>
        <w:rPr>
          <w:rFonts w:ascii="Arial" w:hAnsi="Arial" w:cs="Arial"/>
          <w:b/>
          <w:bCs/>
          <w:sz w:val="28"/>
          <w:szCs w:val="28"/>
          <w:lang w:val="en-GB"/>
        </w:rPr>
        <w:t>Module</w:t>
      </w:r>
      <w:r>
        <w:rPr>
          <w:rFonts w:ascii="Arial" w:hAnsi="Arial" w:cs="Arial"/>
          <w:b/>
          <w:bCs/>
          <w:sz w:val="28"/>
          <w:szCs w:val="28"/>
          <w:lang w:val="nl-NL"/>
        </w:rPr>
        <w:t xml:space="preserve"> name</w:t>
      </w:r>
      <w:r>
        <w:rPr>
          <w:rFonts w:ascii="Arial" w:hAnsi="Arial" w:cs="Arial"/>
          <w:sz w:val="28"/>
          <w:szCs w:val="28"/>
          <w:lang w:val="nl-NL"/>
        </w:rPr>
        <w:t xml:space="preserve">: </w:t>
      </w:r>
      <w:r>
        <w:rPr>
          <w:rFonts w:hint="default" w:ascii="Arial" w:hAnsi="Arial" w:cs="Arial"/>
          <w:sz w:val="28"/>
          <w:szCs w:val="28"/>
          <w:lang w:val="en-GB"/>
        </w:rPr>
        <w:t>Introduction to Independent Research Skilil</w:t>
      </w:r>
    </w:p>
    <w:p w14:paraId="537571AF">
      <w:pPr>
        <w:tabs>
          <w:tab w:val="left" w:pos="6540"/>
        </w:tabs>
        <w:spacing w:line="360" w:lineRule="auto"/>
        <w:rPr>
          <w:rFonts w:hint="default" w:ascii="Arial" w:hAnsi="Arial" w:cs="Arial"/>
          <w:sz w:val="28"/>
          <w:szCs w:val="28"/>
          <w:lang w:val="en-GB"/>
        </w:rPr>
      </w:pPr>
      <w:r>
        <w:rPr>
          <w:rFonts w:ascii="Arial" w:hAnsi="Arial" w:cs="Arial"/>
          <w:b/>
          <w:bCs/>
          <w:sz w:val="28"/>
          <w:szCs w:val="28"/>
        </w:rPr>
        <w:t xml:space="preserve">Module </w:t>
      </w:r>
      <w:r>
        <w:rPr>
          <w:rFonts w:hint="default" w:ascii="Arial" w:hAnsi="Arial" w:cs="Arial"/>
          <w:b/>
          <w:bCs/>
          <w:sz w:val="28"/>
          <w:szCs w:val="28"/>
          <w:lang w:val="en-GB"/>
        </w:rPr>
        <w:t>C</w:t>
      </w:r>
      <w:r>
        <w:rPr>
          <w:rFonts w:ascii="Arial" w:hAnsi="Arial" w:cs="Arial"/>
          <w:b/>
          <w:bCs/>
          <w:sz w:val="28"/>
          <w:szCs w:val="28"/>
        </w:rPr>
        <w:t>ode</w:t>
      </w:r>
      <w:r>
        <w:rPr>
          <w:rFonts w:ascii="Arial" w:hAnsi="Arial" w:cs="Arial"/>
          <w:sz w:val="28"/>
          <w:szCs w:val="28"/>
        </w:rPr>
        <w:t>:</w:t>
      </w:r>
      <w:r>
        <w:rPr>
          <w:rFonts w:hint="default" w:ascii="Arial" w:hAnsi="Arial" w:cs="Arial"/>
          <w:sz w:val="28"/>
          <w:szCs w:val="28"/>
          <w:lang w:val="en-GB"/>
        </w:rPr>
        <w:t>BMHP5019</w:t>
      </w:r>
    </w:p>
    <w:p w14:paraId="529D7354">
      <w:pPr>
        <w:tabs>
          <w:tab w:val="left" w:pos="6540"/>
        </w:tabs>
        <w:spacing w:line="360" w:lineRule="auto"/>
        <w:rPr>
          <w:rFonts w:ascii="Arial" w:hAnsi="Arial" w:cs="Arial"/>
          <w:b/>
          <w:bCs/>
          <w:sz w:val="28"/>
          <w:szCs w:val="28"/>
          <w:lang w:val="nl-NL"/>
        </w:rPr>
      </w:pPr>
    </w:p>
    <w:p w14:paraId="0A48766D">
      <w:pPr>
        <w:tabs>
          <w:tab w:val="left" w:pos="6540"/>
        </w:tabs>
        <w:spacing w:line="360" w:lineRule="auto"/>
        <w:rPr>
          <w:rFonts w:hint="default" w:ascii="Arial" w:hAnsi="Arial" w:cs="Arial"/>
          <w:sz w:val="28"/>
          <w:szCs w:val="28"/>
          <w:lang w:val="en-GB"/>
        </w:rPr>
      </w:pPr>
      <w:r>
        <w:rPr>
          <w:rFonts w:ascii="Arial" w:hAnsi="Arial" w:cs="Arial"/>
          <w:b/>
          <w:bCs/>
          <w:sz w:val="28"/>
          <w:szCs w:val="28"/>
          <w:lang w:val="nl-NL"/>
        </w:rPr>
        <w:t xml:space="preserve">Student </w:t>
      </w:r>
      <w:r>
        <w:rPr>
          <w:rFonts w:hint="default" w:ascii="Arial" w:hAnsi="Arial" w:cs="Arial"/>
          <w:b/>
          <w:bCs/>
          <w:sz w:val="28"/>
          <w:szCs w:val="28"/>
          <w:lang w:val="en-GB"/>
        </w:rPr>
        <w:t>N</w:t>
      </w:r>
      <w:r>
        <w:rPr>
          <w:rFonts w:ascii="Arial" w:hAnsi="Arial" w:cs="Arial"/>
          <w:b/>
          <w:bCs/>
          <w:sz w:val="28"/>
          <w:szCs w:val="28"/>
          <w:lang w:val="nl-NL"/>
        </w:rPr>
        <w:t>ame</w:t>
      </w:r>
      <w:r>
        <w:rPr>
          <w:rFonts w:ascii="Arial" w:hAnsi="Arial" w:cs="Arial"/>
          <w:sz w:val="28"/>
          <w:szCs w:val="28"/>
          <w:lang w:val="nl-NL"/>
        </w:rPr>
        <w:t>:</w:t>
      </w:r>
      <w:r>
        <w:rPr>
          <w:rFonts w:hint="default" w:ascii="Arial" w:hAnsi="Arial" w:cs="Arial"/>
          <w:sz w:val="28"/>
          <w:szCs w:val="28"/>
          <w:lang w:val="en-GB"/>
        </w:rPr>
        <w:t>Pavlin Enchev</w:t>
      </w:r>
    </w:p>
    <w:p w14:paraId="11E81202">
      <w:pPr>
        <w:tabs>
          <w:tab w:val="left" w:pos="6540"/>
        </w:tabs>
        <w:spacing w:line="360" w:lineRule="auto"/>
        <w:rPr>
          <w:rFonts w:hint="default" w:ascii="Arial" w:hAnsi="Arial" w:cs="Arial"/>
          <w:sz w:val="28"/>
          <w:szCs w:val="28"/>
          <w:lang w:val="en-GB"/>
        </w:rPr>
      </w:pPr>
      <w:bookmarkStart w:id="24" w:name="_GoBack"/>
      <w:bookmarkEnd w:id="24"/>
    </w:p>
    <w:p w14:paraId="39AA4413">
      <w:pPr>
        <w:tabs>
          <w:tab w:val="left" w:pos="6540"/>
        </w:tabs>
        <w:spacing w:line="360" w:lineRule="auto"/>
        <w:rPr>
          <w:rFonts w:hint="default" w:ascii="Arial" w:hAnsi="Arial" w:cs="Arial"/>
          <w:sz w:val="28"/>
          <w:szCs w:val="28"/>
          <w:lang w:val="en-GB"/>
        </w:rPr>
      </w:pPr>
      <w:r>
        <w:rPr>
          <w:rFonts w:ascii="Arial" w:hAnsi="Arial" w:cs="Arial"/>
          <w:b/>
          <w:bCs/>
          <w:sz w:val="28"/>
          <w:szCs w:val="28"/>
          <w:lang w:val="nl-NL"/>
        </w:rPr>
        <w:t>Student ID</w:t>
      </w:r>
      <w:r>
        <w:rPr>
          <w:rFonts w:ascii="Arial" w:hAnsi="Arial" w:cs="Arial"/>
          <w:sz w:val="28"/>
          <w:szCs w:val="28"/>
          <w:lang w:val="nl-NL"/>
        </w:rPr>
        <w:t>:</w:t>
      </w:r>
      <w:r>
        <w:rPr>
          <w:rFonts w:hint="default" w:ascii="Arial" w:hAnsi="Arial" w:cs="Arial"/>
          <w:sz w:val="28"/>
          <w:szCs w:val="28"/>
          <w:lang w:val="en-GB"/>
        </w:rPr>
        <w:t>2327272</w:t>
      </w:r>
    </w:p>
    <w:p w14:paraId="5E81F6AD">
      <w:pPr>
        <w:tabs>
          <w:tab w:val="left" w:pos="6540"/>
        </w:tabs>
        <w:spacing w:line="360" w:lineRule="auto"/>
        <w:rPr>
          <w:rFonts w:ascii="Arial" w:hAnsi="Arial" w:cs="Arial"/>
          <w:sz w:val="28"/>
          <w:szCs w:val="28"/>
          <w:lang w:val="nl-NL"/>
        </w:rPr>
      </w:pPr>
    </w:p>
    <w:p w14:paraId="1A0B2D2B">
      <w:pPr>
        <w:tabs>
          <w:tab w:val="left" w:pos="6540"/>
        </w:tabs>
        <w:spacing w:line="360" w:lineRule="auto"/>
        <w:rPr>
          <w:rFonts w:hint="default" w:ascii="Arial" w:hAnsi="Arial" w:cs="Arial"/>
          <w:sz w:val="28"/>
          <w:szCs w:val="28"/>
          <w:lang w:val="en-GB"/>
        </w:rPr>
      </w:pPr>
      <w:r>
        <w:rPr>
          <w:rFonts w:ascii="Arial" w:hAnsi="Arial" w:cs="Arial"/>
          <w:b/>
          <w:bCs/>
          <w:sz w:val="28"/>
          <w:szCs w:val="28"/>
        </w:rPr>
        <w:t>Word count</w:t>
      </w:r>
      <w:r>
        <w:rPr>
          <w:rFonts w:ascii="Arial" w:hAnsi="Arial" w:cs="Arial"/>
          <w:sz w:val="28"/>
          <w:szCs w:val="28"/>
        </w:rPr>
        <w:t>:</w:t>
      </w:r>
      <w:r>
        <w:rPr>
          <w:rFonts w:hint="default" w:ascii="Arial" w:hAnsi="Arial" w:cs="Arial"/>
          <w:sz w:val="28"/>
          <w:szCs w:val="28"/>
          <w:lang w:val="en-GB"/>
        </w:rPr>
        <w:t>4532</w:t>
      </w:r>
    </w:p>
    <w:p w14:paraId="39D08584">
      <w:pPr>
        <w:tabs>
          <w:tab w:val="left" w:pos="6540"/>
        </w:tabs>
        <w:spacing w:line="360" w:lineRule="auto"/>
        <w:rPr>
          <w:rFonts w:ascii="Arial" w:hAnsi="Arial" w:cs="Arial"/>
          <w:sz w:val="22"/>
        </w:rPr>
      </w:pPr>
    </w:p>
    <w:p w14:paraId="5B66D125">
      <w:pPr>
        <w:tabs>
          <w:tab w:val="left" w:pos="6540"/>
        </w:tabs>
        <w:spacing w:line="360" w:lineRule="auto"/>
        <w:rPr>
          <w:rFonts w:ascii="Arial" w:hAnsi="Arial" w:cs="Arial"/>
          <w:sz w:val="22"/>
        </w:rPr>
      </w:pPr>
    </w:p>
    <w:p w14:paraId="291524A2">
      <w:pPr>
        <w:tabs>
          <w:tab w:val="left" w:pos="6540"/>
        </w:tabs>
        <w:spacing w:line="360" w:lineRule="auto"/>
        <w:rPr>
          <w:rFonts w:ascii="Arial" w:hAnsi="Arial" w:cs="Arial"/>
          <w:sz w:val="22"/>
        </w:rPr>
      </w:pPr>
    </w:p>
    <w:p w14:paraId="5AE88297">
      <w:pPr>
        <w:tabs>
          <w:tab w:val="left" w:pos="6540"/>
        </w:tabs>
        <w:spacing w:line="360" w:lineRule="auto"/>
        <w:rPr>
          <w:rFonts w:ascii="Arial" w:hAnsi="Arial" w:cs="Arial"/>
          <w:sz w:val="22"/>
        </w:rPr>
      </w:pPr>
    </w:p>
    <w:p w14:paraId="420ADE33">
      <w:pPr>
        <w:spacing w:line="360" w:lineRule="auto"/>
        <w:rPr>
          <w:rFonts w:ascii="Arial" w:hAnsi="Arial" w:cs="Arial"/>
          <w:sz w:val="22"/>
        </w:rPr>
      </w:pPr>
      <w:r>
        <w:rPr>
          <w:rFonts w:ascii="Arial" w:hAnsi="Arial" w:cs="Arial"/>
          <w:sz w:val="22"/>
        </w:rPr>
        <w:br w:type="page"/>
      </w:r>
    </w:p>
    <w:p w14:paraId="4B7B5FA0">
      <w:pPr>
        <w:pStyle w:val="23"/>
      </w:pPr>
      <w:bookmarkStart w:id="0" w:name="_Toc222937148"/>
      <w:r>
        <w:t>Table of Contents</w:t>
      </w:r>
      <w:bookmarkEnd w:id="0"/>
    </w:p>
    <w:sdt>
      <w:sdtPr>
        <w:id w:val="1852531262"/>
        <w:docPartObj>
          <w:docPartGallery w:val="Table of Contents"/>
          <w:docPartUnique/>
        </w:docPartObj>
      </w:sdtPr>
      <w:sdtEndPr>
        <w:rPr>
          <w:rFonts w:eastAsiaTheme="minorHAnsi"/>
          <w:b w:val="0"/>
          <w:bCs/>
        </w:rPr>
      </w:sdtEndPr>
      <w:sdtContent>
        <w:p w14:paraId="185DAC1B">
          <w:pPr>
            <w:pStyle w:val="2"/>
          </w:pPr>
          <w:r>
            <w:fldChar w:fldCharType="begin"/>
          </w:r>
          <w:r>
            <w:instrText xml:space="preserve"> TOC \o "1-3" \h \z \u </w:instrText>
          </w:r>
          <w:r>
            <w:fldChar w:fldCharType="separate"/>
          </w:r>
        </w:p>
        <w:p w14:paraId="5CA040C1">
          <w:pPr>
            <w:pStyle w:val="13"/>
            <w:tabs>
              <w:tab w:val="right" w:leader="dot" w:pos="9016"/>
            </w:tabs>
            <w:rPr>
              <w:rFonts w:ascii="Arial" w:hAnsi="Arial" w:cs="Arial"/>
              <w:sz w:val="22"/>
            </w:rPr>
          </w:pPr>
          <w:r>
            <w:fldChar w:fldCharType="begin"/>
          </w:r>
          <w:r>
            <w:instrText xml:space="preserve"> HYPERLINK \l "_Toc222937149" </w:instrText>
          </w:r>
          <w:r>
            <w:fldChar w:fldCharType="separate"/>
          </w:r>
          <w:r>
            <w:rPr>
              <w:rStyle w:val="11"/>
              <w:rFonts w:ascii="Arial" w:hAnsi="Arial" w:cs="Arial"/>
              <w:sz w:val="22"/>
            </w:rPr>
            <w:t>Abstract</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_Toc222937149 \h </w:instrText>
          </w:r>
          <w:r>
            <w:rPr>
              <w:rFonts w:ascii="Arial" w:hAnsi="Arial" w:cs="Arial"/>
              <w:sz w:val="22"/>
            </w:rPr>
            <w:fldChar w:fldCharType="separate"/>
          </w:r>
          <w:r>
            <w:rPr>
              <w:rFonts w:ascii="Arial" w:hAnsi="Arial" w:cs="Arial"/>
              <w:sz w:val="22"/>
            </w:rPr>
            <w:t>3</w:t>
          </w:r>
          <w:r>
            <w:rPr>
              <w:rFonts w:ascii="Arial" w:hAnsi="Arial" w:cs="Arial"/>
              <w:sz w:val="22"/>
            </w:rPr>
            <w:fldChar w:fldCharType="end"/>
          </w:r>
          <w:r>
            <w:rPr>
              <w:rFonts w:ascii="Arial" w:hAnsi="Arial" w:cs="Arial"/>
              <w:sz w:val="22"/>
            </w:rPr>
            <w:fldChar w:fldCharType="end"/>
          </w:r>
        </w:p>
        <w:p w14:paraId="0AE107C1">
          <w:pPr>
            <w:pStyle w:val="13"/>
            <w:tabs>
              <w:tab w:val="right" w:leader="dot" w:pos="9016"/>
            </w:tabs>
            <w:rPr>
              <w:rFonts w:ascii="Arial" w:hAnsi="Arial" w:cs="Arial"/>
              <w:sz w:val="22"/>
            </w:rPr>
          </w:pPr>
          <w:r>
            <w:fldChar w:fldCharType="begin"/>
          </w:r>
          <w:r>
            <w:instrText xml:space="preserve"> HYPERLINK \l "_Toc222937150" </w:instrText>
          </w:r>
          <w:r>
            <w:fldChar w:fldCharType="separate"/>
          </w:r>
          <w:r>
            <w:rPr>
              <w:rStyle w:val="11"/>
              <w:rFonts w:ascii="Arial" w:hAnsi="Arial" w:cs="Arial"/>
              <w:sz w:val="22"/>
            </w:rPr>
            <w:t>Introduction</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_Toc222937150 \h </w:instrText>
          </w:r>
          <w:r>
            <w:rPr>
              <w:rFonts w:ascii="Arial" w:hAnsi="Arial" w:cs="Arial"/>
              <w:sz w:val="22"/>
            </w:rPr>
            <w:fldChar w:fldCharType="separate"/>
          </w:r>
          <w:r>
            <w:rPr>
              <w:rFonts w:ascii="Arial" w:hAnsi="Arial" w:cs="Arial"/>
              <w:sz w:val="22"/>
            </w:rPr>
            <w:t>4</w:t>
          </w:r>
          <w:r>
            <w:rPr>
              <w:rFonts w:ascii="Arial" w:hAnsi="Arial" w:cs="Arial"/>
              <w:sz w:val="22"/>
            </w:rPr>
            <w:fldChar w:fldCharType="end"/>
          </w:r>
          <w:r>
            <w:rPr>
              <w:rFonts w:ascii="Arial" w:hAnsi="Arial" w:cs="Arial"/>
              <w:sz w:val="22"/>
            </w:rPr>
            <w:fldChar w:fldCharType="end"/>
          </w:r>
        </w:p>
        <w:p w14:paraId="75F33035">
          <w:pPr>
            <w:pStyle w:val="14"/>
            <w:rPr>
              <w:sz w:val="22"/>
            </w:rPr>
          </w:pPr>
          <w:r>
            <w:fldChar w:fldCharType="begin"/>
          </w:r>
          <w:r>
            <w:instrText xml:space="preserve"> HYPERLINK \l "_Toc222937151" </w:instrText>
          </w:r>
          <w:r>
            <w:fldChar w:fldCharType="separate"/>
          </w:r>
          <w:r>
            <w:rPr>
              <w:rStyle w:val="11"/>
              <w:sz w:val="22"/>
            </w:rPr>
            <w:t>Definition of Main Concepts</w:t>
          </w:r>
          <w:r>
            <w:rPr>
              <w:sz w:val="22"/>
            </w:rPr>
            <w:tab/>
          </w:r>
          <w:r>
            <w:rPr>
              <w:sz w:val="22"/>
            </w:rPr>
            <w:fldChar w:fldCharType="begin"/>
          </w:r>
          <w:r>
            <w:rPr>
              <w:sz w:val="22"/>
            </w:rPr>
            <w:instrText xml:space="preserve"> PAGEREF _Toc222937151 \h </w:instrText>
          </w:r>
          <w:r>
            <w:rPr>
              <w:sz w:val="22"/>
            </w:rPr>
            <w:fldChar w:fldCharType="separate"/>
          </w:r>
          <w:r>
            <w:rPr>
              <w:sz w:val="22"/>
            </w:rPr>
            <w:t>4</w:t>
          </w:r>
          <w:r>
            <w:rPr>
              <w:sz w:val="22"/>
            </w:rPr>
            <w:fldChar w:fldCharType="end"/>
          </w:r>
          <w:r>
            <w:rPr>
              <w:sz w:val="22"/>
            </w:rPr>
            <w:fldChar w:fldCharType="end"/>
          </w:r>
        </w:p>
        <w:p w14:paraId="0D8D4AD5">
          <w:pPr>
            <w:pStyle w:val="14"/>
            <w:rPr>
              <w:sz w:val="22"/>
            </w:rPr>
          </w:pPr>
          <w:r>
            <w:fldChar w:fldCharType="begin"/>
          </w:r>
          <w:r>
            <w:instrText xml:space="preserve"> HYPERLINK \l "_Toc222937152" </w:instrText>
          </w:r>
          <w:r>
            <w:fldChar w:fldCharType="separate"/>
          </w:r>
          <w:r>
            <w:rPr>
              <w:rStyle w:val="11"/>
              <w:sz w:val="22"/>
            </w:rPr>
            <w:t>Review Question</w:t>
          </w:r>
          <w:r>
            <w:rPr>
              <w:sz w:val="22"/>
            </w:rPr>
            <w:tab/>
          </w:r>
          <w:r>
            <w:rPr>
              <w:sz w:val="22"/>
            </w:rPr>
            <w:fldChar w:fldCharType="begin"/>
          </w:r>
          <w:r>
            <w:rPr>
              <w:sz w:val="22"/>
            </w:rPr>
            <w:instrText xml:space="preserve"> PAGEREF _Toc222937152 \h </w:instrText>
          </w:r>
          <w:r>
            <w:rPr>
              <w:sz w:val="22"/>
            </w:rPr>
            <w:fldChar w:fldCharType="separate"/>
          </w:r>
          <w:r>
            <w:rPr>
              <w:sz w:val="22"/>
            </w:rPr>
            <w:t>4</w:t>
          </w:r>
          <w:r>
            <w:rPr>
              <w:sz w:val="22"/>
            </w:rPr>
            <w:fldChar w:fldCharType="end"/>
          </w:r>
          <w:r>
            <w:rPr>
              <w:sz w:val="22"/>
            </w:rPr>
            <w:fldChar w:fldCharType="end"/>
          </w:r>
        </w:p>
        <w:p w14:paraId="007C7E50">
          <w:pPr>
            <w:pStyle w:val="14"/>
            <w:rPr>
              <w:sz w:val="22"/>
            </w:rPr>
          </w:pPr>
          <w:r>
            <w:fldChar w:fldCharType="begin"/>
          </w:r>
          <w:r>
            <w:instrText xml:space="preserve"> HYPERLINK \l "_Toc222937153" </w:instrText>
          </w:r>
          <w:r>
            <w:fldChar w:fldCharType="separate"/>
          </w:r>
          <w:r>
            <w:rPr>
              <w:rStyle w:val="11"/>
              <w:sz w:val="22"/>
            </w:rPr>
            <w:t>Objectives</w:t>
          </w:r>
          <w:r>
            <w:rPr>
              <w:sz w:val="22"/>
            </w:rPr>
            <w:tab/>
          </w:r>
          <w:r>
            <w:rPr>
              <w:sz w:val="22"/>
            </w:rPr>
            <w:fldChar w:fldCharType="begin"/>
          </w:r>
          <w:r>
            <w:rPr>
              <w:sz w:val="22"/>
            </w:rPr>
            <w:instrText xml:space="preserve"> PAGEREF _Toc222937153 \h </w:instrText>
          </w:r>
          <w:r>
            <w:rPr>
              <w:sz w:val="22"/>
            </w:rPr>
            <w:fldChar w:fldCharType="separate"/>
          </w:r>
          <w:r>
            <w:rPr>
              <w:sz w:val="22"/>
            </w:rPr>
            <w:t>4</w:t>
          </w:r>
          <w:r>
            <w:rPr>
              <w:sz w:val="22"/>
            </w:rPr>
            <w:fldChar w:fldCharType="end"/>
          </w:r>
          <w:r>
            <w:rPr>
              <w:sz w:val="22"/>
            </w:rPr>
            <w:fldChar w:fldCharType="end"/>
          </w:r>
        </w:p>
        <w:p w14:paraId="430667A1">
          <w:pPr>
            <w:pStyle w:val="14"/>
            <w:rPr>
              <w:sz w:val="22"/>
            </w:rPr>
          </w:pPr>
          <w:r>
            <w:fldChar w:fldCharType="begin"/>
          </w:r>
          <w:r>
            <w:instrText xml:space="preserve"> HYPERLINK \l "_Toc222937154" </w:instrText>
          </w:r>
          <w:r>
            <w:fldChar w:fldCharType="separate"/>
          </w:r>
          <w:r>
            <w:rPr>
              <w:rStyle w:val="11"/>
              <w:sz w:val="22"/>
            </w:rPr>
            <w:t>Rationale</w:t>
          </w:r>
          <w:r>
            <w:rPr>
              <w:sz w:val="22"/>
            </w:rPr>
            <w:tab/>
          </w:r>
          <w:r>
            <w:rPr>
              <w:sz w:val="22"/>
            </w:rPr>
            <w:fldChar w:fldCharType="begin"/>
          </w:r>
          <w:r>
            <w:rPr>
              <w:sz w:val="22"/>
            </w:rPr>
            <w:instrText xml:space="preserve"> PAGEREF _Toc222937154 \h </w:instrText>
          </w:r>
          <w:r>
            <w:rPr>
              <w:sz w:val="22"/>
            </w:rPr>
            <w:fldChar w:fldCharType="separate"/>
          </w:r>
          <w:r>
            <w:rPr>
              <w:sz w:val="22"/>
            </w:rPr>
            <w:t>4</w:t>
          </w:r>
          <w:r>
            <w:rPr>
              <w:sz w:val="22"/>
            </w:rPr>
            <w:fldChar w:fldCharType="end"/>
          </w:r>
          <w:r>
            <w:rPr>
              <w:sz w:val="22"/>
            </w:rPr>
            <w:fldChar w:fldCharType="end"/>
          </w:r>
        </w:p>
        <w:p w14:paraId="67C2578A">
          <w:pPr>
            <w:pStyle w:val="14"/>
            <w:rPr>
              <w:sz w:val="22"/>
            </w:rPr>
          </w:pPr>
          <w:r>
            <w:fldChar w:fldCharType="begin"/>
          </w:r>
          <w:r>
            <w:instrText xml:space="preserve"> HYPERLINK \l "_Toc222937155" </w:instrText>
          </w:r>
          <w:r>
            <w:fldChar w:fldCharType="separate"/>
          </w:r>
          <w:r>
            <w:rPr>
              <w:rStyle w:val="11"/>
              <w:sz w:val="22"/>
            </w:rPr>
            <w:t>Background Research</w:t>
          </w:r>
          <w:r>
            <w:rPr>
              <w:sz w:val="22"/>
            </w:rPr>
            <w:tab/>
          </w:r>
          <w:r>
            <w:rPr>
              <w:sz w:val="22"/>
            </w:rPr>
            <w:fldChar w:fldCharType="begin"/>
          </w:r>
          <w:r>
            <w:rPr>
              <w:sz w:val="22"/>
            </w:rPr>
            <w:instrText xml:space="preserve"> PAGEREF _Toc222937155 \h </w:instrText>
          </w:r>
          <w:r>
            <w:rPr>
              <w:sz w:val="22"/>
            </w:rPr>
            <w:fldChar w:fldCharType="separate"/>
          </w:r>
          <w:r>
            <w:rPr>
              <w:sz w:val="22"/>
            </w:rPr>
            <w:t>5</w:t>
          </w:r>
          <w:r>
            <w:rPr>
              <w:sz w:val="22"/>
            </w:rPr>
            <w:fldChar w:fldCharType="end"/>
          </w:r>
          <w:r>
            <w:rPr>
              <w:sz w:val="22"/>
            </w:rPr>
            <w:fldChar w:fldCharType="end"/>
          </w:r>
        </w:p>
        <w:p w14:paraId="25A53C73">
          <w:pPr>
            <w:pStyle w:val="13"/>
            <w:tabs>
              <w:tab w:val="right" w:leader="dot" w:pos="9016"/>
            </w:tabs>
            <w:rPr>
              <w:rFonts w:ascii="Arial" w:hAnsi="Arial" w:cs="Arial"/>
              <w:sz w:val="22"/>
            </w:rPr>
          </w:pPr>
          <w:r>
            <w:fldChar w:fldCharType="begin"/>
          </w:r>
          <w:r>
            <w:instrText xml:space="preserve"> HYPERLINK \l "_Toc222937156" </w:instrText>
          </w:r>
          <w:r>
            <w:fldChar w:fldCharType="separate"/>
          </w:r>
          <w:r>
            <w:rPr>
              <w:rStyle w:val="11"/>
              <w:rFonts w:ascii="Arial" w:hAnsi="Arial" w:cs="Arial"/>
              <w:sz w:val="22"/>
            </w:rPr>
            <w:t>Methods</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_Toc222937156 \h </w:instrText>
          </w:r>
          <w:r>
            <w:rPr>
              <w:rFonts w:ascii="Arial" w:hAnsi="Arial" w:cs="Arial"/>
              <w:sz w:val="22"/>
            </w:rPr>
            <w:fldChar w:fldCharType="separate"/>
          </w:r>
          <w:r>
            <w:rPr>
              <w:rFonts w:ascii="Arial" w:hAnsi="Arial" w:cs="Arial"/>
              <w:sz w:val="22"/>
            </w:rPr>
            <w:t>7</w:t>
          </w:r>
          <w:r>
            <w:rPr>
              <w:rFonts w:ascii="Arial" w:hAnsi="Arial" w:cs="Arial"/>
              <w:sz w:val="22"/>
            </w:rPr>
            <w:fldChar w:fldCharType="end"/>
          </w:r>
          <w:r>
            <w:rPr>
              <w:rFonts w:ascii="Arial" w:hAnsi="Arial" w:cs="Arial"/>
              <w:sz w:val="22"/>
            </w:rPr>
            <w:fldChar w:fldCharType="end"/>
          </w:r>
        </w:p>
        <w:p w14:paraId="4F0CD028">
          <w:pPr>
            <w:pStyle w:val="13"/>
            <w:tabs>
              <w:tab w:val="right" w:leader="dot" w:pos="9016"/>
            </w:tabs>
            <w:rPr>
              <w:rFonts w:ascii="Arial" w:hAnsi="Arial" w:cs="Arial"/>
              <w:sz w:val="22"/>
            </w:rPr>
          </w:pPr>
          <w:r>
            <w:fldChar w:fldCharType="begin"/>
          </w:r>
          <w:r>
            <w:instrText xml:space="preserve"> HYPERLINK \l "_Toc222937157" </w:instrText>
          </w:r>
          <w:r>
            <w:fldChar w:fldCharType="separate"/>
          </w:r>
          <w:r>
            <w:rPr>
              <w:rStyle w:val="11"/>
              <w:rFonts w:ascii="Arial" w:hAnsi="Arial" w:cs="Arial"/>
              <w:sz w:val="22"/>
            </w:rPr>
            <w:t>Results</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_Toc222937157 \h </w:instrText>
          </w:r>
          <w:r>
            <w:rPr>
              <w:rFonts w:ascii="Arial" w:hAnsi="Arial" w:cs="Arial"/>
              <w:sz w:val="22"/>
            </w:rPr>
            <w:fldChar w:fldCharType="separate"/>
          </w:r>
          <w:r>
            <w:rPr>
              <w:rFonts w:ascii="Arial" w:hAnsi="Arial" w:cs="Arial"/>
              <w:sz w:val="22"/>
            </w:rPr>
            <w:t>8</w:t>
          </w:r>
          <w:r>
            <w:rPr>
              <w:rFonts w:ascii="Arial" w:hAnsi="Arial" w:cs="Arial"/>
              <w:sz w:val="22"/>
            </w:rPr>
            <w:fldChar w:fldCharType="end"/>
          </w:r>
          <w:r>
            <w:rPr>
              <w:rFonts w:ascii="Arial" w:hAnsi="Arial" w:cs="Arial"/>
              <w:sz w:val="22"/>
            </w:rPr>
            <w:fldChar w:fldCharType="end"/>
          </w:r>
        </w:p>
        <w:p w14:paraId="399A7A34">
          <w:pPr>
            <w:pStyle w:val="14"/>
            <w:rPr>
              <w:sz w:val="22"/>
            </w:rPr>
          </w:pPr>
          <w:r>
            <w:fldChar w:fldCharType="begin"/>
          </w:r>
          <w:r>
            <w:instrText xml:space="preserve"> HYPERLINK \l "_Toc222937158" </w:instrText>
          </w:r>
          <w:r>
            <w:fldChar w:fldCharType="separate"/>
          </w:r>
          <w:r>
            <w:rPr>
              <w:rStyle w:val="11"/>
              <w:sz w:val="22"/>
            </w:rPr>
            <w:t>Thematic Synthesis</w:t>
          </w:r>
          <w:r>
            <w:rPr>
              <w:sz w:val="22"/>
            </w:rPr>
            <w:tab/>
          </w:r>
          <w:r>
            <w:rPr>
              <w:sz w:val="22"/>
            </w:rPr>
            <w:fldChar w:fldCharType="begin"/>
          </w:r>
          <w:r>
            <w:rPr>
              <w:sz w:val="22"/>
            </w:rPr>
            <w:instrText xml:space="preserve"> PAGEREF _Toc222937158 \h </w:instrText>
          </w:r>
          <w:r>
            <w:rPr>
              <w:sz w:val="22"/>
            </w:rPr>
            <w:fldChar w:fldCharType="separate"/>
          </w:r>
          <w:r>
            <w:rPr>
              <w:sz w:val="22"/>
            </w:rPr>
            <w:t>8</w:t>
          </w:r>
          <w:r>
            <w:rPr>
              <w:sz w:val="22"/>
            </w:rPr>
            <w:fldChar w:fldCharType="end"/>
          </w:r>
          <w:r>
            <w:rPr>
              <w:sz w:val="22"/>
            </w:rPr>
            <w:fldChar w:fldCharType="end"/>
          </w:r>
        </w:p>
        <w:p w14:paraId="764EF767">
          <w:pPr>
            <w:pStyle w:val="15"/>
            <w:tabs>
              <w:tab w:val="right" w:leader="dot" w:pos="9016"/>
            </w:tabs>
            <w:rPr>
              <w:rFonts w:ascii="Arial" w:hAnsi="Arial" w:cs="Arial"/>
              <w:sz w:val="22"/>
            </w:rPr>
          </w:pPr>
          <w:r>
            <w:fldChar w:fldCharType="begin"/>
          </w:r>
          <w:r>
            <w:instrText xml:space="preserve"> HYPERLINK \l "_Toc222937159" </w:instrText>
          </w:r>
          <w:r>
            <w:fldChar w:fldCharType="separate"/>
          </w:r>
          <w:r>
            <w:rPr>
              <w:rStyle w:val="11"/>
              <w:rFonts w:ascii="Arial" w:hAnsi="Arial" w:cs="Arial"/>
              <w:sz w:val="22"/>
            </w:rPr>
            <w:t>1. Caregiver Skills, Characteristics, and Family Dynamics</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_Toc222937159 \h </w:instrText>
          </w:r>
          <w:r>
            <w:rPr>
              <w:rFonts w:ascii="Arial" w:hAnsi="Arial" w:cs="Arial"/>
              <w:sz w:val="22"/>
            </w:rPr>
            <w:fldChar w:fldCharType="separate"/>
          </w:r>
          <w:r>
            <w:rPr>
              <w:rFonts w:ascii="Arial" w:hAnsi="Arial" w:cs="Arial"/>
              <w:sz w:val="22"/>
            </w:rPr>
            <w:t>8</w:t>
          </w:r>
          <w:r>
            <w:rPr>
              <w:rFonts w:ascii="Arial" w:hAnsi="Arial" w:cs="Arial"/>
              <w:sz w:val="22"/>
            </w:rPr>
            <w:fldChar w:fldCharType="end"/>
          </w:r>
          <w:r>
            <w:rPr>
              <w:rFonts w:ascii="Arial" w:hAnsi="Arial" w:cs="Arial"/>
              <w:sz w:val="22"/>
            </w:rPr>
            <w:fldChar w:fldCharType="end"/>
          </w:r>
        </w:p>
        <w:p w14:paraId="4E761471">
          <w:pPr>
            <w:pStyle w:val="15"/>
            <w:tabs>
              <w:tab w:val="right" w:leader="dot" w:pos="9016"/>
            </w:tabs>
            <w:rPr>
              <w:rFonts w:ascii="Arial" w:hAnsi="Arial" w:cs="Arial"/>
              <w:sz w:val="22"/>
            </w:rPr>
          </w:pPr>
          <w:r>
            <w:fldChar w:fldCharType="begin"/>
          </w:r>
          <w:r>
            <w:instrText xml:space="preserve"> HYPERLINK \l "_Toc222937160" </w:instrText>
          </w:r>
          <w:r>
            <w:fldChar w:fldCharType="separate"/>
          </w:r>
          <w:r>
            <w:rPr>
              <w:rStyle w:val="11"/>
              <w:rFonts w:ascii="Arial" w:hAnsi="Arial" w:cs="Arial"/>
              <w:sz w:val="22"/>
            </w:rPr>
            <w:t>2. CLA’s Emotional and Behavioural Needs</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_Toc222937160 \h </w:instrText>
          </w:r>
          <w:r>
            <w:rPr>
              <w:rFonts w:ascii="Arial" w:hAnsi="Arial" w:cs="Arial"/>
              <w:sz w:val="22"/>
            </w:rPr>
            <w:fldChar w:fldCharType="separate"/>
          </w:r>
          <w:r>
            <w:rPr>
              <w:rFonts w:ascii="Arial" w:hAnsi="Arial" w:cs="Arial"/>
              <w:sz w:val="22"/>
            </w:rPr>
            <w:t>8</w:t>
          </w:r>
          <w:r>
            <w:rPr>
              <w:rFonts w:ascii="Arial" w:hAnsi="Arial" w:cs="Arial"/>
              <w:sz w:val="22"/>
            </w:rPr>
            <w:fldChar w:fldCharType="end"/>
          </w:r>
          <w:r>
            <w:rPr>
              <w:rFonts w:ascii="Arial" w:hAnsi="Arial" w:cs="Arial"/>
              <w:sz w:val="22"/>
            </w:rPr>
            <w:fldChar w:fldCharType="end"/>
          </w:r>
        </w:p>
        <w:p w14:paraId="22FB0DCB">
          <w:pPr>
            <w:pStyle w:val="15"/>
            <w:tabs>
              <w:tab w:val="right" w:leader="dot" w:pos="9016"/>
            </w:tabs>
            <w:rPr>
              <w:rFonts w:ascii="Arial" w:hAnsi="Arial" w:cs="Arial"/>
              <w:sz w:val="22"/>
            </w:rPr>
          </w:pPr>
          <w:r>
            <w:fldChar w:fldCharType="begin"/>
          </w:r>
          <w:r>
            <w:instrText xml:space="preserve"> HYPERLINK \l "_Toc222937161" </w:instrText>
          </w:r>
          <w:r>
            <w:fldChar w:fldCharType="separate"/>
          </w:r>
          <w:r>
            <w:rPr>
              <w:rStyle w:val="11"/>
              <w:rFonts w:ascii="Arial" w:hAnsi="Arial" w:cs="Arial"/>
              <w:sz w:val="22"/>
            </w:rPr>
            <w:t>3. Social Support and Professional Involvement</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_Toc222937161 \h </w:instrText>
          </w:r>
          <w:r>
            <w:rPr>
              <w:rFonts w:ascii="Arial" w:hAnsi="Arial" w:cs="Arial"/>
              <w:sz w:val="22"/>
            </w:rPr>
            <w:fldChar w:fldCharType="separate"/>
          </w:r>
          <w:r>
            <w:rPr>
              <w:rFonts w:ascii="Arial" w:hAnsi="Arial" w:cs="Arial"/>
              <w:sz w:val="22"/>
            </w:rPr>
            <w:t>8</w:t>
          </w:r>
          <w:r>
            <w:rPr>
              <w:rFonts w:ascii="Arial" w:hAnsi="Arial" w:cs="Arial"/>
              <w:sz w:val="22"/>
            </w:rPr>
            <w:fldChar w:fldCharType="end"/>
          </w:r>
          <w:r>
            <w:rPr>
              <w:rFonts w:ascii="Arial" w:hAnsi="Arial" w:cs="Arial"/>
              <w:sz w:val="22"/>
            </w:rPr>
            <w:fldChar w:fldCharType="end"/>
          </w:r>
        </w:p>
        <w:p w14:paraId="144CD6F3">
          <w:pPr>
            <w:pStyle w:val="15"/>
            <w:tabs>
              <w:tab w:val="right" w:leader="dot" w:pos="9016"/>
            </w:tabs>
            <w:rPr>
              <w:rFonts w:ascii="Arial" w:hAnsi="Arial" w:cs="Arial"/>
              <w:sz w:val="22"/>
            </w:rPr>
          </w:pPr>
          <w:r>
            <w:fldChar w:fldCharType="begin"/>
          </w:r>
          <w:r>
            <w:instrText xml:space="preserve"> HYPERLINK \l "_Toc222937162" </w:instrText>
          </w:r>
          <w:r>
            <w:fldChar w:fldCharType="separate"/>
          </w:r>
          <w:r>
            <w:rPr>
              <w:rStyle w:val="11"/>
              <w:rFonts w:ascii="Arial" w:hAnsi="Arial" w:cs="Arial"/>
              <w:sz w:val="22"/>
            </w:rPr>
            <w:t>4. Role of Birth Family and Contact</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_Toc222937162 \h </w:instrText>
          </w:r>
          <w:r>
            <w:rPr>
              <w:rFonts w:ascii="Arial" w:hAnsi="Arial" w:cs="Arial"/>
              <w:sz w:val="22"/>
            </w:rPr>
            <w:fldChar w:fldCharType="separate"/>
          </w:r>
          <w:r>
            <w:rPr>
              <w:rFonts w:ascii="Arial" w:hAnsi="Arial" w:cs="Arial"/>
              <w:sz w:val="22"/>
            </w:rPr>
            <w:t>9</w:t>
          </w:r>
          <w:r>
            <w:rPr>
              <w:rFonts w:ascii="Arial" w:hAnsi="Arial" w:cs="Arial"/>
              <w:sz w:val="22"/>
            </w:rPr>
            <w:fldChar w:fldCharType="end"/>
          </w:r>
          <w:r>
            <w:rPr>
              <w:rFonts w:ascii="Arial" w:hAnsi="Arial" w:cs="Arial"/>
              <w:sz w:val="22"/>
            </w:rPr>
            <w:fldChar w:fldCharType="end"/>
          </w:r>
        </w:p>
        <w:p w14:paraId="62DEF693">
          <w:pPr>
            <w:pStyle w:val="15"/>
            <w:tabs>
              <w:tab w:val="right" w:leader="dot" w:pos="9016"/>
            </w:tabs>
            <w:rPr>
              <w:rFonts w:ascii="Arial" w:hAnsi="Arial" w:cs="Arial"/>
              <w:sz w:val="22"/>
            </w:rPr>
          </w:pPr>
          <w:r>
            <w:fldChar w:fldCharType="begin"/>
          </w:r>
          <w:r>
            <w:instrText xml:space="preserve"> HYPERLINK \l "_Toc222937163" </w:instrText>
          </w:r>
          <w:r>
            <w:fldChar w:fldCharType="separate"/>
          </w:r>
          <w:r>
            <w:rPr>
              <w:rStyle w:val="11"/>
              <w:rFonts w:ascii="Arial" w:hAnsi="Arial" w:cs="Arial"/>
              <w:sz w:val="22"/>
            </w:rPr>
            <w:t>Table 1. Summary of Thematic Findings</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_Toc222937163 \h </w:instrText>
          </w:r>
          <w:r>
            <w:rPr>
              <w:rFonts w:ascii="Arial" w:hAnsi="Arial" w:cs="Arial"/>
              <w:sz w:val="22"/>
            </w:rPr>
            <w:fldChar w:fldCharType="separate"/>
          </w:r>
          <w:r>
            <w:rPr>
              <w:rFonts w:ascii="Arial" w:hAnsi="Arial" w:cs="Arial"/>
              <w:sz w:val="22"/>
            </w:rPr>
            <w:t>9</w:t>
          </w:r>
          <w:r>
            <w:rPr>
              <w:rFonts w:ascii="Arial" w:hAnsi="Arial" w:cs="Arial"/>
              <w:sz w:val="22"/>
            </w:rPr>
            <w:fldChar w:fldCharType="end"/>
          </w:r>
          <w:r>
            <w:rPr>
              <w:rFonts w:ascii="Arial" w:hAnsi="Arial" w:cs="Arial"/>
              <w:sz w:val="22"/>
            </w:rPr>
            <w:fldChar w:fldCharType="end"/>
          </w:r>
        </w:p>
        <w:p w14:paraId="1EA65E7D">
          <w:pPr>
            <w:pStyle w:val="13"/>
            <w:tabs>
              <w:tab w:val="right" w:leader="dot" w:pos="9016"/>
            </w:tabs>
            <w:rPr>
              <w:rFonts w:ascii="Arial" w:hAnsi="Arial" w:cs="Arial"/>
              <w:sz w:val="22"/>
            </w:rPr>
          </w:pPr>
          <w:r>
            <w:fldChar w:fldCharType="begin"/>
          </w:r>
          <w:r>
            <w:instrText xml:space="preserve"> HYPERLINK \l "_Toc222937164" </w:instrText>
          </w:r>
          <w:r>
            <w:fldChar w:fldCharType="separate"/>
          </w:r>
          <w:r>
            <w:rPr>
              <w:rStyle w:val="11"/>
              <w:rFonts w:ascii="Arial" w:hAnsi="Arial" w:cs="Arial"/>
              <w:sz w:val="22"/>
            </w:rPr>
            <w:t>Discussion</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_Toc222937164 \h </w:instrText>
          </w:r>
          <w:r>
            <w:rPr>
              <w:rFonts w:ascii="Arial" w:hAnsi="Arial" w:cs="Arial"/>
              <w:sz w:val="22"/>
            </w:rPr>
            <w:fldChar w:fldCharType="separate"/>
          </w:r>
          <w:r>
            <w:rPr>
              <w:rFonts w:ascii="Arial" w:hAnsi="Arial" w:cs="Arial"/>
              <w:sz w:val="22"/>
            </w:rPr>
            <w:t>10</w:t>
          </w:r>
          <w:r>
            <w:rPr>
              <w:rFonts w:ascii="Arial" w:hAnsi="Arial" w:cs="Arial"/>
              <w:sz w:val="22"/>
            </w:rPr>
            <w:fldChar w:fldCharType="end"/>
          </w:r>
          <w:r>
            <w:rPr>
              <w:rFonts w:ascii="Arial" w:hAnsi="Arial" w:cs="Arial"/>
              <w:sz w:val="22"/>
            </w:rPr>
            <w:fldChar w:fldCharType="end"/>
          </w:r>
        </w:p>
        <w:p w14:paraId="6F83A944">
          <w:pPr>
            <w:pStyle w:val="14"/>
            <w:rPr>
              <w:sz w:val="22"/>
            </w:rPr>
          </w:pPr>
          <w:r>
            <w:fldChar w:fldCharType="begin"/>
          </w:r>
          <w:r>
            <w:instrText xml:space="preserve"> HYPERLINK \l "_Toc222937165" </w:instrText>
          </w:r>
          <w:r>
            <w:fldChar w:fldCharType="separate"/>
          </w:r>
          <w:r>
            <w:rPr>
              <w:rStyle w:val="11"/>
              <w:sz w:val="22"/>
            </w:rPr>
            <w:t>Placement Stability as a Statutory and Moral Imperative in the UK</w:t>
          </w:r>
          <w:r>
            <w:rPr>
              <w:sz w:val="22"/>
            </w:rPr>
            <w:tab/>
          </w:r>
          <w:r>
            <w:rPr>
              <w:sz w:val="22"/>
            </w:rPr>
            <w:fldChar w:fldCharType="begin"/>
          </w:r>
          <w:r>
            <w:rPr>
              <w:sz w:val="22"/>
            </w:rPr>
            <w:instrText xml:space="preserve"> PAGEREF _Toc222937165 \h </w:instrText>
          </w:r>
          <w:r>
            <w:rPr>
              <w:sz w:val="22"/>
            </w:rPr>
            <w:fldChar w:fldCharType="separate"/>
          </w:r>
          <w:r>
            <w:rPr>
              <w:sz w:val="22"/>
            </w:rPr>
            <w:t>10</w:t>
          </w:r>
          <w:r>
            <w:rPr>
              <w:sz w:val="22"/>
            </w:rPr>
            <w:fldChar w:fldCharType="end"/>
          </w:r>
          <w:r>
            <w:rPr>
              <w:sz w:val="22"/>
            </w:rPr>
            <w:fldChar w:fldCharType="end"/>
          </w:r>
        </w:p>
        <w:p w14:paraId="290176F6">
          <w:pPr>
            <w:pStyle w:val="14"/>
            <w:rPr>
              <w:sz w:val="22"/>
            </w:rPr>
          </w:pPr>
          <w:r>
            <w:fldChar w:fldCharType="begin"/>
          </w:r>
          <w:r>
            <w:instrText xml:space="preserve"> HYPERLINK \l "_Toc222937166" </w:instrText>
          </w:r>
          <w:r>
            <w:fldChar w:fldCharType="separate"/>
          </w:r>
          <w:r>
            <w:rPr>
              <w:rStyle w:val="11"/>
              <w:sz w:val="22"/>
            </w:rPr>
            <w:t>Dynamic Over Static Predictors: Reframing the UK Debate</w:t>
          </w:r>
          <w:r>
            <w:rPr>
              <w:sz w:val="22"/>
            </w:rPr>
            <w:tab/>
          </w:r>
          <w:r>
            <w:rPr>
              <w:sz w:val="22"/>
            </w:rPr>
            <w:fldChar w:fldCharType="begin"/>
          </w:r>
          <w:r>
            <w:rPr>
              <w:sz w:val="22"/>
            </w:rPr>
            <w:instrText xml:space="preserve"> PAGEREF _Toc222937166 \h </w:instrText>
          </w:r>
          <w:r>
            <w:rPr>
              <w:sz w:val="22"/>
            </w:rPr>
            <w:fldChar w:fldCharType="separate"/>
          </w:r>
          <w:r>
            <w:rPr>
              <w:sz w:val="22"/>
            </w:rPr>
            <w:t>10</w:t>
          </w:r>
          <w:r>
            <w:rPr>
              <w:sz w:val="22"/>
            </w:rPr>
            <w:fldChar w:fldCharType="end"/>
          </w:r>
          <w:r>
            <w:rPr>
              <w:sz w:val="22"/>
            </w:rPr>
            <w:fldChar w:fldCharType="end"/>
          </w:r>
        </w:p>
        <w:p w14:paraId="383D8C5E">
          <w:pPr>
            <w:pStyle w:val="14"/>
            <w:rPr>
              <w:sz w:val="22"/>
            </w:rPr>
          </w:pPr>
          <w:r>
            <w:fldChar w:fldCharType="begin"/>
          </w:r>
          <w:r>
            <w:instrText xml:space="preserve"> HYPERLINK \l "_Toc222937167" </w:instrText>
          </w:r>
          <w:r>
            <w:fldChar w:fldCharType="separate"/>
          </w:r>
          <w:r>
            <w:rPr>
              <w:rStyle w:val="11"/>
              <w:sz w:val="22"/>
            </w:rPr>
            <w:t>Systemic Strain and Professional Practice</w:t>
          </w:r>
          <w:r>
            <w:rPr>
              <w:sz w:val="22"/>
            </w:rPr>
            <w:tab/>
          </w:r>
          <w:r>
            <w:rPr>
              <w:sz w:val="22"/>
            </w:rPr>
            <w:fldChar w:fldCharType="begin"/>
          </w:r>
          <w:r>
            <w:rPr>
              <w:sz w:val="22"/>
            </w:rPr>
            <w:instrText xml:space="preserve"> PAGEREF _Toc222937167 \h </w:instrText>
          </w:r>
          <w:r>
            <w:rPr>
              <w:sz w:val="22"/>
            </w:rPr>
            <w:fldChar w:fldCharType="separate"/>
          </w:r>
          <w:r>
            <w:rPr>
              <w:sz w:val="22"/>
            </w:rPr>
            <w:t>10</w:t>
          </w:r>
          <w:r>
            <w:rPr>
              <w:sz w:val="22"/>
            </w:rPr>
            <w:fldChar w:fldCharType="end"/>
          </w:r>
          <w:r>
            <w:rPr>
              <w:sz w:val="22"/>
            </w:rPr>
            <w:fldChar w:fldCharType="end"/>
          </w:r>
        </w:p>
        <w:p w14:paraId="2C3EB330">
          <w:pPr>
            <w:pStyle w:val="14"/>
            <w:rPr>
              <w:sz w:val="22"/>
            </w:rPr>
          </w:pPr>
          <w:r>
            <w:fldChar w:fldCharType="begin"/>
          </w:r>
          <w:r>
            <w:instrText xml:space="preserve"> HYPERLINK \l "_Toc222937168" </w:instrText>
          </w:r>
          <w:r>
            <w:fldChar w:fldCharType="separate"/>
          </w:r>
          <w:r>
            <w:rPr>
              <w:rStyle w:val="11"/>
              <w:sz w:val="22"/>
            </w:rPr>
            <w:t>Health and Social Care Implications</w:t>
          </w:r>
          <w:r>
            <w:rPr>
              <w:sz w:val="22"/>
            </w:rPr>
            <w:tab/>
          </w:r>
          <w:r>
            <w:rPr>
              <w:sz w:val="22"/>
            </w:rPr>
            <w:fldChar w:fldCharType="begin"/>
          </w:r>
          <w:r>
            <w:rPr>
              <w:sz w:val="22"/>
            </w:rPr>
            <w:instrText xml:space="preserve"> PAGEREF _Toc222937168 \h </w:instrText>
          </w:r>
          <w:r>
            <w:rPr>
              <w:sz w:val="22"/>
            </w:rPr>
            <w:fldChar w:fldCharType="separate"/>
          </w:r>
          <w:r>
            <w:rPr>
              <w:sz w:val="22"/>
            </w:rPr>
            <w:t>11</w:t>
          </w:r>
          <w:r>
            <w:rPr>
              <w:sz w:val="22"/>
            </w:rPr>
            <w:fldChar w:fldCharType="end"/>
          </w:r>
          <w:r>
            <w:rPr>
              <w:sz w:val="22"/>
            </w:rPr>
            <w:fldChar w:fldCharType="end"/>
          </w:r>
        </w:p>
        <w:p w14:paraId="7C6D0563">
          <w:pPr>
            <w:pStyle w:val="14"/>
            <w:rPr>
              <w:sz w:val="22"/>
            </w:rPr>
          </w:pPr>
          <w:r>
            <w:fldChar w:fldCharType="begin"/>
          </w:r>
          <w:r>
            <w:instrText xml:space="preserve"> HYPERLINK \l "_Toc222937169" </w:instrText>
          </w:r>
          <w:r>
            <w:fldChar w:fldCharType="separate"/>
          </w:r>
          <w:r>
            <w:rPr>
              <w:rStyle w:val="11"/>
              <w:sz w:val="22"/>
            </w:rPr>
            <w:t>Limitations of the Review</w:t>
          </w:r>
          <w:r>
            <w:rPr>
              <w:sz w:val="22"/>
            </w:rPr>
            <w:tab/>
          </w:r>
          <w:r>
            <w:rPr>
              <w:sz w:val="22"/>
            </w:rPr>
            <w:fldChar w:fldCharType="begin"/>
          </w:r>
          <w:r>
            <w:rPr>
              <w:sz w:val="22"/>
            </w:rPr>
            <w:instrText xml:space="preserve"> PAGEREF _Toc222937169 \h </w:instrText>
          </w:r>
          <w:r>
            <w:rPr>
              <w:sz w:val="22"/>
            </w:rPr>
            <w:fldChar w:fldCharType="separate"/>
          </w:r>
          <w:r>
            <w:rPr>
              <w:sz w:val="22"/>
            </w:rPr>
            <w:t>11</w:t>
          </w:r>
          <w:r>
            <w:rPr>
              <w:sz w:val="22"/>
            </w:rPr>
            <w:fldChar w:fldCharType="end"/>
          </w:r>
          <w:r>
            <w:rPr>
              <w:sz w:val="22"/>
            </w:rPr>
            <w:fldChar w:fldCharType="end"/>
          </w:r>
        </w:p>
        <w:p w14:paraId="7D7495B5">
          <w:pPr>
            <w:pStyle w:val="13"/>
            <w:tabs>
              <w:tab w:val="right" w:leader="dot" w:pos="9016"/>
            </w:tabs>
            <w:rPr>
              <w:rFonts w:ascii="Arial" w:hAnsi="Arial" w:cs="Arial"/>
              <w:sz w:val="22"/>
            </w:rPr>
          </w:pPr>
          <w:r>
            <w:fldChar w:fldCharType="begin"/>
          </w:r>
          <w:r>
            <w:instrText xml:space="preserve"> HYPERLINK \l "_Toc222937170" </w:instrText>
          </w:r>
          <w:r>
            <w:fldChar w:fldCharType="separate"/>
          </w:r>
          <w:r>
            <w:rPr>
              <w:rStyle w:val="11"/>
              <w:rFonts w:ascii="Arial" w:hAnsi="Arial" w:cs="Arial"/>
              <w:sz w:val="22"/>
            </w:rPr>
            <w:t>Conclusion and Recommendations</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_Toc222937170 \h </w:instrText>
          </w:r>
          <w:r>
            <w:rPr>
              <w:rFonts w:ascii="Arial" w:hAnsi="Arial" w:cs="Arial"/>
              <w:sz w:val="22"/>
            </w:rPr>
            <w:fldChar w:fldCharType="separate"/>
          </w:r>
          <w:r>
            <w:rPr>
              <w:rFonts w:ascii="Arial" w:hAnsi="Arial" w:cs="Arial"/>
              <w:sz w:val="22"/>
            </w:rPr>
            <w:t>12</w:t>
          </w:r>
          <w:r>
            <w:rPr>
              <w:rFonts w:ascii="Arial" w:hAnsi="Arial" w:cs="Arial"/>
              <w:sz w:val="22"/>
            </w:rPr>
            <w:fldChar w:fldCharType="end"/>
          </w:r>
          <w:r>
            <w:rPr>
              <w:rFonts w:ascii="Arial" w:hAnsi="Arial" w:cs="Arial"/>
              <w:sz w:val="22"/>
            </w:rPr>
            <w:fldChar w:fldCharType="end"/>
          </w:r>
        </w:p>
        <w:p w14:paraId="7CA02C6C">
          <w:pPr>
            <w:pStyle w:val="14"/>
            <w:rPr>
              <w:sz w:val="22"/>
            </w:rPr>
          </w:pPr>
          <w:r>
            <w:fldChar w:fldCharType="begin"/>
          </w:r>
          <w:r>
            <w:instrText xml:space="preserve"> HYPERLINK \l "_Toc222937171" </w:instrText>
          </w:r>
          <w:r>
            <w:fldChar w:fldCharType="separate"/>
          </w:r>
          <w:r>
            <w:rPr>
              <w:rStyle w:val="11"/>
              <w:sz w:val="22"/>
            </w:rPr>
            <w:t>Conclusion</w:t>
          </w:r>
          <w:r>
            <w:rPr>
              <w:sz w:val="22"/>
            </w:rPr>
            <w:tab/>
          </w:r>
          <w:r>
            <w:rPr>
              <w:sz w:val="22"/>
            </w:rPr>
            <w:fldChar w:fldCharType="begin"/>
          </w:r>
          <w:r>
            <w:rPr>
              <w:sz w:val="22"/>
            </w:rPr>
            <w:instrText xml:space="preserve"> PAGEREF _Toc222937171 \h </w:instrText>
          </w:r>
          <w:r>
            <w:rPr>
              <w:sz w:val="22"/>
            </w:rPr>
            <w:fldChar w:fldCharType="separate"/>
          </w:r>
          <w:r>
            <w:rPr>
              <w:sz w:val="22"/>
            </w:rPr>
            <w:t>12</w:t>
          </w:r>
          <w:r>
            <w:rPr>
              <w:sz w:val="22"/>
            </w:rPr>
            <w:fldChar w:fldCharType="end"/>
          </w:r>
          <w:r>
            <w:rPr>
              <w:sz w:val="22"/>
            </w:rPr>
            <w:fldChar w:fldCharType="end"/>
          </w:r>
        </w:p>
        <w:p w14:paraId="27D52C30">
          <w:pPr>
            <w:pStyle w:val="14"/>
            <w:rPr>
              <w:sz w:val="22"/>
            </w:rPr>
          </w:pPr>
          <w:r>
            <w:fldChar w:fldCharType="begin"/>
          </w:r>
          <w:r>
            <w:instrText xml:space="preserve"> HYPERLINK \l "_Toc222937172" </w:instrText>
          </w:r>
          <w:r>
            <w:fldChar w:fldCharType="separate"/>
          </w:r>
          <w:r>
            <w:rPr>
              <w:rStyle w:val="11"/>
              <w:sz w:val="22"/>
            </w:rPr>
            <w:t>Recommendations</w:t>
          </w:r>
          <w:r>
            <w:rPr>
              <w:sz w:val="22"/>
            </w:rPr>
            <w:tab/>
          </w:r>
          <w:r>
            <w:rPr>
              <w:sz w:val="22"/>
            </w:rPr>
            <w:fldChar w:fldCharType="begin"/>
          </w:r>
          <w:r>
            <w:rPr>
              <w:sz w:val="22"/>
            </w:rPr>
            <w:instrText xml:space="preserve"> PAGEREF _Toc222937172 \h </w:instrText>
          </w:r>
          <w:r>
            <w:rPr>
              <w:sz w:val="22"/>
            </w:rPr>
            <w:fldChar w:fldCharType="separate"/>
          </w:r>
          <w:r>
            <w:rPr>
              <w:sz w:val="22"/>
            </w:rPr>
            <w:t>12</w:t>
          </w:r>
          <w:r>
            <w:rPr>
              <w:sz w:val="22"/>
            </w:rPr>
            <w:fldChar w:fldCharType="end"/>
          </w:r>
          <w:r>
            <w:rPr>
              <w:sz w:val="22"/>
            </w:rPr>
            <w:fldChar w:fldCharType="end"/>
          </w:r>
        </w:p>
        <w:p w14:paraId="380CF824">
          <w:pPr>
            <w:pStyle w:val="13"/>
            <w:tabs>
              <w:tab w:val="right" w:leader="dot" w:pos="9016"/>
            </w:tabs>
            <w:rPr>
              <w:rFonts w:ascii="Arial" w:hAnsi="Arial" w:cs="Arial"/>
              <w:sz w:val="22"/>
            </w:rPr>
          </w:pPr>
          <w:r>
            <w:fldChar w:fldCharType="begin"/>
          </w:r>
          <w:r>
            <w:instrText xml:space="preserve"> HYPERLINK \l "_Toc222937173" </w:instrText>
          </w:r>
          <w:r>
            <w:fldChar w:fldCharType="separate"/>
          </w:r>
          <w:r>
            <w:rPr>
              <w:rStyle w:val="11"/>
              <w:rFonts w:ascii="Arial" w:hAnsi="Arial" w:cs="Arial"/>
              <w:sz w:val="22"/>
            </w:rPr>
            <w:t>References</w:t>
          </w:r>
          <w:r>
            <w:rPr>
              <w:rFonts w:ascii="Arial" w:hAnsi="Arial" w:cs="Arial"/>
              <w:sz w:val="22"/>
            </w:rPr>
            <w:tab/>
          </w:r>
          <w:r>
            <w:rPr>
              <w:rFonts w:ascii="Arial" w:hAnsi="Arial" w:cs="Arial"/>
              <w:sz w:val="22"/>
            </w:rPr>
            <w:fldChar w:fldCharType="begin"/>
          </w:r>
          <w:r>
            <w:rPr>
              <w:rFonts w:ascii="Arial" w:hAnsi="Arial" w:cs="Arial"/>
              <w:sz w:val="22"/>
            </w:rPr>
            <w:instrText xml:space="preserve"> PAGEREF _Toc222937173 \h </w:instrText>
          </w:r>
          <w:r>
            <w:rPr>
              <w:rFonts w:ascii="Arial" w:hAnsi="Arial" w:cs="Arial"/>
              <w:sz w:val="22"/>
            </w:rPr>
            <w:fldChar w:fldCharType="separate"/>
          </w:r>
          <w:r>
            <w:rPr>
              <w:rFonts w:ascii="Arial" w:hAnsi="Arial" w:cs="Arial"/>
              <w:sz w:val="22"/>
            </w:rPr>
            <w:t>13</w:t>
          </w:r>
          <w:r>
            <w:rPr>
              <w:rFonts w:ascii="Arial" w:hAnsi="Arial" w:cs="Arial"/>
              <w:sz w:val="22"/>
            </w:rPr>
            <w:fldChar w:fldCharType="end"/>
          </w:r>
          <w:r>
            <w:rPr>
              <w:rFonts w:ascii="Arial" w:hAnsi="Arial" w:cs="Arial"/>
              <w:sz w:val="22"/>
            </w:rPr>
            <w:fldChar w:fldCharType="end"/>
          </w:r>
        </w:p>
        <w:p w14:paraId="1DAD1B47">
          <w:pPr>
            <w:rPr>
              <w:rFonts w:ascii="Arial" w:hAnsi="Arial" w:cs="Arial"/>
              <w:sz w:val="22"/>
            </w:rPr>
          </w:pPr>
          <w:r>
            <w:rPr>
              <w:rFonts w:ascii="Arial" w:hAnsi="Arial" w:cs="Arial"/>
              <w:bCs/>
              <w:sz w:val="22"/>
            </w:rPr>
            <w:fldChar w:fldCharType="end"/>
          </w:r>
        </w:p>
      </w:sdtContent>
    </w:sdt>
    <w:p w14:paraId="13E00080">
      <w:pPr>
        <w:spacing w:line="360" w:lineRule="auto"/>
        <w:rPr>
          <w:rFonts w:ascii="Arial" w:hAnsi="Arial" w:cs="Arial"/>
          <w:sz w:val="22"/>
        </w:rPr>
      </w:pPr>
    </w:p>
    <w:p w14:paraId="2E79F7ED">
      <w:pPr>
        <w:spacing w:line="360" w:lineRule="auto"/>
        <w:rPr>
          <w:rFonts w:ascii="Arial" w:hAnsi="Arial" w:cs="Arial"/>
          <w:sz w:val="22"/>
        </w:rPr>
      </w:pPr>
    </w:p>
    <w:p w14:paraId="7AE771D5">
      <w:pPr>
        <w:spacing w:line="360" w:lineRule="auto"/>
        <w:rPr>
          <w:rFonts w:ascii="Arial" w:hAnsi="Arial" w:cs="Arial"/>
          <w:sz w:val="22"/>
        </w:rPr>
      </w:pPr>
    </w:p>
    <w:p w14:paraId="4F7320CB">
      <w:pPr>
        <w:spacing w:line="360" w:lineRule="auto"/>
        <w:rPr>
          <w:rFonts w:ascii="Arial" w:hAnsi="Arial" w:cs="Arial"/>
          <w:sz w:val="22"/>
        </w:rPr>
      </w:pPr>
      <w:r>
        <w:rPr>
          <w:rFonts w:ascii="Arial" w:hAnsi="Arial" w:cs="Arial"/>
          <w:sz w:val="22"/>
        </w:rPr>
        <w:br w:type="page"/>
      </w:r>
    </w:p>
    <w:p w14:paraId="48A5199A">
      <w:pPr>
        <w:pStyle w:val="12"/>
        <w:shd w:val="clear" w:color="auto" w:fill="FFFFFF"/>
        <w:spacing w:before="240" w:beforeAutospacing="0" w:after="0" w:afterAutospacing="0" w:line="360" w:lineRule="auto"/>
        <w:jc w:val="center"/>
        <w:outlineLvl w:val="0"/>
        <w:rPr>
          <w:rFonts w:ascii="Arial" w:hAnsi="Arial" w:cs="Arial"/>
          <w:b/>
          <w:sz w:val="22"/>
          <w:szCs w:val="22"/>
        </w:rPr>
      </w:pPr>
      <w:bookmarkStart w:id="1" w:name="_Toc222937149"/>
      <w:r>
        <w:rPr>
          <w:rFonts w:ascii="Arial" w:hAnsi="Arial" w:cs="Arial"/>
          <w:b/>
          <w:color w:val="000000"/>
          <w:sz w:val="22"/>
          <w:szCs w:val="22"/>
        </w:rPr>
        <w:t>Abstract</w:t>
      </w:r>
      <w:bookmarkEnd w:id="1"/>
      <w:r>
        <w:rPr>
          <w:rFonts w:ascii="Arial" w:hAnsi="Arial" w:cs="Arial"/>
          <w:b/>
          <w:color w:val="000000"/>
          <w:sz w:val="22"/>
          <w:szCs w:val="22"/>
        </w:rPr>
        <w:t> </w:t>
      </w:r>
    </w:p>
    <w:p w14:paraId="00D40E41">
      <w:pPr>
        <w:pStyle w:val="12"/>
        <w:shd w:val="clear" w:color="auto" w:fill="FFFFFF"/>
        <w:spacing w:before="0" w:beforeAutospacing="0" w:after="0" w:afterAutospacing="0" w:line="360" w:lineRule="auto"/>
        <w:rPr>
          <w:rFonts w:ascii="Arial" w:hAnsi="Arial" w:cs="Arial"/>
          <w:sz w:val="22"/>
          <w:szCs w:val="22"/>
        </w:rPr>
      </w:pPr>
      <w:r>
        <w:rPr>
          <w:rFonts w:ascii="Arial" w:hAnsi="Arial" w:cs="Arial"/>
          <w:color w:val="000000"/>
          <w:sz w:val="22"/>
          <w:szCs w:val="22"/>
        </w:rPr>
        <w:t>This scoping review examines the main factors that affect placement stability in the UK foster care system. Placement stability is closely linked to permanence, which is a legal duty under the Children Act 1989. Using PRISMA-ScR guidelines, twelve UK peer-reviewed studies published between 2000 and 2025 were analysed. The findings show that changeable (dynamic) factors have a stronger impact on stability than fixed (static) ones such as ethnicity or sex. Key influences include caregiver skills, the quality of the child–carer relationship, access to therapeutic support, and social worker involvement. Children with emotional and behavioural difficulties, especially mental health conditions, face a higher risk of unplanned moves. System-level pressures, including staff shortages and reduced funding, also weaken placement continuity. The review argues that instability is not just an administrative issue but a serious health and social care concern. Long-term stability requires stronger professional support, better caregiver training, and sustained policy investment in foster care services.</w:t>
      </w:r>
    </w:p>
    <w:p w14:paraId="1FC23BC6">
      <w:pPr>
        <w:spacing w:line="360" w:lineRule="auto"/>
        <w:rPr>
          <w:rFonts w:ascii="Arial" w:hAnsi="Arial" w:eastAsia="Times New Roman" w:cs="Arial"/>
          <w:color w:val="000000"/>
          <w:sz w:val="22"/>
          <w:lang w:eastAsia="en-GB"/>
        </w:rPr>
      </w:pPr>
      <w:r>
        <w:rPr>
          <w:rFonts w:ascii="Arial" w:hAnsi="Arial" w:cs="Arial"/>
          <w:color w:val="000000"/>
          <w:sz w:val="22"/>
        </w:rPr>
        <w:br w:type="page"/>
      </w:r>
    </w:p>
    <w:p w14:paraId="623376E7">
      <w:pPr>
        <w:pStyle w:val="12"/>
        <w:shd w:val="clear" w:color="auto" w:fill="FFFFFF"/>
        <w:spacing w:before="0" w:beforeAutospacing="0" w:after="0" w:afterAutospacing="0" w:line="360" w:lineRule="auto"/>
        <w:jc w:val="center"/>
        <w:outlineLvl w:val="0"/>
        <w:rPr>
          <w:rFonts w:ascii="Arial" w:hAnsi="Arial" w:cs="Arial"/>
          <w:b/>
          <w:sz w:val="22"/>
          <w:szCs w:val="22"/>
        </w:rPr>
      </w:pPr>
      <w:bookmarkStart w:id="2" w:name="_Toc222937150"/>
      <w:r>
        <w:rPr>
          <w:rFonts w:ascii="Arial" w:hAnsi="Arial" w:cs="Arial"/>
          <w:b/>
          <w:color w:val="000000"/>
          <w:sz w:val="22"/>
          <w:szCs w:val="22"/>
        </w:rPr>
        <w:t>Introduction</w:t>
      </w:r>
      <w:bookmarkEnd w:id="2"/>
    </w:p>
    <w:p w14:paraId="6B656AF6">
      <w:pPr>
        <w:pStyle w:val="12"/>
        <w:shd w:val="clear" w:color="auto" w:fill="FFFFFF"/>
        <w:spacing w:before="0" w:beforeAutospacing="0" w:after="0" w:afterAutospacing="0" w:line="360" w:lineRule="auto"/>
        <w:outlineLvl w:val="1"/>
        <w:rPr>
          <w:rFonts w:ascii="Arial" w:hAnsi="Arial" w:cs="Arial"/>
          <w:sz w:val="22"/>
          <w:szCs w:val="22"/>
        </w:rPr>
      </w:pPr>
      <w:bookmarkStart w:id="3" w:name="_Toc222937151"/>
      <w:r>
        <w:rPr>
          <w:rFonts w:ascii="Arial" w:hAnsi="Arial" w:cs="Arial"/>
          <w:b/>
          <w:color w:val="000000"/>
          <w:sz w:val="22"/>
          <w:szCs w:val="22"/>
        </w:rPr>
        <w:t>Definition of Main Concepts</w:t>
      </w:r>
      <w:bookmarkEnd w:id="3"/>
    </w:p>
    <w:p w14:paraId="2CC54C04">
      <w:pPr>
        <w:pStyle w:val="12"/>
        <w:shd w:val="clear" w:color="auto" w:fill="FFFFFF"/>
        <w:spacing w:before="0" w:beforeAutospacing="0" w:after="0" w:afterAutospacing="0" w:line="360" w:lineRule="auto"/>
        <w:ind w:firstLine="720"/>
        <w:rPr>
          <w:rFonts w:ascii="Arial" w:hAnsi="Arial" w:cs="Arial"/>
          <w:sz w:val="22"/>
          <w:szCs w:val="22"/>
        </w:rPr>
      </w:pPr>
      <w:r>
        <w:rPr>
          <w:rFonts w:ascii="Arial" w:hAnsi="Arial" w:cs="Arial"/>
          <w:color w:val="000000"/>
          <w:sz w:val="22"/>
          <w:szCs w:val="22"/>
        </w:rPr>
        <w:t>Hood et al. (2024, par. 1) define children looked after (CLA) as “children who have been in the care of their local authority (LA) for more than twenty-four hours.” The term placement stability is colloquially conceptualized as the number of times CLAs experience caregiver changes (Hood et al., 2024). CLAs are typically placed in foster homes where an approved carer is responsible for their well-being. Foster care recipients will experience either planned or unplanned moves during their stays. Planned moves involve transitions to long-term care or short-term placements, and often involve living with relatives (Hood et al., 2024). On the other hand, unplanned moves happen when there is a mismatch between the CLA’s needs and the caregiver’s skillsets or capacity to fulfil them. The term permanence is used to distinguish how long a CLA spends in a single home. </w:t>
      </w:r>
    </w:p>
    <w:p w14:paraId="2801F777">
      <w:pPr>
        <w:pStyle w:val="12"/>
        <w:shd w:val="clear" w:color="auto" w:fill="FFFFFF"/>
        <w:spacing w:before="0" w:beforeAutospacing="0" w:after="0" w:afterAutospacing="0" w:line="360" w:lineRule="auto"/>
        <w:rPr>
          <w:rFonts w:ascii="Arial" w:hAnsi="Arial" w:cs="Arial"/>
          <w:sz w:val="22"/>
          <w:szCs w:val="22"/>
        </w:rPr>
      </w:pPr>
      <w:r>
        <w:rPr>
          <w:rStyle w:val="22"/>
          <w:rFonts w:ascii="Arial" w:hAnsi="Arial" w:cs="Arial" w:eastAsiaTheme="majorEastAsia"/>
          <w:sz w:val="22"/>
          <w:szCs w:val="22"/>
        </w:rPr>
        <w:tab/>
      </w:r>
      <w:r>
        <w:rPr>
          <w:rFonts w:ascii="Arial" w:hAnsi="Arial" w:cs="Arial"/>
          <w:color w:val="000000"/>
          <w:sz w:val="22"/>
          <w:szCs w:val="22"/>
        </w:rPr>
        <w:t>Permanence is the capacity to offer a CLA “‘a sense of security, continuity, commitment and identity … a secure, stable and loving family to support them through childhood and beyond’” (DCSF, 2006). It is a statutory expectation of the Children Act 1989. Permanence ensures that a CLA earns “‘a family for life’” (Sinclair et al., 2007). Schofield et al. (2012) also believe that permanence offers CLAs a sense of connectedness, identity, and belonging. The framework guarantees that foster care facilities do not rob children of lifelong, quality relationships with caregivers. At the core of permanence is placement stability. Placement stability basically refers to a CLA’s ability to maintain the same caregiver over an extended period. It helps children establish a foundation of security based on secure attachments and a sense of self.    </w:t>
      </w:r>
    </w:p>
    <w:p w14:paraId="6E7F6B0B">
      <w:pPr>
        <w:pStyle w:val="3"/>
        <w:spacing w:line="360" w:lineRule="auto"/>
      </w:pPr>
      <w:bookmarkStart w:id="4" w:name="_Toc222937152"/>
      <w:r>
        <w:t>Review Question</w:t>
      </w:r>
      <w:bookmarkEnd w:id="4"/>
    </w:p>
    <w:p w14:paraId="293A6488">
      <w:pPr>
        <w:pStyle w:val="12"/>
        <w:numPr>
          <w:ilvl w:val="0"/>
          <w:numId w:val="1"/>
        </w:numPr>
        <w:shd w:val="clear" w:color="auto" w:fill="FFFFFF"/>
        <w:spacing w:before="0" w:beforeAutospacing="0" w:after="0" w:afterAutospacing="0" w:line="360" w:lineRule="auto"/>
        <w:rPr>
          <w:rFonts w:ascii="Arial" w:hAnsi="Arial" w:cs="Arial"/>
          <w:sz w:val="22"/>
          <w:szCs w:val="22"/>
        </w:rPr>
      </w:pPr>
      <w:r>
        <w:rPr>
          <w:rFonts w:ascii="Arial" w:hAnsi="Arial" w:cs="Arial"/>
          <w:color w:val="000000"/>
          <w:sz w:val="22"/>
          <w:szCs w:val="22"/>
        </w:rPr>
        <w:t>What are the main variables that affect placement stability within the UK’s foster care system?</w:t>
      </w:r>
    </w:p>
    <w:p w14:paraId="402F7FA9">
      <w:pPr>
        <w:pStyle w:val="12"/>
        <w:numPr>
          <w:ilvl w:val="0"/>
          <w:numId w:val="1"/>
        </w:numPr>
        <w:shd w:val="clear" w:color="auto" w:fill="FFFFFF"/>
        <w:spacing w:before="0" w:beforeAutospacing="0" w:after="0" w:afterAutospacing="0" w:line="360" w:lineRule="auto"/>
        <w:rPr>
          <w:rFonts w:ascii="Arial" w:hAnsi="Arial" w:cs="Arial"/>
          <w:sz w:val="22"/>
          <w:szCs w:val="22"/>
        </w:rPr>
      </w:pPr>
      <w:r>
        <w:rPr>
          <w:rFonts w:ascii="Arial" w:hAnsi="Arial" w:cs="Arial"/>
          <w:color w:val="000000"/>
          <w:sz w:val="22"/>
          <w:szCs w:val="22"/>
        </w:rPr>
        <w:t>What are the implications of the identified factors on the foster children’s long-term stability and social and health outcomes?</w:t>
      </w:r>
    </w:p>
    <w:p w14:paraId="79415075">
      <w:pPr>
        <w:pStyle w:val="3"/>
        <w:spacing w:line="360" w:lineRule="auto"/>
      </w:pPr>
      <w:bookmarkStart w:id="5" w:name="_Toc222937153"/>
      <w:r>
        <w:t>Objectives</w:t>
      </w:r>
      <w:bookmarkEnd w:id="5"/>
    </w:p>
    <w:p w14:paraId="59B87F14">
      <w:pPr>
        <w:pStyle w:val="12"/>
        <w:numPr>
          <w:ilvl w:val="0"/>
          <w:numId w:val="2"/>
        </w:numPr>
        <w:shd w:val="clear" w:color="auto" w:fill="FFFFFF"/>
        <w:spacing w:before="0" w:beforeAutospacing="0" w:after="0" w:afterAutospacing="0" w:line="360" w:lineRule="auto"/>
        <w:rPr>
          <w:rFonts w:ascii="Arial" w:hAnsi="Arial" w:cs="Arial"/>
          <w:sz w:val="22"/>
          <w:szCs w:val="22"/>
        </w:rPr>
      </w:pPr>
      <w:r>
        <w:rPr>
          <w:rFonts w:ascii="Arial" w:hAnsi="Arial" w:cs="Arial"/>
          <w:color w:val="000000"/>
          <w:sz w:val="22"/>
          <w:szCs w:val="22"/>
        </w:rPr>
        <w:t>To locate and conceptualise peer-reviewed research concentrating on child, carer, birth family, placement, and system-level variables within the UK’s foster placement.</w:t>
      </w:r>
    </w:p>
    <w:p w14:paraId="15F015BC">
      <w:pPr>
        <w:pStyle w:val="12"/>
        <w:numPr>
          <w:ilvl w:val="0"/>
          <w:numId w:val="2"/>
        </w:numPr>
        <w:shd w:val="clear" w:color="auto" w:fill="FFFFFF"/>
        <w:spacing w:before="0" w:beforeAutospacing="0" w:after="0" w:afterAutospacing="0" w:line="360" w:lineRule="auto"/>
        <w:rPr>
          <w:rFonts w:ascii="Arial" w:hAnsi="Arial" w:cs="Arial"/>
          <w:sz w:val="22"/>
          <w:szCs w:val="22"/>
        </w:rPr>
      </w:pPr>
      <w:r>
        <w:rPr>
          <w:rFonts w:ascii="Arial" w:hAnsi="Arial" w:cs="Arial"/>
          <w:color w:val="000000"/>
          <w:sz w:val="22"/>
          <w:szCs w:val="22"/>
        </w:rPr>
        <w:t>To determine the risk and protective variables that affect permanence outcomes.</w:t>
      </w:r>
    </w:p>
    <w:p w14:paraId="367E7D40">
      <w:pPr>
        <w:pStyle w:val="12"/>
        <w:numPr>
          <w:ilvl w:val="0"/>
          <w:numId w:val="2"/>
        </w:numPr>
        <w:shd w:val="clear" w:color="auto" w:fill="FFFFFF"/>
        <w:spacing w:before="0" w:beforeAutospacing="0" w:after="0" w:afterAutospacing="0" w:line="360" w:lineRule="auto"/>
        <w:rPr>
          <w:rFonts w:ascii="Arial" w:hAnsi="Arial" w:cs="Arial"/>
          <w:sz w:val="22"/>
          <w:szCs w:val="22"/>
        </w:rPr>
      </w:pPr>
      <w:r>
        <w:rPr>
          <w:rFonts w:ascii="Arial" w:hAnsi="Arial" w:cs="Arial"/>
          <w:color w:val="000000"/>
          <w:sz w:val="22"/>
          <w:szCs w:val="22"/>
        </w:rPr>
        <w:t>To examine social and health care implications, especially when it comes to professional practise and policy decisions.</w:t>
      </w:r>
    </w:p>
    <w:p w14:paraId="2D97E3AE">
      <w:pPr>
        <w:pStyle w:val="3"/>
        <w:spacing w:line="360" w:lineRule="auto"/>
      </w:pPr>
      <w:bookmarkStart w:id="6" w:name="_Toc222937154"/>
      <w:r>
        <w:t>Rationale</w:t>
      </w:r>
      <w:bookmarkEnd w:id="6"/>
    </w:p>
    <w:p w14:paraId="37066579">
      <w:pPr>
        <w:pStyle w:val="12"/>
        <w:shd w:val="clear" w:color="auto" w:fill="FFFFFF"/>
        <w:spacing w:before="0" w:beforeAutospacing="0" w:after="0" w:afterAutospacing="0" w:line="360" w:lineRule="auto"/>
        <w:rPr>
          <w:rFonts w:ascii="Arial" w:hAnsi="Arial" w:cs="Arial"/>
          <w:sz w:val="22"/>
          <w:szCs w:val="22"/>
        </w:rPr>
      </w:pPr>
      <w:r>
        <w:rPr>
          <w:rFonts w:ascii="Arial" w:hAnsi="Arial" w:cs="Arial"/>
          <w:color w:val="000000"/>
          <w:sz w:val="22"/>
          <w:szCs w:val="22"/>
        </w:rPr>
        <w:t>        </w:t>
      </w:r>
      <w:r>
        <w:rPr>
          <w:rStyle w:val="22"/>
          <w:rFonts w:ascii="Arial" w:hAnsi="Arial" w:cs="Arial" w:eastAsiaTheme="majorEastAsia"/>
          <w:sz w:val="22"/>
          <w:szCs w:val="22"/>
        </w:rPr>
        <w:tab/>
      </w:r>
      <w:r>
        <w:rPr>
          <w:rFonts w:ascii="Arial" w:hAnsi="Arial" w:cs="Arial"/>
          <w:color w:val="000000"/>
          <w:sz w:val="22"/>
          <w:szCs w:val="22"/>
        </w:rPr>
        <w:t>Hood et al. (2025) are among the strongest champions of foster children. The group postulates that those with complex needs experience different realities within the UK system. More importantly, instability heightens such differences with respect to their psychological and physical well-being (Hood et al., 2025). In the Department for Education’s (2023) study, almost 20,000 found their way to residential placements. Consequently, placement stability is a critical component of social work. More importantly, the likes of Akister et al. (2010) and Bergman et al. (2025) have demonstrated a link between instability and negative outcomes. More specifically, McGrath-Lone et al. (2020) reported a spike in the psychological challenges among minors who were assigned unstable out-of-home care in the UK. The primary challenges include higher incidences of self-harm and low academic performance. For Price et al. (2008), about half of all foster placements lead to higher risks.</w:t>
      </w:r>
    </w:p>
    <w:p w14:paraId="0B6FB5F1">
      <w:pPr>
        <w:pStyle w:val="12"/>
        <w:shd w:val="clear" w:color="auto" w:fill="FFFFFF"/>
        <w:spacing w:before="0" w:beforeAutospacing="0" w:after="0" w:afterAutospacing="0" w:line="360" w:lineRule="auto"/>
        <w:ind w:firstLine="720"/>
        <w:rPr>
          <w:rFonts w:ascii="Arial" w:hAnsi="Arial" w:cs="Arial"/>
          <w:sz w:val="22"/>
          <w:szCs w:val="22"/>
        </w:rPr>
      </w:pPr>
      <w:r>
        <w:rPr>
          <w:rFonts w:ascii="Arial" w:hAnsi="Arial" w:cs="Arial"/>
          <w:color w:val="000000"/>
          <w:sz w:val="22"/>
          <w:szCs w:val="22"/>
        </w:rPr>
        <w:t>Rock et al. (2015) believe that the main predictors include age, underlying mental health issues, kinship, quality of social care, and boundaries among caregivers. At the moment, the 1989 Children Act strongly values placement permanence. Consequently, a scoping review on this subject is prudent for the synthesis of the variables influencing foster placement choices and stability within UK health and social care systems.</w:t>
      </w:r>
    </w:p>
    <w:p w14:paraId="57A39001">
      <w:pPr>
        <w:pStyle w:val="12"/>
        <w:shd w:val="clear" w:color="auto" w:fill="FFFFFF"/>
        <w:spacing w:before="0" w:beforeAutospacing="0" w:after="0" w:afterAutospacing="0" w:line="360" w:lineRule="auto"/>
        <w:outlineLvl w:val="1"/>
        <w:rPr>
          <w:rFonts w:ascii="Arial" w:hAnsi="Arial" w:cs="Arial"/>
          <w:sz w:val="22"/>
          <w:szCs w:val="22"/>
        </w:rPr>
      </w:pPr>
      <w:bookmarkStart w:id="7" w:name="_Toc222937155"/>
      <w:r>
        <w:rPr>
          <w:rFonts w:ascii="Arial" w:hAnsi="Arial" w:cs="Arial"/>
          <w:b/>
          <w:bCs/>
          <w:color w:val="000000"/>
          <w:sz w:val="22"/>
          <w:szCs w:val="22"/>
        </w:rPr>
        <w:t>Background Research</w:t>
      </w:r>
      <w:bookmarkEnd w:id="7"/>
    </w:p>
    <w:p w14:paraId="38D84BB5">
      <w:pPr>
        <w:pStyle w:val="12"/>
        <w:shd w:val="clear" w:color="auto" w:fill="FFFFFF"/>
        <w:spacing w:before="0" w:beforeAutospacing="0" w:after="0" w:afterAutospacing="0" w:line="360" w:lineRule="auto"/>
        <w:ind w:firstLine="720"/>
        <w:rPr>
          <w:rFonts w:ascii="Arial" w:hAnsi="Arial" w:cs="Arial"/>
          <w:sz w:val="22"/>
          <w:szCs w:val="22"/>
        </w:rPr>
      </w:pPr>
      <w:r>
        <w:rPr>
          <w:rFonts w:ascii="Arial" w:hAnsi="Arial" w:cs="Arial"/>
          <w:color w:val="000000"/>
          <w:sz w:val="22"/>
          <w:szCs w:val="22"/>
        </w:rPr>
        <w:t>Child protection systems boast of a clear-cut directive. According to Parada et al. (2010), all the relevant stakeholders are expected to ensure the safety and well-being of minors under their care. Nonetheless, such a mandate is not as simple as it sounds. Social workers and policymakers must engage in extremely sophisticated examination procedures. Parada et al. (2010) stressed the importance of continuous risk and harm assessments followed by apt interventions. Due to the complexity of the children’s needs, most of the decisions and actions taken do not progress from one stage to another in a series of steps. Instead, Stokes and Schmidt (2012) and Toros et al. (2018) agree that the process typically involves complex, competing variables with lasting implications on both the children and their families. At the same time, Forkby and Höjer (2011) urge practitioners to observe the intersection between systemic policies and organizational stipulations without disregarding personal professional judgements. All these factors represent growing tensions when it comes to foster care placement choices. Their importance stems from the influence of suitability, stability, and placement permanence on the children’s long-term outcomes.     </w:t>
      </w:r>
    </w:p>
    <w:p w14:paraId="5CDD3452">
      <w:pPr>
        <w:pStyle w:val="12"/>
        <w:shd w:val="clear" w:color="auto" w:fill="FFFFFF"/>
        <w:spacing w:before="0" w:beforeAutospacing="0" w:after="0" w:afterAutospacing="0" w:line="360" w:lineRule="auto"/>
        <w:rPr>
          <w:rFonts w:ascii="Arial" w:hAnsi="Arial" w:cs="Arial"/>
          <w:sz w:val="22"/>
          <w:szCs w:val="22"/>
        </w:rPr>
      </w:pPr>
      <w:r>
        <w:rPr>
          <w:rStyle w:val="22"/>
          <w:rFonts w:ascii="Arial" w:hAnsi="Arial" w:cs="Arial" w:eastAsiaTheme="majorEastAsia"/>
          <w:sz w:val="22"/>
          <w:szCs w:val="22"/>
        </w:rPr>
        <w:tab/>
      </w:r>
      <w:r>
        <w:rPr>
          <w:rFonts w:ascii="Arial" w:hAnsi="Arial" w:cs="Arial"/>
          <w:color w:val="000000"/>
          <w:sz w:val="22"/>
          <w:szCs w:val="22"/>
        </w:rPr>
        <w:t>Child protection services involve a series of crucial decision-making points. Beckett et al. (2007), Moraes et al. (2006), and Parada et al. (2010) have all focused on the choices made during child intake processes. For Hackett and Taylor (2013) and Hughes and Chau (2013), abuse and neglect investigations have been at the center of their research. Other scholars like Arad-Davidzon and Benbenishty (2008) concentrate on the decisions practitioners make when abuse and neglect investigations substantiate allegations. Under such circumstances, social workers must determine if it is suitable to assign home treatment or uproot victims from their current family. Even when alternative care is deemed suitable, according to Arad-Davidzon and Benbenishty (2008), the stakeholders must still pick between long-term intervention or family reunification. Unfortunately, the vast international out-of-home care scale is yet to attract the warranted attention. As a result, the decision-making process remains opaque. An evidence gap exists as far as the key factors that determine the placement of children in the UK foster care are concerned.</w:t>
      </w:r>
    </w:p>
    <w:p w14:paraId="2D2D1843">
      <w:pPr>
        <w:pStyle w:val="12"/>
        <w:shd w:val="clear" w:color="auto" w:fill="FFFFFF"/>
        <w:spacing w:before="0" w:beforeAutospacing="0" w:after="0" w:afterAutospacing="0" w:line="360" w:lineRule="auto"/>
        <w:ind w:firstLine="720"/>
        <w:rPr>
          <w:rFonts w:ascii="Arial" w:hAnsi="Arial" w:cs="Arial"/>
          <w:sz w:val="22"/>
          <w:szCs w:val="22"/>
        </w:rPr>
      </w:pPr>
      <w:r>
        <w:rPr>
          <w:rFonts w:ascii="Arial" w:hAnsi="Arial" w:cs="Arial"/>
          <w:color w:val="000000"/>
          <w:sz w:val="22"/>
          <w:szCs w:val="22"/>
        </w:rPr>
        <w:t>Statistical evidence projects that many lives will be affected if the research gap persists. According to the Department for Education (2023), the UK registered 83,840 CLAs in 2023. The system imposed a care order on 76% of the cohort. 19% of the CLAs received care through voluntary processes. Foster care arrangements emerged as the most popular option. According to Ofsted (2022b), those who end up in residential settings reside in children’s homes, isolated secure units, temporary supported accommodation, or secure units. Ofsted (2022a) estimated that a typical child who resides in a children’s home is usually about 15 years of age. More importantly, children’s homes represent roughly 8% of all CLAs (Ofsted, 2022b). Most of them either graduate from foster care facilities or have complex needs due to existing disabilities.</w:t>
      </w:r>
    </w:p>
    <w:p w14:paraId="3C44140F">
      <w:pPr>
        <w:pStyle w:val="12"/>
        <w:shd w:val="clear" w:color="auto" w:fill="FFFFFF"/>
        <w:spacing w:before="0" w:beforeAutospacing="0" w:after="0" w:afterAutospacing="0" w:line="360" w:lineRule="auto"/>
        <w:ind w:firstLine="720"/>
        <w:rPr>
          <w:rFonts w:ascii="Arial" w:hAnsi="Arial" w:cs="Arial"/>
          <w:sz w:val="22"/>
          <w:szCs w:val="22"/>
        </w:rPr>
      </w:pPr>
      <w:r>
        <w:rPr>
          <w:rFonts w:ascii="Arial" w:hAnsi="Arial" w:cs="Arial"/>
          <w:color w:val="000000"/>
          <w:sz w:val="22"/>
          <w:szCs w:val="22"/>
        </w:rPr>
        <w:t>If the trend continues, the UK child care system will experience unsustainable strain. According to Hood et al (2024), UK children in need of care are currently much older than they used to be. Not to mention the rising complexity of each one’s needs. Unfortunately, foster placement availability has been declining despite rising demand for such facilities (Hood et al., 2024). At the same time, the Department for Education (2024) complained about the challenge of recruiting and retaining essential staff. As private corporations continue to invest in this sector, the Department for Education (2024) is also concerned about the CLA center’s uneven distribution. Not to mention the fact that the department has had to cut more than £24.5 billion from its annual budget between 2010 and 2023 (LGA, 2024)..</w:t>
      </w:r>
    </w:p>
    <w:p w14:paraId="0CB369E2">
      <w:pPr>
        <w:spacing w:line="360" w:lineRule="auto"/>
        <w:rPr>
          <w:rFonts w:ascii="Arial" w:hAnsi="Arial" w:cs="Arial" w:eastAsiaTheme="majorEastAsia"/>
          <w:b/>
          <w:sz w:val="22"/>
        </w:rPr>
      </w:pPr>
      <w:r>
        <w:rPr>
          <w:rFonts w:ascii="Arial" w:hAnsi="Arial" w:cs="Arial"/>
          <w:sz w:val="22"/>
        </w:rPr>
        <w:br w:type="page"/>
      </w:r>
    </w:p>
    <w:p w14:paraId="1AC2464A">
      <w:pPr>
        <w:pStyle w:val="2"/>
      </w:pPr>
      <w:bookmarkStart w:id="8" w:name="_Toc222937156"/>
      <w:r>
        <w:t>Methods</w:t>
      </w:r>
      <w:bookmarkEnd w:id="8"/>
    </w:p>
    <w:p w14:paraId="2A0F3942">
      <w:pPr>
        <w:pStyle w:val="12"/>
        <w:spacing w:before="0" w:beforeAutospacing="0" w:after="0" w:afterAutospacing="0" w:line="360" w:lineRule="auto"/>
        <w:ind w:firstLine="720"/>
        <w:rPr>
          <w:rFonts w:ascii="Arial" w:hAnsi="Arial" w:cs="Arial"/>
          <w:sz w:val="22"/>
          <w:szCs w:val="22"/>
        </w:rPr>
      </w:pPr>
      <w:r>
        <w:rPr>
          <w:rFonts w:ascii="Arial" w:hAnsi="Arial" w:cs="Arial"/>
          <w:color w:val="000000"/>
          <w:sz w:val="22"/>
          <w:szCs w:val="22"/>
        </w:rPr>
        <w:t>A scoping review methodology is the most ideal for examining the current research questions and objectives. In line with Tricco et al.’s (2018) recommendations, the study followed the Preferred Reporting Items for Scoping Reviews (PRISMA-ScR). PRISMA-ScR promoted both transparency and methodological rigour. As part of the study, the researcher systematically examined current peer-reviewed journals from ERIC, Medline, PsycINFO, and SocINDEX. The online libraries were suitable because they primarily store resources related to the social sciences and care. Since diverse terms have been used to describe placement stability and foster care, a wide array of terminology had to be incorporated. More specifically, the study followed a search strategy adopted from Leipoldt et al. (2019) and Rock et al. (2015). Concurrent with these sources, the Population, Intervention, Comparison, and Outcomes (PICO) search strategy played a key role. Apart from using the ‘all text’ fields to broaden the search, the researcher explored the sources cited in the uncovered articles.</w:t>
      </w:r>
    </w:p>
    <w:p w14:paraId="2514718B">
      <w:pPr>
        <w:pStyle w:val="12"/>
        <w:spacing w:before="0" w:beforeAutospacing="0" w:after="0" w:afterAutospacing="0" w:line="360" w:lineRule="auto"/>
        <w:ind w:firstLine="720"/>
        <w:rPr>
          <w:rFonts w:ascii="Arial" w:hAnsi="Arial" w:cs="Arial"/>
          <w:sz w:val="22"/>
          <w:szCs w:val="22"/>
        </w:rPr>
      </w:pPr>
      <w:r>
        <w:rPr>
          <w:rFonts w:ascii="Arial" w:hAnsi="Arial" w:cs="Arial"/>
          <w:color w:val="000000"/>
          <w:sz w:val="22"/>
          <w:szCs w:val="22"/>
        </w:rPr>
        <w:t>As part of the inclusion criteria, empirical and qualitative research published between 2000 and 2025 were incorporated. The articles had to involve respondents younger than 19 years. They also had to address the factors that determine the placement of children in uk foster care. More importantly, all the studies had to be peer-reviewed. Publications before 2000 were not included. Non-UK studies did not fit the inclusion criteria either.  </w:t>
      </w:r>
    </w:p>
    <w:p w14:paraId="726EA52A">
      <w:pPr>
        <w:pStyle w:val="12"/>
        <w:spacing w:before="0" w:beforeAutospacing="0" w:after="0" w:afterAutospacing="0" w:line="360" w:lineRule="auto"/>
        <w:ind w:firstLine="720"/>
        <w:rPr>
          <w:rFonts w:ascii="Arial" w:hAnsi="Arial" w:cs="Arial"/>
          <w:color w:val="000000"/>
          <w:sz w:val="22"/>
          <w:szCs w:val="22"/>
        </w:rPr>
      </w:pPr>
      <w:r>
        <w:rPr>
          <w:rFonts w:ascii="Arial" w:hAnsi="Arial" w:cs="Arial"/>
          <w:color w:val="000000"/>
          <w:sz w:val="22"/>
          <w:szCs w:val="22"/>
        </w:rPr>
        <w:t xml:space="preserve">.   </w:t>
      </w:r>
    </w:p>
    <w:p w14:paraId="724988BB">
      <w:pPr>
        <w:spacing w:line="360" w:lineRule="auto"/>
        <w:rPr>
          <w:rFonts w:ascii="Arial" w:hAnsi="Arial" w:eastAsia="Times New Roman" w:cs="Arial"/>
          <w:color w:val="000000"/>
          <w:sz w:val="22"/>
          <w:lang w:eastAsia="en-GB"/>
        </w:rPr>
      </w:pPr>
      <w:r>
        <w:rPr>
          <w:rFonts w:ascii="Arial" w:hAnsi="Arial" w:cs="Arial"/>
          <w:color w:val="000000"/>
          <w:sz w:val="22"/>
        </w:rPr>
        <w:br w:type="page"/>
      </w:r>
    </w:p>
    <w:p w14:paraId="77E8F7D4">
      <w:pPr>
        <w:pStyle w:val="12"/>
        <w:spacing w:before="0" w:beforeAutospacing="0" w:after="0" w:afterAutospacing="0" w:line="360" w:lineRule="auto"/>
        <w:ind w:firstLine="720"/>
        <w:jc w:val="center"/>
        <w:outlineLvl w:val="0"/>
        <w:rPr>
          <w:rFonts w:ascii="Arial" w:hAnsi="Arial" w:cs="Arial"/>
          <w:b/>
          <w:sz w:val="22"/>
          <w:szCs w:val="22"/>
        </w:rPr>
      </w:pPr>
      <w:bookmarkStart w:id="9" w:name="_Toc222937157"/>
      <w:r>
        <w:rPr>
          <w:rFonts w:ascii="Arial" w:hAnsi="Arial" w:cs="Arial"/>
          <w:b/>
          <w:sz w:val="22"/>
          <w:szCs w:val="22"/>
        </w:rPr>
        <w:t>Results</w:t>
      </w:r>
      <w:bookmarkEnd w:id="9"/>
    </w:p>
    <w:p w14:paraId="3F786E3C">
      <w:pPr>
        <w:pStyle w:val="3"/>
        <w:spacing w:line="360" w:lineRule="auto"/>
      </w:pPr>
      <w:bookmarkStart w:id="10" w:name="_Toc222937158"/>
      <w:r>
        <w:t>Thematic Synthesis</w:t>
      </w:r>
      <w:bookmarkEnd w:id="10"/>
    </w:p>
    <w:p w14:paraId="0A29D522">
      <w:pPr>
        <w:pStyle w:val="4"/>
        <w:spacing w:line="360" w:lineRule="auto"/>
      </w:pPr>
      <w:bookmarkStart w:id="11" w:name="_Toc222937159"/>
      <w:r>
        <w:t>1. Caregiver Skills, Characteristics, and Family Dynamics</w:t>
      </w:r>
      <w:bookmarkEnd w:id="11"/>
    </w:p>
    <w:p w14:paraId="01E22AF5">
      <w:pPr>
        <w:pStyle w:val="12"/>
        <w:spacing w:before="0" w:beforeAutospacing="0" w:after="0" w:afterAutospacing="0" w:line="360" w:lineRule="auto"/>
        <w:ind w:firstLine="720"/>
        <w:rPr>
          <w:rFonts w:ascii="Arial" w:hAnsi="Arial" w:cs="Arial"/>
          <w:sz w:val="22"/>
          <w:szCs w:val="22"/>
        </w:rPr>
      </w:pPr>
      <w:r>
        <w:rPr>
          <w:rFonts w:ascii="Arial" w:hAnsi="Arial" w:cs="Arial"/>
          <w:color w:val="000000"/>
          <w:sz w:val="22"/>
          <w:szCs w:val="22"/>
        </w:rPr>
        <w:t>Evidence suggests that skill and personality attributes determine placement success. For Brown (2008) and Buehler et al. (2003), a CLA and caregiver’s awareness of stress factors, skills, and limitations significantly contribute to positive outcomes. Brown (2008) further stresses the role of realistic expectations in placement permanency. Brown and Calder (2000) emphasize the role of open-mindedness and tolerance during placement. Participants should be easy-going and accept that people from diverse backgrounds will register different behavioral patterns. Brown (2008) believes that structures and routinized personalities are more favourable. More importantly, caregivers who set boundaries early are better placed to contend with violent or difficult behaviours among CLAs. Riggs et al. (2009) encourage foster parents to not only act in the CLA's best interest but also enforce positive discipline to earn their trust. </w:t>
      </w:r>
    </w:p>
    <w:p w14:paraId="5C96B5EB">
      <w:pPr>
        <w:pStyle w:val="12"/>
        <w:spacing w:before="0" w:beforeAutospacing="0" w:after="0" w:afterAutospacing="0" w:line="360" w:lineRule="auto"/>
        <w:rPr>
          <w:rFonts w:ascii="Arial" w:hAnsi="Arial" w:cs="Arial"/>
          <w:sz w:val="22"/>
          <w:szCs w:val="22"/>
        </w:rPr>
      </w:pPr>
      <w:r>
        <w:rPr>
          <w:rStyle w:val="22"/>
          <w:rFonts w:ascii="Arial" w:hAnsi="Arial" w:cs="Arial" w:eastAsiaTheme="majorEastAsia"/>
          <w:sz w:val="22"/>
          <w:szCs w:val="22"/>
        </w:rPr>
        <w:tab/>
      </w:r>
      <w:r>
        <w:rPr>
          <w:rFonts w:ascii="Arial" w:hAnsi="Arial" w:cs="Arial"/>
          <w:color w:val="000000"/>
          <w:sz w:val="22"/>
          <w:szCs w:val="22"/>
        </w:rPr>
        <w:t>Family processes also play a key role. Riggs et al. (2009) introduce new ways to promote a positive atmosphere in the new home. For these researchers, caregivers should engage in and maintain family rituals and culture that establish a routine. However, Helton et al. (2018) insist that these rituals work best when they are mutually accepted between the parties. For instance, CLAs are more likely to abide by the established sleeping times and participate actively in chores if they feel like they have a say in the matter. Otherwise, emotional and behavioral problems could hinder stability. More importantly, Leathers (2006) discovered that feeling a sense of belonging could thwart risks associated with difficult behaviour. For Brown and Bednar (2006), the relationship between CLAs and their caregivers has a greater impact of permanence than just the foster child’s innate characteristics.   </w:t>
      </w:r>
    </w:p>
    <w:p w14:paraId="1CCDEC11">
      <w:pPr>
        <w:pStyle w:val="4"/>
        <w:spacing w:line="360" w:lineRule="auto"/>
      </w:pPr>
      <w:bookmarkStart w:id="12" w:name="_Toc222937160"/>
      <w:r>
        <w:t>2. CLA’s Emotional and Behavioural Needs</w:t>
      </w:r>
      <w:bookmarkEnd w:id="12"/>
    </w:p>
    <w:p w14:paraId="22E5FDAD">
      <w:pPr>
        <w:pStyle w:val="12"/>
        <w:spacing w:before="240" w:beforeAutospacing="0" w:after="240" w:afterAutospacing="0" w:line="360" w:lineRule="auto"/>
        <w:rPr>
          <w:rFonts w:ascii="Arial" w:hAnsi="Arial" w:cs="Arial"/>
          <w:sz w:val="22"/>
          <w:szCs w:val="22"/>
        </w:rPr>
      </w:pPr>
      <w:r>
        <w:rPr>
          <w:rStyle w:val="22"/>
          <w:rFonts w:ascii="Arial" w:hAnsi="Arial" w:cs="Arial" w:eastAsiaTheme="majorEastAsia"/>
          <w:sz w:val="22"/>
          <w:szCs w:val="22"/>
        </w:rPr>
        <w:tab/>
      </w:r>
      <w:r>
        <w:rPr>
          <w:rFonts w:ascii="Arial" w:hAnsi="Arial" w:cs="Arial"/>
          <w:color w:val="000000"/>
          <w:sz w:val="22"/>
          <w:szCs w:val="22"/>
        </w:rPr>
        <w:t>According to Farmer et al. (2004), complex behavioral needs contribute to placement breakdown. Oosterman et al. (2007) and Egelund and Vitus (2009) all concluded that there is a strong positive correlation between anti-social behaviours and unplanned moves. In Sinclair et al.’s (2007) study, age, attachment partners, and attitude towards the residential setting predict placement breakdown. Not to mention that nearly half of all unplanned moves involved a CLA with a diagnosable mental health issue (Meltzer et al., 2003). Moreover, Brown and Bednar (2006) found that a history of placement instability led to, or exacerbated the risks of, additional challenges in a new residential setting. Farmer et al. (2004) found that bespoke therapeutic support substantially reduced the chances of placement instability. Simmonds (2010) positions caregivers as the first line of defense when it comes to therapeutic support. Therefore, placement stability is a highly relational phenomenon.      </w:t>
      </w:r>
    </w:p>
    <w:p w14:paraId="6C41A3D8">
      <w:pPr>
        <w:pStyle w:val="4"/>
        <w:spacing w:line="360" w:lineRule="auto"/>
      </w:pPr>
      <w:bookmarkStart w:id="13" w:name="_Toc222937161"/>
      <w:r>
        <w:t>3. Social Support and Professional Involvement</w:t>
      </w:r>
      <w:bookmarkEnd w:id="13"/>
    </w:p>
    <w:p w14:paraId="2D37990B">
      <w:pPr>
        <w:pStyle w:val="12"/>
        <w:spacing w:before="0" w:beforeAutospacing="0" w:after="0" w:afterAutospacing="0" w:line="360" w:lineRule="auto"/>
        <w:ind w:firstLine="720"/>
        <w:rPr>
          <w:rFonts w:ascii="Arial" w:hAnsi="Arial" w:cs="Arial"/>
          <w:sz w:val="22"/>
          <w:szCs w:val="22"/>
        </w:rPr>
      </w:pPr>
      <w:r>
        <w:rPr>
          <w:rFonts w:ascii="Arial" w:hAnsi="Arial" w:cs="Arial"/>
          <w:color w:val="000000"/>
          <w:sz w:val="22"/>
          <w:szCs w:val="22"/>
        </w:rPr>
        <w:t>In Randle et al.’s (2018) empirical study, access to support systems was among the most recurring theme. The respondents mainly discussed personalized services, support from the community, and sufficient financing. Most participants complained about demand for more caseworkers to provide the much needed assistance (Brown &amp; Calder, 2000). Involvement among these caseworkers was equally dire (Brown &amp; Calder, 2000). Sinclair et al. (2005) and Khoo and Skoog (2013) believe that more caseworkers would provide responsive and prompt support to caregivers. The researchers together advocated for a system that values and respects all stakeholders within the decision-making chain. Mitchell et al. (2010) noted that social support is equally important for the CLAs. The children require the support of their foster parents, caseworkers, and friends. Apart from the support, Hedin et al. (2011) encourages the practitioners to actively involve the CLAs in decision-making. Unplanned moves are likely to reduce if the CLAs are consistently consulted and trusted (Egelund &amp; Vitus, 2009). Placement breakdown risks also escalate if the UK system continually changes the social workers who have already established a rapport with the CLAs.     </w:t>
      </w:r>
    </w:p>
    <w:p w14:paraId="49ADAA00">
      <w:pPr>
        <w:pStyle w:val="12"/>
        <w:spacing w:before="240" w:beforeAutospacing="0" w:after="240" w:afterAutospacing="0" w:line="360" w:lineRule="auto"/>
        <w:ind w:firstLine="720"/>
        <w:rPr>
          <w:rFonts w:ascii="Arial" w:hAnsi="Arial" w:cs="Arial"/>
          <w:sz w:val="22"/>
          <w:szCs w:val="22"/>
        </w:rPr>
      </w:pPr>
      <w:r>
        <w:rPr>
          <w:rFonts w:ascii="Arial" w:hAnsi="Arial" w:cs="Arial"/>
          <w:color w:val="000000"/>
          <w:sz w:val="22"/>
          <w:szCs w:val="22"/>
        </w:rPr>
        <w:t>.</w:t>
      </w:r>
    </w:p>
    <w:p w14:paraId="265FA116">
      <w:pPr>
        <w:pStyle w:val="4"/>
        <w:spacing w:line="360" w:lineRule="auto"/>
      </w:pPr>
      <w:bookmarkStart w:id="14" w:name="_Toc222937163"/>
      <w:r>
        <w:t>Table 1. Summary of Thematic Findings</w:t>
      </w:r>
      <w:bookmarkEnd w:id="14"/>
    </w:p>
    <w:tbl>
      <w:tblPr>
        <w:tblStyle w:val="7"/>
        <w:tblW w:w="0" w:type="auto"/>
        <w:tblInd w:w="0" w:type="dxa"/>
        <w:tblLayout w:type="autofit"/>
        <w:tblCellMar>
          <w:top w:w="15" w:type="dxa"/>
          <w:left w:w="15" w:type="dxa"/>
          <w:bottom w:w="15" w:type="dxa"/>
          <w:right w:w="15" w:type="dxa"/>
        </w:tblCellMar>
      </w:tblPr>
      <w:tblGrid>
        <w:gridCol w:w="1906"/>
        <w:gridCol w:w="5392"/>
        <w:gridCol w:w="1928"/>
      </w:tblGrid>
      <w:tr w14:paraId="4A70EE0E">
        <w:tblPrEx>
          <w:tblCellMar>
            <w:top w:w="15" w:type="dxa"/>
            <w:left w:w="15" w:type="dxa"/>
            <w:bottom w:w="15" w:type="dxa"/>
            <w:right w:w="15" w:type="dxa"/>
          </w:tblCellMar>
        </w:tblPrEx>
        <w:trPr>
          <w:trHeight w:val="770" w:hRule="atLeast"/>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DB38FBA">
            <w:pPr>
              <w:pStyle w:val="12"/>
              <w:spacing w:before="0" w:beforeAutospacing="0" w:after="0" w:afterAutospacing="0" w:line="360" w:lineRule="auto"/>
              <w:jc w:val="center"/>
              <w:rPr>
                <w:rFonts w:ascii="Arial" w:hAnsi="Arial" w:cs="Arial"/>
                <w:sz w:val="22"/>
                <w:szCs w:val="22"/>
              </w:rPr>
            </w:pPr>
            <w:r>
              <w:rPr>
                <w:rFonts w:ascii="Arial" w:hAnsi="Arial" w:cs="Arial"/>
                <w:b/>
                <w:bCs/>
                <w:color w:val="000000"/>
                <w:sz w:val="22"/>
                <w:szCs w:val="22"/>
              </w:rPr>
              <w:t>Thematic Area</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C9D9808">
            <w:pPr>
              <w:pStyle w:val="12"/>
              <w:spacing w:before="0" w:beforeAutospacing="0" w:after="0" w:afterAutospacing="0" w:line="360" w:lineRule="auto"/>
              <w:jc w:val="center"/>
              <w:rPr>
                <w:rFonts w:ascii="Arial" w:hAnsi="Arial" w:cs="Arial"/>
                <w:sz w:val="22"/>
                <w:szCs w:val="22"/>
              </w:rPr>
            </w:pPr>
            <w:r>
              <w:rPr>
                <w:rFonts w:ascii="Arial" w:hAnsi="Arial" w:cs="Arial"/>
                <w:b/>
                <w:bCs/>
                <w:color w:val="000000"/>
                <w:sz w:val="22"/>
                <w:szCs w:val="22"/>
              </w:rPr>
              <w:t>Key Quoted Findings</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4DE2CFE">
            <w:pPr>
              <w:pStyle w:val="12"/>
              <w:spacing w:before="0" w:beforeAutospacing="0" w:after="0" w:afterAutospacing="0" w:line="360" w:lineRule="auto"/>
              <w:jc w:val="center"/>
              <w:rPr>
                <w:rFonts w:ascii="Arial" w:hAnsi="Arial" w:cs="Arial"/>
                <w:sz w:val="22"/>
                <w:szCs w:val="22"/>
              </w:rPr>
            </w:pPr>
            <w:r>
              <w:rPr>
                <w:rFonts w:ascii="Arial" w:hAnsi="Arial" w:cs="Arial"/>
                <w:b/>
                <w:bCs/>
                <w:color w:val="000000"/>
                <w:sz w:val="22"/>
                <w:szCs w:val="22"/>
              </w:rPr>
              <w:t>Linked Outcomes</w:t>
            </w:r>
          </w:p>
        </w:tc>
      </w:tr>
      <w:tr w14:paraId="1BCF047D">
        <w:tblPrEx>
          <w:tblCellMar>
            <w:top w:w="15" w:type="dxa"/>
            <w:left w:w="15" w:type="dxa"/>
            <w:bottom w:w="15" w:type="dxa"/>
            <w:right w:w="15" w:type="dxa"/>
          </w:tblCellMar>
        </w:tblPrEx>
        <w:trPr>
          <w:trHeight w:val="1310" w:hRule="atLeast"/>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9696A7F">
            <w:pPr>
              <w:pStyle w:val="12"/>
              <w:spacing w:before="0" w:beforeAutospacing="0" w:after="0" w:afterAutospacing="0" w:line="360" w:lineRule="auto"/>
              <w:rPr>
                <w:rFonts w:ascii="Arial" w:hAnsi="Arial" w:cs="Arial"/>
                <w:sz w:val="22"/>
                <w:szCs w:val="22"/>
              </w:rPr>
            </w:pPr>
            <w:r>
              <w:rPr>
                <w:rFonts w:ascii="Arial" w:hAnsi="Arial" w:cs="Arial"/>
                <w:color w:val="000000"/>
                <w:sz w:val="22"/>
                <w:szCs w:val="22"/>
              </w:rPr>
              <w:t>Caregiver Characteristics</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C277B0F">
            <w:pPr>
              <w:pStyle w:val="12"/>
              <w:spacing w:before="0" w:beforeAutospacing="0" w:after="0" w:afterAutospacing="0" w:line="360" w:lineRule="auto"/>
              <w:rPr>
                <w:rFonts w:ascii="Arial" w:hAnsi="Arial" w:cs="Arial"/>
                <w:sz w:val="22"/>
                <w:szCs w:val="22"/>
              </w:rPr>
            </w:pPr>
            <w:r>
              <w:rPr>
                <w:rFonts w:ascii="Arial" w:hAnsi="Arial" w:cs="Arial"/>
                <w:color w:val="000000"/>
                <w:sz w:val="22"/>
                <w:szCs w:val="22"/>
              </w:rPr>
              <w:t>“Access to Support Systems”; “Attentiveness to the Caregiver-Child Relationship”; “open-minded, tolerant… structured”; “The interaction… is more predictive”</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1A897A8">
            <w:pPr>
              <w:pStyle w:val="12"/>
              <w:spacing w:before="0" w:beforeAutospacing="0" w:after="0" w:afterAutospacing="0" w:line="360" w:lineRule="auto"/>
              <w:rPr>
                <w:rFonts w:ascii="Arial" w:hAnsi="Arial" w:cs="Arial"/>
                <w:sz w:val="22"/>
                <w:szCs w:val="22"/>
              </w:rPr>
            </w:pPr>
            <w:r>
              <w:rPr>
                <w:rFonts w:ascii="Arial" w:hAnsi="Arial" w:cs="Arial"/>
                <w:color w:val="000000"/>
                <w:sz w:val="22"/>
                <w:szCs w:val="22"/>
              </w:rPr>
              <w:t>Placement Stability; Permanency</w:t>
            </w:r>
          </w:p>
        </w:tc>
      </w:tr>
      <w:tr w14:paraId="1AC2FB1B">
        <w:tblPrEx>
          <w:tblCellMar>
            <w:top w:w="15" w:type="dxa"/>
            <w:left w:w="15" w:type="dxa"/>
            <w:bottom w:w="15" w:type="dxa"/>
            <w:right w:w="15" w:type="dxa"/>
          </w:tblCellMar>
        </w:tblPrEx>
        <w:trPr>
          <w:trHeight w:val="1310" w:hRule="atLeast"/>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6FEBFDEF">
            <w:pPr>
              <w:pStyle w:val="12"/>
              <w:spacing w:before="0" w:beforeAutospacing="0" w:after="0" w:afterAutospacing="0" w:line="360" w:lineRule="auto"/>
              <w:rPr>
                <w:rFonts w:ascii="Arial" w:hAnsi="Arial" w:cs="Arial"/>
                <w:sz w:val="22"/>
                <w:szCs w:val="22"/>
              </w:rPr>
            </w:pPr>
            <w:r>
              <w:rPr>
                <w:rFonts w:ascii="Arial" w:hAnsi="Arial" w:cs="Arial"/>
                <w:color w:val="000000"/>
                <w:sz w:val="22"/>
                <w:szCs w:val="22"/>
              </w:rPr>
              <w:t>Young Person Factors</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B79A173">
            <w:pPr>
              <w:pStyle w:val="12"/>
              <w:spacing w:before="0" w:beforeAutospacing="0" w:after="0" w:afterAutospacing="0" w:line="360" w:lineRule="auto"/>
              <w:rPr>
                <w:rFonts w:ascii="Arial" w:hAnsi="Arial" w:cs="Arial"/>
                <w:sz w:val="22"/>
                <w:szCs w:val="22"/>
              </w:rPr>
            </w:pPr>
            <w:r>
              <w:rPr>
                <w:rFonts w:ascii="Arial" w:hAnsi="Arial" w:cs="Arial"/>
                <w:color w:val="000000"/>
                <w:sz w:val="22"/>
                <w:szCs w:val="22"/>
              </w:rPr>
              <w:t>“Behavioural difficulties significantly influenced placement breakdown”; “45%… diagnosable mental health disorder”; “appropriate therapeutic support… lowered” breakdown</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4339AB6">
            <w:pPr>
              <w:pStyle w:val="12"/>
              <w:spacing w:before="0" w:beforeAutospacing="0" w:after="0" w:afterAutospacing="0" w:line="360" w:lineRule="auto"/>
              <w:rPr>
                <w:rFonts w:ascii="Arial" w:hAnsi="Arial" w:cs="Arial"/>
                <w:sz w:val="22"/>
                <w:szCs w:val="22"/>
              </w:rPr>
            </w:pPr>
            <w:r>
              <w:rPr>
                <w:rFonts w:ascii="Arial" w:hAnsi="Arial" w:cs="Arial"/>
                <w:color w:val="000000"/>
                <w:sz w:val="22"/>
                <w:szCs w:val="22"/>
              </w:rPr>
              <w:t>Breakdown Risk; Stability</w:t>
            </w:r>
          </w:p>
        </w:tc>
      </w:tr>
      <w:tr w14:paraId="414EF32D">
        <w:tblPrEx>
          <w:tblCellMar>
            <w:top w:w="15" w:type="dxa"/>
            <w:left w:w="15" w:type="dxa"/>
            <w:bottom w:w="15" w:type="dxa"/>
            <w:right w:w="15" w:type="dxa"/>
          </w:tblCellMar>
        </w:tblPrEx>
        <w:trPr>
          <w:trHeight w:val="1040" w:hRule="atLeast"/>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4527FD1F">
            <w:pPr>
              <w:pStyle w:val="12"/>
              <w:spacing w:before="0" w:beforeAutospacing="0" w:after="0" w:afterAutospacing="0" w:line="360" w:lineRule="auto"/>
              <w:rPr>
                <w:rFonts w:ascii="Arial" w:hAnsi="Arial" w:cs="Arial"/>
                <w:sz w:val="22"/>
                <w:szCs w:val="22"/>
              </w:rPr>
            </w:pPr>
            <w:r>
              <w:rPr>
                <w:rFonts w:ascii="Arial" w:hAnsi="Arial" w:cs="Arial"/>
                <w:color w:val="000000"/>
                <w:sz w:val="22"/>
                <w:szCs w:val="22"/>
              </w:rPr>
              <w:t>Social Work &amp; Systems</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2A265E96">
            <w:pPr>
              <w:pStyle w:val="12"/>
              <w:spacing w:before="0" w:beforeAutospacing="0" w:after="0" w:afterAutospacing="0" w:line="360" w:lineRule="auto"/>
              <w:rPr>
                <w:rFonts w:ascii="Arial" w:hAnsi="Arial" w:cs="Arial"/>
                <w:sz w:val="22"/>
                <w:szCs w:val="22"/>
              </w:rPr>
            </w:pPr>
            <w:r>
              <w:rPr>
                <w:rFonts w:ascii="Arial" w:hAnsi="Arial" w:cs="Arial"/>
                <w:color w:val="000000"/>
                <w:sz w:val="22"/>
                <w:szCs w:val="22"/>
              </w:rPr>
              <w:t>“Adequate help and involvement… critical”; “valued and respected”; “changes of social worker… predictor of placement breakdown”</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1D076F8B">
            <w:pPr>
              <w:pStyle w:val="12"/>
              <w:spacing w:before="0" w:beforeAutospacing="0" w:after="0" w:afterAutospacing="0" w:line="360" w:lineRule="auto"/>
              <w:rPr>
                <w:rFonts w:ascii="Arial" w:hAnsi="Arial" w:cs="Arial"/>
                <w:sz w:val="22"/>
                <w:szCs w:val="22"/>
              </w:rPr>
            </w:pPr>
            <w:r>
              <w:rPr>
                <w:rFonts w:ascii="Arial" w:hAnsi="Arial" w:cs="Arial"/>
                <w:color w:val="000000"/>
                <w:sz w:val="22"/>
                <w:szCs w:val="22"/>
              </w:rPr>
              <w:t>Stability; Permanency</w:t>
            </w:r>
          </w:p>
        </w:tc>
      </w:tr>
      <w:tr w14:paraId="3C5EFF2B">
        <w:tblPrEx>
          <w:tblCellMar>
            <w:top w:w="15" w:type="dxa"/>
            <w:left w:w="15" w:type="dxa"/>
            <w:bottom w:w="15" w:type="dxa"/>
            <w:right w:w="15" w:type="dxa"/>
          </w:tblCellMar>
        </w:tblPrEx>
        <w:trPr>
          <w:trHeight w:val="1040" w:hRule="atLeast"/>
        </w:trPr>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CD3CA5C">
            <w:pPr>
              <w:pStyle w:val="12"/>
              <w:spacing w:before="0" w:beforeAutospacing="0" w:after="0" w:afterAutospacing="0" w:line="360" w:lineRule="auto"/>
              <w:rPr>
                <w:rFonts w:ascii="Arial" w:hAnsi="Arial" w:cs="Arial"/>
                <w:sz w:val="22"/>
                <w:szCs w:val="22"/>
              </w:rPr>
            </w:pPr>
            <w:r>
              <w:rPr>
                <w:rFonts w:ascii="Arial" w:hAnsi="Arial" w:cs="Arial"/>
                <w:color w:val="000000"/>
                <w:sz w:val="22"/>
                <w:szCs w:val="22"/>
              </w:rPr>
              <w:t>Birth Family Contact</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3406EA10">
            <w:pPr>
              <w:pStyle w:val="12"/>
              <w:spacing w:before="0" w:beforeAutospacing="0" w:after="0" w:afterAutospacing="0" w:line="360" w:lineRule="auto"/>
              <w:rPr>
                <w:rFonts w:ascii="Arial" w:hAnsi="Arial" w:cs="Arial"/>
                <w:sz w:val="22"/>
                <w:szCs w:val="22"/>
              </w:rPr>
            </w:pPr>
            <w:r>
              <w:rPr>
                <w:rFonts w:ascii="Arial" w:hAnsi="Arial" w:cs="Arial"/>
                <w:color w:val="000000"/>
                <w:sz w:val="22"/>
                <w:szCs w:val="22"/>
              </w:rPr>
              <w:t>“Promote placement continuity”; “difficult experiences… more likely to result in placement breakdown”; “co-operation… beneficial outcomes”</w:t>
            </w:r>
          </w:p>
        </w:tc>
        <w:tc>
          <w:tcPr>
            <w:tcW w:w="0" w:type="auto"/>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84E3BF6">
            <w:pPr>
              <w:pStyle w:val="12"/>
              <w:spacing w:before="0" w:beforeAutospacing="0" w:after="0" w:afterAutospacing="0" w:line="360" w:lineRule="auto"/>
              <w:rPr>
                <w:rFonts w:ascii="Arial" w:hAnsi="Arial" w:cs="Arial"/>
                <w:sz w:val="22"/>
                <w:szCs w:val="22"/>
              </w:rPr>
            </w:pPr>
            <w:r>
              <w:rPr>
                <w:rFonts w:ascii="Arial" w:hAnsi="Arial" w:cs="Arial"/>
                <w:color w:val="000000"/>
                <w:sz w:val="22"/>
                <w:szCs w:val="22"/>
              </w:rPr>
              <w:t>Continuity; Breakdown</w:t>
            </w:r>
          </w:p>
        </w:tc>
      </w:tr>
    </w:tbl>
    <w:p w14:paraId="236FF44E">
      <w:pPr>
        <w:spacing w:line="360" w:lineRule="auto"/>
        <w:rPr>
          <w:rFonts w:ascii="Arial" w:hAnsi="Arial" w:cs="Arial"/>
          <w:sz w:val="22"/>
        </w:rPr>
      </w:pPr>
    </w:p>
    <w:p w14:paraId="5DDF6D05">
      <w:pPr>
        <w:spacing w:line="360" w:lineRule="auto"/>
        <w:rPr>
          <w:rFonts w:ascii="Arial" w:hAnsi="Arial" w:cs="Arial" w:eastAsiaTheme="majorEastAsia"/>
          <w:b/>
          <w:sz w:val="22"/>
        </w:rPr>
      </w:pPr>
      <w:r>
        <w:rPr>
          <w:rFonts w:ascii="Arial" w:hAnsi="Arial" w:cs="Arial"/>
          <w:sz w:val="22"/>
        </w:rPr>
        <w:br w:type="page"/>
      </w:r>
    </w:p>
    <w:p w14:paraId="18FC2C74">
      <w:pPr>
        <w:pStyle w:val="2"/>
      </w:pPr>
      <w:bookmarkStart w:id="15" w:name="_Toc222937164"/>
      <w:r>
        <w:t>Discussion</w:t>
      </w:r>
      <w:bookmarkEnd w:id="15"/>
    </w:p>
    <w:p w14:paraId="1D4228FF">
      <w:pPr>
        <w:pStyle w:val="3"/>
        <w:spacing w:line="360" w:lineRule="auto"/>
      </w:pPr>
      <w:bookmarkStart w:id="16" w:name="_Toc222937165"/>
      <w:r>
        <w:t>Placement Stability as a Statutory and Moral Imperative in the UK</w:t>
      </w:r>
      <w:bookmarkEnd w:id="16"/>
    </w:p>
    <w:p w14:paraId="0E2B83B9">
      <w:pPr>
        <w:pStyle w:val="12"/>
        <w:spacing w:before="240" w:beforeAutospacing="0" w:after="240" w:afterAutospacing="0" w:line="360" w:lineRule="auto"/>
        <w:ind w:firstLine="720"/>
        <w:rPr>
          <w:rFonts w:ascii="Arial" w:hAnsi="Arial" w:cs="Arial"/>
          <w:sz w:val="22"/>
          <w:szCs w:val="22"/>
        </w:rPr>
      </w:pPr>
      <w:r>
        <w:rPr>
          <w:rFonts w:ascii="Arial" w:hAnsi="Arial" w:cs="Arial"/>
          <w:color w:val="000000"/>
          <w:sz w:val="22"/>
          <w:szCs w:val="22"/>
        </w:rPr>
        <w:t>The UK 1989 Children Act recognizes permanence as a statutory expectation. As DCSF (2006) asserts, the law requires every child to be afforded a sense of security, identity, continuity, and commitment. Children need stable, loving, and secure foundations from their family to thrive well into adulthood. Unfortunately, due to placement stability, fostare care children miss out on this front. Sinclair et al. (2007) believe that permanence manifests as having a family for life. For Schofield et al. (2012), permanence offers CLAs a sense of belonging, connectednenss, and identity. However, unplanned moves offset such social foundations. In essence, placement stability fundamentally denotes a CLA’s ability to maintain the same caregiver over an extended period. If children lack a reasonable level of continuity, permanence simply transforms into rhetoric instead of one’s lived experience.</w:t>
      </w:r>
    </w:p>
    <w:p w14:paraId="366915D1">
      <w:pPr>
        <w:pStyle w:val="3"/>
        <w:spacing w:line="360" w:lineRule="auto"/>
      </w:pPr>
      <w:bookmarkStart w:id="17" w:name="_Toc222937166"/>
      <w:r>
        <w:t>Dynamic Over Static Predictors: Reframing the UK Debate</w:t>
      </w:r>
      <w:bookmarkEnd w:id="17"/>
    </w:p>
    <w:p w14:paraId="7876C2F2">
      <w:pPr>
        <w:pStyle w:val="12"/>
        <w:spacing w:before="240" w:beforeAutospacing="0" w:after="240" w:afterAutospacing="0" w:line="360" w:lineRule="auto"/>
        <w:rPr>
          <w:rFonts w:ascii="Arial" w:hAnsi="Arial" w:cs="Arial"/>
          <w:sz w:val="22"/>
          <w:szCs w:val="22"/>
        </w:rPr>
      </w:pPr>
      <w:r>
        <w:rPr>
          <w:rStyle w:val="22"/>
          <w:rFonts w:ascii="Arial" w:hAnsi="Arial" w:cs="Arial" w:eastAsiaTheme="majorEastAsia"/>
          <w:sz w:val="22"/>
          <w:szCs w:val="22"/>
        </w:rPr>
        <w:tab/>
      </w:r>
      <w:r>
        <w:rPr>
          <w:rFonts w:ascii="Arial" w:hAnsi="Arial" w:cs="Arial"/>
          <w:color w:val="000000"/>
          <w:sz w:val="22"/>
          <w:szCs w:val="22"/>
        </w:rPr>
        <w:t>Though Rock et al. (2015) published their report more than a decade ago, their conclusions are still relevant today. The findings of the current scoping review reiterate the fact that age, underlying mental health issues, kinship, quality of social care, and boundaries among caregivers are the primary predictors of CLA placements. Nonetheless, it is critical to classify the predictors as either dynamic or static (Riemersma et al., 2023). Components such as the caregiver’s competence and staff turnover substantially affect placement outcomes. The findings are very relevant in the current UK environment. According to Hood et al. (2024), the median age of foster care children has significantly increased. The same applies to the complexity of their needs. As Farmer et al. (2004) predicted before, the trend exacerbates the implications of CLAs’ behavioural issues. As a result it significantly influences the risks of placement breakdown.</w:t>
      </w:r>
    </w:p>
    <w:p w14:paraId="7F21BDD0">
      <w:pPr>
        <w:pStyle w:val="12"/>
        <w:spacing w:before="240" w:beforeAutospacing="0" w:after="240" w:afterAutospacing="0" w:line="360" w:lineRule="auto"/>
        <w:rPr>
          <w:rFonts w:ascii="Arial" w:hAnsi="Arial" w:cs="Arial"/>
          <w:sz w:val="22"/>
          <w:szCs w:val="22"/>
        </w:rPr>
      </w:pPr>
      <w:r>
        <w:rPr>
          <w:rStyle w:val="22"/>
          <w:rFonts w:ascii="Arial" w:hAnsi="Arial" w:cs="Arial" w:eastAsiaTheme="majorEastAsia"/>
          <w:sz w:val="22"/>
          <w:szCs w:val="22"/>
        </w:rPr>
        <w:tab/>
      </w:r>
      <w:r>
        <w:rPr>
          <w:rFonts w:ascii="Arial" w:hAnsi="Arial" w:cs="Arial"/>
          <w:color w:val="000000"/>
          <w:sz w:val="22"/>
          <w:szCs w:val="22"/>
        </w:rPr>
        <w:t>With nearly half of placement instability being connected to psychologically challenges CLA, The findings further emphasized the role a child’s needs on their outcomes. Hood et al. (2025) opined that the complexity of one’s needs shape their experiences inside the UK child services system. Moreover, the connection between unfulfilled psychological health needs and placement instability contributes to long-term effects. According to Brown and bednar (2006), unplanned moves tend to intensify and contribute to greater challenges in each subsequent placement. Therefore, the results critically address the research question focusing on the long-term effects of CLA placement in UK’s foster care. More specifically, instability does not simply manifest as an administrative challenge. Instead, it contributes to additional risks that also increase exponentially over time.    </w:t>
      </w:r>
    </w:p>
    <w:p w14:paraId="4C7BD729">
      <w:pPr>
        <w:pStyle w:val="3"/>
        <w:spacing w:line="360" w:lineRule="auto"/>
      </w:pPr>
      <w:bookmarkStart w:id="18" w:name="_Toc222937167"/>
      <w:r>
        <w:t>Systemic Strain and Professional Practice</w:t>
      </w:r>
      <w:bookmarkEnd w:id="18"/>
    </w:p>
    <w:p w14:paraId="45FA30D0">
      <w:pPr>
        <w:pStyle w:val="12"/>
        <w:spacing w:before="240" w:beforeAutospacing="0" w:after="240" w:afterAutospacing="0" w:line="360" w:lineRule="auto"/>
        <w:ind w:firstLine="720"/>
        <w:rPr>
          <w:rFonts w:ascii="Arial" w:hAnsi="Arial" w:cs="Arial"/>
          <w:sz w:val="22"/>
          <w:szCs w:val="22"/>
        </w:rPr>
      </w:pPr>
      <w:r>
        <w:rPr>
          <w:rFonts w:ascii="Arial" w:hAnsi="Arial" w:cs="Arial"/>
          <w:color w:val="000000"/>
          <w:sz w:val="22"/>
          <w:szCs w:val="22"/>
        </w:rPr>
        <w:t>Based on the findings, support systems can make or break the succes of any CLA. Moreover, caseworkers have to provide caregivers with sufficient assistance. An involved caseworker ultimately shapes the CLA’s outcomes in the UK child services system. Caseworkers have to content with structural challenges within the system in their bid to offer assistance. As a result, the Department for Education (2024) is still finding it difficult to hire and retain social service provides. According to LGA (2024), the department still had to gut more than £24 billion from its annual budget. Such levels of organizational instability mean than CLAs often have to work with new caseworkers. It is no wonder that placement breakdown intensifies in the current UK context.</w:t>
      </w:r>
    </w:p>
    <w:p w14:paraId="782DF3CE">
      <w:pPr>
        <w:pStyle w:val="3"/>
        <w:spacing w:line="360" w:lineRule="auto"/>
      </w:pPr>
      <w:bookmarkStart w:id="19" w:name="_Toc222937168"/>
      <w:r>
        <w:t>Health and Social Care Implications</w:t>
      </w:r>
      <w:bookmarkEnd w:id="19"/>
    </w:p>
    <w:p w14:paraId="15EF1ABA">
      <w:pPr>
        <w:pStyle w:val="12"/>
        <w:spacing w:before="0" w:beforeAutospacing="0" w:after="0" w:afterAutospacing="0" w:line="360" w:lineRule="auto"/>
        <w:rPr>
          <w:rFonts w:ascii="Arial" w:hAnsi="Arial" w:cs="Arial"/>
          <w:sz w:val="22"/>
          <w:szCs w:val="22"/>
        </w:rPr>
      </w:pPr>
      <w:r>
        <w:rPr>
          <w:rStyle w:val="22"/>
          <w:rFonts w:ascii="Arial" w:hAnsi="Arial" w:cs="Arial" w:eastAsiaTheme="majorEastAsia"/>
          <w:sz w:val="22"/>
          <w:szCs w:val="22"/>
        </w:rPr>
        <w:tab/>
      </w:r>
      <w:r>
        <w:rPr>
          <w:rFonts w:ascii="Arial" w:hAnsi="Arial" w:cs="Arial"/>
          <w:color w:val="000000"/>
          <w:sz w:val="22"/>
          <w:szCs w:val="22"/>
        </w:rPr>
        <w:t>The findings provide some insightful feedback that health and social care workers can leverage. According to McGrath-Lone et al. (2020), instability among CLAs culminates in a surge in mental challenges. Most of them are likely to self-harm of perform poorly in their academics. Bergman et al. (2025) echo Akister et al.’s (2010) sentiments that placement breakdown has negative outcomes. Therefore, unplanned moves are a public health concern that does not simply affect the social care sector. Additionally, these moves impede continuity. Asif et al. (2024) warn that a strained child services system utlimately increase the number of unplanned moves. When children are exposed to negative power dynamics in residential contexts, their growth and stability is no longer a given. The Child Safeguarding Practice Review Panel (2022) cautions against organizational loopholes or weaknesses. According to the report, special needs CLAs are exposed to the most harm under such contexts. Thus, stability becomed inseparable from safeguarding and long-term well-being.</w:t>
      </w:r>
    </w:p>
    <w:p w14:paraId="10E112D6">
      <w:pPr>
        <w:pStyle w:val="3"/>
        <w:spacing w:line="360" w:lineRule="auto"/>
      </w:pPr>
      <w:bookmarkStart w:id="20" w:name="_Toc222937169"/>
      <w:r>
        <w:t>Limitations of the Review</w:t>
      </w:r>
      <w:bookmarkEnd w:id="20"/>
    </w:p>
    <w:p w14:paraId="259C573D">
      <w:pPr>
        <w:pStyle w:val="12"/>
        <w:spacing w:before="240" w:beforeAutospacing="0" w:after="240" w:afterAutospacing="0" w:line="360" w:lineRule="auto"/>
        <w:rPr>
          <w:rFonts w:ascii="Arial" w:hAnsi="Arial" w:cs="Arial"/>
          <w:sz w:val="22"/>
          <w:szCs w:val="22"/>
        </w:rPr>
      </w:pPr>
      <w:r>
        <w:rPr>
          <w:rStyle w:val="22"/>
          <w:rFonts w:ascii="Arial" w:hAnsi="Arial" w:cs="Arial" w:eastAsiaTheme="majorEastAsia"/>
          <w:sz w:val="22"/>
          <w:szCs w:val="22"/>
        </w:rPr>
        <w:tab/>
      </w:r>
      <w:r>
        <w:rPr>
          <w:rFonts w:ascii="Arial" w:hAnsi="Arial" w:cs="Arial"/>
          <w:color w:val="000000"/>
          <w:sz w:val="22"/>
          <w:szCs w:val="22"/>
        </w:rPr>
        <w:t>Despite leveraging PRISMA-ScR as part of the scoping review of UK resources, limitations abound. There was an absence of longitudinal research in this area, even after expanding the year of publication to as early as 2000. Therefore, the thematic depth is not necessarily comprehenisve. More importantly, since the research only focused on the UK, the findings are not generalizable to other countries, especially those outside Europe.  </w:t>
      </w:r>
    </w:p>
    <w:p w14:paraId="6494CAF4">
      <w:pPr>
        <w:spacing w:line="360" w:lineRule="auto"/>
        <w:rPr>
          <w:rFonts w:ascii="Arial" w:hAnsi="Arial" w:cs="Arial" w:eastAsiaTheme="majorEastAsia"/>
          <w:b/>
          <w:sz w:val="22"/>
        </w:rPr>
      </w:pPr>
      <w:r>
        <w:rPr>
          <w:rFonts w:ascii="Arial" w:hAnsi="Arial" w:cs="Arial"/>
          <w:sz w:val="22"/>
        </w:rPr>
        <w:br w:type="page"/>
      </w:r>
    </w:p>
    <w:p w14:paraId="79CB7B2D">
      <w:pPr>
        <w:pStyle w:val="2"/>
      </w:pPr>
      <w:bookmarkStart w:id="21" w:name="_Toc222937170"/>
      <w:r>
        <w:t>Conclusion and Recommendations</w:t>
      </w:r>
      <w:bookmarkEnd w:id="21"/>
    </w:p>
    <w:p w14:paraId="0E415A26">
      <w:pPr>
        <w:pStyle w:val="3"/>
        <w:spacing w:line="360" w:lineRule="auto"/>
      </w:pPr>
      <w:bookmarkStart w:id="22" w:name="_Toc222937171"/>
      <w:r>
        <w:t>Conclusion</w:t>
      </w:r>
      <w:bookmarkEnd w:id="22"/>
    </w:p>
    <w:p w14:paraId="7C2C0D63">
      <w:pPr>
        <w:pStyle w:val="12"/>
        <w:spacing w:before="240" w:beforeAutospacing="0" w:after="240" w:afterAutospacing="0" w:line="360" w:lineRule="auto"/>
        <w:rPr>
          <w:rFonts w:ascii="Arial" w:hAnsi="Arial" w:cs="Arial"/>
          <w:sz w:val="22"/>
          <w:szCs w:val="22"/>
        </w:rPr>
      </w:pPr>
      <w:r>
        <w:rPr>
          <w:rStyle w:val="22"/>
          <w:rFonts w:ascii="Arial" w:hAnsi="Arial" w:cs="Arial" w:eastAsiaTheme="majorEastAsia"/>
          <w:sz w:val="22"/>
          <w:szCs w:val="22"/>
        </w:rPr>
        <w:tab/>
      </w:r>
      <w:r>
        <w:rPr>
          <w:rFonts w:ascii="Arial" w:hAnsi="Arial" w:cs="Arial"/>
          <w:color w:val="000000"/>
          <w:sz w:val="22"/>
          <w:szCs w:val="22"/>
        </w:rPr>
        <w:t>The review concludes that placement in the UK is dependent on interconnected variables. The main factors include the child, birth family, the foster caregiver, and institution-level contributors. Emotional and behavioral needs are some of the greatest predictors. With many of the CLAs having disgnosable mental health disorders, caregiver skills or capacity is crucial to placement stability. More specifically, the relationship between the the CLA and the new caregiver has a greater impact on outcomes than any of their distinct attributes. Systemic pressures also introuduce unnecasry risks. As funds continue to dwindle in the backdrop of rising staff turnover, the risks are becoming unsummountable. In the end, permanence, or the sense of security, continuity, commitment and identity, cannot be achieved without structural reform.</w:t>
      </w:r>
    </w:p>
    <w:p w14:paraId="364D7618">
      <w:pPr>
        <w:pStyle w:val="12"/>
        <w:spacing w:before="240" w:beforeAutospacing="0" w:after="240" w:afterAutospacing="0" w:line="360" w:lineRule="auto"/>
        <w:ind w:firstLine="720"/>
        <w:rPr>
          <w:rFonts w:ascii="Arial" w:hAnsi="Arial" w:cs="Arial"/>
          <w:sz w:val="22"/>
          <w:szCs w:val="22"/>
        </w:rPr>
      </w:pPr>
      <w:r>
        <w:rPr>
          <w:rFonts w:ascii="Arial" w:hAnsi="Arial" w:cs="Arial"/>
          <w:color w:val="000000"/>
          <w:sz w:val="22"/>
          <w:szCs w:val="22"/>
        </w:rPr>
        <w:t>.’</w:t>
      </w:r>
    </w:p>
    <w:p w14:paraId="5C76528F">
      <w:pPr>
        <w:tabs>
          <w:tab w:val="left" w:pos="6540"/>
        </w:tabs>
        <w:spacing w:line="360" w:lineRule="auto"/>
        <w:rPr>
          <w:rFonts w:ascii="Arial" w:hAnsi="Arial" w:cs="Arial"/>
          <w:sz w:val="22"/>
        </w:rPr>
      </w:pPr>
    </w:p>
    <w:p w14:paraId="18999130">
      <w:pPr>
        <w:rPr>
          <w:rFonts w:ascii="Arial" w:hAnsi="Arial" w:cs="Arial" w:eastAsiaTheme="majorEastAsia"/>
          <w:b/>
          <w:sz w:val="28"/>
        </w:rPr>
      </w:pPr>
      <w:r>
        <w:rPr>
          <w:rFonts w:ascii="Arial" w:hAnsi="Arial" w:cs="Arial"/>
        </w:rPr>
        <w:br w:type="page"/>
      </w:r>
    </w:p>
    <w:p w14:paraId="33F8F0BD">
      <w:pPr>
        <w:pStyle w:val="2"/>
      </w:pPr>
      <w:bookmarkStart w:id="23" w:name="_Toc222937173"/>
      <w:r>
        <w:t>References</w:t>
      </w:r>
      <w:bookmarkEnd w:id="23"/>
    </w:p>
    <w:p w14:paraId="6F1CBB9A">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Arad-Davidzon, B. and Benbenishty, R., 2008. The role of workers' attitudes and parent and child wishes in child protection workers' assessments and recommendation regarding removal and reunification. </w:t>
      </w:r>
      <w:r>
        <w:rPr>
          <w:rFonts w:ascii="Arial" w:hAnsi="Arial" w:cs="Arial"/>
          <w:i/>
          <w:iCs/>
          <w:color w:val="222222"/>
          <w:sz w:val="22"/>
          <w:szCs w:val="22"/>
          <w:shd w:val="clear" w:color="auto" w:fill="FFFFFF"/>
        </w:rPr>
        <w:t>Children and Youth Services Review</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30</w:t>
      </w:r>
      <w:r>
        <w:rPr>
          <w:rFonts w:ascii="Arial" w:hAnsi="Arial" w:cs="Arial"/>
          <w:color w:val="222222"/>
          <w:sz w:val="22"/>
          <w:szCs w:val="22"/>
          <w:shd w:val="clear" w:color="auto" w:fill="FFFFFF"/>
        </w:rPr>
        <w:t>(1), pp.107-121.</w:t>
      </w:r>
    </w:p>
    <w:p w14:paraId="3C55E3AE">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Akister, J., Owens, M. and Goodyer, I.M. (2010) ‘Children and young people in care: Mental health and service use’, Clinical Child Psychology and Psychiatry, 15(3), pp. 415–429.</w:t>
      </w:r>
    </w:p>
    <w:p w14:paraId="460C50DE">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Beckett, C., Maughan, B., Rutter, M., Castle, J., Colvert, E., Groothues, C., Hawkins, A., Kreppner, J., O’Connor, T.G., Stevens, S. and Sonuga-Barke, E.J., 2007. Scholastic attainment following severe early institutional deprivation: A study of children adopted from Romania. </w:t>
      </w:r>
      <w:r>
        <w:rPr>
          <w:rFonts w:ascii="Arial" w:hAnsi="Arial" w:cs="Arial"/>
          <w:i/>
          <w:iCs/>
          <w:color w:val="222222"/>
          <w:sz w:val="22"/>
          <w:szCs w:val="22"/>
          <w:shd w:val="clear" w:color="auto" w:fill="FFFFFF"/>
        </w:rPr>
        <w:t>Journal of abnormal child psychology</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35</w:t>
      </w:r>
      <w:r>
        <w:rPr>
          <w:rFonts w:ascii="Arial" w:hAnsi="Arial" w:cs="Arial"/>
          <w:color w:val="222222"/>
          <w:sz w:val="22"/>
          <w:szCs w:val="22"/>
          <w:shd w:val="clear" w:color="auto" w:fill="FFFFFF"/>
        </w:rPr>
        <w:t>(6), pp.1063-1073.</w:t>
      </w:r>
    </w:p>
    <w:p w14:paraId="61873980">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Bergman, A-S., Bask, M., Engwall, K. and Järkestig Berggren, U. (2025) ‘Factors associated with stability for children in family foster care: A study of case files in six municipalities in Sweden’, Child &amp; Family Social Work, 30(3), pp. 377–386. Available at: https://doi.org/10.1111/cfs.13176</w:t>
      </w:r>
    </w:p>
    <w:p w14:paraId="1BB5D013">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Buehler, C., Cox, M.E. and Cuddeback, G., 2003. Foster parents’ perceptions of factors that promote or inhibit successful fostering. </w:t>
      </w:r>
      <w:r>
        <w:rPr>
          <w:rFonts w:ascii="Arial" w:hAnsi="Arial" w:cs="Arial"/>
          <w:i/>
          <w:iCs/>
          <w:color w:val="222222"/>
          <w:sz w:val="22"/>
          <w:szCs w:val="22"/>
          <w:shd w:val="clear" w:color="auto" w:fill="FFFFFF"/>
        </w:rPr>
        <w:t>Qualitative Social Work</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2</w:t>
      </w:r>
      <w:r>
        <w:rPr>
          <w:rFonts w:ascii="Arial" w:hAnsi="Arial" w:cs="Arial"/>
          <w:color w:val="222222"/>
          <w:sz w:val="22"/>
          <w:szCs w:val="22"/>
          <w:shd w:val="clear" w:color="auto" w:fill="FFFFFF"/>
        </w:rPr>
        <w:t>(1), pp.61-83.</w:t>
      </w:r>
    </w:p>
    <w:p w14:paraId="28FC23F3">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Braun, V. and Clarke, V., 2006. Using thematic analysis in psychology. </w:t>
      </w:r>
      <w:r>
        <w:rPr>
          <w:rFonts w:ascii="Arial" w:hAnsi="Arial" w:cs="Arial"/>
          <w:i/>
          <w:iCs/>
          <w:color w:val="222222"/>
          <w:sz w:val="22"/>
          <w:szCs w:val="22"/>
          <w:shd w:val="clear" w:color="auto" w:fill="FFFFFF"/>
        </w:rPr>
        <w:t>Qualitative research in psychology</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3</w:t>
      </w:r>
      <w:r>
        <w:rPr>
          <w:rFonts w:ascii="Arial" w:hAnsi="Arial" w:cs="Arial"/>
          <w:color w:val="222222"/>
          <w:sz w:val="22"/>
          <w:szCs w:val="22"/>
          <w:shd w:val="clear" w:color="auto" w:fill="FFFFFF"/>
        </w:rPr>
        <w:t>(2), pp.77-101.</w:t>
      </w:r>
    </w:p>
    <w:p w14:paraId="6BFBD9D9">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Brown, J. and Colder, P., 2000. Concept mapping the needs of foster parents. </w:t>
      </w:r>
      <w:r>
        <w:rPr>
          <w:rFonts w:ascii="Arial" w:hAnsi="Arial" w:cs="Arial"/>
          <w:i/>
          <w:iCs/>
          <w:color w:val="222222"/>
          <w:sz w:val="22"/>
          <w:szCs w:val="22"/>
          <w:shd w:val="clear" w:color="auto" w:fill="FFFFFF"/>
        </w:rPr>
        <w:t>Child Welfare</w:t>
      </w:r>
      <w:r>
        <w:rPr>
          <w:rFonts w:ascii="Arial" w:hAnsi="Arial" w:cs="Arial"/>
          <w:color w:val="222222"/>
          <w:sz w:val="22"/>
          <w:szCs w:val="22"/>
          <w:shd w:val="clear" w:color="auto" w:fill="FFFFFF"/>
        </w:rPr>
        <w:t>, pp.729-746.</w:t>
      </w:r>
    </w:p>
    <w:p w14:paraId="37E138FE">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Brown, J.D. and Bednar, L.M., 2006. Foster parent perceptions of placement breakdown. </w:t>
      </w:r>
      <w:r>
        <w:rPr>
          <w:rFonts w:ascii="Arial" w:hAnsi="Arial" w:cs="Arial"/>
          <w:i/>
          <w:iCs/>
          <w:color w:val="222222"/>
          <w:sz w:val="22"/>
          <w:szCs w:val="22"/>
          <w:shd w:val="clear" w:color="auto" w:fill="FFFFFF"/>
        </w:rPr>
        <w:t>Children and Youth Services Review</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28</w:t>
      </w:r>
      <w:r>
        <w:rPr>
          <w:rFonts w:ascii="Arial" w:hAnsi="Arial" w:cs="Arial"/>
          <w:color w:val="222222"/>
          <w:sz w:val="22"/>
          <w:szCs w:val="22"/>
          <w:shd w:val="clear" w:color="auto" w:fill="FFFFFF"/>
        </w:rPr>
        <w:t>(12), pp.1497-1511.</w:t>
      </w:r>
    </w:p>
    <w:p w14:paraId="565435F9">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Child Safeguarding Practice Review Panel, 2022. Safeguarding Children with Disabilities and Complex Health Needs in Residential Settings: Phase 1 Report.</w:t>
      </w:r>
    </w:p>
    <w:p w14:paraId="77A77928">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Department for Education, 2024. Keeping Children Safe, Helping Families to Thrive: Breaking Down Barriers to Opportunity.</w:t>
      </w:r>
    </w:p>
    <w:p w14:paraId="6EDFDC5A">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Department for Education (2023) Children looked after in England including adoption: 2022 to 2023. Available at: https://explore-education-statistics.service.gov.uk/find-statistics/children-looked-after-in-england-including-adoptions/2023 (Accessed: 22 February 2026).</w:t>
      </w:r>
    </w:p>
    <w:p w14:paraId="1D156D65">
      <w:pPr>
        <w:spacing w:line="360" w:lineRule="auto"/>
        <w:ind w:left="720" w:hanging="720"/>
        <w:rPr>
          <w:rFonts w:ascii="Arial" w:hAnsi="Arial" w:cs="Arial"/>
          <w:sz w:val="22"/>
        </w:rPr>
      </w:pPr>
    </w:p>
    <w:p w14:paraId="5A12898A">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Egelund, T. and Vitus, K., 2009. Breakdown of care: the case of Danish teenage placements. </w:t>
      </w:r>
      <w:r>
        <w:rPr>
          <w:rFonts w:ascii="Arial" w:hAnsi="Arial" w:cs="Arial"/>
          <w:i/>
          <w:iCs/>
          <w:color w:val="222222"/>
          <w:sz w:val="22"/>
          <w:szCs w:val="22"/>
          <w:shd w:val="clear" w:color="auto" w:fill="FFFFFF"/>
        </w:rPr>
        <w:t>International Journal of Social Welfare</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18</w:t>
      </w:r>
      <w:r>
        <w:rPr>
          <w:rFonts w:ascii="Arial" w:hAnsi="Arial" w:cs="Arial"/>
          <w:color w:val="222222"/>
          <w:sz w:val="22"/>
          <w:szCs w:val="22"/>
          <w:shd w:val="clear" w:color="auto" w:fill="FFFFFF"/>
        </w:rPr>
        <w:t>(1), pp.45-56.</w:t>
      </w:r>
    </w:p>
    <w:p w14:paraId="143368C6">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Farmer, E., Moyers, S. and Lipscombe, J., 2004. </w:t>
      </w:r>
      <w:r>
        <w:rPr>
          <w:rFonts w:ascii="Arial" w:hAnsi="Arial" w:cs="Arial"/>
          <w:i/>
          <w:iCs/>
          <w:color w:val="222222"/>
          <w:sz w:val="22"/>
          <w:szCs w:val="22"/>
          <w:shd w:val="clear" w:color="auto" w:fill="FFFFFF"/>
        </w:rPr>
        <w:t>Fostering adolescents</w:t>
      </w:r>
      <w:r>
        <w:rPr>
          <w:rFonts w:ascii="Arial" w:hAnsi="Arial" w:cs="Arial"/>
          <w:color w:val="222222"/>
          <w:sz w:val="22"/>
          <w:szCs w:val="22"/>
          <w:shd w:val="clear" w:color="auto" w:fill="FFFFFF"/>
        </w:rPr>
        <w:t>. Jessica Kingsley Publishers.</w:t>
      </w:r>
    </w:p>
    <w:p w14:paraId="13472E27">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Great Britain. Department for Education, 2006. </w:t>
      </w:r>
      <w:r>
        <w:rPr>
          <w:rFonts w:ascii="Arial" w:hAnsi="Arial" w:cs="Arial"/>
          <w:i/>
          <w:iCs/>
          <w:color w:val="222222"/>
          <w:sz w:val="22"/>
          <w:szCs w:val="22"/>
          <w:shd w:val="clear" w:color="auto" w:fill="FFFFFF"/>
        </w:rPr>
        <w:t>Working together to safeguard children: A guide to inter-agency working to safeguard and promote the welfare of children</w:t>
      </w:r>
      <w:r>
        <w:rPr>
          <w:rFonts w:ascii="Arial" w:hAnsi="Arial" w:cs="Arial"/>
          <w:color w:val="222222"/>
          <w:sz w:val="22"/>
          <w:szCs w:val="22"/>
          <w:shd w:val="clear" w:color="auto" w:fill="FFFFFF"/>
        </w:rPr>
        <w:t>. The Stationery Office.</w:t>
      </w:r>
    </w:p>
    <w:p w14:paraId="2CC246D1">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Hackett, S. and Taylor, A., 2013. Decision making in social work with children and families: The use of experiential and analytical cognitive processes. </w:t>
      </w:r>
      <w:r>
        <w:rPr>
          <w:rFonts w:ascii="Arial" w:hAnsi="Arial" w:cs="Arial"/>
          <w:i/>
          <w:iCs/>
          <w:color w:val="222222"/>
          <w:sz w:val="22"/>
          <w:szCs w:val="22"/>
          <w:shd w:val="clear" w:color="auto" w:fill="FFFFFF"/>
        </w:rPr>
        <w:t>The British Journal of Social Work</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44</w:t>
      </w:r>
      <w:r>
        <w:rPr>
          <w:rFonts w:ascii="Arial" w:hAnsi="Arial" w:cs="Arial"/>
          <w:color w:val="222222"/>
          <w:sz w:val="22"/>
          <w:szCs w:val="22"/>
          <w:shd w:val="clear" w:color="auto" w:fill="FFFFFF"/>
        </w:rPr>
        <w:t>(8), pp.2182-2199.</w:t>
      </w:r>
    </w:p>
    <w:p w14:paraId="34237FB1">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Hughes, J. and Chau, S., 2013. Making complex decisions: Child protection workers' practices and interventions with families experiencing intimate partner violence. </w:t>
      </w:r>
      <w:r>
        <w:rPr>
          <w:rFonts w:ascii="Arial" w:hAnsi="Arial" w:cs="Arial"/>
          <w:i/>
          <w:iCs/>
          <w:color w:val="222222"/>
          <w:sz w:val="22"/>
          <w:szCs w:val="22"/>
          <w:shd w:val="clear" w:color="auto" w:fill="FFFFFF"/>
        </w:rPr>
        <w:t>Children and Youth Services Review</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35</w:t>
      </w:r>
      <w:r>
        <w:rPr>
          <w:rFonts w:ascii="Arial" w:hAnsi="Arial" w:cs="Arial"/>
          <w:color w:val="222222"/>
          <w:sz w:val="22"/>
          <w:szCs w:val="22"/>
          <w:shd w:val="clear" w:color="auto" w:fill="FFFFFF"/>
        </w:rPr>
        <w:t>(4), pp.611-617.</w:t>
      </w:r>
    </w:p>
    <w:p w14:paraId="50E672E1">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Hughes, R., 2024. Autumn Budget and Spending Review Submission 2024.</w:t>
      </w:r>
    </w:p>
    <w:p w14:paraId="33D209D1">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Höjer, S. and Forkby, T., 2011. Care for sale: The influence of new public management in child protection in Sweden. </w:t>
      </w:r>
      <w:r>
        <w:rPr>
          <w:rFonts w:ascii="Arial" w:hAnsi="Arial" w:cs="Arial"/>
          <w:i/>
          <w:iCs/>
          <w:color w:val="222222"/>
          <w:sz w:val="22"/>
          <w:szCs w:val="22"/>
          <w:shd w:val="clear" w:color="auto" w:fill="FFFFFF"/>
        </w:rPr>
        <w:t>British Journal of Social Work</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41</w:t>
      </w:r>
      <w:r>
        <w:rPr>
          <w:rFonts w:ascii="Arial" w:hAnsi="Arial" w:cs="Arial"/>
          <w:color w:val="222222"/>
          <w:sz w:val="22"/>
          <w:szCs w:val="22"/>
          <w:shd w:val="clear" w:color="auto" w:fill="FFFFFF"/>
        </w:rPr>
        <w:t>(1), pp.93-110.</w:t>
      </w:r>
    </w:p>
    <w:p w14:paraId="1BCF55DE">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Helton, J.J., Schreiber, J.C., Wiley, J. and Schweitzer, R., 2018. Finding a routine that works: A mixed methods study of foster parents. </w:t>
      </w:r>
      <w:r>
        <w:rPr>
          <w:rFonts w:ascii="Arial" w:hAnsi="Arial" w:cs="Arial"/>
          <w:i/>
          <w:iCs/>
          <w:color w:val="222222"/>
          <w:sz w:val="22"/>
          <w:szCs w:val="22"/>
          <w:shd w:val="clear" w:color="auto" w:fill="FFFFFF"/>
        </w:rPr>
        <w:t>Child &amp; Family Social Work</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23</w:t>
      </w:r>
      <w:r>
        <w:rPr>
          <w:rFonts w:ascii="Arial" w:hAnsi="Arial" w:cs="Arial"/>
          <w:color w:val="222222"/>
          <w:sz w:val="22"/>
          <w:szCs w:val="22"/>
          <w:shd w:val="clear" w:color="auto" w:fill="FFFFFF"/>
        </w:rPr>
        <w:t>(2), pp.248-255.</w:t>
      </w:r>
    </w:p>
    <w:p w14:paraId="7C1DEF4D">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Hedin, L., Höjer, I. and Brunnberg, E., 2011. Why one goes to school: What school means to young people entering foster care. </w:t>
      </w:r>
      <w:r>
        <w:rPr>
          <w:rFonts w:ascii="Arial" w:hAnsi="Arial" w:cs="Arial"/>
          <w:i/>
          <w:iCs/>
          <w:color w:val="222222"/>
          <w:sz w:val="22"/>
          <w:szCs w:val="22"/>
          <w:shd w:val="clear" w:color="auto" w:fill="FFFFFF"/>
        </w:rPr>
        <w:t>Child &amp; Family Social Work</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16</w:t>
      </w:r>
      <w:r>
        <w:rPr>
          <w:rFonts w:ascii="Arial" w:hAnsi="Arial" w:cs="Arial"/>
          <w:color w:val="222222"/>
          <w:sz w:val="22"/>
          <w:szCs w:val="22"/>
          <w:shd w:val="clear" w:color="auto" w:fill="FFFFFF"/>
        </w:rPr>
        <w:t>(1), pp.43-51.</w:t>
      </w:r>
    </w:p>
    <w:p w14:paraId="23724C05">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Hedin, L., 2014. A sense of belonging in a changeable everyday life–a follow</w:t>
      </w:r>
      <w:r>
        <w:rPr>
          <w:rFonts w:ascii="Cambria Math" w:hAnsi="Cambria Math" w:cs="Cambria Math"/>
          <w:color w:val="222222"/>
          <w:sz w:val="22"/>
          <w:szCs w:val="22"/>
          <w:shd w:val="clear" w:color="auto" w:fill="FFFFFF"/>
        </w:rPr>
        <w:t>‐</w:t>
      </w:r>
      <w:r>
        <w:rPr>
          <w:rFonts w:ascii="Arial" w:hAnsi="Arial" w:cs="Arial"/>
          <w:color w:val="222222"/>
          <w:sz w:val="22"/>
          <w:szCs w:val="22"/>
          <w:shd w:val="clear" w:color="auto" w:fill="FFFFFF"/>
        </w:rPr>
        <w:t xml:space="preserve">up study of young people in kinship, network, and traditional foster families. </w:t>
      </w:r>
      <w:r>
        <w:rPr>
          <w:rFonts w:ascii="Arial" w:hAnsi="Arial" w:cs="Arial"/>
          <w:i/>
          <w:iCs/>
          <w:color w:val="222222"/>
          <w:sz w:val="22"/>
          <w:szCs w:val="22"/>
          <w:shd w:val="clear" w:color="auto" w:fill="FFFFFF"/>
        </w:rPr>
        <w:t>Child &amp; Family Social Work</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19</w:t>
      </w:r>
      <w:r>
        <w:rPr>
          <w:rFonts w:ascii="Arial" w:hAnsi="Arial" w:cs="Arial"/>
          <w:color w:val="222222"/>
          <w:sz w:val="22"/>
          <w:szCs w:val="22"/>
          <w:shd w:val="clear" w:color="auto" w:fill="FFFFFF"/>
        </w:rPr>
        <w:t>(2), pp.165-173.</w:t>
      </w:r>
    </w:p>
    <w:p w14:paraId="72DB16A2">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Hood, R., Goldacre, A., Martin, E., Jones, E., Coady, C., Clements, K. and Tempest, H. (2025) ‘What factors are associated with placement instability for children in children’s homes in England? A retrospective cohort analysis using national administrative data’, </w:t>
      </w:r>
      <w:r>
        <w:rPr>
          <w:rFonts w:ascii="Arial" w:hAnsi="Arial" w:cs="Arial"/>
          <w:i/>
          <w:iCs/>
          <w:color w:val="222222"/>
          <w:sz w:val="22"/>
          <w:szCs w:val="22"/>
          <w:shd w:val="clear" w:color="auto" w:fill="FFFFFF"/>
        </w:rPr>
        <w:t>The British Journal of Social Work</w:t>
      </w:r>
      <w:r>
        <w:rPr>
          <w:rFonts w:ascii="Arial" w:hAnsi="Arial" w:cs="Arial"/>
          <w:color w:val="222222"/>
          <w:sz w:val="22"/>
          <w:szCs w:val="22"/>
          <w:shd w:val="clear" w:color="auto" w:fill="FFFFFF"/>
        </w:rPr>
        <w:t>, bcaf236. Available at:</w:t>
      </w:r>
      <w:r>
        <w:fldChar w:fldCharType="begin"/>
      </w:r>
      <w:r>
        <w:instrText xml:space="preserve"> HYPERLINK "https://doi.org/10.1093/bjsw/bcaf236" </w:instrText>
      </w:r>
      <w:r>
        <w:fldChar w:fldCharType="separate"/>
      </w:r>
      <w:r>
        <w:rPr>
          <w:rStyle w:val="11"/>
          <w:rFonts w:ascii="Arial" w:hAnsi="Arial" w:cs="Arial" w:eastAsiaTheme="majorEastAsia"/>
          <w:sz w:val="22"/>
          <w:szCs w:val="22"/>
          <w:shd w:val="clear" w:color="auto" w:fill="FFFFFF"/>
        </w:rPr>
        <w:t xml:space="preserve"> </w:t>
      </w:r>
      <w:r>
        <w:rPr>
          <w:rStyle w:val="11"/>
          <w:rFonts w:ascii="Arial" w:hAnsi="Arial" w:cs="Arial" w:eastAsiaTheme="majorEastAsia"/>
          <w:color w:val="1155CC"/>
          <w:sz w:val="22"/>
          <w:szCs w:val="22"/>
          <w:shd w:val="clear" w:color="auto" w:fill="FFFFFF"/>
        </w:rPr>
        <w:t>https://doi.org/10.1093/bjsw/bcaf236</w:t>
      </w:r>
      <w:r>
        <w:rPr>
          <w:rStyle w:val="11"/>
          <w:rFonts w:ascii="Arial" w:hAnsi="Arial" w:cs="Arial" w:eastAsiaTheme="majorEastAsia"/>
          <w:color w:val="1155CC"/>
          <w:sz w:val="22"/>
          <w:szCs w:val="22"/>
          <w:shd w:val="clear" w:color="auto" w:fill="FFFFFF"/>
        </w:rPr>
        <w:fldChar w:fldCharType="end"/>
      </w:r>
    </w:p>
    <w:p w14:paraId="1A6ED3F0">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w:t>
      </w:r>
    </w:p>
    <w:p w14:paraId="28C56A17">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Leathers, S.J., 2006. Placement disruption and negative placement outcomes among adolescents in long-term foster care: The role of behavior problems. </w:t>
      </w:r>
      <w:r>
        <w:rPr>
          <w:rFonts w:ascii="Arial" w:hAnsi="Arial" w:cs="Arial"/>
          <w:i/>
          <w:iCs/>
          <w:color w:val="222222"/>
          <w:sz w:val="22"/>
          <w:szCs w:val="22"/>
          <w:shd w:val="clear" w:color="auto" w:fill="FFFFFF"/>
        </w:rPr>
        <w:t>Child abuse &amp; neglect</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30</w:t>
      </w:r>
      <w:r>
        <w:rPr>
          <w:rFonts w:ascii="Arial" w:hAnsi="Arial" w:cs="Arial"/>
          <w:color w:val="222222"/>
          <w:sz w:val="22"/>
          <w:szCs w:val="22"/>
          <w:shd w:val="clear" w:color="auto" w:fill="FFFFFF"/>
        </w:rPr>
        <w:t>(3), pp.307-324.</w:t>
      </w:r>
    </w:p>
    <w:p w14:paraId="3883CE45">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Meltzer, H., Gatward, R., Corbin, T., Goodman, R. and Ford, T., 2003. The mental health of young people looked after by local authorities in England. </w:t>
      </w:r>
      <w:r>
        <w:rPr>
          <w:rFonts w:ascii="Arial" w:hAnsi="Arial" w:cs="Arial"/>
          <w:i/>
          <w:iCs/>
          <w:color w:val="222222"/>
          <w:sz w:val="22"/>
          <w:szCs w:val="22"/>
          <w:shd w:val="clear" w:color="auto" w:fill="FFFFFF"/>
        </w:rPr>
        <w:t>London: The Stationery Office</w:t>
      </w:r>
      <w:r>
        <w:rPr>
          <w:rFonts w:ascii="Arial" w:hAnsi="Arial" w:cs="Arial"/>
          <w:color w:val="222222"/>
          <w:sz w:val="22"/>
          <w:szCs w:val="22"/>
          <w:shd w:val="clear" w:color="auto" w:fill="FFFFFF"/>
        </w:rPr>
        <w:t>.</w:t>
      </w:r>
    </w:p>
    <w:p w14:paraId="338D05B5">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Mitchell, M.B., Kuczynski, L., Tubbs, C.Y. and Ross, C., 2010. We care about care: Advice by children in care for children in care, foster parents and child welfare workers about the transition into foster care. </w:t>
      </w:r>
      <w:r>
        <w:rPr>
          <w:rFonts w:ascii="Arial" w:hAnsi="Arial" w:cs="Arial"/>
          <w:i/>
          <w:iCs/>
          <w:color w:val="222222"/>
          <w:sz w:val="22"/>
          <w:szCs w:val="22"/>
          <w:shd w:val="clear" w:color="auto" w:fill="FFFFFF"/>
        </w:rPr>
        <w:t>Child &amp; Family Social Work</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15</w:t>
      </w:r>
      <w:r>
        <w:rPr>
          <w:rFonts w:ascii="Arial" w:hAnsi="Arial" w:cs="Arial"/>
          <w:color w:val="222222"/>
          <w:sz w:val="22"/>
          <w:szCs w:val="22"/>
          <w:shd w:val="clear" w:color="auto" w:fill="FFFFFF"/>
        </w:rPr>
        <w:t>(2), pp.176-185.</w:t>
      </w:r>
    </w:p>
    <w:p w14:paraId="4420C606">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Moraes, S., Durrant, J.E., Brownridge, D. and Reid, G., 2006. Professionals’ decision</w:t>
      </w:r>
      <w:r>
        <w:rPr>
          <w:rFonts w:ascii="Cambria Math" w:hAnsi="Cambria Math" w:cs="Cambria Math"/>
          <w:color w:val="222222"/>
          <w:sz w:val="22"/>
          <w:szCs w:val="22"/>
          <w:shd w:val="clear" w:color="auto" w:fill="FFFFFF"/>
        </w:rPr>
        <w:t>‐</w:t>
      </w:r>
      <w:r>
        <w:rPr>
          <w:rFonts w:ascii="Arial" w:hAnsi="Arial" w:cs="Arial"/>
          <w:color w:val="222222"/>
          <w:sz w:val="22"/>
          <w:szCs w:val="22"/>
          <w:shd w:val="clear" w:color="auto" w:fill="FFFFFF"/>
        </w:rPr>
        <w:t xml:space="preserve">making in cases of physical punishment reported to child welfare authorities: does family poverty matter?. </w:t>
      </w:r>
      <w:r>
        <w:rPr>
          <w:rFonts w:ascii="Arial" w:hAnsi="Arial" w:cs="Arial"/>
          <w:i/>
          <w:iCs/>
          <w:color w:val="222222"/>
          <w:sz w:val="22"/>
          <w:szCs w:val="22"/>
          <w:shd w:val="clear" w:color="auto" w:fill="FFFFFF"/>
        </w:rPr>
        <w:t>Child &amp; Family Social Work</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11</w:t>
      </w:r>
      <w:r>
        <w:rPr>
          <w:rFonts w:ascii="Arial" w:hAnsi="Arial" w:cs="Arial"/>
          <w:color w:val="222222"/>
          <w:sz w:val="22"/>
          <w:szCs w:val="22"/>
          <w:shd w:val="clear" w:color="auto" w:fill="FFFFFF"/>
        </w:rPr>
        <w:t>(2), pp.157-169.</w:t>
      </w:r>
    </w:p>
    <w:p w14:paraId="3859A2C8">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Moyers, S., Farmer, E. and Lipscombe, J., 2006. Contact with family members and its impact on adolescents and their foster placements. </w:t>
      </w:r>
      <w:r>
        <w:rPr>
          <w:rFonts w:ascii="Arial" w:hAnsi="Arial" w:cs="Arial"/>
          <w:i/>
          <w:iCs/>
          <w:color w:val="222222"/>
          <w:sz w:val="22"/>
          <w:szCs w:val="22"/>
          <w:shd w:val="clear" w:color="auto" w:fill="FFFFFF"/>
        </w:rPr>
        <w:t>British Journal of Social Work</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36</w:t>
      </w:r>
      <w:r>
        <w:rPr>
          <w:rFonts w:ascii="Arial" w:hAnsi="Arial" w:cs="Arial"/>
          <w:color w:val="222222"/>
          <w:sz w:val="22"/>
          <w:szCs w:val="22"/>
          <w:shd w:val="clear" w:color="auto" w:fill="FFFFFF"/>
        </w:rPr>
        <w:t>(4), pp.541-559.</w:t>
      </w:r>
    </w:p>
    <w:p w14:paraId="61C69AE3">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McGrath-Lone, L., Harron, K., Dearden, L. and Gilbert, R. (2020) ‘Exploring placement stability for children in out-of-home care in England: A sequence analysis of longitudinal administrative data’, </w:t>
      </w:r>
      <w:r>
        <w:rPr>
          <w:rFonts w:ascii="Arial" w:hAnsi="Arial" w:cs="Arial"/>
          <w:i/>
          <w:iCs/>
          <w:color w:val="222222"/>
          <w:sz w:val="22"/>
          <w:szCs w:val="22"/>
          <w:shd w:val="clear" w:color="auto" w:fill="FFFFFF"/>
        </w:rPr>
        <w:t>Child Abuse &amp; Neglect</w:t>
      </w:r>
      <w:r>
        <w:rPr>
          <w:rFonts w:ascii="Arial" w:hAnsi="Arial" w:cs="Arial"/>
          <w:color w:val="222222"/>
          <w:sz w:val="22"/>
          <w:szCs w:val="22"/>
          <w:shd w:val="clear" w:color="auto" w:fill="FFFFFF"/>
        </w:rPr>
        <w:t>, 109, p. 104689. Available at: https://doi.org/10.1016/j.chiabu.2020.104689</w:t>
      </w:r>
    </w:p>
    <w:p w14:paraId="1B30D434">
      <w:pPr>
        <w:spacing w:line="360" w:lineRule="auto"/>
        <w:ind w:left="720" w:hanging="720"/>
        <w:rPr>
          <w:rFonts w:ascii="Arial" w:hAnsi="Arial" w:cs="Arial"/>
          <w:sz w:val="22"/>
        </w:rPr>
      </w:pPr>
    </w:p>
    <w:p w14:paraId="3B498B49">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Oosterman, M., Schuengel, C., Slot, N.W., Bullens, R.A. and Doreleijers, T.A., 2007. Disruptions in foster care: A review and meta-analysis. </w:t>
      </w:r>
      <w:r>
        <w:rPr>
          <w:rFonts w:ascii="Arial" w:hAnsi="Arial" w:cs="Arial"/>
          <w:i/>
          <w:iCs/>
          <w:color w:val="222222"/>
          <w:sz w:val="22"/>
          <w:szCs w:val="22"/>
          <w:shd w:val="clear" w:color="auto" w:fill="FFFFFF"/>
        </w:rPr>
        <w:t>Children and youth services review</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29</w:t>
      </w:r>
      <w:r>
        <w:rPr>
          <w:rFonts w:ascii="Arial" w:hAnsi="Arial" w:cs="Arial"/>
          <w:color w:val="222222"/>
          <w:sz w:val="22"/>
          <w:szCs w:val="22"/>
          <w:shd w:val="clear" w:color="auto" w:fill="FFFFFF"/>
        </w:rPr>
        <w:t>(1), pp.53-76.</w:t>
      </w:r>
    </w:p>
    <w:p w14:paraId="0F71326F">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Ofsted, 2022a. </w:t>
      </w:r>
      <w:r>
        <w:rPr>
          <w:rFonts w:ascii="Arial" w:hAnsi="Arial" w:cs="Arial"/>
          <w:i/>
          <w:iCs/>
          <w:color w:val="222222"/>
          <w:sz w:val="22"/>
          <w:szCs w:val="22"/>
          <w:shd w:val="clear" w:color="auto" w:fill="FFFFFF"/>
        </w:rPr>
        <w:t>How Local Authorities Plan for Sufficiency: Children in Care and Care Leavers</w:t>
      </w:r>
      <w:r>
        <w:rPr>
          <w:rFonts w:ascii="Arial" w:hAnsi="Arial" w:cs="Arial"/>
          <w:color w:val="222222"/>
          <w:sz w:val="22"/>
          <w:szCs w:val="22"/>
          <w:shd w:val="clear" w:color="auto" w:fill="FFFFFF"/>
        </w:rPr>
        <w:t>. London: Ofsted.</w:t>
      </w:r>
    </w:p>
    <w:p w14:paraId="04A887AC">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Ofsted, 2022b. 'What Types of Needs Do Children's Homes Offer Care For?' Available at:</w:t>
      </w:r>
      <w:r>
        <w:fldChar w:fldCharType="begin"/>
      </w:r>
      <w:r>
        <w:instrText xml:space="preserve"> HYPERLINK "https://www.gov.uk/government/publications/what-types-of-needs-do-childrens-homes-offer-care-for" </w:instrText>
      </w:r>
      <w:r>
        <w:fldChar w:fldCharType="separate"/>
      </w:r>
      <w:r>
        <w:rPr>
          <w:rStyle w:val="11"/>
          <w:rFonts w:ascii="Arial" w:hAnsi="Arial" w:cs="Arial" w:eastAsiaTheme="majorEastAsia"/>
          <w:color w:val="222222"/>
          <w:sz w:val="22"/>
          <w:szCs w:val="22"/>
          <w:shd w:val="clear" w:color="auto" w:fill="FFFFFF"/>
        </w:rPr>
        <w:t xml:space="preserve"> </w:t>
      </w:r>
      <w:r>
        <w:rPr>
          <w:rStyle w:val="11"/>
          <w:rFonts w:ascii="Arial" w:hAnsi="Arial" w:cs="Arial" w:eastAsiaTheme="majorEastAsia"/>
          <w:color w:val="1155CC"/>
          <w:sz w:val="22"/>
          <w:szCs w:val="22"/>
          <w:shd w:val="clear" w:color="auto" w:fill="FFFFFF"/>
        </w:rPr>
        <w:t>https://www.gov.uk/government/publications/what-types-of-needs-do-childrens-homes-offer-care-for</w:t>
      </w:r>
      <w:r>
        <w:rPr>
          <w:rStyle w:val="11"/>
          <w:rFonts w:ascii="Arial" w:hAnsi="Arial" w:cs="Arial" w:eastAsiaTheme="majorEastAsia"/>
          <w:color w:val="1155CC"/>
          <w:sz w:val="22"/>
          <w:szCs w:val="22"/>
          <w:shd w:val="clear" w:color="auto" w:fill="FFFFFF"/>
        </w:rPr>
        <w:fldChar w:fldCharType="end"/>
      </w:r>
      <w:r>
        <w:rPr>
          <w:rFonts w:ascii="Arial" w:hAnsi="Arial" w:cs="Arial"/>
          <w:color w:val="222222"/>
          <w:sz w:val="22"/>
          <w:szCs w:val="22"/>
          <w:shd w:val="clear" w:color="auto" w:fill="FFFFFF"/>
        </w:rPr>
        <w:t xml:space="preserve"> (Accessed: 25 February 2026).</w:t>
      </w:r>
    </w:p>
    <w:p w14:paraId="50697F91">
      <w:pPr>
        <w:pStyle w:val="12"/>
        <w:spacing w:before="0" w:beforeAutospacing="0" w:after="0" w:afterAutospacing="0" w:line="360" w:lineRule="auto"/>
        <w:ind w:left="720" w:hanging="720"/>
        <w:rPr>
          <w:rFonts w:ascii="Arial" w:hAnsi="Arial" w:cs="Arial"/>
          <w:sz w:val="22"/>
          <w:szCs w:val="22"/>
        </w:rPr>
      </w:pPr>
      <w:r>
        <w:rPr>
          <w:rFonts w:ascii="Arial" w:hAnsi="Arial" w:cs="Arial"/>
          <w:color w:val="2A2A2A"/>
          <w:sz w:val="22"/>
          <w:szCs w:val="22"/>
          <w:shd w:val="clear" w:color="auto" w:fill="FFFFFF"/>
        </w:rPr>
        <w:t xml:space="preserve">Ofsted, 2024. ‘Rapid Evidence Review on Supported Accommodation’, </w:t>
      </w:r>
      <w:r>
        <w:fldChar w:fldCharType="begin"/>
      </w:r>
      <w:r>
        <w:instrText xml:space="preserve"> HYPERLINK "https://www.gov.uk/government/publications/supported-accommodation-review-what-matters-most-for-children/a-rapid-review-of-evidence-on-supported-accommodation," </w:instrText>
      </w:r>
      <w:r>
        <w:fldChar w:fldCharType="separate"/>
      </w:r>
      <w:r>
        <w:rPr>
          <w:rStyle w:val="11"/>
          <w:rFonts w:ascii="Arial" w:hAnsi="Arial" w:cs="Arial" w:eastAsiaTheme="majorEastAsia"/>
          <w:color w:val="006FB7"/>
          <w:sz w:val="22"/>
          <w:szCs w:val="22"/>
          <w:shd w:val="clear" w:color="auto" w:fill="FFFFFF"/>
        </w:rPr>
        <w:t>https://www.gov.uk/government/publications/supported-accommodation-review-what-matters-most-for-children/a-rapid-review-of-evidence-on-supported-accommodation,</w:t>
      </w:r>
      <w:r>
        <w:rPr>
          <w:rStyle w:val="11"/>
          <w:rFonts w:ascii="Arial" w:hAnsi="Arial" w:cs="Arial" w:eastAsiaTheme="majorEastAsia"/>
          <w:color w:val="006FB7"/>
          <w:sz w:val="22"/>
          <w:szCs w:val="22"/>
          <w:shd w:val="clear" w:color="auto" w:fill="FFFFFF"/>
        </w:rPr>
        <w:fldChar w:fldCharType="end"/>
      </w:r>
      <w:r>
        <w:rPr>
          <w:rFonts w:ascii="Arial" w:hAnsi="Arial" w:cs="Arial"/>
          <w:color w:val="2A2A2A"/>
          <w:sz w:val="22"/>
          <w:szCs w:val="22"/>
          <w:shd w:val="clear" w:color="auto" w:fill="FFFFFF"/>
        </w:rPr>
        <w:t xml:space="preserve"> accessed 10 July 2024.</w:t>
      </w:r>
    </w:p>
    <w:p w14:paraId="7A4FAC59">
      <w:pPr>
        <w:spacing w:line="360" w:lineRule="auto"/>
        <w:ind w:left="720" w:hanging="720"/>
        <w:rPr>
          <w:rFonts w:ascii="Arial" w:hAnsi="Arial" w:cs="Arial"/>
          <w:sz w:val="22"/>
        </w:rPr>
      </w:pPr>
    </w:p>
    <w:p w14:paraId="5D93C7E5">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Parada, M.J., Nordqvist, M. and Gimeno, A., 2010. Institutionalizing the family business: The role of professional associations in fostering a change of values. </w:t>
      </w:r>
      <w:r>
        <w:rPr>
          <w:rFonts w:ascii="Arial" w:hAnsi="Arial" w:cs="Arial"/>
          <w:i/>
          <w:iCs/>
          <w:color w:val="222222"/>
          <w:sz w:val="22"/>
          <w:szCs w:val="22"/>
          <w:shd w:val="clear" w:color="auto" w:fill="FFFFFF"/>
        </w:rPr>
        <w:t>Family business review</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23</w:t>
      </w:r>
      <w:r>
        <w:rPr>
          <w:rFonts w:ascii="Arial" w:hAnsi="Arial" w:cs="Arial"/>
          <w:color w:val="222222"/>
          <w:sz w:val="22"/>
          <w:szCs w:val="22"/>
          <w:shd w:val="clear" w:color="auto" w:fill="FFFFFF"/>
        </w:rPr>
        <w:t>(4), pp.355-372.</w:t>
      </w:r>
    </w:p>
    <w:p w14:paraId="096875E2">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Price, J.M., Chamberlain, P., Landsverk, J., Reid, J.B., Leve, L.D. and Laurent, H., 2008. Effects of a foster parent training intervention on placement changes of children in foster care. </w:t>
      </w:r>
      <w:r>
        <w:rPr>
          <w:rFonts w:ascii="Arial" w:hAnsi="Arial" w:cs="Arial"/>
          <w:i/>
          <w:iCs/>
          <w:color w:val="222222"/>
          <w:sz w:val="22"/>
          <w:szCs w:val="22"/>
          <w:shd w:val="clear" w:color="auto" w:fill="FFFFFF"/>
        </w:rPr>
        <w:t>Child maltreatment</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13</w:t>
      </w:r>
      <w:r>
        <w:rPr>
          <w:rFonts w:ascii="Arial" w:hAnsi="Arial" w:cs="Arial"/>
          <w:color w:val="222222"/>
          <w:sz w:val="22"/>
          <w:szCs w:val="22"/>
          <w:shd w:val="clear" w:color="auto" w:fill="FFFFFF"/>
        </w:rPr>
        <w:t>(1), pp.64-75.</w:t>
      </w:r>
    </w:p>
    <w:p w14:paraId="077F22D7">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Randle, M., Miller, L. and Dolnicar, S., 2018. What can agencies do to increase foster carer satisfaction?. </w:t>
      </w:r>
      <w:r>
        <w:rPr>
          <w:rFonts w:ascii="Arial" w:hAnsi="Arial" w:cs="Arial"/>
          <w:i/>
          <w:iCs/>
          <w:color w:val="222222"/>
          <w:sz w:val="22"/>
          <w:szCs w:val="22"/>
          <w:shd w:val="clear" w:color="auto" w:fill="FFFFFF"/>
        </w:rPr>
        <w:t>Child &amp; Family Social Work</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23</w:t>
      </w:r>
      <w:r>
        <w:rPr>
          <w:rFonts w:ascii="Arial" w:hAnsi="Arial" w:cs="Arial"/>
          <w:color w:val="222222"/>
          <w:sz w:val="22"/>
          <w:szCs w:val="22"/>
          <w:shd w:val="clear" w:color="auto" w:fill="FFFFFF"/>
        </w:rPr>
        <w:t>(2), pp.212-221.</w:t>
      </w:r>
    </w:p>
    <w:p w14:paraId="33684D60">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Riemersma, Y., Harder, A., Zijlstra, E., Post, W. and Kalverboer, M., 2023. Static and dynamic factors underlying placement instability in residential youth care: A scoping review. </w:t>
      </w:r>
      <w:r>
        <w:rPr>
          <w:rFonts w:ascii="Arial" w:hAnsi="Arial" w:cs="Arial"/>
          <w:i/>
          <w:iCs/>
          <w:color w:val="222222"/>
          <w:sz w:val="22"/>
          <w:szCs w:val="22"/>
          <w:shd w:val="clear" w:color="auto" w:fill="FFFFFF"/>
        </w:rPr>
        <w:t>Children and Youth Services Review</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155</w:t>
      </w:r>
      <w:r>
        <w:rPr>
          <w:rFonts w:ascii="Arial" w:hAnsi="Arial" w:cs="Arial"/>
          <w:color w:val="222222"/>
          <w:sz w:val="22"/>
          <w:szCs w:val="22"/>
          <w:shd w:val="clear" w:color="auto" w:fill="FFFFFF"/>
        </w:rPr>
        <w:t>, p.107298.</w:t>
      </w:r>
    </w:p>
    <w:p w14:paraId="436D295A">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Riggs, D.W., King, D., Delfabbro, P.H. and Augoustinos, M., 2009. “Children Out of Place” Representations of foster care in the Australian news media. </w:t>
      </w:r>
      <w:r>
        <w:rPr>
          <w:rFonts w:ascii="Arial" w:hAnsi="Arial" w:cs="Arial"/>
          <w:i/>
          <w:iCs/>
          <w:color w:val="222222"/>
          <w:sz w:val="22"/>
          <w:szCs w:val="22"/>
          <w:shd w:val="clear" w:color="auto" w:fill="FFFFFF"/>
        </w:rPr>
        <w:t>Journal of Children and Media</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3</w:t>
      </w:r>
      <w:r>
        <w:rPr>
          <w:rFonts w:ascii="Arial" w:hAnsi="Arial" w:cs="Arial"/>
          <w:color w:val="222222"/>
          <w:sz w:val="22"/>
          <w:szCs w:val="22"/>
          <w:shd w:val="clear" w:color="auto" w:fill="FFFFFF"/>
        </w:rPr>
        <w:t>(3), pp.234-248.</w:t>
      </w:r>
    </w:p>
    <w:p w14:paraId="4DD8347E">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Rock, S., Michelson, D., Thomson, S. and Day, C. (2015) ‘Understanding foster placement instability for looked after children: A systematic review and narrative synthesis of the evidence’, The British Journal of Social Work, 45(1), pp. 177–203. Available at: https://doi.org/10.1093/bjsw/bct084</w:t>
      </w:r>
    </w:p>
    <w:p w14:paraId="7A629498">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Stokes, J. and Schmidt, G., 2012. Child protection decision making: A factorial analysis using case vignettes. </w:t>
      </w:r>
      <w:r>
        <w:rPr>
          <w:rFonts w:ascii="Arial" w:hAnsi="Arial" w:cs="Arial"/>
          <w:i/>
          <w:iCs/>
          <w:color w:val="222222"/>
          <w:sz w:val="22"/>
          <w:szCs w:val="22"/>
          <w:shd w:val="clear" w:color="auto" w:fill="FFFFFF"/>
        </w:rPr>
        <w:t>Social Work</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57</w:t>
      </w:r>
      <w:r>
        <w:rPr>
          <w:rFonts w:ascii="Arial" w:hAnsi="Arial" w:cs="Arial"/>
          <w:color w:val="222222"/>
          <w:sz w:val="22"/>
          <w:szCs w:val="22"/>
          <w:shd w:val="clear" w:color="auto" w:fill="FFFFFF"/>
        </w:rPr>
        <w:t>(1), pp.83-90.</w:t>
      </w:r>
    </w:p>
    <w:p w14:paraId="32EB8EB8">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Sinclair, I., 2007. </w:t>
      </w:r>
      <w:r>
        <w:rPr>
          <w:rFonts w:ascii="Arial" w:hAnsi="Arial" w:cs="Arial"/>
          <w:i/>
          <w:iCs/>
          <w:color w:val="222222"/>
          <w:sz w:val="22"/>
          <w:szCs w:val="22"/>
          <w:shd w:val="clear" w:color="auto" w:fill="FFFFFF"/>
        </w:rPr>
        <w:t>The pursuit of permanence: A study of the English care system</w:t>
      </w:r>
      <w:r>
        <w:rPr>
          <w:rFonts w:ascii="Arial" w:hAnsi="Arial" w:cs="Arial"/>
          <w:color w:val="222222"/>
          <w:sz w:val="22"/>
          <w:szCs w:val="22"/>
          <w:shd w:val="clear" w:color="auto" w:fill="FFFFFF"/>
        </w:rPr>
        <w:t>. Jessica Kingsley Publishers.</w:t>
      </w:r>
    </w:p>
    <w:p w14:paraId="11CEFA4B">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Simmonds, J., 2010. The making and breaking of relationships: Organizational and clinical questions in providing services for looked after children?. </w:t>
      </w:r>
      <w:r>
        <w:rPr>
          <w:rFonts w:ascii="Arial" w:hAnsi="Arial" w:cs="Arial"/>
          <w:i/>
          <w:iCs/>
          <w:color w:val="222222"/>
          <w:sz w:val="22"/>
          <w:szCs w:val="22"/>
          <w:shd w:val="clear" w:color="auto" w:fill="FFFFFF"/>
        </w:rPr>
        <w:t>Clinical child psychology and psychiatry</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15</w:t>
      </w:r>
      <w:r>
        <w:rPr>
          <w:rFonts w:ascii="Arial" w:hAnsi="Arial" w:cs="Arial"/>
          <w:color w:val="222222"/>
          <w:sz w:val="22"/>
          <w:szCs w:val="22"/>
          <w:shd w:val="clear" w:color="auto" w:fill="FFFFFF"/>
        </w:rPr>
        <w:t>(4), pp.601-612.</w:t>
      </w:r>
    </w:p>
    <w:p w14:paraId="4C64D3BB">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Sacker, A., Murray, E., Lacey, R. and Maughan, B., 2021. The lifelong health and wellbeing trajectories of people who have been in care: Findings from the Looked-after Children Grown up Project.</w:t>
      </w:r>
    </w:p>
    <w:p w14:paraId="531B8785">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Schofield, G., Beek, M. and Ward, E., 2012. Part of the family: Planning for permanence in long-term family foster care. </w:t>
      </w:r>
      <w:r>
        <w:rPr>
          <w:rFonts w:ascii="Arial" w:hAnsi="Arial" w:cs="Arial"/>
          <w:i/>
          <w:iCs/>
          <w:color w:val="222222"/>
          <w:sz w:val="22"/>
          <w:szCs w:val="22"/>
          <w:shd w:val="clear" w:color="auto" w:fill="FFFFFF"/>
        </w:rPr>
        <w:t>Children and Youth Services Review</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34</w:t>
      </w:r>
      <w:r>
        <w:rPr>
          <w:rFonts w:ascii="Arial" w:hAnsi="Arial" w:cs="Arial"/>
          <w:color w:val="222222"/>
          <w:sz w:val="22"/>
          <w:szCs w:val="22"/>
          <w:shd w:val="clear" w:color="auto" w:fill="FFFFFF"/>
        </w:rPr>
        <w:t>(1), pp.244-253.</w:t>
      </w:r>
    </w:p>
    <w:p w14:paraId="622AEA4E">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Tricco, A.C., Lillie, E., Zarin, W., O'Brien, K.K., Colquhoun, H., Levac, D., Moher, D., Peters, M.D., Horsley, T., Weeks, L. and Hempel, S., 2018. PRISMA extension for scoping reviews (PRISMA-ScR): checklist and explanation. </w:t>
      </w:r>
      <w:r>
        <w:rPr>
          <w:rFonts w:ascii="Arial" w:hAnsi="Arial" w:cs="Arial"/>
          <w:i/>
          <w:iCs/>
          <w:color w:val="222222"/>
          <w:sz w:val="22"/>
          <w:szCs w:val="22"/>
          <w:shd w:val="clear" w:color="auto" w:fill="FFFFFF"/>
        </w:rPr>
        <w:t>Annals of internal medicine</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169</w:t>
      </w:r>
      <w:r>
        <w:rPr>
          <w:rFonts w:ascii="Arial" w:hAnsi="Arial" w:cs="Arial"/>
          <w:color w:val="222222"/>
          <w:sz w:val="22"/>
          <w:szCs w:val="22"/>
          <w:shd w:val="clear" w:color="auto" w:fill="FFFFFF"/>
        </w:rPr>
        <w:t>(7), pp.467-473.</w:t>
      </w:r>
    </w:p>
    <w:p w14:paraId="236BAF3E">
      <w:pPr>
        <w:pStyle w:val="12"/>
        <w:spacing w:before="0" w:beforeAutospacing="0" w:after="0" w:afterAutospacing="0" w:line="360" w:lineRule="auto"/>
        <w:ind w:left="720" w:hanging="720"/>
        <w:rPr>
          <w:rFonts w:ascii="Arial" w:hAnsi="Arial" w:cs="Arial"/>
          <w:sz w:val="22"/>
          <w:szCs w:val="22"/>
        </w:rPr>
      </w:pPr>
      <w:r>
        <w:rPr>
          <w:rFonts w:ascii="Arial" w:hAnsi="Arial" w:cs="Arial"/>
          <w:color w:val="222222"/>
          <w:sz w:val="22"/>
          <w:szCs w:val="22"/>
          <w:shd w:val="clear" w:color="auto" w:fill="FFFFFF"/>
        </w:rPr>
        <w:t xml:space="preserve">Toros, K., DiNitto, D.M. and Tiko, A., 2018. Family engagement in the child welfare system: A scoping review. </w:t>
      </w:r>
      <w:r>
        <w:rPr>
          <w:rFonts w:ascii="Arial" w:hAnsi="Arial" w:cs="Arial"/>
          <w:i/>
          <w:iCs/>
          <w:color w:val="222222"/>
          <w:sz w:val="22"/>
          <w:szCs w:val="22"/>
          <w:shd w:val="clear" w:color="auto" w:fill="FFFFFF"/>
        </w:rPr>
        <w:t>Children and Youth Services Review</w:t>
      </w:r>
      <w:r>
        <w:rPr>
          <w:rFonts w:ascii="Arial" w:hAnsi="Arial" w:cs="Arial"/>
          <w:color w:val="222222"/>
          <w:sz w:val="22"/>
          <w:szCs w:val="22"/>
          <w:shd w:val="clear" w:color="auto" w:fill="FFFFFF"/>
        </w:rPr>
        <w:t xml:space="preserve">, </w:t>
      </w:r>
      <w:r>
        <w:rPr>
          <w:rFonts w:ascii="Arial" w:hAnsi="Arial" w:cs="Arial"/>
          <w:i/>
          <w:iCs/>
          <w:color w:val="222222"/>
          <w:sz w:val="22"/>
          <w:szCs w:val="22"/>
          <w:shd w:val="clear" w:color="auto" w:fill="FFFFFF"/>
        </w:rPr>
        <w:t>88</w:t>
      </w:r>
      <w:r>
        <w:rPr>
          <w:rFonts w:ascii="Arial" w:hAnsi="Arial" w:cs="Arial"/>
          <w:color w:val="222222"/>
          <w:sz w:val="22"/>
          <w:szCs w:val="22"/>
          <w:shd w:val="clear" w:color="auto" w:fill="FFFFFF"/>
        </w:rPr>
        <w:t>, pp.598-607.</w:t>
      </w:r>
    </w:p>
    <w:p w14:paraId="09B926DF"/>
    <w:sectPr>
      <w:footerReference r:id="rId5" w:type="default"/>
      <w:pgSz w:w="11906" w:h="16838"/>
      <w:pgMar w:top="1440" w:right="1440" w:bottom="1440" w:left="1440" w:header="708" w:footer="708" w:gutter="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200247B" w:usb2="00000009" w:usb3="00000000" w:csb0="200001FF" w:csb1="00000000"/>
  </w:font>
  <w:font w:name="等线 Light">
    <w:altName w:val="Yu Gothic"/>
    <w:panose1 w:val="00000000000000000000"/>
    <w:charset w:val="80"/>
    <w:family w:val="roman"/>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6FF" w:usb1="420024FF" w:usb2="02000000" w:usb3="00000000" w:csb0="2000019F" w:csb1="00000000"/>
  </w:font>
  <w:font w:name="Calibri">
    <w:panose1 w:val="020F0502020204030204"/>
    <w:charset w:val="00"/>
    <w:family w:val="auto"/>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Yu Gothic">
    <w:panose1 w:val="020B04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67988516"/>
      <w:docPartObj>
        <w:docPartGallery w:val="autotext"/>
      </w:docPartObj>
    </w:sdtPr>
    <w:sdtEndPr>
      <w:rPr>
        <w:rFonts w:asciiTheme="minorBidi" w:hAnsiTheme="minorBidi"/>
        <w:sz w:val="22"/>
      </w:rPr>
    </w:sdtEndPr>
    <w:sdtContent>
      <w:p w14:paraId="22F0D82E">
        <w:pPr>
          <w:pStyle w:val="9"/>
          <w:jc w:val="center"/>
          <w:rPr>
            <w:rFonts w:asciiTheme="minorBidi" w:hAnsiTheme="minorBidi"/>
            <w:sz w:val="22"/>
          </w:rPr>
        </w:pPr>
        <w:r>
          <w:rPr>
            <w:rFonts w:asciiTheme="minorBidi" w:hAnsiTheme="minorBidi"/>
            <w:sz w:val="22"/>
          </w:rPr>
          <w:fldChar w:fldCharType="begin"/>
        </w:r>
        <w:r>
          <w:rPr>
            <w:rFonts w:asciiTheme="minorBidi" w:hAnsiTheme="minorBidi"/>
            <w:sz w:val="22"/>
          </w:rPr>
          <w:instrText xml:space="preserve"> PAGE   \* MERGEFORMAT </w:instrText>
        </w:r>
        <w:r>
          <w:rPr>
            <w:rFonts w:asciiTheme="minorBidi" w:hAnsiTheme="minorBidi"/>
            <w:sz w:val="22"/>
          </w:rPr>
          <w:fldChar w:fldCharType="separate"/>
        </w:r>
        <w:r>
          <w:rPr>
            <w:rFonts w:asciiTheme="minorBidi" w:hAnsiTheme="minorBidi"/>
            <w:sz w:val="22"/>
          </w:rPr>
          <w:t>10</w:t>
        </w:r>
        <w:r>
          <w:rPr>
            <w:rFonts w:asciiTheme="minorBidi" w:hAnsiTheme="minorBidi"/>
            <w:sz w:val="22"/>
          </w:rPr>
          <w:fldChar w:fldCharType="end"/>
        </w:r>
      </w:p>
    </w:sdtContent>
  </w:sdt>
  <w:p w14:paraId="65BDCB89">
    <w:pPr>
      <w:pStyle w:val="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E46B13"/>
    <w:multiLevelType w:val="multilevel"/>
    <w:tmpl w:val="0EE46B13"/>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147169D"/>
    <w:multiLevelType w:val="multilevel"/>
    <w:tmpl w:val="1147169D"/>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402"/>
    <w:rsid w:val="000572BF"/>
    <w:rsid w:val="00074402"/>
    <w:rsid w:val="000F4A73"/>
    <w:rsid w:val="0010759B"/>
    <w:rsid w:val="00135351"/>
    <w:rsid w:val="00190936"/>
    <w:rsid w:val="001B6712"/>
    <w:rsid w:val="001D3DE3"/>
    <w:rsid w:val="001D7C03"/>
    <w:rsid w:val="00216C85"/>
    <w:rsid w:val="0026393A"/>
    <w:rsid w:val="00273EDD"/>
    <w:rsid w:val="002C3965"/>
    <w:rsid w:val="00321C4C"/>
    <w:rsid w:val="00382056"/>
    <w:rsid w:val="00392BBC"/>
    <w:rsid w:val="003A3588"/>
    <w:rsid w:val="003E4ECF"/>
    <w:rsid w:val="004A736E"/>
    <w:rsid w:val="00517AE1"/>
    <w:rsid w:val="005C1B31"/>
    <w:rsid w:val="006228FC"/>
    <w:rsid w:val="006925AA"/>
    <w:rsid w:val="0072000F"/>
    <w:rsid w:val="00725177"/>
    <w:rsid w:val="00772531"/>
    <w:rsid w:val="00773892"/>
    <w:rsid w:val="00814A9E"/>
    <w:rsid w:val="008B0162"/>
    <w:rsid w:val="008E790B"/>
    <w:rsid w:val="008F3C71"/>
    <w:rsid w:val="008F45DB"/>
    <w:rsid w:val="0090040D"/>
    <w:rsid w:val="00982B7D"/>
    <w:rsid w:val="009D052C"/>
    <w:rsid w:val="009D1D1E"/>
    <w:rsid w:val="00A035FD"/>
    <w:rsid w:val="00B87E75"/>
    <w:rsid w:val="00CD33A8"/>
    <w:rsid w:val="00E45C02"/>
    <w:rsid w:val="00E569FD"/>
    <w:rsid w:val="00E620E7"/>
    <w:rsid w:val="00F60CFA"/>
    <w:rsid w:val="00F66E1B"/>
    <w:rsid w:val="2F574CC3"/>
    <w:rsid w:val="43693D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Theme="minorHAnsi" w:cstheme="minorBidi"/>
      <w:sz w:val="24"/>
      <w:szCs w:val="22"/>
      <w:lang w:val="en-GB" w:eastAsia="en-US" w:bidi="ar-SA"/>
    </w:rPr>
  </w:style>
  <w:style w:type="paragraph" w:styleId="2">
    <w:name w:val="heading 1"/>
    <w:basedOn w:val="1"/>
    <w:next w:val="1"/>
    <w:link w:val="16"/>
    <w:autoRedefine/>
    <w:qFormat/>
    <w:uiPriority w:val="9"/>
    <w:pPr>
      <w:keepNext/>
      <w:keepLines/>
      <w:spacing w:before="240" w:after="0" w:line="360" w:lineRule="auto"/>
      <w:jc w:val="center"/>
      <w:outlineLvl w:val="0"/>
    </w:pPr>
    <w:rPr>
      <w:rFonts w:ascii="Arial" w:hAnsi="Arial" w:cs="Arial" w:eastAsiaTheme="majorEastAsia"/>
      <w:b/>
      <w:sz w:val="22"/>
    </w:rPr>
  </w:style>
  <w:style w:type="paragraph" w:styleId="3">
    <w:name w:val="heading 2"/>
    <w:basedOn w:val="1"/>
    <w:next w:val="1"/>
    <w:link w:val="17"/>
    <w:autoRedefine/>
    <w:unhideWhenUsed/>
    <w:qFormat/>
    <w:uiPriority w:val="9"/>
    <w:pPr>
      <w:keepNext/>
      <w:keepLines/>
      <w:spacing w:before="360" w:after="80"/>
      <w:outlineLvl w:val="1"/>
    </w:pPr>
    <w:rPr>
      <w:rFonts w:ascii="Arial" w:hAnsi="Arial" w:cs="Arial" w:eastAsiaTheme="majorEastAsia"/>
      <w:b/>
      <w:color w:val="000000"/>
      <w:sz w:val="22"/>
    </w:rPr>
  </w:style>
  <w:style w:type="paragraph" w:styleId="4">
    <w:name w:val="heading 3"/>
    <w:basedOn w:val="1"/>
    <w:link w:val="18"/>
    <w:autoRedefine/>
    <w:qFormat/>
    <w:uiPriority w:val="9"/>
    <w:pPr>
      <w:spacing w:before="100" w:beforeAutospacing="1" w:after="100" w:afterAutospacing="1" w:line="240" w:lineRule="auto"/>
      <w:outlineLvl w:val="2"/>
    </w:pPr>
    <w:rPr>
      <w:rFonts w:ascii="Arial" w:hAnsi="Arial" w:eastAsia="Times New Roman" w:cs="Arial"/>
      <w:b/>
      <w:bCs/>
      <w:i/>
      <w:color w:val="000000"/>
      <w:sz w:val="22"/>
      <w:lang w:eastAsia="en-GB"/>
    </w:rPr>
  </w:style>
  <w:style w:type="paragraph" w:styleId="5">
    <w:name w:val="heading 4"/>
    <w:basedOn w:val="1"/>
    <w:next w:val="1"/>
    <w:link w:val="21"/>
    <w:semiHidden/>
    <w:unhideWhenUsed/>
    <w:qFormat/>
    <w:uiPriority w:val="9"/>
    <w:pPr>
      <w:keepNext/>
      <w:keepLines/>
      <w:spacing w:before="200" w:after="0"/>
      <w:outlineLvl w:val="3"/>
    </w:pPr>
    <w:rPr>
      <w:rFonts w:asciiTheme="majorHAnsi" w:hAnsiTheme="majorHAnsi" w:eastAsiaTheme="majorEastAsia" w:cstheme="majorBidi"/>
      <w:b/>
      <w:bCs/>
      <w:i/>
      <w:iCs/>
      <w:color w:val="4472C4" w:themeColor="accent1"/>
      <w14:textFill>
        <w14:solidFill>
          <w14:schemeClr w14:val="accent1"/>
        </w14:solidFill>
      </w14:textFill>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8">
    <w:name w:val="Balloon Text"/>
    <w:basedOn w:val="1"/>
    <w:link w:val="24"/>
    <w:semiHidden/>
    <w:unhideWhenUsed/>
    <w:qFormat/>
    <w:uiPriority w:val="99"/>
    <w:pPr>
      <w:spacing w:after="0" w:line="240" w:lineRule="auto"/>
    </w:pPr>
    <w:rPr>
      <w:rFonts w:ascii="Tahoma" w:hAnsi="Tahoma" w:cs="Tahoma"/>
      <w:sz w:val="16"/>
      <w:szCs w:val="16"/>
    </w:rPr>
  </w:style>
  <w:style w:type="paragraph" w:styleId="9">
    <w:name w:val="footer"/>
    <w:basedOn w:val="1"/>
    <w:link w:val="20"/>
    <w:unhideWhenUsed/>
    <w:qFormat/>
    <w:uiPriority w:val="99"/>
    <w:pPr>
      <w:tabs>
        <w:tab w:val="center" w:pos="4513"/>
        <w:tab w:val="right" w:pos="9026"/>
      </w:tabs>
      <w:spacing w:after="0" w:line="240" w:lineRule="auto"/>
    </w:pPr>
  </w:style>
  <w:style w:type="paragraph" w:styleId="10">
    <w:name w:val="header"/>
    <w:basedOn w:val="1"/>
    <w:link w:val="19"/>
    <w:unhideWhenUsed/>
    <w:qFormat/>
    <w:uiPriority w:val="99"/>
    <w:pPr>
      <w:tabs>
        <w:tab w:val="center" w:pos="4513"/>
        <w:tab w:val="right" w:pos="9026"/>
      </w:tabs>
      <w:spacing w:after="0" w:line="240" w:lineRule="auto"/>
    </w:pPr>
  </w:style>
  <w:style w:type="character" w:styleId="11">
    <w:name w:val="Hyperlink"/>
    <w:basedOn w:val="6"/>
    <w:unhideWhenUsed/>
    <w:uiPriority w:val="99"/>
    <w:rPr>
      <w:color w:val="0563C1" w:themeColor="hyperlink"/>
      <w:u w:val="single"/>
      <w14:textFill>
        <w14:solidFill>
          <w14:schemeClr w14:val="hlink"/>
        </w14:solidFill>
      </w14:textFill>
    </w:rPr>
  </w:style>
  <w:style w:type="paragraph" w:styleId="12">
    <w:name w:val="Normal (Web)"/>
    <w:basedOn w:val="1"/>
    <w:unhideWhenUsed/>
    <w:uiPriority w:val="99"/>
    <w:pPr>
      <w:spacing w:before="100" w:beforeAutospacing="1" w:after="100" w:afterAutospacing="1" w:line="240" w:lineRule="auto"/>
    </w:pPr>
    <w:rPr>
      <w:rFonts w:eastAsia="Times New Roman" w:cs="Times New Roman"/>
      <w:szCs w:val="24"/>
      <w:lang w:eastAsia="en-GB"/>
    </w:rPr>
  </w:style>
  <w:style w:type="paragraph" w:styleId="13">
    <w:name w:val="toc 1"/>
    <w:basedOn w:val="1"/>
    <w:next w:val="1"/>
    <w:autoRedefine/>
    <w:unhideWhenUsed/>
    <w:uiPriority w:val="39"/>
    <w:pPr>
      <w:spacing w:after="100"/>
    </w:pPr>
  </w:style>
  <w:style w:type="paragraph" w:styleId="14">
    <w:name w:val="toc 2"/>
    <w:basedOn w:val="1"/>
    <w:next w:val="1"/>
    <w:autoRedefine/>
    <w:unhideWhenUsed/>
    <w:qFormat/>
    <w:uiPriority w:val="39"/>
    <w:pPr>
      <w:tabs>
        <w:tab w:val="right" w:leader="dot" w:pos="9016"/>
      </w:tabs>
      <w:spacing w:after="100"/>
      <w:ind w:left="240"/>
    </w:pPr>
    <w:rPr>
      <w:rFonts w:ascii="Arial" w:hAnsi="Arial" w:cs="Arial"/>
      <w:bCs/>
    </w:rPr>
  </w:style>
  <w:style w:type="paragraph" w:styleId="15">
    <w:name w:val="toc 3"/>
    <w:basedOn w:val="1"/>
    <w:next w:val="1"/>
    <w:autoRedefine/>
    <w:unhideWhenUsed/>
    <w:uiPriority w:val="39"/>
    <w:pPr>
      <w:spacing w:after="100"/>
      <w:ind w:left="480"/>
    </w:pPr>
  </w:style>
  <w:style w:type="character" w:customStyle="1" w:styleId="16">
    <w:name w:val="Heading 1 Char"/>
    <w:basedOn w:val="6"/>
    <w:link w:val="2"/>
    <w:qFormat/>
    <w:uiPriority w:val="9"/>
    <w:rPr>
      <w:rFonts w:ascii="Arial" w:hAnsi="Arial" w:cs="Arial" w:eastAsiaTheme="majorEastAsia"/>
      <w:b/>
      <w:sz w:val="22"/>
    </w:rPr>
  </w:style>
  <w:style w:type="character" w:customStyle="1" w:styleId="17">
    <w:name w:val="Heading 2 Char"/>
    <w:basedOn w:val="6"/>
    <w:link w:val="3"/>
    <w:qFormat/>
    <w:uiPriority w:val="9"/>
    <w:rPr>
      <w:rFonts w:ascii="Arial" w:hAnsi="Arial" w:cs="Arial" w:eastAsiaTheme="majorEastAsia"/>
      <w:b/>
      <w:color w:val="000000"/>
      <w:sz w:val="22"/>
    </w:rPr>
  </w:style>
  <w:style w:type="character" w:customStyle="1" w:styleId="18">
    <w:name w:val="Heading 3 Char"/>
    <w:basedOn w:val="6"/>
    <w:link w:val="4"/>
    <w:uiPriority w:val="9"/>
    <w:rPr>
      <w:rFonts w:ascii="Arial" w:hAnsi="Arial" w:eastAsia="Times New Roman" w:cs="Arial"/>
      <w:b/>
      <w:bCs/>
      <w:i/>
      <w:color w:val="000000"/>
      <w:sz w:val="22"/>
      <w:lang w:eastAsia="en-GB"/>
    </w:rPr>
  </w:style>
  <w:style w:type="character" w:customStyle="1" w:styleId="19">
    <w:name w:val="Header Char"/>
    <w:basedOn w:val="6"/>
    <w:link w:val="10"/>
    <w:qFormat/>
    <w:uiPriority w:val="99"/>
  </w:style>
  <w:style w:type="character" w:customStyle="1" w:styleId="20">
    <w:name w:val="Footer Char"/>
    <w:basedOn w:val="6"/>
    <w:link w:val="9"/>
    <w:uiPriority w:val="99"/>
  </w:style>
  <w:style w:type="character" w:customStyle="1" w:styleId="21">
    <w:name w:val="Heading 4 Char"/>
    <w:basedOn w:val="6"/>
    <w:link w:val="5"/>
    <w:semiHidden/>
    <w:qFormat/>
    <w:uiPriority w:val="9"/>
    <w:rPr>
      <w:rFonts w:asciiTheme="majorHAnsi" w:hAnsiTheme="majorHAnsi" w:eastAsiaTheme="majorEastAsia" w:cstheme="majorBidi"/>
      <w:b/>
      <w:bCs/>
      <w:i/>
      <w:iCs/>
      <w:color w:val="4472C4" w:themeColor="accent1"/>
      <w14:textFill>
        <w14:solidFill>
          <w14:schemeClr w14:val="accent1"/>
        </w14:solidFill>
      </w14:textFill>
    </w:rPr>
  </w:style>
  <w:style w:type="character" w:customStyle="1" w:styleId="22">
    <w:name w:val="apple-tab-span"/>
    <w:basedOn w:val="6"/>
    <w:uiPriority w:val="0"/>
  </w:style>
  <w:style w:type="paragraph" w:customStyle="1" w:styleId="23">
    <w:name w:val="TOC Heading"/>
    <w:basedOn w:val="2"/>
    <w:next w:val="1"/>
    <w:unhideWhenUsed/>
    <w:qFormat/>
    <w:uiPriority w:val="39"/>
    <w:pPr>
      <w:spacing w:before="480" w:line="276" w:lineRule="auto"/>
      <w:jc w:val="left"/>
      <w:outlineLvl w:val="9"/>
    </w:pPr>
    <w:rPr>
      <w:rFonts w:asciiTheme="majorHAnsi" w:hAnsiTheme="majorHAnsi" w:cstheme="majorBidi"/>
      <w:bCs/>
      <w:color w:val="2F5597" w:themeColor="accent1" w:themeShade="BF"/>
      <w:sz w:val="28"/>
      <w:szCs w:val="28"/>
      <w:lang w:val="en-US" w:eastAsia="ja-JP"/>
    </w:rPr>
  </w:style>
  <w:style w:type="character" w:customStyle="1" w:styleId="24">
    <w:name w:val="Balloon Text Char"/>
    <w:basedOn w:val="6"/>
    <w:link w:val="8"/>
    <w:semiHidden/>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cid:image001.png@01D0EA4A.2BD679A0" TargetMode="Externa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1E7094-5FEC-47D7-8A05-58697037238B}">
  <ds:schemaRefs/>
</ds:datastoreItem>
</file>

<file path=docProps/app.xml><?xml version="1.0" encoding="utf-8"?>
<Properties xmlns="http://schemas.openxmlformats.org/officeDocument/2006/extended-properties" xmlns:vt="http://schemas.openxmlformats.org/officeDocument/2006/docPropsVTypes">
  <Template>Normal</Template>
  <Pages>17</Pages>
  <Words>5898</Words>
  <Characters>33619</Characters>
  <Lines>280</Lines>
  <Paragraphs>78</Paragraphs>
  <TotalTime>492</TotalTime>
  <ScaleCrop>false</ScaleCrop>
  <LinksUpToDate>false</LinksUpToDate>
  <CharactersWithSpaces>39439</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2021-10-31T12:16:00Z</dcterms:created>
  <dc:creator>Eleni Koutsogeorgou</dc:creator>
  <cp:lastModifiedBy>pavlin enchev</cp:lastModifiedBy>
  <dcterms:modified xsi:type="dcterms:W3CDTF">2026-02-26T15:00:15Z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BF8B15123C6749CF8D2F1CF9651EC692_12</vt:lpwstr>
  </property>
</Properties>
</file>