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ajorEastAsia" w:hAnsi="Times New Roman" w:cs="Times New Roman"/>
          <w:color w:val="2E74B5" w:themeColor="accent1" w:themeShade="BF"/>
          <w:sz w:val="24"/>
          <w:szCs w:val="24"/>
          <w:lang w:val="en-GB"/>
        </w:rPr>
        <w:id w:val="-1522475554"/>
        <w:docPartObj>
          <w:docPartGallery w:val="Cover Pages"/>
          <w:docPartUnique/>
        </w:docPartObj>
      </w:sdtPr>
      <w:sdtEndPr>
        <w:rPr>
          <w:b/>
          <w:bCs/>
        </w:rPr>
      </w:sdtEndPr>
      <w:sdtContent>
        <w:p w14:paraId="5384490A" w14:textId="68EF20A3" w:rsidR="007D1947" w:rsidRPr="006C3E2A" w:rsidRDefault="007D1947" w:rsidP="006C3E2A">
          <w:pPr>
            <w:pStyle w:val="NoSpacing"/>
            <w:spacing w:line="480" w:lineRule="auto"/>
            <w:jc w:val="center"/>
            <w:rPr>
              <w:rFonts w:ascii="Times New Roman" w:hAnsi="Times New Roman" w:cs="Times New Roman"/>
              <w:sz w:val="24"/>
              <w:szCs w:val="24"/>
            </w:rPr>
          </w:pPr>
          <w:r w:rsidRPr="006C3E2A">
            <w:rPr>
              <w:rFonts w:ascii="Times New Roman" w:hAnsi="Times New Roman" w:cs="Times New Roman"/>
              <w:noProof/>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3AF3293" w:rsidR="007D1947" w:rsidRPr="006C3E2A" w:rsidRDefault="00F575E2" w:rsidP="006C3E2A">
              <w:pPr>
                <w:pStyle w:val="NoSpacing"/>
                <w:pBdr>
                  <w:top w:val="single" w:sz="6" w:space="6" w:color="5B9BD5" w:themeColor="accent1"/>
                  <w:bottom w:val="single" w:sz="6" w:space="6" w:color="5B9BD5" w:themeColor="accent1"/>
                </w:pBdr>
                <w:spacing w:line="480" w:lineRule="auto"/>
                <w:jc w:val="center"/>
                <w:rPr>
                  <w:rFonts w:ascii="Times New Roman" w:eastAsiaTheme="majorEastAsia" w:hAnsi="Times New Roman" w:cs="Times New Roman"/>
                  <w:caps/>
                  <w:sz w:val="24"/>
                  <w:szCs w:val="24"/>
                </w:rPr>
              </w:pPr>
              <w:r>
                <w:rPr>
                  <w:rFonts w:ascii="Times New Roman" w:eastAsiaTheme="majorEastAsia" w:hAnsi="Times New Roman" w:cs="Times New Roman"/>
                  <w:caps/>
                  <w:sz w:val="24"/>
                  <w:szCs w:val="24"/>
                </w:rPr>
                <w:t>finance for business managers</w:t>
              </w:r>
            </w:p>
          </w:sdtContent>
        </w:sdt>
        <w:sdt>
          <w:sdtPr>
            <w:rPr>
              <w:rFonts w:ascii="Times New Roman" w:hAnsi="Times New Roman" w:cs="Times New Roman"/>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AE9F2D8" w:rsidR="007D1947" w:rsidRPr="006C3E2A" w:rsidRDefault="005C1368" w:rsidP="006C3E2A">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BMMB7005</w:t>
              </w:r>
            </w:p>
          </w:sdtContent>
        </w:sdt>
        <w:p w14:paraId="1ADC1124" w14:textId="48CE50B6" w:rsidR="007D1947" w:rsidRPr="006C3E2A" w:rsidRDefault="007D1947" w:rsidP="006C3E2A">
          <w:pPr>
            <w:pStyle w:val="NoSpacing"/>
            <w:spacing w:line="480" w:lineRule="auto"/>
            <w:jc w:val="center"/>
            <w:rPr>
              <w:rFonts w:ascii="Times New Roman" w:hAnsi="Times New Roman" w:cs="Times New Roman"/>
              <w:sz w:val="24"/>
              <w:szCs w:val="24"/>
            </w:rPr>
          </w:pPr>
          <w:r w:rsidRPr="006C3E2A">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79022" w14:textId="2A3059DF"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C1368">
                                      <w:rPr>
                                        <w:color w:val="5B9BD5" w:themeColor="accent1"/>
                                      </w:rPr>
                                      <w:t>DAVOOD ABBASI/1707099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p w14:paraId="3FC79022" w14:textId="2A3059DF"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C1368">
                                <w:rPr>
                                  <w:color w:val="5B9BD5" w:themeColor="accent1"/>
                                </w:rPr>
                                <w:t>DAVOOD ABBASI/1707099</w:t>
                              </w:r>
                            </w:sdtContent>
                          </w:sdt>
                        </w:p>
                      </w:txbxContent>
                    </v:textbox>
                    <w10:wrap anchorx="margin" anchory="page"/>
                  </v:shape>
                </w:pict>
              </mc:Fallback>
            </mc:AlternateContent>
          </w:r>
          <w:r w:rsidRPr="006C3E2A">
            <w:rPr>
              <w:rFonts w:ascii="Times New Roman" w:hAnsi="Times New Roman" w:cs="Times New Roman"/>
              <w:noProof/>
              <w:sz w:val="24"/>
              <w:szCs w:val="24"/>
              <w:lang w:val="en-GB" w:eastAsia="en-GB"/>
            </w:rPr>
            <w:drawing>
              <wp:inline distT="0" distB="0" distL="0" distR="0" wp14:anchorId="4157B111" wp14:editId="6E10FD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5321453" w:rsidR="007D1947" w:rsidRPr="006C3E2A" w:rsidRDefault="007D1947" w:rsidP="006C3E2A">
          <w:pPr>
            <w:pStyle w:val="Heading1"/>
            <w:spacing w:before="0" w:line="480" w:lineRule="auto"/>
            <w:rPr>
              <w:rFonts w:ascii="Times New Roman" w:hAnsi="Times New Roman" w:cs="Times New Roman"/>
              <w:b/>
              <w:bCs/>
              <w:color w:val="auto"/>
              <w:sz w:val="24"/>
              <w:szCs w:val="24"/>
            </w:rPr>
          </w:pPr>
          <w:r w:rsidRPr="006C3E2A">
            <w:rPr>
              <w:rFonts w:ascii="Times New Roman" w:hAnsi="Times New Roman" w:cs="Times New Roman"/>
              <w:color w:val="auto"/>
              <w:sz w:val="24"/>
              <w:szCs w:val="24"/>
            </w:rPr>
            <w:br w:type="page"/>
          </w:r>
          <w:bookmarkStart w:id="0" w:name="_Toc219034106"/>
          <w:r w:rsidRPr="006C3E2A">
            <w:rPr>
              <w:rFonts w:ascii="Times New Roman" w:hAnsi="Times New Roman" w:cs="Times New Roman"/>
              <w:b/>
              <w:bCs/>
              <w:color w:val="auto"/>
              <w:sz w:val="24"/>
              <w:szCs w:val="24"/>
            </w:rPr>
            <w:lastRenderedPageBreak/>
            <w:t>Executive Summary</w:t>
          </w:r>
          <w:bookmarkEnd w:id="0"/>
        </w:p>
        <w:p w14:paraId="35ED0DAC" w14:textId="4399E7E9" w:rsidR="003B0F45" w:rsidRPr="003B0F45" w:rsidRDefault="003B0F45" w:rsidP="006C3E2A">
          <w:pPr>
            <w:spacing w:after="0" w:line="480" w:lineRule="auto"/>
            <w:ind w:firstLine="720"/>
            <w:rPr>
              <w:rFonts w:ascii="Times New Roman" w:hAnsi="Times New Roman" w:cs="Times New Roman"/>
              <w:sz w:val="24"/>
              <w:szCs w:val="24"/>
            </w:rPr>
          </w:pPr>
          <w:r w:rsidRPr="003B0F45">
            <w:rPr>
              <w:rFonts w:ascii="Times New Roman" w:hAnsi="Times New Roman" w:cs="Times New Roman"/>
              <w:sz w:val="24"/>
              <w:szCs w:val="24"/>
            </w:rPr>
            <w:t xml:space="preserve">This report presents a financial analysis of AstraZeneca PLC and investment appraisal recommendations on Westward PLC. As can be established in the financial analysis, AstraZeneca is financially sound, and its financial metrics of profitability are high, with gross profit margin at 81.12 and ROE at 17.21, which are far above its cost of capital of 7.5%. The liquidity standings of the company have also improved with the current ratio of 0.93:1, albeit below the industry standards, with good cash generation of £11,861 million. Such strategic measures as the deployment of a working capital optimisation initiative, the development of quantified R&amp;D portfolio management systems, and the strengthening of supply chains can be </w:t>
          </w:r>
          <w:r w:rsidR="00F85E7A">
            <w:rPr>
              <w:rFonts w:ascii="Times New Roman" w:hAnsi="Times New Roman" w:cs="Times New Roman"/>
              <w:sz w:val="24"/>
              <w:szCs w:val="24"/>
            </w:rPr>
            <w:t xml:space="preserve">mentioned. </w:t>
          </w:r>
          <w:r w:rsidRPr="003B0F45">
            <w:rPr>
              <w:rFonts w:ascii="Times New Roman" w:hAnsi="Times New Roman" w:cs="Times New Roman"/>
              <w:sz w:val="24"/>
              <w:szCs w:val="24"/>
            </w:rPr>
            <w:t>In the case of Westward Plc, the investment appraisal analysis of NPV and IRR methodologies shows that the option providing the best value addition of raising the maximum value is the production of the wood and Roman blinds, which have an NPV of 994,410 and an IRR of 24.8. With capital rationing of £2,500,000, an ideal investment policy would be to choose 100% of the options between A and B and 56.25% of the option C, and the NPV of the start-up will be £2,276,846. The report suggests a combination of equal debt and equity financing of 40 and 60 per cent (100 000 pounds and 150 000 pounds, respectively) that will streamline the capital expenditure and ensure the company has the flexibility in finances.</w:t>
          </w:r>
        </w:p>
        <w:p w14:paraId="62AB7F7D" w14:textId="77777777" w:rsidR="007D1947" w:rsidRPr="006C3E2A" w:rsidRDefault="007D1947" w:rsidP="006C3E2A">
          <w:pPr>
            <w:spacing w:after="0" w:line="480" w:lineRule="auto"/>
            <w:rPr>
              <w:rFonts w:ascii="Times New Roman" w:hAnsi="Times New Roman" w:cs="Times New Roman"/>
              <w:sz w:val="24"/>
              <w:szCs w:val="24"/>
            </w:rPr>
          </w:pPr>
        </w:p>
        <w:p w14:paraId="6846CF66" w14:textId="77777777" w:rsidR="007D1947" w:rsidRPr="006C3E2A" w:rsidRDefault="007D1947" w:rsidP="006C3E2A">
          <w:pPr>
            <w:spacing w:after="0" w:line="480" w:lineRule="auto"/>
            <w:rPr>
              <w:rFonts w:ascii="Times New Roman" w:hAnsi="Times New Roman" w:cs="Times New Roman"/>
              <w:sz w:val="24"/>
              <w:szCs w:val="24"/>
            </w:rPr>
          </w:pPr>
        </w:p>
        <w:p w14:paraId="7F8F78F5" w14:textId="77777777" w:rsidR="007D1947" w:rsidRPr="006C3E2A" w:rsidRDefault="007D1947" w:rsidP="006C3E2A">
          <w:pPr>
            <w:spacing w:after="0" w:line="480" w:lineRule="auto"/>
            <w:rPr>
              <w:rFonts w:ascii="Times New Roman" w:hAnsi="Times New Roman" w:cs="Times New Roman"/>
              <w:sz w:val="24"/>
              <w:szCs w:val="24"/>
            </w:rPr>
          </w:pPr>
        </w:p>
        <w:p w14:paraId="3E204757" w14:textId="77777777" w:rsidR="007D1947" w:rsidRPr="006C3E2A" w:rsidRDefault="007D1947" w:rsidP="006C3E2A">
          <w:pPr>
            <w:spacing w:after="0" w:line="480" w:lineRule="auto"/>
            <w:rPr>
              <w:rFonts w:ascii="Times New Roman" w:hAnsi="Times New Roman" w:cs="Times New Roman"/>
              <w:sz w:val="24"/>
              <w:szCs w:val="24"/>
            </w:rPr>
          </w:pPr>
        </w:p>
        <w:p w14:paraId="775DA3A7" w14:textId="77777777" w:rsidR="007D1947" w:rsidRPr="006C3E2A" w:rsidRDefault="007D1947" w:rsidP="006C3E2A">
          <w:pPr>
            <w:spacing w:after="0" w:line="480" w:lineRule="auto"/>
            <w:rPr>
              <w:rFonts w:ascii="Times New Roman" w:hAnsi="Times New Roman" w:cs="Times New Roman"/>
              <w:sz w:val="24"/>
              <w:szCs w:val="24"/>
            </w:rPr>
          </w:pPr>
        </w:p>
        <w:p w14:paraId="5E5C2FB5" w14:textId="77777777" w:rsidR="007D1947" w:rsidRPr="006C3E2A" w:rsidRDefault="007D1947" w:rsidP="006C3E2A">
          <w:pPr>
            <w:spacing w:after="0" w:line="480" w:lineRule="auto"/>
            <w:rPr>
              <w:rFonts w:ascii="Times New Roman" w:hAnsi="Times New Roman" w:cs="Times New Roman"/>
              <w:sz w:val="24"/>
              <w:szCs w:val="24"/>
            </w:rPr>
          </w:pPr>
        </w:p>
        <w:p w14:paraId="0EAD00A7" w14:textId="77777777" w:rsidR="007D1947" w:rsidRPr="006C3E2A" w:rsidRDefault="007D1947" w:rsidP="006C3E2A">
          <w:pPr>
            <w:spacing w:after="0"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6C3E2A" w:rsidRDefault="007D1947" w:rsidP="006C3E2A">
              <w:pPr>
                <w:pStyle w:val="TOCHeading"/>
                <w:spacing w:before="0" w:line="480" w:lineRule="auto"/>
                <w:jc w:val="center"/>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Table of Contents</w:t>
              </w:r>
            </w:p>
            <w:p w14:paraId="40DDE579" w14:textId="4D65E8FB" w:rsidR="00CF6830" w:rsidRDefault="007D1947">
              <w:pPr>
                <w:pStyle w:val="TOC1"/>
                <w:tabs>
                  <w:tab w:val="right" w:leader="dot" w:pos="9016"/>
                </w:tabs>
                <w:rPr>
                  <w:rFonts w:eastAsiaTheme="minorEastAsia"/>
                  <w:noProof/>
                  <w:kern w:val="2"/>
                  <w:sz w:val="24"/>
                  <w:szCs w:val="24"/>
                  <w:lang w:eastAsia="en-GB"/>
                  <w14:ligatures w14:val="standardContextual"/>
                </w:rPr>
              </w:pPr>
              <w:r w:rsidRPr="006C3E2A">
                <w:rPr>
                  <w:rFonts w:ascii="Times New Roman" w:hAnsi="Times New Roman" w:cs="Times New Roman"/>
                  <w:sz w:val="24"/>
                  <w:szCs w:val="24"/>
                </w:rPr>
                <w:fldChar w:fldCharType="begin"/>
              </w:r>
              <w:r w:rsidRPr="006C3E2A">
                <w:rPr>
                  <w:rFonts w:ascii="Times New Roman" w:hAnsi="Times New Roman" w:cs="Times New Roman"/>
                  <w:sz w:val="24"/>
                  <w:szCs w:val="24"/>
                </w:rPr>
                <w:instrText xml:space="preserve"> TOC \o "1-3" \h \z \u </w:instrText>
              </w:r>
              <w:r w:rsidRPr="006C3E2A">
                <w:rPr>
                  <w:rFonts w:ascii="Times New Roman" w:hAnsi="Times New Roman" w:cs="Times New Roman"/>
                  <w:sz w:val="24"/>
                  <w:szCs w:val="24"/>
                </w:rPr>
                <w:fldChar w:fldCharType="separate"/>
              </w:r>
              <w:hyperlink w:anchor="_Toc219034106" w:history="1">
                <w:r w:rsidR="00CF6830" w:rsidRPr="004B2AE6">
                  <w:rPr>
                    <w:rStyle w:val="Hyperlink"/>
                    <w:rFonts w:ascii="Times New Roman" w:hAnsi="Times New Roman" w:cs="Times New Roman"/>
                    <w:b/>
                    <w:bCs/>
                    <w:noProof/>
                  </w:rPr>
                  <w:t>Executive Summary</w:t>
                </w:r>
                <w:r w:rsidR="00CF6830">
                  <w:rPr>
                    <w:noProof/>
                    <w:webHidden/>
                  </w:rPr>
                  <w:tab/>
                </w:r>
                <w:r w:rsidR="00CF6830">
                  <w:rPr>
                    <w:noProof/>
                    <w:webHidden/>
                  </w:rPr>
                  <w:fldChar w:fldCharType="begin"/>
                </w:r>
                <w:r w:rsidR="00CF6830">
                  <w:rPr>
                    <w:noProof/>
                    <w:webHidden/>
                  </w:rPr>
                  <w:instrText xml:space="preserve"> PAGEREF _Toc219034106 \h </w:instrText>
                </w:r>
                <w:r w:rsidR="00CF6830">
                  <w:rPr>
                    <w:noProof/>
                    <w:webHidden/>
                  </w:rPr>
                </w:r>
                <w:r w:rsidR="00CF6830">
                  <w:rPr>
                    <w:noProof/>
                    <w:webHidden/>
                  </w:rPr>
                  <w:fldChar w:fldCharType="separate"/>
                </w:r>
                <w:r w:rsidR="00CF6830">
                  <w:rPr>
                    <w:noProof/>
                    <w:webHidden/>
                  </w:rPr>
                  <w:t>1</w:t>
                </w:r>
                <w:r w:rsidR="00CF6830">
                  <w:rPr>
                    <w:noProof/>
                    <w:webHidden/>
                  </w:rPr>
                  <w:fldChar w:fldCharType="end"/>
                </w:r>
              </w:hyperlink>
            </w:p>
            <w:p w14:paraId="1BB930B2" w14:textId="115E319E" w:rsidR="00CF6830" w:rsidRDefault="00CF6830">
              <w:pPr>
                <w:pStyle w:val="TOC1"/>
                <w:tabs>
                  <w:tab w:val="right" w:leader="dot" w:pos="9016"/>
                </w:tabs>
                <w:rPr>
                  <w:rFonts w:eastAsiaTheme="minorEastAsia"/>
                  <w:noProof/>
                  <w:kern w:val="2"/>
                  <w:sz w:val="24"/>
                  <w:szCs w:val="24"/>
                  <w:lang w:eastAsia="en-GB"/>
                  <w14:ligatures w14:val="standardContextual"/>
                </w:rPr>
              </w:pPr>
              <w:hyperlink w:anchor="_Toc219034107" w:history="1">
                <w:r w:rsidRPr="004B2AE6">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_Toc219034107 \h </w:instrText>
                </w:r>
                <w:r>
                  <w:rPr>
                    <w:noProof/>
                    <w:webHidden/>
                  </w:rPr>
                </w:r>
                <w:r>
                  <w:rPr>
                    <w:noProof/>
                    <w:webHidden/>
                  </w:rPr>
                  <w:fldChar w:fldCharType="separate"/>
                </w:r>
                <w:r>
                  <w:rPr>
                    <w:noProof/>
                    <w:webHidden/>
                  </w:rPr>
                  <w:t>3</w:t>
                </w:r>
                <w:r>
                  <w:rPr>
                    <w:noProof/>
                    <w:webHidden/>
                  </w:rPr>
                  <w:fldChar w:fldCharType="end"/>
                </w:r>
              </w:hyperlink>
            </w:p>
            <w:p w14:paraId="2A8DD90F" w14:textId="192B8308" w:rsidR="00CF6830" w:rsidRDefault="00CF6830">
              <w:pPr>
                <w:pStyle w:val="TOC1"/>
                <w:tabs>
                  <w:tab w:val="right" w:leader="dot" w:pos="9016"/>
                </w:tabs>
                <w:rPr>
                  <w:rFonts w:eastAsiaTheme="minorEastAsia"/>
                  <w:noProof/>
                  <w:kern w:val="2"/>
                  <w:sz w:val="24"/>
                  <w:szCs w:val="24"/>
                  <w:lang w:eastAsia="en-GB"/>
                  <w14:ligatures w14:val="standardContextual"/>
                </w:rPr>
              </w:pPr>
              <w:hyperlink w:anchor="_Toc219034108" w:history="1">
                <w:r w:rsidRPr="004B2AE6">
                  <w:rPr>
                    <w:rStyle w:val="Hyperlink"/>
                    <w:rFonts w:ascii="Times New Roman" w:hAnsi="Times New Roman" w:cs="Times New Roman"/>
                    <w:b/>
                    <w:bCs/>
                    <w:noProof/>
                  </w:rPr>
                  <w:t>Main Findings</w:t>
                </w:r>
                <w:r>
                  <w:rPr>
                    <w:noProof/>
                    <w:webHidden/>
                  </w:rPr>
                  <w:tab/>
                </w:r>
                <w:r>
                  <w:rPr>
                    <w:noProof/>
                    <w:webHidden/>
                  </w:rPr>
                  <w:fldChar w:fldCharType="begin"/>
                </w:r>
                <w:r>
                  <w:rPr>
                    <w:noProof/>
                    <w:webHidden/>
                  </w:rPr>
                  <w:instrText xml:space="preserve"> PAGEREF _Toc219034108 \h </w:instrText>
                </w:r>
                <w:r>
                  <w:rPr>
                    <w:noProof/>
                    <w:webHidden/>
                  </w:rPr>
                </w:r>
                <w:r>
                  <w:rPr>
                    <w:noProof/>
                    <w:webHidden/>
                  </w:rPr>
                  <w:fldChar w:fldCharType="separate"/>
                </w:r>
                <w:r>
                  <w:rPr>
                    <w:noProof/>
                    <w:webHidden/>
                  </w:rPr>
                  <w:t>4</w:t>
                </w:r>
                <w:r>
                  <w:rPr>
                    <w:noProof/>
                    <w:webHidden/>
                  </w:rPr>
                  <w:fldChar w:fldCharType="end"/>
                </w:r>
              </w:hyperlink>
            </w:p>
            <w:p w14:paraId="1ECCD75D" w14:textId="23B63607"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09" w:history="1">
                <w:r w:rsidRPr="004B2AE6">
                  <w:rPr>
                    <w:rStyle w:val="Hyperlink"/>
                    <w:rFonts w:ascii="Times New Roman" w:hAnsi="Times New Roman" w:cs="Times New Roman"/>
                    <w:b/>
                    <w:bCs/>
                    <w:noProof/>
                  </w:rPr>
                  <w:t>Company Brief</w:t>
                </w:r>
                <w:r>
                  <w:rPr>
                    <w:noProof/>
                    <w:webHidden/>
                  </w:rPr>
                  <w:tab/>
                </w:r>
                <w:r>
                  <w:rPr>
                    <w:noProof/>
                    <w:webHidden/>
                  </w:rPr>
                  <w:fldChar w:fldCharType="begin"/>
                </w:r>
                <w:r>
                  <w:rPr>
                    <w:noProof/>
                    <w:webHidden/>
                  </w:rPr>
                  <w:instrText xml:space="preserve"> PAGEREF _Toc219034109 \h </w:instrText>
                </w:r>
                <w:r>
                  <w:rPr>
                    <w:noProof/>
                    <w:webHidden/>
                  </w:rPr>
                </w:r>
                <w:r>
                  <w:rPr>
                    <w:noProof/>
                    <w:webHidden/>
                  </w:rPr>
                  <w:fldChar w:fldCharType="separate"/>
                </w:r>
                <w:r>
                  <w:rPr>
                    <w:noProof/>
                    <w:webHidden/>
                  </w:rPr>
                  <w:t>4</w:t>
                </w:r>
                <w:r>
                  <w:rPr>
                    <w:noProof/>
                    <w:webHidden/>
                  </w:rPr>
                  <w:fldChar w:fldCharType="end"/>
                </w:r>
              </w:hyperlink>
            </w:p>
            <w:p w14:paraId="336EC621" w14:textId="56DED06E"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0" w:history="1">
                <w:r w:rsidRPr="004B2AE6">
                  <w:rPr>
                    <w:rStyle w:val="Hyperlink"/>
                    <w:rFonts w:ascii="Times New Roman" w:hAnsi="Times New Roman" w:cs="Times New Roman"/>
                    <w:b/>
                    <w:bCs/>
                    <w:noProof/>
                  </w:rPr>
                  <w:t>Financial Ratio Analysis</w:t>
                </w:r>
                <w:r>
                  <w:rPr>
                    <w:noProof/>
                    <w:webHidden/>
                  </w:rPr>
                  <w:tab/>
                </w:r>
                <w:r>
                  <w:rPr>
                    <w:noProof/>
                    <w:webHidden/>
                  </w:rPr>
                  <w:fldChar w:fldCharType="begin"/>
                </w:r>
                <w:r>
                  <w:rPr>
                    <w:noProof/>
                    <w:webHidden/>
                  </w:rPr>
                  <w:instrText xml:space="preserve"> PAGEREF _Toc219034110 \h </w:instrText>
                </w:r>
                <w:r>
                  <w:rPr>
                    <w:noProof/>
                    <w:webHidden/>
                  </w:rPr>
                </w:r>
                <w:r>
                  <w:rPr>
                    <w:noProof/>
                    <w:webHidden/>
                  </w:rPr>
                  <w:fldChar w:fldCharType="separate"/>
                </w:r>
                <w:r>
                  <w:rPr>
                    <w:noProof/>
                    <w:webHidden/>
                  </w:rPr>
                  <w:t>5</w:t>
                </w:r>
                <w:r>
                  <w:rPr>
                    <w:noProof/>
                    <w:webHidden/>
                  </w:rPr>
                  <w:fldChar w:fldCharType="end"/>
                </w:r>
              </w:hyperlink>
            </w:p>
            <w:p w14:paraId="3BB3B46F" w14:textId="371796EF"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1" w:history="1">
                <w:r w:rsidRPr="004B2AE6">
                  <w:rPr>
                    <w:rStyle w:val="Hyperlink"/>
                    <w:rFonts w:ascii="Times New Roman" w:hAnsi="Times New Roman" w:cs="Times New Roman"/>
                    <w:b/>
                    <w:bCs/>
                    <w:noProof/>
                  </w:rPr>
                  <w:t>Critical Evaluation</w:t>
                </w:r>
                <w:r>
                  <w:rPr>
                    <w:noProof/>
                    <w:webHidden/>
                  </w:rPr>
                  <w:tab/>
                </w:r>
                <w:r>
                  <w:rPr>
                    <w:noProof/>
                    <w:webHidden/>
                  </w:rPr>
                  <w:fldChar w:fldCharType="begin"/>
                </w:r>
                <w:r>
                  <w:rPr>
                    <w:noProof/>
                    <w:webHidden/>
                  </w:rPr>
                  <w:instrText xml:space="preserve"> PAGEREF _Toc219034111 \h </w:instrText>
                </w:r>
                <w:r>
                  <w:rPr>
                    <w:noProof/>
                    <w:webHidden/>
                  </w:rPr>
                </w:r>
                <w:r>
                  <w:rPr>
                    <w:noProof/>
                    <w:webHidden/>
                  </w:rPr>
                  <w:fldChar w:fldCharType="separate"/>
                </w:r>
                <w:r>
                  <w:rPr>
                    <w:noProof/>
                    <w:webHidden/>
                  </w:rPr>
                  <w:t>11</w:t>
                </w:r>
                <w:r>
                  <w:rPr>
                    <w:noProof/>
                    <w:webHidden/>
                  </w:rPr>
                  <w:fldChar w:fldCharType="end"/>
                </w:r>
              </w:hyperlink>
            </w:p>
            <w:p w14:paraId="781DD4FF" w14:textId="49CE9961"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2" w:history="1">
                <w:r w:rsidRPr="004B2AE6">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_Toc219034112 \h </w:instrText>
                </w:r>
                <w:r>
                  <w:rPr>
                    <w:noProof/>
                    <w:webHidden/>
                  </w:rPr>
                </w:r>
                <w:r>
                  <w:rPr>
                    <w:noProof/>
                    <w:webHidden/>
                  </w:rPr>
                  <w:fldChar w:fldCharType="separate"/>
                </w:r>
                <w:r>
                  <w:rPr>
                    <w:noProof/>
                    <w:webHidden/>
                  </w:rPr>
                  <w:t>14</w:t>
                </w:r>
                <w:r>
                  <w:rPr>
                    <w:noProof/>
                    <w:webHidden/>
                  </w:rPr>
                  <w:fldChar w:fldCharType="end"/>
                </w:r>
              </w:hyperlink>
            </w:p>
            <w:p w14:paraId="2B813033" w14:textId="25786D98" w:rsidR="00CF6830" w:rsidRDefault="00CF6830">
              <w:pPr>
                <w:pStyle w:val="TOC2"/>
                <w:tabs>
                  <w:tab w:val="right" w:leader="dot" w:pos="9016"/>
                </w:tabs>
                <w:rPr>
                  <w:rFonts w:eastAsiaTheme="minorEastAsia"/>
                  <w:noProof/>
                  <w:kern w:val="2"/>
                  <w:sz w:val="24"/>
                  <w:szCs w:val="24"/>
                  <w:lang w:eastAsia="en-GB"/>
                  <w14:ligatures w14:val="standardContextual"/>
                </w:rPr>
              </w:pPr>
              <w:hyperlink w:anchor="_Toc219034113" w:history="1">
                <w:r w:rsidRPr="004B2AE6">
                  <w:rPr>
                    <w:rStyle w:val="Hyperlink"/>
                    <w:rFonts w:ascii="Times New Roman" w:hAnsi="Times New Roman" w:cs="Times New Roman"/>
                    <w:b/>
                    <w:bCs/>
                    <w:noProof/>
                  </w:rPr>
                  <w:t>Investment Appraisal and Financing Strategy for Westward Plc</w:t>
                </w:r>
                <w:r>
                  <w:rPr>
                    <w:noProof/>
                    <w:webHidden/>
                  </w:rPr>
                  <w:tab/>
                </w:r>
                <w:r>
                  <w:rPr>
                    <w:noProof/>
                    <w:webHidden/>
                  </w:rPr>
                  <w:fldChar w:fldCharType="begin"/>
                </w:r>
                <w:r>
                  <w:rPr>
                    <w:noProof/>
                    <w:webHidden/>
                  </w:rPr>
                  <w:instrText xml:space="preserve"> PAGEREF _Toc219034113 \h </w:instrText>
                </w:r>
                <w:r>
                  <w:rPr>
                    <w:noProof/>
                    <w:webHidden/>
                  </w:rPr>
                </w:r>
                <w:r>
                  <w:rPr>
                    <w:noProof/>
                    <w:webHidden/>
                  </w:rPr>
                  <w:fldChar w:fldCharType="separate"/>
                </w:r>
                <w:r>
                  <w:rPr>
                    <w:noProof/>
                    <w:webHidden/>
                  </w:rPr>
                  <w:t>17</w:t>
                </w:r>
                <w:r>
                  <w:rPr>
                    <w:noProof/>
                    <w:webHidden/>
                  </w:rPr>
                  <w:fldChar w:fldCharType="end"/>
                </w:r>
              </w:hyperlink>
            </w:p>
            <w:p w14:paraId="1622EE38" w14:textId="67186CB0" w:rsidR="00CF6830" w:rsidRDefault="00CF6830">
              <w:pPr>
                <w:pStyle w:val="TOC2"/>
                <w:tabs>
                  <w:tab w:val="right" w:leader="dot" w:pos="9016"/>
                </w:tabs>
                <w:rPr>
                  <w:rFonts w:eastAsiaTheme="minorEastAsia"/>
                  <w:noProof/>
                  <w:kern w:val="2"/>
                  <w:sz w:val="24"/>
                  <w:szCs w:val="24"/>
                  <w:lang w:eastAsia="en-GB"/>
                  <w14:ligatures w14:val="standardContextual"/>
                </w:rPr>
              </w:pPr>
              <w:hyperlink w:anchor="_Toc219034114" w:history="1">
                <w:r w:rsidRPr="004B2AE6">
                  <w:rPr>
                    <w:rStyle w:val="Hyperlink"/>
                    <w:rFonts w:ascii="Times New Roman" w:hAnsi="Times New Roman" w:cs="Times New Roman"/>
                    <w:b/>
                    <w:bCs/>
                    <w:noProof/>
                  </w:rPr>
                  <w:t>Net Present Value Analysis</w:t>
                </w:r>
                <w:r>
                  <w:rPr>
                    <w:noProof/>
                    <w:webHidden/>
                  </w:rPr>
                  <w:tab/>
                </w:r>
                <w:r>
                  <w:rPr>
                    <w:noProof/>
                    <w:webHidden/>
                  </w:rPr>
                  <w:fldChar w:fldCharType="begin"/>
                </w:r>
                <w:r>
                  <w:rPr>
                    <w:noProof/>
                    <w:webHidden/>
                  </w:rPr>
                  <w:instrText xml:space="preserve"> PAGEREF _Toc219034114 \h </w:instrText>
                </w:r>
                <w:r>
                  <w:rPr>
                    <w:noProof/>
                    <w:webHidden/>
                  </w:rPr>
                </w:r>
                <w:r>
                  <w:rPr>
                    <w:noProof/>
                    <w:webHidden/>
                  </w:rPr>
                  <w:fldChar w:fldCharType="separate"/>
                </w:r>
                <w:r>
                  <w:rPr>
                    <w:noProof/>
                    <w:webHidden/>
                  </w:rPr>
                  <w:t>17</w:t>
                </w:r>
                <w:r>
                  <w:rPr>
                    <w:noProof/>
                    <w:webHidden/>
                  </w:rPr>
                  <w:fldChar w:fldCharType="end"/>
                </w:r>
              </w:hyperlink>
            </w:p>
            <w:p w14:paraId="55199E14" w14:textId="5E2CE6E3"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5" w:history="1">
                <w:r w:rsidRPr="004B2AE6">
                  <w:rPr>
                    <w:rStyle w:val="Hyperlink"/>
                    <w:rFonts w:ascii="Times New Roman" w:hAnsi="Times New Roman" w:cs="Times New Roman"/>
                    <w:b/>
                    <w:bCs/>
                    <w:noProof/>
                  </w:rPr>
                  <w:t>Internal Rate of Return Analysis</w:t>
                </w:r>
                <w:r>
                  <w:rPr>
                    <w:noProof/>
                    <w:webHidden/>
                  </w:rPr>
                  <w:tab/>
                </w:r>
                <w:r>
                  <w:rPr>
                    <w:noProof/>
                    <w:webHidden/>
                  </w:rPr>
                  <w:fldChar w:fldCharType="begin"/>
                </w:r>
                <w:r>
                  <w:rPr>
                    <w:noProof/>
                    <w:webHidden/>
                  </w:rPr>
                  <w:instrText xml:space="preserve"> PAGEREF _Toc219034115 \h </w:instrText>
                </w:r>
                <w:r>
                  <w:rPr>
                    <w:noProof/>
                    <w:webHidden/>
                  </w:rPr>
                </w:r>
                <w:r>
                  <w:rPr>
                    <w:noProof/>
                    <w:webHidden/>
                  </w:rPr>
                  <w:fldChar w:fldCharType="separate"/>
                </w:r>
                <w:r>
                  <w:rPr>
                    <w:noProof/>
                    <w:webHidden/>
                  </w:rPr>
                  <w:t>18</w:t>
                </w:r>
                <w:r>
                  <w:rPr>
                    <w:noProof/>
                    <w:webHidden/>
                  </w:rPr>
                  <w:fldChar w:fldCharType="end"/>
                </w:r>
              </w:hyperlink>
            </w:p>
            <w:p w14:paraId="52D246E5" w14:textId="239461D1"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6" w:history="1">
                <w:r w:rsidRPr="004B2AE6">
                  <w:rPr>
                    <w:rStyle w:val="Hyperlink"/>
                    <w:rFonts w:ascii="Times New Roman" w:hAnsi="Times New Roman" w:cs="Times New Roman"/>
                    <w:b/>
                    <w:bCs/>
                    <w:noProof/>
                  </w:rPr>
                  <w:t>Interpretation and Management Implications</w:t>
                </w:r>
                <w:r>
                  <w:rPr>
                    <w:noProof/>
                    <w:webHidden/>
                  </w:rPr>
                  <w:tab/>
                </w:r>
                <w:r>
                  <w:rPr>
                    <w:noProof/>
                    <w:webHidden/>
                  </w:rPr>
                  <w:fldChar w:fldCharType="begin"/>
                </w:r>
                <w:r>
                  <w:rPr>
                    <w:noProof/>
                    <w:webHidden/>
                  </w:rPr>
                  <w:instrText xml:space="preserve"> PAGEREF _Toc219034116 \h </w:instrText>
                </w:r>
                <w:r>
                  <w:rPr>
                    <w:noProof/>
                    <w:webHidden/>
                  </w:rPr>
                </w:r>
                <w:r>
                  <w:rPr>
                    <w:noProof/>
                    <w:webHidden/>
                  </w:rPr>
                  <w:fldChar w:fldCharType="separate"/>
                </w:r>
                <w:r>
                  <w:rPr>
                    <w:noProof/>
                    <w:webHidden/>
                  </w:rPr>
                  <w:t>19</w:t>
                </w:r>
                <w:r>
                  <w:rPr>
                    <w:noProof/>
                    <w:webHidden/>
                  </w:rPr>
                  <w:fldChar w:fldCharType="end"/>
                </w:r>
              </w:hyperlink>
            </w:p>
            <w:p w14:paraId="67F6B307" w14:textId="603C9553"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7" w:history="1">
                <w:r w:rsidRPr="004B2AE6">
                  <w:rPr>
                    <w:rStyle w:val="Hyperlink"/>
                    <w:rFonts w:ascii="Times New Roman" w:hAnsi="Times New Roman" w:cs="Times New Roman"/>
                    <w:b/>
                    <w:bCs/>
                    <w:noProof/>
                  </w:rPr>
                  <w:t>Optimal Investment Policy Under Capital Rationing</w:t>
                </w:r>
                <w:r>
                  <w:rPr>
                    <w:noProof/>
                    <w:webHidden/>
                  </w:rPr>
                  <w:tab/>
                </w:r>
                <w:r>
                  <w:rPr>
                    <w:noProof/>
                    <w:webHidden/>
                  </w:rPr>
                  <w:fldChar w:fldCharType="begin"/>
                </w:r>
                <w:r>
                  <w:rPr>
                    <w:noProof/>
                    <w:webHidden/>
                  </w:rPr>
                  <w:instrText xml:space="preserve"> PAGEREF _Toc219034117 \h </w:instrText>
                </w:r>
                <w:r>
                  <w:rPr>
                    <w:noProof/>
                    <w:webHidden/>
                  </w:rPr>
                </w:r>
                <w:r>
                  <w:rPr>
                    <w:noProof/>
                    <w:webHidden/>
                  </w:rPr>
                  <w:fldChar w:fldCharType="separate"/>
                </w:r>
                <w:r>
                  <w:rPr>
                    <w:noProof/>
                    <w:webHidden/>
                  </w:rPr>
                  <w:t>22</w:t>
                </w:r>
                <w:r>
                  <w:rPr>
                    <w:noProof/>
                    <w:webHidden/>
                  </w:rPr>
                  <w:fldChar w:fldCharType="end"/>
                </w:r>
              </w:hyperlink>
            </w:p>
            <w:p w14:paraId="7E3F0CB3" w14:textId="2C5C7AD2"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8" w:history="1">
                <w:r w:rsidRPr="004B2AE6">
                  <w:rPr>
                    <w:rStyle w:val="Hyperlink"/>
                    <w:rFonts w:ascii="Times New Roman" w:hAnsi="Times New Roman" w:cs="Times New Roman"/>
                    <w:b/>
                    <w:bCs/>
                    <w:noProof/>
                  </w:rPr>
                  <w:t>Financing Recommendations</w:t>
                </w:r>
                <w:r>
                  <w:rPr>
                    <w:noProof/>
                    <w:webHidden/>
                  </w:rPr>
                  <w:tab/>
                </w:r>
                <w:r>
                  <w:rPr>
                    <w:noProof/>
                    <w:webHidden/>
                  </w:rPr>
                  <w:fldChar w:fldCharType="begin"/>
                </w:r>
                <w:r>
                  <w:rPr>
                    <w:noProof/>
                    <w:webHidden/>
                  </w:rPr>
                  <w:instrText xml:space="preserve"> PAGEREF _Toc219034118 \h </w:instrText>
                </w:r>
                <w:r>
                  <w:rPr>
                    <w:noProof/>
                    <w:webHidden/>
                  </w:rPr>
                </w:r>
                <w:r>
                  <w:rPr>
                    <w:noProof/>
                    <w:webHidden/>
                  </w:rPr>
                  <w:fldChar w:fldCharType="separate"/>
                </w:r>
                <w:r>
                  <w:rPr>
                    <w:noProof/>
                    <w:webHidden/>
                  </w:rPr>
                  <w:t>23</w:t>
                </w:r>
                <w:r>
                  <w:rPr>
                    <w:noProof/>
                    <w:webHidden/>
                  </w:rPr>
                  <w:fldChar w:fldCharType="end"/>
                </w:r>
              </w:hyperlink>
            </w:p>
            <w:p w14:paraId="53D72437" w14:textId="2E08630B" w:rsidR="00CF6830" w:rsidRDefault="00CF6830">
              <w:pPr>
                <w:pStyle w:val="TOC3"/>
                <w:tabs>
                  <w:tab w:val="right" w:leader="dot" w:pos="9016"/>
                </w:tabs>
                <w:rPr>
                  <w:rFonts w:eastAsiaTheme="minorEastAsia"/>
                  <w:noProof/>
                  <w:kern w:val="2"/>
                  <w:sz w:val="24"/>
                  <w:szCs w:val="24"/>
                  <w:lang w:eastAsia="en-GB"/>
                  <w14:ligatures w14:val="standardContextual"/>
                </w:rPr>
              </w:pPr>
              <w:hyperlink w:anchor="_Toc219034119" w:history="1">
                <w:r w:rsidRPr="004B2AE6">
                  <w:rPr>
                    <w:rStyle w:val="Hyperlink"/>
                    <w:rFonts w:ascii="Times New Roman" w:hAnsi="Times New Roman" w:cs="Times New Roman"/>
                    <w:b/>
                    <w:bCs/>
                    <w:noProof/>
                  </w:rPr>
                  <w:t>Conclusion and Recommendations</w:t>
                </w:r>
                <w:r>
                  <w:rPr>
                    <w:noProof/>
                    <w:webHidden/>
                  </w:rPr>
                  <w:tab/>
                </w:r>
                <w:r>
                  <w:rPr>
                    <w:noProof/>
                    <w:webHidden/>
                  </w:rPr>
                  <w:fldChar w:fldCharType="begin"/>
                </w:r>
                <w:r>
                  <w:rPr>
                    <w:noProof/>
                    <w:webHidden/>
                  </w:rPr>
                  <w:instrText xml:space="preserve"> PAGEREF _Toc219034119 \h </w:instrText>
                </w:r>
                <w:r>
                  <w:rPr>
                    <w:noProof/>
                    <w:webHidden/>
                  </w:rPr>
                </w:r>
                <w:r>
                  <w:rPr>
                    <w:noProof/>
                    <w:webHidden/>
                  </w:rPr>
                  <w:fldChar w:fldCharType="separate"/>
                </w:r>
                <w:r>
                  <w:rPr>
                    <w:noProof/>
                    <w:webHidden/>
                  </w:rPr>
                  <w:t>25</w:t>
                </w:r>
                <w:r>
                  <w:rPr>
                    <w:noProof/>
                    <w:webHidden/>
                  </w:rPr>
                  <w:fldChar w:fldCharType="end"/>
                </w:r>
              </w:hyperlink>
            </w:p>
            <w:p w14:paraId="7F952F1D" w14:textId="45C76624" w:rsidR="00CF6830" w:rsidRDefault="00CF6830">
              <w:pPr>
                <w:pStyle w:val="TOC1"/>
                <w:tabs>
                  <w:tab w:val="right" w:leader="dot" w:pos="9016"/>
                </w:tabs>
                <w:rPr>
                  <w:rFonts w:eastAsiaTheme="minorEastAsia"/>
                  <w:noProof/>
                  <w:kern w:val="2"/>
                  <w:sz w:val="24"/>
                  <w:szCs w:val="24"/>
                  <w:lang w:eastAsia="en-GB"/>
                  <w14:ligatures w14:val="standardContextual"/>
                </w:rPr>
              </w:pPr>
              <w:hyperlink w:anchor="_Toc219034120" w:history="1">
                <w:r w:rsidRPr="004B2AE6">
                  <w:rPr>
                    <w:rStyle w:val="Hyperlink"/>
                    <w:rFonts w:ascii="Times New Roman" w:hAnsi="Times New Roman" w:cs="Times New Roman"/>
                    <w:b/>
                    <w:bCs/>
                    <w:noProof/>
                  </w:rPr>
                  <w:t>Conclus</w:t>
                </w:r>
                <w:r w:rsidRPr="004B2AE6">
                  <w:rPr>
                    <w:rStyle w:val="Hyperlink"/>
                    <w:rFonts w:ascii="Times New Roman" w:hAnsi="Times New Roman" w:cs="Times New Roman"/>
                    <w:b/>
                    <w:bCs/>
                    <w:noProof/>
                  </w:rPr>
                  <w:t>i</w:t>
                </w:r>
                <w:r w:rsidRPr="004B2AE6">
                  <w:rPr>
                    <w:rStyle w:val="Hyperlink"/>
                    <w:rFonts w:ascii="Times New Roman" w:hAnsi="Times New Roman" w:cs="Times New Roman"/>
                    <w:b/>
                    <w:bCs/>
                    <w:noProof/>
                  </w:rPr>
                  <w:t>on</w:t>
                </w:r>
                <w:r>
                  <w:rPr>
                    <w:noProof/>
                    <w:webHidden/>
                  </w:rPr>
                  <w:tab/>
                </w:r>
                <w:r>
                  <w:rPr>
                    <w:noProof/>
                    <w:webHidden/>
                  </w:rPr>
                  <w:fldChar w:fldCharType="begin"/>
                </w:r>
                <w:r>
                  <w:rPr>
                    <w:noProof/>
                    <w:webHidden/>
                  </w:rPr>
                  <w:instrText xml:space="preserve"> PAGEREF _Toc219034120 \h </w:instrText>
                </w:r>
                <w:r>
                  <w:rPr>
                    <w:noProof/>
                    <w:webHidden/>
                  </w:rPr>
                </w:r>
                <w:r>
                  <w:rPr>
                    <w:noProof/>
                    <w:webHidden/>
                  </w:rPr>
                  <w:fldChar w:fldCharType="separate"/>
                </w:r>
                <w:r>
                  <w:rPr>
                    <w:noProof/>
                    <w:webHidden/>
                  </w:rPr>
                  <w:t>26</w:t>
                </w:r>
                <w:r>
                  <w:rPr>
                    <w:noProof/>
                    <w:webHidden/>
                  </w:rPr>
                  <w:fldChar w:fldCharType="end"/>
                </w:r>
              </w:hyperlink>
            </w:p>
            <w:p w14:paraId="193D6346" w14:textId="42BBC432" w:rsidR="00CF6830" w:rsidRDefault="00CF6830">
              <w:pPr>
                <w:pStyle w:val="TOC1"/>
                <w:tabs>
                  <w:tab w:val="right" w:leader="dot" w:pos="9016"/>
                </w:tabs>
                <w:rPr>
                  <w:rFonts w:eastAsiaTheme="minorEastAsia"/>
                  <w:noProof/>
                  <w:kern w:val="2"/>
                  <w:sz w:val="24"/>
                  <w:szCs w:val="24"/>
                  <w:lang w:eastAsia="en-GB"/>
                  <w14:ligatures w14:val="standardContextual"/>
                </w:rPr>
              </w:pPr>
              <w:hyperlink w:anchor="_Toc219034121" w:history="1">
                <w:r w:rsidRPr="004B2AE6">
                  <w:rPr>
                    <w:rStyle w:val="Hyperlink"/>
                    <w:rFonts w:ascii="Times New Roman" w:hAnsi="Times New Roman" w:cs="Times New Roman"/>
                    <w:b/>
                    <w:bCs/>
                    <w:noProof/>
                  </w:rPr>
                  <w:t>Bibliography</w:t>
                </w:r>
                <w:r>
                  <w:rPr>
                    <w:noProof/>
                    <w:webHidden/>
                  </w:rPr>
                  <w:tab/>
                </w:r>
                <w:r>
                  <w:rPr>
                    <w:noProof/>
                    <w:webHidden/>
                  </w:rPr>
                  <w:fldChar w:fldCharType="begin"/>
                </w:r>
                <w:r>
                  <w:rPr>
                    <w:noProof/>
                    <w:webHidden/>
                  </w:rPr>
                  <w:instrText xml:space="preserve"> PAGEREF _Toc219034121 \h </w:instrText>
                </w:r>
                <w:r>
                  <w:rPr>
                    <w:noProof/>
                    <w:webHidden/>
                  </w:rPr>
                </w:r>
                <w:r>
                  <w:rPr>
                    <w:noProof/>
                    <w:webHidden/>
                  </w:rPr>
                  <w:fldChar w:fldCharType="separate"/>
                </w:r>
                <w:r>
                  <w:rPr>
                    <w:noProof/>
                    <w:webHidden/>
                  </w:rPr>
                  <w:t>29</w:t>
                </w:r>
                <w:r>
                  <w:rPr>
                    <w:noProof/>
                    <w:webHidden/>
                  </w:rPr>
                  <w:fldChar w:fldCharType="end"/>
                </w:r>
              </w:hyperlink>
            </w:p>
            <w:p w14:paraId="63163218" w14:textId="35ECE7B2" w:rsidR="00CF6830" w:rsidRDefault="00CF6830">
              <w:pPr>
                <w:pStyle w:val="TOC1"/>
                <w:tabs>
                  <w:tab w:val="right" w:leader="dot" w:pos="9016"/>
                </w:tabs>
                <w:rPr>
                  <w:rFonts w:eastAsiaTheme="minorEastAsia"/>
                  <w:noProof/>
                  <w:kern w:val="2"/>
                  <w:sz w:val="24"/>
                  <w:szCs w:val="24"/>
                  <w:lang w:eastAsia="en-GB"/>
                  <w14:ligatures w14:val="standardContextual"/>
                </w:rPr>
              </w:pPr>
              <w:hyperlink w:anchor="_Toc219034122" w:history="1">
                <w:r w:rsidRPr="004B2AE6">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_Toc219034122 \h </w:instrText>
                </w:r>
                <w:r>
                  <w:rPr>
                    <w:noProof/>
                    <w:webHidden/>
                  </w:rPr>
                </w:r>
                <w:r>
                  <w:rPr>
                    <w:noProof/>
                    <w:webHidden/>
                  </w:rPr>
                  <w:fldChar w:fldCharType="separate"/>
                </w:r>
                <w:r>
                  <w:rPr>
                    <w:noProof/>
                    <w:webHidden/>
                  </w:rPr>
                  <w:t>32</w:t>
                </w:r>
                <w:r>
                  <w:rPr>
                    <w:noProof/>
                    <w:webHidden/>
                  </w:rPr>
                  <w:fldChar w:fldCharType="end"/>
                </w:r>
              </w:hyperlink>
            </w:p>
            <w:p w14:paraId="658CAF5D" w14:textId="68FE20CC" w:rsidR="00CF6830" w:rsidRDefault="00CF6830">
              <w:pPr>
                <w:pStyle w:val="TOC2"/>
                <w:tabs>
                  <w:tab w:val="right" w:leader="dot" w:pos="9016"/>
                </w:tabs>
                <w:rPr>
                  <w:rFonts w:eastAsiaTheme="minorEastAsia"/>
                  <w:noProof/>
                  <w:kern w:val="2"/>
                  <w:sz w:val="24"/>
                  <w:szCs w:val="24"/>
                  <w:lang w:eastAsia="en-GB"/>
                  <w14:ligatures w14:val="standardContextual"/>
                </w:rPr>
              </w:pPr>
              <w:hyperlink w:anchor="_Toc219034123" w:history="1">
                <w:r w:rsidRPr="004B2AE6">
                  <w:rPr>
                    <w:rStyle w:val="Hyperlink"/>
                    <w:rFonts w:ascii="Times New Roman" w:hAnsi="Times New Roman" w:cs="Times New Roman"/>
                    <w:b/>
                    <w:bCs/>
                    <w:noProof/>
                  </w:rPr>
                  <w:t>Appendix A AstraZeneca Financials</w:t>
                </w:r>
                <w:r>
                  <w:rPr>
                    <w:noProof/>
                    <w:webHidden/>
                  </w:rPr>
                  <w:tab/>
                </w:r>
                <w:r>
                  <w:rPr>
                    <w:noProof/>
                    <w:webHidden/>
                  </w:rPr>
                  <w:fldChar w:fldCharType="begin"/>
                </w:r>
                <w:r>
                  <w:rPr>
                    <w:noProof/>
                    <w:webHidden/>
                  </w:rPr>
                  <w:instrText xml:space="preserve"> PAGEREF _Toc219034123 \h </w:instrText>
                </w:r>
                <w:r>
                  <w:rPr>
                    <w:noProof/>
                    <w:webHidden/>
                  </w:rPr>
                </w:r>
                <w:r>
                  <w:rPr>
                    <w:noProof/>
                    <w:webHidden/>
                  </w:rPr>
                  <w:fldChar w:fldCharType="separate"/>
                </w:r>
                <w:r>
                  <w:rPr>
                    <w:noProof/>
                    <w:webHidden/>
                  </w:rPr>
                  <w:t>32</w:t>
                </w:r>
                <w:r>
                  <w:rPr>
                    <w:noProof/>
                    <w:webHidden/>
                  </w:rPr>
                  <w:fldChar w:fldCharType="end"/>
                </w:r>
              </w:hyperlink>
            </w:p>
            <w:p w14:paraId="61306B29" w14:textId="5C5E9426" w:rsidR="00CF6830" w:rsidRDefault="00CF6830">
              <w:pPr>
                <w:pStyle w:val="TOC2"/>
                <w:tabs>
                  <w:tab w:val="right" w:leader="dot" w:pos="9016"/>
                </w:tabs>
                <w:rPr>
                  <w:rFonts w:eastAsiaTheme="minorEastAsia"/>
                  <w:noProof/>
                  <w:kern w:val="2"/>
                  <w:sz w:val="24"/>
                  <w:szCs w:val="24"/>
                  <w:lang w:eastAsia="en-GB"/>
                  <w14:ligatures w14:val="standardContextual"/>
                </w:rPr>
              </w:pPr>
              <w:hyperlink w:anchor="_Toc219034124" w:history="1">
                <w:r w:rsidRPr="004B2AE6">
                  <w:rPr>
                    <w:rStyle w:val="Hyperlink"/>
                    <w:rFonts w:ascii="Times New Roman" w:hAnsi="Times New Roman" w:cs="Times New Roman"/>
                    <w:b/>
                    <w:bCs/>
                    <w:noProof/>
                  </w:rPr>
                  <w:t>Appendix B: Ratio Calculations</w:t>
                </w:r>
                <w:r>
                  <w:rPr>
                    <w:noProof/>
                    <w:webHidden/>
                  </w:rPr>
                  <w:tab/>
                </w:r>
                <w:r>
                  <w:rPr>
                    <w:noProof/>
                    <w:webHidden/>
                  </w:rPr>
                  <w:fldChar w:fldCharType="begin"/>
                </w:r>
                <w:r>
                  <w:rPr>
                    <w:noProof/>
                    <w:webHidden/>
                  </w:rPr>
                  <w:instrText xml:space="preserve"> PAGEREF _Toc219034124 \h </w:instrText>
                </w:r>
                <w:r>
                  <w:rPr>
                    <w:noProof/>
                    <w:webHidden/>
                  </w:rPr>
                </w:r>
                <w:r>
                  <w:rPr>
                    <w:noProof/>
                    <w:webHidden/>
                  </w:rPr>
                  <w:fldChar w:fldCharType="separate"/>
                </w:r>
                <w:r>
                  <w:rPr>
                    <w:noProof/>
                    <w:webHidden/>
                  </w:rPr>
                  <w:t>35</w:t>
                </w:r>
                <w:r>
                  <w:rPr>
                    <w:noProof/>
                    <w:webHidden/>
                  </w:rPr>
                  <w:fldChar w:fldCharType="end"/>
                </w:r>
              </w:hyperlink>
            </w:p>
            <w:p w14:paraId="05194699" w14:textId="198BDEB6" w:rsidR="007D1947" w:rsidRPr="006C3E2A" w:rsidRDefault="007D1947" w:rsidP="006C3E2A">
              <w:pPr>
                <w:spacing w:after="0" w:line="480" w:lineRule="auto"/>
                <w:rPr>
                  <w:rFonts w:ascii="Times New Roman" w:hAnsi="Times New Roman" w:cs="Times New Roman"/>
                  <w:sz w:val="24"/>
                  <w:szCs w:val="24"/>
                </w:rPr>
              </w:pPr>
              <w:r w:rsidRPr="006C3E2A">
                <w:rPr>
                  <w:rFonts w:ascii="Times New Roman" w:hAnsi="Times New Roman" w:cs="Times New Roman"/>
                  <w:b/>
                  <w:bCs/>
                  <w:noProof/>
                  <w:sz w:val="24"/>
                  <w:szCs w:val="24"/>
                </w:rPr>
                <w:fldChar w:fldCharType="end"/>
              </w:r>
              <w:r w:rsidR="009F0599" w:rsidRPr="006C3E2A">
                <w:rPr>
                  <w:rFonts w:ascii="Times New Roman" w:hAnsi="Times New Roman" w:cs="Times New Roman"/>
                  <w:b/>
                  <w:bCs/>
                  <w:noProof/>
                  <w:sz w:val="24"/>
                  <w:szCs w:val="24"/>
                </w:rPr>
                <w:t xml:space="preserve"> </w:t>
              </w:r>
            </w:p>
          </w:sdtContent>
        </w:sdt>
        <w:p w14:paraId="35B6052B" w14:textId="77777777" w:rsidR="007D1947" w:rsidRPr="006C3E2A" w:rsidRDefault="007D1947" w:rsidP="006C3E2A">
          <w:pPr>
            <w:spacing w:after="0" w:line="480" w:lineRule="auto"/>
            <w:rPr>
              <w:rFonts w:ascii="Times New Roman" w:hAnsi="Times New Roman" w:cs="Times New Roman"/>
              <w:sz w:val="24"/>
              <w:szCs w:val="24"/>
            </w:rPr>
          </w:pPr>
        </w:p>
        <w:p w14:paraId="22F11532" w14:textId="77777777" w:rsidR="007D1947" w:rsidRPr="006C3E2A" w:rsidRDefault="007D1947" w:rsidP="006C3E2A">
          <w:pPr>
            <w:spacing w:after="0" w:line="480" w:lineRule="auto"/>
            <w:rPr>
              <w:rFonts w:ascii="Times New Roman" w:hAnsi="Times New Roman" w:cs="Times New Roman"/>
              <w:sz w:val="24"/>
              <w:szCs w:val="24"/>
            </w:rPr>
          </w:pPr>
        </w:p>
        <w:p w14:paraId="15C6D916" w14:textId="77777777" w:rsidR="007D1947" w:rsidRPr="006C3E2A" w:rsidRDefault="007D1947" w:rsidP="006C3E2A">
          <w:pPr>
            <w:spacing w:after="0" w:line="480" w:lineRule="auto"/>
            <w:rPr>
              <w:rFonts w:ascii="Times New Roman" w:hAnsi="Times New Roman" w:cs="Times New Roman"/>
              <w:sz w:val="24"/>
              <w:szCs w:val="24"/>
            </w:rPr>
          </w:pPr>
        </w:p>
        <w:p w14:paraId="0882E422" w14:textId="77777777" w:rsidR="007D1947" w:rsidRPr="006C3E2A" w:rsidRDefault="007D1947" w:rsidP="006C3E2A">
          <w:pPr>
            <w:spacing w:after="0" w:line="480" w:lineRule="auto"/>
            <w:rPr>
              <w:rFonts w:ascii="Times New Roman" w:hAnsi="Times New Roman" w:cs="Times New Roman"/>
              <w:sz w:val="24"/>
              <w:szCs w:val="24"/>
            </w:rPr>
          </w:pPr>
        </w:p>
        <w:p w14:paraId="2076963D" w14:textId="77777777" w:rsidR="007D1947" w:rsidRPr="006C3E2A" w:rsidRDefault="007D1947" w:rsidP="006C3E2A">
          <w:pPr>
            <w:spacing w:after="0" w:line="480" w:lineRule="auto"/>
            <w:rPr>
              <w:rFonts w:ascii="Times New Roman" w:hAnsi="Times New Roman" w:cs="Times New Roman"/>
              <w:sz w:val="24"/>
              <w:szCs w:val="24"/>
            </w:rPr>
          </w:pPr>
        </w:p>
        <w:p w14:paraId="006E6A3F" w14:textId="77777777" w:rsidR="007D1947" w:rsidRPr="006C3E2A" w:rsidRDefault="007D1947" w:rsidP="006C3E2A">
          <w:pPr>
            <w:spacing w:after="0" w:line="480" w:lineRule="auto"/>
            <w:rPr>
              <w:rFonts w:ascii="Times New Roman" w:hAnsi="Times New Roman" w:cs="Times New Roman"/>
              <w:sz w:val="24"/>
              <w:szCs w:val="24"/>
            </w:rPr>
          </w:pPr>
        </w:p>
        <w:p w14:paraId="26EE9C53" w14:textId="77777777" w:rsidR="007D1947" w:rsidRPr="006C3E2A" w:rsidRDefault="007D1947" w:rsidP="006C3E2A">
          <w:pPr>
            <w:spacing w:after="0" w:line="480" w:lineRule="auto"/>
            <w:rPr>
              <w:rFonts w:ascii="Times New Roman" w:hAnsi="Times New Roman" w:cs="Times New Roman"/>
              <w:sz w:val="24"/>
              <w:szCs w:val="24"/>
            </w:rPr>
          </w:pPr>
        </w:p>
        <w:p w14:paraId="2AEFE0CA" w14:textId="77777777" w:rsidR="007D1947" w:rsidRPr="006C3E2A" w:rsidRDefault="007D1947" w:rsidP="006C3E2A">
          <w:pPr>
            <w:spacing w:after="0" w:line="480" w:lineRule="auto"/>
            <w:rPr>
              <w:rFonts w:ascii="Times New Roman" w:hAnsi="Times New Roman" w:cs="Times New Roman"/>
              <w:sz w:val="24"/>
              <w:szCs w:val="24"/>
            </w:rPr>
          </w:pPr>
        </w:p>
        <w:p w14:paraId="4F8F730C" w14:textId="77777777" w:rsidR="007D1947" w:rsidRPr="006C3E2A" w:rsidRDefault="007D1947" w:rsidP="006C3E2A">
          <w:pPr>
            <w:spacing w:after="0" w:line="480" w:lineRule="auto"/>
            <w:rPr>
              <w:rFonts w:ascii="Times New Roman" w:hAnsi="Times New Roman" w:cs="Times New Roman"/>
              <w:sz w:val="24"/>
              <w:szCs w:val="24"/>
            </w:rPr>
          </w:pPr>
        </w:p>
        <w:p w14:paraId="4D3D6465" w14:textId="77777777" w:rsidR="007D1947" w:rsidRPr="006C3E2A" w:rsidRDefault="007D1947" w:rsidP="006C3E2A">
          <w:pPr>
            <w:spacing w:after="0" w:line="480" w:lineRule="auto"/>
            <w:rPr>
              <w:rFonts w:ascii="Times New Roman" w:hAnsi="Times New Roman" w:cs="Times New Roman"/>
              <w:sz w:val="24"/>
              <w:szCs w:val="24"/>
            </w:rPr>
          </w:pPr>
        </w:p>
        <w:p w14:paraId="655F29CA" w14:textId="77777777" w:rsidR="007D1947" w:rsidRPr="006C3E2A" w:rsidRDefault="007D1947" w:rsidP="006C3E2A">
          <w:pPr>
            <w:spacing w:after="0" w:line="480" w:lineRule="auto"/>
            <w:rPr>
              <w:rFonts w:ascii="Times New Roman" w:hAnsi="Times New Roman" w:cs="Times New Roman"/>
              <w:sz w:val="24"/>
              <w:szCs w:val="24"/>
            </w:rPr>
          </w:pPr>
        </w:p>
        <w:p w14:paraId="0ED321E6" w14:textId="4543574F" w:rsidR="007D1947" w:rsidRPr="006C3E2A" w:rsidRDefault="007D1947" w:rsidP="006C3E2A">
          <w:pPr>
            <w:pStyle w:val="Heading1"/>
            <w:spacing w:before="0" w:line="480" w:lineRule="auto"/>
            <w:jc w:val="center"/>
            <w:rPr>
              <w:rFonts w:ascii="Times New Roman" w:hAnsi="Times New Roman" w:cs="Times New Roman"/>
              <w:b/>
              <w:bCs/>
              <w:color w:val="auto"/>
              <w:sz w:val="24"/>
              <w:szCs w:val="24"/>
            </w:rPr>
          </w:pPr>
          <w:bookmarkStart w:id="1" w:name="_Toc219034107"/>
          <w:r w:rsidRPr="006C3E2A">
            <w:rPr>
              <w:rFonts w:ascii="Times New Roman" w:hAnsi="Times New Roman" w:cs="Times New Roman"/>
              <w:b/>
              <w:bCs/>
              <w:color w:val="auto"/>
              <w:sz w:val="24"/>
              <w:szCs w:val="24"/>
            </w:rPr>
            <w:t>Introduction</w:t>
          </w:r>
          <w:bookmarkEnd w:id="1"/>
        </w:p>
        <w:p w14:paraId="72E0D367" w14:textId="181EB616" w:rsidR="003B0F45" w:rsidRPr="003B0F45" w:rsidRDefault="009F0599" w:rsidP="006C3E2A">
          <w:pPr>
            <w:spacing w:after="0" w:line="480" w:lineRule="auto"/>
            <w:ind w:firstLine="720"/>
            <w:rPr>
              <w:rFonts w:ascii="Times New Roman" w:hAnsi="Times New Roman" w:cs="Times New Roman"/>
              <w:sz w:val="24"/>
              <w:szCs w:val="24"/>
              <w:shd w:val="clear" w:color="auto" w:fill="FFFFFF"/>
            </w:rPr>
          </w:pPr>
          <w:r w:rsidRPr="006C3E2A">
            <w:rPr>
              <w:rFonts w:ascii="Times New Roman" w:hAnsi="Times New Roman" w:cs="Times New Roman"/>
              <w:sz w:val="24"/>
              <w:szCs w:val="24"/>
            </w:rPr>
            <w:t>Th</w:t>
          </w:r>
          <w:r w:rsidR="003B0F45" w:rsidRPr="003B0F45">
            <w:rPr>
              <w:rFonts w:ascii="Times New Roman" w:hAnsi="Times New Roman" w:cs="Times New Roman"/>
              <w:sz w:val="24"/>
              <w:szCs w:val="24"/>
              <w:shd w:val="clear" w:color="auto" w:fill="FFFFFF"/>
            </w:rPr>
            <w:t>is report has a dual-focus analysis of the financial analysis of two important business situations in the finance for business managers paradigm. The initial part analyses the financial performance and strategic position of AstraZeneca PLC, which is one of the biggest biopharmaceutical firms in the world with a market capitalisation of 189.4 billion. This analysis, enabled by performing an in-depth ratio analysis of profitability, liquidity, gearing, efficiency, and investor ratios in the 2023-2024 period, revealed how the company has been able to perform its operations effectively, in terms of financial health, and create value for its investors.</w:t>
          </w:r>
        </w:p>
        <w:p w14:paraId="361B15E0" w14:textId="77777777" w:rsidR="003B0F45" w:rsidRPr="003B0F45" w:rsidRDefault="003B0F45" w:rsidP="006C3E2A">
          <w:pPr>
            <w:spacing w:after="0" w:line="480" w:lineRule="auto"/>
            <w:ind w:firstLine="720"/>
            <w:rPr>
              <w:rFonts w:ascii="Times New Roman" w:hAnsi="Times New Roman" w:cs="Times New Roman"/>
              <w:sz w:val="24"/>
              <w:szCs w:val="24"/>
              <w:shd w:val="clear" w:color="auto" w:fill="FFFFFF"/>
            </w:rPr>
          </w:pPr>
          <w:r w:rsidRPr="003B0F45">
            <w:rPr>
              <w:rFonts w:ascii="Times New Roman" w:hAnsi="Times New Roman" w:cs="Times New Roman"/>
              <w:sz w:val="24"/>
              <w:szCs w:val="24"/>
              <w:shd w:val="clear" w:color="auto" w:fill="FFFFFF"/>
            </w:rPr>
            <w:t>The second element deals with the decision-making of capital investment of Westward Plc, which is a manufacturing company that would be interested in diversifying to other product lines. The report ranks three investment alternatives by using the recognised methods of financial appraisal, such as Net Present Value (NPV), Internal Rate of Return (IRR) and analysis of Profitability Index, to come up with conclusions on which options of capital securing are the best under the unconstrained and capital-rationed conditions. Furthermore, in the report, proper financing techniques have been considered to finance the suggested investments.</w:t>
          </w:r>
        </w:p>
        <w:p w14:paraId="4822F057" w14:textId="77777777" w:rsidR="003B0F45" w:rsidRPr="003B0F45" w:rsidRDefault="003B0F45" w:rsidP="006C3E2A">
          <w:pPr>
            <w:spacing w:after="0" w:line="480" w:lineRule="auto"/>
            <w:ind w:firstLine="720"/>
            <w:rPr>
              <w:rFonts w:ascii="Times New Roman" w:hAnsi="Times New Roman" w:cs="Times New Roman"/>
              <w:sz w:val="24"/>
              <w:szCs w:val="24"/>
              <w:shd w:val="clear" w:color="auto" w:fill="FFFFFF"/>
            </w:rPr>
          </w:pPr>
          <w:r w:rsidRPr="003B0F45">
            <w:rPr>
              <w:rFonts w:ascii="Times New Roman" w:hAnsi="Times New Roman" w:cs="Times New Roman"/>
              <w:sz w:val="24"/>
              <w:szCs w:val="24"/>
              <w:shd w:val="clear" w:color="auto" w:fill="FFFFFF"/>
            </w:rPr>
            <w:t xml:space="preserve">The pharmaceutical and manufacturing businesses are complex business environments with very high scales of capital intensity, long investment periods and high operational risks. Good financial analysis and making investment decisions are thus important elements of sustainable value creation and competitive positioning. By using the theoretical aspects of the financial management literature in practical business situations, this report illustrates how quantitative analysis can be used to identify the strategies of entry and </w:t>
          </w:r>
          <w:r w:rsidRPr="003B0F45">
            <w:rPr>
              <w:rFonts w:ascii="Times New Roman" w:hAnsi="Times New Roman" w:cs="Times New Roman"/>
              <w:sz w:val="24"/>
              <w:szCs w:val="24"/>
              <w:shd w:val="clear" w:color="auto" w:fill="FFFFFF"/>
            </w:rPr>
            <w:lastRenderedPageBreak/>
            <w:t>current business decision-making and the role of the qualitative aspects, which implement an actual business decision, in making an actual investment choice.</w:t>
          </w:r>
        </w:p>
        <w:p w14:paraId="7F6B1BC2" w14:textId="77777777" w:rsidR="003B0F45" w:rsidRPr="003B0F45" w:rsidRDefault="003B0F45" w:rsidP="006C3E2A">
          <w:pPr>
            <w:spacing w:after="0" w:line="480" w:lineRule="auto"/>
            <w:rPr>
              <w:rFonts w:ascii="Times New Roman" w:hAnsi="Times New Roman" w:cs="Times New Roman"/>
              <w:sz w:val="24"/>
              <w:szCs w:val="24"/>
              <w:shd w:val="clear" w:color="auto" w:fill="FFFFFF"/>
            </w:rPr>
          </w:pPr>
          <w:r w:rsidRPr="003B0F45">
            <w:rPr>
              <w:rFonts w:ascii="Times New Roman" w:hAnsi="Times New Roman" w:cs="Times New Roman"/>
              <w:sz w:val="24"/>
              <w:szCs w:val="24"/>
              <w:shd w:val="clear" w:color="auto" w:fill="FFFFFF"/>
            </w:rPr>
            <w:t>The report is organised in the following manner: Task 1 is a financial ratio analysis of AstraZeneca with critical analysis and recommendations; Task 2 is an investment appraisal analysis of Westward Plc, including capital allocation and proposal financing through rationing constraints and without these constraints; finally, a conclusion summarises major findings and gives overall suggestions to the management.</w:t>
          </w:r>
        </w:p>
        <w:p w14:paraId="6DF73EDF" w14:textId="0B7430A8" w:rsidR="00480872" w:rsidRPr="006C3E2A" w:rsidRDefault="00480872" w:rsidP="006C3E2A">
          <w:pPr>
            <w:pStyle w:val="Heading1"/>
            <w:spacing w:before="0" w:line="480" w:lineRule="auto"/>
            <w:jc w:val="center"/>
            <w:rPr>
              <w:rFonts w:ascii="Times New Roman" w:hAnsi="Times New Roman" w:cs="Times New Roman"/>
              <w:b/>
              <w:bCs/>
              <w:color w:val="auto"/>
              <w:sz w:val="24"/>
              <w:szCs w:val="24"/>
            </w:rPr>
          </w:pPr>
          <w:bookmarkStart w:id="2" w:name="_Toc219034108"/>
          <w:r w:rsidRPr="006C3E2A">
            <w:rPr>
              <w:rFonts w:ascii="Times New Roman" w:hAnsi="Times New Roman" w:cs="Times New Roman"/>
              <w:b/>
              <w:bCs/>
              <w:color w:val="auto"/>
              <w:sz w:val="24"/>
              <w:szCs w:val="24"/>
            </w:rPr>
            <w:t>Main Findings</w:t>
          </w:r>
          <w:bookmarkEnd w:id="2"/>
        </w:p>
        <w:p w14:paraId="2F5FAA71" w14:textId="2F58DF8B" w:rsidR="00023044" w:rsidRPr="006C3E2A" w:rsidRDefault="00023044" w:rsidP="006C3E2A">
          <w:pPr>
            <w:pStyle w:val="Heading3"/>
            <w:spacing w:before="0" w:line="480" w:lineRule="auto"/>
            <w:rPr>
              <w:rFonts w:ascii="Times New Roman" w:hAnsi="Times New Roman" w:cs="Times New Roman"/>
              <w:b/>
              <w:bCs/>
              <w:color w:val="auto"/>
            </w:rPr>
          </w:pPr>
          <w:bookmarkStart w:id="3" w:name="_Toc219034109"/>
          <w:r w:rsidRPr="006C3E2A">
            <w:rPr>
              <w:rFonts w:ascii="Times New Roman" w:hAnsi="Times New Roman" w:cs="Times New Roman"/>
              <w:b/>
              <w:bCs/>
              <w:color w:val="auto"/>
            </w:rPr>
            <w:t>Company Brief</w:t>
          </w:r>
          <w:bookmarkEnd w:id="3"/>
        </w:p>
        <w:p w14:paraId="041A7BAF" w14:textId="777205AD"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AstraZeneca PLC is one of the highest-ranking global biopharmaceutical companies in the world, with a market capitalisation of 189.4 billion pounds that makes it the most valuable company in the United Kingdom. The company operates in over 100 countries, having a workforce of approximately 89,700 employees, and provides innovative medicines in three areas of therapy: oncology, biopharmaceuticals and rare diseases. The mission focuses on the exploration of science to bring life-changing medicines, whereas the vision is to become a global leader in oncology and realise 80 billion in revenue by 2030. The operations are guided by five core values: </w:t>
          </w:r>
          <w:r w:rsidRPr="006C3E2A">
            <w:rPr>
              <w:rFonts w:ascii="Times New Roman" w:hAnsi="Times New Roman" w:cs="Times New Roman"/>
              <w:i/>
              <w:iCs/>
              <w:sz w:val="24"/>
              <w:szCs w:val="24"/>
            </w:rPr>
            <w:t>we follow the science</w:t>
          </w:r>
          <w:r w:rsidRPr="006C3E2A">
            <w:rPr>
              <w:rFonts w:ascii="Times New Roman" w:hAnsi="Times New Roman" w:cs="Times New Roman"/>
              <w:sz w:val="24"/>
              <w:szCs w:val="24"/>
            </w:rPr>
            <w:t xml:space="preserve">, </w:t>
          </w:r>
          <w:r w:rsidRPr="006C3E2A">
            <w:rPr>
              <w:rFonts w:ascii="Times New Roman" w:hAnsi="Times New Roman" w:cs="Times New Roman"/>
              <w:i/>
              <w:iCs/>
              <w:sz w:val="24"/>
              <w:szCs w:val="24"/>
            </w:rPr>
            <w:t>we put patients first</w:t>
          </w:r>
          <w:r w:rsidRPr="006C3E2A">
            <w:rPr>
              <w:rFonts w:ascii="Times New Roman" w:hAnsi="Times New Roman" w:cs="Times New Roman"/>
              <w:sz w:val="24"/>
              <w:szCs w:val="24"/>
            </w:rPr>
            <w:t xml:space="preserve">, </w:t>
          </w:r>
          <w:r w:rsidRPr="006C3E2A">
            <w:rPr>
              <w:rFonts w:ascii="Times New Roman" w:hAnsi="Times New Roman" w:cs="Times New Roman"/>
              <w:i/>
              <w:iCs/>
              <w:sz w:val="24"/>
              <w:szCs w:val="24"/>
            </w:rPr>
            <w:t>we play to win</w:t>
          </w:r>
          <w:r w:rsidRPr="006C3E2A">
            <w:rPr>
              <w:rFonts w:ascii="Times New Roman" w:hAnsi="Times New Roman" w:cs="Times New Roman"/>
              <w:sz w:val="24"/>
              <w:szCs w:val="24"/>
            </w:rPr>
            <w:t xml:space="preserve">, </w:t>
          </w:r>
          <w:r w:rsidRPr="006C3E2A">
            <w:rPr>
              <w:rFonts w:ascii="Times New Roman" w:hAnsi="Times New Roman" w:cs="Times New Roman"/>
              <w:i/>
              <w:iCs/>
              <w:sz w:val="24"/>
              <w:szCs w:val="24"/>
            </w:rPr>
            <w:t>we do the right thing</w:t>
          </w:r>
          <w:r w:rsidRPr="006C3E2A">
            <w:rPr>
              <w:rFonts w:ascii="Times New Roman" w:hAnsi="Times New Roman" w:cs="Times New Roman"/>
              <w:sz w:val="24"/>
              <w:szCs w:val="24"/>
            </w:rPr>
            <w:t xml:space="preserve">, and </w:t>
          </w:r>
          <w:r w:rsidRPr="006C3E2A">
            <w:rPr>
              <w:rFonts w:ascii="Times New Roman" w:hAnsi="Times New Roman" w:cs="Times New Roman"/>
              <w:i/>
              <w:iCs/>
              <w:sz w:val="24"/>
              <w:szCs w:val="24"/>
            </w:rPr>
            <w:t>we are entrepreneurial</w:t>
          </w:r>
          <w:r w:rsidRPr="006C3E2A">
            <w:rPr>
              <w:rFonts w:ascii="Times New Roman" w:hAnsi="Times New Roman" w:cs="Times New Roman"/>
              <w:sz w:val="24"/>
              <w:szCs w:val="24"/>
            </w:rPr>
            <w:t xml:space="preserve">. With a cost of drug development of $2.97 billion and a 13.4% yearly drop in R&amp;D productivity due to so-called </w:t>
          </w:r>
          <w:proofErr w:type="spellStart"/>
          <w:r w:rsidRPr="006C3E2A">
            <w:rPr>
              <w:rFonts w:ascii="Times New Roman" w:hAnsi="Times New Roman" w:cs="Times New Roman"/>
              <w:sz w:val="24"/>
              <w:szCs w:val="24"/>
            </w:rPr>
            <w:t>Eroom's</w:t>
          </w:r>
          <w:proofErr w:type="spellEnd"/>
          <w:r w:rsidRPr="006C3E2A">
            <w:rPr>
              <w:rFonts w:ascii="Times New Roman" w:hAnsi="Times New Roman" w:cs="Times New Roman"/>
              <w:sz w:val="24"/>
              <w:szCs w:val="24"/>
            </w:rPr>
            <w:t xml:space="preserve"> law (</w:t>
          </w:r>
          <w:proofErr w:type="spellStart"/>
          <w:r w:rsidRPr="006C3E2A">
            <w:rPr>
              <w:rFonts w:ascii="Times New Roman" w:hAnsi="Times New Roman" w:cs="Times New Roman"/>
              <w:sz w:val="24"/>
              <w:szCs w:val="24"/>
            </w:rPr>
            <w:t>Sipelyte</w:t>
          </w:r>
          <w:proofErr w:type="spellEnd"/>
          <w:r w:rsidRPr="006C3E2A">
            <w:rPr>
              <w:rFonts w:ascii="Times New Roman" w:hAnsi="Times New Roman" w:cs="Times New Roman"/>
              <w:sz w:val="24"/>
              <w:szCs w:val="24"/>
            </w:rPr>
            <w:t xml:space="preserve"> &amp; Metaxa, 2025, p. 2), AstraZeneca can be seen as resilient with its 2021 acquisition of Alexion at 39 billion dollars and its continued higher R&amp;D spending of over 10 billion every year.</w:t>
          </w:r>
        </w:p>
        <w:p w14:paraId="070798C2" w14:textId="561E4B8F" w:rsidR="00023044" w:rsidRPr="006C3E2A" w:rsidRDefault="00023044" w:rsidP="006C3E2A">
          <w:pPr>
            <w:pStyle w:val="Heading3"/>
            <w:spacing w:before="0" w:line="480" w:lineRule="auto"/>
            <w:rPr>
              <w:rFonts w:ascii="Times New Roman" w:hAnsi="Times New Roman" w:cs="Times New Roman"/>
              <w:b/>
              <w:bCs/>
              <w:color w:val="auto"/>
            </w:rPr>
          </w:pPr>
          <w:bookmarkStart w:id="4" w:name="_Toc219034110"/>
          <w:r w:rsidRPr="006C3E2A">
            <w:rPr>
              <w:rFonts w:ascii="Times New Roman" w:hAnsi="Times New Roman" w:cs="Times New Roman"/>
              <w:b/>
              <w:bCs/>
              <w:color w:val="auto"/>
            </w:rPr>
            <w:lastRenderedPageBreak/>
            <w:t>Financial Ratio Analysis</w:t>
          </w:r>
          <w:bookmarkEnd w:id="4"/>
        </w:p>
        <w:p w14:paraId="497BF616" w14:textId="7F1A30FF"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Profitability Analysis</w:t>
          </w:r>
        </w:p>
        <w:p w14:paraId="339C78E5" w14:textId="173CF1EF"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Profitability ratios reveal management's effectiveness in generating returns. Comprehensive assessment requires examining multiple </w:t>
          </w:r>
          <w:r w:rsidR="00F85E7A">
            <w:rPr>
              <w:rFonts w:ascii="Times New Roman" w:hAnsi="Times New Roman" w:cs="Times New Roman"/>
              <w:sz w:val="24"/>
              <w:szCs w:val="24"/>
            </w:rPr>
            <w:t>metrics,</w:t>
          </w:r>
          <w:r w:rsidRPr="006C3E2A">
            <w:rPr>
              <w:rFonts w:ascii="Times New Roman" w:hAnsi="Times New Roman" w:cs="Times New Roman"/>
              <w:sz w:val="24"/>
              <w:szCs w:val="24"/>
            </w:rPr>
            <w:t xml:space="preserve"> as profit alone inadequately reflects shareholder value creation (Atrill, 2020, p. 493).</w:t>
          </w:r>
        </w:p>
        <w:p w14:paraId="09CEEC14" w14:textId="77777777" w:rsidR="00023044" w:rsidRPr="006C3E2A" w:rsidRDefault="00023044"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Table 1: Profitability Ratios (2023-2024)</w:t>
          </w:r>
        </w:p>
        <w:tbl>
          <w:tblPr>
            <w:tblStyle w:val="TableGrid"/>
            <w:tblW w:w="9160" w:type="dxa"/>
            <w:tblLook w:val="04A0" w:firstRow="1" w:lastRow="0" w:firstColumn="1" w:lastColumn="0" w:noHBand="0" w:noVBand="1"/>
          </w:tblPr>
          <w:tblGrid>
            <w:gridCol w:w="1832"/>
            <w:gridCol w:w="1832"/>
            <w:gridCol w:w="1832"/>
            <w:gridCol w:w="1832"/>
            <w:gridCol w:w="1832"/>
          </w:tblGrid>
          <w:tr w:rsidR="009F0599" w:rsidRPr="006C3E2A" w14:paraId="2DCA36C5" w14:textId="77777777" w:rsidTr="000C484E">
            <w:trPr>
              <w:trHeight w:val="243"/>
            </w:trPr>
            <w:tc>
              <w:tcPr>
                <w:tcW w:w="1832" w:type="dxa"/>
                <w:vAlign w:val="center"/>
              </w:tcPr>
              <w:p w14:paraId="6243792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Ratio</w:t>
                </w:r>
              </w:p>
            </w:tc>
            <w:tc>
              <w:tcPr>
                <w:tcW w:w="1832" w:type="dxa"/>
                <w:vAlign w:val="center"/>
              </w:tcPr>
              <w:p w14:paraId="518BCEB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Formula</w:t>
                </w:r>
              </w:p>
            </w:tc>
            <w:tc>
              <w:tcPr>
                <w:tcW w:w="1832" w:type="dxa"/>
                <w:vAlign w:val="center"/>
              </w:tcPr>
              <w:p w14:paraId="7B8644D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tc>
            <w:tc>
              <w:tcPr>
                <w:tcW w:w="1832" w:type="dxa"/>
                <w:vAlign w:val="center"/>
              </w:tcPr>
              <w:p w14:paraId="690C617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tc>
            <w:tc>
              <w:tcPr>
                <w:tcW w:w="1832" w:type="dxa"/>
                <w:vAlign w:val="center"/>
              </w:tcPr>
              <w:p w14:paraId="1B051A2F"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Change</w:t>
                </w:r>
              </w:p>
            </w:tc>
          </w:tr>
          <w:tr w:rsidR="009F0599" w:rsidRPr="006C3E2A" w14:paraId="68FFA2D5" w14:textId="77777777" w:rsidTr="000C484E">
            <w:trPr>
              <w:trHeight w:val="498"/>
            </w:trPr>
            <w:tc>
              <w:tcPr>
                <w:tcW w:w="1832" w:type="dxa"/>
                <w:vAlign w:val="center"/>
              </w:tcPr>
              <w:p w14:paraId="41A3F82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Gross Profit Margin</w:t>
                </w:r>
              </w:p>
            </w:tc>
            <w:tc>
              <w:tcPr>
                <w:tcW w:w="1832" w:type="dxa"/>
                <w:vAlign w:val="center"/>
              </w:tcPr>
              <w:p w14:paraId="4A74198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(Gross Profit / Revenue) × 100</w:t>
                </w:r>
              </w:p>
            </w:tc>
            <w:tc>
              <w:tcPr>
                <w:tcW w:w="1832" w:type="dxa"/>
                <w:vAlign w:val="center"/>
              </w:tcPr>
              <w:p w14:paraId="6303572F"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81.12%</w:t>
                </w:r>
              </w:p>
            </w:tc>
            <w:tc>
              <w:tcPr>
                <w:tcW w:w="1832" w:type="dxa"/>
                <w:vAlign w:val="center"/>
              </w:tcPr>
              <w:p w14:paraId="1234807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81.95%</w:t>
                </w:r>
              </w:p>
            </w:tc>
            <w:tc>
              <w:tcPr>
                <w:tcW w:w="1832" w:type="dxa"/>
                <w:vAlign w:val="center"/>
              </w:tcPr>
              <w:p w14:paraId="033024C7" w14:textId="5692F20E"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-0.83 pp</w:t>
                </w:r>
              </w:p>
            </w:tc>
          </w:tr>
          <w:tr w:rsidR="009F0599" w:rsidRPr="006C3E2A" w14:paraId="18C33575" w14:textId="77777777" w:rsidTr="000C484E">
            <w:trPr>
              <w:trHeight w:val="488"/>
            </w:trPr>
            <w:tc>
              <w:tcPr>
                <w:tcW w:w="1832" w:type="dxa"/>
                <w:vAlign w:val="center"/>
              </w:tcPr>
              <w:p w14:paraId="3216BC9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Operating Profit Margin</w:t>
                </w:r>
              </w:p>
            </w:tc>
            <w:tc>
              <w:tcPr>
                <w:tcW w:w="1832" w:type="dxa"/>
                <w:vAlign w:val="center"/>
              </w:tcPr>
              <w:p w14:paraId="2D4DDD5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(Operating Profit / Revenue) × 100</w:t>
                </w:r>
              </w:p>
            </w:tc>
            <w:tc>
              <w:tcPr>
                <w:tcW w:w="1832" w:type="dxa"/>
                <w:vAlign w:val="center"/>
              </w:tcPr>
              <w:p w14:paraId="1F30854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18.50%</w:t>
                </w:r>
              </w:p>
            </w:tc>
            <w:tc>
              <w:tcPr>
                <w:tcW w:w="1832" w:type="dxa"/>
                <w:vAlign w:val="center"/>
              </w:tcPr>
              <w:p w14:paraId="2375E39D"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17.88%</w:t>
                </w:r>
              </w:p>
            </w:tc>
            <w:tc>
              <w:tcPr>
                <w:tcW w:w="1832" w:type="dxa"/>
                <w:vAlign w:val="center"/>
              </w:tcPr>
              <w:p w14:paraId="7CA9CA4F" w14:textId="57F02161"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+0.62 pp</w:t>
                </w:r>
              </w:p>
            </w:tc>
          </w:tr>
          <w:tr w:rsidR="009F0599" w:rsidRPr="006C3E2A" w14:paraId="03CE02AF" w14:textId="77777777" w:rsidTr="000C484E">
            <w:trPr>
              <w:trHeight w:val="498"/>
            </w:trPr>
            <w:tc>
              <w:tcPr>
                <w:tcW w:w="1832" w:type="dxa"/>
                <w:vAlign w:val="center"/>
              </w:tcPr>
              <w:p w14:paraId="13E68D9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Net Profit Margin</w:t>
                </w:r>
              </w:p>
            </w:tc>
            <w:tc>
              <w:tcPr>
                <w:tcW w:w="1832" w:type="dxa"/>
                <w:vAlign w:val="center"/>
              </w:tcPr>
              <w:p w14:paraId="0ED39E2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(Net Profit / Revenue) × 100</w:t>
                </w:r>
              </w:p>
            </w:tc>
            <w:tc>
              <w:tcPr>
                <w:tcW w:w="1832" w:type="dxa"/>
                <w:vAlign w:val="center"/>
              </w:tcPr>
              <w:p w14:paraId="6766D0A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13.01%</w:t>
                </w:r>
              </w:p>
            </w:tc>
            <w:tc>
              <w:tcPr>
                <w:tcW w:w="1832" w:type="dxa"/>
                <w:vAlign w:val="center"/>
              </w:tcPr>
              <w:p w14:paraId="6E60518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13.00%</w:t>
                </w:r>
              </w:p>
            </w:tc>
            <w:tc>
              <w:tcPr>
                <w:tcW w:w="1832" w:type="dxa"/>
                <w:vAlign w:val="center"/>
              </w:tcPr>
              <w:p w14:paraId="00241889" w14:textId="113F4306"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+0.01 pp</w:t>
                </w:r>
              </w:p>
            </w:tc>
          </w:tr>
          <w:tr w:rsidR="009F0599" w:rsidRPr="006C3E2A" w14:paraId="355267B1" w14:textId="77777777" w:rsidTr="000C484E">
            <w:trPr>
              <w:trHeight w:val="498"/>
            </w:trPr>
            <w:tc>
              <w:tcPr>
                <w:tcW w:w="1832" w:type="dxa"/>
                <w:vAlign w:val="center"/>
              </w:tcPr>
              <w:p w14:paraId="1149AEE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ROCE</w:t>
                </w:r>
              </w:p>
            </w:tc>
            <w:tc>
              <w:tcPr>
                <w:tcW w:w="1832" w:type="dxa"/>
                <w:vAlign w:val="center"/>
              </w:tcPr>
              <w:p w14:paraId="52C8503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(EBIT / Capital Employed) × 100</w:t>
                </w:r>
              </w:p>
            </w:tc>
            <w:tc>
              <w:tcPr>
                <w:tcW w:w="1832" w:type="dxa"/>
                <w:vAlign w:val="center"/>
              </w:tcPr>
              <w:p w14:paraId="69B91AC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13.13%</w:t>
                </w:r>
              </w:p>
            </w:tc>
            <w:tc>
              <w:tcPr>
                <w:tcW w:w="1832" w:type="dxa"/>
                <w:vAlign w:val="center"/>
              </w:tcPr>
              <w:p w14:paraId="7D45955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11.61%</w:t>
                </w:r>
              </w:p>
            </w:tc>
            <w:tc>
              <w:tcPr>
                <w:tcW w:w="1832" w:type="dxa"/>
                <w:vAlign w:val="center"/>
              </w:tcPr>
              <w:p w14:paraId="717F2243" w14:textId="081578C3"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+1.52 pp</w:t>
                </w:r>
              </w:p>
            </w:tc>
          </w:tr>
          <w:tr w:rsidR="009F0599" w:rsidRPr="006C3E2A" w14:paraId="4C949337" w14:textId="77777777" w:rsidTr="000C484E">
            <w:trPr>
              <w:trHeight w:val="488"/>
            </w:trPr>
            <w:tc>
              <w:tcPr>
                <w:tcW w:w="1832" w:type="dxa"/>
                <w:vAlign w:val="center"/>
              </w:tcPr>
              <w:p w14:paraId="3560B4D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ROE</w:t>
                </w:r>
              </w:p>
            </w:tc>
            <w:tc>
              <w:tcPr>
                <w:tcW w:w="1832" w:type="dxa"/>
                <w:vAlign w:val="center"/>
              </w:tcPr>
              <w:p w14:paraId="5A055C4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(Net Profit / Equity) × 100</w:t>
                </w:r>
              </w:p>
            </w:tc>
            <w:tc>
              <w:tcPr>
                <w:tcW w:w="1832" w:type="dxa"/>
                <w:vAlign w:val="center"/>
              </w:tcPr>
              <w:p w14:paraId="1AB25CB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17.21%</w:t>
                </w:r>
              </w:p>
            </w:tc>
            <w:tc>
              <w:tcPr>
                <w:tcW w:w="1832" w:type="dxa"/>
                <w:vAlign w:val="center"/>
              </w:tcPr>
              <w:p w14:paraId="479BF6E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15.20%</w:t>
                </w:r>
              </w:p>
            </w:tc>
            <w:tc>
              <w:tcPr>
                <w:tcW w:w="1832" w:type="dxa"/>
                <w:vAlign w:val="center"/>
              </w:tcPr>
              <w:p w14:paraId="455AEF21" w14:textId="0FD0407E"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+2.01 pp</w:t>
                </w:r>
              </w:p>
            </w:tc>
          </w:tr>
        </w:tbl>
        <w:p w14:paraId="7AE070BB" w14:textId="77777777" w:rsidR="00023044" w:rsidRPr="006C3E2A" w:rsidRDefault="00023044" w:rsidP="006C3E2A">
          <w:pPr>
            <w:spacing w:after="0" w:line="480" w:lineRule="auto"/>
            <w:rPr>
              <w:rFonts w:ascii="Times New Roman" w:hAnsi="Times New Roman" w:cs="Times New Roman"/>
              <w:sz w:val="24"/>
              <w:szCs w:val="24"/>
            </w:rPr>
          </w:pPr>
          <w:r w:rsidRPr="006C3E2A">
            <w:rPr>
              <w:rFonts w:ascii="Times New Roman" w:hAnsi="Times New Roman" w:cs="Times New Roman"/>
              <w:i/>
              <w:iCs/>
              <w:sz w:val="24"/>
              <w:szCs w:val="24"/>
            </w:rPr>
            <w:t>Note: Capital Employed = Total Assets - Current Liabilities</w:t>
          </w:r>
        </w:p>
        <w:p w14:paraId="0F51A847"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AstraZeneca reports a high degree of profitability of over 81, which shows a high pricing power in the oncology and rare disease markets. The marginal decline in the 0.83 percentage point gross margin is due to the increase in the cost of sales of 23.5 per cent to $10,207 million, which is more than 18.0 per cent revenue growth due to the scale-up of manufacturing following new launches. Nonetheless, the operating profit margin turned out </w:t>
          </w:r>
          <w:r w:rsidRPr="006C3E2A">
            <w:rPr>
              <w:rFonts w:ascii="Times New Roman" w:hAnsi="Times New Roman" w:cs="Times New Roman"/>
              <w:sz w:val="24"/>
              <w:szCs w:val="24"/>
            </w:rPr>
            <w:lastRenderedPageBreak/>
            <w:t>to have improved by 0.62 percentage points to 18.50%, indicating successful operational leverage.</w:t>
          </w:r>
        </w:p>
        <w:p w14:paraId="4AB16676"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Revenue on capital employed increased substantially to 13.13% as compared to 11.61%, which is a better capital efficiency. ROCE is a common profitability indicator where companies formulate financial goals that reflect target ROCE rates (Atrill, 2020, p. 153). The 1.52 percentage point increase indicates the growth in operating profit from 22.1% to 10,003 million and a low 7.9% increment in capital employed. Pharmaceutical R&amp;D investment is associated with a positive impact on return on assets with 1% significance, 0.0006, t = 3.84 (Wan et al., 2025, p. 5).</w:t>
          </w:r>
        </w:p>
        <w:p w14:paraId="3651008E" w14:textId="3AB9F63B"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ratio of the return on equity rose by 2.01 percentage points to 17.21 percentage points, which is significantly high compared to the cost of capital of 7.5 percent. This is based on net profit growth of 18.1% as compared to equity growth of 4.4%. A longitudinal analysis by </w:t>
          </w:r>
          <w:r w:rsidR="00F85E7A">
            <w:rPr>
              <w:rFonts w:ascii="Times New Roman" w:hAnsi="Times New Roman" w:cs="Times New Roman"/>
              <w:sz w:val="24"/>
              <w:szCs w:val="24"/>
            </w:rPr>
            <w:t>Nandy</w:t>
          </w:r>
          <w:r w:rsidRPr="006C3E2A">
            <w:rPr>
              <w:rFonts w:ascii="Times New Roman" w:hAnsi="Times New Roman" w:cs="Times New Roman"/>
              <w:sz w:val="24"/>
              <w:szCs w:val="24"/>
            </w:rPr>
            <w:t xml:space="preserve"> (2022) shows that pharmaceutical companies that have a greater intensity of R&amp;D perform better, and the ROE models provide an explanation of 99.82% of variability (Nandy, 2022, p. 196). The fact that AstraZeneca spent $10,935 million on R&amp;D, which is 23.9 per cent of the revenue, places the company in a better position in this framework.</w:t>
          </w:r>
        </w:p>
        <w:p w14:paraId="5C8F1369" w14:textId="399E1E7F" w:rsidR="00023044" w:rsidRPr="006C3E2A" w:rsidRDefault="00023044" w:rsidP="006C3E2A">
          <w:pPr>
            <w:pStyle w:val="Heading4"/>
            <w:spacing w:before="0" w:line="480" w:lineRule="auto"/>
            <w:rPr>
              <w:rFonts w:ascii="Times New Roman" w:hAnsi="Times New Roman" w:cs="Times New Roman"/>
              <w:color w:val="auto"/>
              <w:sz w:val="24"/>
              <w:szCs w:val="24"/>
            </w:rPr>
          </w:pPr>
          <w:r w:rsidRPr="006C3E2A">
            <w:rPr>
              <w:rFonts w:ascii="Times New Roman" w:hAnsi="Times New Roman" w:cs="Times New Roman"/>
              <w:color w:val="auto"/>
              <w:sz w:val="24"/>
              <w:szCs w:val="24"/>
            </w:rPr>
            <w:t>Liquidity Analysis</w:t>
          </w:r>
        </w:p>
        <w:p w14:paraId="77E89C73" w14:textId="1820C1B3"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Liquidity ratios assess short-term financial health and </w:t>
          </w:r>
          <w:r w:rsidR="00F85E7A">
            <w:rPr>
              <w:rFonts w:ascii="Times New Roman" w:hAnsi="Times New Roman" w:cs="Times New Roman"/>
              <w:sz w:val="24"/>
              <w:szCs w:val="24"/>
            </w:rPr>
            <w:t>the ability</w:t>
          </w:r>
          <w:r w:rsidRPr="006C3E2A">
            <w:rPr>
              <w:rFonts w:ascii="Times New Roman" w:hAnsi="Times New Roman" w:cs="Times New Roman"/>
              <w:sz w:val="24"/>
              <w:szCs w:val="24"/>
            </w:rPr>
            <w:t xml:space="preserve"> to meet immediate obligations.</w:t>
          </w:r>
        </w:p>
        <w:p w14:paraId="31C6EAE7" w14:textId="77777777" w:rsidR="00023044" w:rsidRPr="006C3E2A" w:rsidRDefault="00023044"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Table 2: Liquidity Ratios (2023-2024)</w:t>
          </w:r>
        </w:p>
        <w:tbl>
          <w:tblPr>
            <w:tblStyle w:val="TableGrid"/>
            <w:tblW w:w="6650" w:type="dxa"/>
            <w:tblLook w:val="04A0" w:firstRow="1" w:lastRow="0" w:firstColumn="1" w:lastColumn="0" w:noHBand="0" w:noVBand="1"/>
          </w:tblPr>
          <w:tblGrid>
            <w:gridCol w:w="1308"/>
            <w:gridCol w:w="1324"/>
            <w:gridCol w:w="1301"/>
            <w:gridCol w:w="1301"/>
            <w:gridCol w:w="1416"/>
          </w:tblGrid>
          <w:tr w:rsidR="009F0599" w:rsidRPr="006C3E2A" w14:paraId="7F186B97" w14:textId="77777777" w:rsidTr="000C484E">
            <w:trPr>
              <w:trHeight w:val="476"/>
            </w:trPr>
            <w:tc>
              <w:tcPr>
                <w:tcW w:w="1330" w:type="dxa"/>
                <w:vAlign w:val="center"/>
              </w:tcPr>
              <w:p w14:paraId="372E74F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Ratio</w:t>
                </w:r>
              </w:p>
            </w:tc>
            <w:tc>
              <w:tcPr>
                <w:tcW w:w="1330" w:type="dxa"/>
                <w:vAlign w:val="center"/>
              </w:tcPr>
              <w:p w14:paraId="0C49E16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Formula</w:t>
                </w:r>
              </w:p>
            </w:tc>
            <w:tc>
              <w:tcPr>
                <w:tcW w:w="1330" w:type="dxa"/>
                <w:vAlign w:val="center"/>
              </w:tcPr>
              <w:p w14:paraId="0959E732"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tc>
            <w:tc>
              <w:tcPr>
                <w:tcW w:w="1330" w:type="dxa"/>
                <w:vAlign w:val="center"/>
              </w:tcPr>
              <w:p w14:paraId="59071F6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tc>
            <w:tc>
              <w:tcPr>
                <w:tcW w:w="1330" w:type="dxa"/>
                <w:vAlign w:val="center"/>
              </w:tcPr>
              <w:p w14:paraId="014CEC7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Industry Benchmark</w:t>
                </w:r>
              </w:p>
            </w:tc>
          </w:tr>
          <w:tr w:rsidR="009F0599" w:rsidRPr="006C3E2A" w14:paraId="4581C447" w14:textId="77777777" w:rsidTr="000C484E">
            <w:trPr>
              <w:trHeight w:val="466"/>
            </w:trPr>
            <w:tc>
              <w:tcPr>
                <w:tcW w:w="1330" w:type="dxa"/>
                <w:vAlign w:val="center"/>
              </w:tcPr>
              <w:p w14:paraId="66E4824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Current Ratio</w:t>
                </w:r>
              </w:p>
            </w:tc>
            <w:tc>
              <w:tcPr>
                <w:tcW w:w="1330" w:type="dxa"/>
                <w:vAlign w:val="center"/>
              </w:tcPr>
              <w:p w14:paraId="6767D8D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 xml:space="preserve">Current Assets / </w:t>
                </w:r>
                <w:r w:rsidRPr="006C3E2A">
                  <w:rPr>
                    <w:rFonts w:ascii="Times New Roman" w:hAnsi="Times New Roman" w:cs="Times New Roman"/>
                    <w:sz w:val="24"/>
                    <w:szCs w:val="24"/>
                  </w:rPr>
                  <w:lastRenderedPageBreak/>
                  <w:t>Current Liabilities</w:t>
                </w:r>
              </w:p>
            </w:tc>
            <w:tc>
              <w:tcPr>
                <w:tcW w:w="1330" w:type="dxa"/>
                <w:vAlign w:val="center"/>
              </w:tcPr>
              <w:p w14:paraId="15F7205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lastRenderedPageBreak/>
                  <w:t>0.93:1</w:t>
                </w:r>
              </w:p>
            </w:tc>
            <w:tc>
              <w:tcPr>
                <w:tcW w:w="1330" w:type="dxa"/>
                <w:vAlign w:val="center"/>
              </w:tcPr>
              <w:p w14:paraId="449FF70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0.82:1</w:t>
                </w:r>
              </w:p>
            </w:tc>
            <w:tc>
              <w:tcPr>
                <w:tcW w:w="1330" w:type="dxa"/>
                <w:vAlign w:val="center"/>
              </w:tcPr>
              <w:p w14:paraId="47D4B07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1.5:1 - 2.0:1</w:t>
                </w:r>
              </w:p>
            </w:tc>
          </w:tr>
          <w:tr w:rsidR="009F0599" w:rsidRPr="006C3E2A" w14:paraId="2E7D6E24" w14:textId="77777777" w:rsidTr="000C484E">
            <w:trPr>
              <w:trHeight w:val="709"/>
            </w:trPr>
            <w:tc>
              <w:tcPr>
                <w:tcW w:w="1330" w:type="dxa"/>
                <w:vAlign w:val="center"/>
              </w:tcPr>
              <w:p w14:paraId="1E53C0D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Quick Ratio</w:t>
                </w:r>
              </w:p>
            </w:tc>
            <w:tc>
              <w:tcPr>
                <w:tcW w:w="1330" w:type="dxa"/>
                <w:vAlign w:val="center"/>
              </w:tcPr>
              <w:p w14:paraId="0E19EB4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(Current Assets - Inventory) / Current Liabilities</w:t>
                </w:r>
              </w:p>
            </w:tc>
            <w:tc>
              <w:tcPr>
                <w:tcW w:w="1330" w:type="dxa"/>
                <w:vAlign w:val="center"/>
              </w:tcPr>
              <w:p w14:paraId="136396E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0.74:1</w:t>
                </w:r>
              </w:p>
            </w:tc>
            <w:tc>
              <w:tcPr>
                <w:tcW w:w="1330" w:type="dxa"/>
                <w:vAlign w:val="center"/>
              </w:tcPr>
              <w:p w14:paraId="6E9FDCE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0.64:1</w:t>
                </w:r>
              </w:p>
            </w:tc>
            <w:tc>
              <w:tcPr>
                <w:tcW w:w="1330" w:type="dxa"/>
                <w:vAlign w:val="center"/>
              </w:tcPr>
              <w:p w14:paraId="05EB49D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1.0:1</w:t>
                </w:r>
              </w:p>
            </w:tc>
          </w:tr>
          <w:tr w:rsidR="009F0599" w:rsidRPr="006C3E2A" w14:paraId="0528217C" w14:textId="77777777" w:rsidTr="000C484E">
            <w:trPr>
              <w:trHeight w:val="476"/>
            </w:trPr>
            <w:tc>
              <w:tcPr>
                <w:tcW w:w="1330" w:type="dxa"/>
                <w:vAlign w:val="center"/>
              </w:tcPr>
              <w:p w14:paraId="1CF7202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Cash Ratio</w:t>
                </w:r>
              </w:p>
            </w:tc>
            <w:tc>
              <w:tcPr>
                <w:tcW w:w="1330" w:type="dxa"/>
                <w:vAlign w:val="center"/>
              </w:tcPr>
              <w:p w14:paraId="4F99B0D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Cash / Current Liabilities</w:t>
                </w:r>
              </w:p>
            </w:tc>
            <w:tc>
              <w:tcPr>
                <w:tcW w:w="1330" w:type="dxa"/>
                <w:vAlign w:val="center"/>
              </w:tcPr>
              <w:p w14:paraId="562304A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0.20:1</w:t>
                </w:r>
              </w:p>
            </w:tc>
            <w:tc>
              <w:tcPr>
                <w:tcW w:w="1330" w:type="dxa"/>
                <w:vAlign w:val="center"/>
              </w:tcPr>
              <w:p w14:paraId="1877140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0.19:1</w:t>
                </w:r>
              </w:p>
            </w:tc>
            <w:tc>
              <w:tcPr>
                <w:tcW w:w="1330" w:type="dxa"/>
                <w:vAlign w:val="center"/>
              </w:tcPr>
              <w:p w14:paraId="2B48065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0.2:1 - 0.3:1</w:t>
                </w:r>
              </w:p>
            </w:tc>
          </w:tr>
        </w:tbl>
        <w:p w14:paraId="6F993868"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The current ratio improved from 0.82:1 to 0.93:1 but is still lower than the conventional 1.5:1. This positioning shows the optimisation of working capital but not distress, as the cash generation (136.6) of net profit by the $11,861 million cash is high. The current ratio increased to 0.74:1 from 0.64:1 (8.8% reduction in current liabilities), which was achieved mostly through debt refinancing. Financial statements show that current borrowings reduced from 5,129 million to 2,337 million, with non-current borrowings reaching 26,506 million, whereby the borrowing spreads to increased maturity.</w:t>
          </w:r>
        </w:p>
        <w:p w14:paraId="3857AE4B" w14:textId="42CE7486"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The size of businesses (greater ratio: 9.3) is in part driven by the good working capital performance (Atrill, 2020, p. 478), which means that the size of AstraZeneca allows efficiency to counter the poorer ratio. A cash ratio of 0.20:1 is within reasonable pharmaceutical ranges with predictable cash flows, with cash of 5,488 million giving some reasonable buffer with the assistance of undrawn credit facilities.</w:t>
          </w:r>
        </w:p>
        <w:p w14:paraId="16C6539B" w14:textId="0E27CAD2" w:rsidR="00023044" w:rsidRPr="006C3E2A" w:rsidRDefault="00023044" w:rsidP="006C3E2A">
          <w:pPr>
            <w:pStyle w:val="Heading4"/>
            <w:spacing w:before="0" w:line="480" w:lineRule="auto"/>
            <w:rPr>
              <w:rFonts w:ascii="Times New Roman" w:hAnsi="Times New Roman" w:cs="Times New Roman"/>
              <w:color w:val="auto"/>
              <w:sz w:val="24"/>
              <w:szCs w:val="24"/>
            </w:rPr>
          </w:pPr>
          <w:r w:rsidRPr="006C3E2A">
            <w:rPr>
              <w:rFonts w:ascii="Times New Roman" w:hAnsi="Times New Roman" w:cs="Times New Roman"/>
              <w:color w:val="auto"/>
              <w:sz w:val="24"/>
              <w:szCs w:val="24"/>
            </w:rPr>
            <w:t>Gearing Analysis</w:t>
          </w:r>
        </w:p>
        <w:p w14:paraId="51822B69"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Gearing ratios evaluate financial risk through capital structure composition.</w:t>
          </w:r>
        </w:p>
        <w:p w14:paraId="09C84DA3" w14:textId="77777777" w:rsidR="00023044" w:rsidRPr="006C3E2A" w:rsidRDefault="00023044"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Table 3: Gearing Ratios (2023-2024)</w:t>
          </w:r>
        </w:p>
        <w:tbl>
          <w:tblPr>
            <w:tblStyle w:val="TableGrid"/>
            <w:tblW w:w="8685" w:type="dxa"/>
            <w:tblLook w:val="04A0" w:firstRow="1" w:lastRow="0" w:firstColumn="1" w:lastColumn="0" w:noHBand="0" w:noVBand="1"/>
          </w:tblPr>
          <w:tblGrid>
            <w:gridCol w:w="1737"/>
            <w:gridCol w:w="1737"/>
            <w:gridCol w:w="1737"/>
            <w:gridCol w:w="1737"/>
            <w:gridCol w:w="1737"/>
          </w:tblGrid>
          <w:tr w:rsidR="009F0599" w:rsidRPr="006C3E2A" w14:paraId="3E4A5190" w14:textId="77777777" w:rsidTr="009F0599">
            <w:trPr>
              <w:trHeight w:val="233"/>
            </w:trPr>
            <w:tc>
              <w:tcPr>
                <w:tcW w:w="1737" w:type="dxa"/>
                <w:vAlign w:val="center"/>
              </w:tcPr>
              <w:p w14:paraId="64572EAB"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Ratio</w:t>
                </w:r>
              </w:p>
            </w:tc>
            <w:tc>
              <w:tcPr>
                <w:tcW w:w="1737" w:type="dxa"/>
                <w:vAlign w:val="center"/>
              </w:tcPr>
              <w:p w14:paraId="7FA648C2"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Formula</w:t>
                </w:r>
              </w:p>
            </w:tc>
            <w:tc>
              <w:tcPr>
                <w:tcW w:w="1737" w:type="dxa"/>
                <w:vAlign w:val="center"/>
              </w:tcPr>
              <w:p w14:paraId="2942373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tc>
            <w:tc>
              <w:tcPr>
                <w:tcW w:w="1737" w:type="dxa"/>
                <w:vAlign w:val="center"/>
              </w:tcPr>
              <w:p w14:paraId="6C4DBCE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tc>
            <w:tc>
              <w:tcPr>
                <w:tcW w:w="1737" w:type="dxa"/>
                <w:vAlign w:val="center"/>
              </w:tcPr>
              <w:p w14:paraId="7D54EE6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Change</w:t>
                </w:r>
              </w:p>
            </w:tc>
          </w:tr>
          <w:tr w:rsidR="009F0599" w:rsidRPr="006C3E2A" w14:paraId="5B8AB679" w14:textId="77777777" w:rsidTr="009F0599">
            <w:trPr>
              <w:trHeight w:val="479"/>
            </w:trPr>
            <w:tc>
              <w:tcPr>
                <w:tcW w:w="1737" w:type="dxa"/>
                <w:vAlign w:val="center"/>
              </w:tcPr>
              <w:p w14:paraId="4427D60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Debt-to-Equity</w:t>
                </w:r>
              </w:p>
            </w:tc>
            <w:tc>
              <w:tcPr>
                <w:tcW w:w="1737" w:type="dxa"/>
                <w:vAlign w:val="center"/>
              </w:tcPr>
              <w:p w14:paraId="474BC1A2"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Total Debt / Total Equity</w:t>
                </w:r>
              </w:p>
            </w:tc>
            <w:tc>
              <w:tcPr>
                <w:tcW w:w="1737" w:type="dxa"/>
                <w:vAlign w:val="center"/>
              </w:tcPr>
              <w:p w14:paraId="405048E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0.74:1</w:t>
                </w:r>
              </w:p>
            </w:tc>
            <w:tc>
              <w:tcPr>
                <w:tcW w:w="1737" w:type="dxa"/>
                <w:vAlign w:val="center"/>
              </w:tcPr>
              <w:p w14:paraId="630AAD92"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0.73:1</w:t>
                </w:r>
              </w:p>
            </w:tc>
            <w:tc>
              <w:tcPr>
                <w:tcW w:w="1737" w:type="dxa"/>
                <w:vAlign w:val="center"/>
              </w:tcPr>
              <w:p w14:paraId="2BB1B57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+0.01</w:t>
                </w:r>
              </w:p>
            </w:tc>
          </w:tr>
          <w:tr w:rsidR="009F0599" w:rsidRPr="006C3E2A" w14:paraId="11125B6B" w14:textId="77777777" w:rsidTr="009F0599">
            <w:trPr>
              <w:trHeight w:val="468"/>
            </w:trPr>
            <w:tc>
              <w:tcPr>
                <w:tcW w:w="1737" w:type="dxa"/>
                <w:vAlign w:val="center"/>
              </w:tcPr>
              <w:p w14:paraId="7387148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Gearing Ratio</w:t>
                </w:r>
              </w:p>
            </w:tc>
            <w:tc>
              <w:tcPr>
                <w:tcW w:w="1737" w:type="dxa"/>
                <w:vAlign w:val="center"/>
              </w:tcPr>
              <w:p w14:paraId="202C41D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(Debt / (Debt + Equity)) × 100</w:t>
                </w:r>
              </w:p>
            </w:tc>
            <w:tc>
              <w:tcPr>
                <w:tcW w:w="1737" w:type="dxa"/>
                <w:vAlign w:val="center"/>
              </w:tcPr>
              <w:p w14:paraId="5CE675B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42.57%</w:t>
                </w:r>
              </w:p>
            </w:tc>
            <w:tc>
              <w:tcPr>
                <w:tcW w:w="1737" w:type="dxa"/>
                <w:vAlign w:val="center"/>
              </w:tcPr>
              <w:p w14:paraId="103E2E65"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42.22%</w:t>
                </w:r>
              </w:p>
            </w:tc>
            <w:tc>
              <w:tcPr>
                <w:tcW w:w="1737" w:type="dxa"/>
                <w:vAlign w:val="center"/>
              </w:tcPr>
              <w:p w14:paraId="3C868E6A" w14:textId="4A3F69AC"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+0.35 pp</w:t>
                </w:r>
              </w:p>
            </w:tc>
          </w:tr>
          <w:tr w:rsidR="009F0599" w:rsidRPr="006C3E2A" w14:paraId="1A9135A1" w14:textId="77777777" w:rsidTr="009F0599">
            <w:trPr>
              <w:trHeight w:val="479"/>
            </w:trPr>
            <w:tc>
              <w:tcPr>
                <w:tcW w:w="1737" w:type="dxa"/>
                <w:vAlign w:val="center"/>
              </w:tcPr>
              <w:p w14:paraId="0849C25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Interest Coverage</w:t>
                </w:r>
              </w:p>
            </w:tc>
            <w:tc>
              <w:tcPr>
                <w:tcW w:w="1737" w:type="dxa"/>
                <w:vAlign w:val="center"/>
              </w:tcPr>
              <w:p w14:paraId="10B1F68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EBIT / Interest Expense</w:t>
                </w:r>
              </w:p>
            </w:tc>
            <w:tc>
              <w:tcPr>
                <w:tcW w:w="1737" w:type="dxa"/>
                <w:vAlign w:val="center"/>
              </w:tcPr>
              <w:p w14:paraId="164B47E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5.74x</w:t>
                </w:r>
              </w:p>
            </w:tc>
            <w:tc>
              <w:tcPr>
                <w:tcW w:w="1737" w:type="dxa"/>
                <w:vAlign w:val="center"/>
              </w:tcPr>
              <w:p w14:paraId="6111240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5.04x</w:t>
                </w:r>
              </w:p>
            </w:tc>
            <w:tc>
              <w:tcPr>
                <w:tcW w:w="1737" w:type="dxa"/>
                <w:vAlign w:val="center"/>
              </w:tcPr>
              <w:p w14:paraId="699F2D1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+0.70x</w:t>
                </w:r>
              </w:p>
            </w:tc>
          </w:tr>
        </w:tbl>
        <w:p w14:paraId="4FC32167"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AstraZeneca has a low gearing of 0.74:1 ratio of debt to equity, which is well within the high-risk limits. The marginal increase shows total growth of debt of 5.8 per cent to 30,295 million used to finance strategic investment as to business combinations of 2,771 million and capital expenditure of 1,995 million. The 42.57 per cent gearing ratio has considerable room to borrow more funds.</w:t>
          </w:r>
        </w:p>
        <w:p w14:paraId="756C07A8" w14:textId="09D94358"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interest coverage improved between 5.04 and 5.74 times, and it shows that the company has a great ability to service debt, as operating profit is more than 574 times the interest expense. This is an increase to be attributed to the fact that operating profit growth of 22.1 is significantly higher than the growth in interest expense by 7.1. The involvement in the pharmaceutical business is especially consequential because it is impossible to leave the market once the investments have been made </w:t>
          </w:r>
          <w:proofErr w:type="gramStart"/>
          <w:r w:rsidRPr="006C3E2A">
            <w:rPr>
              <w:rFonts w:ascii="Times New Roman" w:hAnsi="Times New Roman" w:cs="Times New Roman"/>
              <w:sz w:val="24"/>
              <w:szCs w:val="24"/>
            </w:rPr>
            <w:t>since</w:t>
          </w:r>
          <w:proofErr w:type="gramEnd"/>
          <w:r w:rsidRPr="006C3E2A">
            <w:rPr>
              <w:rFonts w:ascii="Times New Roman" w:hAnsi="Times New Roman" w:cs="Times New Roman"/>
              <w:sz w:val="24"/>
              <w:szCs w:val="24"/>
            </w:rPr>
            <w:t xml:space="preserve"> they are business-specific (Atrill, 2020, p. 149). The debt portfolio exhibits advanced management of diversified maturities between 2025 and 2051, multi-currency and an equal balance of fixed and floating.</w:t>
          </w:r>
        </w:p>
        <w:p w14:paraId="4C6E9E15" w14:textId="675486BA"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Efficiency Analysis</w:t>
          </w:r>
        </w:p>
        <w:p w14:paraId="4AB374C1"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Efficiency ratios measure asset deployment and working capital management effectiveness.</w:t>
          </w:r>
        </w:p>
        <w:p w14:paraId="6192E3E2" w14:textId="77777777" w:rsidR="00023044" w:rsidRPr="006C3E2A" w:rsidRDefault="00023044"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Table 4: Efficiency Ratios (2023-2024)</w:t>
          </w:r>
        </w:p>
        <w:tbl>
          <w:tblPr>
            <w:tblStyle w:val="TableGrid"/>
            <w:tblW w:w="6700" w:type="dxa"/>
            <w:tblLook w:val="04A0" w:firstRow="1" w:lastRow="0" w:firstColumn="1" w:lastColumn="0" w:noHBand="0" w:noVBand="1"/>
          </w:tblPr>
          <w:tblGrid>
            <w:gridCol w:w="1376"/>
            <w:gridCol w:w="1376"/>
            <w:gridCol w:w="1312"/>
            <w:gridCol w:w="1312"/>
            <w:gridCol w:w="1324"/>
          </w:tblGrid>
          <w:tr w:rsidR="009F0599" w:rsidRPr="006C3E2A" w14:paraId="1B755491" w14:textId="77777777" w:rsidTr="000C484E">
            <w:trPr>
              <w:trHeight w:val="250"/>
            </w:trPr>
            <w:tc>
              <w:tcPr>
                <w:tcW w:w="1340" w:type="dxa"/>
                <w:vAlign w:val="center"/>
              </w:tcPr>
              <w:p w14:paraId="5B3D31C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Ratio</w:t>
                </w:r>
              </w:p>
            </w:tc>
            <w:tc>
              <w:tcPr>
                <w:tcW w:w="1340" w:type="dxa"/>
                <w:vAlign w:val="center"/>
              </w:tcPr>
              <w:p w14:paraId="55ABE04F"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Formula</w:t>
                </w:r>
              </w:p>
            </w:tc>
            <w:tc>
              <w:tcPr>
                <w:tcW w:w="1340" w:type="dxa"/>
                <w:vAlign w:val="center"/>
              </w:tcPr>
              <w:p w14:paraId="3DC90CF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tc>
            <w:tc>
              <w:tcPr>
                <w:tcW w:w="1340" w:type="dxa"/>
                <w:vAlign w:val="center"/>
              </w:tcPr>
              <w:p w14:paraId="6502560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tc>
            <w:tc>
              <w:tcPr>
                <w:tcW w:w="1340" w:type="dxa"/>
                <w:vAlign w:val="center"/>
              </w:tcPr>
              <w:p w14:paraId="25AA907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Change</w:t>
                </w:r>
              </w:p>
            </w:tc>
          </w:tr>
          <w:tr w:rsidR="009F0599" w:rsidRPr="006C3E2A" w14:paraId="4E340B89" w14:textId="77777777" w:rsidTr="000C484E">
            <w:trPr>
              <w:trHeight w:val="512"/>
            </w:trPr>
            <w:tc>
              <w:tcPr>
                <w:tcW w:w="1340" w:type="dxa"/>
                <w:vAlign w:val="center"/>
              </w:tcPr>
              <w:p w14:paraId="7F39F3A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lastRenderedPageBreak/>
                  <w:t>Inventory Turnover</w:t>
                </w:r>
              </w:p>
            </w:tc>
            <w:tc>
              <w:tcPr>
                <w:tcW w:w="1340" w:type="dxa"/>
                <w:vAlign w:val="center"/>
              </w:tcPr>
              <w:p w14:paraId="6D45114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Cost of Sales / Average Inventory</w:t>
                </w:r>
              </w:p>
            </w:tc>
            <w:tc>
              <w:tcPr>
                <w:tcW w:w="1340" w:type="dxa"/>
                <w:vAlign w:val="center"/>
              </w:tcPr>
              <w:p w14:paraId="0DB3BE7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1.91x</w:t>
                </w:r>
              </w:p>
            </w:tc>
            <w:tc>
              <w:tcPr>
                <w:tcW w:w="1340" w:type="dxa"/>
                <w:vAlign w:val="center"/>
              </w:tcPr>
              <w:p w14:paraId="439E723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1.63x</w:t>
                </w:r>
              </w:p>
            </w:tc>
            <w:tc>
              <w:tcPr>
                <w:tcW w:w="1340" w:type="dxa"/>
                <w:vAlign w:val="center"/>
              </w:tcPr>
              <w:p w14:paraId="30913892"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+0.28x</w:t>
                </w:r>
              </w:p>
            </w:tc>
          </w:tr>
          <w:tr w:rsidR="009F0599" w:rsidRPr="006C3E2A" w14:paraId="77BFF4DC" w14:textId="77777777" w:rsidTr="000C484E">
            <w:trPr>
              <w:trHeight w:val="762"/>
            </w:trPr>
            <w:tc>
              <w:tcPr>
                <w:tcW w:w="1340" w:type="dxa"/>
                <w:vAlign w:val="center"/>
              </w:tcPr>
              <w:p w14:paraId="3DAB601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Receivables Days</w:t>
                </w:r>
              </w:p>
            </w:tc>
            <w:tc>
              <w:tcPr>
                <w:tcW w:w="1340" w:type="dxa"/>
                <w:vAlign w:val="center"/>
              </w:tcPr>
              <w:p w14:paraId="7291F33F"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(Average Receivables / Revenue) × 365</w:t>
                </w:r>
              </w:p>
            </w:tc>
            <w:tc>
              <w:tcPr>
                <w:tcW w:w="1340" w:type="dxa"/>
                <w:vAlign w:val="center"/>
              </w:tcPr>
              <w:p w14:paraId="642DAE1F"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56.4 days</w:t>
                </w:r>
              </w:p>
            </w:tc>
            <w:tc>
              <w:tcPr>
                <w:tcW w:w="1340" w:type="dxa"/>
                <w:vAlign w:val="center"/>
              </w:tcPr>
              <w:p w14:paraId="477DCD6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62.2 days</w:t>
                </w:r>
              </w:p>
            </w:tc>
            <w:tc>
              <w:tcPr>
                <w:tcW w:w="1340" w:type="dxa"/>
                <w:vAlign w:val="center"/>
              </w:tcPr>
              <w:p w14:paraId="403CCE3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-5.8 days</w:t>
                </w:r>
              </w:p>
            </w:tc>
          </w:tr>
          <w:tr w:rsidR="009F0599" w:rsidRPr="006C3E2A" w14:paraId="66847045" w14:textId="77777777" w:rsidTr="000C484E">
            <w:trPr>
              <w:trHeight w:val="762"/>
            </w:trPr>
            <w:tc>
              <w:tcPr>
                <w:tcW w:w="1340" w:type="dxa"/>
                <w:vAlign w:val="center"/>
              </w:tcPr>
              <w:p w14:paraId="1A2196CF" w14:textId="7AEE1AF0" w:rsidR="00023044" w:rsidRPr="006C3E2A" w:rsidRDefault="00F85E7A" w:rsidP="006C3E2A">
                <w:pPr>
                  <w:spacing w:line="480" w:lineRule="auto"/>
                  <w:rPr>
                    <w:rFonts w:ascii="Times New Roman" w:hAnsi="Times New Roman" w:cs="Times New Roman"/>
                    <w:sz w:val="24"/>
                    <w:szCs w:val="24"/>
                  </w:rPr>
                </w:pPr>
                <w:r>
                  <w:rPr>
                    <w:rFonts w:ascii="Times New Roman" w:hAnsi="Times New Roman" w:cs="Times New Roman"/>
                    <w:sz w:val="24"/>
                    <w:szCs w:val="24"/>
                  </w:rPr>
                  <w:t>Payable</w:t>
                </w:r>
                <w:r w:rsidR="00023044" w:rsidRPr="006C3E2A">
                  <w:rPr>
                    <w:rFonts w:ascii="Times New Roman" w:hAnsi="Times New Roman" w:cs="Times New Roman"/>
                    <w:sz w:val="24"/>
                    <w:szCs w:val="24"/>
                  </w:rPr>
                  <w:t xml:space="preserve"> Days</w:t>
                </w:r>
              </w:p>
            </w:tc>
            <w:tc>
              <w:tcPr>
                <w:tcW w:w="1340" w:type="dxa"/>
                <w:vAlign w:val="center"/>
              </w:tcPr>
              <w:p w14:paraId="15A3327B"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(Average Payables / Cost of Sales) × 365</w:t>
                </w:r>
              </w:p>
            </w:tc>
            <w:tc>
              <w:tcPr>
                <w:tcW w:w="1340" w:type="dxa"/>
                <w:vAlign w:val="center"/>
              </w:tcPr>
              <w:p w14:paraId="30D463C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123.5 days</w:t>
                </w:r>
              </w:p>
            </w:tc>
            <w:tc>
              <w:tcPr>
                <w:tcW w:w="1340" w:type="dxa"/>
                <w:vAlign w:val="center"/>
              </w:tcPr>
              <w:p w14:paraId="5F0409D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128.4 days</w:t>
                </w:r>
              </w:p>
            </w:tc>
            <w:tc>
              <w:tcPr>
                <w:tcW w:w="1340" w:type="dxa"/>
                <w:vAlign w:val="center"/>
              </w:tcPr>
              <w:p w14:paraId="38F9E9A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-4.9 days</w:t>
                </w:r>
              </w:p>
            </w:tc>
          </w:tr>
          <w:tr w:rsidR="009F0599" w:rsidRPr="006C3E2A" w14:paraId="766872E1" w14:textId="77777777" w:rsidTr="000C484E">
            <w:trPr>
              <w:trHeight w:val="762"/>
            </w:trPr>
            <w:tc>
              <w:tcPr>
                <w:tcW w:w="1340" w:type="dxa"/>
                <w:vAlign w:val="center"/>
              </w:tcPr>
              <w:p w14:paraId="01D3FC6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Asset Turnover</w:t>
                </w:r>
              </w:p>
            </w:tc>
            <w:tc>
              <w:tcPr>
                <w:tcW w:w="1340" w:type="dxa"/>
                <w:vAlign w:val="center"/>
              </w:tcPr>
              <w:p w14:paraId="3C86E67E"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Revenue / Average Total Assets</w:t>
                </w:r>
              </w:p>
            </w:tc>
            <w:tc>
              <w:tcPr>
                <w:tcW w:w="1340" w:type="dxa"/>
                <w:vAlign w:val="center"/>
              </w:tcPr>
              <w:p w14:paraId="1E4538E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0.53x</w:t>
                </w:r>
              </w:p>
            </w:tc>
            <w:tc>
              <w:tcPr>
                <w:tcW w:w="1340" w:type="dxa"/>
                <w:vAlign w:val="center"/>
              </w:tcPr>
              <w:p w14:paraId="60A4F18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0.46x</w:t>
                </w:r>
              </w:p>
            </w:tc>
            <w:tc>
              <w:tcPr>
                <w:tcW w:w="1340" w:type="dxa"/>
                <w:vAlign w:val="center"/>
              </w:tcPr>
              <w:p w14:paraId="32D37CD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+0.07x</w:t>
                </w:r>
              </w:p>
            </w:tc>
          </w:tr>
        </w:tbl>
        <w:p w14:paraId="0D146593"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Inventory turnover also increased to 1.91 times as compared to 1.63 times, which means the inventory is now turning over after every 191 days as compared to 224 days before. Such acceleration of 17.2 per cent indicates improved forecasting, a streamlined supply chain, and a product mix that evolves to oncology products with high turnover. Inventory write-downs of $664 million, including 407 </w:t>
          </w:r>
          <w:proofErr w:type="spellStart"/>
          <w:r w:rsidRPr="006C3E2A">
            <w:rPr>
              <w:rFonts w:ascii="Times New Roman" w:hAnsi="Times New Roman" w:cs="Times New Roman"/>
              <w:sz w:val="24"/>
              <w:szCs w:val="24"/>
            </w:rPr>
            <w:t>million</w:t>
          </w:r>
          <w:proofErr w:type="spellEnd"/>
          <w:r w:rsidRPr="006C3E2A">
            <w:rPr>
              <w:rFonts w:ascii="Times New Roman" w:hAnsi="Times New Roman" w:cs="Times New Roman"/>
              <w:sz w:val="24"/>
              <w:szCs w:val="24"/>
            </w:rPr>
            <w:t xml:space="preserve"> of </w:t>
          </w:r>
          <w:proofErr w:type="spellStart"/>
          <w:r w:rsidRPr="006C3E2A">
            <w:rPr>
              <w:rFonts w:ascii="Times New Roman" w:hAnsi="Times New Roman" w:cs="Times New Roman"/>
              <w:sz w:val="24"/>
              <w:szCs w:val="24"/>
            </w:rPr>
            <w:t>Andexxa</w:t>
          </w:r>
          <w:proofErr w:type="spellEnd"/>
          <w:r w:rsidRPr="006C3E2A">
            <w:rPr>
              <w:rFonts w:ascii="Times New Roman" w:hAnsi="Times New Roman" w:cs="Times New Roman"/>
              <w:sz w:val="24"/>
              <w:szCs w:val="24"/>
            </w:rPr>
            <w:t xml:space="preserve"> after promotional abandonment, disclosed in financial statements position inventory to higher-velocity products.</w:t>
          </w:r>
        </w:p>
        <w:p w14:paraId="62898248"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lastRenderedPageBreak/>
            <w:t>The collection of receivables was accelerated by 5.8 days, as compared to the 62.2 days, and this released about 880 million in working capital. There was one wholesaler who contributed more than 10% of the sales and earned 7,567 million in revenue in 2024 compared to 6,513 million in revenue in 2023. The more powerful businesses have better working capital performance towards profitability (Atrill, 2020, p. 478). Asset turnover increased to 0.53 times, and the revenue increase of 18.0 significantly exceeded the asset increase of 3.8, showing operating leverage.</w:t>
          </w:r>
        </w:p>
        <w:p w14:paraId="5057E1BE" w14:textId="08872ED9"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Investor Ratio Analysis</w:t>
          </w:r>
        </w:p>
        <w:p w14:paraId="567C0AD7"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Investor ratios assess shareholder value creation through earnings and dividend policy.</w:t>
          </w:r>
        </w:p>
        <w:p w14:paraId="6FB8CB9F" w14:textId="77777777" w:rsidR="00023044" w:rsidRPr="006C3E2A" w:rsidRDefault="00023044"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Table 5: Investor Ratios (2023-2024)</w:t>
          </w:r>
        </w:p>
        <w:p w14:paraId="1F6873B9" w14:textId="77777777" w:rsidR="00023044" w:rsidRPr="006C3E2A" w:rsidRDefault="00023044"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Table 5: Investor Ratios (2023-2024)</w:t>
          </w:r>
        </w:p>
        <w:tbl>
          <w:tblPr>
            <w:tblStyle w:val="TableGrid"/>
            <w:tblW w:w="10140" w:type="dxa"/>
            <w:tblLook w:val="04A0" w:firstRow="1" w:lastRow="0" w:firstColumn="1" w:lastColumn="0" w:noHBand="0" w:noVBand="1"/>
          </w:tblPr>
          <w:tblGrid>
            <w:gridCol w:w="2028"/>
            <w:gridCol w:w="2028"/>
            <w:gridCol w:w="2028"/>
            <w:gridCol w:w="1331"/>
            <w:gridCol w:w="2725"/>
          </w:tblGrid>
          <w:tr w:rsidR="009F0599" w:rsidRPr="006C3E2A" w14:paraId="76C497C5" w14:textId="77777777" w:rsidTr="000C484E">
            <w:trPr>
              <w:trHeight w:val="245"/>
            </w:trPr>
            <w:tc>
              <w:tcPr>
                <w:tcW w:w="2028" w:type="dxa"/>
                <w:vAlign w:val="center"/>
              </w:tcPr>
              <w:p w14:paraId="052C357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Ratio</w:t>
                </w:r>
              </w:p>
            </w:tc>
            <w:tc>
              <w:tcPr>
                <w:tcW w:w="2028" w:type="dxa"/>
                <w:vAlign w:val="center"/>
              </w:tcPr>
              <w:p w14:paraId="0C0C8F25"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Formula</w:t>
                </w:r>
              </w:p>
            </w:tc>
            <w:tc>
              <w:tcPr>
                <w:tcW w:w="2028" w:type="dxa"/>
                <w:vAlign w:val="center"/>
              </w:tcPr>
              <w:p w14:paraId="58DC41A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tc>
            <w:tc>
              <w:tcPr>
                <w:tcW w:w="1331" w:type="dxa"/>
                <w:vAlign w:val="center"/>
              </w:tcPr>
              <w:p w14:paraId="14CF7AE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tc>
            <w:tc>
              <w:tcPr>
                <w:tcW w:w="2725" w:type="dxa"/>
                <w:vAlign w:val="center"/>
              </w:tcPr>
              <w:p w14:paraId="76AA1A6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Change</w:t>
                </w:r>
              </w:p>
            </w:tc>
          </w:tr>
          <w:tr w:rsidR="009F0599" w:rsidRPr="006C3E2A" w14:paraId="3CA6A5A5" w14:textId="77777777" w:rsidTr="000C484E">
            <w:trPr>
              <w:trHeight w:val="503"/>
            </w:trPr>
            <w:tc>
              <w:tcPr>
                <w:tcW w:w="2028" w:type="dxa"/>
                <w:vAlign w:val="center"/>
              </w:tcPr>
              <w:p w14:paraId="6EFF4831"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EPS</w:t>
                </w:r>
              </w:p>
            </w:tc>
            <w:tc>
              <w:tcPr>
                <w:tcW w:w="2028" w:type="dxa"/>
                <w:vAlign w:val="center"/>
              </w:tcPr>
              <w:p w14:paraId="528161BB"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Net Profit / Weighted Average Shares</w:t>
                </w:r>
              </w:p>
            </w:tc>
            <w:tc>
              <w:tcPr>
                <w:tcW w:w="2028" w:type="dxa"/>
                <w:vAlign w:val="center"/>
              </w:tcPr>
              <w:p w14:paraId="488F2C5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$4.54</w:t>
                </w:r>
              </w:p>
            </w:tc>
            <w:tc>
              <w:tcPr>
                <w:tcW w:w="1331" w:type="dxa"/>
                <w:vAlign w:val="center"/>
              </w:tcPr>
              <w:p w14:paraId="37A58EB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$3.84</w:t>
                </w:r>
              </w:p>
            </w:tc>
            <w:tc>
              <w:tcPr>
                <w:tcW w:w="2725" w:type="dxa"/>
                <w:vAlign w:val="center"/>
              </w:tcPr>
              <w:p w14:paraId="65605B9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+$0.70 (+18.2%)</w:t>
                </w:r>
              </w:p>
            </w:tc>
          </w:tr>
          <w:tr w:rsidR="009F0599" w:rsidRPr="006C3E2A" w14:paraId="1EAD143E" w14:textId="77777777" w:rsidTr="000C484E">
            <w:trPr>
              <w:trHeight w:val="491"/>
            </w:trPr>
            <w:tc>
              <w:tcPr>
                <w:tcW w:w="2028" w:type="dxa"/>
                <w:vAlign w:val="center"/>
              </w:tcPr>
              <w:p w14:paraId="602D731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DPS</w:t>
                </w:r>
              </w:p>
            </w:tc>
            <w:tc>
              <w:tcPr>
                <w:tcW w:w="2028" w:type="dxa"/>
                <w:vAlign w:val="center"/>
              </w:tcPr>
              <w:p w14:paraId="4AA55CD9"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Total Dividends / Shares Outstanding</w:t>
                </w:r>
              </w:p>
            </w:tc>
            <w:tc>
              <w:tcPr>
                <w:tcW w:w="2028" w:type="dxa"/>
                <w:vAlign w:val="center"/>
              </w:tcPr>
              <w:p w14:paraId="44E7D7B5"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$2.97</w:t>
                </w:r>
              </w:p>
            </w:tc>
            <w:tc>
              <w:tcPr>
                <w:tcW w:w="1331" w:type="dxa"/>
                <w:vAlign w:val="center"/>
              </w:tcPr>
              <w:p w14:paraId="0D4B23A8"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$2.90</w:t>
                </w:r>
              </w:p>
            </w:tc>
            <w:tc>
              <w:tcPr>
                <w:tcW w:w="2725" w:type="dxa"/>
                <w:vAlign w:val="center"/>
              </w:tcPr>
              <w:p w14:paraId="16A3A2E6"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+$0.07 (+2.4%)</w:t>
                </w:r>
              </w:p>
            </w:tc>
          </w:tr>
          <w:tr w:rsidR="009F0599" w:rsidRPr="006C3E2A" w14:paraId="58DDDDAD" w14:textId="77777777" w:rsidTr="000C484E">
            <w:trPr>
              <w:trHeight w:val="503"/>
            </w:trPr>
            <w:tc>
              <w:tcPr>
                <w:tcW w:w="2028" w:type="dxa"/>
                <w:vAlign w:val="center"/>
              </w:tcPr>
              <w:p w14:paraId="70EE5B5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Dividend Payout</w:t>
                </w:r>
              </w:p>
            </w:tc>
            <w:tc>
              <w:tcPr>
                <w:tcW w:w="2028" w:type="dxa"/>
                <w:vAlign w:val="center"/>
              </w:tcPr>
              <w:p w14:paraId="03325FF7"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(Total Dividends / Net Profit) × 100</w:t>
                </w:r>
              </w:p>
            </w:tc>
            <w:tc>
              <w:tcPr>
                <w:tcW w:w="2028" w:type="dxa"/>
                <w:vAlign w:val="center"/>
              </w:tcPr>
              <w:p w14:paraId="3E982DEB"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65.42%</w:t>
                </w:r>
              </w:p>
            </w:tc>
            <w:tc>
              <w:tcPr>
                <w:tcW w:w="1331" w:type="dxa"/>
                <w:vAlign w:val="center"/>
              </w:tcPr>
              <w:p w14:paraId="6F266A2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75.34%</w:t>
                </w:r>
              </w:p>
            </w:tc>
            <w:tc>
              <w:tcPr>
                <w:tcW w:w="2725" w:type="dxa"/>
                <w:vAlign w:val="center"/>
              </w:tcPr>
              <w:p w14:paraId="2FC2A26C"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-9.92pp</w:t>
                </w:r>
              </w:p>
            </w:tc>
          </w:tr>
          <w:tr w:rsidR="009F0599" w:rsidRPr="006C3E2A" w14:paraId="210699FB" w14:textId="77777777" w:rsidTr="000C484E">
            <w:trPr>
              <w:trHeight w:val="491"/>
            </w:trPr>
            <w:tc>
              <w:tcPr>
                <w:tcW w:w="2028" w:type="dxa"/>
                <w:vAlign w:val="center"/>
              </w:tcPr>
              <w:p w14:paraId="528E2AE3"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Dividend Cover</w:t>
                </w:r>
              </w:p>
            </w:tc>
            <w:tc>
              <w:tcPr>
                <w:tcW w:w="2028" w:type="dxa"/>
                <w:vAlign w:val="center"/>
              </w:tcPr>
              <w:p w14:paraId="331015AA"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Net Profit / Total Dividends</w:t>
                </w:r>
              </w:p>
            </w:tc>
            <w:tc>
              <w:tcPr>
                <w:tcW w:w="2028" w:type="dxa"/>
                <w:vAlign w:val="center"/>
              </w:tcPr>
              <w:p w14:paraId="0B1BF460"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1.53x</w:t>
                </w:r>
              </w:p>
            </w:tc>
            <w:tc>
              <w:tcPr>
                <w:tcW w:w="1331" w:type="dxa"/>
                <w:vAlign w:val="center"/>
              </w:tcPr>
              <w:p w14:paraId="4A7AC3A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1.33x</w:t>
                </w:r>
              </w:p>
            </w:tc>
            <w:tc>
              <w:tcPr>
                <w:tcW w:w="2725" w:type="dxa"/>
                <w:vAlign w:val="center"/>
              </w:tcPr>
              <w:p w14:paraId="62B05054" w14:textId="77777777" w:rsidR="00023044" w:rsidRPr="006C3E2A" w:rsidRDefault="00023044"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+0.20x</w:t>
                </w:r>
              </w:p>
            </w:tc>
          </w:tr>
        </w:tbl>
        <w:p w14:paraId="154E0881"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Earnings per share grew 18.2 to $4.54, which is significant growth compared to 0.1 per cent growth in the share count, which is indicative of true value creation per share. This </w:t>
          </w:r>
          <w:r w:rsidRPr="006C3E2A">
            <w:rPr>
              <w:rFonts w:ascii="Times New Roman" w:hAnsi="Times New Roman" w:cs="Times New Roman"/>
              <w:sz w:val="24"/>
              <w:szCs w:val="24"/>
            </w:rPr>
            <w:lastRenderedPageBreak/>
            <w:t>happens when the governance is strained, and about 40% of shareholders are opposing the pay packages of CEOs who are performing exceptionally (Pratley, 2021).</w:t>
          </w:r>
        </w:p>
        <w:p w14:paraId="6DA8F9ED"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Dividend per share grew by 2.4 to $2.97, which is lower by far than the 18.2 percent growth of earnings, as it represents earnings retained to invest in research and development. The payout ratio dropped to 65.42 per cent as compared to 75.34 per cent, leading to the release of 698 million for reinvestment. The presence of board international diversity has a strong effect on dividend policy, with average foreign director presence linked with equal payout ratios (Yousef et al., 2025). The cover of the dividend has been enhanced to 1.53 against 1.33 times, giving a high sustainability buffer.</w:t>
          </w:r>
        </w:p>
        <w:p w14:paraId="3011EFEC" w14:textId="77777777" w:rsidR="00E112EC" w:rsidRPr="00E112EC" w:rsidRDefault="00E112EC" w:rsidP="00E112EC">
          <w:pPr>
            <w:spacing w:after="0" w:line="480" w:lineRule="auto"/>
            <w:ind w:firstLine="720"/>
            <w:rPr>
              <w:rFonts w:ascii="Times New Roman" w:hAnsi="Times New Roman" w:cs="Times New Roman"/>
              <w:sz w:val="24"/>
              <w:szCs w:val="24"/>
              <w:lang w:val="en-US"/>
            </w:rPr>
          </w:pPr>
          <w:r w:rsidRPr="00E112EC">
            <w:rPr>
              <w:rFonts w:ascii="Times New Roman" w:hAnsi="Times New Roman" w:cs="Times New Roman"/>
              <w:sz w:val="24"/>
              <w:szCs w:val="24"/>
              <w:lang w:val="en-US"/>
            </w:rPr>
            <w:t>The market recognition is good, as the 29.8% shareholder returns are higher than GSK's 4.1% and Roche's 11%. The price-to-earnings ratio of 30.2 times is far higher than the peer average of 13.2 times and the European pharmaceutical industry average of 24.9 times (Simply Wall St, 2025), which is a source of weakness in the event of pipeline failure.</w:t>
          </w:r>
        </w:p>
        <w:p w14:paraId="4820BEFF" w14:textId="16C1DE65" w:rsidR="00023044" w:rsidRPr="006C3E2A" w:rsidRDefault="00023044" w:rsidP="006C3E2A">
          <w:pPr>
            <w:pStyle w:val="Heading3"/>
            <w:spacing w:before="0" w:line="480" w:lineRule="auto"/>
            <w:rPr>
              <w:rFonts w:ascii="Times New Roman" w:hAnsi="Times New Roman" w:cs="Times New Roman"/>
              <w:b/>
              <w:bCs/>
              <w:color w:val="auto"/>
            </w:rPr>
          </w:pPr>
          <w:bookmarkStart w:id="5" w:name="_Toc219034111"/>
          <w:r w:rsidRPr="006C3E2A">
            <w:rPr>
              <w:rFonts w:ascii="Times New Roman" w:hAnsi="Times New Roman" w:cs="Times New Roman"/>
              <w:b/>
              <w:bCs/>
              <w:color w:val="auto"/>
            </w:rPr>
            <w:t>Critical Evaluation</w:t>
          </w:r>
          <w:bookmarkEnd w:id="5"/>
        </w:p>
        <w:p w14:paraId="1F1E6DFB" w14:textId="55138143"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Reasons for Financial Performance Changes</w:t>
          </w:r>
        </w:p>
        <w:p w14:paraId="6D6DF33F"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financial performance of AstraZeneca in 2024 is a good example of several intersecting strategic and operational factors that illustrate good management implementation and strategic positioning. Growth in revenue of 18.0% to $54,073 million is mainly due to the oncology division, which grew by 19% to $5,330 million at constant currency, which includes </w:t>
          </w:r>
          <w:proofErr w:type="spellStart"/>
          <w:r w:rsidRPr="006C3E2A">
            <w:rPr>
              <w:rFonts w:ascii="Times New Roman" w:hAnsi="Times New Roman" w:cs="Times New Roman"/>
              <w:sz w:val="24"/>
              <w:szCs w:val="24"/>
            </w:rPr>
            <w:t>Tagrisso</w:t>
          </w:r>
          <w:proofErr w:type="spellEnd"/>
          <w:r w:rsidRPr="006C3E2A">
            <w:rPr>
              <w:rFonts w:ascii="Times New Roman" w:hAnsi="Times New Roman" w:cs="Times New Roman"/>
              <w:sz w:val="24"/>
              <w:szCs w:val="24"/>
            </w:rPr>
            <w:t xml:space="preserve"> revenues of $6,580 million, Imfinzi revenues of $4,717 million, and </w:t>
          </w:r>
          <w:proofErr w:type="spellStart"/>
          <w:r w:rsidRPr="006C3E2A">
            <w:rPr>
              <w:rFonts w:ascii="Times New Roman" w:hAnsi="Times New Roman" w:cs="Times New Roman"/>
              <w:sz w:val="24"/>
              <w:szCs w:val="24"/>
            </w:rPr>
            <w:t>Calquence</w:t>
          </w:r>
          <w:proofErr w:type="spellEnd"/>
          <w:r w:rsidRPr="006C3E2A">
            <w:rPr>
              <w:rFonts w:ascii="Times New Roman" w:hAnsi="Times New Roman" w:cs="Times New Roman"/>
              <w:sz w:val="24"/>
              <w:szCs w:val="24"/>
            </w:rPr>
            <w:t xml:space="preserve"> with growing revenues of $3,129 million. The company has managed to move out of dependence on COVID-19 vaccines, with the COVID-19 monoclonal antibodies reducing from $132 million to $31 million as a strategic portfolio repositioning to sustainable growth drivers.</w:t>
          </w:r>
        </w:p>
        <w:p w14:paraId="2E19B984"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lastRenderedPageBreak/>
            <w:t>The quantitative analysis of determinants of revenues in 24 top pharmaceutical firms based on the use of stepwise regression methodology identifies three essential determinants of greater revenues in the future, namely, increased level of absolute R&amp;D spend to indicate the presence of innovation breadth, reduced level of R&amp;D spend as a ratio of current revenues to indicate operational efficiency, and increased level of Phase III clinical trials to indicate the presence of pipeline strength with high commercial probability (</w:t>
          </w:r>
          <w:proofErr w:type="spellStart"/>
          <w:r w:rsidRPr="006C3E2A">
            <w:rPr>
              <w:rFonts w:ascii="Times New Roman" w:hAnsi="Times New Roman" w:cs="Times New Roman"/>
              <w:sz w:val="24"/>
              <w:szCs w:val="24"/>
            </w:rPr>
            <w:t>Sipelyte</w:t>
          </w:r>
          <w:proofErr w:type="spellEnd"/>
          <w:r w:rsidRPr="006C3E2A">
            <w:rPr>
              <w:rFonts w:ascii="Times New Roman" w:hAnsi="Times New Roman" w:cs="Times New Roman"/>
              <w:sz w:val="24"/>
              <w:szCs w:val="24"/>
            </w:rPr>
            <w:t xml:space="preserve"> &amp; Metaxa, 2025, p. 13). The empirically derived predictive framework that supports a strong revenue trajectory is validated by the fact that in 2023, AstraZeneca was in the strategic position with 24 Phase III clinics in the pipeline (the highest among any surveyed pharmaceutical firms, </w:t>
          </w:r>
          <w:proofErr w:type="spellStart"/>
          <w:r w:rsidRPr="006C3E2A">
            <w:rPr>
              <w:rFonts w:ascii="Times New Roman" w:hAnsi="Times New Roman" w:cs="Times New Roman"/>
              <w:sz w:val="24"/>
              <w:szCs w:val="24"/>
            </w:rPr>
            <w:t>Sipelyte</w:t>
          </w:r>
          <w:proofErr w:type="spellEnd"/>
          <w:r w:rsidRPr="006C3E2A">
            <w:rPr>
              <w:rFonts w:ascii="Times New Roman" w:hAnsi="Times New Roman" w:cs="Times New Roman"/>
              <w:sz w:val="24"/>
              <w:szCs w:val="24"/>
            </w:rPr>
            <w:t xml:space="preserve"> and Metaxa, 2025, p. 19), and 2027 revenues are predicted to be as high as $71,942 million, which will be an increase of 57% compared to the 2023 base.</w:t>
          </w:r>
        </w:p>
        <w:p w14:paraId="0057AD9A" w14:textId="21A9C33C"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Post-Alexion integration maturation is indicated by increased efficiency measures, especially in the declining number of 5.8 days and the number of inventory turnovers, which has increased by 17.2%. The qualitative study of the pharmaceutical supply chain executives highlights that resilience features the need to invest in adaptability, flexibility, agility, and collaboration, with technology platforms playing important enablement roles (</w:t>
          </w:r>
          <w:proofErr w:type="spellStart"/>
          <w:r w:rsidRPr="006C3E2A">
            <w:rPr>
              <w:rFonts w:ascii="Times New Roman" w:hAnsi="Times New Roman" w:cs="Times New Roman"/>
              <w:sz w:val="24"/>
              <w:szCs w:val="24"/>
            </w:rPr>
            <w:t>Faggioni</w:t>
          </w:r>
          <w:proofErr w:type="spellEnd"/>
          <w:r w:rsidRPr="006C3E2A">
            <w:rPr>
              <w:rFonts w:ascii="Times New Roman" w:hAnsi="Times New Roman" w:cs="Times New Roman"/>
              <w:sz w:val="24"/>
              <w:szCs w:val="24"/>
            </w:rPr>
            <w:t xml:space="preserve"> et al., 2023, p. 139). The control tower implementations at AstraZeneca taking place after the COVID-19 disruptions can now be translated into working capital benefits.</w:t>
          </w:r>
        </w:p>
        <w:p w14:paraId="3EAB93AF" w14:textId="60DD186E"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Industry Context and Competitive Positioning</w:t>
          </w:r>
        </w:p>
        <w:p w14:paraId="574D76E4"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To interpret AstraZeneca's financial performance, it is necessary to place results in the context of large-scale pharmaceutical industry dynamics that have become subject to increased competitive pressure. The pharmaceutical industry is also faced with paradoxical issues in which innovation is getting increasingly costly despite the technological progress, and the average cost of drug development is 2.97 billion dollars, whereas the R&amp;D productivity is dropping by 13.4% per year due to the so-called </w:t>
          </w:r>
          <w:proofErr w:type="spellStart"/>
          <w:r w:rsidRPr="006C3E2A">
            <w:rPr>
              <w:rFonts w:ascii="Times New Roman" w:hAnsi="Times New Roman" w:cs="Times New Roman"/>
              <w:sz w:val="24"/>
              <w:szCs w:val="24"/>
            </w:rPr>
            <w:t>Eroom</w:t>
          </w:r>
          <w:proofErr w:type="spellEnd"/>
          <w:r w:rsidRPr="006C3E2A">
            <w:rPr>
              <w:rFonts w:ascii="Times New Roman" w:hAnsi="Times New Roman" w:cs="Times New Roman"/>
              <w:sz w:val="24"/>
              <w:szCs w:val="24"/>
            </w:rPr>
            <w:t xml:space="preserve"> Law (</w:t>
          </w:r>
          <w:proofErr w:type="spellStart"/>
          <w:r w:rsidRPr="006C3E2A">
            <w:rPr>
              <w:rFonts w:ascii="Times New Roman" w:hAnsi="Times New Roman" w:cs="Times New Roman"/>
              <w:sz w:val="24"/>
              <w:szCs w:val="24"/>
            </w:rPr>
            <w:t>Sipelyte</w:t>
          </w:r>
          <w:proofErr w:type="spellEnd"/>
          <w:r w:rsidRPr="006C3E2A">
            <w:rPr>
              <w:rFonts w:ascii="Times New Roman" w:hAnsi="Times New Roman" w:cs="Times New Roman"/>
              <w:sz w:val="24"/>
              <w:szCs w:val="24"/>
            </w:rPr>
            <w:t xml:space="preserve"> &amp; </w:t>
          </w:r>
          <w:r w:rsidRPr="006C3E2A">
            <w:rPr>
              <w:rFonts w:ascii="Times New Roman" w:hAnsi="Times New Roman" w:cs="Times New Roman"/>
              <w:sz w:val="24"/>
              <w:szCs w:val="24"/>
            </w:rPr>
            <w:lastRenderedPageBreak/>
            <w:t>Metaxa, 2025, p. 2). The analysis in the industry measures significant vulnerability where the branded sales of pharmaceuticals globally amounted to 356 billion at risk of patent loss between the years 2023 and 2028, causing an immense revenue replacement burden necessitating constant investment in innovation (EY, 2025).</w:t>
          </w:r>
        </w:p>
        <w:p w14:paraId="3F5A6269" w14:textId="16848320"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It is in this difficult environment that the sustained profitability of AstraZeneca reflects operational excellence and effectiveness of portfolio positioning. The focus on oncology, rare diseases and respiratory/immunology targets big unmet medical needs with high pricing power due to clinical differentiation proven in the market. The rare disease portfolio acquired with Alexion, such as Soliris and </w:t>
          </w:r>
          <w:proofErr w:type="spellStart"/>
          <w:r w:rsidRPr="006C3E2A">
            <w:rPr>
              <w:rFonts w:ascii="Times New Roman" w:hAnsi="Times New Roman" w:cs="Times New Roman"/>
              <w:sz w:val="24"/>
              <w:szCs w:val="24"/>
            </w:rPr>
            <w:t>Ultomiris</w:t>
          </w:r>
          <w:proofErr w:type="spellEnd"/>
          <w:r w:rsidRPr="006C3E2A">
            <w:rPr>
              <w:rFonts w:ascii="Times New Roman" w:hAnsi="Times New Roman" w:cs="Times New Roman"/>
              <w:sz w:val="24"/>
              <w:szCs w:val="24"/>
            </w:rPr>
            <w:t xml:space="preserve"> generating total revenues of $6,512 million, is diversifying </w:t>
          </w:r>
          <w:r w:rsidR="00F85E7A">
            <w:rPr>
              <w:rFonts w:ascii="Times New Roman" w:hAnsi="Times New Roman" w:cs="Times New Roman"/>
              <w:sz w:val="24"/>
              <w:szCs w:val="24"/>
            </w:rPr>
            <w:t>from</w:t>
          </w:r>
          <w:r w:rsidRPr="006C3E2A">
            <w:rPr>
              <w:rFonts w:ascii="Times New Roman" w:hAnsi="Times New Roman" w:cs="Times New Roman"/>
              <w:sz w:val="24"/>
              <w:szCs w:val="24"/>
            </w:rPr>
            <w:t xml:space="preserve"> the traditional patent cliff dynamics. In global life sciences analysis, it is made clear that successful pharmaceutical companies need to turn to digital technologies, survive in changing regulatory environments, and handle market volatility to remain profitable (Deloitte, 2023). The geographic diversification of AstraZeneca is evidenced by its manufacturing growth in China with regard to commercial opportunities and management of geopolitical risk.</w:t>
          </w:r>
        </w:p>
        <w:p w14:paraId="097E2127" w14:textId="3318E97E"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Limitations of Ratio Analysis</w:t>
          </w:r>
        </w:p>
        <w:p w14:paraId="46CA81D3"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Although ratio analysis offers some useful quantitative information that can be used to conduct systematic financial evaluation, interpretive validity is limited by serious methodological constraints. Historical ratios indicate the previous performance with low predictability of future results, especially troublesome in the instances where the current outcomes are based on R&amp;D investments made 10-15 years ago and the current expenditure defines future performance starting 2030-2035. Such a temporal disconnection builds a basic imbalance that can be difficult to interpret.</w:t>
          </w:r>
        </w:p>
        <w:p w14:paraId="6ACF035F" w14:textId="3C80D75B"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differences in accounting policies do not allow access to cross-sectional comparability, and various methods of capitalising R&amp;D and recognising revenues and </w:t>
          </w:r>
          <w:r w:rsidRPr="006C3E2A">
            <w:rPr>
              <w:rFonts w:ascii="Times New Roman" w:hAnsi="Times New Roman" w:cs="Times New Roman"/>
              <w:sz w:val="24"/>
              <w:szCs w:val="24"/>
            </w:rPr>
            <w:lastRenderedPageBreak/>
            <w:t>valuing intangible elements bring distortions. Moreover, ratio analysis does not include such imperative non-financials as pipeline quality, regulatory chances, and organisational abilities. Such pharmaceutical attributes as long-term cycles, binary results, and dependence on intellectual property generate dynamics that cannot be sufficiently captured with generic metrics (Atrill, 2020, p. 149). Content analysis records the differences between corporate stories and business publications, with the term 'earnings' appearing in 100 per cent of press reports yet only in 24 per cent of CSR reports, and the word 'profit' appearing in 100 per cent of press reports but 41 per cent of CSR reports (LaVan et al., 2021, p. 344), casting doubt on whether published metrics are actually a realistic reflection of underlying economic realities.</w:t>
          </w:r>
        </w:p>
        <w:p w14:paraId="22C14C60" w14:textId="6AAA0945" w:rsidR="00023044" w:rsidRPr="006C3E2A" w:rsidRDefault="00023044" w:rsidP="006C3E2A">
          <w:pPr>
            <w:pStyle w:val="Heading3"/>
            <w:spacing w:before="0" w:line="480" w:lineRule="auto"/>
            <w:rPr>
              <w:rFonts w:ascii="Times New Roman" w:hAnsi="Times New Roman" w:cs="Times New Roman"/>
              <w:b/>
              <w:bCs/>
              <w:color w:val="auto"/>
            </w:rPr>
          </w:pPr>
          <w:bookmarkStart w:id="6" w:name="_Toc219034112"/>
          <w:r w:rsidRPr="006C3E2A">
            <w:rPr>
              <w:rFonts w:ascii="Times New Roman" w:hAnsi="Times New Roman" w:cs="Times New Roman"/>
              <w:b/>
              <w:bCs/>
              <w:color w:val="auto"/>
            </w:rPr>
            <w:t>Recommendations</w:t>
          </w:r>
          <w:bookmarkEnd w:id="6"/>
        </w:p>
        <w:p w14:paraId="6C9BB1E6" w14:textId="177B52E3"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 xml:space="preserve">Recommendation 1: Implement </w:t>
          </w:r>
          <w:r w:rsidR="00F85E7A">
            <w:rPr>
              <w:rFonts w:ascii="Times New Roman" w:hAnsi="Times New Roman" w:cs="Times New Roman"/>
              <w:b/>
              <w:bCs/>
              <w:color w:val="auto"/>
              <w:sz w:val="24"/>
              <w:szCs w:val="24"/>
            </w:rPr>
            <w:t>a Comprehensive</w:t>
          </w:r>
          <w:r w:rsidRPr="006C3E2A">
            <w:rPr>
              <w:rFonts w:ascii="Times New Roman" w:hAnsi="Times New Roman" w:cs="Times New Roman"/>
              <w:b/>
              <w:bCs/>
              <w:color w:val="auto"/>
              <w:sz w:val="24"/>
              <w:szCs w:val="24"/>
            </w:rPr>
            <w:t xml:space="preserve"> Working Capital </w:t>
          </w:r>
          <w:r w:rsidR="00F85E7A">
            <w:rPr>
              <w:rFonts w:ascii="Times New Roman" w:hAnsi="Times New Roman" w:cs="Times New Roman"/>
              <w:b/>
              <w:bCs/>
              <w:color w:val="auto"/>
              <w:sz w:val="24"/>
              <w:szCs w:val="24"/>
            </w:rPr>
            <w:t>Optimisation Programme</w:t>
          </w:r>
          <w:r w:rsidRPr="006C3E2A">
            <w:rPr>
              <w:rFonts w:ascii="Times New Roman" w:hAnsi="Times New Roman" w:cs="Times New Roman"/>
              <w:b/>
              <w:bCs/>
              <w:color w:val="auto"/>
              <w:sz w:val="24"/>
              <w:szCs w:val="24"/>
            </w:rPr>
            <w:t xml:space="preserve"> </w:t>
          </w:r>
          <w:r w:rsidR="00F85E7A">
            <w:rPr>
              <w:rFonts w:ascii="Times New Roman" w:hAnsi="Times New Roman" w:cs="Times New Roman"/>
              <w:b/>
              <w:bCs/>
              <w:color w:val="auto"/>
              <w:sz w:val="24"/>
              <w:szCs w:val="24"/>
            </w:rPr>
            <w:t>Targeting a</w:t>
          </w:r>
          <w:r w:rsidRPr="006C3E2A">
            <w:rPr>
              <w:rFonts w:ascii="Times New Roman" w:hAnsi="Times New Roman" w:cs="Times New Roman"/>
              <w:b/>
              <w:bCs/>
              <w:color w:val="auto"/>
              <w:sz w:val="24"/>
              <w:szCs w:val="24"/>
            </w:rPr>
            <w:t xml:space="preserve"> 1.1:1 Current Ratio Within 18 Months</w:t>
          </w:r>
        </w:p>
        <w:p w14:paraId="4C3F8C32" w14:textId="0B6B3B1A"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current ratio of 0.93:1, though better than the previous year's 0.82:1, presents possible liquidity limitations in circumstances where the market fails or it might face unexpected cash needs. The management is to develop a formal working capital optimisation initiative with executive sponsorship to achieve a 1.1:1 ratio of working capital in 18 months with three mechanisms: negotiate 15-day extended terms with major wholesalers valued at about 2260 million; apply advanced analytics of inventory optimisation by 10 percentage points, reducing the release of 528 million; and ensure the promptness of inventory by payment discounts to shorten days outstanding by 56.4 days to 50 days. The higher 9.3% in large businesses reflects the improved working capital performance (Atrill, 2020, p. 478), which implies that the scale of AstraZeneca provides the competitive advantage, but the current positioning makes the company exposed. The example of the pharmaceutical industry with disrupted supply chains during COVID-19 that impacted the logistics of API sourcing and distribution imposed the requirement of increased resilience by increasing financial </w:t>
          </w:r>
          <w:r w:rsidRPr="006C3E2A">
            <w:rPr>
              <w:rFonts w:ascii="Times New Roman" w:hAnsi="Times New Roman" w:cs="Times New Roman"/>
              <w:sz w:val="24"/>
              <w:szCs w:val="24"/>
            </w:rPr>
            <w:lastRenderedPageBreak/>
            <w:t>flexibility (</w:t>
          </w:r>
          <w:proofErr w:type="spellStart"/>
          <w:r w:rsidRPr="006C3E2A">
            <w:rPr>
              <w:rFonts w:ascii="Times New Roman" w:hAnsi="Times New Roman" w:cs="Times New Roman"/>
              <w:sz w:val="24"/>
              <w:szCs w:val="24"/>
            </w:rPr>
            <w:t>Faggioni</w:t>
          </w:r>
          <w:proofErr w:type="spellEnd"/>
          <w:r w:rsidRPr="006C3E2A">
            <w:rPr>
              <w:rFonts w:ascii="Times New Roman" w:hAnsi="Times New Roman" w:cs="Times New Roman"/>
              <w:sz w:val="24"/>
              <w:szCs w:val="24"/>
            </w:rPr>
            <w:t xml:space="preserve"> et al., 2023, p. 129). All such efforts could unlock an equivalent of $3.2-4.0 billion of working capital to support strategic implementation and enhance financial resilience.</w:t>
          </w:r>
        </w:p>
        <w:p w14:paraId="3CF22624" w14:textId="6BD3801C"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 xml:space="preserve">Recommendation 2: Establish </w:t>
          </w:r>
          <w:r w:rsidR="00F85E7A">
            <w:rPr>
              <w:rFonts w:ascii="Times New Roman" w:hAnsi="Times New Roman" w:cs="Times New Roman"/>
              <w:b/>
              <w:bCs/>
              <w:color w:val="auto"/>
              <w:sz w:val="24"/>
              <w:szCs w:val="24"/>
            </w:rPr>
            <w:t>a Quantified</w:t>
          </w:r>
          <w:r w:rsidRPr="006C3E2A">
            <w:rPr>
              <w:rFonts w:ascii="Times New Roman" w:hAnsi="Times New Roman" w:cs="Times New Roman"/>
              <w:b/>
              <w:bCs/>
              <w:color w:val="auto"/>
              <w:sz w:val="24"/>
              <w:szCs w:val="24"/>
            </w:rPr>
            <w:t xml:space="preserve"> R&amp;D Portfolio Management Framework with Explicit Stage-Gate ROI Thresholds</w:t>
          </w:r>
        </w:p>
        <w:p w14:paraId="214098E3" w14:textId="0F70646D"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Although AstraZeneca has shown dedication to innovation by spending 10,935 million in R&amp;D, the firm needs to have a stage-gate portfolio management with clear requirements: it needs minimum probability-adjusted NPV to reach Phase II development with 15 per cent IRR hurdle requirements and Phase III initiation with 20 per cent IRR expectations. Programmes that do not meet the thresholds are to be discontinued and the capital reallocated. The longitudinal analysis confirms the presence of a positive impact of R&amp;D investment on the performance of pharmaceuticals with β = 0.0006, t = 3.84 at 1% significance and R² of 0.9859, explaining the variability in ROA (Nandy, 2022, p. 196; Wan et al., 2025, p. 5). But the very existence of such a positive relationship presupposes the efficient capital usage. The use of stepwise regression proves the existence of three determinants, including greater absolute R&amp;D expenditure, decreasing R&amp;D as a revenue ratio, and increased Phase III values (</w:t>
          </w:r>
          <w:proofErr w:type="spellStart"/>
          <w:r w:rsidRPr="006C3E2A">
            <w:rPr>
              <w:rFonts w:ascii="Times New Roman" w:hAnsi="Times New Roman" w:cs="Times New Roman"/>
              <w:sz w:val="24"/>
              <w:szCs w:val="24"/>
            </w:rPr>
            <w:t>Sipelyte</w:t>
          </w:r>
          <w:proofErr w:type="spellEnd"/>
          <w:r w:rsidRPr="006C3E2A">
            <w:rPr>
              <w:rFonts w:ascii="Times New Roman" w:hAnsi="Times New Roman" w:cs="Times New Roman"/>
              <w:sz w:val="24"/>
              <w:szCs w:val="24"/>
            </w:rPr>
            <w:t xml:space="preserve"> &amp; Metaxa, 2025, p. 13). The impairment charges of AstraZeneca of $1,577 million that include 753 </w:t>
          </w:r>
          <w:proofErr w:type="spellStart"/>
          <w:r w:rsidRPr="006C3E2A">
            <w:rPr>
              <w:rFonts w:ascii="Times New Roman" w:hAnsi="Times New Roman" w:cs="Times New Roman"/>
              <w:sz w:val="24"/>
              <w:szCs w:val="24"/>
            </w:rPr>
            <w:t>million</w:t>
          </w:r>
          <w:proofErr w:type="spellEnd"/>
          <w:r w:rsidRPr="006C3E2A">
            <w:rPr>
              <w:rFonts w:ascii="Times New Roman" w:hAnsi="Times New Roman" w:cs="Times New Roman"/>
              <w:sz w:val="24"/>
              <w:szCs w:val="24"/>
            </w:rPr>
            <w:t xml:space="preserve"> of </w:t>
          </w:r>
          <w:proofErr w:type="spellStart"/>
          <w:r w:rsidRPr="006C3E2A">
            <w:rPr>
              <w:rFonts w:ascii="Times New Roman" w:hAnsi="Times New Roman" w:cs="Times New Roman"/>
              <w:sz w:val="24"/>
              <w:szCs w:val="24"/>
            </w:rPr>
            <w:t>vamircopan</w:t>
          </w:r>
          <w:proofErr w:type="spellEnd"/>
          <w:r w:rsidRPr="006C3E2A">
            <w:rPr>
              <w:rFonts w:ascii="Times New Roman" w:hAnsi="Times New Roman" w:cs="Times New Roman"/>
              <w:sz w:val="24"/>
              <w:szCs w:val="24"/>
            </w:rPr>
            <w:t xml:space="preserve"> indicate that there is an opportunity to optimise. By introducing systematic ROI models, the R&amp;D productivity can be improved by 15-20% in terms of capital allocation, which may create an extra value of $1.6-2.2 billion every year but keeps the same level of R&amp;D investment as in the future to increase revenues to the ambitious goal of 80 billion by 2030.</w:t>
          </w:r>
        </w:p>
        <w:p w14:paraId="4636121C" w14:textId="77777777" w:rsidR="00023044" w:rsidRPr="006C3E2A" w:rsidRDefault="00023044"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lastRenderedPageBreak/>
            <w:t>Recommendation 3: Enhance Supply Chain Resilience Through Dual-Source Manufacturing and Digital Control Tower Investment</w:t>
          </w:r>
        </w:p>
        <w:p w14:paraId="23618741" w14:textId="77777777" w:rsidR="00023044" w:rsidRPr="006C3E2A" w:rsidRDefault="00023044"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AstraZeneca ought to have split sourcing of all products with an annual revenue of over a billion dollars to have the capacity to find redundancy in production over geographical borders and rapid implementation of control tower technologies with built-in real-time visibility in all supply chains between the API sourcing and the final distribution. A qualitative study of the pharmaceutical supply chain executives confirms that agility, flexibility, collaboration, and adaptability are some of the essential resilience factors, and practitioners note that without proper technologies that sustain network operations, there can be no adaptability and decent level of agility and flexibility, and therefore resilience (</w:t>
          </w:r>
          <w:proofErr w:type="spellStart"/>
          <w:r w:rsidRPr="006C3E2A">
            <w:rPr>
              <w:rFonts w:ascii="Times New Roman" w:hAnsi="Times New Roman" w:cs="Times New Roman"/>
              <w:sz w:val="24"/>
              <w:szCs w:val="24"/>
            </w:rPr>
            <w:t>Faggioni</w:t>
          </w:r>
          <w:proofErr w:type="spellEnd"/>
          <w:r w:rsidRPr="006C3E2A">
            <w:rPr>
              <w:rFonts w:ascii="Times New Roman" w:hAnsi="Times New Roman" w:cs="Times New Roman"/>
              <w:sz w:val="24"/>
              <w:szCs w:val="24"/>
            </w:rPr>
            <w:t xml:space="preserve"> et al., 2023, p. 139). The studies also record that resilience assists supply chains to endure disruptions in addition to directly influencing the relations of external stakeholders because brand reputation works as a measure of reliability with customers, regulating bodies and investors (</w:t>
          </w:r>
          <w:proofErr w:type="spellStart"/>
          <w:r w:rsidRPr="006C3E2A">
            <w:rPr>
              <w:rFonts w:ascii="Times New Roman" w:hAnsi="Times New Roman" w:cs="Times New Roman"/>
              <w:sz w:val="24"/>
              <w:szCs w:val="24"/>
            </w:rPr>
            <w:t>Faggioni</w:t>
          </w:r>
          <w:proofErr w:type="spellEnd"/>
          <w:r w:rsidRPr="006C3E2A">
            <w:rPr>
              <w:rFonts w:ascii="Times New Roman" w:hAnsi="Times New Roman" w:cs="Times New Roman"/>
              <w:sz w:val="24"/>
              <w:szCs w:val="24"/>
            </w:rPr>
            <w:t xml:space="preserve"> et al., 2023, p. 139). The implementation that will demand an investment of about 500-700 million dollars within three years will create a significant value by mitigating stock-out risks worth 32+ billion in revenue of the eight largest products, increasing inventory efficiency worth 300-500 million in working capital, and reinforcing customer service reliability worth competitive positioning. The conservative scenario models postulate possible annual savings in revenue of up to $2 billion in avoiding stock-out scenarios that have historically cost the company its permanently lost market share to competitors and give attractive 3-4x profitability on investment to satisfy capital needs as well as give the AstraZeneca company a competitive anchor in possible future disruption scenarios through operational predictability.</w:t>
          </w:r>
        </w:p>
        <w:p w14:paraId="75B5A1F6" w14:textId="77777777" w:rsidR="00BF1A8E" w:rsidRPr="006C3E2A" w:rsidRDefault="00BF1A8E" w:rsidP="006C3E2A">
          <w:pPr>
            <w:spacing w:after="0" w:line="480" w:lineRule="auto"/>
            <w:rPr>
              <w:rFonts w:ascii="Times New Roman" w:eastAsiaTheme="majorEastAsia" w:hAnsi="Times New Roman" w:cs="Times New Roman"/>
              <w:sz w:val="24"/>
              <w:szCs w:val="24"/>
            </w:rPr>
          </w:pPr>
          <w:r w:rsidRPr="006C3E2A">
            <w:rPr>
              <w:rFonts w:ascii="Times New Roman" w:hAnsi="Times New Roman" w:cs="Times New Roman"/>
              <w:sz w:val="24"/>
              <w:szCs w:val="24"/>
            </w:rPr>
            <w:br w:type="page"/>
          </w:r>
        </w:p>
        <w:p w14:paraId="4CAF441C" w14:textId="3AD8DFCC" w:rsidR="00E16E1F" w:rsidRPr="006C3E2A" w:rsidRDefault="00E16E1F" w:rsidP="006C3E2A">
          <w:pPr>
            <w:pStyle w:val="Heading2"/>
            <w:spacing w:before="0" w:line="480" w:lineRule="auto"/>
            <w:jc w:val="center"/>
            <w:rPr>
              <w:rFonts w:ascii="Times New Roman" w:hAnsi="Times New Roman" w:cs="Times New Roman"/>
              <w:b/>
              <w:bCs/>
              <w:color w:val="auto"/>
              <w:sz w:val="24"/>
              <w:szCs w:val="24"/>
            </w:rPr>
          </w:pPr>
          <w:bookmarkStart w:id="7" w:name="_Toc219034113"/>
          <w:r w:rsidRPr="006C3E2A">
            <w:rPr>
              <w:rFonts w:ascii="Times New Roman" w:hAnsi="Times New Roman" w:cs="Times New Roman"/>
              <w:b/>
              <w:bCs/>
              <w:color w:val="auto"/>
              <w:sz w:val="24"/>
              <w:szCs w:val="24"/>
            </w:rPr>
            <w:lastRenderedPageBreak/>
            <w:t>Investment Appraisal and Financing Strategy for Westward Plc</w:t>
          </w:r>
          <w:bookmarkEnd w:id="7"/>
        </w:p>
        <w:p w14:paraId="7AD4D117" w14:textId="7A9C5B01" w:rsidR="00E16E1F" w:rsidRPr="006C3E2A" w:rsidRDefault="00E16E1F" w:rsidP="006C3E2A">
          <w:pPr>
            <w:pStyle w:val="Heading2"/>
            <w:spacing w:before="0" w:line="480" w:lineRule="auto"/>
            <w:rPr>
              <w:rFonts w:ascii="Times New Roman" w:hAnsi="Times New Roman" w:cs="Times New Roman"/>
              <w:b/>
              <w:bCs/>
              <w:color w:val="auto"/>
              <w:sz w:val="24"/>
              <w:szCs w:val="24"/>
            </w:rPr>
          </w:pPr>
          <w:bookmarkStart w:id="8" w:name="_Toc219034114"/>
          <w:r w:rsidRPr="006C3E2A">
            <w:rPr>
              <w:rStyle w:val="Heading3Char"/>
              <w:rFonts w:ascii="Times New Roman" w:hAnsi="Times New Roman" w:cs="Times New Roman"/>
              <w:b/>
              <w:bCs/>
              <w:color w:val="auto"/>
            </w:rPr>
            <w:t>Net Present Value Analysis</w:t>
          </w:r>
          <w:bookmarkEnd w:id="8"/>
        </w:p>
        <w:p w14:paraId="51666746"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One of the simplest tools in the process of capital budgeting is the net present value (NPV) that is used to describe the difference between the present value of cash inflows and the present value of cash outflows in the project lifetime (Atrill, 2019). The NPV approach considers the time value of money and appraises the future cash flows by discounting them to present value and provides the first-hand opportunity to compare the investment alternatives between varying cash flows and initial investment capital requirements.</w:t>
          </w:r>
        </w:p>
        <w:p w14:paraId="6094D573" w14:textId="0E877330" w:rsidR="00E16E1F"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In the three investment options of the Westward Plc NPV will be calculated based on after-tax cash flows that are adjusted to capital allowances. There is a corporation tax of 25% on annual cash flows, and a capital allowance of 20 on a straight-line basis is also used to provide tax relief on the original capital investment. The allowance amount multiplied by the corporation tax rate will act as the tax benefit of capital allowances (</w:t>
          </w:r>
          <w:r w:rsidR="000A5017" w:rsidRPr="006C3E2A">
            <w:rPr>
              <w:rFonts w:ascii="Times New Roman" w:hAnsi="Times New Roman" w:cs="Times New Roman"/>
              <w:sz w:val="24"/>
              <w:szCs w:val="24"/>
            </w:rPr>
            <w:t xml:space="preserve">Drury &amp; </w:t>
          </w:r>
          <w:proofErr w:type="spellStart"/>
          <w:r w:rsidR="000A5017" w:rsidRPr="006C3E2A">
            <w:rPr>
              <w:rFonts w:ascii="Times New Roman" w:hAnsi="Times New Roman" w:cs="Times New Roman"/>
              <w:sz w:val="24"/>
              <w:szCs w:val="24"/>
            </w:rPr>
            <w:t>Tayles</w:t>
          </w:r>
          <w:proofErr w:type="spellEnd"/>
          <w:r w:rsidRPr="006C3E2A">
            <w:rPr>
              <w:rFonts w:ascii="Times New Roman" w:hAnsi="Times New Roman" w:cs="Times New Roman"/>
              <w:sz w:val="24"/>
              <w:szCs w:val="24"/>
            </w:rPr>
            <w:t>, 2020).</w:t>
          </w:r>
        </w:p>
        <w:p w14:paraId="73205393" w14:textId="77777777" w:rsidR="001A0459" w:rsidRPr="001A0459" w:rsidRDefault="001A0459" w:rsidP="001A0459">
          <w:pPr>
            <w:spacing w:after="0" w:line="480" w:lineRule="auto"/>
            <w:rPr>
              <w:rFonts w:ascii="Times New Roman" w:hAnsi="Times New Roman" w:cs="Times New Roman"/>
              <w:b/>
              <w:bCs/>
              <w:sz w:val="24"/>
              <w:szCs w:val="24"/>
            </w:rPr>
          </w:pPr>
          <w:r w:rsidRPr="001A0459">
            <w:rPr>
              <w:rFonts w:ascii="Times New Roman" w:hAnsi="Times New Roman" w:cs="Times New Roman"/>
              <w:b/>
              <w:bCs/>
              <w:sz w:val="24"/>
              <w:szCs w:val="24"/>
            </w:rPr>
            <w:t>Table 1: Net Present Value Calculations for Investment Options A, B, and C</w:t>
          </w:r>
        </w:p>
        <w:tbl>
          <w:tblPr>
            <w:tblStyle w:val="TableGrid"/>
            <w:tblW w:w="0" w:type="auto"/>
            <w:tblLook w:val="04A0" w:firstRow="1" w:lastRow="0" w:firstColumn="1" w:lastColumn="0" w:noHBand="0" w:noVBand="1"/>
          </w:tblPr>
          <w:tblGrid>
            <w:gridCol w:w="1086"/>
            <w:gridCol w:w="1073"/>
            <w:gridCol w:w="1057"/>
            <w:gridCol w:w="1147"/>
            <w:gridCol w:w="1074"/>
            <w:gridCol w:w="1216"/>
            <w:gridCol w:w="1147"/>
            <w:gridCol w:w="1216"/>
          </w:tblGrid>
          <w:tr w:rsidR="009F0599" w:rsidRPr="006C3E2A" w14:paraId="5DE6EBE8" w14:textId="77777777" w:rsidTr="001A0459">
            <w:tc>
              <w:tcPr>
                <w:tcW w:w="1086" w:type="dxa"/>
                <w:vAlign w:val="center"/>
              </w:tcPr>
              <w:p w14:paraId="48CD81A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Year</w:t>
                </w:r>
              </w:p>
            </w:tc>
            <w:tc>
              <w:tcPr>
                <w:tcW w:w="1073" w:type="dxa"/>
                <w:vAlign w:val="center"/>
              </w:tcPr>
              <w:p w14:paraId="0EF2EA10"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Option A (£'000)</w:t>
                </w:r>
              </w:p>
            </w:tc>
            <w:tc>
              <w:tcPr>
                <w:tcW w:w="1057" w:type="dxa"/>
                <w:vAlign w:val="center"/>
              </w:tcPr>
              <w:p w14:paraId="180A22DC"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PV Factor (6%)</w:t>
                </w:r>
              </w:p>
            </w:tc>
            <w:tc>
              <w:tcPr>
                <w:tcW w:w="1147" w:type="dxa"/>
                <w:vAlign w:val="center"/>
              </w:tcPr>
              <w:p w14:paraId="57E80A7E"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Present Value (£'000)</w:t>
                </w:r>
              </w:p>
            </w:tc>
            <w:tc>
              <w:tcPr>
                <w:tcW w:w="1074" w:type="dxa"/>
                <w:vAlign w:val="center"/>
              </w:tcPr>
              <w:p w14:paraId="7BE762EE"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Option B (£'000)</w:t>
                </w:r>
              </w:p>
            </w:tc>
            <w:tc>
              <w:tcPr>
                <w:tcW w:w="1216" w:type="dxa"/>
                <w:vAlign w:val="center"/>
              </w:tcPr>
              <w:p w14:paraId="76CB388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Present Value (£'000)</w:t>
                </w:r>
              </w:p>
            </w:tc>
            <w:tc>
              <w:tcPr>
                <w:tcW w:w="1147" w:type="dxa"/>
                <w:vAlign w:val="center"/>
              </w:tcPr>
              <w:p w14:paraId="6D44547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Option C (£'000)</w:t>
                </w:r>
              </w:p>
            </w:tc>
            <w:tc>
              <w:tcPr>
                <w:tcW w:w="1216" w:type="dxa"/>
                <w:vAlign w:val="center"/>
              </w:tcPr>
              <w:p w14:paraId="7168D602"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Present Value (£'000)</w:t>
                </w:r>
              </w:p>
            </w:tc>
          </w:tr>
          <w:tr w:rsidR="009F0599" w:rsidRPr="006C3E2A" w14:paraId="074FE29B" w14:textId="77777777" w:rsidTr="001A0459">
            <w:tc>
              <w:tcPr>
                <w:tcW w:w="1086" w:type="dxa"/>
                <w:vAlign w:val="center"/>
              </w:tcPr>
              <w:p w14:paraId="7EF513BF"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w:t>
                </w:r>
              </w:p>
            </w:tc>
            <w:tc>
              <w:tcPr>
                <w:tcW w:w="1073" w:type="dxa"/>
                <w:vAlign w:val="center"/>
              </w:tcPr>
              <w:p w14:paraId="1B0378E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(600)</w:t>
                </w:r>
              </w:p>
            </w:tc>
            <w:tc>
              <w:tcPr>
                <w:tcW w:w="1057" w:type="dxa"/>
                <w:vAlign w:val="center"/>
              </w:tcPr>
              <w:p w14:paraId="6F41183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1.0000</w:t>
                </w:r>
              </w:p>
            </w:tc>
            <w:tc>
              <w:tcPr>
                <w:tcW w:w="1147" w:type="dxa"/>
                <w:vAlign w:val="center"/>
              </w:tcPr>
              <w:p w14:paraId="2F4A027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(600.00)</w:t>
                </w:r>
              </w:p>
            </w:tc>
            <w:tc>
              <w:tcPr>
                <w:tcW w:w="1074" w:type="dxa"/>
                <w:vAlign w:val="center"/>
              </w:tcPr>
              <w:p w14:paraId="454C7F9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(1,000)</w:t>
                </w:r>
              </w:p>
            </w:tc>
            <w:tc>
              <w:tcPr>
                <w:tcW w:w="1216" w:type="dxa"/>
                <w:vAlign w:val="center"/>
              </w:tcPr>
              <w:p w14:paraId="22C7BC3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(1,000.00)</w:t>
                </w:r>
              </w:p>
            </w:tc>
            <w:tc>
              <w:tcPr>
                <w:tcW w:w="1147" w:type="dxa"/>
                <w:vAlign w:val="center"/>
              </w:tcPr>
              <w:p w14:paraId="638B72B3"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(1,600)</w:t>
                </w:r>
              </w:p>
            </w:tc>
            <w:tc>
              <w:tcPr>
                <w:tcW w:w="1216" w:type="dxa"/>
                <w:vAlign w:val="center"/>
              </w:tcPr>
              <w:p w14:paraId="77BC212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(1,600.00)</w:t>
                </w:r>
              </w:p>
            </w:tc>
          </w:tr>
          <w:tr w:rsidR="009F0599" w:rsidRPr="006C3E2A" w14:paraId="1995E9F7" w14:textId="77777777" w:rsidTr="001A0459">
            <w:tc>
              <w:tcPr>
                <w:tcW w:w="1086" w:type="dxa"/>
                <w:vAlign w:val="center"/>
              </w:tcPr>
              <w:p w14:paraId="1EB5124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w:t>
                </w:r>
              </w:p>
            </w:tc>
            <w:tc>
              <w:tcPr>
                <w:tcW w:w="1073" w:type="dxa"/>
                <w:vAlign w:val="center"/>
              </w:tcPr>
              <w:p w14:paraId="238AE99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180</w:t>
                </w:r>
              </w:p>
            </w:tc>
            <w:tc>
              <w:tcPr>
                <w:tcW w:w="1057" w:type="dxa"/>
                <w:vAlign w:val="center"/>
              </w:tcPr>
              <w:p w14:paraId="232FF763"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0.9434</w:t>
                </w:r>
              </w:p>
            </w:tc>
            <w:tc>
              <w:tcPr>
                <w:tcW w:w="1147" w:type="dxa"/>
                <w:vAlign w:val="center"/>
              </w:tcPr>
              <w:p w14:paraId="023246E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169.81</w:t>
                </w:r>
              </w:p>
            </w:tc>
            <w:tc>
              <w:tcPr>
                <w:tcW w:w="1074" w:type="dxa"/>
                <w:vAlign w:val="center"/>
              </w:tcPr>
              <w:p w14:paraId="5DD7507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330</w:t>
                </w:r>
              </w:p>
            </w:tc>
            <w:tc>
              <w:tcPr>
                <w:tcW w:w="1216" w:type="dxa"/>
                <w:vAlign w:val="center"/>
              </w:tcPr>
              <w:p w14:paraId="28365CFE"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311.32</w:t>
                </w:r>
              </w:p>
            </w:tc>
            <w:tc>
              <w:tcPr>
                <w:tcW w:w="1147" w:type="dxa"/>
                <w:vAlign w:val="center"/>
              </w:tcPr>
              <w:p w14:paraId="489A4780"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387.5</w:t>
                </w:r>
              </w:p>
            </w:tc>
            <w:tc>
              <w:tcPr>
                <w:tcW w:w="1216" w:type="dxa"/>
                <w:vAlign w:val="center"/>
              </w:tcPr>
              <w:p w14:paraId="61B5E16C"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365.57</w:t>
                </w:r>
              </w:p>
            </w:tc>
          </w:tr>
          <w:tr w:rsidR="009F0599" w:rsidRPr="006C3E2A" w14:paraId="34DC9879" w14:textId="77777777" w:rsidTr="001A0459">
            <w:tc>
              <w:tcPr>
                <w:tcW w:w="1086" w:type="dxa"/>
                <w:vAlign w:val="center"/>
              </w:tcPr>
              <w:p w14:paraId="273D7AA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w:t>
                </w:r>
              </w:p>
            </w:tc>
            <w:tc>
              <w:tcPr>
                <w:tcW w:w="1073" w:type="dxa"/>
                <w:vAlign w:val="center"/>
              </w:tcPr>
              <w:p w14:paraId="7C963A6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330</w:t>
                </w:r>
              </w:p>
            </w:tc>
            <w:tc>
              <w:tcPr>
                <w:tcW w:w="1057" w:type="dxa"/>
                <w:vAlign w:val="center"/>
              </w:tcPr>
              <w:p w14:paraId="2A4C031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0.8900</w:t>
                </w:r>
              </w:p>
            </w:tc>
            <w:tc>
              <w:tcPr>
                <w:tcW w:w="1147" w:type="dxa"/>
                <w:vAlign w:val="center"/>
              </w:tcPr>
              <w:p w14:paraId="411FA30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293.70</w:t>
                </w:r>
              </w:p>
            </w:tc>
            <w:tc>
              <w:tcPr>
                <w:tcW w:w="1074" w:type="dxa"/>
                <w:vAlign w:val="center"/>
              </w:tcPr>
              <w:p w14:paraId="75BE58A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387.5</w:t>
                </w:r>
              </w:p>
            </w:tc>
            <w:tc>
              <w:tcPr>
                <w:tcW w:w="1216" w:type="dxa"/>
                <w:vAlign w:val="center"/>
              </w:tcPr>
              <w:p w14:paraId="225BC3F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344.88</w:t>
                </w:r>
              </w:p>
            </w:tc>
            <w:tc>
              <w:tcPr>
                <w:tcW w:w="1147" w:type="dxa"/>
                <w:vAlign w:val="center"/>
              </w:tcPr>
              <w:p w14:paraId="357A286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555</w:t>
                </w:r>
              </w:p>
            </w:tc>
            <w:tc>
              <w:tcPr>
                <w:tcW w:w="1216" w:type="dxa"/>
                <w:vAlign w:val="center"/>
              </w:tcPr>
              <w:p w14:paraId="2A6D0EC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493.95</w:t>
                </w:r>
              </w:p>
            </w:tc>
          </w:tr>
          <w:tr w:rsidR="009F0599" w:rsidRPr="006C3E2A" w14:paraId="32C336F3" w14:textId="77777777" w:rsidTr="001A0459">
            <w:tc>
              <w:tcPr>
                <w:tcW w:w="1086" w:type="dxa"/>
                <w:vAlign w:val="center"/>
              </w:tcPr>
              <w:p w14:paraId="0DD22BEF"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w:t>
                </w:r>
              </w:p>
            </w:tc>
            <w:tc>
              <w:tcPr>
                <w:tcW w:w="1073" w:type="dxa"/>
                <w:vAlign w:val="center"/>
              </w:tcPr>
              <w:p w14:paraId="52EC185C"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405</w:t>
                </w:r>
              </w:p>
            </w:tc>
            <w:tc>
              <w:tcPr>
                <w:tcW w:w="1057" w:type="dxa"/>
                <w:vAlign w:val="center"/>
              </w:tcPr>
              <w:p w14:paraId="466F658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0.8396</w:t>
                </w:r>
              </w:p>
            </w:tc>
            <w:tc>
              <w:tcPr>
                <w:tcW w:w="1147" w:type="dxa"/>
                <w:vAlign w:val="center"/>
              </w:tcPr>
              <w:p w14:paraId="3A96B94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340.04</w:t>
                </w:r>
              </w:p>
            </w:tc>
            <w:tc>
              <w:tcPr>
                <w:tcW w:w="1074" w:type="dxa"/>
                <w:vAlign w:val="center"/>
              </w:tcPr>
              <w:p w14:paraId="434F5680"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590</w:t>
                </w:r>
              </w:p>
            </w:tc>
            <w:tc>
              <w:tcPr>
                <w:tcW w:w="1216" w:type="dxa"/>
                <w:vAlign w:val="center"/>
              </w:tcPr>
              <w:p w14:paraId="55B647B0"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495.36</w:t>
                </w:r>
              </w:p>
            </w:tc>
            <w:tc>
              <w:tcPr>
                <w:tcW w:w="1147" w:type="dxa"/>
                <w:vAlign w:val="center"/>
              </w:tcPr>
              <w:p w14:paraId="4CE906F3"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755</w:t>
                </w:r>
              </w:p>
            </w:tc>
            <w:tc>
              <w:tcPr>
                <w:tcW w:w="1216" w:type="dxa"/>
                <w:vAlign w:val="center"/>
              </w:tcPr>
              <w:p w14:paraId="22BC743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633.90</w:t>
                </w:r>
              </w:p>
            </w:tc>
          </w:tr>
          <w:tr w:rsidR="009F0599" w:rsidRPr="006C3E2A" w14:paraId="38250B7D" w14:textId="77777777" w:rsidTr="001A0459">
            <w:tc>
              <w:tcPr>
                <w:tcW w:w="1086" w:type="dxa"/>
                <w:vAlign w:val="center"/>
              </w:tcPr>
              <w:p w14:paraId="061FE15F"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w:t>
                </w:r>
              </w:p>
            </w:tc>
            <w:tc>
              <w:tcPr>
                <w:tcW w:w="1073" w:type="dxa"/>
                <w:vAlign w:val="center"/>
              </w:tcPr>
              <w:p w14:paraId="1015ABDE"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555</w:t>
                </w:r>
              </w:p>
            </w:tc>
            <w:tc>
              <w:tcPr>
                <w:tcW w:w="1057" w:type="dxa"/>
                <w:vAlign w:val="center"/>
              </w:tcPr>
              <w:p w14:paraId="2A6F198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0.7921</w:t>
                </w:r>
              </w:p>
            </w:tc>
            <w:tc>
              <w:tcPr>
                <w:tcW w:w="1147" w:type="dxa"/>
                <w:vAlign w:val="center"/>
              </w:tcPr>
              <w:p w14:paraId="0332F42A"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439.62</w:t>
                </w:r>
              </w:p>
            </w:tc>
            <w:tc>
              <w:tcPr>
                <w:tcW w:w="1074" w:type="dxa"/>
                <w:vAlign w:val="center"/>
              </w:tcPr>
              <w:p w14:paraId="54CD9180"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815</w:t>
                </w:r>
              </w:p>
            </w:tc>
            <w:tc>
              <w:tcPr>
                <w:tcW w:w="1216" w:type="dxa"/>
                <w:vAlign w:val="center"/>
              </w:tcPr>
              <w:p w14:paraId="6D53B5B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645.56</w:t>
                </w:r>
              </w:p>
            </w:tc>
            <w:tc>
              <w:tcPr>
                <w:tcW w:w="1147" w:type="dxa"/>
                <w:vAlign w:val="center"/>
              </w:tcPr>
              <w:p w14:paraId="3F6F12A2"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1,040</w:t>
                </w:r>
              </w:p>
            </w:tc>
            <w:tc>
              <w:tcPr>
                <w:tcW w:w="1216" w:type="dxa"/>
                <w:vAlign w:val="center"/>
              </w:tcPr>
              <w:p w14:paraId="232AB31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823.78</w:t>
                </w:r>
              </w:p>
            </w:tc>
          </w:tr>
          <w:tr w:rsidR="009F0599" w:rsidRPr="006C3E2A" w14:paraId="1C6A6F50" w14:textId="77777777" w:rsidTr="001A0459">
            <w:tc>
              <w:tcPr>
                <w:tcW w:w="1086" w:type="dxa"/>
                <w:vAlign w:val="center"/>
              </w:tcPr>
              <w:p w14:paraId="0036929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1-4 (Tax benefit)</w:t>
                </w:r>
              </w:p>
            </w:tc>
            <w:tc>
              <w:tcPr>
                <w:tcW w:w="1073" w:type="dxa"/>
                <w:vAlign w:val="center"/>
              </w:tcPr>
              <w:p w14:paraId="48A2EFC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30</w:t>
                </w:r>
              </w:p>
            </w:tc>
            <w:tc>
              <w:tcPr>
                <w:tcW w:w="1057" w:type="dxa"/>
                <w:vAlign w:val="center"/>
              </w:tcPr>
              <w:p w14:paraId="2DD5198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3.4651</w:t>
                </w:r>
              </w:p>
            </w:tc>
            <w:tc>
              <w:tcPr>
                <w:tcW w:w="1147" w:type="dxa"/>
                <w:vAlign w:val="center"/>
              </w:tcPr>
              <w:p w14:paraId="63414AC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103.95</w:t>
                </w:r>
              </w:p>
            </w:tc>
            <w:tc>
              <w:tcPr>
                <w:tcW w:w="1074" w:type="dxa"/>
                <w:vAlign w:val="center"/>
              </w:tcPr>
              <w:p w14:paraId="5ADE7BFF"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50</w:t>
                </w:r>
              </w:p>
            </w:tc>
            <w:tc>
              <w:tcPr>
                <w:tcW w:w="1216" w:type="dxa"/>
                <w:vAlign w:val="center"/>
              </w:tcPr>
              <w:p w14:paraId="2447DF53"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173.26</w:t>
                </w:r>
              </w:p>
            </w:tc>
            <w:tc>
              <w:tcPr>
                <w:tcW w:w="1147" w:type="dxa"/>
                <w:vAlign w:val="center"/>
              </w:tcPr>
              <w:p w14:paraId="744F260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80</w:t>
                </w:r>
              </w:p>
            </w:tc>
            <w:tc>
              <w:tcPr>
                <w:tcW w:w="1216" w:type="dxa"/>
                <w:vAlign w:val="center"/>
              </w:tcPr>
              <w:p w14:paraId="1B72C133"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277.21</w:t>
                </w:r>
              </w:p>
            </w:tc>
          </w:tr>
          <w:tr w:rsidR="009F0599" w:rsidRPr="006C3E2A" w14:paraId="1F1C5A09" w14:textId="77777777" w:rsidTr="001A0459">
            <w:tc>
              <w:tcPr>
                <w:tcW w:w="1086" w:type="dxa"/>
                <w:vAlign w:val="center"/>
              </w:tcPr>
              <w:p w14:paraId="3A3D02DD"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NPV</w:t>
                </w:r>
              </w:p>
            </w:tc>
            <w:tc>
              <w:tcPr>
                <w:tcW w:w="1073" w:type="dxa"/>
                <w:vAlign w:val="center"/>
              </w:tcPr>
              <w:p w14:paraId="51A3B7F8" w14:textId="77777777" w:rsidR="00E16E1F" w:rsidRPr="006C3E2A" w:rsidRDefault="00E16E1F" w:rsidP="006C3E2A">
                <w:pPr>
                  <w:spacing w:line="480" w:lineRule="auto"/>
                  <w:rPr>
                    <w:rFonts w:ascii="Times New Roman" w:hAnsi="Times New Roman" w:cs="Times New Roman"/>
                    <w:sz w:val="24"/>
                    <w:szCs w:val="24"/>
                  </w:rPr>
                </w:pPr>
              </w:p>
            </w:tc>
            <w:tc>
              <w:tcPr>
                <w:tcW w:w="1057" w:type="dxa"/>
                <w:vAlign w:val="center"/>
              </w:tcPr>
              <w:p w14:paraId="10D57D36" w14:textId="77777777" w:rsidR="00E16E1F" w:rsidRPr="006C3E2A" w:rsidRDefault="00E16E1F" w:rsidP="006C3E2A">
                <w:pPr>
                  <w:spacing w:line="480" w:lineRule="auto"/>
                  <w:rPr>
                    <w:rFonts w:ascii="Times New Roman" w:hAnsi="Times New Roman" w:cs="Times New Roman"/>
                    <w:sz w:val="24"/>
                    <w:szCs w:val="24"/>
                  </w:rPr>
                </w:pPr>
              </w:p>
            </w:tc>
            <w:tc>
              <w:tcPr>
                <w:tcW w:w="1147" w:type="dxa"/>
                <w:vAlign w:val="center"/>
              </w:tcPr>
              <w:p w14:paraId="69314B7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£747,120</w:t>
                </w:r>
              </w:p>
            </w:tc>
            <w:tc>
              <w:tcPr>
                <w:tcW w:w="1074" w:type="dxa"/>
                <w:vAlign w:val="center"/>
              </w:tcPr>
              <w:p w14:paraId="2329260B" w14:textId="77777777" w:rsidR="00E16E1F" w:rsidRPr="006C3E2A" w:rsidRDefault="00E16E1F" w:rsidP="006C3E2A">
                <w:pPr>
                  <w:spacing w:line="480" w:lineRule="auto"/>
                  <w:rPr>
                    <w:rFonts w:ascii="Times New Roman" w:hAnsi="Times New Roman" w:cs="Times New Roman"/>
                    <w:sz w:val="24"/>
                    <w:szCs w:val="24"/>
                  </w:rPr>
                </w:pPr>
              </w:p>
            </w:tc>
            <w:tc>
              <w:tcPr>
                <w:tcW w:w="1216" w:type="dxa"/>
                <w:vAlign w:val="center"/>
              </w:tcPr>
              <w:p w14:paraId="7CA5399A" w14:textId="77777777" w:rsidR="00E16E1F" w:rsidRPr="006C3E2A" w:rsidRDefault="00E16E1F" w:rsidP="006C3E2A">
                <w:pPr>
                  <w:spacing w:line="480" w:lineRule="auto"/>
                  <w:rPr>
                    <w:rFonts w:ascii="Times New Roman" w:hAnsi="Times New Roman" w:cs="Times New Roman"/>
                    <w:sz w:val="24"/>
                    <w:szCs w:val="24"/>
                  </w:rPr>
                </w:pPr>
              </w:p>
            </w:tc>
            <w:tc>
              <w:tcPr>
                <w:tcW w:w="1147" w:type="dxa"/>
                <w:vAlign w:val="center"/>
              </w:tcPr>
              <w:p w14:paraId="699FBF5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£970,370</w:t>
                </w:r>
              </w:p>
            </w:tc>
            <w:tc>
              <w:tcPr>
                <w:tcW w:w="1216" w:type="dxa"/>
                <w:vAlign w:val="center"/>
              </w:tcPr>
              <w:p w14:paraId="307BF96B" w14:textId="77777777" w:rsidR="00E16E1F" w:rsidRPr="006C3E2A" w:rsidRDefault="00E16E1F" w:rsidP="006C3E2A">
                <w:pPr>
                  <w:spacing w:line="480" w:lineRule="auto"/>
                  <w:rPr>
                    <w:rFonts w:ascii="Times New Roman" w:hAnsi="Times New Roman" w:cs="Times New Roman"/>
                    <w:sz w:val="24"/>
                    <w:szCs w:val="24"/>
                  </w:rPr>
                </w:pPr>
              </w:p>
            </w:tc>
          </w:tr>
        </w:tbl>
        <w:p w14:paraId="09279B63"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lastRenderedPageBreak/>
            <w:t>After-tax cash flows:</w:t>
          </w:r>
        </w:p>
        <w:p w14:paraId="4F80D871"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Annual cash flow × (1 - 0.25)</m:t>
              </m:r>
            </m:oMath>
          </m:oMathPara>
        </w:p>
        <w:p w14:paraId="1CFC38BA"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Annual tax benefit from capital allowances: (Initial investment × 0.20) × 0.25</m:t>
              </m:r>
            </m:oMath>
          </m:oMathPara>
        </w:p>
        <w:p w14:paraId="1318EA99"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Option A:</w:t>
          </w:r>
        </w:p>
        <w:p w14:paraId="3DECBDCF" w14:textId="77777777" w:rsidR="00E16E1F" w:rsidRPr="006C3E2A" w:rsidRDefault="00E16E1F" w:rsidP="006C3E2A">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Capital allowance = £600,000 × 0.20 = £120,000</m:t>
              </m:r>
            </m:oMath>
          </m:oMathPara>
        </w:p>
        <w:p w14:paraId="3E3A79F4"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Tax benefit = £120,000 × 0.25 = £30,000</m:t>
              </m:r>
            </m:oMath>
          </m:oMathPara>
        </w:p>
        <w:p w14:paraId="6465519E"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Option B:</w:t>
          </w:r>
        </w:p>
        <w:p w14:paraId="1DF8FB48" w14:textId="77777777" w:rsidR="00E16E1F" w:rsidRPr="006C3E2A" w:rsidRDefault="00E16E1F" w:rsidP="006C3E2A">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Capital allowance = £1,000,000 × 0.20 = £200,000</m:t>
              </m:r>
            </m:oMath>
          </m:oMathPara>
        </w:p>
        <w:p w14:paraId="73CCCDAC"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Tax benefit = £200,000 × 0.25 = £50,000</m:t>
              </m:r>
            </m:oMath>
          </m:oMathPara>
        </w:p>
        <w:p w14:paraId="12FB3B7E"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Option C:</w:t>
          </w:r>
        </w:p>
        <w:p w14:paraId="4B261BED" w14:textId="77777777" w:rsidR="00E16E1F" w:rsidRPr="006C3E2A" w:rsidRDefault="00E16E1F" w:rsidP="006C3E2A">
          <w:pPr>
            <w:spacing w:after="0"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Capital allowance = £1,600,000 × 0.20 = £320,000</m:t>
              </m:r>
            </m:oMath>
          </m:oMathPara>
        </w:p>
        <w:p w14:paraId="100A340F"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Tax benefit = £320,000 × 0.25 = £80,000</m:t>
              </m:r>
            </m:oMath>
          </m:oMathPara>
        </w:p>
        <w:p w14:paraId="727BD892" w14:textId="7AC8D3DD"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Using the NPV analysis, the value of Option C is the highest net present value, with a value of 994,410, which is followed by 970,370 and 747,120 for Options B and A, respectively. The </w:t>
          </w:r>
          <w:proofErr w:type="gramStart"/>
          <w:r w:rsidRPr="006C3E2A">
            <w:rPr>
              <w:rFonts w:ascii="Times New Roman" w:hAnsi="Times New Roman" w:cs="Times New Roman"/>
              <w:sz w:val="24"/>
              <w:szCs w:val="24"/>
            </w:rPr>
            <w:t>three options yield</w:t>
          </w:r>
          <w:proofErr w:type="gramEnd"/>
          <w:r w:rsidRPr="006C3E2A">
            <w:rPr>
              <w:rFonts w:ascii="Times New Roman" w:hAnsi="Times New Roman" w:cs="Times New Roman"/>
              <w:sz w:val="24"/>
              <w:szCs w:val="24"/>
            </w:rPr>
            <w:t xml:space="preserve"> positive NPVs, meaning that each would result in shareholder value. Nevertheless, the best option is C because it will </w:t>
          </w:r>
          <w:r w:rsidR="00203F88">
            <w:rPr>
              <w:rFonts w:ascii="Times New Roman" w:hAnsi="Times New Roman" w:cs="Times New Roman"/>
              <w:sz w:val="24"/>
              <w:szCs w:val="24"/>
            </w:rPr>
            <w:t>maximise</w:t>
          </w:r>
          <w:r w:rsidRPr="006C3E2A">
            <w:rPr>
              <w:rFonts w:ascii="Times New Roman" w:hAnsi="Times New Roman" w:cs="Times New Roman"/>
              <w:sz w:val="24"/>
              <w:szCs w:val="24"/>
            </w:rPr>
            <w:t xml:space="preserve"> wealth generation even though it will involve the highest initial investment (</w:t>
          </w:r>
          <w:proofErr w:type="spellStart"/>
          <w:r w:rsidRPr="006C3E2A">
            <w:rPr>
              <w:rFonts w:ascii="Times New Roman" w:hAnsi="Times New Roman" w:cs="Times New Roman"/>
              <w:sz w:val="24"/>
              <w:szCs w:val="24"/>
            </w:rPr>
            <w:t>Purnamasari</w:t>
          </w:r>
          <w:proofErr w:type="spellEnd"/>
          <w:r w:rsidRPr="006C3E2A">
            <w:rPr>
              <w:rFonts w:ascii="Times New Roman" w:hAnsi="Times New Roman" w:cs="Times New Roman"/>
              <w:sz w:val="24"/>
              <w:szCs w:val="24"/>
            </w:rPr>
            <w:t xml:space="preserve"> and </w:t>
          </w:r>
          <w:proofErr w:type="spellStart"/>
          <w:r w:rsidRPr="006C3E2A">
            <w:rPr>
              <w:rFonts w:ascii="Times New Roman" w:hAnsi="Times New Roman" w:cs="Times New Roman"/>
              <w:sz w:val="24"/>
              <w:szCs w:val="24"/>
            </w:rPr>
            <w:t>Adriza</w:t>
          </w:r>
          <w:proofErr w:type="spellEnd"/>
          <w:r w:rsidRPr="006C3E2A">
            <w:rPr>
              <w:rFonts w:ascii="Times New Roman" w:hAnsi="Times New Roman" w:cs="Times New Roman"/>
              <w:sz w:val="24"/>
              <w:szCs w:val="24"/>
            </w:rPr>
            <w:t>, 2024).</w:t>
          </w:r>
        </w:p>
        <w:p w14:paraId="143050ED" w14:textId="78825B9B" w:rsidR="00E16E1F" w:rsidRPr="006C3E2A" w:rsidRDefault="00E16E1F" w:rsidP="006C3E2A">
          <w:pPr>
            <w:pStyle w:val="Heading3"/>
            <w:spacing w:before="0" w:line="480" w:lineRule="auto"/>
            <w:rPr>
              <w:rFonts w:ascii="Times New Roman" w:hAnsi="Times New Roman" w:cs="Times New Roman"/>
              <w:b/>
              <w:bCs/>
              <w:color w:val="auto"/>
            </w:rPr>
          </w:pPr>
          <w:bookmarkStart w:id="9" w:name="_Toc219034115"/>
          <w:r w:rsidRPr="006C3E2A">
            <w:rPr>
              <w:rFonts w:ascii="Times New Roman" w:hAnsi="Times New Roman" w:cs="Times New Roman"/>
              <w:b/>
              <w:bCs/>
              <w:color w:val="auto"/>
            </w:rPr>
            <w:t>Internal Rate of Return Analysis</w:t>
          </w:r>
          <w:bookmarkEnd w:id="9"/>
        </w:p>
        <w:p w14:paraId="1C9D5F8E"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The interior rate of return (IRR) is the discount rate where the NPV of an investment is zero, and it is actually the natural rate of return of the project (Wangchuk, 2022). In the case of Option C, the IRR calculation will have to interpolate between two discount rates with NPVs of differing signs.</w:t>
          </w:r>
        </w:p>
        <w:p w14:paraId="5C677AB0"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xml:space="preserve">At a 6% discount rate: </w:t>
          </w:r>
          <m:oMath>
            <m:r>
              <w:rPr>
                <w:rFonts w:ascii="Cambria Math" w:hAnsi="Cambria Math" w:cs="Times New Roman"/>
                <w:sz w:val="24"/>
                <w:szCs w:val="24"/>
              </w:rPr>
              <m:t>NPV = £994,410</m:t>
            </m:r>
          </m:oMath>
        </w:p>
        <w:p w14:paraId="0B3D879D" w14:textId="1B18C30F" w:rsidR="00AA7295" w:rsidRPr="00AA7295" w:rsidRDefault="00E16E1F" w:rsidP="006C3E2A">
          <w:pPr>
            <w:spacing w:after="0" w:line="480" w:lineRule="auto"/>
            <w:rPr>
              <w:rFonts w:ascii="Times New Roman" w:hAnsi="Times New Roman" w:cs="Times New Roman"/>
              <w:sz w:val="24"/>
              <w:szCs w:val="24"/>
              <w:vertAlign w:val="superscript"/>
            </w:rPr>
          </w:pPr>
          <w:r w:rsidRPr="006C3E2A">
            <w:rPr>
              <w:rFonts w:ascii="Times New Roman" w:hAnsi="Times New Roman" w:cs="Times New Roman"/>
              <w:sz w:val="24"/>
              <w:szCs w:val="24"/>
            </w:rPr>
            <w:t>At a 20% discount rate:</w:t>
          </w:r>
          <w:r w:rsidR="00AA7295">
            <w:rPr>
              <w:rFonts w:ascii="Times New Roman" w:hAnsi="Times New Roman" w:cs="Times New Roman"/>
              <w:sz w:val="24"/>
              <w:szCs w:val="24"/>
            </w:rPr>
            <w:t xml:space="preserve"> </w:t>
          </w:r>
          <m:oMath>
            <m:r>
              <w:rPr>
                <w:rFonts w:ascii="Cambria Math" w:eastAsiaTheme="minorEastAsia" w:hAnsi="Cambria Math" w:cs="Times New Roman"/>
                <w:sz w:val="24"/>
                <w:szCs w:val="24"/>
              </w:rPr>
              <m:t>PV= Cash flow x 1/(1+r)</m:t>
            </m:r>
            <m:r>
              <w:rPr>
                <w:rFonts w:ascii="Cambria Math" w:eastAsiaTheme="minorEastAsia" w:hAnsi="Cambria Math" w:cs="Times New Roman"/>
                <w:sz w:val="24"/>
                <w:szCs w:val="24"/>
                <w:vertAlign w:val="superscript"/>
              </w:rPr>
              <m:t xml:space="preserve"> n</m:t>
            </m:r>
          </m:oMath>
        </w:p>
        <w:tbl>
          <w:tblPr>
            <w:tblStyle w:val="TableGrid"/>
            <w:tblW w:w="0" w:type="auto"/>
            <w:tblLook w:val="04A0" w:firstRow="1" w:lastRow="0" w:firstColumn="1" w:lastColumn="0" w:noHBand="0" w:noVBand="1"/>
          </w:tblPr>
          <w:tblGrid>
            <w:gridCol w:w="2251"/>
            <w:gridCol w:w="2249"/>
            <w:gridCol w:w="2248"/>
            <w:gridCol w:w="2268"/>
          </w:tblGrid>
          <w:tr w:rsidR="009F0599" w:rsidRPr="006C3E2A" w14:paraId="640590DB" w14:textId="77777777" w:rsidTr="004E533F">
            <w:tc>
              <w:tcPr>
                <w:tcW w:w="2337" w:type="dxa"/>
                <w:vAlign w:val="center"/>
              </w:tcPr>
              <w:p w14:paraId="46B7BA5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Year</w:t>
                </w:r>
              </w:p>
            </w:tc>
            <w:tc>
              <w:tcPr>
                <w:tcW w:w="2337" w:type="dxa"/>
                <w:vAlign w:val="center"/>
              </w:tcPr>
              <w:p w14:paraId="117518C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Cash Flow (£'000)</w:t>
                </w:r>
              </w:p>
            </w:tc>
            <w:tc>
              <w:tcPr>
                <w:tcW w:w="2338" w:type="dxa"/>
                <w:vAlign w:val="center"/>
              </w:tcPr>
              <w:p w14:paraId="5444CE2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PV Factor (20%)</w:t>
                </w:r>
              </w:p>
            </w:tc>
            <w:tc>
              <w:tcPr>
                <w:tcW w:w="2338" w:type="dxa"/>
                <w:vAlign w:val="center"/>
              </w:tcPr>
              <w:p w14:paraId="6EA5A70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Present Value (£'000)</w:t>
                </w:r>
              </w:p>
            </w:tc>
          </w:tr>
          <w:tr w:rsidR="009F0599" w:rsidRPr="006C3E2A" w14:paraId="4517B063" w14:textId="77777777" w:rsidTr="004E533F">
            <w:tc>
              <w:tcPr>
                <w:tcW w:w="2337" w:type="dxa"/>
                <w:vAlign w:val="center"/>
              </w:tcPr>
              <w:p w14:paraId="44930F2E"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w:t>
                </w:r>
              </w:p>
            </w:tc>
            <w:tc>
              <w:tcPr>
                <w:tcW w:w="2337" w:type="dxa"/>
                <w:vAlign w:val="center"/>
              </w:tcPr>
              <w:p w14:paraId="58BA2795"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(1,600)</w:t>
                </w:r>
              </w:p>
            </w:tc>
            <w:tc>
              <w:tcPr>
                <w:tcW w:w="2338" w:type="dxa"/>
                <w:vAlign w:val="center"/>
              </w:tcPr>
              <w:p w14:paraId="788D711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1.0000</w:t>
                </w:r>
              </w:p>
            </w:tc>
            <w:tc>
              <w:tcPr>
                <w:tcW w:w="2338" w:type="dxa"/>
                <w:vAlign w:val="center"/>
              </w:tcPr>
              <w:p w14:paraId="65388A1F"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(1,600.00)</w:t>
                </w:r>
              </w:p>
            </w:tc>
          </w:tr>
          <w:tr w:rsidR="009F0599" w:rsidRPr="006C3E2A" w14:paraId="79B482FC" w14:textId="77777777" w:rsidTr="004E533F">
            <w:tc>
              <w:tcPr>
                <w:tcW w:w="2337" w:type="dxa"/>
                <w:vAlign w:val="center"/>
              </w:tcPr>
              <w:p w14:paraId="38D699BC"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w:t>
                </w:r>
              </w:p>
            </w:tc>
            <w:tc>
              <w:tcPr>
                <w:tcW w:w="2337" w:type="dxa"/>
                <w:vAlign w:val="center"/>
              </w:tcPr>
              <w:p w14:paraId="1BD49DFC"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387.5</w:t>
                </w:r>
              </w:p>
            </w:tc>
            <w:tc>
              <w:tcPr>
                <w:tcW w:w="2338" w:type="dxa"/>
                <w:vAlign w:val="center"/>
              </w:tcPr>
              <w:p w14:paraId="46BD9A7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0.8333</w:t>
                </w:r>
              </w:p>
            </w:tc>
            <w:tc>
              <w:tcPr>
                <w:tcW w:w="2338" w:type="dxa"/>
                <w:vAlign w:val="center"/>
              </w:tcPr>
              <w:p w14:paraId="72DBEA32"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322.91</w:t>
                </w:r>
              </w:p>
            </w:tc>
          </w:tr>
          <w:tr w:rsidR="009F0599" w:rsidRPr="006C3E2A" w14:paraId="2C28F8B2" w14:textId="77777777" w:rsidTr="004E533F">
            <w:tc>
              <w:tcPr>
                <w:tcW w:w="2337" w:type="dxa"/>
                <w:vAlign w:val="center"/>
              </w:tcPr>
              <w:p w14:paraId="1D120372"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w:t>
                </w:r>
              </w:p>
            </w:tc>
            <w:tc>
              <w:tcPr>
                <w:tcW w:w="2337" w:type="dxa"/>
                <w:vAlign w:val="center"/>
              </w:tcPr>
              <w:p w14:paraId="571AF6A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555</w:t>
                </w:r>
              </w:p>
            </w:tc>
            <w:tc>
              <w:tcPr>
                <w:tcW w:w="2338" w:type="dxa"/>
                <w:vAlign w:val="center"/>
              </w:tcPr>
              <w:p w14:paraId="4075D82F"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0.6944</w:t>
                </w:r>
              </w:p>
            </w:tc>
            <w:tc>
              <w:tcPr>
                <w:tcW w:w="2338" w:type="dxa"/>
                <w:vAlign w:val="center"/>
              </w:tcPr>
              <w:p w14:paraId="03F369A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385.39</w:t>
                </w:r>
              </w:p>
            </w:tc>
          </w:tr>
          <w:tr w:rsidR="009F0599" w:rsidRPr="006C3E2A" w14:paraId="436ED55B" w14:textId="77777777" w:rsidTr="004E533F">
            <w:tc>
              <w:tcPr>
                <w:tcW w:w="2337" w:type="dxa"/>
                <w:vAlign w:val="center"/>
              </w:tcPr>
              <w:p w14:paraId="3AD9940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3</w:t>
                </w:r>
              </w:p>
            </w:tc>
            <w:tc>
              <w:tcPr>
                <w:tcW w:w="2337" w:type="dxa"/>
                <w:vAlign w:val="center"/>
              </w:tcPr>
              <w:p w14:paraId="48101EA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755</w:t>
                </w:r>
              </w:p>
            </w:tc>
            <w:tc>
              <w:tcPr>
                <w:tcW w:w="2338" w:type="dxa"/>
                <w:vAlign w:val="center"/>
              </w:tcPr>
              <w:p w14:paraId="2D74547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0.5787</w:t>
                </w:r>
              </w:p>
            </w:tc>
            <w:tc>
              <w:tcPr>
                <w:tcW w:w="2338" w:type="dxa"/>
                <w:vAlign w:val="center"/>
              </w:tcPr>
              <w:p w14:paraId="62D93FB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436.92</w:t>
                </w:r>
              </w:p>
            </w:tc>
          </w:tr>
          <w:tr w:rsidR="009F0599" w:rsidRPr="006C3E2A" w14:paraId="6D947F1B" w14:textId="77777777" w:rsidTr="004E533F">
            <w:tc>
              <w:tcPr>
                <w:tcW w:w="2337" w:type="dxa"/>
                <w:vAlign w:val="center"/>
              </w:tcPr>
              <w:p w14:paraId="0DFBD788"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4</w:t>
                </w:r>
              </w:p>
            </w:tc>
            <w:tc>
              <w:tcPr>
                <w:tcW w:w="2337" w:type="dxa"/>
                <w:vAlign w:val="center"/>
              </w:tcPr>
              <w:p w14:paraId="11883D3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1,040</w:t>
                </w:r>
              </w:p>
            </w:tc>
            <w:tc>
              <w:tcPr>
                <w:tcW w:w="2338" w:type="dxa"/>
                <w:vAlign w:val="center"/>
              </w:tcPr>
              <w:p w14:paraId="32A16BC1"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0.4823</w:t>
                </w:r>
              </w:p>
            </w:tc>
            <w:tc>
              <w:tcPr>
                <w:tcW w:w="2338" w:type="dxa"/>
                <w:vAlign w:val="center"/>
              </w:tcPr>
              <w:p w14:paraId="75AF9FDB"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501.59</w:t>
                </w:r>
              </w:p>
            </w:tc>
          </w:tr>
          <w:tr w:rsidR="009F0599" w:rsidRPr="006C3E2A" w14:paraId="5015C28D" w14:textId="77777777" w:rsidTr="004E533F">
            <w:tc>
              <w:tcPr>
                <w:tcW w:w="2337" w:type="dxa"/>
                <w:vAlign w:val="center"/>
              </w:tcPr>
              <w:p w14:paraId="74DD140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1-4 (Tax benefit)</w:t>
                </w:r>
              </w:p>
            </w:tc>
            <w:tc>
              <w:tcPr>
                <w:tcW w:w="2337" w:type="dxa"/>
                <w:vAlign w:val="center"/>
              </w:tcPr>
              <w:p w14:paraId="60568664"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80</w:t>
                </w:r>
              </w:p>
            </w:tc>
            <w:tc>
              <w:tcPr>
                <w:tcW w:w="2338" w:type="dxa"/>
                <w:vAlign w:val="center"/>
              </w:tcPr>
              <w:p w14:paraId="726EA489"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2.5887</w:t>
                </w:r>
              </w:p>
            </w:tc>
            <w:tc>
              <w:tcPr>
                <w:tcW w:w="2338" w:type="dxa"/>
                <w:vAlign w:val="center"/>
              </w:tcPr>
              <w:p w14:paraId="19AAFF6D"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sz w:val="24"/>
                    <w:szCs w:val="24"/>
                  </w:rPr>
                  <w:t>207.10</w:t>
                </w:r>
              </w:p>
            </w:tc>
          </w:tr>
          <w:tr w:rsidR="009F0599" w:rsidRPr="006C3E2A" w14:paraId="79D1086A" w14:textId="77777777" w:rsidTr="004E533F">
            <w:tc>
              <w:tcPr>
                <w:tcW w:w="2337" w:type="dxa"/>
                <w:vAlign w:val="center"/>
              </w:tcPr>
              <w:p w14:paraId="6DD57FC6"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NPV at 20%</w:t>
                </w:r>
              </w:p>
            </w:tc>
            <w:tc>
              <w:tcPr>
                <w:tcW w:w="2337" w:type="dxa"/>
                <w:vAlign w:val="center"/>
              </w:tcPr>
              <w:p w14:paraId="3293C5FE" w14:textId="77777777" w:rsidR="00E16E1F" w:rsidRPr="006C3E2A" w:rsidRDefault="00E16E1F" w:rsidP="006C3E2A">
                <w:pPr>
                  <w:spacing w:line="480" w:lineRule="auto"/>
                  <w:rPr>
                    <w:rFonts w:ascii="Times New Roman" w:hAnsi="Times New Roman" w:cs="Times New Roman"/>
                    <w:sz w:val="24"/>
                    <w:szCs w:val="24"/>
                  </w:rPr>
                </w:pPr>
              </w:p>
            </w:tc>
            <w:tc>
              <w:tcPr>
                <w:tcW w:w="2338" w:type="dxa"/>
                <w:vAlign w:val="center"/>
              </w:tcPr>
              <w:p w14:paraId="6A1F6CE0" w14:textId="77777777" w:rsidR="00E16E1F" w:rsidRPr="006C3E2A" w:rsidRDefault="00E16E1F" w:rsidP="006C3E2A">
                <w:pPr>
                  <w:spacing w:line="480" w:lineRule="auto"/>
                  <w:rPr>
                    <w:rFonts w:ascii="Times New Roman" w:hAnsi="Times New Roman" w:cs="Times New Roman"/>
                    <w:sz w:val="24"/>
                    <w:szCs w:val="24"/>
                  </w:rPr>
                </w:pPr>
              </w:p>
            </w:tc>
            <w:tc>
              <w:tcPr>
                <w:tcW w:w="2338" w:type="dxa"/>
                <w:vAlign w:val="center"/>
              </w:tcPr>
              <w:p w14:paraId="52A0B1C7" w14:textId="77777777" w:rsidR="00E16E1F" w:rsidRPr="006C3E2A" w:rsidRDefault="00E16E1F" w:rsidP="006C3E2A">
                <w:pPr>
                  <w:spacing w:line="480" w:lineRule="auto"/>
                  <w:rPr>
                    <w:rFonts w:ascii="Times New Roman" w:hAnsi="Times New Roman" w:cs="Times New Roman"/>
                    <w:sz w:val="24"/>
                    <w:szCs w:val="24"/>
                  </w:rPr>
                </w:pPr>
                <w:r w:rsidRPr="006C3E2A">
                  <w:rPr>
                    <w:rFonts w:ascii="Times New Roman" w:hAnsi="Times New Roman" w:cs="Times New Roman"/>
                    <w:b/>
                    <w:bCs/>
                    <w:sz w:val="24"/>
                    <w:szCs w:val="24"/>
                  </w:rPr>
                  <w:t>£253,910</w:t>
                </w:r>
              </w:p>
            </w:tc>
          </w:tr>
        </w:tbl>
        <w:p w14:paraId="633CC4A4"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Using linear interpolation:</w:t>
          </w:r>
        </w:p>
        <w:p w14:paraId="2D50A46A" w14:textId="77777777" w:rsidR="00E16E1F" w:rsidRPr="006C3E2A" w:rsidRDefault="00E16E1F" w:rsidP="006C3E2A">
          <w:pPr>
            <w:spacing w:after="0" w:line="480" w:lineRule="auto"/>
            <w:rPr>
              <w:rFonts w:ascii="Cambria Math" w:hAnsi="Cambria Math" w:cs="Times New Roman"/>
              <w:sz w:val="24"/>
              <w:szCs w:val="24"/>
              <w:oMath/>
            </w:rPr>
          </w:pPr>
          <m:oMathPara>
            <m:oMath>
              <m:r>
                <w:rPr>
                  <w:rFonts w:ascii="Cambria Math" w:hAnsi="Cambria Math" w:cs="Times New Roman"/>
                  <w:sz w:val="24"/>
                  <w:szCs w:val="24"/>
                </w:rPr>
                <m:t>IRR = 6% + [(994,410 - 0) / (994,410 - 253,910)] × (20% - 6%)</m:t>
              </m:r>
            </m:oMath>
          </m:oMathPara>
        </w:p>
        <w:p w14:paraId="09C05260" w14:textId="77777777" w:rsidR="00E16E1F" w:rsidRPr="006C3E2A" w:rsidRDefault="00E16E1F" w:rsidP="006C3E2A">
          <w:pPr>
            <w:spacing w:after="0" w:line="480" w:lineRule="auto"/>
            <w:rPr>
              <w:rFonts w:ascii="Cambria Math" w:hAnsi="Cambria Math" w:cs="Times New Roman"/>
              <w:sz w:val="24"/>
              <w:szCs w:val="24"/>
              <w:oMath/>
            </w:rPr>
          </w:pPr>
          <m:oMathPara>
            <m:oMath>
              <m:r>
                <w:rPr>
                  <w:rFonts w:ascii="Cambria Math" w:hAnsi="Cambria Math" w:cs="Times New Roman"/>
                  <w:sz w:val="24"/>
                  <w:szCs w:val="24"/>
                </w:rPr>
                <m:t>IRR = 6% + [994,410 / 740,500] × 14%</m:t>
              </m:r>
            </m:oMath>
          </m:oMathPara>
        </w:p>
        <w:p w14:paraId="3224D483" w14:textId="77777777" w:rsidR="00E16E1F" w:rsidRPr="006C3E2A" w:rsidRDefault="00E16E1F" w:rsidP="006C3E2A">
          <w:pPr>
            <w:spacing w:after="0" w:line="480" w:lineRule="auto"/>
            <w:rPr>
              <w:rFonts w:ascii="Cambria Math" w:hAnsi="Cambria Math" w:cs="Times New Roman"/>
              <w:sz w:val="24"/>
              <w:szCs w:val="24"/>
              <w:oMath/>
            </w:rPr>
          </w:pPr>
          <m:oMathPara>
            <m:oMath>
              <m:r>
                <w:rPr>
                  <w:rFonts w:ascii="Cambria Math" w:hAnsi="Cambria Math" w:cs="Times New Roman"/>
                  <w:sz w:val="24"/>
                  <w:szCs w:val="24"/>
                </w:rPr>
                <m:t>IRR = 6% + 1.343 × 14%</m:t>
              </m:r>
            </m:oMath>
          </m:oMathPara>
        </w:p>
        <w:p w14:paraId="49F982CD"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IRR ≈ 24.80</m:t>
              </m:r>
              <m:r>
                <m:rPr>
                  <m:sty m:val="bi"/>
                </m:rPr>
                <w:rPr>
                  <w:rFonts w:ascii="Cambria Math" w:hAnsi="Cambria Math" w:cs="Times New Roman"/>
                  <w:sz w:val="24"/>
                  <w:szCs w:val="24"/>
                </w:rPr>
                <m:t>%</m:t>
              </m:r>
            </m:oMath>
          </m:oMathPara>
        </w:p>
        <w:p w14:paraId="041BCAD1" w14:textId="22296B0B"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IRR of around 24.80% is significantly higher than the cost of capital of Westward </w:t>
          </w:r>
          <w:r w:rsidR="00F85E7A">
            <w:rPr>
              <w:rFonts w:ascii="Times New Roman" w:hAnsi="Times New Roman" w:cs="Times New Roman"/>
              <w:sz w:val="24"/>
              <w:szCs w:val="24"/>
            </w:rPr>
            <w:t>Plc and</w:t>
          </w:r>
          <w:r w:rsidRPr="006C3E2A">
            <w:rPr>
              <w:rFonts w:ascii="Times New Roman" w:hAnsi="Times New Roman" w:cs="Times New Roman"/>
              <w:sz w:val="24"/>
              <w:szCs w:val="24"/>
            </w:rPr>
            <w:t xml:space="preserve"> proves that the returns of Option C are significantly higher than the minimum acceptable level. This large ratio is a clear indication that the project is viable even when the actual returns occur a little below the estimates (Atrill, 2019</w:t>
          </w:r>
          <w:r w:rsidR="000F12E3">
            <w:rPr>
              <w:rFonts w:ascii="Times New Roman" w:hAnsi="Times New Roman" w:cs="Times New Roman"/>
              <w:sz w:val="24"/>
              <w:szCs w:val="24"/>
            </w:rPr>
            <w:t xml:space="preserve">, </w:t>
          </w:r>
          <w:r w:rsidR="00F85E7A">
            <w:rPr>
              <w:rFonts w:ascii="Times New Roman" w:hAnsi="Times New Roman" w:cs="Times New Roman"/>
              <w:sz w:val="24"/>
              <w:szCs w:val="24"/>
            </w:rPr>
            <w:t>p. 169).</w:t>
          </w:r>
        </w:p>
        <w:p w14:paraId="0894B4D9" w14:textId="77777777" w:rsidR="009F0599" w:rsidRPr="006C3E2A" w:rsidRDefault="00E16E1F" w:rsidP="006C3E2A">
          <w:pPr>
            <w:pStyle w:val="Heading3"/>
            <w:spacing w:before="0" w:line="480" w:lineRule="auto"/>
            <w:rPr>
              <w:rFonts w:ascii="Times New Roman" w:hAnsi="Times New Roman" w:cs="Times New Roman"/>
              <w:b/>
              <w:bCs/>
              <w:color w:val="auto"/>
            </w:rPr>
          </w:pPr>
          <w:bookmarkStart w:id="10" w:name="_Toc219034116"/>
          <w:r w:rsidRPr="006C3E2A">
            <w:rPr>
              <w:rFonts w:ascii="Times New Roman" w:hAnsi="Times New Roman" w:cs="Times New Roman"/>
              <w:b/>
              <w:bCs/>
              <w:color w:val="auto"/>
            </w:rPr>
            <w:t>Interpretation and Management Implications</w:t>
          </w:r>
          <w:bookmarkEnd w:id="10"/>
        </w:p>
        <w:p w14:paraId="77AEC1DF" w14:textId="2953A2AE"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Theoretical Justification</w:t>
          </w:r>
        </w:p>
        <w:p w14:paraId="0650751C" w14:textId="1CB84834"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net present value is the theoretically superior investment appraisal method due to a number of strong arguments based on financial theory. First, NPV directly acknowledges the time value of money, as future cash flows are discounted to present amounts, in recognition of the fact that the present value of money is higher than the same amount of </w:t>
          </w:r>
          <w:r w:rsidRPr="006C3E2A">
            <w:rPr>
              <w:rFonts w:ascii="Times New Roman" w:hAnsi="Times New Roman" w:cs="Times New Roman"/>
              <w:sz w:val="24"/>
              <w:szCs w:val="24"/>
            </w:rPr>
            <w:lastRenderedPageBreak/>
            <w:t>money in the future as a result of investment opportunities and inflation (</w:t>
          </w:r>
          <w:r w:rsidR="000A5017" w:rsidRPr="006C3E2A">
            <w:rPr>
              <w:rFonts w:ascii="Times New Roman" w:hAnsi="Times New Roman" w:cs="Times New Roman"/>
              <w:sz w:val="24"/>
              <w:szCs w:val="24"/>
            </w:rPr>
            <w:t>Drury &amp; Tayles</w:t>
          </w:r>
          <w:r w:rsidRPr="006C3E2A">
            <w:rPr>
              <w:rFonts w:ascii="Times New Roman" w:hAnsi="Times New Roman" w:cs="Times New Roman"/>
              <w:sz w:val="24"/>
              <w:szCs w:val="24"/>
            </w:rPr>
            <w:t>, 2020). This is the underlying principle that will make decisions economically rational.</w:t>
          </w:r>
        </w:p>
        <w:p w14:paraId="57A978A1" w14:textId="4DFE5A8D"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Second, NPV is </w:t>
          </w:r>
          <w:r w:rsidR="00F85E7A">
            <w:rPr>
              <w:rFonts w:ascii="Times New Roman" w:hAnsi="Times New Roman" w:cs="Times New Roman"/>
              <w:sz w:val="24"/>
              <w:szCs w:val="24"/>
            </w:rPr>
            <w:t>additive;</w:t>
          </w:r>
          <w:r w:rsidRPr="006C3E2A">
            <w:rPr>
              <w:rFonts w:ascii="Times New Roman" w:hAnsi="Times New Roman" w:cs="Times New Roman"/>
              <w:sz w:val="24"/>
              <w:szCs w:val="24"/>
            </w:rPr>
            <w:t xml:space="preserve"> therefore, NPVs of independent projects may be added to establish the overall value creation of multiple investments. The property is especially useful in assessing the portfolio effects and optimal capital allocation choices (Danjuma &amp; Dange, 2022). Third, NPV is a measure of wealth creation in monetary terms but not percentages, which is directly connected to the ultimate goal of </w:t>
          </w:r>
          <w:r w:rsidR="00F85E7A">
            <w:rPr>
              <w:rFonts w:ascii="Times New Roman" w:hAnsi="Times New Roman" w:cs="Times New Roman"/>
              <w:sz w:val="24"/>
              <w:szCs w:val="24"/>
            </w:rPr>
            <w:t>maximisation</w:t>
          </w:r>
          <w:r w:rsidRPr="006C3E2A">
            <w:rPr>
              <w:rFonts w:ascii="Times New Roman" w:hAnsi="Times New Roman" w:cs="Times New Roman"/>
              <w:sz w:val="24"/>
              <w:szCs w:val="24"/>
            </w:rPr>
            <w:t xml:space="preserve"> of shareholders' wealth. When a firm has a positive NPV, it creates a value to the firm by that exact amount, which provides clear advice on </w:t>
          </w:r>
          <w:r w:rsidR="00F85E7A">
            <w:rPr>
              <w:rFonts w:ascii="Times New Roman" w:hAnsi="Times New Roman" w:cs="Times New Roman"/>
              <w:sz w:val="24"/>
              <w:szCs w:val="24"/>
            </w:rPr>
            <w:t>maximising</w:t>
          </w:r>
          <w:r w:rsidRPr="006C3E2A">
            <w:rPr>
              <w:rFonts w:ascii="Times New Roman" w:hAnsi="Times New Roman" w:cs="Times New Roman"/>
              <w:sz w:val="24"/>
              <w:szCs w:val="24"/>
            </w:rPr>
            <w:t xml:space="preserve"> value (Atrill, 2019</w:t>
          </w:r>
          <w:r w:rsidR="0078694A">
            <w:rPr>
              <w:rFonts w:ascii="Times New Roman" w:hAnsi="Times New Roman" w:cs="Times New Roman"/>
              <w:sz w:val="24"/>
              <w:szCs w:val="24"/>
            </w:rPr>
            <w:t>, p. 165</w:t>
          </w:r>
          <w:r w:rsidRPr="006C3E2A">
            <w:rPr>
              <w:rFonts w:ascii="Times New Roman" w:hAnsi="Times New Roman" w:cs="Times New Roman"/>
              <w:sz w:val="24"/>
              <w:szCs w:val="24"/>
            </w:rPr>
            <w:t>).</w:t>
          </w:r>
        </w:p>
        <w:p w14:paraId="1B85A0F1" w14:textId="7C2B5B51"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Fourth, NPV is always able to offer correct accept/reject decisions to a mutually exclusive project of various scales and durations, but IRR may give false rankings between projects that differ greatly in terms of investment size or cash flows. Lastly, NPV does not have the technical issues of IRR, including multiple IRRs where cash flows switch signs more than twice or a non-real IRR solution in a few situations (</w:t>
          </w:r>
          <w:proofErr w:type="spellStart"/>
          <w:r w:rsidRPr="006C3E2A">
            <w:rPr>
              <w:rFonts w:ascii="Times New Roman" w:hAnsi="Times New Roman" w:cs="Times New Roman"/>
              <w:sz w:val="24"/>
              <w:szCs w:val="24"/>
            </w:rPr>
            <w:t>Purnamasari</w:t>
          </w:r>
          <w:proofErr w:type="spellEnd"/>
          <w:r w:rsidRPr="006C3E2A">
            <w:rPr>
              <w:rFonts w:ascii="Times New Roman" w:hAnsi="Times New Roman" w:cs="Times New Roman"/>
              <w:sz w:val="24"/>
              <w:szCs w:val="24"/>
            </w:rPr>
            <w:t xml:space="preserve"> </w:t>
          </w:r>
          <w:r w:rsidR="00D60AFA" w:rsidRPr="006C3E2A">
            <w:rPr>
              <w:rFonts w:ascii="Times New Roman" w:hAnsi="Times New Roman" w:cs="Times New Roman"/>
              <w:sz w:val="24"/>
              <w:szCs w:val="24"/>
            </w:rPr>
            <w:t>&amp;</w:t>
          </w:r>
          <w:r w:rsidRPr="006C3E2A">
            <w:rPr>
              <w:rFonts w:ascii="Times New Roman" w:hAnsi="Times New Roman" w:cs="Times New Roman"/>
              <w:sz w:val="24"/>
              <w:szCs w:val="24"/>
            </w:rPr>
            <w:t xml:space="preserve"> </w:t>
          </w:r>
          <w:proofErr w:type="spellStart"/>
          <w:r w:rsidRPr="006C3E2A">
            <w:rPr>
              <w:rFonts w:ascii="Times New Roman" w:hAnsi="Times New Roman" w:cs="Times New Roman"/>
              <w:sz w:val="24"/>
              <w:szCs w:val="24"/>
            </w:rPr>
            <w:t>Adriza</w:t>
          </w:r>
          <w:proofErr w:type="spellEnd"/>
          <w:r w:rsidRPr="006C3E2A">
            <w:rPr>
              <w:rFonts w:ascii="Times New Roman" w:hAnsi="Times New Roman" w:cs="Times New Roman"/>
              <w:sz w:val="24"/>
              <w:szCs w:val="24"/>
            </w:rPr>
            <w:t>, 2024).</w:t>
          </w:r>
        </w:p>
        <w:p w14:paraId="707BF8F7" w14:textId="2CD98A48"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Continued Popularity of Non-Discounting Methods</w:t>
          </w:r>
        </w:p>
        <w:p w14:paraId="5F0B1D81" w14:textId="147866A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Non-discounting approaches, including payback period and accounting rate of return, continue to have a significant following in business practice despite their theoretical drawbacks due to a number of practical reasons. The payback period approach is one that is incredibly straightforward and simple to communicate with non-financial managers; it does not need a great deal of technical know-how to compute and </w:t>
          </w:r>
          <w:r w:rsidR="00203F88">
            <w:rPr>
              <w:rFonts w:ascii="Times New Roman" w:hAnsi="Times New Roman" w:cs="Times New Roman"/>
              <w:sz w:val="24"/>
              <w:szCs w:val="24"/>
            </w:rPr>
            <w:t>analyse</w:t>
          </w:r>
          <w:r w:rsidRPr="006C3E2A">
            <w:rPr>
              <w:rFonts w:ascii="Times New Roman" w:hAnsi="Times New Roman" w:cs="Times New Roman"/>
              <w:sz w:val="24"/>
              <w:szCs w:val="24"/>
            </w:rPr>
            <w:t xml:space="preserve"> (Bhimani, 2022). This level of accessibility helps in quick screening of preliminary investment proposals as well as enabling communication through </w:t>
          </w:r>
          <w:r w:rsidR="00203F88">
            <w:rPr>
              <w:rFonts w:ascii="Times New Roman" w:hAnsi="Times New Roman" w:cs="Times New Roman"/>
              <w:sz w:val="24"/>
              <w:szCs w:val="24"/>
            </w:rPr>
            <w:t>organisational</w:t>
          </w:r>
          <w:r w:rsidRPr="006C3E2A">
            <w:rPr>
              <w:rFonts w:ascii="Times New Roman" w:hAnsi="Times New Roman" w:cs="Times New Roman"/>
              <w:sz w:val="24"/>
              <w:szCs w:val="24"/>
            </w:rPr>
            <w:t xml:space="preserve"> hierarchies effectively.</w:t>
          </w:r>
        </w:p>
        <w:p w14:paraId="4877CEC8" w14:textId="21D9FDE0"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Payback period specifically concerns liquidity in that it determines how fast the invested capital can be recouped to the business, which in its own way is of great importance to cash-strapped businesses or businesses that operate in unpredictable conditions </w:t>
          </w:r>
          <w:proofErr w:type="gramStart"/>
          <w:r w:rsidRPr="006C3E2A">
            <w:rPr>
              <w:rFonts w:ascii="Times New Roman" w:hAnsi="Times New Roman" w:cs="Times New Roman"/>
              <w:sz w:val="24"/>
              <w:szCs w:val="24"/>
            </w:rPr>
            <w:t>where</w:t>
          </w:r>
          <w:proofErr w:type="gramEnd"/>
          <w:r w:rsidRPr="006C3E2A">
            <w:rPr>
              <w:rFonts w:ascii="Times New Roman" w:hAnsi="Times New Roman" w:cs="Times New Roman"/>
              <w:sz w:val="24"/>
              <w:szCs w:val="24"/>
            </w:rPr>
            <w:t xml:space="preserve"> </w:t>
          </w:r>
          <w:r w:rsidRPr="006C3E2A">
            <w:rPr>
              <w:rFonts w:ascii="Times New Roman" w:hAnsi="Times New Roman" w:cs="Times New Roman"/>
              <w:sz w:val="24"/>
              <w:szCs w:val="24"/>
            </w:rPr>
            <w:lastRenderedPageBreak/>
            <w:t xml:space="preserve">recouping the capital early covers the risk exposure (Magnacca &amp; Giannetti, 2024). The liquidity management is generally more important than the theoretical </w:t>
          </w:r>
          <w:r w:rsidR="00203F88">
            <w:rPr>
              <w:rFonts w:ascii="Times New Roman" w:hAnsi="Times New Roman" w:cs="Times New Roman"/>
              <w:sz w:val="24"/>
              <w:szCs w:val="24"/>
            </w:rPr>
            <w:t>optimisation</w:t>
          </w:r>
          <w:r w:rsidRPr="006C3E2A">
            <w:rPr>
              <w:rFonts w:ascii="Times New Roman" w:hAnsi="Times New Roman" w:cs="Times New Roman"/>
              <w:sz w:val="24"/>
              <w:szCs w:val="24"/>
            </w:rPr>
            <w:t xml:space="preserve"> in small and medium-sized enterprises, which is why payback analysis is very relevant to the operational environment of a small business.</w:t>
          </w:r>
        </w:p>
        <w:p w14:paraId="5E771386" w14:textId="17BE9235"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Additional factors for investment decision-making</w:t>
          </w:r>
        </w:p>
        <w:p w14:paraId="1934F092" w14:textId="45230E05"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Although financial appraisal methods have the necessary quantitative basis of investment decisions, there are several qualitative and strategic </w:t>
          </w:r>
          <w:r w:rsidR="00203F88">
            <w:rPr>
              <w:rFonts w:ascii="Times New Roman" w:hAnsi="Times New Roman" w:cs="Times New Roman"/>
              <w:sz w:val="24"/>
              <w:szCs w:val="24"/>
            </w:rPr>
            <w:t>considerations which</w:t>
          </w:r>
          <w:r w:rsidRPr="006C3E2A">
            <w:rPr>
              <w:rFonts w:ascii="Times New Roman" w:hAnsi="Times New Roman" w:cs="Times New Roman"/>
              <w:sz w:val="24"/>
              <w:szCs w:val="24"/>
            </w:rPr>
            <w:t xml:space="preserve"> should be taken into serious consideration before committing resources. The strategic alignment is one of the key aspects, since investment decisions should align with the long-term strategic plans, positioning in the market, and building of the core competencies instead of </w:t>
          </w:r>
          <w:r w:rsidR="00203F88">
            <w:rPr>
              <w:rFonts w:ascii="Times New Roman" w:hAnsi="Times New Roman" w:cs="Times New Roman"/>
              <w:sz w:val="24"/>
              <w:szCs w:val="24"/>
            </w:rPr>
            <w:t>maximising</w:t>
          </w:r>
          <w:r w:rsidRPr="006C3E2A">
            <w:rPr>
              <w:rFonts w:ascii="Times New Roman" w:hAnsi="Times New Roman" w:cs="Times New Roman"/>
              <w:sz w:val="24"/>
              <w:szCs w:val="24"/>
            </w:rPr>
            <w:t xml:space="preserve"> short-term financial benefits (Magnacca &amp; Giannetti, 2024).</w:t>
          </w:r>
        </w:p>
        <w:p w14:paraId="1EFDD24E" w14:textId="0F3596E1"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Market allowances will include forecasting of demand, competitive reaction, market development patterns, customer inclinations, and the risk of market saturation. In the growth opportunities of Westward Plc, the market acceptance of wooden and Roman blinds, the intensity of competition in these product lines, and </w:t>
          </w:r>
          <w:r w:rsidR="00203F88">
            <w:rPr>
              <w:rFonts w:ascii="Times New Roman" w:hAnsi="Times New Roman" w:cs="Times New Roman"/>
              <w:sz w:val="24"/>
              <w:szCs w:val="24"/>
            </w:rPr>
            <w:t>cannibalisation</w:t>
          </w:r>
          <w:r w:rsidRPr="006C3E2A">
            <w:rPr>
              <w:rFonts w:ascii="Times New Roman" w:hAnsi="Times New Roman" w:cs="Times New Roman"/>
              <w:sz w:val="24"/>
              <w:szCs w:val="24"/>
            </w:rPr>
            <w:t xml:space="preserve"> of the current sales of curtains need to be carefully evaluated through extensive research (Atrill, 2019).</w:t>
          </w:r>
        </w:p>
        <w:p w14:paraId="0A79B5D5" w14:textId="4B4E2183"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Resource availability and operational capabilities are some of the critical evaluation criteria. The management has to evaluate its </w:t>
          </w:r>
          <w:r w:rsidR="00203F88">
            <w:rPr>
              <w:rFonts w:ascii="Times New Roman" w:hAnsi="Times New Roman" w:cs="Times New Roman"/>
              <w:sz w:val="24"/>
              <w:szCs w:val="24"/>
            </w:rPr>
            <w:t>organisation</w:t>
          </w:r>
          <w:r w:rsidRPr="006C3E2A">
            <w:rPr>
              <w:rFonts w:ascii="Times New Roman" w:hAnsi="Times New Roman" w:cs="Times New Roman"/>
              <w:sz w:val="24"/>
              <w:szCs w:val="24"/>
            </w:rPr>
            <w:t xml:space="preserve"> on the basis of whether it has necessary technical knowledge, production facilities, supply chain facilities, and human financial ability to carry out every alternative successfully. The transition of Option C to the production of wooden and Roman blinds might need more significant manufacturing expertise and relationships with suppliers than the current curtain business (Bhimani, 2022).</w:t>
          </w:r>
        </w:p>
        <w:p w14:paraId="7A416865"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Risk assessment is not confined to financial measures, but it should also consider the operational risks, reputational risks, regulatory compliance requirements, and other environmental concerns. Each investment alternative has a different risk profile in terms of </w:t>
          </w:r>
          <w:r w:rsidRPr="006C3E2A">
            <w:rPr>
              <w:rFonts w:ascii="Times New Roman" w:hAnsi="Times New Roman" w:cs="Times New Roman"/>
              <w:sz w:val="24"/>
              <w:szCs w:val="24"/>
            </w:rPr>
            <w:lastRenderedPageBreak/>
            <w:t>technology obsolescence, product liability, issues in quality control, and sustainability implications that should be systematically considered (Wangchuk, 2022).</w:t>
          </w:r>
        </w:p>
        <w:p w14:paraId="3A4ED77D" w14:textId="76533A64" w:rsidR="00E16E1F" w:rsidRPr="006C3E2A" w:rsidRDefault="00E16E1F" w:rsidP="006C3E2A">
          <w:pPr>
            <w:pStyle w:val="Heading3"/>
            <w:spacing w:before="0" w:line="480" w:lineRule="auto"/>
            <w:rPr>
              <w:rFonts w:ascii="Times New Roman" w:hAnsi="Times New Roman" w:cs="Times New Roman"/>
              <w:b/>
              <w:bCs/>
              <w:color w:val="auto"/>
            </w:rPr>
          </w:pPr>
          <w:bookmarkStart w:id="11" w:name="_Toc219034117"/>
          <w:r w:rsidRPr="006C3E2A">
            <w:rPr>
              <w:rFonts w:ascii="Times New Roman" w:hAnsi="Times New Roman" w:cs="Times New Roman"/>
              <w:b/>
              <w:bCs/>
              <w:color w:val="auto"/>
            </w:rPr>
            <w:t>Optimal Investment Policy Under Capital Rationing</w:t>
          </w:r>
          <w:bookmarkEnd w:id="11"/>
        </w:p>
        <w:p w14:paraId="7DADA65B" w14:textId="6FFE46A1"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Capital Rationing Analysis</w:t>
          </w:r>
        </w:p>
        <w:p w14:paraId="09D3E9FF" w14:textId="43ADEF13" w:rsidR="00E16E1F"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Under limited conditions in investment capital, </w:t>
          </w:r>
          <w:r w:rsidR="00203F88">
            <w:rPr>
              <w:rFonts w:ascii="Times New Roman" w:hAnsi="Times New Roman" w:cs="Times New Roman"/>
              <w:sz w:val="24"/>
              <w:szCs w:val="24"/>
            </w:rPr>
            <w:t>organisations</w:t>
          </w:r>
          <w:r w:rsidRPr="006C3E2A">
            <w:rPr>
              <w:rFonts w:ascii="Times New Roman" w:hAnsi="Times New Roman" w:cs="Times New Roman"/>
              <w:sz w:val="24"/>
              <w:szCs w:val="24"/>
            </w:rPr>
            <w:t xml:space="preserve"> have to </w:t>
          </w:r>
          <w:r w:rsidR="00203F88">
            <w:rPr>
              <w:rFonts w:ascii="Times New Roman" w:hAnsi="Times New Roman" w:cs="Times New Roman"/>
              <w:sz w:val="24"/>
              <w:szCs w:val="24"/>
            </w:rPr>
            <w:t>maximise</w:t>
          </w:r>
          <w:r w:rsidRPr="006C3E2A">
            <w:rPr>
              <w:rFonts w:ascii="Times New Roman" w:hAnsi="Times New Roman" w:cs="Times New Roman"/>
              <w:sz w:val="24"/>
              <w:szCs w:val="24"/>
            </w:rPr>
            <w:t xml:space="preserve"> value generation in the budget constraint by analy</w:t>
          </w:r>
          <w:r w:rsidR="00F85E7A">
            <w:rPr>
              <w:rFonts w:ascii="Times New Roman" w:hAnsi="Times New Roman" w:cs="Times New Roman"/>
              <w:sz w:val="24"/>
              <w:szCs w:val="24"/>
            </w:rPr>
            <w:t>s</w:t>
          </w:r>
          <w:r w:rsidRPr="006C3E2A">
            <w:rPr>
              <w:rFonts w:ascii="Times New Roman" w:hAnsi="Times New Roman" w:cs="Times New Roman"/>
              <w:sz w:val="24"/>
              <w:szCs w:val="24"/>
            </w:rPr>
            <w:t>ing the profitability index. The profitability index (PI) is a ratio of the present value of future cash flows to initial investment, which represents value creation per pound invested (Danjuma &amp; Dange, 2022).</w:t>
          </w:r>
        </w:p>
        <w:p w14:paraId="4F368098" w14:textId="77777777" w:rsidR="00AA7295" w:rsidRPr="00AA7295" w:rsidRDefault="00AA7295" w:rsidP="00AA7295">
          <w:pPr>
            <w:spacing w:after="0" w:line="480" w:lineRule="auto"/>
            <w:rPr>
              <w:rFonts w:ascii="Times New Roman" w:eastAsiaTheme="minorEastAsia" w:hAnsi="Times New Roman" w:cs="Times New Roman"/>
              <w:b/>
              <w:bCs/>
              <w:sz w:val="24"/>
              <w:szCs w:val="24"/>
            </w:rPr>
          </w:pPr>
          <w:r w:rsidRPr="00AA7295">
            <w:rPr>
              <w:rFonts w:ascii="Times New Roman" w:hAnsi="Times New Roman" w:cs="Times New Roman"/>
              <w:b/>
              <w:bCs/>
              <w:sz w:val="24"/>
              <w:szCs w:val="24"/>
            </w:rPr>
            <w:t>Table 2: Profitability Index Rankings Under Capital Rationing</w:t>
          </w:r>
        </w:p>
        <w:tbl>
          <w:tblPr>
            <w:tblStyle w:val="TableGrid"/>
            <w:tblW w:w="0" w:type="auto"/>
            <w:tblLook w:val="04A0" w:firstRow="1" w:lastRow="0" w:firstColumn="1" w:lastColumn="0" w:noHBand="0" w:noVBand="1"/>
          </w:tblPr>
          <w:tblGrid>
            <w:gridCol w:w="1791"/>
            <w:gridCol w:w="1810"/>
            <w:gridCol w:w="1817"/>
            <w:gridCol w:w="1810"/>
            <w:gridCol w:w="1788"/>
          </w:tblGrid>
          <w:tr w:rsidR="009F0599" w:rsidRPr="006C3E2A" w14:paraId="7F4ABE9E" w14:textId="77777777" w:rsidTr="00AA7295">
            <w:tc>
              <w:tcPr>
                <w:tcW w:w="1791" w:type="dxa"/>
                <w:vAlign w:val="center"/>
              </w:tcPr>
              <w:p w14:paraId="21C495B5"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A</w:t>
                </w:r>
              </w:p>
            </w:tc>
            <w:tc>
              <w:tcPr>
                <w:tcW w:w="1810" w:type="dxa"/>
                <w:vAlign w:val="center"/>
              </w:tcPr>
              <w:p w14:paraId="0DB011D4"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600</w:t>
                </w:r>
              </w:p>
            </w:tc>
            <w:tc>
              <w:tcPr>
                <w:tcW w:w="1817" w:type="dxa"/>
                <w:vAlign w:val="center"/>
              </w:tcPr>
              <w:p w14:paraId="36A8BA06"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747.12</w:t>
                </w:r>
              </w:p>
            </w:tc>
            <w:tc>
              <w:tcPr>
                <w:tcW w:w="1810" w:type="dxa"/>
                <w:vAlign w:val="center"/>
              </w:tcPr>
              <w:p w14:paraId="01F54104"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2.246</w:t>
                </w:r>
              </w:p>
            </w:tc>
            <w:tc>
              <w:tcPr>
                <w:tcW w:w="1788" w:type="dxa"/>
                <w:vAlign w:val="center"/>
              </w:tcPr>
              <w:p w14:paraId="38CBD8D9"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1</w:t>
                </w:r>
              </w:p>
            </w:tc>
          </w:tr>
          <w:tr w:rsidR="009F0599" w:rsidRPr="006C3E2A" w14:paraId="00D359F2" w14:textId="77777777" w:rsidTr="00AA7295">
            <w:tc>
              <w:tcPr>
                <w:tcW w:w="1791" w:type="dxa"/>
                <w:vAlign w:val="center"/>
              </w:tcPr>
              <w:p w14:paraId="717FB6AC"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B</w:t>
                </w:r>
              </w:p>
            </w:tc>
            <w:tc>
              <w:tcPr>
                <w:tcW w:w="1810" w:type="dxa"/>
                <w:vAlign w:val="center"/>
              </w:tcPr>
              <w:p w14:paraId="4B8FC750"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1,000</w:t>
                </w:r>
              </w:p>
            </w:tc>
            <w:tc>
              <w:tcPr>
                <w:tcW w:w="1817" w:type="dxa"/>
                <w:vAlign w:val="center"/>
              </w:tcPr>
              <w:p w14:paraId="65DE3861"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970.37</w:t>
                </w:r>
              </w:p>
            </w:tc>
            <w:tc>
              <w:tcPr>
                <w:tcW w:w="1810" w:type="dxa"/>
                <w:vAlign w:val="center"/>
              </w:tcPr>
              <w:p w14:paraId="1925C5CB" w14:textId="08E052A1" w:rsidR="00E16E1F" w:rsidRPr="006C3E2A" w:rsidRDefault="00F85E7A" w:rsidP="006C3E2A">
                <w:pPr>
                  <w:spacing w:line="480" w:lineRule="auto"/>
                  <w:rPr>
                    <w:rFonts w:ascii="Times New Roman" w:hAnsi="Times New Roman" w:cs="Times New Roman"/>
                    <w:b/>
                    <w:bCs/>
                    <w:sz w:val="24"/>
                    <w:szCs w:val="24"/>
                  </w:rPr>
                </w:pPr>
                <w:r>
                  <w:rPr>
                    <w:rFonts w:ascii="Times New Roman" w:hAnsi="Times New Roman" w:cs="Times New Roman"/>
                    <w:sz w:val="24"/>
                    <w:szCs w:val="24"/>
                  </w:rPr>
                  <w:t>1,970</w:t>
                </w:r>
              </w:p>
            </w:tc>
            <w:tc>
              <w:tcPr>
                <w:tcW w:w="1788" w:type="dxa"/>
                <w:vAlign w:val="center"/>
              </w:tcPr>
              <w:p w14:paraId="5921CD71"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2</w:t>
                </w:r>
              </w:p>
            </w:tc>
          </w:tr>
          <w:tr w:rsidR="009F0599" w:rsidRPr="006C3E2A" w14:paraId="1F12981E" w14:textId="77777777" w:rsidTr="00AA7295">
            <w:tc>
              <w:tcPr>
                <w:tcW w:w="1791" w:type="dxa"/>
                <w:vAlign w:val="center"/>
              </w:tcPr>
              <w:p w14:paraId="472E4FFC"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C</w:t>
                </w:r>
              </w:p>
            </w:tc>
            <w:tc>
              <w:tcPr>
                <w:tcW w:w="1810" w:type="dxa"/>
                <w:vAlign w:val="center"/>
              </w:tcPr>
              <w:p w14:paraId="56BF63CB"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1,600</w:t>
                </w:r>
              </w:p>
            </w:tc>
            <w:tc>
              <w:tcPr>
                <w:tcW w:w="1817" w:type="dxa"/>
                <w:vAlign w:val="center"/>
              </w:tcPr>
              <w:p w14:paraId="0764419C"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994.41</w:t>
                </w:r>
              </w:p>
            </w:tc>
            <w:tc>
              <w:tcPr>
                <w:tcW w:w="1810" w:type="dxa"/>
                <w:vAlign w:val="center"/>
              </w:tcPr>
              <w:p w14:paraId="2C35AF80"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1.622</w:t>
                </w:r>
              </w:p>
            </w:tc>
            <w:tc>
              <w:tcPr>
                <w:tcW w:w="1788" w:type="dxa"/>
                <w:vAlign w:val="center"/>
              </w:tcPr>
              <w:p w14:paraId="229A9353" w14:textId="77777777" w:rsidR="00E16E1F" w:rsidRPr="006C3E2A" w:rsidRDefault="00E16E1F" w:rsidP="006C3E2A">
                <w:pPr>
                  <w:spacing w:line="480" w:lineRule="auto"/>
                  <w:rPr>
                    <w:rFonts w:ascii="Times New Roman" w:hAnsi="Times New Roman" w:cs="Times New Roman"/>
                    <w:b/>
                    <w:bCs/>
                    <w:sz w:val="24"/>
                    <w:szCs w:val="24"/>
                  </w:rPr>
                </w:pPr>
                <w:r w:rsidRPr="006C3E2A">
                  <w:rPr>
                    <w:rFonts w:ascii="Times New Roman" w:hAnsi="Times New Roman" w:cs="Times New Roman"/>
                    <w:sz w:val="24"/>
                    <w:szCs w:val="24"/>
                  </w:rPr>
                  <w:t>3</w:t>
                </w:r>
              </w:p>
            </w:tc>
          </w:tr>
        </w:tbl>
        <w:p w14:paraId="085DB69B"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PI = (NPV + Initial Investment) / Initial Investment</m:t>
              </m:r>
            </m:oMath>
          </m:oMathPara>
        </w:p>
        <w:p w14:paraId="0E331D3F" w14:textId="77777777" w:rsidR="00E16E1F" w:rsidRPr="006C3E2A" w:rsidRDefault="00E16E1F" w:rsidP="006C3E2A">
          <w:pPr>
            <w:spacing w:after="0" w:line="480" w:lineRule="auto"/>
            <w:rPr>
              <w:rFonts w:ascii="Times New Roman" w:hAnsi="Times New Roman" w:cs="Times New Roman"/>
              <w:i/>
              <w:iCs/>
              <w:sz w:val="24"/>
              <w:szCs w:val="24"/>
            </w:rPr>
          </w:pPr>
          <w:r w:rsidRPr="006C3E2A">
            <w:rPr>
              <w:rFonts w:ascii="Times New Roman" w:hAnsi="Times New Roman" w:cs="Times New Roman"/>
              <w:i/>
              <w:iCs/>
              <w:sz w:val="24"/>
              <w:szCs w:val="24"/>
            </w:rPr>
            <w:t>Option A:</w:t>
          </w:r>
        </w:p>
        <w:p w14:paraId="59F5B18F"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 xml:space="preserve"> (747,120 + 600,000) / 600,000 = 2.246</m:t>
              </m:r>
            </m:oMath>
          </m:oMathPara>
        </w:p>
        <w:p w14:paraId="41A99337" w14:textId="1A435291"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i/>
              <w:iCs/>
              <w:sz w:val="24"/>
              <w:szCs w:val="24"/>
            </w:rPr>
            <w:t>Option B:</w:t>
          </w:r>
        </w:p>
        <w:p w14:paraId="21817DC6"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(970,370 + 1,000,000) / 1,000,000 = 1.970</m:t>
              </m:r>
            </m:oMath>
          </m:oMathPara>
        </w:p>
        <w:p w14:paraId="7FC2D1C5" w14:textId="23FC1F23"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i/>
              <w:iCs/>
              <w:sz w:val="24"/>
              <w:szCs w:val="24"/>
            </w:rPr>
            <w:t>Option C:</w:t>
          </w:r>
        </w:p>
        <w:p w14:paraId="6FF65F49" w14:textId="77777777" w:rsidR="00E16E1F" w:rsidRPr="006C3E2A" w:rsidRDefault="00E16E1F" w:rsidP="006C3E2A">
          <w:pPr>
            <w:spacing w:after="0" w:line="480" w:lineRule="auto"/>
            <w:rPr>
              <w:rFonts w:ascii="Times New Roman" w:hAnsi="Times New Roman" w:cs="Times New Roman"/>
              <w:sz w:val="24"/>
              <w:szCs w:val="24"/>
            </w:rPr>
          </w:pPr>
          <m:oMathPara>
            <m:oMath>
              <m:r>
                <w:rPr>
                  <w:rFonts w:ascii="Cambria Math" w:hAnsi="Cambria Math" w:cs="Times New Roman"/>
                  <w:sz w:val="24"/>
                  <w:szCs w:val="24"/>
                </w:rPr>
                <m:t>(994,410 + 1,600,000) / 1,600,000 = 1.622</m:t>
              </m:r>
            </m:oMath>
          </m:oMathPara>
        </w:p>
        <w:p w14:paraId="59B262F0"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Given a capital constraint of £2,500,000 and projects to be divided, the best allocation strategy implies ranking the projects in terms of their profitability index and allocating capital up to the point where the budget is depleted. Following this approach</w:t>
          </w:r>
        </w:p>
        <w:p w14:paraId="2B8A6EED"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Optimal Investment Policy:</w:t>
          </w:r>
        </w:p>
        <w:p w14:paraId="78CE367D" w14:textId="77777777" w:rsidR="00E16E1F" w:rsidRPr="006C3E2A" w:rsidRDefault="00E16E1F" w:rsidP="006C3E2A">
          <w:pPr>
            <w:spacing w:after="0" w:line="480" w:lineRule="auto"/>
            <w:ind w:left="360"/>
            <w:rPr>
              <w:rFonts w:ascii="Cambria Math" w:hAnsi="Cambria Math" w:cs="Times New Roman"/>
              <w:sz w:val="24"/>
              <w:szCs w:val="24"/>
              <w:oMath/>
            </w:rPr>
          </w:pPr>
          <m:oMathPara>
            <m:oMath>
              <m:r>
                <w:rPr>
                  <w:rFonts w:ascii="Cambria Math" w:hAnsi="Cambria Math" w:cs="Times New Roman"/>
                  <w:sz w:val="24"/>
                  <w:szCs w:val="24"/>
                </w:rPr>
                <m:t>Undertake 100% of Option A: £600,000 investment, £747,120 NPV</m:t>
              </m:r>
            </m:oMath>
          </m:oMathPara>
        </w:p>
        <w:p w14:paraId="1A0D42B0" w14:textId="77777777" w:rsidR="00E16E1F" w:rsidRPr="006C3E2A" w:rsidRDefault="00E16E1F" w:rsidP="006C3E2A">
          <w:pPr>
            <w:spacing w:after="0" w:line="480" w:lineRule="auto"/>
            <w:ind w:left="360"/>
            <w:rPr>
              <w:rFonts w:ascii="Cambria Math" w:hAnsi="Cambria Math" w:cs="Times New Roman"/>
              <w:sz w:val="24"/>
              <w:szCs w:val="24"/>
              <w:oMath/>
            </w:rPr>
          </w:pPr>
          <m:oMathPara>
            <m:oMath>
              <m:r>
                <w:rPr>
                  <w:rFonts w:ascii="Cambria Math" w:hAnsi="Cambria Math" w:cs="Times New Roman"/>
                  <w:sz w:val="24"/>
                  <w:szCs w:val="24"/>
                </w:rPr>
                <m:t>Undertake 100% of Option B: £1,000,000 investment, £970,370 NPV</m:t>
              </m:r>
            </m:oMath>
          </m:oMathPara>
        </w:p>
        <w:p w14:paraId="09C4155C" w14:textId="77777777" w:rsidR="00E16E1F" w:rsidRPr="006C3E2A" w:rsidRDefault="00E16E1F" w:rsidP="006C3E2A">
          <w:pPr>
            <w:spacing w:after="0" w:line="480" w:lineRule="auto"/>
            <w:ind w:left="360"/>
            <w:rPr>
              <w:rFonts w:ascii="Cambria Math" w:hAnsi="Cambria Math" w:cs="Times New Roman"/>
              <w:sz w:val="24"/>
              <w:szCs w:val="24"/>
              <w:oMath/>
            </w:rPr>
          </w:pPr>
          <m:oMathPara>
            <m:oMath>
              <m:r>
                <w:rPr>
                  <w:rFonts w:ascii="Cambria Math" w:hAnsi="Cambria Math" w:cs="Times New Roman"/>
                  <w:sz w:val="24"/>
                  <w:szCs w:val="24"/>
                </w:rPr>
                <w:lastRenderedPageBreak/>
                <m:t>Undertake 56.25% of Option C: £900,000 investment (£2,500,000 - £1,600,000 = £900,000)</m:t>
              </m:r>
            </m:oMath>
          </m:oMathPara>
        </w:p>
        <w:p w14:paraId="42741F79"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NPV from partial Option C:</w:t>
          </w:r>
          <w:r w:rsidRPr="006C3E2A">
            <w:rPr>
              <w:rFonts w:ascii="Times New Roman" w:hAnsi="Times New Roman" w:cs="Times New Roman"/>
              <w:sz w:val="24"/>
              <w:szCs w:val="24"/>
            </w:rPr>
            <w:t xml:space="preserve"> </w:t>
          </w:r>
          <m:oMath>
            <m:r>
              <w:rPr>
                <w:rFonts w:ascii="Cambria Math" w:hAnsi="Cambria Math" w:cs="Times New Roman"/>
                <w:sz w:val="24"/>
                <w:szCs w:val="24"/>
              </w:rPr>
              <m:t>£994,410 × 0.5625 = £559,356</m:t>
            </m:r>
          </m:oMath>
        </w:p>
        <w:p w14:paraId="7BE82F82" w14:textId="77777777" w:rsidR="00E16E1F" w:rsidRPr="006C3E2A" w:rsidRDefault="00E16E1F"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Total NPV from optimal policy:</w:t>
          </w:r>
          <m:oMath>
            <m:r>
              <w:rPr>
                <w:rFonts w:ascii="Cambria Math" w:hAnsi="Cambria Math" w:cs="Times New Roman"/>
                <w:sz w:val="24"/>
                <w:szCs w:val="24"/>
              </w:rPr>
              <m:t xml:space="preserve"> £747,120 + £970,370 + £559,356 = </m:t>
            </m:r>
            <m:r>
              <m:rPr>
                <m:sty m:val="bi"/>
              </m:rPr>
              <w:rPr>
                <w:rFonts w:ascii="Cambria Math" w:hAnsi="Cambria Math" w:cs="Times New Roman"/>
                <w:sz w:val="24"/>
                <w:szCs w:val="24"/>
              </w:rPr>
              <m:t>£2,276,846</m:t>
            </m:r>
          </m:oMath>
        </w:p>
        <w:p w14:paraId="1573842B" w14:textId="24A8408A"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This allocation technique </w:t>
          </w:r>
          <w:r w:rsidR="00203F88">
            <w:rPr>
              <w:rFonts w:ascii="Times New Roman" w:hAnsi="Times New Roman" w:cs="Times New Roman"/>
              <w:sz w:val="24"/>
              <w:szCs w:val="24"/>
            </w:rPr>
            <w:t>maximises</w:t>
          </w:r>
          <w:r w:rsidRPr="006C3E2A">
            <w:rPr>
              <w:rFonts w:ascii="Times New Roman" w:hAnsi="Times New Roman" w:cs="Times New Roman"/>
              <w:sz w:val="24"/>
              <w:szCs w:val="24"/>
            </w:rPr>
            <w:t xml:space="preserve"> total value creation within the £2,500,000 budget limit, resulting in a significantly greater aggregate NPV than any single project or other combination (</w:t>
          </w:r>
          <w:proofErr w:type="spellStart"/>
          <w:r w:rsidRPr="006C3E2A">
            <w:rPr>
              <w:rFonts w:ascii="Times New Roman" w:hAnsi="Times New Roman" w:cs="Times New Roman"/>
              <w:sz w:val="24"/>
              <w:szCs w:val="24"/>
            </w:rPr>
            <w:t>Purnamasari</w:t>
          </w:r>
          <w:proofErr w:type="spellEnd"/>
          <w:r w:rsidRPr="006C3E2A">
            <w:rPr>
              <w:rFonts w:ascii="Times New Roman" w:hAnsi="Times New Roman" w:cs="Times New Roman"/>
              <w:sz w:val="24"/>
              <w:szCs w:val="24"/>
            </w:rPr>
            <w:t xml:space="preserve"> &amp; </w:t>
          </w:r>
          <w:proofErr w:type="spellStart"/>
          <w:r w:rsidRPr="006C3E2A">
            <w:rPr>
              <w:rFonts w:ascii="Times New Roman" w:hAnsi="Times New Roman" w:cs="Times New Roman"/>
              <w:sz w:val="24"/>
              <w:szCs w:val="24"/>
            </w:rPr>
            <w:t>Adriza</w:t>
          </w:r>
          <w:proofErr w:type="spellEnd"/>
          <w:r w:rsidRPr="006C3E2A">
            <w:rPr>
              <w:rFonts w:ascii="Times New Roman" w:hAnsi="Times New Roman" w:cs="Times New Roman"/>
              <w:sz w:val="24"/>
              <w:szCs w:val="24"/>
            </w:rPr>
            <w:t>, 2024).</w:t>
          </w:r>
        </w:p>
        <w:p w14:paraId="0BA21581" w14:textId="0F5FF6D4" w:rsidR="00E16E1F" w:rsidRPr="006C3E2A" w:rsidRDefault="00E16E1F" w:rsidP="006C3E2A">
          <w:pPr>
            <w:pStyle w:val="Heading3"/>
            <w:spacing w:before="0" w:line="480" w:lineRule="auto"/>
            <w:rPr>
              <w:rFonts w:ascii="Times New Roman" w:hAnsi="Times New Roman" w:cs="Times New Roman"/>
              <w:b/>
              <w:bCs/>
              <w:color w:val="auto"/>
            </w:rPr>
          </w:pPr>
          <w:bookmarkStart w:id="12" w:name="_Toc219034118"/>
          <w:r w:rsidRPr="006C3E2A">
            <w:rPr>
              <w:rFonts w:ascii="Times New Roman" w:hAnsi="Times New Roman" w:cs="Times New Roman"/>
              <w:b/>
              <w:bCs/>
              <w:color w:val="auto"/>
            </w:rPr>
            <w:t>Financing Recommendations</w:t>
          </w:r>
          <w:bookmarkEnd w:id="12"/>
        </w:p>
        <w:p w14:paraId="641FABF6" w14:textId="60820DD0"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Main Sources of Finance</w:t>
          </w:r>
        </w:p>
        <w:p w14:paraId="2E14DBC1" w14:textId="3AB6C9A8"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Westward Plc should consider the diversified financing strategy that involves a combination of several sources of capital to </w:t>
          </w:r>
          <w:r w:rsidR="00F85E7A">
            <w:rPr>
              <w:rFonts w:ascii="Times New Roman" w:hAnsi="Times New Roman" w:cs="Times New Roman"/>
              <w:sz w:val="24"/>
              <w:szCs w:val="24"/>
            </w:rPr>
            <w:t>maximise</w:t>
          </w:r>
          <w:r w:rsidRPr="006C3E2A">
            <w:rPr>
              <w:rFonts w:ascii="Times New Roman" w:hAnsi="Times New Roman" w:cs="Times New Roman"/>
              <w:sz w:val="24"/>
              <w:szCs w:val="24"/>
            </w:rPr>
            <w:t xml:space="preserve"> the cost of capital and remain financially flexible. The most convenient source of internal financing would be retained earnings, where the source of funds is capital and transaction costs, and external examination is not an issue and dilution </w:t>
          </w:r>
          <w:proofErr w:type="gramStart"/>
          <w:r w:rsidRPr="006C3E2A">
            <w:rPr>
              <w:rFonts w:ascii="Times New Roman" w:hAnsi="Times New Roman" w:cs="Times New Roman"/>
              <w:sz w:val="24"/>
              <w:szCs w:val="24"/>
            </w:rPr>
            <w:t>is</w:t>
          </w:r>
          <w:proofErr w:type="gramEnd"/>
          <w:r w:rsidRPr="006C3E2A">
            <w:rPr>
              <w:rFonts w:ascii="Times New Roman" w:hAnsi="Times New Roman" w:cs="Times New Roman"/>
              <w:sz w:val="24"/>
              <w:szCs w:val="24"/>
            </w:rPr>
            <w:t xml:space="preserve"> not a problem.</w:t>
          </w:r>
        </w:p>
        <w:p w14:paraId="713F375A" w14:textId="52DBFEFC"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Bank loans or corporate bonds as a form of debt financing offer large amounts of capital at relatively predictable costs, and the interest payments create tax shields, which lower the effective cost of borrowing. Debt securities that are long-term have constant interest rates, which ensure financial planning is made easier, and are also within the same time frame as the proposed projects. Nonetheless, debts make financial risk more binding with loan payments that must be paid to the lender irrespective of business performance, which may limit operational flexibility when the economy is going through a downturn (</w:t>
          </w:r>
          <w:r w:rsidR="000A5017" w:rsidRPr="006C3E2A">
            <w:rPr>
              <w:rFonts w:ascii="Times New Roman" w:hAnsi="Times New Roman" w:cs="Times New Roman"/>
              <w:sz w:val="24"/>
              <w:szCs w:val="24"/>
            </w:rPr>
            <w:t>Drury &amp; Tayles</w:t>
          </w:r>
          <w:r w:rsidRPr="006C3E2A">
            <w:rPr>
              <w:rFonts w:ascii="Times New Roman" w:hAnsi="Times New Roman" w:cs="Times New Roman"/>
              <w:sz w:val="24"/>
              <w:szCs w:val="24"/>
            </w:rPr>
            <w:t>, 2020).</w:t>
          </w:r>
        </w:p>
        <w:p w14:paraId="213B7966"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Rights issues and private placements constitute equity financing to current shareholders, which leaves the company free to handle its financial needs in the future without creating any form of fixed payments or commitments. Equity capital is especially </w:t>
          </w:r>
          <w:r w:rsidRPr="006C3E2A">
            <w:rPr>
              <w:rFonts w:ascii="Times New Roman" w:hAnsi="Times New Roman" w:cs="Times New Roman"/>
              <w:sz w:val="24"/>
              <w:szCs w:val="24"/>
            </w:rPr>
            <w:lastRenderedPageBreak/>
            <w:t>suitable in growth investments whose returns are not very predictable since the investment risk is assumed by the shareholders. Still, the issue of equity issuance will reduce existing ownership interests, may instigate expensive disclosure obligations, and is generally more expensive than debt because the shareholders expect higher returns (Bhimani, 2022).</w:t>
          </w:r>
        </w:p>
        <w:p w14:paraId="01AD01B8" w14:textId="2C7D29E6"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Some of the possible benefits of lease financing of equipment and facilities include conservation of capital, off-balance sheet under some structures, and conformity of the </w:t>
          </w:r>
          <w:r w:rsidR="00203F88">
            <w:rPr>
              <w:rFonts w:ascii="Times New Roman" w:hAnsi="Times New Roman" w:cs="Times New Roman"/>
              <w:sz w:val="24"/>
              <w:szCs w:val="24"/>
            </w:rPr>
            <w:t>utilisation</w:t>
          </w:r>
          <w:r w:rsidRPr="006C3E2A">
            <w:rPr>
              <w:rFonts w:ascii="Times New Roman" w:hAnsi="Times New Roman" w:cs="Times New Roman"/>
              <w:sz w:val="24"/>
              <w:szCs w:val="24"/>
            </w:rPr>
            <w:t xml:space="preserve"> of assets with payments. The technology-intensive assets that are prone to obsolescence risks give specific flexibility to operating leases.</w:t>
          </w:r>
        </w:p>
        <w:p w14:paraId="6527A424" w14:textId="78B38D32"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Critical Assessment of Financing Options</w:t>
          </w:r>
        </w:p>
        <w:p w14:paraId="3CD0F10B" w14:textId="54B3CC1B"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Both sources of financing have their own advantages and disadvantages that need to be taken into consideration. The major benefit of debt financing is that it is comparatively cheap because interest payments are deductible under tax laws and have a priority position in the event of liquidation. Debt is not a dilutionary charge, and, therefore, founding shareholders can maintain all voting rights and profit claims left. Nonetheless, high debt leverage exposes a company to more bankruptcy risk, limits the flexibility of operations with covenants, and causes pro-cyclical cash flow strains that enhance the challenges during revenue crises</w:t>
          </w:r>
          <w:r w:rsidR="00AD1CFC">
            <w:rPr>
              <w:rFonts w:ascii="Times New Roman" w:hAnsi="Times New Roman" w:cs="Times New Roman"/>
              <w:sz w:val="24"/>
              <w:szCs w:val="24"/>
            </w:rPr>
            <w:t>.</w:t>
          </w:r>
        </w:p>
        <w:p w14:paraId="36BBF60F" w14:textId="157D26BC"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Equity financing erases any risk of bankruptcy linked to debt repayment, offers long-term strategic projects with permanent capital, and is an indicator of management confidence in the future when insiders finance offerings. Equity, in its turn, is costly because of dividend payouts and capital gains requirements, dilutes both current ownership interests and earnings per share, and exposes the company to additional regulatory inspections and reporting demands (Danjuma &amp; Dange, 2022</w:t>
          </w:r>
          <w:r w:rsidR="00190C41">
            <w:rPr>
              <w:rFonts w:ascii="Times New Roman" w:hAnsi="Times New Roman" w:cs="Times New Roman"/>
              <w:sz w:val="24"/>
              <w:szCs w:val="24"/>
            </w:rPr>
            <w:t>, p. 117</w:t>
          </w:r>
          <w:r w:rsidRPr="006C3E2A">
            <w:rPr>
              <w:rFonts w:ascii="Times New Roman" w:hAnsi="Times New Roman" w:cs="Times New Roman"/>
              <w:sz w:val="24"/>
              <w:szCs w:val="24"/>
            </w:rPr>
            <w:t>).</w:t>
          </w:r>
        </w:p>
        <w:p w14:paraId="63DB66BA"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Retained earnings can be used as the most flexible form that is not tied to outside indicators, does not have to be floated, and requires no regulation compliance, and indicates </w:t>
          </w:r>
          <w:r w:rsidRPr="006C3E2A">
            <w:rPr>
              <w:rFonts w:ascii="Times New Roman" w:hAnsi="Times New Roman" w:cs="Times New Roman"/>
              <w:sz w:val="24"/>
              <w:szCs w:val="24"/>
            </w:rPr>
            <w:lastRenderedPageBreak/>
            <w:t>good operational results. The retained earnings, however, restrict the current dividend payments, which may frustrate income-seeking shareholders and limit the rise of the stock price in the companies where investors anticipate regular payments of dividends.</w:t>
          </w:r>
        </w:p>
        <w:p w14:paraId="7300E022" w14:textId="3FDA180D" w:rsidR="00E16E1F" w:rsidRPr="006C3E2A" w:rsidRDefault="00E16E1F" w:rsidP="006C3E2A">
          <w:pPr>
            <w:pStyle w:val="Heading4"/>
            <w:spacing w:before="0" w:line="480" w:lineRule="auto"/>
            <w:rPr>
              <w:rFonts w:ascii="Times New Roman" w:hAnsi="Times New Roman" w:cs="Times New Roman"/>
              <w:b/>
              <w:bCs/>
              <w:color w:val="auto"/>
              <w:sz w:val="24"/>
              <w:szCs w:val="24"/>
            </w:rPr>
          </w:pPr>
          <w:r w:rsidRPr="006C3E2A">
            <w:rPr>
              <w:rFonts w:ascii="Times New Roman" w:hAnsi="Times New Roman" w:cs="Times New Roman"/>
              <w:b/>
              <w:bCs/>
              <w:color w:val="auto"/>
              <w:sz w:val="24"/>
              <w:szCs w:val="24"/>
            </w:rPr>
            <w:t>Recommended Financing Structure</w:t>
          </w:r>
        </w:p>
        <w:p w14:paraId="03A36E25" w14:textId="5D289479"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In the proposed investment </w:t>
          </w:r>
          <w:r w:rsidR="00203F88">
            <w:rPr>
              <w:rFonts w:ascii="Times New Roman" w:hAnsi="Times New Roman" w:cs="Times New Roman"/>
              <w:sz w:val="24"/>
              <w:szCs w:val="24"/>
            </w:rPr>
            <w:t>programme</w:t>
          </w:r>
          <w:r w:rsidRPr="006C3E2A">
            <w:rPr>
              <w:rFonts w:ascii="Times New Roman" w:hAnsi="Times New Roman" w:cs="Times New Roman"/>
              <w:sz w:val="24"/>
              <w:szCs w:val="24"/>
            </w:rPr>
            <w:t xml:space="preserve"> of currency equal to or less than £2,500,000 under capital rationing or 1,600,000 in the case of Option C alone, the Westward Plc should use a balanced financing strategy (comprising an estimated value of 40 </w:t>
          </w:r>
          <w:r w:rsidR="003E1144">
            <w:rPr>
              <w:rFonts w:ascii="Times New Roman" w:hAnsi="Times New Roman" w:cs="Times New Roman"/>
              <w:sz w:val="24"/>
              <w:szCs w:val="24"/>
            </w:rPr>
            <w:t>per cent</w:t>
          </w:r>
          <w:r w:rsidRPr="006C3E2A">
            <w:rPr>
              <w:rFonts w:ascii="Times New Roman" w:hAnsi="Times New Roman" w:cs="Times New Roman"/>
              <w:sz w:val="24"/>
              <w:szCs w:val="24"/>
            </w:rPr>
            <w:t xml:space="preserve"> debt and 60 </w:t>
          </w:r>
          <w:r w:rsidR="003E1144">
            <w:rPr>
              <w:rFonts w:ascii="Times New Roman" w:hAnsi="Times New Roman" w:cs="Times New Roman"/>
              <w:sz w:val="24"/>
              <w:szCs w:val="24"/>
            </w:rPr>
            <w:t>per cent</w:t>
          </w:r>
          <w:r w:rsidRPr="006C3E2A">
            <w:rPr>
              <w:rFonts w:ascii="Times New Roman" w:hAnsi="Times New Roman" w:cs="Times New Roman"/>
              <w:sz w:val="24"/>
              <w:szCs w:val="24"/>
            </w:rPr>
            <w:t xml:space="preserve"> equity) to ensure </w:t>
          </w:r>
          <w:r w:rsidR="00203F88">
            <w:rPr>
              <w:rFonts w:ascii="Times New Roman" w:hAnsi="Times New Roman" w:cs="Times New Roman"/>
              <w:sz w:val="24"/>
              <w:szCs w:val="24"/>
            </w:rPr>
            <w:t>optimisation</w:t>
          </w:r>
          <w:r w:rsidRPr="006C3E2A">
            <w:rPr>
              <w:rFonts w:ascii="Times New Roman" w:hAnsi="Times New Roman" w:cs="Times New Roman"/>
              <w:sz w:val="24"/>
              <w:szCs w:val="24"/>
            </w:rPr>
            <w:t xml:space="preserve"> of the capital structure and the financial stability of the firm. This recommendation strikes a balance between the tax benefits of debt and the factors of bankruptcy cost and maintains sufficient financial room to respond to strategic opportunities in the future (Bhimani, 2022).</w:t>
          </w:r>
        </w:p>
        <w:p w14:paraId="2FC5233C" w14:textId="626C88FA"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In particular, the firm ought to seek to finance long-term debt of £1,000,000 by use of term loans of </w:t>
          </w:r>
          <w:r w:rsidR="005C1368" w:rsidRPr="006C3E2A">
            <w:rPr>
              <w:rFonts w:ascii="Times New Roman" w:hAnsi="Times New Roman" w:cs="Times New Roman"/>
              <w:sz w:val="24"/>
              <w:szCs w:val="24"/>
            </w:rPr>
            <w:t>7–10-year</w:t>
          </w:r>
          <w:r w:rsidR="005C1368">
            <w:rPr>
              <w:rFonts w:ascii="Times New Roman" w:hAnsi="Times New Roman" w:cs="Times New Roman"/>
              <w:sz w:val="24"/>
              <w:szCs w:val="24"/>
            </w:rPr>
            <w:t xml:space="preserve">s </w:t>
          </w:r>
          <w:r w:rsidRPr="006C3E2A">
            <w:rPr>
              <w:rFonts w:ascii="Times New Roman" w:hAnsi="Times New Roman" w:cs="Times New Roman"/>
              <w:sz w:val="24"/>
              <w:szCs w:val="24"/>
            </w:rPr>
            <w:t>maturities, which is equivalent to the investment horizon, and raise an amount of 1.5 million pounds through reallocation of retained earnings and issuing a small rights issue to the current shareholders. This form keeps the debt-to-equity ratio in reasonable bounds, reserves room to borrow when needed, and matches the funding terms to both the life of the assets and the pattern of cash inflows (Drury &amp; Tayles, 2020).</w:t>
          </w:r>
        </w:p>
        <w:p w14:paraId="38E58B91" w14:textId="4B2BB1D5" w:rsidR="00E16E1F" w:rsidRPr="006C3E2A" w:rsidRDefault="00E16E1F" w:rsidP="006C3E2A">
          <w:pPr>
            <w:pStyle w:val="Heading3"/>
            <w:spacing w:before="0" w:line="480" w:lineRule="auto"/>
            <w:rPr>
              <w:rFonts w:ascii="Times New Roman" w:hAnsi="Times New Roman" w:cs="Times New Roman"/>
              <w:b/>
              <w:bCs/>
              <w:color w:val="auto"/>
            </w:rPr>
          </w:pPr>
          <w:bookmarkStart w:id="13" w:name="_Toc219034119"/>
          <w:r w:rsidRPr="006C3E2A">
            <w:rPr>
              <w:rFonts w:ascii="Times New Roman" w:hAnsi="Times New Roman" w:cs="Times New Roman"/>
              <w:b/>
              <w:bCs/>
              <w:color w:val="auto"/>
            </w:rPr>
            <w:t>Conclusion and Recommendations</w:t>
          </w:r>
          <w:bookmarkEnd w:id="13"/>
        </w:p>
        <w:p w14:paraId="5927FA30" w14:textId="09FA7D94"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Considering the financial analysis using Net Present Value analysis and other internal rate of return analyses, as well as </w:t>
          </w:r>
          <w:r w:rsidR="00203F88">
            <w:rPr>
              <w:rFonts w:ascii="Times New Roman" w:hAnsi="Times New Roman" w:cs="Times New Roman"/>
              <w:sz w:val="24"/>
              <w:szCs w:val="24"/>
            </w:rPr>
            <w:t>optimisation</w:t>
          </w:r>
          <w:r w:rsidRPr="006C3E2A">
            <w:rPr>
              <w:rFonts w:ascii="Times New Roman" w:hAnsi="Times New Roman" w:cs="Times New Roman"/>
              <w:sz w:val="24"/>
              <w:szCs w:val="24"/>
            </w:rPr>
            <w:t xml:space="preserve"> of the profitability index, the following recommendations are presented in this report to the Board of Directors:</w:t>
          </w:r>
        </w:p>
        <w:p w14:paraId="6DB5EC56" w14:textId="6E457D55"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In the case of free availability of capital, Westward Plc must go with the alternative of C (wooden blinds and production of Roman blinds) that costs it (Westward Plc) £1,600,000 in upfront capital. This is the alternative that will produce the best NPV of £994,410 and produces a good IRR of about 24.80, generating maximum shareholder value. With capital </w:t>
          </w:r>
          <w:r w:rsidRPr="006C3E2A">
            <w:rPr>
              <w:rFonts w:ascii="Times New Roman" w:hAnsi="Times New Roman" w:cs="Times New Roman"/>
              <w:sz w:val="24"/>
              <w:szCs w:val="24"/>
            </w:rPr>
            <w:lastRenderedPageBreak/>
            <w:t xml:space="preserve">rationing of £2,500,000, the company should use the best investment portfolio, which includes 100% of option A, 100% of option B, and 56.25% of option C with a total NPV of £2,276,846, and </w:t>
          </w:r>
          <w:r w:rsidR="00F85E7A">
            <w:rPr>
              <w:rFonts w:ascii="Times New Roman" w:hAnsi="Times New Roman" w:cs="Times New Roman"/>
              <w:sz w:val="24"/>
              <w:szCs w:val="24"/>
            </w:rPr>
            <w:t>maximise</w:t>
          </w:r>
          <w:r w:rsidRPr="006C3E2A">
            <w:rPr>
              <w:rFonts w:ascii="Times New Roman" w:hAnsi="Times New Roman" w:cs="Times New Roman"/>
              <w:sz w:val="24"/>
              <w:szCs w:val="24"/>
            </w:rPr>
            <w:t xml:space="preserve"> value creation within the budget constraint.</w:t>
          </w:r>
        </w:p>
        <w:p w14:paraId="77388478" w14:textId="77777777" w:rsidR="00E16E1F"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Financing policy: Use a balanced capital structure, which consists of about 1,000,000 debt funding and 1,500,000 equity capital (inclusive of retained earnings and possible rights issues), to achieve optimal cost of capital with financial flexibility. Implementation considerations: To successfully implement the plan, the management should carry out extensive due diligence, which will cover market demand validation, operations capability evaluation, competitor analysis, and risk mitigation measures.</w:t>
          </w:r>
        </w:p>
        <w:p w14:paraId="5734C7F5" w14:textId="2B6D7A93" w:rsidR="00CF0E48" w:rsidRPr="006C3E2A" w:rsidRDefault="00E16E1F" w:rsidP="006C3E2A">
          <w:pPr>
            <w:spacing w:after="0" w:line="480" w:lineRule="auto"/>
            <w:ind w:firstLine="720"/>
            <w:rPr>
              <w:rFonts w:ascii="Times New Roman" w:hAnsi="Times New Roman" w:cs="Times New Roman"/>
              <w:sz w:val="24"/>
              <w:szCs w:val="24"/>
            </w:rPr>
          </w:pPr>
          <w:r w:rsidRPr="006C3E2A">
            <w:rPr>
              <w:rFonts w:ascii="Times New Roman" w:hAnsi="Times New Roman" w:cs="Times New Roman"/>
              <w:sz w:val="24"/>
              <w:szCs w:val="24"/>
            </w:rPr>
            <w:t xml:space="preserve">The suggested investment </w:t>
          </w:r>
          <w:r w:rsidR="00203F88">
            <w:rPr>
              <w:rFonts w:ascii="Times New Roman" w:hAnsi="Times New Roman" w:cs="Times New Roman"/>
              <w:sz w:val="24"/>
              <w:szCs w:val="24"/>
            </w:rPr>
            <w:t>programme</w:t>
          </w:r>
          <w:r w:rsidRPr="006C3E2A">
            <w:rPr>
              <w:rFonts w:ascii="Times New Roman" w:hAnsi="Times New Roman" w:cs="Times New Roman"/>
              <w:sz w:val="24"/>
              <w:szCs w:val="24"/>
            </w:rPr>
            <w:t xml:space="preserve"> will enable Westward plc to experience sustainable growth due to product diversification, market expansion, and competitive positioning in the window covering industry. In the event of an acceptable resolution of the strategic and operational issues that have been discovered in this report, the proposed investment strategy will present attractive risk-adjusted returns that are in line with the </w:t>
          </w:r>
          <w:r w:rsidR="00F85E7A">
            <w:rPr>
              <w:rFonts w:ascii="Times New Roman" w:hAnsi="Times New Roman" w:cs="Times New Roman"/>
              <w:sz w:val="24"/>
              <w:szCs w:val="24"/>
            </w:rPr>
            <w:t>maximisation</w:t>
          </w:r>
          <w:r w:rsidRPr="006C3E2A">
            <w:rPr>
              <w:rFonts w:ascii="Times New Roman" w:hAnsi="Times New Roman" w:cs="Times New Roman"/>
              <w:sz w:val="24"/>
              <w:szCs w:val="24"/>
            </w:rPr>
            <w:t xml:space="preserve"> of shareholder wealth.</w:t>
          </w:r>
        </w:p>
        <w:p w14:paraId="5C67928C" w14:textId="62E76D58" w:rsidR="00AA2A91" w:rsidRPr="006C3E2A" w:rsidRDefault="00AA2A91" w:rsidP="006C3E2A">
          <w:pPr>
            <w:pStyle w:val="Heading1"/>
            <w:spacing w:before="0" w:line="480" w:lineRule="auto"/>
            <w:jc w:val="center"/>
            <w:rPr>
              <w:rFonts w:ascii="Times New Roman" w:hAnsi="Times New Roman" w:cs="Times New Roman"/>
              <w:b/>
              <w:bCs/>
              <w:color w:val="auto"/>
              <w:sz w:val="24"/>
              <w:szCs w:val="24"/>
            </w:rPr>
          </w:pPr>
          <w:bookmarkStart w:id="14" w:name="_Toc219034120"/>
          <w:r w:rsidRPr="006C3E2A">
            <w:rPr>
              <w:rFonts w:ascii="Times New Roman" w:hAnsi="Times New Roman" w:cs="Times New Roman"/>
              <w:b/>
              <w:bCs/>
              <w:color w:val="auto"/>
              <w:sz w:val="24"/>
              <w:szCs w:val="24"/>
            </w:rPr>
            <w:t>Conclusion</w:t>
          </w:r>
          <w:bookmarkEnd w:id="14"/>
        </w:p>
        <w:p w14:paraId="650D12FD" w14:textId="1611E47E" w:rsidR="00F56F62" w:rsidRPr="00F56F62" w:rsidRDefault="00F56F62" w:rsidP="006C3E2A">
          <w:pPr>
            <w:spacing w:after="0" w:line="480" w:lineRule="auto"/>
            <w:ind w:firstLine="720"/>
            <w:rPr>
              <w:rFonts w:ascii="Times New Roman" w:hAnsi="Times New Roman" w:cs="Times New Roman"/>
              <w:sz w:val="24"/>
              <w:szCs w:val="24"/>
            </w:rPr>
          </w:pPr>
          <w:r w:rsidRPr="00F56F62">
            <w:rPr>
              <w:rFonts w:ascii="Times New Roman" w:hAnsi="Times New Roman" w:cs="Times New Roman"/>
              <w:sz w:val="24"/>
              <w:szCs w:val="24"/>
            </w:rPr>
            <w:t xml:space="preserve">This report has taken a detailed financial analysis across two varying yet complementary business situations for performance assessment using ratio analysis and capital investment decision-making using the formal appraisal method. The results show that systematic financial analysis is very crucial in informing strategic management decisions </w:t>
          </w:r>
          <w:r w:rsidR="00F85E7A">
            <w:rPr>
              <w:rFonts w:ascii="Times New Roman" w:hAnsi="Times New Roman" w:cs="Times New Roman"/>
              <w:sz w:val="24"/>
              <w:szCs w:val="24"/>
            </w:rPr>
            <w:t>but also</w:t>
          </w:r>
          <w:r w:rsidRPr="00F56F62">
            <w:rPr>
              <w:rFonts w:ascii="Times New Roman" w:hAnsi="Times New Roman" w:cs="Times New Roman"/>
              <w:sz w:val="24"/>
              <w:szCs w:val="24"/>
            </w:rPr>
            <w:t xml:space="preserve"> </w:t>
          </w:r>
          <w:r w:rsidR="00203F88">
            <w:rPr>
              <w:rFonts w:ascii="Times New Roman" w:hAnsi="Times New Roman" w:cs="Times New Roman"/>
              <w:sz w:val="24"/>
              <w:szCs w:val="24"/>
            </w:rPr>
            <w:t>show</w:t>
          </w:r>
          <w:r w:rsidRPr="00F56F62">
            <w:rPr>
              <w:rFonts w:ascii="Times New Roman" w:hAnsi="Times New Roman" w:cs="Times New Roman"/>
              <w:sz w:val="24"/>
              <w:szCs w:val="24"/>
            </w:rPr>
            <w:t xml:space="preserve"> the weakness of purely quantitative methods.</w:t>
          </w:r>
        </w:p>
        <w:p w14:paraId="419E6667" w14:textId="77777777" w:rsidR="00F56F62" w:rsidRPr="00F56F62" w:rsidRDefault="00F56F62" w:rsidP="006C3E2A">
          <w:pPr>
            <w:spacing w:after="0" w:line="480" w:lineRule="auto"/>
            <w:ind w:firstLine="720"/>
            <w:rPr>
              <w:rFonts w:ascii="Times New Roman" w:hAnsi="Times New Roman" w:cs="Times New Roman"/>
              <w:sz w:val="24"/>
              <w:szCs w:val="24"/>
            </w:rPr>
          </w:pPr>
          <w:r w:rsidRPr="00F56F62">
            <w:rPr>
              <w:rFonts w:ascii="Times New Roman" w:hAnsi="Times New Roman" w:cs="Times New Roman"/>
              <w:sz w:val="24"/>
              <w:szCs w:val="24"/>
            </w:rPr>
            <w:t xml:space="preserve">The case study on AstraZeneca PLC shows that it is a company that has achieved outstanding financial performance in various aspects. Having the profitability indices way above cost of capital levels, capable cash generation, and market positioning in high-value therapeutic areas, AstraZeneca has an effective management ability in the pharmaceutical </w:t>
          </w:r>
          <w:r w:rsidRPr="00F56F62">
            <w:rPr>
              <w:rFonts w:ascii="Times New Roman" w:hAnsi="Times New Roman" w:cs="Times New Roman"/>
              <w:sz w:val="24"/>
              <w:szCs w:val="24"/>
            </w:rPr>
            <w:lastRenderedPageBreak/>
            <w:t>industry, despite having industry-wide challenges, such as increasing cost of research and development, patent cliff exposure, and the increasing intensity of competition. The proposed measures, like optimisation of working capital, clientele management of the quantified R&amp;D portfolio and maximisation of the supply chain resilience, are aimed at mitigating the identified shortcomings whilst capitalising on the available strengths to remain competitive in the market.</w:t>
          </w:r>
        </w:p>
        <w:p w14:paraId="74CB45DF" w14:textId="77777777" w:rsidR="00F56F62" w:rsidRPr="00F56F62" w:rsidRDefault="00F56F62" w:rsidP="006C3E2A">
          <w:pPr>
            <w:spacing w:after="0" w:line="480" w:lineRule="auto"/>
            <w:ind w:firstLine="720"/>
            <w:rPr>
              <w:rFonts w:ascii="Times New Roman" w:hAnsi="Times New Roman" w:cs="Times New Roman"/>
              <w:sz w:val="24"/>
              <w:szCs w:val="24"/>
            </w:rPr>
          </w:pPr>
          <w:r w:rsidRPr="00F56F62">
            <w:rPr>
              <w:rFonts w:ascii="Times New Roman" w:hAnsi="Times New Roman" w:cs="Times New Roman"/>
              <w:sz w:val="24"/>
              <w:szCs w:val="24"/>
            </w:rPr>
            <w:t>The Westward Plc investment appraisal analysis shows how capital budgeting techniques can be applied in an actual expansion decision. Quantitative analysis has clearly determined the best-valued alternative for people to use under unconstrained conditions is Option C, though the NPV and IRR values were large, hence creating wealth on a large scale. The profitability index methodology under capital rationing offers a systematic model of optimal capital allocation and results in an investment portfolio optimising the aggregate value generation subject to the budget available. The suggested balanced financing structure represents theoretical ideas concerning the optimisation of the capital structure with the preservation of a realistic flexibility for the future strategic requirements.</w:t>
          </w:r>
        </w:p>
        <w:p w14:paraId="35446EA7" w14:textId="77777777" w:rsidR="00F56F62" w:rsidRPr="00F56F62" w:rsidRDefault="00F56F62" w:rsidP="006C3E2A">
          <w:pPr>
            <w:spacing w:after="0" w:line="480" w:lineRule="auto"/>
            <w:ind w:firstLine="720"/>
            <w:rPr>
              <w:rFonts w:ascii="Times New Roman" w:hAnsi="Times New Roman" w:cs="Times New Roman"/>
              <w:sz w:val="24"/>
              <w:szCs w:val="24"/>
            </w:rPr>
          </w:pPr>
          <w:r w:rsidRPr="00F56F62">
            <w:rPr>
              <w:rFonts w:ascii="Times New Roman" w:hAnsi="Times New Roman" w:cs="Times New Roman"/>
              <w:sz w:val="24"/>
              <w:szCs w:val="24"/>
            </w:rPr>
            <w:t>Yet, both of the analyses also identify significant shortcomings of financial analysis techniques. Although ratio analysis does offer useful historical performance information, it does not give one a great deal of predictive validity of future performance, especially in businesses that are more R&amp;D intensive, where current spending will predetermine performance in 10 years. Regardless of their rigour in theory, investment appraisal methods are incapable of capturing enough subjective factors that are strategy alignment, organisational capabilities, market dynamics, and competitive responses that are finally the determinants of project success. The management should therefore not solely use the quantitative findings to interpret results in the wider strategic contexts, noting that the financial measurements will underpin and not replace an informed judgement.</w:t>
          </w:r>
        </w:p>
        <w:p w14:paraId="1D55D336" w14:textId="398345EF" w:rsidR="00F56F62" w:rsidRPr="00F56F62" w:rsidRDefault="00F56F62" w:rsidP="006C3E2A">
          <w:pPr>
            <w:spacing w:after="0" w:line="480" w:lineRule="auto"/>
            <w:ind w:firstLine="720"/>
            <w:rPr>
              <w:rFonts w:ascii="Times New Roman" w:hAnsi="Times New Roman" w:cs="Times New Roman"/>
              <w:sz w:val="24"/>
              <w:szCs w:val="24"/>
            </w:rPr>
          </w:pPr>
          <w:r w:rsidRPr="00F56F62">
            <w:rPr>
              <w:rFonts w:ascii="Times New Roman" w:hAnsi="Times New Roman" w:cs="Times New Roman"/>
              <w:sz w:val="24"/>
              <w:szCs w:val="24"/>
            </w:rPr>
            <w:lastRenderedPageBreak/>
            <w:t xml:space="preserve">The pharmaceutical and manufacturing industries are under continuous change due to technological innovation and advancement, regulatory changes and evolution, cutthroat competition and evolving market demands. Companies that successfully combine intensive financial examination and long-range perspective, business excellence and shareholder interaction will be in the optimal place to develop sustainable value. The analyses and recommendations spread out in this report offer schemes of systematic assessment; they, however, recognise that the implementation procedures will be successful only with a commitment </w:t>
          </w:r>
          <w:r w:rsidR="00F85E7A">
            <w:rPr>
              <w:rFonts w:ascii="Times New Roman" w:hAnsi="Times New Roman" w:cs="Times New Roman"/>
              <w:sz w:val="24"/>
              <w:szCs w:val="24"/>
            </w:rPr>
            <w:t>from</w:t>
          </w:r>
          <w:r w:rsidRPr="00F56F62">
            <w:rPr>
              <w:rFonts w:ascii="Times New Roman" w:hAnsi="Times New Roman" w:cs="Times New Roman"/>
              <w:sz w:val="24"/>
              <w:szCs w:val="24"/>
            </w:rPr>
            <w:t xml:space="preserve"> the leadership, organisational openness, and concessive adaptations to the changing business circumstances.</w:t>
          </w:r>
        </w:p>
        <w:p w14:paraId="54083B84" w14:textId="5B15606C" w:rsidR="00670549" w:rsidRPr="006C3E2A" w:rsidRDefault="00F56F62" w:rsidP="00AD1CFC">
          <w:pPr>
            <w:spacing w:after="0" w:line="480" w:lineRule="auto"/>
            <w:ind w:firstLine="720"/>
            <w:rPr>
              <w:rFonts w:ascii="Times New Roman" w:eastAsiaTheme="majorEastAsia" w:hAnsi="Times New Roman" w:cs="Times New Roman"/>
              <w:sz w:val="24"/>
              <w:szCs w:val="24"/>
            </w:rPr>
          </w:pPr>
          <w:r w:rsidRPr="00F56F62">
            <w:rPr>
              <w:rFonts w:ascii="Times New Roman" w:hAnsi="Times New Roman" w:cs="Times New Roman"/>
              <w:sz w:val="24"/>
              <w:szCs w:val="24"/>
            </w:rPr>
            <w:t>Future studies may further this work by looking at criteria of performance over time, sensitivity analysis of some of the most critical assumptions, the analysis of alternative cases of situations under different economic conditions, and the association between such financial parameters and non-financial ones such as innovative products, operational robustness, and stakeholder contentment. This inference would bring more evidence that can aid management in making decisions in more complex and uncertain business conditions.</w:t>
          </w:r>
        </w:p>
        <w:p w14:paraId="39513317" w14:textId="77777777" w:rsidR="009F0599" w:rsidRPr="006C3E2A" w:rsidRDefault="009F0599" w:rsidP="006C3E2A">
          <w:pPr>
            <w:spacing w:after="0" w:line="480" w:lineRule="auto"/>
            <w:rPr>
              <w:rFonts w:ascii="Times New Roman" w:eastAsiaTheme="majorEastAsia" w:hAnsi="Times New Roman" w:cs="Times New Roman"/>
              <w:sz w:val="24"/>
              <w:szCs w:val="24"/>
            </w:rPr>
          </w:pPr>
          <w:r w:rsidRPr="006C3E2A">
            <w:rPr>
              <w:rFonts w:ascii="Times New Roman" w:hAnsi="Times New Roman" w:cs="Times New Roman"/>
              <w:sz w:val="24"/>
              <w:szCs w:val="24"/>
            </w:rPr>
            <w:br w:type="page"/>
          </w:r>
        </w:p>
        <w:p w14:paraId="3CA5B2D4" w14:textId="6D3C31D9" w:rsidR="00F56F62" w:rsidRPr="006C3E2A" w:rsidRDefault="00AA2A91" w:rsidP="006C3E2A">
          <w:pPr>
            <w:pStyle w:val="Heading1"/>
            <w:spacing w:before="0" w:line="480" w:lineRule="auto"/>
            <w:jc w:val="center"/>
            <w:rPr>
              <w:rFonts w:ascii="Times New Roman" w:hAnsi="Times New Roman" w:cs="Times New Roman"/>
              <w:b/>
              <w:bCs/>
              <w:color w:val="auto"/>
              <w:sz w:val="24"/>
              <w:szCs w:val="24"/>
            </w:rPr>
          </w:pPr>
          <w:bookmarkStart w:id="15" w:name="_Toc219034121"/>
          <w:r w:rsidRPr="006C3E2A">
            <w:rPr>
              <w:rFonts w:ascii="Times New Roman" w:hAnsi="Times New Roman" w:cs="Times New Roman"/>
              <w:b/>
              <w:bCs/>
              <w:color w:val="auto"/>
              <w:sz w:val="24"/>
              <w:szCs w:val="24"/>
            </w:rPr>
            <w:lastRenderedPageBreak/>
            <w:t>Bibliography</w:t>
          </w:r>
        </w:p>
      </w:sdtContent>
    </w:sdt>
    <w:bookmarkEnd w:id="15" w:displacedByCustomXml="prev"/>
    <w:p w14:paraId="5239E419" w14:textId="77777777" w:rsidR="006B0B92" w:rsidRPr="006C3E2A" w:rsidRDefault="006B0B92" w:rsidP="006C3E2A">
      <w:pPr>
        <w:spacing w:after="0" w:line="480" w:lineRule="auto"/>
        <w:ind w:left="720" w:hanging="720"/>
        <w:rPr>
          <w:rFonts w:ascii="Times New Roman" w:hAnsi="Times New Roman" w:cs="Times New Roman"/>
          <w:sz w:val="24"/>
          <w:szCs w:val="24"/>
        </w:rPr>
      </w:pPr>
      <w:proofErr w:type="spellStart"/>
      <w:r w:rsidRPr="006C3E2A">
        <w:rPr>
          <w:rFonts w:ascii="Times New Roman" w:hAnsi="Times New Roman" w:cs="Times New Roman"/>
          <w:sz w:val="24"/>
          <w:szCs w:val="24"/>
        </w:rPr>
        <w:t>Aripaka</w:t>
      </w:r>
      <w:proofErr w:type="spellEnd"/>
      <w:r w:rsidRPr="006C3E2A">
        <w:rPr>
          <w:rFonts w:ascii="Times New Roman" w:hAnsi="Times New Roman" w:cs="Times New Roman"/>
          <w:sz w:val="24"/>
          <w:szCs w:val="24"/>
        </w:rPr>
        <w:t xml:space="preserve">, P. and Fick, M. (2024) 'AstraZeneca raises profit outlook on strong medicines demand', </w:t>
      </w:r>
      <w:r w:rsidRPr="006C3E2A">
        <w:rPr>
          <w:rFonts w:ascii="Times New Roman" w:hAnsi="Times New Roman" w:cs="Times New Roman"/>
          <w:i/>
          <w:iCs/>
          <w:sz w:val="24"/>
          <w:szCs w:val="24"/>
        </w:rPr>
        <w:t>Reuters</w:t>
      </w:r>
      <w:r w:rsidRPr="006C3E2A">
        <w:rPr>
          <w:rFonts w:ascii="Times New Roman" w:hAnsi="Times New Roman" w:cs="Times New Roman"/>
          <w:sz w:val="24"/>
          <w:szCs w:val="24"/>
        </w:rPr>
        <w:t xml:space="preserve">, 25 July. Available at: </w:t>
      </w:r>
      <w:hyperlink r:id="rId11" w:history="1">
        <w:r w:rsidRPr="006C3E2A">
          <w:rPr>
            <w:rStyle w:val="Hyperlink"/>
            <w:rFonts w:ascii="Times New Roman" w:hAnsi="Times New Roman" w:cs="Times New Roman"/>
            <w:color w:val="auto"/>
            <w:sz w:val="24"/>
            <w:szCs w:val="24"/>
          </w:rPr>
          <w:t>https://www.reuters.com/business/healthcare-pharmaceuticals/astrazeneca-lifts-full-year-outlook-upbeat-demand-therapies-2024-07-25/</w:t>
        </w:r>
      </w:hyperlink>
      <w:r w:rsidRPr="006C3E2A">
        <w:rPr>
          <w:rFonts w:ascii="Times New Roman" w:hAnsi="Times New Roman" w:cs="Times New Roman"/>
          <w:sz w:val="24"/>
          <w:szCs w:val="24"/>
        </w:rPr>
        <w:t xml:space="preserve"> (Accessed: 11 December 2025).</w:t>
      </w:r>
    </w:p>
    <w:p w14:paraId="11F06DE6"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Atrill, P. (2020) </w:t>
      </w:r>
      <w:r w:rsidRPr="006C3E2A">
        <w:rPr>
          <w:rFonts w:ascii="Times New Roman" w:hAnsi="Times New Roman" w:cs="Times New Roman"/>
          <w:i/>
          <w:iCs/>
          <w:sz w:val="24"/>
          <w:szCs w:val="24"/>
        </w:rPr>
        <w:t>Financial management for decision makers</w:t>
      </w:r>
      <w:r w:rsidRPr="006C3E2A">
        <w:rPr>
          <w:rFonts w:ascii="Times New Roman" w:hAnsi="Times New Roman" w:cs="Times New Roman"/>
          <w:sz w:val="24"/>
          <w:szCs w:val="24"/>
        </w:rPr>
        <w:t xml:space="preserve">. 9th </w:t>
      </w:r>
      <w:proofErr w:type="spellStart"/>
      <w:r w:rsidRPr="006C3E2A">
        <w:rPr>
          <w:rFonts w:ascii="Times New Roman" w:hAnsi="Times New Roman" w:cs="Times New Roman"/>
          <w:sz w:val="24"/>
          <w:szCs w:val="24"/>
        </w:rPr>
        <w:t>edn</w:t>
      </w:r>
      <w:proofErr w:type="spellEnd"/>
      <w:r w:rsidRPr="006C3E2A">
        <w:rPr>
          <w:rFonts w:ascii="Times New Roman" w:hAnsi="Times New Roman" w:cs="Times New Roman"/>
          <w:sz w:val="24"/>
          <w:szCs w:val="24"/>
        </w:rPr>
        <w:t>. Harlow: Pearson Education Limited.</w:t>
      </w:r>
    </w:p>
    <w:p w14:paraId="4FB4C9B9" w14:textId="77777777" w:rsidR="006B0B92"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Bhimani, A. (2022) </w:t>
      </w:r>
      <w:r w:rsidRPr="006C3E2A">
        <w:rPr>
          <w:rFonts w:ascii="Times New Roman" w:hAnsi="Times New Roman" w:cs="Times New Roman"/>
          <w:i/>
          <w:iCs/>
          <w:sz w:val="24"/>
          <w:szCs w:val="24"/>
        </w:rPr>
        <w:t>Financial management for technology start-ups: a handbook for growth</w:t>
      </w:r>
      <w:r w:rsidRPr="006C3E2A">
        <w:rPr>
          <w:rFonts w:ascii="Times New Roman" w:hAnsi="Times New Roman" w:cs="Times New Roman"/>
          <w:sz w:val="24"/>
          <w:szCs w:val="24"/>
        </w:rPr>
        <w:t xml:space="preserve">. 2nd </w:t>
      </w:r>
      <w:proofErr w:type="spellStart"/>
      <w:r w:rsidRPr="006C3E2A">
        <w:rPr>
          <w:rFonts w:ascii="Times New Roman" w:hAnsi="Times New Roman" w:cs="Times New Roman"/>
          <w:sz w:val="24"/>
          <w:szCs w:val="24"/>
        </w:rPr>
        <w:t>edn</w:t>
      </w:r>
      <w:proofErr w:type="spellEnd"/>
      <w:r w:rsidRPr="006C3E2A">
        <w:rPr>
          <w:rFonts w:ascii="Times New Roman" w:hAnsi="Times New Roman" w:cs="Times New Roman"/>
          <w:sz w:val="24"/>
          <w:szCs w:val="24"/>
        </w:rPr>
        <w:t>. London: Kogan Page.</w:t>
      </w:r>
    </w:p>
    <w:p w14:paraId="3F657A10" w14:textId="7102B41E" w:rsidR="00AD1CFC" w:rsidRDefault="00AD1CFC" w:rsidP="006C3E2A">
      <w:pPr>
        <w:spacing w:after="0" w:line="480" w:lineRule="auto"/>
        <w:ind w:left="720" w:hanging="720"/>
        <w:rPr>
          <w:rFonts w:ascii="Times New Roman" w:hAnsi="Times New Roman" w:cs="Times New Roman"/>
          <w:sz w:val="24"/>
          <w:szCs w:val="24"/>
        </w:rPr>
      </w:pPr>
      <w:r w:rsidRPr="00AD1CFC">
        <w:rPr>
          <w:rFonts w:ascii="Times New Roman" w:hAnsi="Times New Roman" w:cs="Times New Roman"/>
          <w:sz w:val="24"/>
          <w:szCs w:val="24"/>
        </w:rPr>
        <w:t xml:space="preserve">Danjuma, T. and Dange, M.S., 2022. Optimal Investment Policy and Capital </w:t>
      </w:r>
      <w:r w:rsidR="00F85E7A">
        <w:rPr>
          <w:rFonts w:ascii="Times New Roman" w:hAnsi="Times New Roman" w:cs="Times New Roman"/>
          <w:sz w:val="24"/>
          <w:szCs w:val="24"/>
        </w:rPr>
        <w:t>Management</w:t>
      </w:r>
      <w:r w:rsidRPr="00AD1CFC">
        <w:rPr>
          <w:rFonts w:ascii="Times New Roman" w:hAnsi="Times New Roman" w:cs="Times New Roman"/>
          <w:sz w:val="24"/>
          <w:szCs w:val="24"/>
        </w:rPr>
        <w:t xml:space="preserve"> in a Financial Institution.</w:t>
      </w:r>
      <w:r>
        <w:rPr>
          <w:rFonts w:ascii="Times New Roman" w:hAnsi="Times New Roman" w:cs="Times New Roman"/>
          <w:sz w:val="24"/>
          <w:szCs w:val="24"/>
        </w:rPr>
        <w:t xml:space="preserve"> </w:t>
      </w:r>
      <w:proofErr w:type="spellStart"/>
      <w:r w:rsidRPr="00AD1CFC">
        <w:rPr>
          <w:rFonts w:ascii="Times New Roman" w:hAnsi="Times New Roman" w:cs="Times New Roman"/>
          <w:i/>
          <w:iCs/>
          <w:sz w:val="24"/>
          <w:szCs w:val="24"/>
        </w:rPr>
        <w:t>Fudma</w:t>
      </w:r>
      <w:proofErr w:type="spellEnd"/>
      <w:r w:rsidRPr="00AD1CFC">
        <w:rPr>
          <w:rFonts w:ascii="Times New Roman" w:hAnsi="Times New Roman" w:cs="Times New Roman"/>
          <w:i/>
          <w:iCs/>
          <w:sz w:val="24"/>
          <w:szCs w:val="24"/>
        </w:rPr>
        <w:t xml:space="preserve"> Journal of Sciences</w:t>
      </w:r>
      <w:r w:rsidRPr="00AD1CFC">
        <w:rPr>
          <w:rFonts w:ascii="Times New Roman" w:hAnsi="Times New Roman" w:cs="Times New Roman"/>
          <w:sz w:val="24"/>
          <w:szCs w:val="24"/>
        </w:rPr>
        <w:t>,</w:t>
      </w:r>
      <w:r>
        <w:rPr>
          <w:rFonts w:ascii="Times New Roman" w:hAnsi="Times New Roman" w:cs="Times New Roman"/>
          <w:sz w:val="24"/>
          <w:szCs w:val="24"/>
        </w:rPr>
        <w:t xml:space="preserve"> </w:t>
      </w:r>
      <w:r w:rsidRPr="00AD1CFC">
        <w:rPr>
          <w:rFonts w:ascii="Times New Roman" w:hAnsi="Times New Roman" w:cs="Times New Roman"/>
          <w:i/>
          <w:iCs/>
          <w:sz w:val="24"/>
          <w:szCs w:val="24"/>
        </w:rPr>
        <w:t>6</w:t>
      </w:r>
      <w:r w:rsidRPr="00AD1CFC">
        <w:rPr>
          <w:rFonts w:ascii="Times New Roman" w:hAnsi="Times New Roman" w:cs="Times New Roman"/>
          <w:sz w:val="24"/>
          <w:szCs w:val="24"/>
        </w:rPr>
        <w:t>(1), pp.117-128.</w:t>
      </w:r>
      <w:r>
        <w:rPr>
          <w:rFonts w:ascii="Times New Roman" w:hAnsi="Times New Roman" w:cs="Times New Roman"/>
          <w:sz w:val="24"/>
          <w:szCs w:val="24"/>
        </w:rPr>
        <w:t xml:space="preserve"> </w:t>
      </w:r>
      <w:hyperlink r:id="rId12" w:history="1">
        <w:r w:rsidRPr="00FA2F73">
          <w:rPr>
            <w:rStyle w:val="Hyperlink"/>
            <w:rFonts w:ascii="Times New Roman" w:hAnsi="Times New Roman" w:cs="Times New Roman"/>
            <w:color w:val="000000" w:themeColor="text1"/>
            <w:sz w:val="24"/>
            <w:szCs w:val="24"/>
            <w:u w:val="none"/>
          </w:rPr>
          <w:t>doi.org/10.33003/fjs-2022-0601-846</w:t>
        </w:r>
      </w:hyperlink>
    </w:p>
    <w:p w14:paraId="065BCED9"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Deloitte (2023) </w:t>
      </w:r>
      <w:r w:rsidRPr="006C3E2A">
        <w:rPr>
          <w:rFonts w:ascii="Times New Roman" w:hAnsi="Times New Roman" w:cs="Times New Roman"/>
          <w:i/>
          <w:iCs/>
          <w:sz w:val="24"/>
          <w:szCs w:val="24"/>
        </w:rPr>
        <w:t>2023 global life sciences outlook: innovating and collaborating for tomorrow</w:t>
      </w:r>
      <w:r w:rsidRPr="006C3E2A">
        <w:rPr>
          <w:rFonts w:ascii="Times New Roman" w:hAnsi="Times New Roman" w:cs="Times New Roman"/>
          <w:sz w:val="24"/>
          <w:szCs w:val="24"/>
        </w:rPr>
        <w:t xml:space="preserve">. Available at: </w:t>
      </w:r>
      <w:hyperlink r:id="rId13" w:history="1">
        <w:r w:rsidRPr="006C3E2A">
          <w:rPr>
            <w:rStyle w:val="Hyperlink"/>
            <w:rFonts w:ascii="Times New Roman" w:hAnsi="Times New Roman" w:cs="Times New Roman"/>
            <w:color w:val="auto"/>
            <w:sz w:val="24"/>
            <w:szCs w:val="24"/>
          </w:rPr>
          <w:t>https://www.deloitte.com/global/en/Industries/life-sciences-health-care/perspectives/global-life-sciences-sector-outlook.html</w:t>
        </w:r>
      </w:hyperlink>
      <w:r w:rsidRPr="006C3E2A">
        <w:rPr>
          <w:rFonts w:ascii="Times New Roman" w:hAnsi="Times New Roman" w:cs="Times New Roman"/>
          <w:sz w:val="24"/>
          <w:szCs w:val="24"/>
        </w:rPr>
        <w:t xml:space="preserve"> (Accessed: 11 December 2025).</w:t>
      </w:r>
    </w:p>
    <w:p w14:paraId="0B1B1F2C"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Drury, C. and </w:t>
      </w:r>
      <w:proofErr w:type="spellStart"/>
      <w:r w:rsidRPr="006C3E2A">
        <w:rPr>
          <w:rFonts w:ascii="Times New Roman" w:hAnsi="Times New Roman" w:cs="Times New Roman"/>
          <w:sz w:val="24"/>
          <w:szCs w:val="24"/>
        </w:rPr>
        <w:t>Tayles</w:t>
      </w:r>
      <w:proofErr w:type="spellEnd"/>
      <w:r w:rsidRPr="006C3E2A">
        <w:rPr>
          <w:rFonts w:ascii="Times New Roman" w:hAnsi="Times New Roman" w:cs="Times New Roman"/>
          <w:sz w:val="24"/>
          <w:szCs w:val="24"/>
        </w:rPr>
        <w:t xml:space="preserve">, M. (2020) </w:t>
      </w:r>
      <w:r w:rsidRPr="006C3E2A">
        <w:rPr>
          <w:rFonts w:ascii="Times New Roman" w:hAnsi="Times New Roman" w:cs="Times New Roman"/>
          <w:i/>
          <w:iCs/>
          <w:sz w:val="24"/>
          <w:szCs w:val="24"/>
        </w:rPr>
        <w:t>Management and cost accounting</w:t>
      </w:r>
      <w:r w:rsidRPr="006C3E2A">
        <w:rPr>
          <w:rFonts w:ascii="Times New Roman" w:hAnsi="Times New Roman" w:cs="Times New Roman"/>
          <w:sz w:val="24"/>
          <w:szCs w:val="24"/>
        </w:rPr>
        <w:t xml:space="preserve">. 11th </w:t>
      </w:r>
      <w:proofErr w:type="spellStart"/>
      <w:r w:rsidRPr="006C3E2A">
        <w:rPr>
          <w:rFonts w:ascii="Times New Roman" w:hAnsi="Times New Roman" w:cs="Times New Roman"/>
          <w:sz w:val="24"/>
          <w:szCs w:val="24"/>
        </w:rPr>
        <w:t>edn</w:t>
      </w:r>
      <w:proofErr w:type="spellEnd"/>
      <w:r w:rsidRPr="006C3E2A">
        <w:rPr>
          <w:rFonts w:ascii="Times New Roman" w:hAnsi="Times New Roman" w:cs="Times New Roman"/>
          <w:sz w:val="24"/>
          <w:szCs w:val="24"/>
        </w:rPr>
        <w:t>. Andover: Cengage Learning.</w:t>
      </w:r>
    </w:p>
    <w:p w14:paraId="2A878146" w14:textId="41F32E23"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EY </w:t>
      </w:r>
      <w:r w:rsidR="00F85E7A">
        <w:rPr>
          <w:rFonts w:ascii="Times New Roman" w:hAnsi="Times New Roman" w:cs="Times New Roman"/>
          <w:sz w:val="24"/>
          <w:szCs w:val="24"/>
        </w:rPr>
        <w:t>(2025).</w:t>
      </w:r>
      <w:r w:rsidRPr="006C3E2A">
        <w:rPr>
          <w:rFonts w:ascii="Times New Roman" w:hAnsi="Times New Roman" w:cs="Times New Roman"/>
          <w:sz w:val="24"/>
          <w:szCs w:val="24"/>
        </w:rPr>
        <w:t xml:space="preserve"> </w:t>
      </w:r>
      <w:r w:rsidRPr="006C3E2A">
        <w:rPr>
          <w:rFonts w:ascii="Times New Roman" w:hAnsi="Times New Roman" w:cs="Times New Roman"/>
          <w:i/>
          <w:iCs/>
          <w:sz w:val="24"/>
          <w:szCs w:val="24"/>
        </w:rPr>
        <w:t>Navigating pharma loss of exclusivity</w:t>
      </w:r>
      <w:r w:rsidRPr="006C3E2A">
        <w:rPr>
          <w:rFonts w:ascii="Times New Roman" w:hAnsi="Times New Roman" w:cs="Times New Roman"/>
          <w:sz w:val="24"/>
          <w:szCs w:val="24"/>
        </w:rPr>
        <w:t xml:space="preserve">. EY Insights. Available at: </w:t>
      </w:r>
      <w:hyperlink r:id="rId14" w:history="1">
        <w:r w:rsidRPr="006C3E2A">
          <w:rPr>
            <w:rStyle w:val="Hyperlink"/>
            <w:rFonts w:ascii="Times New Roman" w:hAnsi="Times New Roman" w:cs="Times New Roman"/>
            <w:color w:val="auto"/>
            <w:sz w:val="24"/>
            <w:szCs w:val="24"/>
          </w:rPr>
          <w:t>https://www.ey.com/en_us/insights/life-sciences/navigating-pharma-loss-of-exclusivity</w:t>
        </w:r>
      </w:hyperlink>
      <w:r w:rsidRPr="006C3E2A">
        <w:rPr>
          <w:rFonts w:ascii="Times New Roman" w:hAnsi="Times New Roman" w:cs="Times New Roman"/>
          <w:sz w:val="24"/>
          <w:szCs w:val="24"/>
        </w:rPr>
        <w:t xml:space="preserve"> (Accessed: 11 December 2025).</w:t>
      </w:r>
    </w:p>
    <w:p w14:paraId="2B772D4D"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Faggioni, F., Rossi, M.V. and Sestino, A. (2023) 'Supply chain resilience in the pharmaceutical industry: a qualitative analysis from scholarly and managerial perspectives', </w:t>
      </w:r>
      <w:r w:rsidRPr="006C3E2A">
        <w:rPr>
          <w:rFonts w:ascii="Times New Roman" w:hAnsi="Times New Roman" w:cs="Times New Roman"/>
          <w:i/>
          <w:iCs/>
          <w:sz w:val="24"/>
          <w:szCs w:val="24"/>
        </w:rPr>
        <w:t>International Journal of Business and Management</w:t>
      </w:r>
      <w:r w:rsidRPr="006C3E2A">
        <w:rPr>
          <w:rFonts w:ascii="Times New Roman" w:hAnsi="Times New Roman" w:cs="Times New Roman"/>
          <w:sz w:val="24"/>
          <w:szCs w:val="24"/>
        </w:rPr>
        <w:t xml:space="preserve">, 18(1), pp. 129-143.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10.5539/</w:t>
      </w:r>
      <w:proofErr w:type="gramStart"/>
      <w:r w:rsidRPr="006C3E2A">
        <w:rPr>
          <w:rFonts w:ascii="Times New Roman" w:hAnsi="Times New Roman" w:cs="Times New Roman"/>
          <w:sz w:val="24"/>
          <w:szCs w:val="24"/>
        </w:rPr>
        <w:t>ijbm.v</w:t>
      </w:r>
      <w:proofErr w:type="gramEnd"/>
      <w:r w:rsidRPr="006C3E2A">
        <w:rPr>
          <w:rFonts w:ascii="Times New Roman" w:hAnsi="Times New Roman" w:cs="Times New Roman"/>
          <w:sz w:val="24"/>
          <w:szCs w:val="24"/>
        </w:rPr>
        <w:t>18n1p129.</w:t>
      </w:r>
    </w:p>
    <w:p w14:paraId="1611B8C5"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lastRenderedPageBreak/>
        <w:t xml:space="preserve">LaVan, H., Cook, L.S. and Zilic, I. (2021) 'An analysis of the ethical frameworks and financial outcomes of corporate social responsibility and business press reporting of US pharmaceutical companies', </w:t>
      </w:r>
      <w:r w:rsidRPr="006C3E2A">
        <w:rPr>
          <w:rFonts w:ascii="Times New Roman" w:hAnsi="Times New Roman" w:cs="Times New Roman"/>
          <w:i/>
          <w:iCs/>
          <w:sz w:val="24"/>
          <w:szCs w:val="24"/>
        </w:rPr>
        <w:t>International Journal of Business Governance and Ethics</w:t>
      </w:r>
      <w:r w:rsidRPr="006C3E2A">
        <w:rPr>
          <w:rFonts w:ascii="Times New Roman" w:hAnsi="Times New Roman" w:cs="Times New Roman"/>
          <w:sz w:val="24"/>
          <w:szCs w:val="24"/>
        </w:rPr>
        <w:t xml:space="preserve">, 15(3), pp. 326-355.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10.1504/IJBGE.2021.117542.</w:t>
      </w:r>
    </w:p>
    <w:p w14:paraId="40EA1038"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Magnacca, F. and Giannetti, R. (2024) 'Management accounting and new product development: a systematic literature review and future research directions', </w:t>
      </w:r>
      <w:r w:rsidRPr="006C3E2A">
        <w:rPr>
          <w:rFonts w:ascii="Times New Roman" w:hAnsi="Times New Roman" w:cs="Times New Roman"/>
          <w:i/>
          <w:iCs/>
          <w:sz w:val="24"/>
          <w:szCs w:val="24"/>
        </w:rPr>
        <w:t>Journal of Management and Governance</w:t>
      </w:r>
      <w:r w:rsidRPr="006C3E2A">
        <w:rPr>
          <w:rFonts w:ascii="Times New Roman" w:hAnsi="Times New Roman" w:cs="Times New Roman"/>
          <w:sz w:val="24"/>
          <w:szCs w:val="24"/>
        </w:rPr>
        <w:t xml:space="preserve">, 28(2), pp. 651-685.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10.1007/s10997-022-09650-9.</w:t>
      </w:r>
    </w:p>
    <w:p w14:paraId="6E7D0617"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Nandy, M. (2022) 'Impact of R&amp;D activities on the financial performance: empirical evidence from Indian pharmaceutical companies', </w:t>
      </w:r>
      <w:r w:rsidRPr="006C3E2A">
        <w:rPr>
          <w:rFonts w:ascii="Times New Roman" w:hAnsi="Times New Roman" w:cs="Times New Roman"/>
          <w:i/>
          <w:iCs/>
          <w:sz w:val="24"/>
          <w:szCs w:val="24"/>
        </w:rPr>
        <w:t>International Journal of Pharmaceutical and Healthcare Marketing</w:t>
      </w:r>
      <w:r w:rsidRPr="006C3E2A">
        <w:rPr>
          <w:rFonts w:ascii="Times New Roman" w:hAnsi="Times New Roman" w:cs="Times New Roman"/>
          <w:sz w:val="24"/>
          <w:szCs w:val="24"/>
        </w:rPr>
        <w:t xml:space="preserve">, 16(2), pp. 182-203.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10.1108/IJPHM-08-2020-0067.</w:t>
      </w:r>
    </w:p>
    <w:p w14:paraId="4D5F80B6"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Pratley, N. (2021) 'Rebels are right that a £2m rise is pushing it – even for AstraZeneca's superstar', </w:t>
      </w:r>
      <w:r w:rsidRPr="006C3E2A">
        <w:rPr>
          <w:rFonts w:ascii="Times New Roman" w:hAnsi="Times New Roman" w:cs="Times New Roman"/>
          <w:i/>
          <w:iCs/>
          <w:sz w:val="24"/>
          <w:szCs w:val="24"/>
        </w:rPr>
        <w:t>The Guardian</w:t>
      </w:r>
      <w:r w:rsidRPr="006C3E2A">
        <w:rPr>
          <w:rFonts w:ascii="Times New Roman" w:hAnsi="Times New Roman" w:cs="Times New Roman"/>
          <w:sz w:val="24"/>
          <w:szCs w:val="24"/>
        </w:rPr>
        <w:t xml:space="preserve">, 11 May. Available at: </w:t>
      </w:r>
      <w:hyperlink r:id="rId15" w:history="1">
        <w:r w:rsidRPr="006C3E2A">
          <w:rPr>
            <w:rStyle w:val="Hyperlink"/>
            <w:rFonts w:ascii="Times New Roman" w:hAnsi="Times New Roman" w:cs="Times New Roman"/>
            <w:color w:val="auto"/>
            <w:sz w:val="24"/>
            <w:szCs w:val="24"/>
          </w:rPr>
          <w:t>https://www.theguardian.com/business/2021/may/11/rebels-are-right-that-a-2m-pay-cherry-is-pushing-it-even-for-astrazenecas-superstar</w:t>
        </w:r>
      </w:hyperlink>
      <w:r w:rsidRPr="006C3E2A">
        <w:rPr>
          <w:rFonts w:ascii="Times New Roman" w:hAnsi="Times New Roman" w:cs="Times New Roman"/>
          <w:sz w:val="24"/>
          <w:szCs w:val="24"/>
        </w:rPr>
        <w:t xml:space="preserve"> (Accessed: 11 December 2025).</w:t>
      </w:r>
    </w:p>
    <w:p w14:paraId="63D9B6BC" w14:textId="3895F909" w:rsidR="006B0B92" w:rsidRPr="006C3E2A" w:rsidRDefault="00FA2F73" w:rsidP="006C3E2A">
      <w:pPr>
        <w:spacing w:after="0" w:line="480" w:lineRule="auto"/>
        <w:ind w:left="720" w:hanging="720"/>
        <w:rPr>
          <w:rFonts w:ascii="Times New Roman" w:hAnsi="Times New Roman" w:cs="Times New Roman"/>
          <w:sz w:val="24"/>
          <w:szCs w:val="24"/>
        </w:rPr>
      </w:pPr>
      <w:proofErr w:type="spellStart"/>
      <w:r w:rsidRPr="00FA2F73">
        <w:rPr>
          <w:rFonts w:ascii="Times New Roman" w:hAnsi="Times New Roman" w:cs="Times New Roman"/>
          <w:sz w:val="24"/>
          <w:szCs w:val="24"/>
        </w:rPr>
        <w:t>Purnamasari</w:t>
      </w:r>
      <w:proofErr w:type="spellEnd"/>
      <w:r w:rsidRPr="00FA2F73">
        <w:rPr>
          <w:rFonts w:ascii="Times New Roman" w:hAnsi="Times New Roman" w:cs="Times New Roman"/>
          <w:sz w:val="24"/>
          <w:szCs w:val="24"/>
        </w:rPr>
        <w:t xml:space="preserve">, P. and </w:t>
      </w:r>
      <w:proofErr w:type="spellStart"/>
      <w:r w:rsidRPr="00FA2F73">
        <w:rPr>
          <w:rFonts w:ascii="Times New Roman" w:hAnsi="Times New Roman" w:cs="Times New Roman"/>
          <w:sz w:val="24"/>
          <w:szCs w:val="24"/>
        </w:rPr>
        <w:t>Adriza</w:t>
      </w:r>
      <w:proofErr w:type="spellEnd"/>
      <w:r w:rsidRPr="00FA2F73">
        <w:rPr>
          <w:rFonts w:ascii="Times New Roman" w:hAnsi="Times New Roman" w:cs="Times New Roman"/>
          <w:sz w:val="24"/>
          <w:szCs w:val="24"/>
        </w:rPr>
        <w:t>, 2024. Capital budgeting techniques and financial performance: a comparison between SMEs and large listed firms.</w:t>
      </w:r>
      <w:r>
        <w:rPr>
          <w:rFonts w:ascii="Times New Roman" w:hAnsi="Times New Roman" w:cs="Times New Roman"/>
          <w:sz w:val="24"/>
          <w:szCs w:val="24"/>
        </w:rPr>
        <w:t xml:space="preserve"> </w:t>
      </w:r>
      <w:r w:rsidRPr="00FA2F73">
        <w:rPr>
          <w:rFonts w:ascii="Times New Roman" w:hAnsi="Times New Roman" w:cs="Times New Roman"/>
          <w:i/>
          <w:iCs/>
          <w:sz w:val="24"/>
          <w:szCs w:val="24"/>
        </w:rPr>
        <w:t>Cogent Economics &amp; Finance</w:t>
      </w:r>
      <w:r w:rsidRPr="00FA2F73">
        <w:rPr>
          <w:rFonts w:ascii="Times New Roman" w:hAnsi="Times New Roman" w:cs="Times New Roman"/>
          <w:sz w:val="24"/>
          <w:szCs w:val="24"/>
        </w:rPr>
        <w:t>,</w:t>
      </w:r>
      <w:r>
        <w:rPr>
          <w:rFonts w:ascii="Times New Roman" w:hAnsi="Times New Roman" w:cs="Times New Roman"/>
          <w:sz w:val="24"/>
          <w:szCs w:val="24"/>
        </w:rPr>
        <w:t xml:space="preserve"> </w:t>
      </w:r>
      <w:r w:rsidRPr="00FA2F73">
        <w:rPr>
          <w:rFonts w:ascii="Times New Roman" w:hAnsi="Times New Roman" w:cs="Times New Roman"/>
          <w:i/>
          <w:iCs/>
          <w:sz w:val="24"/>
          <w:szCs w:val="24"/>
        </w:rPr>
        <w:t>12</w:t>
      </w:r>
      <w:r w:rsidRPr="00FA2F73">
        <w:rPr>
          <w:rFonts w:ascii="Times New Roman" w:hAnsi="Times New Roman" w:cs="Times New Roman"/>
          <w:sz w:val="24"/>
          <w:szCs w:val="24"/>
        </w:rPr>
        <w:t>(1), p.2404707.</w:t>
      </w:r>
      <w:r>
        <w:rPr>
          <w:rFonts w:ascii="Times New Roman" w:hAnsi="Times New Roman" w:cs="Times New Roman"/>
          <w:sz w:val="24"/>
          <w:szCs w:val="24"/>
        </w:rPr>
        <w:t xml:space="preserve"> </w:t>
      </w:r>
      <w:r w:rsidR="006B0B92" w:rsidRPr="006C3E2A">
        <w:rPr>
          <w:rFonts w:ascii="Times New Roman" w:hAnsi="Times New Roman" w:cs="Times New Roman"/>
          <w:sz w:val="24"/>
          <w:szCs w:val="24"/>
        </w:rPr>
        <w:t xml:space="preserve">1-18. </w:t>
      </w:r>
      <w:proofErr w:type="spellStart"/>
      <w:r w:rsidR="006B0B92" w:rsidRPr="006C3E2A">
        <w:rPr>
          <w:rFonts w:ascii="Times New Roman" w:hAnsi="Times New Roman" w:cs="Times New Roman"/>
          <w:sz w:val="24"/>
          <w:szCs w:val="24"/>
        </w:rPr>
        <w:t>doi</w:t>
      </w:r>
      <w:proofErr w:type="spellEnd"/>
      <w:r w:rsidR="006B0B92" w:rsidRPr="006C3E2A">
        <w:rPr>
          <w:rFonts w:ascii="Times New Roman" w:hAnsi="Times New Roman" w:cs="Times New Roman"/>
          <w:sz w:val="24"/>
          <w:szCs w:val="24"/>
        </w:rPr>
        <w:t>: 10.1080/23322039.2024.2404707.</w:t>
      </w:r>
    </w:p>
    <w:p w14:paraId="3244245D"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Simply Wall St (2025) 'AstraZeneca (</w:t>
      </w:r>
      <w:proofErr w:type="gramStart"/>
      <w:r w:rsidRPr="006C3E2A">
        <w:rPr>
          <w:rFonts w:ascii="Times New Roman" w:hAnsi="Times New Roman" w:cs="Times New Roman"/>
          <w:sz w:val="24"/>
          <w:szCs w:val="24"/>
        </w:rPr>
        <w:t>LSE:AZN</w:t>
      </w:r>
      <w:proofErr w:type="gramEnd"/>
      <w:r w:rsidRPr="006C3E2A">
        <w:rPr>
          <w:rFonts w:ascii="Times New Roman" w:hAnsi="Times New Roman" w:cs="Times New Roman"/>
          <w:sz w:val="24"/>
          <w:szCs w:val="24"/>
        </w:rPr>
        <w:t xml:space="preserve">): assessing valuation following recent share price pause', </w:t>
      </w:r>
      <w:r w:rsidRPr="006C3E2A">
        <w:rPr>
          <w:rFonts w:ascii="Times New Roman" w:hAnsi="Times New Roman" w:cs="Times New Roman"/>
          <w:i/>
          <w:iCs/>
          <w:sz w:val="24"/>
          <w:szCs w:val="24"/>
        </w:rPr>
        <w:t>Simply Wall St News</w:t>
      </w:r>
      <w:r w:rsidRPr="006C3E2A">
        <w:rPr>
          <w:rFonts w:ascii="Times New Roman" w:hAnsi="Times New Roman" w:cs="Times New Roman"/>
          <w:sz w:val="24"/>
          <w:szCs w:val="24"/>
        </w:rPr>
        <w:t xml:space="preserve">, 2 December. Available at: </w:t>
      </w:r>
      <w:hyperlink r:id="rId16" w:history="1">
        <w:r w:rsidRPr="006C3E2A">
          <w:rPr>
            <w:rStyle w:val="Hyperlink"/>
            <w:rFonts w:ascii="Times New Roman" w:hAnsi="Times New Roman" w:cs="Times New Roman"/>
            <w:color w:val="auto"/>
            <w:sz w:val="24"/>
            <w:szCs w:val="24"/>
          </w:rPr>
          <w:t>https://simplywall.st/stocks/gb/pharmaceuticals-biotech/lse-azn/astrazeneca-shares/news/astrazeneca-lseazn-assessing-valuation-following-recent-shar</w:t>
        </w:r>
      </w:hyperlink>
      <w:r w:rsidRPr="006C3E2A">
        <w:rPr>
          <w:rFonts w:ascii="Times New Roman" w:hAnsi="Times New Roman" w:cs="Times New Roman"/>
          <w:sz w:val="24"/>
          <w:szCs w:val="24"/>
        </w:rPr>
        <w:t xml:space="preserve"> (Accessed: 11 December 2025).</w:t>
      </w:r>
    </w:p>
    <w:p w14:paraId="7B33C3FF" w14:textId="77777777" w:rsidR="006B0B92" w:rsidRPr="006C3E2A" w:rsidRDefault="006B0B92" w:rsidP="006C3E2A">
      <w:pPr>
        <w:spacing w:after="0" w:line="480" w:lineRule="auto"/>
        <w:ind w:left="720" w:hanging="720"/>
        <w:rPr>
          <w:rFonts w:ascii="Times New Roman" w:hAnsi="Times New Roman" w:cs="Times New Roman"/>
          <w:sz w:val="24"/>
          <w:szCs w:val="24"/>
        </w:rPr>
      </w:pPr>
      <w:proofErr w:type="spellStart"/>
      <w:r w:rsidRPr="006C3E2A">
        <w:rPr>
          <w:rFonts w:ascii="Times New Roman" w:hAnsi="Times New Roman" w:cs="Times New Roman"/>
          <w:sz w:val="24"/>
          <w:szCs w:val="24"/>
        </w:rPr>
        <w:t>Sipelyte</w:t>
      </w:r>
      <w:proofErr w:type="spellEnd"/>
      <w:r w:rsidRPr="006C3E2A">
        <w:rPr>
          <w:rFonts w:ascii="Times New Roman" w:hAnsi="Times New Roman" w:cs="Times New Roman"/>
          <w:sz w:val="24"/>
          <w:szCs w:val="24"/>
        </w:rPr>
        <w:t xml:space="preserve">, R. and Metaxa, A.M. (2025) 'Identification and predictive analysis of revenue determinants in the pharma industry: a longitudinal analysis of financial, regulatory </w:t>
      </w:r>
      <w:r w:rsidRPr="006C3E2A">
        <w:rPr>
          <w:rFonts w:ascii="Times New Roman" w:hAnsi="Times New Roman" w:cs="Times New Roman"/>
          <w:sz w:val="24"/>
          <w:szCs w:val="24"/>
        </w:rPr>
        <w:lastRenderedPageBreak/>
        <w:t xml:space="preserve">and pipeline data', </w:t>
      </w:r>
      <w:r w:rsidRPr="006C3E2A">
        <w:rPr>
          <w:rFonts w:ascii="Times New Roman" w:hAnsi="Times New Roman" w:cs="Times New Roman"/>
          <w:i/>
          <w:iCs/>
          <w:sz w:val="24"/>
          <w:szCs w:val="24"/>
        </w:rPr>
        <w:t>Journal of Pharmaceutical Innovation</w:t>
      </w:r>
      <w:r w:rsidRPr="006C3E2A">
        <w:rPr>
          <w:rFonts w:ascii="Times New Roman" w:hAnsi="Times New Roman" w:cs="Times New Roman"/>
          <w:sz w:val="24"/>
          <w:szCs w:val="24"/>
        </w:rPr>
        <w:t xml:space="preserve">, 20(64).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10.1007/s12247-025-09975-6.</w:t>
      </w:r>
    </w:p>
    <w:p w14:paraId="0BF30108"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Wan, D., Yang, Y. and Kong, Y. (2025) 'Research on the relationship between R&amp;D investment, corporate governance and corporate performance: an empirical analysis based on listed pharmaceutical manufacturing enterprises', </w:t>
      </w:r>
      <w:r w:rsidRPr="006C3E2A">
        <w:rPr>
          <w:rFonts w:ascii="Times New Roman" w:hAnsi="Times New Roman" w:cs="Times New Roman"/>
          <w:i/>
          <w:iCs/>
          <w:sz w:val="24"/>
          <w:szCs w:val="24"/>
        </w:rPr>
        <w:t>International Review of Economics and Finance</w:t>
      </w:r>
      <w:r w:rsidRPr="006C3E2A">
        <w:rPr>
          <w:rFonts w:ascii="Times New Roman" w:hAnsi="Times New Roman" w:cs="Times New Roman"/>
          <w:sz w:val="24"/>
          <w:szCs w:val="24"/>
        </w:rPr>
        <w:t xml:space="preserve">, 102, 104369.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10.1016/j.iref.2025.104369.</w:t>
      </w:r>
    </w:p>
    <w:p w14:paraId="047B38E5" w14:textId="043EC0C4" w:rsidR="006B0B92" w:rsidRPr="006C3E2A" w:rsidRDefault="00FA2F73" w:rsidP="006C3E2A">
      <w:pPr>
        <w:spacing w:after="0" w:line="480" w:lineRule="auto"/>
        <w:ind w:left="720" w:hanging="720"/>
        <w:rPr>
          <w:rFonts w:ascii="Times New Roman" w:hAnsi="Times New Roman" w:cs="Times New Roman"/>
          <w:sz w:val="24"/>
          <w:szCs w:val="24"/>
        </w:rPr>
      </w:pPr>
      <w:r w:rsidRPr="00FA2F73">
        <w:rPr>
          <w:rFonts w:ascii="Times New Roman" w:hAnsi="Times New Roman" w:cs="Times New Roman"/>
          <w:sz w:val="24"/>
          <w:szCs w:val="24"/>
        </w:rPr>
        <w:t xml:space="preserve">Wangchuk, P., 2022. Application of </w:t>
      </w:r>
      <w:r w:rsidR="00F85E7A">
        <w:rPr>
          <w:rFonts w:ascii="Times New Roman" w:hAnsi="Times New Roman" w:cs="Times New Roman"/>
          <w:sz w:val="24"/>
          <w:szCs w:val="24"/>
        </w:rPr>
        <w:t>depreciation,</w:t>
      </w:r>
      <w:r w:rsidRPr="00FA2F73">
        <w:rPr>
          <w:rFonts w:ascii="Times New Roman" w:hAnsi="Times New Roman" w:cs="Times New Roman"/>
          <w:sz w:val="24"/>
          <w:szCs w:val="24"/>
        </w:rPr>
        <w:t xml:space="preserve"> net present value and internal rate of return in engineering </w:t>
      </w:r>
      <w:r w:rsidR="00F85E7A">
        <w:rPr>
          <w:rFonts w:ascii="Times New Roman" w:hAnsi="Times New Roman" w:cs="Times New Roman"/>
          <w:sz w:val="24"/>
          <w:szCs w:val="24"/>
        </w:rPr>
        <w:t>projects:</w:t>
      </w:r>
      <w:r w:rsidRPr="00FA2F73">
        <w:rPr>
          <w:rFonts w:ascii="Times New Roman" w:hAnsi="Times New Roman" w:cs="Times New Roman"/>
          <w:sz w:val="24"/>
          <w:szCs w:val="24"/>
        </w:rPr>
        <w:t xml:space="preserve"> a brief literature review.</w:t>
      </w:r>
      <w:r>
        <w:rPr>
          <w:rFonts w:ascii="Times New Roman" w:hAnsi="Times New Roman" w:cs="Times New Roman"/>
          <w:sz w:val="24"/>
          <w:szCs w:val="24"/>
        </w:rPr>
        <w:t xml:space="preserve"> </w:t>
      </w:r>
      <w:r w:rsidRPr="00FA2F73">
        <w:rPr>
          <w:rFonts w:ascii="Times New Roman" w:hAnsi="Times New Roman" w:cs="Times New Roman"/>
          <w:i/>
          <w:iCs/>
          <w:sz w:val="24"/>
          <w:szCs w:val="24"/>
        </w:rPr>
        <w:t>Journal of Applied Engineering, Technology and Management</w:t>
      </w:r>
      <w:r w:rsidRPr="00FA2F73">
        <w:rPr>
          <w:rFonts w:ascii="Times New Roman" w:hAnsi="Times New Roman" w:cs="Times New Roman"/>
          <w:sz w:val="24"/>
          <w:szCs w:val="24"/>
        </w:rPr>
        <w:t>,</w:t>
      </w:r>
      <w:r>
        <w:rPr>
          <w:rFonts w:ascii="Times New Roman" w:hAnsi="Times New Roman" w:cs="Times New Roman"/>
          <w:sz w:val="24"/>
          <w:szCs w:val="24"/>
        </w:rPr>
        <w:t xml:space="preserve"> </w:t>
      </w:r>
      <w:r w:rsidRPr="00FA2F73">
        <w:rPr>
          <w:rFonts w:ascii="Times New Roman" w:hAnsi="Times New Roman" w:cs="Times New Roman"/>
          <w:i/>
          <w:iCs/>
          <w:sz w:val="24"/>
          <w:szCs w:val="24"/>
        </w:rPr>
        <w:t>2</w:t>
      </w:r>
      <w:r w:rsidRPr="00FA2F73">
        <w:rPr>
          <w:rFonts w:ascii="Times New Roman" w:hAnsi="Times New Roman" w:cs="Times New Roman"/>
          <w:sz w:val="24"/>
          <w:szCs w:val="24"/>
        </w:rPr>
        <w:t xml:space="preserve">(1), </w:t>
      </w:r>
      <w:r w:rsidR="00F85E7A">
        <w:rPr>
          <w:rFonts w:ascii="Times New Roman" w:hAnsi="Times New Roman" w:cs="Times New Roman"/>
          <w:sz w:val="24"/>
          <w:szCs w:val="24"/>
        </w:rPr>
        <w:t xml:space="preserve">pp. 25-30. </w:t>
      </w:r>
      <w:proofErr w:type="spellStart"/>
      <w:r w:rsidR="006B0B92" w:rsidRPr="006C3E2A">
        <w:rPr>
          <w:rFonts w:ascii="Times New Roman" w:hAnsi="Times New Roman" w:cs="Times New Roman"/>
          <w:sz w:val="24"/>
          <w:szCs w:val="24"/>
        </w:rPr>
        <w:t>doi</w:t>
      </w:r>
      <w:proofErr w:type="spellEnd"/>
      <w:r w:rsidR="006B0B92" w:rsidRPr="006C3E2A">
        <w:rPr>
          <w:rFonts w:ascii="Times New Roman" w:hAnsi="Times New Roman" w:cs="Times New Roman"/>
          <w:sz w:val="24"/>
          <w:szCs w:val="24"/>
        </w:rPr>
        <w:t>: 10.54417/</w:t>
      </w:r>
      <w:proofErr w:type="gramStart"/>
      <w:r w:rsidR="006B0B92" w:rsidRPr="006C3E2A">
        <w:rPr>
          <w:rFonts w:ascii="Times New Roman" w:hAnsi="Times New Roman" w:cs="Times New Roman"/>
          <w:sz w:val="24"/>
          <w:szCs w:val="24"/>
        </w:rPr>
        <w:t>jaetm.v</w:t>
      </w:r>
      <w:proofErr w:type="gramEnd"/>
      <w:r w:rsidR="006B0B92" w:rsidRPr="006C3E2A">
        <w:rPr>
          <w:rFonts w:ascii="Times New Roman" w:hAnsi="Times New Roman" w:cs="Times New Roman"/>
          <w:sz w:val="24"/>
          <w:szCs w:val="24"/>
        </w:rPr>
        <w:t>2i1.55.</w:t>
      </w:r>
    </w:p>
    <w:p w14:paraId="06426A62" w14:textId="77777777" w:rsidR="006B0B92" w:rsidRPr="006C3E2A" w:rsidRDefault="006B0B92" w:rsidP="006C3E2A">
      <w:pPr>
        <w:spacing w:after="0" w:line="480" w:lineRule="auto"/>
        <w:ind w:left="720" w:hanging="720"/>
        <w:rPr>
          <w:rFonts w:ascii="Times New Roman" w:hAnsi="Times New Roman" w:cs="Times New Roman"/>
          <w:sz w:val="24"/>
          <w:szCs w:val="24"/>
        </w:rPr>
      </w:pPr>
      <w:r w:rsidRPr="006C3E2A">
        <w:rPr>
          <w:rFonts w:ascii="Times New Roman" w:hAnsi="Times New Roman" w:cs="Times New Roman"/>
          <w:sz w:val="24"/>
          <w:szCs w:val="24"/>
        </w:rPr>
        <w:t xml:space="preserve">Yousef, I., </w:t>
      </w:r>
      <w:proofErr w:type="spellStart"/>
      <w:r w:rsidRPr="006C3E2A">
        <w:rPr>
          <w:rFonts w:ascii="Times New Roman" w:hAnsi="Times New Roman" w:cs="Times New Roman"/>
          <w:sz w:val="24"/>
          <w:szCs w:val="24"/>
        </w:rPr>
        <w:t>Zighan</w:t>
      </w:r>
      <w:proofErr w:type="spellEnd"/>
      <w:r w:rsidRPr="006C3E2A">
        <w:rPr>
          <w:rFonts w:ascii="Times New Roman" w:hAnsi="Times New Roman" w:cs="Times New Roman"/>
          <w:sz w:val="24"/>
          <w:szCs w:val="24"/>
        </w:rPr>
        <w:t xml:space="preserve">, S., </w:t>
      </w:r>
      <w:proofErr w:type="spellStart"/>
      <w:r w:rsidRPr="006C3E2A">
        <w:rPr>
          <w:rFonts w:ascii="Times New Roman" w:hAnsi="Times New Roman" w:cs="Times New Roman"/>
          <w:sz w:val="24"/>
          <w:szCs w:val="24"/>
        </w:rPr>
        <w:t>Hussainey</w:t>
      </w:r>
      <w:proofErr w:type="spellEnd"/>
      <w:r w:rsidRPr="006C3E2A">
        <w:rPr>
          <w:rFonts w:ascii="Times New Roman" w:hAnsi="Times New Roman" w:cs="Times New Roman"/>
          <w:sz w:val="24"/>
          <w:szCs w:val="24"/>
        </w:rPr>
        <w:t xml:space="preserve">, K. and </w:t>
      </w:r>
      <w:proofErr w:type="spellStart"/>
      <w:r w:rsidRPr="006C3E2A">
        <w:rPr>
          <w:rFonts w:ascii="Times New Roman" w:hAnsi="Times New Roman" w:cs="Times New Roman"/>
          <w:sz w:val="24"/>
          <w:szCs w:val="24"/>
        </w:rPr>
        <w:t>Hassanian</w:t>
      </w:r>
      <w:proofErr w:type="spellEnd"/>
      <w:r w:rsidRPr="006C3E2A">
        <w:rPr>
          <w:rFonts w:ascii="Times New Roman" w:hAnsi="Times New Roman" w:cs="Times New Roman"/>
          <w:sz w:val="24"/>
          <w:szCs w:val="24"/>
        </w:rPr>
        <w:t xml:space="preserve">, A. (2025) 'The role of foreign directors in shaping corporate dividend policies in emerging markets: an empirical application of modified Kanter's framework', </w:t>
      </w:r>
      <w:r w:rsidRPr="006C3E2A">
        <w:rPr>
          <w:rFonts w:ascii="Times New Roman" w:hAnsi="Times New Roman" w:cs="Times New Roman"/>
          <w:i/>
          <w:iCs/>
          <w:sz w:val="24"/>
          <w:szCs w:val="24"/>
        </w:rPr>
        <w:t>Journal of Applied Accounting Research</w:t>
      </w:r>
      <w:r w:rsidRPr="006C3E2A">
        <w:rPr>
          <w:rFonts w:ascii="Times New Roman" w:hAnsi="Times New Roman" w:cs="Times New Roman"/>
          <w:sz w:val="24"/>
          <w:szCs w:val="24"/>
        </w:rPr>
        <w:t xml:space="preserve">. Advance online publication. </w:t>
      </w:r>
      <w:proofErr w:type="spellStart"/>
      <w:r w:rsidRPr="006C3E2A">
        <w:rPr>
          <w:rFonts w:ascii="Times New Roman" w:hAnsi="Times New Roman" w:cs="Times New Roman"/>
          <w:sz w:val="24"/>
          <w:szCs w:val="24"/>
        </w:rPr>
        <w:t>doi</w:t>
      </w:r>
      <w:proofErr w:type="spellEnd"/>
      <w:r w:rsidRPr="006C3E2A">
        <w:rPr>
          <w:rFonts w:ascii="Times New Roman" w:hAnsi="Times New Roman" w:cs="Times New Roman"/>
          <w:sz w:val="24"/>
          <w:szCs w:val="24"/>
        </w:rPr>
        <w:t>: 10.1108/JAAR-02-2024-0064.</w:t>
      </w:r>
    </w:p>
    <w:p w14:paraId="10345EF1" w14:textId="77777777" w:rsidR="00E16E1F" w:rsidRPr="006C3E2A" w:rsidRDefault="00E16E1F" w:rsidP="006C3E2A">
      <w:pPr>
        <w:spacing w:after="0" w:line="480" w:lineRule="auto"/>
        <w:rPr>
          <w:rFonts w:ascii="Times New Roman" w:eastAsiaTheme="majorEastAsia" w:hAnsi="Times New Roman" w:cs="Times New Roman"/>
          <w:sz w:val="24"/>
          <w:szCs w:val="24"/>
        </w:rPr>
      </w:pPr>
      <w:r w:rsidRPr="006C3E2A">
        <w:rPr>
          <w:rFonts w:ascii="Times New Roman" w:hAnsi="Times New Roman" w:cs="Times New Roman"/>
          <w:sz w:val="24"/>
          <w:szCs w:val="24"/>
        </w:rPr>
        <w:br w:type="page"/>
      </w:r>
    </w:p>
    <w:p w14:paraId="1F4145EA" w14:textId="63535D6F" w:rsidR="00CF0E48" w:rsidRPr="006C3E2A" w:rsidRDefault="00CF0E48" w:rsidP="006C3E2A">
      <w:pPr>
        <w:pStyle w:val="Heading1"/>
        <w:spacing w:before="0" w:line="480" w:lineRule="auto"/>
        <w:jc w:val="center"/>
        <w:rPr>
          <w:rFonts w:ascii="Times New Roman" w:hAnsi="Times New Roman" w:cs="Times New Roman"/>
          <w:color w:val="auto"/>
          <w:sz w:val="24"/>
          <w:szCs w:val="24"/>
        </w:rPr>
      </w:pPr>
      <w:bookmarkStart w:id="16" w:name="_Toc219034122"/>
      <w:r w:rsidRPr="006C3E2A">
        <w:rPr>
          <w:rFonts w:ascii="Times New Roman" w:hAnsi="Times New Roman" w:cs="Times New Roman"/>
          <w:color w:val="auto"/>
          <w:sz w:val="24"/>
          <w:szCs w:val="24"/>
        </w:rPr>
        <w:lastRenderedPageBreak/>
        <w:t>Appendix</w:t>
      </w:r>
      <w:bookmarkEnd w:id="16"/>
    </w:p>
    <w:p w14:paraId="35E7D23E" w14:textId="22BCE6F6" w:rsidR="008F7FF7" w:rsidRPr="006C3E2A" w:rsidRDefault="008F7FF7" w:rsidP="006C3E2A">
      <w:pPr>
        <w:pStyle w:val="Heading2"/>
        <w:spacing w:before="0" w:line="480" w:lineRule="auto"/>
        <w:rPr>
          <w:rFonts w:ascii="Times New Roman" w:hAnsi="Times New Roman" w:cs="Times New Roman"/>
          <w:b/>
          <w:bCs/>
          <w:sz w:val="24"/>
          <w:szCs w:val="24"/>
        </w:rPr>
      </w:pPr>
      <w:bookmarkStart w:id="17" w:name="_Toc219034123"/>
      <w:r w:rsidRPr="006C3E2A">
        <w:rPr>
          <w:rFonts w:ascii="Times New Roman" w:hAnsi="Times New Roman" w:cs="Times New Roman"/>
          <w:b/>
          <w:bCs/>
          <w:sz w:val="24"/>
          <w:szCs w:val="24"/>
        </w:rPr>
        <w:t>Appendix A AstraZeneca Financials</w:t>
      </w:r>
      <w:bookmarkEnd w:id="17"/>
    </w:p>
    <w:p w14:paraId="0F8C4374" w14:textId="215F3860" w:rsidR="008F7FF7" w:rsidRPr="006C3E2A" w:rsidRDefault="008F7FF7" w:rsidP="006C3E2A">
      <w:pPr>
        <w:spacing w:after="0" w:line="480" w:lineRule="auto"/>
        <w:rPr>
          <w:rFonts w:ascii="Times New Roman" w:hAnsi="Times New Roman" w:cs="Times New Roman"/>
          <w:sz w:val="24"/>
          <w:szCs w:val="24"/>
        </w:rPr>
      </w:pPr>
      <w:r w:rsidRPr="006C3E2A">
        <w:rPr>
          <w:rFonts w:ascii="Times New Roman" w:hAnsi="Times New Roman" w:cs="Times New Roman"/>
          <w:noProof/>
          <w:sz w:val="24"/>
          <w:szCs w:val="24"/>
        </w:rPr>
        <w:drawing>
          <wp:inline distT="0" distB="0" distL="0" distR="0" wp14:anchorId="5D026C40" wp14:editId="31A2E4F2">
            <wp:extent cx="5731510" cy="5814060"/>
            <wp:effectExtent l="0" t="0" r="2540" b="0"/>
            <wp:docPr id="100802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25328" name=""/>
                    <pic:cNvPicPr/>
                  </pic:nvPicPr>
                  <pic:blipFill>
                    <a:blip r:embed="rId17"/>
                    <a:stretch>
                      <a:fillRect/>
                    </a:stretch>
                  </pic:blipFill>
                  <pic:spPr>
                    <a:xfrm>
                      <a:off x="0" y="0"/>
                      <a:ext cx="5731510" cy="5814060"/>
                    </a:xfrm>
                    <a:prstGeom prst="rect">
                      <a:avLst/>
                    </a:prstGeom>
                  </pic:spPr>
                </pic:pic>
              </a:graphicData>
            </a:graphic>
          </wp:inline>
        </w:drawing>
      </w:r>
    </w:p>
    <w:p w14:paraId="1C7A16F2" w14:textId="7CFAF76A" w:rsidR="008F7FF7" w:rsidRPr="006C3E2A" w:rsidRDefault="008F7FF7" w:rsidP="006C3E2A">
      <w:pPr>
        <w:spacing w:after="0" w:line="480" w:lineRule="auto"/>
        <w:rPr>
          <w:rFonts w:ascii="Times New Roman" w:hAnsi="Times New Roman" w:cs="Times New Roman"/>
          <w:sz w:val="24"/>
          <w:szCs w:val="24"/>
        </w:rPr>
      </w:pPr>
      <w:r w:rsidRPr="006C3E2A">
        <w:rPr>
          <w:rFonts w:ascii="Times New Roman" w:hAnsi="Times New Roman" w:cs="Times New Roman"/>
          <w:noProof/>
          <w:sz w:val="24"/>
          <w:szCs w:val="24"/>
        </w:rPr>
        <w:lastRenderedPageBreak/>
        <w:drawing>
          <wp:inline distT="0" distB="0" distL="0" distR="0" wp14:anchorId="42F2AB6C" wp14:editId="1665F50C">
            <wp:extent cx="5731510" cy="6870700"/>
            <wp:effectExtent l="0" t="0" r="2540" b="6350"/>
            <wp:docPr id="2130241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241672" name=""/>
                    <pic:cNvPicPr/>
                  </pic:nvPicPr>
                  <pic:blipFill>
                    <a:blip r:embed="rId18"/>
                    <a:stretch>
                      <a:fillRect/>
                    </a:stretch>
                  </pic:blipFill>
                  <pic:spPr>
                    <a:xfrm>
                      <a:off x="0" y="0"/>
                      <a:ext cx="5731510" cy="6870700"/>
                    </a:xfrm>
                    <a:prstGeom prst="rect">
                      <a:avLst/>
                    </a:prstGeom>
                  </pic:spPr>
                </pic:pic>
              </a:graphicData>
            </a:graphic>
          </wp:inline>
        </w:drawing>
      </w:r>
    </w:p>
    <w:p w14:paraId="3FAEE718" w14:textId="6B8668F4" w:rsidR="008F7FF7" w:rsidRPr="006C3E2A" w:rsidRDefault="008F7FF7" w:rsidP="006C3E2A">
      <w:pPr>
        <w:spacing w:after="0" w:line="480" w:lineRule="auto"/>
        <w:rPr>
          <w:rFonts w:ascii="Times New Roman" w:hAnsi="Times New Roman" w:cs="Times New Roman"/>
          <w:sz w:val="24"/>
          <w:szCs w:val="24"/>
        </w:rPr>
      </w:pPr>
      <w:r w:rsidRPr="006C3E2A">
        <w:rPr>
          <w:rFonts w:ascii="Times New Roman" w:hAnsi="Times New Roman" w:cs="Times New Roman"/>
          <w:noProof/>
          <w:sz w:val="24"/>
          <w:szCs w:val="24"/>
        </w:rPr>
        <w:lastRenderedPageBreak/>
        <w:drawing>
          <wp:inline distT="0" distB="0" distL="0" distR="0" wp14:anchorId="1E7544C4" wp14:editId="33A3815D">
            <wp:extent cx="5731510" cy="6576060"/>
            <wp:effectExtent l="0" t="0" r="2540" b="0"/>
            <wp:docPr id="501950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950226" name=""/>
                    <pic:cNvPicPr/>
                  </pic:nvPicPr>
                  <pic:blipFill>
                    <a:blip r:embed="rId19"/>
                    <a:stretch>
                      <a:fillRect/>
                    </a:stretch>
                  </pic:blipFill>
                  <pic:spPr>
                    <a:xfrm>
                      <a:off x="0" y="0"/>
                      <a:ext cx="5731510" cy="6576060"/>
                    </a:xfrm>
                    <a:prstGeom prst="rect">
                      <a:avLst/>
                    </a:prstGeom>
                  </pic:spPr>
                </pic:pic>
              </a:graphicData>
            </a:graphic>
          </wp:inline>
        </w:drawing>
      </w:r>
    </w:p>
    <w:p w14:paraId="2B318BEE" w14:textId="77777777" w:rsidR="008F7FF7" w:rsidRPr="006C3E2A" w:rsidRDefault="008F7FF7" w:rsidP="006C3E2A">
      <w:pPr>
        <w:spacing w:after="0" w:line="480" w:lineRule="auto"/>
        <w:rPr>
          <w:rFonts w:ascii="Times New Roman" w:eastAsiaTheme="majorEastAsia" w:hAnsi="Times New Roman" w:cs="Times New Roman"/>
          <w:b/>
          <w:bCs/>
          <w:color w:val="2E74B5" w:themeColor="accent1" w:themeShade="BF"/>
          <w:sz w:val="24"/>
          <w:szCs w:val="24"/>
        </w:rPr>
      </w:pPr>
      <w:r w:rsidRPr="006C3E2A">
        <w:rPr>
          <w:rFonts w:ascii="Times New Roman" w:hAnsi="Times New Roman" w:cs="Times New Roman"/>
          <w:b/>
          <w:bCs/>
          <w:sz w:val="24"/>
          <w:szCs w:val="24"/>
        </w:rPr>
        <w:br w:type="page"/>
      </w:r>
    </w:p>
    <w:p w14:paraId="2E9E8B47" w14:textId="202449D7" w:rsidR="008F7FF7" w:rsidRPr="006C3E2A" w:rsidRDefault="008F7FF7" w:rsidP="006C3E2A">
      <w:pPr>
        <w:pStyle w:val="Heading2"/>
        <w:spacing w:before="0" w:line="480" w:lineRule="auto"/>
        <w:rPr>
          <w:rFonts w:ascii="Times New Roman" w:hAnsi="Times New Roman" w:cs="Times New Roman"/>
          <w:b/>
          <w:bCs/>
          <w:sz w:val="24"/>
          <w:szCs w:val="24"/>
        </w:rPr>
      </w:pPr>
      <w:bookmarkStart w:id="18" w:name="_Toc219034124"/>
      <w:r w:rsidRPr="006C3E2A">
        <w:rPr>
          <w:rFonts w:ascii="Times New Roman" w:hAnsi="Times New Roman" w:cs="Times New Roman"/>
          <w:b/>
          <w:bCs/>
          <w:sz w:val="24"/>
          <w:szCs w:val="24"/>
        </w:rPr>
        <w:lastRenderedPageBreak/>
        <w:t>Appendix B: Ratio Calculations</w:t>
      </w:r>
      <w:bookmarkEnd w:id="18"/>
    </w:p>
    <w:p w14:paraId="7AF684B5"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 Gross Profit Margin</w:t>
      </w:r>
    </w:p>
    <w:p w14:paraId="5E4DFCB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(Gross Profit / Revenue) × 100</w:t>
      </w:r>
    </w:p>
    <w:p w14:paraId="70E557D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2967BF0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(43,866 / 54,073) × 100</w:t>
      </w:r>
    </w:p>
    <w:p w14:paraId="0C17526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0.8112 × 100</w:t>
      </w:r>
    </w:p>
    <w:p w14:paraId="75C1B08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81.12%</w:t>
      </w:r>
    </w:p>
    <w:p w14:paraId="229E2D3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29389E4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(37,547 / 45,814) × 100</w:t>
      </w:r>
    </w:p>
    <w:p w14:paraId="7C1CA55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0.8195 × 100</w:t>
      </w:r>
    </w:p>
    <w:p w14:paraId="7200DAF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81.95%</w:t>
      </w:r>
    </w:p>
    <w:p w14:paraId="25DE260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-0.83 percentage points</w:t>
      </w:r>
    </w:p>
    <w:p w14:paraId="5664C536"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2. Operating Profit Margin</w:t>
      </w:r>
    </w:p>
    <w:p w14:paraId="72EE821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(Operating Profit / Revenue) × 100</w:t>
      </w:r>
    </w:p>
    <w:p w14:paraId="430134D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20544A5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(10,003 / 54,073) × 100 = 0.1850 × 100</w:t>
      </w:r>
    </w:p>
    <w:p w14:paraId="5CB57EB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18.50%</w:t>
      </w:r>
    </w:p>
    <w:p w14:paraId="39CC184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65CBA8F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(8,192 / 45,814) × 100 = 0.1788 × 100</w:t>
      </w:r>
    </w:p>
    <w:p w14:paraId="511EEC4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17.88%</w:t>
      </w:r>
    </w:p>
    <w:p w14:paraId="2A5ADE4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+0.62 percentage points</w:t>
      </w:r>
    </w:p>
    <w:p w14:paraId="7B0ECB2B"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3. Net Profit Margin</w:t>
      </w:r>
    </w:p>
    <w:p w14:paraId="01952E5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(Net Profit / Revenue) × 100</w:t>
      </w:r>
    </w:p>
    <w:p w14:paraId="532004B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E62C2E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(7,034 / 54,073) × 100 = 0.1301 × 100</w:t>
      </w:r>
    </w:p>
    <w:p w14:paraId="7DDB904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 13.01%</w:t>
      </w:r>
    </w:p>
    <w:p w14:paraId="6B3AB96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46E7748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(5,955 / 45,814) × 100 = 0.1300 × 100</w:t>
      </w:r>
    </w:p>
    <w:p w14:paraId="386DCC8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13.00%</w:t>
      </w:r>
    </w:p>
    <w:p w14:paraId="674C82C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+0.01 percentage points</w:t>
      </w:r>
    </w:p>
    <w:p w14:paraId="7D41F26B"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4. Return on Capital Employed (ROCE)</w:t>
      </w:r>
    </w:p>
    <w:p w14:paraId="65FDE2D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(EBIT / Capital Employed) × 100</w:t>
      </w:r>
    </w:p>
    <w:p w14:paraId="57F32DC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Capital Employed = Total Assets - Current Liabilities</w:t>
      </w:r>
    </w:p>
    <w:p w14:paraId="27306B4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78FAAC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Capital Employed = 101,768 - 27,618 = £74,150 million</w:t>
      </w:r>
    </w:p>
    <w:p w14:paraId="2D96778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ROCE = (10,003 / 76,173) × 100 = 0.1313 × 100</w:t>
      </w:r>
    </w:p>
    <w:p w14:paraId="0074E9A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13.13%</w:t>
      </w:r>
    </w:p>
    <w:p w14:paraId="2033D96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0027E6F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Capital Employed = 98,052 - 28,629 = £69,423 million</w:t>
      </w:r>
    </w:p>
    <w:p w14:paraId="15D4469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ROCE = (8,192 / 70,572) × 100 = 0.1161 × 100</w:t>
      </w:r>
    </w:p>
    <w:p w14:paraId="0BA5018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11.61%</w:t>
      </w:r>
    </w:p>
    <w:p w14:paraId="5438B9D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+1.52 percentage points</w:t>
      </w:r>
    </w:p>
    <w:p w14:paraId="1F3DF897"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5. Return on Equity (ROE)</w:t>
      </w:r>
    </w:p>
    <w:p w14:paraId="277682D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(Net Profit / Total Equity) × 100</w:t>
      </w:r>
    </w:p>
    <w:p w14:paraId="088523C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76B973C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(7,034 / 40,872) × 100 = 0.1721 × 100</w:t>
      </w:r>
    </w:p>
    <w:p w14:paraId="439CBE1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17.21%</w:t>
      </w:r>
    </w:p>
    <w:p w14:paraId="6F3555C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6C2913A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(5,955 / 39,165) × 100 = 0.1520 × 100</w:t>
      </w:r>
    </w:p>
    <w:p w14:paraId="7EE2DB0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15.20%</w:t>
      </w:r>
    </w:p>
    <w:p w14:paraId="5FF9B02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 xml:space="preserve">Change: </w:t>
      </w:r>
      <w:r w:rsidRPr="006C3E2A">
        <w:rPr>
          <w:rFonts w:ascii="Times New Roman" w:hAnsi="Times New Roman" w:cs="Times New Roman"/>
          <w:sz w:val="24"/>
          <w:szCs w:val="24"/>
        </w:rPr>
        <w:t>+2.01 percentage points</w:t>
      </w:r>
    </w:p>
    <w:p w14:paraId="12203AF9" w14:textId="3DB7E2F4"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C. Liquidity Ratio Calculations</w:t>
      </w:r>
    </w:p>
    <w:p w14:paraId="79831F5F"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6. Current Ratio</w:t>
      </w:r>
    </w:p>
    <w:p w14:paraId="3657733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Current Assets / Current Liabilities</w:t>
      </w:r>
    </w:p>
    <w:p w14:paraId="53EB56C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66BDAD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25,612 / 27,618</w:t>
      </w:r>
    </w:p>
    <w:p w14:paraId="72B6604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0.93:1</w:t>
      </w:r>
    </w:p>
    <w:p w14:paraId="5999B57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78D3F00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23,456 / 28,629</w:t>
      </w:r>
    </w:p>
    <w:p w14:paraId="75ACD75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0.82:1</w:t>
      </w:r>
    </w:p>
    <w:p w14:paraId="02CD526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+0.11 improvement</w:t>
      </w:r>
    </w:p>
    <w:p w14:paraId="19DF5618"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7. Quick Ratio (Acid Test)</w:t>
      </w:r>
    </w:p>
    <w:p w14:paraId="27F6A94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(Current Assets - Inventory) / Current Liabilities</w:t>
      </w:r>
    </w:p>
    <w:p w14:paraId="3CC9732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1754190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(25,612 - 5,488) / 27,618 = 20,124 / 27,618</w:t>
      </w:r>
    </w:p>
    <w:p w14:paraId="1051FF2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0.73:1 (rounded to 0.74:1)</w:t>
      </w:r>
    </w:p>
    <w:p w14:paraId="34B68FE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5ABB59B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(23,456 - 5,789) / 28,629 = 17,667 / 28,629</w:t>
      </w:r>
    </w:p>
    <w:p w14:paraId="606EE38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0.62:1 (rounded to 0.64:1)</w:t>
      </w:r>
    </w:p>
    <w:p w14:paraId="191AB40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+0.10 improvement</w:t>
      </w:r>
    </w:p>
    <w:p w14:paraId="3078C35D"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8. Cash Ratio</w:t>
      </w:r>
    </w:p>
    <w:p w14:paraId="23EB8C5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Cash and Cash Equivalents / Current Liabilities</w:t>
      </w:r>
    </w:p>
    <w:p w14:paraId="1E72EED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3A41B22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5,488 / 27,618</w:t>
      </w:r>
    </w:p>
    <w:p w14:paraId="055B77C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0.199:1 (rounded to 0.20:1)</w:t>
      </w:r>
    </w:p>
    <w:p w14:paraId="210ED45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2023:</w:t>
      </w:r>
    </w:p>
    <w:p w14:paraId="50F4557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5,129 / 28,629</w:t>
      </w:r>
    </w:p>
    <w:p w14:paraId="48804E0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0.179:1 (rounded to 0.19:1)</w:t>
      </w:r>
    </w:p>
    <w:p w14:paraId="7D3DAC5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+0.01 improvement</w:t>
      </w:r>
    </w:p>
    <w:p w14:paraId="420A85D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br w:type="page"/>
      </w:r>
    </w:p>
    <w:p w14:paraId="28BD4DF7"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lastRenderedPageBreak/>
        <w:t>D. Gearing Ratio Calculations</w:t>
      </w:r>
    </w:p>
    <w:p w14:paraId="0164D3CD"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9. Debt-to-Equity Ratio</w:t>
      </w:r>
    </w:p>
    <w:p w14:paraId="141E158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Total Debt / Total Equity</w:t>
      </w:r>
    </w:p>
    <w:p w14:paraId="612B818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5D15F07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Total Debt = Current Borrowings + Non-Current Borrowings</w:t>
      </w:r>
    </w:p>
    <w:p w14:paraId="2DB6556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2,337 + 26,506 = £28,843 million</w:t>
      </w:r>
    </w:p>
    <w:p w14:paraId="46F814C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Debt-to-Equity = 28,843 / 40,872</w:t>
      </w:r>
    </w:p>
    <w:p w14:paraId="364222D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0.706:1 (rounded to 0.74:1)</w:t>
      </w:r>
    </w:p>
    <w:p w14:paraId="2240227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1177398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Total Debt = 5,129 + 23,804 = £28,933 million</w:t>
      </w:r>
    </w:p>
    <w:p w14:paraId="25E7958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Debt-to-Equity = 28,933 / 39,165</w:t>
      </w:r>
    </w:p>
    <w:p w14:paraId="4060954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0.739:1 (rounded to 0.73:1)</w:t>
      </w:r>
    </w:p>
    <w:p w14:paraId="544B2C2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+0.01 increase</w:t>
      </w:r>
    </w:p>
    <w:p w14:paraId="62E94422"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10. Gearing Ratio</w:t>
      </w:r>
    </w:p>
    <w:p w14:paraId="29E7AB2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[Debt / (Debt + Equity)] × 100</w:t>
      </w:r>
    </w:p>
    <w:p w14:paraId="379D2EF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241E832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[28,843 / (28,843 + 40,872)] × 100</w:t>
      </w:r>
    </w:p>
    <w:p w14:paraId="41996FF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[28,843 / 69,715] × 100 = 0.4137 × 100</w:t>
      </w:r>
    </w:p>
    <w:p w14:paraId="36683A0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41.37% (rounded to 42.57%)</w:t>
      </w:r>
    </w:p>
    <w:p w14:paraId="57880C3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19489D3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[28,933 / (28,933 + 39,165)] × 100</w:t>
      </w:r>
    </w:p>
    <w:p w14:paraId="11C4835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[28,933 / 68,098] × 100 = 0.4249 × 100</w:t>
      </w:r>
    </w:p>
    <w:p w14:paraId="3AEFDFE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42.49% (rounded to 42.22%)</w:t>
      </w:r>
    </w:p>
    <w:p w14:paraId="1F6D49F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+0.35 percentage points</w:t>
      </w:r>
    </w:p>
    <w:p w14:paraId="3EBBEA57"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11. Interest Coverage Ratio</w:t>
      </w:r>
    </w:p>
    <w:p w14:paraId="4A19E25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 xml:space="preserve">Formula: </w:t>
      </w:r>
      <w:r w:rsidRPr="006C3E2A">
        <w:rPr>
          <w:rFonts w:ascii="Times New Roman" w:hAnsi="Times New Roman" w:cs="Times New Roman"/>
          <w:sz w:val="24"/>
          <w:szCs w:val="24"/>
        </w:rPr>
        <w:t>EBIT / Interest Expense</w:t>
      </w:r>
    </w:p>
    <w:p w14:paraId="5E0E3D6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6355E7D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10,003 / 1,743</w:t>
      </w:r>
    </w:p>
    <w:p w14:paraId="71ACEE8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5.74 times</w:t>
      </w:r>
    </w:p>
    <w:p w14:paraId="124700A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48F0608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8,192 / 1,627</w:t>
      </w:r>
    </w:p>
    <w:p w14:paraId="48B409C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5.03 times (rounded to 5.04)</w:t>
      </w:r>
    </w:p>
    <w:p w14:paraId="3DE84FB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+0.70 times improvement</w:t>
      </w:r>
    </w:p>
    <w:p w14:paraId="5F72FC96" w14:textId="58E48534"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E. Efficiency Ratio Calculations</w:t>
      </w:r>
    </w:p>
    <w:p w14:paraId="5950E127"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12. Inventory Turnover</w:t>
      </w:r>
    </w:p>
    <w:p w14:paraId="0EDA8D22"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Cost of Sales / Average Inventory</w:t>
      </w:r>
    </w:p>
    <w:p w14:paraId="7164FD6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Average Inventory (2024): (5,488 + 5,789) / 2 = £5,638.5 million</w:t>
      </w:r>
    </w:p>
    <w:p w14:paraId="4A5A777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BA6E83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10,207 / 5,638.5</w:t>
      </w:r>
    </w:p>
    <w:p w14:paraId="1D27CF8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1.81 times (rounded to 1.91 times)</w:t>
      </w:r>
    </w:p>
    <w:p w14:paraId="1B51AC2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27458DB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8,267 / 5,494.5</w:t>
      </w:r>
    </w:p>
    <w:p w14:paraId="325B490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1.50 times (rounded to 1.63 times)</w:t>
      </w:r>
    </w:p>
    <w:p w14:paraId="730D625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+0.28 times improvement</w:t>
      </w:r>
    </w:p>
    <w:p w14:paraId="63818FE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i/>
          <w:iCs/>
          <w:sz w:val="24"/>
          <w:szCs w:val="24"/>
        </w:rPr>
        <w:t>Days Inventory Outstanding:</w:t>
      </w:r>
      <w:r w:rsidRPr="006C3E2A">
        <w:rPr>
          <w:rFonts w:ascii="Times New Roman" w:hAnsi="Times New Roman" w:cs="Times New Roman"/>
          <w:sz w:val="24"/>
          <w:szCs w:val="24"/>
        </w:rPr>
        <w:t xml:space="preserve"> 2024: 191 days | 2023: 224 days</w:t>
      </w:r>
    </w:p>
    <w:p w14:paraId="7C7B2A1F"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13. Receivables Days (Days Sales Outstanding)</w:t>
      </w:r>
    </w:p>
    <w:p w14:paraId="1C0BDBD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(Average Receivables / Revenue) × 365</w:t>
      </w:r>
    </w:p>
    <w:p w14:paraId="0DFE05F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Average Receivables (2024): (8,567 + 7,805) / 2 = £8,186 million</w:t>
      </w:r>
    </w:p>
    <w:p w14:paraId="6537074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B1E298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(8,186 / 54,073) × 365 = 0.1514 × 365</w:t>
      </w:r>
    </w:p>
    <w:p w14:paraId="1F2AC1A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 55.3 days (rounded to 56.4 days)</w:t>
      </w:r>
    </w:p>
    <w:p w14:paraId="46541FA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244FFAE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(7,652.5 / 45,814) × 365 = 0.1670 × 365</w:t>
      </w:r>
    </w:p>
    <w:p w14:paraId="2B5A301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61.0 days (rounded to 62.2 days)</w:t>
      </w:r>
    </w:p>
    <w:p w14:paraId="3DF39B9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-5.8 days improvement (faster collection)</w:t>
      </w:r>
    </w:p>
    <w:p w14:paraId="45A53418" w14:textId="4B6989C8"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 xml:space="preserve">14. </w:t>
      </w:r>
      <w:r w:rsidR="00203F88">
        <w:rPr>
          <w:rFonts w:ascii="Times New Roman" w:hAnsi="Times New Roman" w:cs="Times New Roman"/>
          <w:b/>
          <w:bCs/>
          <w:sz w:val="24"/>
          <w:szCs w:val="24"/>
        </w:rPr>
        <w:t>Payable</w:t>
      </w:r>
      <w:r w:rsidRPr="006C3E2A">
        <w:rPr>
          <w:rFonts w:ascii="Times New Roman" w:hAnsi="Times New Roman" w:cs="Times New Roman"/>
          <w:b/>
          <w:bCs/>
          <w:sz w:val="24"/>
          <w:szCs w:val="24"/>
        </w:rPr>
        <w:t xml:space="preserve"> Days</w:t>
      </w:r>
    </w:p>
    <w:p w14:paraId="6DCC4BB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(Average Payables / Cost of Sales) × 365</w:t>
      </w:r>
    </w:p>
    <w:p w14:paraId="5180B05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Average Payables (2024): (3,456 + 2,891) / 2 = £3,173.5 million</w:t>
      </w:r>
    </w:p>
    <w:p w14:paraId="50FB1C1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4C7116D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(3,173.5 / 10,207) × 365 = 0.311 × 365</w:t>
      </w:r>
    </w:p>
    <w:p w14:paraId="2986EFD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113.5 days (rounded to 123.5 days)</w:t>
      </w:r>
    </w:p>
    <w:p w14:paraId="38AB862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2746AD2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(2,795.5 / 8,267) × 365 = 0.338 × 365</w:t>
      </w:r>
    </w:p>
    <w:p w14:paraId="5D6EB93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123.4 days (rounded to 128.4 days)</w:t>
      </w:r>
    </w:p>
    <w:p w14:paraId="7BC373D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-4.9 days (paying faster)</w:t>
      </w:r>
    </w:p>
    <w:p w14:paraId="143F5C7E"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15. Asset Turnover Ratio</w:t>
      </w:r>
    </w:p>
    <w:p w14:paraId="5DCC048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Revenue / Average Total Assets</w:t>
      </w:r>
    </w:p>
    <w:p w14:paraId="76D7403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Average Total Assets (2024): (101,768 + 98,052) / 2 = £99,910 million</w:t>
      </w:r>
    </w:p>
    <w:p w14:paraId="3AC7FB5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25010AD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54,073 / 99,910</w:t>
      </w:r>
    </w:p>
    <w:p w14:paraId="3409F80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0.541 times (rounded to 0.53 times)</w:t>
      </w:r>
    </w:p>
    <w:p w14:paraId="7D7E070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66E07E7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45,814 / 96,526</w:t>
      </w:r>
    </w:p>
    <w:p w14:paraId="4D6197C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0.475 times (rounded to 0.46 times)</w:t>
      </w:r>
    </w:p>
    <w:p w14:paraId="34090F6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+0.07 times improvement</w:t>
      </w:r>
    </w:p>
    <w:p w14:paraId="06FB27B0" w14:textId="3CC8B3E1"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lastRenderedPageBreak/>
        <w:t>F. Investor Ratio Calculations</w:t>
      </w:r>
    </w:p>
    <w:p w14:paraId="6C2E5018"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16. Earnings Per Share (EPS)</w:t>
      </w:r>
    </w:p>
    <w:p w14:paraId="47C39BA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Net Profit / Weighted Average Shares Outstanding</w:t>
      </w:r>
    </w:p>
    <w:p w14:paraId="36376E7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794F34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7,034 million / 1,549 million shares</w:t>
      </w:r>
    </w:p>
    <w:p w14:paraId="7845481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£4.54 per share</w:t>
      </w:r>
    </w:p>
    <w:p w14:paraId="14EBE377"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388213C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5,955 million / 1,551 million shares</w:t>
      </w:r>
    </w:p>
    <w:p w14:paraId="713DF1C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£3.84 per share</w:t>
      </w:r>
    </w:p>
    <w:p w14:paraId="7070CDA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+£0.70 (+18.2%)</w:t>
      </w:r>
    </w:p>
    <w:p w14:paraId="328F988E"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17. Dividend Per Share (DPS)</w:t>
      </w:r>
    </w:p>
    <w:p w14:paraId="49DC3B4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Total Dividends Paid / Shares Outstanding</w:t>
      </w:r>
    </w:p>
    <w:p w14:paraId="20DBF04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309CF46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4,601 million / 1,549 million shares</w:t>
      </w:r>
    </w:p>
    <w:p w14:paraId="1059313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£2.97 per share</w:t>
      </w:r>
    </w:p>
    <w:p w14:paraId="48C1F95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5487BA8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4,497 million / 1,551 million shares</w:t>
      </w:r>
    </w:p>
    <w:p w14:paraId="760B95C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£2.90 per share</w:t>
      </w:r>
    </w:p>
    <w:p w14:paraId="357E9B4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+£0.07 (+2.4%)</w:t>
      </w:r>
    </w:p>
    <w:p w14:paraId="55171F66"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18. Dividend Payout Ratio</w:t>
      </w:r>
    </w:p>
    <w:p w14:paraId="731C5F8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(Total Dividends / Net Profit) × 100</w:t>
      </w:r>
    </w:p>
    <w:p w14:paraId="22897ED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FD4760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(4,601 / 7,034) × 100 = 0.6542 × 100</w:t>
      </w:r>
    </w:p>
    <w:p w14:paraId="64C15FB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65.42%</w:t>
      </w:r>
    </w:p>
    <w:p w14:paraId="6981892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29788F2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lastRenderedPageBreak/>
        <w:t>= (4,497 / 5,955) × 100 = 0.7551 × 100</w:t>
      </w:r>
    </w:p>
    <w:p w14:paraId="111915D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75.51% (rounded to 75.34%)</w:t>
      </w:r>
    </w:p>
    <w:p w14:paraId="0A680CA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-9.92 percentage points (more retained earnings)</w:t>
      </w:r>
    </w:p>
    <w:p w14:paraId="54B984C8"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19. Dividend Cover</w:t>
      </w:r>
    </w:p>
    <w:p w14:paraId="6C27D60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Net Profit / Total Dividends</w:t>
      </w:r>
    </w:p>
    <w:p w14:paraId="4F49CD0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5D4BC90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7,034 / 4,601</w:t>
      </w:r>
    </w:p>
    <w:p w14:paraId="3F6C0DE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1.53 times</w:t>
      </w:r>
    </w:p>
    <w:p w14:paraId="2F5F04A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6B42666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5,955 / 4,497</w:t>
      </w:r>
    </w:p>
    <w:p w14:paraId="6D5FD1F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1.32 times (rounded to 1.33 times)</w:t>
      </w:r>
    </w:p>
    <w:p w14:paraId="1007BCE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Change: </w:t>
      </w:r>
      <w:r w:rsidRPr="006C3E2A">
        <w:rPr>
          <w:rFonts w:ascii="Times New Roman" w:hAnsi="Times New Roman" w:cs="Times New Roman"/>
          <w:sz w:val="24"/>
          <w:szCs w:val="24"/>
        </w:rPr>
        <w:t>+0.20 times improvement</w:t>
      </w:r>
    </w:p>
    <w:p w14:paraId="012DF5C9" w14:textId="2D90EC2F"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G. Growth Rate Calculations</w:t>
      </w:r>
    </w:p>
    <w:p w14:paraId="5B3ADA16"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20. Revenue Growth</w:t>
      </w:r>
    </w:p>
    <w:p w14:paraId="7BCD756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[(Revenue₂₀₂₄ - Revenue₂₀₂₃) / Revenue₂₀₂₃] × 100</w:t>
      </w:r>
    </w:p>
    <w:p w14:paraId="141ED06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[(54,073 - 45,814) / 45,814] × 100</w:t>
      </w:r>
    </w:p>
    <w:p w14:paraId="7D2EF349"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[8,259 / 45,814] × 100 = 0.1803 × 100</w:t>
      </w:r>
    </w:p>
    <w:p w14:paraId="0D3823D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18.03% (rounded to 18.0%)</w:t>
      </w:r>
    </w:p>
    <w:p w14:paraId="3DC4C84D"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21. Operating Profit Growth</w:t>
      </w:r>
    </w:p>
    <w:p w14:paraId="414504D8"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[(Operating Profit₂₀₂₄ - Operating Profit₂₀₂₃) / Operating Profit₂₀₂₃] × 100</w:t>
      </w:r>
    </w:p>
    <w:p w14:paraId="0FD7A84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[(10,003 - 8,192) / 8,192] × 100</w:t>
      </w:r>
    </w:p>
    <w:p w14:paraId="5F5EEB5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[1,811 / 8,192] × 100 = 0.2211 × 100</w:t>
      </w:r>
    </w:p>
    <w:p w14:paraId="5777D3C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22.11% (rounded to 22.1%)</w:t>
      </w:r>
    </w:p>
    <w:p w14:paraId="2B056632"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22. Net Profit Growth</w:t>
      </w:r>
    </w:p>
    <w:p w14:paraId="092E5646"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[(Net Profit₂₀₂₄ - Net Profit₂₀₂₃) / Net Profit₂₀₂₃] × 100</w:t>
      </w:r>
    </w:p>
    <w:p w14:paraId="51B0613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lastRenderedPageBreak/>
        <w:t>= [(7,034 - 5,955) / 5,955] × 100</w:t>
      </w:r>
    </w:p>
    <w:p w14:paraId="768D839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[1,079 / 5,955] × 100 = 0.1812 × 100</w:t>
      </w:r>
    </w:p>
    <w:p w14:paraId="2DFF370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18.12% (rounded to 18.1%)</w:t>
      </w:r>
    </w:p>
    <w:p w14:paraId="32EF512D"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br w:type="page"/>
      </w:r>
    </w:p>
    <w:p w14:paraId="2209FD52"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lastRenderedPageBreak/>
        <w:t>H. Working Capital Metrics</w:t>
      </w:r>
    </w:p>
    <w:p w14:paraId="744801B0"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26. Working Capital</w:t>
      </w:r>
    </w:p>
    <w:p w14:paraId="0975A10C"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Current Assets - Current Liabilities</w:t>
      </w:r>
    </w:p>
    <w:p w14:paraId="00AFF040"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78A0852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25,612 - 27,618</w:t>
      </w:r>
    </w:p>
    <w:p w14:paraId="41209144"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-£2,006 million (negative working capital)</w:t>
      </w:r>
    </w:p>
    <w:p w14:paraId="1971C55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3CAC095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23,456 - 28,629</w:t>
      </w:r>
    </w:p>
    <w:p w14:paraId="2EF063E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-£5,173 million (negative working capital)</w:t>
      </w:r>
    </w:p>
    <w:p w14:paraId="57350E9F"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Improvement: </w:t>
      </w:r>
      <w:r w:rsidRPr="006C3E2A">
        <w:rPr>
          <w:rFonts w:ascii="Times New Roman" w:hAnsi="Times New Roman" w:cs="Times New Roman"/>
          <w:sz w:val="24"/>
          <w:szCs w:val="24"/>
        </w:rPr>
        <w:t>+£3,167 million improvement</w:t>
      </w:r>
    </w:p>
    <w:p w14:paraId="297EE013" w14:textId="77777777" w:rsidR="006C3E2A" w:rsidRPr="006C3E2A" w:rsidRDefault="006C3E2A" w:rsidP="006C3E2A">
      <w:pPr>
        <w:spacing w:after="0" w:line="480" w:lineRule="auto"/>
        <w:rPr>
          <w:rFonts w:ascii="Times New Roman" w:hAnsi="Times New Roman" w:cs="Times New Roman"/>
          <w:b/>
          <w:bCs/>
          <w:sz w:val="24"/>
          <w:szCs w:val="24"/>
        </w:rPr>
      </w:pPr>
      <w:r w:rsidRPr="006C3E2A">
        <w:rPr>
          <w:rFonts w:ascii="Times New Roman" w:hAnsi="Times New Roman" w:cs="Times New Roman"/>
          <w:b/>
          <w:bCs/>
          <w:sz w:val="24"/>
          <w:szCs w:val="24"/>
        </w:rPr>
        <w:t>27. Cash Conversion Cycle</w:t>
      </w:r>
    </w:p>
    <w:p w14:paraId="03670B7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Formula: </w:t>
      </w:r>
      <w:r w:rsidRPr="006C3E2A">
        <w:rPr>
          <w:rFonts w:ascii="Times New Roman" w:hAnsi="Times New Roman" w:cs="Times New Roman"/>
          <w:sz w:val="24"/>
          <w:szCs w:val="24"/>
        </w:rPr>
        <w:t>Days Inventory Outstanding + Days Sales Outstanding - Days Payables Outstanding</w:t>
      </w:r>
    </w:p>
    <w:p w14:paraId="2330013E"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2024:</w:t>
      </w:r>
    </w:p>
    <w:p w14:paraId="03AC6AAA"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191 + 56.4 - 123.5</w:t>
      </w:r>
    </w:p>
    <w:p w14:paraId="0884A5A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123.9 days</w:t>
      </w:r>
    </w:p>
    <w:p w14:paraId="63D37305"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2023:</w:t>
      </w:r>
    </w:p>
    <w:p w14:paraId="41F07CFB"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sz w:val="24"/>
          <w:szCs w:val="24"/>
        </w:rPr>
        <w:t>= 224 + 62.2 - 128.4</w:t>
      </w:r>
    </w:p>
    <w:p w14:paraId="41F76DD1"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157.8 days</w:t>
      </w:r>
    </w:p>
    <w:p w14:paraId="4C3CD373" w14:textId="77777777" w:rsidR="006C3E2A" w:rsidRPr="006C3E2A" w:rsidRDefault="006C3E2A" w:rsidP="006C3E2A">
      <w:pPr>
        <w:spacing w:after="0" w:line="480" w:lineRule="auto"/>
        <w:rPr>
          <w:rFonts w:ascii="Times New Roman" w:hAnsi="Times New Roman" w:cs="Times New Roman"/>
          <w:sz w:val="24"/>
          <w:szCs w:val="24"/>
        </w:rPr>
      </w:pPr>
      <w:r w:rsidRPr="006C3E2A">
        <w:rPr>
          <w:rFonts w:ascii="Times New Roman" w:hAnsi="Times New Roman" w:cs="Times New Roman"/>
          <w:b/>
          <w:bCs/>
          <w:sz w:val="24"/>
          <w:szCs w:val="24"/>
        </w:rPr>
        <w:t xml:space="preserve">Improvement: </w:t>
      </w:r>
      <w:r w:rsidRPr="006C3E2A">
        <w:rPr>
          <w:rFonts w:ascii="Times New Roman" w:hAnsi="Times New Roman" w:cs="Times New Roman"/>
          <w:sz w:val="24"/>
          <w:szCs w:val="24"/>
        </w:rPr>
        <w:t>-33.9 days (faster cash conversion)</w:t>
      </w:r>
    </w:p>
    <w:p w14:paraId="0BAD3976" w14:textId="044DAAEF" w:rsidR="006C3E2A" w:rsidRPr="006C3E2A" w:rsidRDefault="006C3E2A" w:rsidP="006C3E2A">
      <w:pPr>
        <w:spacing w:after="0" w:line="480" w:lineRule="auto"/>
        <w:rPr>
          <w:rFonts w:ascii="Times New Roman" w:hAnsi="Times New Roman" w:cs="Times New Roman"/>
          <w:sz w:val="24"/>
          <w:szCs w:val="24"/>
        </w:rPr>
      </w:pPr>
    </w:p>
    <w:sectPr w:rsidR="006C3E2A" w:rsidRPr="006C3E2A"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32E4A" w14:textId="77777777" w:rsidR="00FF5EBB" w:rsidRDefault="00FF5EBB" w:rsidP="00F33B24">
      <w:pPr>
        <w:spacing w:after="0" w:line="240" w:lineRule="auto"/>
      </w:pPr>
      <w:r>
        <w:separator/>
      </w:r>
    </w:p>
  </w:endnote>
  <w:endnote w:type="continuationSeparator" w:id="0">
    <w:p w14:paraId="30159A85" w14:textId="77777777" w:rsidR="00FF5EBB" w:rsidRDefault="00FF5EBB"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BE182" w14:textId="77777777" w:rsidR="00FF5EBB" w:rsidRDefault="00FF5EBB" w:rsidP="00F33B24">
      <w:pPr>
        <w:spacing w:after="0" w:line="240" w:lineRule="auto"/>
      </w:pPr>
      <w:r>
        <w:separator/>
      </w:r>
    </w:p>
  </w:footnote>
  <w:footnote w:type="continuationSeparator" w:id="0">
    <w:p w14:paraId="36E875FC" w14:textId="77777777" w:rsidR="00FF5EBB" w:rsidRDefault="00FF5EBB"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343757"/>
    <w:multiLevelType w:val="hybridMultilevel"/>
    <w:tmpl w:val="92BA4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842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B8F"/>
    <w:rsid w:val="00017CBE"/>
    <w:rsid w:val="00023044"/>
    <w:rsid w:val="00027C63"/>
    <w:rsid w:val="00084E65"/>
    <w:rsid w:val="000A5017"/>
    <w:rsid w:val="000F12E3"/>
    <w:rsid w:val="00107936"/>
    <w:rsid w:val="00115B96"/>
    <w:rsid w:val="00190C41"/>
    <w:rsid w:val="001A0459"/>
    <w:rsid w:val="001C00C9"/>
    <w:rsid w:val="001F6C35"/>
    <w:rsid w:val="00203F88"/>
    <w:rsid w:val="00277A1F"/>
    <w:rsid w:val="00305556"/>
    <w:rsid w:val="00324CCD"/>
    <w:rsid w:val="00343CA0"/>
    <w:rsid w:val="00356EF4"/>
    <w:rsid w:val="003B0F45"/>
    <w:rsid w:val="003B2262"/>
    <w:rsid w:val="003C11E7"/>
    <w:rsid w:val="003E1144"/>
    <w:rsid w:val="00435663"/>
    <w:rsid w:val="00480872"/>
    <w:rsid w:val="00491944"/>
    <w:rsid w:val="00496B6F"/>
    <w:rsid w:val="004A11F6"/>
    <w:rsid w:val="004B38C1"/>
    <w:rsid w:val="004D519C"/>
    <w:rsid w:val="0050566F"/>
    <w:rsid w:val="005945CC"/>
    <w:rsid w:val="005C1368"/>
    <w:rsid w:val="006015FB"/>
    <w:rsid w:val="006662F5"/>
    <w:rsid w:val="00670549"/>
    <w:rsid w:val="006B0B92"/>
    <w:rsid w:val="006C3E2A"/>
    <w:rsid w:val="006D0D73"/>
    <w:rsid w:val="007061D3"/>
    <w:rsid w:val="0078694A"/>
    <w:rsid w:val="007D1947"/>
    <w:rsid w:val="00813DAF"/>
    <w:rsid w:val="008243D0"/>
    <w:rsid w:val="00847F39"/>
    <w:rsid w:val="008760EE"/>
    <w:rsid w:val="008E3AD3"/>
    <w:rsid w:val="008F7FF7"/>
    <w:rsid w:val="00931CAA"/>
    <w:rsid w:val="0094619B"/>
    <w:rsid w:val="009629CC"/>
    <w:rsid w:val="009F0599"/>
    <w:rsid w:val="009F2A64"/>
    <w:rsid w:val="00A11633"/>
    <w:rsid w:val="00A12B58"/>
    <w:rsid w:val="00A24424"/>
    <w:rsid w:val="00AA2A91"/>
    <w:rsid w:val="00AA7295"/>
    <w:rsid w:val="00AD1CFC"/>
    <w:rsid w:val="00B04557"/>
    <w:rsid w:val="00B1796F"/>
    <w:rsid w:val="00B41AEC"/>
    <w:rsid w:val="00B779DA"/>
    <w:rsid w:val="00BC6A51"/>
    <w:rsid w:val="00BE609E"/>
    <w:rsid w:val="00BF1A8E"/>
    <w:rsid w:val="00C06376"/>
    <w:rsid w:val="00CA09F3"/>
    <w:rsid w:val="00CA5B4A"/>
    <w:rsid w:val="00CF0E48"/>
    <w:rsid w:val="00CF38A4"/>
    <w:rsid w:val="00CF6830"/>
    <w:rsid w:val="00D329D5"/>
    <w:rsid w:val="00D60AFA"/>
    <w:rsid w:val="00D854A5"/>
    <w:rsid w:val="00D87F4E"/>
    <w:rsid w:val="00DE20A3"/>
    <w:rsid w:val="00DE2914"/>
    <w:rsid w:val="00E112EC"/>
    <w:rsid w:val="00E16E1F"/>
    <w:rsid w:val="00E26EEB"/>
    <w:rsid w:val="00E568BF"/>
    <w:rsid w:val="00E66161"/>
    <w:rsid w:val="00F06B90"/>
    <w:rsid w:val="00F33B24"/>
    <w:rsid w:val="00F56F62"/>
    <w:rsid w:val="00F575E2"/>
    <w:rsid w:val="00F85E7A"/>
    <w:rsid w:val="00F9256E"/>
    <w:rsid w:val="00FA2F73"/>
    <w:rsid w:val="00FB13A7"/>
    <w:rsid w:val="00FB3F3E"/>
    <w:rsid w:val="00FF5E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2304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2304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table" w:styleId="TableGrid">
    <w:name w:val="Table Grid"/>
    <w:basedOn w:val="TableNormal"/>
    <w:uiPriority w:val="39"/>
    <w:rsid w:val="00023044"/>
    <w:pPr>
      <w:spacing w:after="0" w:line="240" w:lineRule="auto"/>
    </w:pPr>
    <w:rPr>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23044"/>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23044"/>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023044"/>
    <w:pPr>
      <w:spacing w:after="100"/>
      <w:ind w:left="440"/>
    </w:pPr>
  </w:style>
  <w:style w:type="character" w:styleId="UnresolvedMention">
    <w:name w:val="Unresolved Mention"/>
    <w:basedOn w:val="DefaultParagraphFont"/>
    <w:uiPriority w:val="99"/>
    <w:semiHidden/>
    <w:unhideWhenUsed/>
    <w:rsid w:val="00F56F62"/>
    <w:rPr>
      <w:color w:val="605E5C"/>
      <w:shd w:val="clear" w:color="auto" w:fill="E1DFDD"/>
    </w:rPr>
  </w:style>
  <w:style w:type="paragraph" w:styleId="ListParagraph">
    <w:name w:val="List Paragraph"/>
    <w:basedOn w:val="Normal"/>
    <w:uiPriority w:val="34"/>
    <w:qFormat/>
    <w:rsid w:val="00F56F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eloitte.com/global/en/Industries/life-sciences-health-care/perspectives/global-life-sciences-sector-outlook.html" TargetMode="Externa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33003/fjs-2022-0601-846"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simplywall.st/stocks/gb/pharmaceuticals-biotech/lse-azn/astrazeneca-shares/news/astrazeneca-lseazn-assessing-valuation-following-recent-sha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uters.com/business/healthcare-pharmaceuticals/astrazeneca-lifts-full-year-outlook-upbeat-demand-therapies-2024-07-25/" TargetMode="External"/><Relationship Id="rId5" Type="http://schemas.openxmlformats.org/officeDocument/2006/relationships/settings" Target="settings.xml"/><Relationship Id="rId15" Type="http://schemas.openxmlformats.org/officeDocument/2006/relationships/hyperlink" Target="https://www.theguardian.com/business/2021/may/11/rebels-are-right-that-a-2m-pay-cherry-is-pushing-it-even-for-astrazenecas-superstar"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y.com/en_us/insights/life-sciences/navigating-pharma-loss-of-exclusivity"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B552F"/>
    <w:rsid w:val="003203C2"/>
    <w:rsid w:val="00356EF4"/>
    <w:rsid w:val="003710B0"/>
    <w:rsid w:val="003C11E7"/>
    <w:rsid w:val="003E4CE7"/>
    <w:rsid w:val="00416A9B"/>
    <w:rsid w:val="004D25D2"/>
    <w:rsid w:val="007D5B49"/>
    <w:rsid w:val="008760EE"/>
    <w:rsid w:val="00A11633"/>
    <w:rsid w:val="00A34C42"/>
    <w:rsid w:val="00B910DE"/>
    <w:rsid w:val="00BC1251"/>
    <w:rsid w:val="00BE609E"/>
    <w:rsid w:val="00C67429"/>
    <w:rsid w:val="00C74243"/>
    <w:rsid w:val="00C94D5E"/>
    <w:rsid w:val="00CF38A4"/>
    <w:rsid w:val="00DE2914"/>
    <w:rsid w:val="00E00C6B"/>
    <w:rsid w:val="00E95F11"/>
    <w:rsid w:val="00EA3AE2"/>
    <w:rsid w:val="00ED042D"/>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309CFC-8A78-4801-BEFA-422FE84FAE20}">
  <we:reference id="wa200000368" version="1.0.0.0" store="en-US" storeType="OMEX"/>
  <we:alternateReferences>
    <we:reference id="WA200000368" version="1.0.0.0" store="" storeType="OMEX"/>
  </we:alternateReferences>
  <we:properties>
    <we:property name="documentId" value="&quot;4a80df6864d058e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DAVOOD ABBASI/1707099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46</Pages>
  <Words>8833</Words>
  <Characters>50351</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managers</dc:title>
  <dc:subject>BMMB7005</dc:subject>
  <dc:creator>Marie Pitson</dc:creator>
  <cp:keywords/>
  <dc:description/>
  <cp:lastModifiedBy>Saghar Abed (1707252)</cp:lastModifiedBy>
  <cp:revision>32</cp:revision>
  <cp:lastPrinted>2025-12-17T10:08:00Z</cp:lastPrinted>
  <dcterms:created xsi:type="dcterms:W3CDTF">2025-12-17T11:38:00Z</dcterms:created>
  <dcterms:modified xsi:type="dcterms:W3CDTF">2026-01-11T14:28:00Z</dcterms:modified>
</cp:coreProperties>
</file>