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97BA5" w14:textId="77777777" w:rsidR="00023431" w:rsidRDefault="00023431" w:rsidP="00023431">
      <w:pPr>
        <w:spacing w:line="360" w:lineRule="auto"/>
        <w:jc w:val="center"/>
        <w:rPr>
          <w:rFonts w:ascii="Times New Roman" w:hAnsi="Times New Roman" w:cs="Times New Roman"/>
          <w:b/>
          <w:sz w:val="28"/>
          <w:szCs w:val="28"/>
        </w:rPr>
      </w:pPr>
    </w:p>
    <w:p w14:paraId="22A93D2A" w14:textId="77777777" w:rsidR="00023431" w:rsidRDefault="00023431" w:rsidP="00023431">
      <w:pPr>
        <w:spacing w:line="360" w:lineRule="auto"/>
        <w:jc w:val="center"/>
        <w:rPr>
          <w:rFonts w:ascii="Times New Roman" w:hAnsi="Times New Roman" w:cs="Times New Roman"/>
          <w:b/>
          <w:sz w:val="28"/>
          <w:szCs w:val="28"/>
        </w:rPr>
      </w:pPr>
    </w:p>
    <w:p w14:paraId="519C2E07" w14:textId="77777777" w:rsidR="00023431" w:rsidRDefault="00023431" w:rsidP="00023431">
      <w:pPr>
        <w:spacing w:line="360" w:lineRule="auto"/>
        <w:jc w:val="center"/>
        <w:rPr>
          <w:rFonts w:ascii="Times New Roman" w:hAnsi="Times New Roman" w:cs="Times New Roman"/>
          <w:b/>
          <w:sz w:val="28"/>
          <w:szCs w:val="28"/>
        </w:rPr>
      </w:pPr>
    </w:p>
    <w:p w14:paraId="1DEF0EF5" w14:textId="77777777" w:rsidR="001C3229" w:rsidRDefault="001C3229" w:rsidP="001C3229">
      <w:pPr>
        <w:spacing w:line="360" w:lineRule="auto"/>
        <w:rPr>
          <w:rFonts w:ascii="Times New Roman" w:hAnsi="Times New Roman" w:cs="Times New Roman"/>
          <w:b/>
          <w:sz w:val="28"/>
          <w:szCs w:val="28"/>
        </w:rPr>
      </w:pPr>
      <w:r>
        <w:rPr>
          <w:rFonts w:ascii="Times New Roman" w:hAnsi="Times New Roman" w:cs="Times New Roman"/>
          <w:b/>
          <w:sz w:val="28"/>
          <w:szCs w:val="28"/>
        </w:rPr>
        <w:tab/>
      </w:r>
    </w:p>
    <w:p w14:paraId="6F9E9E1A" w14:textId="4001BE51" w:rsidR="00023431" w:rsidRDefault="001C3229" w:rsidP="001C3229">
      <w:pPr>
        <w:spacing w:line="360" w:lineRule="auto"/>
        <w:rPr>
          <w:rFonts w:ascii="Times New Roman" w:hAnsi="Times New Roman" w:cs="Times New Roman"/>
          <w:b/>
          <w:sz w:val="28"/>
          <w:szCs w:val="28"/>
        </w:rPr>
      </w:pPr>
      <w:r>
        <w:rPr>
          <w:rFonts w:ascii="Times New Roman" w:hAnsi="Times New Roman" w:cs="Times New Roman"/>
          <w:b/>
          <w:sz w:val="28"/>
          <w:szCs w:val="28"/>
        </w:rPr>
        <w:tab/>
        <w:t>Student Name: Hardikkumar Solanki</w:t>
      </w:r>
    </w:p>
    <w:p w14:paraId="428BD835" w14:textId="53BAC74B" w:rsidR="001C3229" w:rsidRDefault="001C3229" w:rsidP="001C3229">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  </w:t>
      </w:r>
      <w:r>
        <w:rPr>
          <w:rFonts w:ascii="Times New Roman" w:hAnsi="Times New Roman" w:cs="Times New Roman"/>
          <w:b/>
          <w:sz w:val="28"/>
          <w:szCs w:val="28"/>
        </w:rPr>
        <w:tab/>
        <w:t>Student Id : 2022271</w:t>
      </w:r>
    </w:p>
    <w:p w14:paraId="76C06F6C" w14:textId="77777777" w:rsidR="001C3229" w:rsidRDefault="001C3229" w:rsidP="001C3229">
      <w:pPr>
        <w:spacing w:line="360" w:lineRule="auto"/>
        <w:ind w:firstLine="720"/>
        <w:rPr>
          <w:rFonts w:ascii="Times New Roman" w:hAnsi="Times New Roman" w:cs="Times New Roman"/>
          <w:b/>
          <w:sz w:val="28"/>
          <w:szCs w:val="28"/>
        </w:rPr>
      </w:pPr>
      <w:r>
        <w:rPr>
          <w:rFonts w:ascii="Times New Roman" w:hAnsi="Times New Roman" w:cs="Times New Roman"/>
          <w:b/>
          <w:sz w:val="28"/>
          <w:szCs w:val="28"/>
        </w:rPr>
        <w:t xml:space="preserve">Subject : </w:t>
      </w:r>
      <w:r w:rsidR="00023431" w:rsidRPr="00023431">
        <w:rPr>
          <w:rFonts w:ascii="Times New Roman" w:hAnsi="Times New Roman" w:cs="Times New Roman"/>
          <w:b/>
          <w:sz w:val="28"/>
          <w:szCs w:val="28"/>
        </w:rPr>
        <w:t>Banking Financial Management and Financial Markets</w:t>
      </w:r>
      <w:r>
        <w:rPr>
          <w:rFonts w:ascii="Times New Roman" w:hAnsi="Times New Roman" w:cs="Times New Roman"/>
          <w:b/>
          <w:sz w:val="28"/>
          <w:szCs w:val="28"/>
        </w:rPr>
        <w:t xml:space="preserve"> (</w:t>
      </w:r>
      <w:r>
        <w:rPr>
          <w:rFonts w:ascii="Times New Roman" w:hAnsi="Times New Roman" w:cs="Times New Roman"/>
          <w:b/>
          <w:sz w:val="28"/>
          <w:szCs w:val="28"/>
        </w:rPr>
        <w:tab/>
        <w:t>LCMB7012)</w:t>
      </w:r>
    </w:p>
    <w:p w14:paraId="25A00292" w14:textId="4F7F78FF" w:rsidR="001C3229" w:rsidRPr="00023431" w:rsidRDefault="001C3229" w:rsidP="001C3229">
      <w:pPr>
        <w:spacing w:line="360" w:lineRule="auto"/>
        <w:ind w:firstLine="720"/>
        <w:rPr>
          <w:rFonts w:ascii="Times New Roman" w:hAnsi="Times New Roman" w:cs="Times New Roman"/>
          <w:b/>
          <w:sz w:val="28"/>
          <w:szCs w:val="28"/>
        </w:rPr>
      </w:pPr>
      <w:r>
        <w:rPr>
          <w:rFonts w:ascii="Times New Roman" w:hAnsi="Times New Roman" w:cs="Times New Roman"/>
          <w:b/>
          <w:sz w:val="28"/>
          <w:szCs w:val="28"/>
        </w:rPr>
        <w:t>Submited to David Coker</w:t>
      </w:r>
    </w:p>
    <w:p w14:paraId="12433362" w14:textId="77777777" w:rsidR="004F3B4D" w:rsidRDefault="00023431" w:rsidP="00023431">
      <w:pPr>
        <w:rPr>
          <w:rFonts w:ascii="Times New Roman" w:hAnsi="Times New Roman" w:cs="Times New Roman"/>
          <w:b/>
          <w:sz w:val="24"/>
          <w:szCs w:val="24"/>
        </w:rPr>
      </w:pPr>
      <w:r>
        <w:rPr>
          <w:rFonts w:ascii="Times New Roman" w:hAnsi="Times New Roman" w:cs="Times New Roman"/>
          <w:b/>
          <w:sz w:val="24"/>
          <w:szCs w:val="24"/>
        </w:rPr>
        <w:br w:type="page"/>
      </w:r>
    </w:p>
    <w:sdt>
      <w:sdtPr>
        <w:rPr>
          <w:rFonts w:asciiTheme="minorHAnsi" w:eastAsiaTheme="minorHAnsi" w:hAnsiTheme="minorHAnsi" w:cstheme="minorBidi"/>
          <w:b w:val="0"/>
          <w:bCs w:val="0"/>
          <w:color w:val="auto"/>
          <w:sz w:val="22"/>
          <w:szCs w:val="22"/>
        </w:rPr>
        <w:id w:val="172771882"/>
        <w:docPartObj>
          <w:docPartGallery w:val="Table of Contents"/>
          <w:docPartUnique/>
        </w:docPartObj>
      </w:sdtPr>
      <w:sdtContent>
        <w:p w14:paraId="3716EE0D" w14:textId="77777777" w:rsidR="00C02B1B" w:rsidRPr="00C02B1B" w:rsidRDefault="00C02B1B" w:rsidP="00C02B1B">
          <w:pPr>
            <w:pStyle w:val="TOCHeading"/>
            <w:spacing w:line="360" w:lineRule="auto"/>
            <w:jc w:val="center"/>
            <w:rPr>
              <w:rFonts w:ascii="Times New Roman" w:hAnsi="Times New Roman" w:cs="Times New Roman"/>
              <w:sz w:val="24"/>
              <w:szCs w:val="24"/>
            </w:rPr>
          </w:pPr>
          <w:r w:rsidRPr="00C02B1B">
            <w:rPr>
              <w:rFonts w:ascii="Times New Roman" w:hAnsi="Times New Roman" w:cs="Times New Roman"/>
              <w:color w:val="auto"/>
              <w:sz w:val="24"/>
              <w:szCs w:val="24"/>
            </w:rPr>
            <w:t>Table of Contents</w:t>
          </w:r>
        </w:p>
        <w:p w14:paraId="05B72C16" w14:textId="77777777" w:rsidR="00C02B1B" w:rsidRPr="00C02B1B" w:rsidRDefault="00C02B1B" w:rsidP="00C02B1B">
          <w:pPr>
            <w:pStyle w:val="TOC1"/>
            <w:tabs>
              <w:tab w:val="right" w:leader="dot" w:pos="9350"/>
            </w:tabs>
            <w:spacing w:line="360" w:lineRule="auto"/>
            <w:jc w:val="both"/>
            <w:rPr>
              <w:rFonts w:ascii="Times New Roman" w:hAnsi="Times New Roman" w:cs="Times New Roman"/>
              <w:noProof/>
              <w:sz w:val="24"/>
              <w:szCs w:val="24"/>
            </w:rPr>
          </w:pPr>
          <w:r w:rsidRPr="00C02B1B">
            <w:rPr>
              <w:rFonts w:ascii="Times New Roman" w:hAnsi="Times New Roman" w:cs="Times New Roman"/>
              <w:sz w:val="24"/>
              <w:szCs w:val="24"/>
            </w:rPr>
            <w:fldChar w:fldCharType="begin"/>
          </w:r>
          <w:r w:rsidRPr="00C02B1B">
            <w:rPr>
              <w:rFonts w:ascii="Times New Roman" w:hAnsi="Times New Roman" w:cs="Times New Roman"/>
              <w:sz w:val="24"/>
              <w:szCs w:val="24"/>
            </w:rPr>
            <w:instrText xml:space="preserve"> TOC \o "1-3" \h \z \u </w:instrText>
          </w:r>
          <w:r w:rsidRPr="00C02B1B">
            <w:rPr>
              <w:rFonts w:ascii="Times New Roman" w:hAnsi="Times New Roman" w:cs="Times New Roman"/>
              <w:sz w:val="24"/>
              <w:szCs w:val="24"/>
            </w:rPr>
            <w:fldChar w:fldCharType="separate"/>
          </w:r>
          <w:hyperlink w:anchor="_Toc142087270" w:history="1">
            <w:r w:rsidRPr="00C02B1B">
              <w:rPr>
                <w:rStyle w:val="Hyperlink"/>
                <w:rFonts w:ascii="Times New Roman" w:hAnsi="Times New Roman" w:cs="Times New Roman"/>
                <w:noProof/>
                <w:sz w:val="24"/>
                <w:szCs w:val="24"/>
              </w:rPr>
              <w:t>1) Introduction</w:t>
            </w:r>
            <w:r w:rsidRPr="00C02B1B">
              <w:rPr>
                <w:rFonts w:ascii="Times New Roman" w:hAnsi="Times New Roman" w:cs="Times New Roman"/>
                <w:noProof/>
                <w:webHidden/>
                <w:sz w:val="24"/>
                <w:szCs w:val="24"/>
              </w:rPr>
              <w:tab/>
            </w:r>
            <w:r w:rsidRPr="00C02B1B">
              <w:rPr>
                <w:rFonts w:ascii="Times New Roman" w:hAnsi="Times New Roman" w:cs="Times New Roman"/>
                <w:noProof/>
                <w:webHidden/>
                <w:sz w:val="24"/>
                <w:szCs w:val="24"/>
              </w:rPr>
              <w:fldChar w:fldCharType="begin"/>
            </w:r>
            <w:r w:rsidRPr="00C02B1B">
              <w:rPr>
                <w:rFonts w:ascii="Times New Roman" w:hAnsi="Times New Roman" w:cs="Times New Roman"/>
                <w:noProof/>
                <w:webHidden/>
                <w:sz w:val="24"/>
                <w:szCs w:val="24"/>
              </w:rPr>
              <w:instrText xml:space="preserve"> PAGEREF _Toc142087270 \h </w:instrText>
            </w:r>
            <w:r w:rsidRPr="00C02B1B">
              <w:rPr>
                <w:rFonts w:ascii="Times New Roman" w:hAnsi="Times New Roman" w:cs="Times New Roman"/>
                <w:noProof/>
                <w:webHidden/>
                <w:sz w:val="24"/>
                <w:szCs w:val="24"/>
              </w:rPr>
            </w:r>
            <w:r w:rsidRPr="00C02B1B">
              <w:rPr>
                <w:rFonts w:ascii="Times New Roman" w:hAnsi="Times New Roman" w:cs="Times New Roman"/>
                <w:noProof/>
                <w:webHidden/>
                <w:sz w:val="24"/>
                <w:szCs w:val="24"/>
              </w:rPr>
              <w:fldChar w:fldCharType="separate"/>
            </w:r>
            <w:r w:rsidRPr="00C02B1B">
              <w:rPr>
                <w:rFonts w:ascii="Times New Roman" w:hAnsi="Times New Roman" w:cs="Times New Roman"/>
                <w:noProof/>
                <w:webHidden/>
                <w:sz w:val="24"/>
                <w:szCs w:val="24"/>
              </w:rPr>
              <w:t>2</w:t>
            </w:r>
            <w:r w:rsidRPr="00C02B1B">
              <w:rPr>
                <w:rFonts w:ascii="Times New Roman" w:hAnsi="Times New Roman" w:cs="Times New Roman"/>
                <w:noProof/>
                <w:webHidden/>
                <w:sz w:val="24"/>
                <w:szCs w:val="24"/>
              </w:rPr>
              <w:fldChar w:fldCharType="end"/>
            </w:r>
          </w:hyperlink>
        </w:p>
        <w:p w14:paraId="5F2306C8" w14:textId="77777777" w:rsidR="00C02B1B" w:rsidRPr="00C02B1B" w:rsidRDefault="00000000" w:rsidP="00C02B1B">
          <w:pPr>
            <w:pStyle w:val="TOC1"/>
            <w:tabs>
              <w:tab w:val="right" w:leader="dot" w:pos="9350"/>
            </w:tabs>
            <w:spacing w:line="360" w:lineRule="auto"/>
            <w:jc w:val="both"/>
            <w:rPr>
              <w:rFonts w:ascii="Times New Roman" w:hAnsi="Times New Roman" w:cs="Times New Roman"/>
              <w:noProof/>
              <w:sz w:val="24"/>
              <w:szCs w:val="24"/>
            </w:rPr>
          </w:pPr>
          <w:hyperlink w:anchor="_Toc142087271" w:history="1">
            <w:r w:rsidR="00C02B1B" w:rsidRPr="00C02B1B">
              <w:rPr>
                <w:rStyle w:val="Hyperlink"/>
                <w:rFonts w:ascii="Times New Roman" w:hAnsi="Times New Roman" w:cs="Times New Roman"/>
                <w:noProof/>
                <w:sz w:val="24"/>
                <w:szCs w:val="24"/>
              </w:rPr>
              <w:t>2) Key laws, regulations, and measures enacted in the UK following the 2008 financial crisis:</w:t>
            </w:r>
            <w:r w:rsidR="00C02B1B" w:rsidRPr="00C02B1B">
              <w:rPr>
                <w:rFonts w:ascii="Times New Roman" w:hAnsi="Times New Roman" w:cs="Times New Roman"/>
                <w:noProof/>
                <w:webHidden/>
                <w:sz w:val="24"/>
                <w:szCs w:val="24"/>
              </w:rPr>
              <w:tab/>
            </w:r>
            <w:r w:rsidR="00C02B1B" w:rsidRPr="00C02B1B">
              <w:rPr>
                <w:rFonts w:ascii="Times New Roman" w:hAnsi="Times New Roman" w:cs="Times New Roman"/>
                <w:noProof/>
                <w:webHidden/>
                <w:sz w:val="24"/>
                <w:szCs w:val="24"/>
              </w:rPr>
              <w:fldChar w:fldCharType="begin"/>
            </w:r>
            <w:r w:rsidR="00C02B1B" w:rsidRPr="00C02B1B">
              <w:rPr>
                <w:rFonts w:ascii="Times New Roman" w:hAnsi="Times New Roman" w:cs="Times New Roman"/>
                <w:noProof/>
                <w:webHidden/>
                <w:sz w:val="24"/>
                <w:szCs w:val="24"/>
              </w:rPr>
              <w:instrText xml:space="preserve"> PAGEREF _Toc142087271 \h </w:instrText>
            </w:r>
            <w:r w:rsidR="00C02B1B" w:rsidRPr="00C02B1B">
              <w:rPr>
                <w:rFonts w:ascii="Times New Roman" w:hAnsi="Times New Roman" w:cs="Times New Roman"/>
                <w:noProof/>
                <w:webHidden/>
                <w:sz w:val="24"/>
                <w:szCs w:val="24"/>
              </w:rPr>
            </w:r>
            <w:r w:rsidR="00C02B1B" w:rsidRPr="00C02B1B">
              <w:rPr>
                <w:rFonts w:ascii="Times New Roman" w:hAnsi="Times New Roman" w:cs="Times New Roman"/>
                <w:noProof/>
                <w:webHidden/>
                <w:sz w:val="24"/>
                <w:szCs w:val="24"/>
              </w:rPr>
              <w:fldChar w:fldCharType="separate"/>
            </w:r>
            <w:r w:rsidR="00C02B1B" w:rsidRPr="00C02B1B">
              <w:rPr>
                <w:rFonts w:ascii="Times New Roman" w:hAnsi="Times New Roman" w:cs="Times New Roman"/>
                <w:noProof/>
                <w:webHidden/>
                <w:sz w:val="24"/>
                <w:szCs w:val="24"/>
              </w:rPr>
              <w:t>2</w:t>
            </w:r>
            <w:r w:rsidR="00C02B1B" w:rsidRPr="00C02B1B">
              <w:rPr>
                <w:rFonts w:ascii="Times New Roman" w:hAnsi="Times New Roman" w:cs="Times New Roman"/>
                <w:noProof/>
                <w:webHidden/>
                <w:sz w:val="24"/>
                <w:szCs w:val="24"/>
              </w:rPr>
              <w:fldChar w:fldCharType="end"/>
            </w:r>
          </w:hyperlink>
        </w:p>
        <w:p w14:paraId="5DC808BC" w14:textId="77777777" w:rsidR="00C02B1B" w:rsidRPr="00C02B1B" w:rsidRDefault="00000000" w:rsidP="00C02B1B">
          <w:pPr>
            <w:pStyle w:val="TOC1"/>
            <w:tabs>
              <w:tab w:val="right" w:leader="dot" w:pos="9350"/>
            </w:tabs>
            <w:spacing w:line="360" w:lineRule="auto"/>
            <w:jc w:val="both"/>
            <w:rPr>
              <w:rFonts w:ascii="Times New Roman" w:hAnsi="Times New Roman" w:cs="Times New Roman"/>
              <w:noProof/>
              <w:sz w:val="24"/>
              <w:szCs w:val="24"/>
            </w:rPr>
          </w:pPr>
          <w:hyperlink w:anchor="_Toc142087272" w:history="1">
            <w:r w:rsidR="00C02B1B" w:rsidRPr="00C02B1B">
              <w:rPr>
                <w:rStyle w:val="Hyperlink"/>
                <w:rFonts w:ascii="Times New Roman" w:hAnsi="Times New Roman" w:cs="Times New Roman"/>
                <w:noProof/>
                <w:sz w:val="24"/>
                <w:szCs w:val="24"/>
              </w:rPr>
              <w:t>3) Global players in the financial system to end the financial crises</w:t>
            </w:r>
            <w:r w:rsidR="00C02B1B" w:rsidRPr="00C02B1B">
              <w:rPr>
                <w:rFonts w:ascii="Times New Roman" w:hAnsi="Times New Roman" w:cs="Times New Roman"/>
                <w:noProof/>
                <w:webHidden/>
                <w:sz w:val="24"/>
                <w:szCs w:val="24"/>
              </w:rPr>
              <w:tab/>
            </w:r>
            <w:r w:rsidR="00C02B1B" w:rsidRPr="00C02B1B">
              <w:rPr>
                <w:rFonts w:ascii="Times New Roman" w:hAnsi="Times New Roman" w:cs="Times New Roman"/>
                <w:noProof/>
                <w:webHidden/>
                <w:sz w:val="24"/>
                <w:szCs w:val="24"/>
              </w:rPr>
              <w:fldChar w:fldCharType="begin"/>
            </w:r>
            <w:r w:rsidR="00C02B1B" w:rsidRPr="00C02B1B">
              <w:rPr>
                <w:rFonts w:ascii="Times New Roman" w:hAnsi="Times New Roman" w:cs="Times New Roman"/>
                <w:noProof/>
                <w:webHidden/>
                <w:sz w:val="24"/>
                <w:szCs w:val="24"/>
              </w:rPr>
              <w:instrText xml:space="preserve"> PAGEREF _Toc142087272 \h </w:instrText>
            </w:r>
            <w:r w:rsidR="00C02B1B" w:rsidRPr="00C02B1B">
              <w:rPr>
                <w:rFonts w:ascii="Times New Roman" w:hAnsi="Times New Roman" w:cs="Times New Roman"/>
                <w:noProof/>
                <w:webHidden/>
                <w:sz w:val="24"/>
                <w:szCs w:val="24"/>
              </w:rPr>
            </w:r>
            <w:r w:rsidR="00C02B1B" w:rsidRPr="00C02B1B">
              <w:rPr>
                <w:rFonts w:ascii="Times New Roman" w:hAnsi="Times New Roman" w:cs="Times New Roman"/>
                <w:noProof/>
                <w:webHidden/>
                <w:sz w:val="24"/>
                <w:szCs w:val="24"/>
              </w:rPr>
              <w:fldChar w:fldCharType="separate"/>
            </w:r>
            <w:r w:rsidR="00C02B1B" w:rsidRPr="00C02B1B">
              <w:rPr>
                <w:rFonts w:ascii="Times New Roman" w:hAnsi="Times New Roman" w:cs="Times New Roman"/>
                <w:noProof/>
                <w:webHidden/>
                <w:sz w:val="24"/>
                <w:szCs w:val="24"/>
              </w:rPr>
              <w:t>5</w:t>
            </w:r>
            <w:r w:rsidR="00C02B1B" w:rsidRPr="00C02B1B">
              <w:rPr>
                <w:rFonts w:ascii="Times New Roman" w:hAnsi="Times New Roman" w:cs="Times New Roman"/>
                <w:noProof/>
                <w:webHidden/>
                <w:sz w:val="24"/>
                <w:szCs w:val="24"/>
              </w:rPr>
              <w:fldChar w:fldCharType="end"/>
            </w:r>
          </w:hyperlink>
        </w:p>
        <w:p w14:paraId="5E040B95" w14:textId="77777777" w:rsidR="00C02B1B" w:rsidRPr="00C02B1B" w:rsidRDefault="00000000" w:rsidP="00C02B1B">
          <w:pPr>
            <w:pStyle w:val="TOC1"/>
            <w:tabs>
              <w:tab w:val="right" w:leader="dot" w:pos="9350"/>
            </w:tabs>
            <w:spacing w:line="360" w:lineRule="auto"/>
            <w:jc w:val="both"/>
            <w:rPr>
              <w:rFonts w:ascii="Times New Roman" w:hAnsi="Times New Roman" w:cs="Times New Roman"/>
              <w:noProof/>
              <w:sz w:val="24"/>
              <w:szCs w:val="24"/>
            </w:rPr>
          </w:pPr>
          <w:hyperlink w:anchor="_Toc142087273" w:history="1">
            <w:r w:rsidR="00C02B1B" w:rsidRPr="00C02B1B">
              <w:rPr>
                <w:rStyle w:val="Hyperlink"/>
                <w:rFonts w:ascii="Times New Roman" w:hAnsi="Times New Roman" w:cs="Times New Roman"/>
                <w:noProof/>
                <w:sz w:val="24"/>
                <w:szCs w:val="24"/>
              </w:rPr>
              <w:t>4) Banking institutions post the 2008 crises</w:t>
            </w:r>
            <w:r w:rsidR="00C02B1B" w:rsidRPr="00C02B1B">
              <w:rPr>
                <w:rFonts w:ascii="Times New Roman" w:hAnsi="Times New Roman" w:cs="Times New Roman"/>
                <w:noProof/>
                <w:webHidden/>
                <w:sz w:val="24"/>
                <w:szCs w:val="24"/>
              </w:rPr>
              <w:tab/>
            </w:r>
            <w:r w:rsidR="00C02B1B" w:rsidRPr="00C02B1B">
              <w:rPr>
                <w:rFonts w:ascii="Times New Roman" w:hAnsi="Times New Roman" w:cs="Times New Roman"/>
                <w:noProof/>
                <w:webHidden/>
                <w:sz w:val="24"/>
                <w:szCs w:val="24"/>
              </w:rPr>
              <w:fldChar w:fldCharType="begin"/>
            </w:r>
            <w:r w:rsidR="00C02B1B" w:rsidRPr="00C02B1B">
              <w:rPr>
                <w:rFonts w:ascii="Times New Roman" w:hAnsi="Times New Roman" w:cs="Times New Roman"/>
                <w:noProof/>
                <w:webHidden/>
                <w:sz w:val="24"/>
                <w:szCs w:val="24"/>
              </w:rPr>
              <w:instrText xml:space="preserve"> PAGEREF _Toc142087273 \h </w:instrText>
            </w:r>
            <w:r w:rsidR="00C02B1B" w:rsidRPr="00C02B1B">
              <w:rPr>
                <w:rFonts w:ascii="Times New Roman" w:hAnsi="Times New Roman" w:cs="Times New Roman"/>
                <w:noProof/>
                <w:webHidden/>
                <w:sz w:val="24"/>
                <w:szCs w:val="24"/>
              </w:rPr>
            </w:r>
            <w:r w:rsidR="00C02B1B" w:rsidRPr="00C02B1B">
              <w:rPr>
                <w:rFonts w:ascii="Times New Roman" w:hAnsi="Times New Roman" w:cs="Times New Roman"/>
                <w:noProof/>
                <w:webHidden/>
                <w:sz w:val="24"/>
                <w:szCs w:val="24"/>
              </w:rPr>
              <w:fldChar w:fldCharType="separate"/>
            </w:r>
            <w:r w:rsidR="00C02B1B" w:rsidRPr="00C02B1B">
              <w:rPr>
                <w:rFonts w:ascii="Times New Roman" w:hAnsi="Times New Roman" w:cs="Times New Roman"/>
                <w:noProof/>
                <w:webHidden/>
                <w:sz w:val="24"/>
                <w:szCs w:val="24"/>
              </w:rPr>
              <w:t>9</w:t>
            </w:r>
            <w:r w:rsidR="00C02B1B" w:rsidRPr="00C02B1B">
              <w:rPr>
                <w:rFonts w:ascii="Times New Roman" w:hAnsi="Times New Roman" w:cs="Times New Roman"/>
                <w:noProof/>
                <w:webHidden/>
                <w:sz w:val="24"/>
                <w:szCs w:val="24"/>
              </w:rPr>
              <w:fldChar w:fldCharType="end"/>
            </w:r>
          </w:hyperlink>
        </w:p>
        <w:p w14:paraId="5C3D338F" w14:textId="77777777" w:rsidR="00C02B1B" w:rsidRPr="00C02B1B" w:rsidRDefault="00000000" w:rsidP="00C02B1B">
          <w:pPr>
            <w:pStyle w:val="TOC1"/>
            <w:tabs>
              <w:tab w:val="right" w:leader="dot" w:pos="9350"/>
            </w:tabs>
            <w:spacing w:line="360" w:lineRule="auto"/>
            <w:jc w:val="both"/>
            <w:rPr>
              <w:rFonts w:ascii="Times New Roman" w:hAnsi="Times New Roman" w:cs="Times New Roman"/>
              <w:noProof/>
              <w:sz w:val="24"/>
              <w:szCs w:val="24"/>
            </w:rPr>
          </w:pPr>
          <w:hyperlink w:anchor="_Toc142087274" w:history="1">
            <w:r w:rsidR="00C02B1B" w:rsidRPr="00C02B1B">
              <w:rPr>
                <w:rStyle w:val="Hyperlink"/>
                <w:rFonts w:ascii="Times New Roman" w:hAnsi="Times New Roman" w:cs="Times New Roman"/>
                <w:noProof/>
                <w:sz w:val="24"/>
                <w:szCs w:val="24"/>
              </w:rPr>
              <w:t>5) Theoretical Implementation</w:t>
            </w:r>
            <w:r w:rsidR="00C02B1B" w:rsidRPr="00C02B1B">
              <w:rPr>
                <w:rFonts w:ascii="Times New Roman" w:hAnsi="Times New Roman" w:cs="Times New Roman"/>
                <w:noProof/>
                <w:webHidden/>
                <w:sz w:val="24"/>
                <w:szCs w:val="24"/>
              </w:rPr>
              <w:tab/>
            </w:r>
            <w:r w:rsidR="00C02B1B" w:rsidRPr="00C02B1B">
              <w:rPr>
                <w:rFonts w:ascii="Times New Roman" w:hAnsi="Times New Roman" w:cs="Times New Roman"/>
                <w:noProof/>
                <w:webHidden/>
                <w:sz w:val="24"/>
                <w:szCs w:val="24"/>
              </w:rPr>
              <w:fldChar w:fldCharType="begin"/>
            </w:r>
            <w:r w:rsidR="00C02B1B" w:rsidRPr="00C02B1B">
              <w:rPr>
                <w:rFonts w:ascii="Times New Roman" w:hAnsi="Times New Roman" w:cs="Times New Roman"/>
                <w:noProof/>
                <w:webHidden/>
                <w:sz w:val="24"/>
                <w:szCs w:val="24"/>
              </w:rPr>
              <w:instrText xml:space="preserve"> PAGEREF _Toc142087274 \h </w:instrText>
            </w:r>
            <w:r w:rsidR="00C02B1B" w:rsidRPr="00C02B1B">
              <w:rPr>
                <w:rFonts w:ascii="Times New Roman" w:hAnsi="Times New Roman" w:cs="Times New Roman"/>
                <w:noProof/>
                <w:webHidden/>
                <w:sz w:val="24"/>
                <w:szCs w:val="24"/>
              </w:rPr>
            </w:r>
            <w:r w:rsidR="00C02B1B" w:rsidRPr="00C02B1B">
              <w:rPr>
                <w:rFonts w:ascii="Times New Roman" w:hAnsi="Times New Roman" w:cs="Times New Roman"/>
                <w:noProof/>
                <w:webHidden/>
                <w:sz w:val="24"/>
                <w:szCs w:val="24"/>
              </w:rPr>
              <w:fldChar w:fldCharType="separate"/>
            </w:r>
            <w:r w:rsidR="00C02B1B" w:rsidRPr="00C02B1B">
              <w:rPr>
                <w:rFonts w:ascii="Times New Roman" w:hAnsi="Times New Roman" w:cs="Times New Roman"/>
                <w:noProof/>
                <w:webHidden/>
                <w:sz w:val="24"/>
                <w:szCs w:val="24"/>
              </w:rPr>
              <w:t>11</w:t>
            </w:r>
            <w:r w:rsidR="00C02B1B" w:rsidRPr="00C02B1B">
              <w:rPr>
                <w:rFonts w:ascii="Times New Roman" w:hAnsi="Times New Roman" w:cs="Times New Roman"/>
                <w:noProof/>
                <w:webHidden/>
                <w:sz w:val="24"/>
                <w:szCs w:val="24"/>
              </w:rPr>
              <w:fldChar w:fldCharType="end"/>
            </w:r>
          </w:hyperlink>
        </w:p>
        <w:p w14:paraId="32EFEC63" w14:textId="77777777" w:rsidR="00C02B1B" w:rsidRPr="00C02B1B" w:rsidRDefault="00000000" w:rsidP="00C02B1B">
          <w:pPr>
            <w:pStyle w:val="TOC1"/>
            <w:tabs>
              <w:tab w:val="right" w:leader="dot" w:pos="9350"/>
            </w:tabs>
            <w:spacing w:line="360" w:lineRule="auto"/>
            <w:jc w:val="both"/>
            <w:rPr>
              <w:rFonts w:ascii="Times New Roman" w:hAnsi="Times New Roman" w:cs="Times New Roman"/>
              <w:noProof/>
              <w:sz w:val="24"/>
              <w:szCs w:val="24"/>
            </w:rPr>
          </w:pPr>
          <w:hyperlink w:anchor="_Toc142087275" w:history="1">
            <w:r w:rsidR="00C02B1B" w:rsidRPr="00C02B1B">
              <w:rPr>
                <w:rStyle w:val="Hyperlink"/>
                <w:rFonts w:ascii="Times New Roman" w:hAnsi="Times New Roman" w:cs="Times New Roman"/>
                <w:noProof/>
                <w:sz w:val="24"/>
                <w:szCs w:val="24"/>
              </w:rPr>
              <w:t>6) Financial Services company and analyse</w:t>
            </w:r>
            <w:r w:rsidR="00C02B1B" w:rsidRPr="00C02B1B">
              <w:rPr>
                <w:rFonts w:ascii="Times New Roman" w:hAnsi="Times New Roman" w:cs="Times New Roman"/>
                <w:noProof/>
                <w:webHidden/>
                <w:sz w:val="24"/>
                <w:szCs w:val="24"/>
              </w:rPr>
              <w:tab/>
            </w:r>
            <w:r w:rsidR="00C02B1B" w:rsidRPr="00C02B1B">
              <w:rPr>
                <w:rFonts w:ascii="Times New Roman" w:hAnsi="Times New Roman" w:cs="Times New Roman"/>
                <w:noProof/>
                <w:webHidden/>
                <w:sz w:val="24"/>
                <w:szCs w:val="24"/>
              </w:rPr>
              <w:fldChar w:fldCharType="begin"/>
            </w:r>
            <w:r w:rsidR="00C02B1B" w:rsidRPr="00C02B1B">
              <w:rPr>
                <w:rFonts w:ascii="Times New Roman" w:hAnsi="Times New Roman" w:cs="Times New Roman"/>
                <w:noProof/>
                <w:webHidden/>
                <w:sz w:val="24"/>
                <w:szCs w:val="24"/>
              </w:rPr>
              <w:instrText xml:space="preserve"> PAGEREF _Toc142087275 \h </w:instrText>
            </w:r>
            <w:r w:rsidR="00C02B1B" w:rsidRPr="00C02B1B">
              <w:rPr>
                <w:rFonts w:ascii="Times New Roman" w:hAnsi="Times New Roman" w:cs="Times New Roman"/>
                <w:noProof/>
                <w:webHidden/>
                <w:sz w:val="24"/>
                <w:szCs w:val="24"/>
              </w:rPr>
            </w:r>
            <w:r w:rsidR="00C02B1B" w:rsidRPr="00C02B1B">
              <w:rPr>
                <w:rFonts w:ascii="Times New Roman" w:hAnsi="Times New Roman" w:cs="Times New Roman"/>
                <w:noProof/>
                <w:webHidden/>
                <w:sz w:val="24"/>
                <w:szCs w:val="24"/>
              </w:rPr>
              <w:fldChar w:fldCharType="separate"/>
            </w:r>
            <w:r w:rsidR="00C02B1B" w:rsidRPr="00C02B1B">
              <w:rPr>
                <w:rFonts w:ascii="Times New Roman" w:hAnsi="Times New Roman" w:cs="Times New Roman"/>
                <w:noProof/>
                <w:webHidden/>
                <w:sz w:val="24"/>
                <w:szCs w:val="24"/>
              </w:rPr>
              <w:t>12</w:t>
            </w:r>
            <w:r w:rsidR="00C02B1B" w:rsidRPr="00C02B1B">
              <w:rPr>
                <w:rFonts w:ascii="Times New Roman" w:hAnsi="Times New Roman" w:cs="Times New Roman"/>
                <w:noProof/>
                <w:webHidden/>
                <w:sz w:val="24"/>
                <w:szCs w:val="24"/>
              </w:rPr>
              <w:fldChar w:fldCharType="end"/>
            </w:r>
          </w:hyperlink>
        </w:p>
        <w:p w14:paraId="394C59F9" w14:textId="77777777" w:rsidR="00C02B1B" w:rsidRPr="00C02B1B" w:rsidRDefault="00000000" w:rsidP="00C02B1B">
          <w:pPr>
            <w:pStyle w:val="TOC1"/>
            <w:tabs>
              <w:tab w:val="right" w:leader="dot" w:pos="9350"/>
            </w:tabs>
            <w:spacing w:line="360" w:lineRule="auto"/>
            <w:jc w:val="both"/>
            <w:rPr>
              <w:rFonts w:ascii="Times New Roman" w:hAnsi="Times New Roman" w:cs="Times New Roman"/>
              <w:noProof/>
              <w:sz w:val="24"/>
              <w:szCs w:val="24"/>
            </w:rPr>
          </w:pPr>
          <w:hyperlink w:anchor="_Toc142087276" w:history="1">
            <w:r w:rsidR="00C02B1B" w:rsidRPr="00C02B1B">
              <w:rPr>
                <w:rStyle w:val="Hyperlink"/>
                <w:rFonts w:ascii="Times New Roman" w:hAnsi="Times New Roman" w:cs="Times New Roman"/>
                <w:noProof/>
                <w:sz w:val="24"/>
                <w:szCs w:val="24"/>
              </w:rPr>
              <w:t>7) Recommendations</w:t>
            </w:r>
            <w:r w:rsidR="00C02B1B" w:rsidRPr="00C02B1B">
              <w:rPr>
                <w:rFonts w:ascii="Times New Roman" w:hAnsi="Times New Roman" w:cs="Times New Roman"/>
                <w:noProof/>
                <w:webHidden/>
                <w:sz w:val="24"/>
                <w:szCs w:val="24"/>
              </w:rPr>
              <w:tab/>
            </w:r>
            <w:r w:rsidR="00C02B1B" w:rsidRPr="00C02B1B">
              <w:rPr>
                <w:rFonts w:ascii="Times New Roman" w:hAnsi="Times New Roman" w:cs="Times New Roman"/>
                <w:noProof/>
                <w:webHidden/>
                <w:sz w:val="24"/>
                <w:szCs w:val="24"/>
              </w:rPr>
              <w:fldChar w:fldCharType="begin"/>
            </w:r>
            <w:r w:rsidR="00C02B1B" w:rsidRPr="00C02B1B">
              <w:rPr>
                <w:rFonts w:ascii="Times New Roman" w:hAnsi="Times New Roman" w:cs="Times New Roman"/>
                <w:noProof/>
                <w:webHidden/>
                <w:sz w:val="24"/>
                <w:szCs w:val="24"/>
              </w:rPr>
              <w:instrText xml:space="preserve"> PAGEREF _Toc142087276 \h </w:instrText>
            </w:r>
            <w:r w:rsidR="00C02B1B" w:rsidRPr="00C02B1B">
              <w:rPr>
                <w:rFonts w:ascii="Times New Roman" w:hAnsi="Times New Roman" w:cs="Times New Roman"/>
                <w:noProof/>
                <w:webHidden/>
                <w:sz w:val="24"/>
                <w:szCs w:val="24"/>
              </w:rPr>
            </w:r>
            <w:r w:rsidR="00C02B1B" w:rsidRPr="00C02B1B">
              <w:rPr>
                <w:rFonts w:ascii="Times New Roman" w:hAnsi="Times New Roman" w:cs="Times New Roman"/>
                <w:noProof/>
                <w:webHidden/>
                <w:sz w:val="24"/>
                <w:szCs w:val="24"/>
              </w:rPr>
              <w:fldChar w:fldCharType="separate"/>
            </w:r>
            <w:r w:rsidR="00C02B1B" w:rsidRPr="00C02B1B">
              <w:rPr>
                <w:rFonts w:ascii="Times New Roman" w:hAnsi="Times New Roman" w:cs="Times New Roman"/>
                <w:noProof/>
                <w:webHidden/>
                <w:sz w:val="24"/>
                <w:szCs w:val="24"/>
              </w:rPr>
              <w:t>15</w:t>
            </w:r>
            <w:r w:rsidR="00C02B1B" w:rsidRPr="00C02B1B">
              <w:rPr>
                <w:rFonts w:ascii="Times New Roman" w:hAnsi="Times New Roman" w:cs="Times New Roman"/>
                <w:noProof/>
                <w:webHidden/>
                <w:sz w:val="24"/>
                <w:szCs w:val="24"/>
              </w:rPr>
              <w:fldChar w:fldCharType="end"/>
            </w:r>
          </w:hyperlink>
        </w:p>
        <w:p w14:paraId="41246E4A" w14:textId="77777777" w:rsidR="00C02B1B" w:rsidRPr="00C02B1B" w:rsidRDefault="00000000" w:rsidP="00C02B1B">
          <w:pPr>
            <w:pStyle w:val="TOC1"/>
            <w:tabs>
              <w:tab w:val="right" w:leader="dot" w:pos="9350"/>
            </w:tabs>
            <w:spacing w:line="360" w:lineRule="auto"/>
            <w:jc w:val="both"/>
            <w:rPr>
              <w:rFonts w:ascii="Times New Roman" w:hAnsi="Times New Roman" w:cs="Times New Roman"/>
              <w:noProof/>
              <w:sz w:val="24"/>
              <w:szCs w:val="24"/>
            </w:rPr>
          </w:pPr>
          <w:hyperlink w:anchor="_Toc142087277" w:history="1">
            <w:r w:rsidR="00C02B1B" w:rsidRPr="00C02B1B">
              <w:rPr>
                <w:rStyle w:val="Hyperlink"/>
                <w:rFonts w:ascii="Times New Roman" w:hAnsi="Times New Roman" w:cs="Times New Roman"/>
                <w:noProof/>
                <w:sz w:val="24"/>
                <w:szCs w:val="24"/>
              </w:rPr>
              <w:t>8) Conclusion</w:t>
            </w:r>
            <w:r w:rsidR="00C02B1B" w:rsidRPr="00C02B1B">
              <w:rPr>
                <w:rFonts w:ascii="Times New Roman" w:hAnsi="Times New Roman" w:cs="Times New Roman"/>
                <w:noProof/>
                <w:webHidden/>
                <w:sz w:val="24"/>
                <w:szCs w:val="24"/>
              </w:rPr>
              <w:tab/>
            </w:r>
            <w:r w:rsidR="00C02B1B" w:rsidRPr="00C02B1B">
              <w:rPr>
                <w:rFonts w:ascii="Times New Roman" w:hAnsi="Times New Roman" w:cs="Times New Roman"/>
                <w:noProof/>
                <w:webHidden/>
                <w:sz w:val="24"/>
                <w:szCs w:val="24"/>
              </w:rPr>
              <w:fldChar w:fldCharType="begin"/>
            </w:r>
            <w:r w:rsidR="00C02B1B" w:rsidRPr="00C02B1B">
              <w:rPr>
                <w:rFonts w:ascii="Times New Roman" w:hAnsi="Times New Roman" w:cs="Times New Roman"/>
                <w:noProof/>
                <w:webHidden/>
                <w:sz w:val="24"/>
                <w:szCs w:val="24"/>
              </w:rPr>
              <w:instrText xml:space="preserve"> PAGEREF _Toc142087277 \h </w:instrText>
            </w:r>
            <w:r w:rsidR="00C02B1B" w:rsidRPr="00C02B1B">
              <w:rPr>
                <w:rFonts w:ascii="Times New Roman" w:hAnsi="Times New Roman" w:cs="Times New Roman"/>
                <w:noProof/>
                <w:webHidden/>
                <w:sz w:val="24"/>
                <w:szCs w:val="24"/>
              </w:rPr>
            </w:r>
            <w:r w:rsidR="00C02B1B" w:rsidRPr="00C02B1B">
              <w:rPr>
                <w:rFonts w:ascii="Times New Roman" w:hAnsi="Times New Roman" w:cs="Times New Roman"/>
                <w:noProof/>
                <w:webHidden/>
                <w:sz w:val="24"/>
                <w:szCs w:val="24"/>
              </w:rPr>
              <w:fldChar w:fldCharType="separate"/>
            </w:r>
            <w:r w:rsidR="00C02B1B" w:rsidRPr="00C02B1B">
              <w:rPr>
                <w:rFonts w:ascii="Times New Roman" w:hAnsi="Times New Roman" w:cs="Times New Roman"/>
                <w:noProof/>
                <w:webHidden/>
                <w:sz w:val="24"/>
                <w:szCs w:val="24"/>
              </w:rPr>
              <w:t>16</w:t>
            </w:r>
            <w:r w:rsidR="00C02B1B" w:rsidRPr="00C02B1B">
              <w:rPr>
                <w:rFonts w:ascii="Times New Roman" w:hAnsi="Times New Roman" w:cs="Times New Roman"/>
                <w:noProof/>
                <w:webHidden/>
                <w:sz w:val="24"/>
                <w:szCs w:val="24"/>
              </w:rPr>
              <w:fldChar w:fldCharType="end"/>
            </w:r>
          </w:hyperlink>
        </w:p>
        <w:p w14:paraId="2DA7D5A4" w14:textId="77777777" w:rsidR="00C02B1B" w:rsidRPr="00C02B1B" w:rsidRDefault="00000000" w:rsidP="00C02B1B">
          <w:pPr>
            <w:pStyle w:val="TOC1"/>
            <w:tabs>
              <w:tab w:val="right" w:leader="dot" w:pos="9350"/>
            </w:tabs>
            <w:spacing w:line="360" w:lineRule="auto"/>
            <w:jc w:val="both"/>
            <w:rPr>
              <w:rFonts w:ascii="Times New Roman" w:hAnsi="Times New Roman" w:cs="Times New Roman"/>
              <w:noProof/>
              <w:sz w:val="24"/>
              <w:szCs w:val="24"/>
            </w:rPr>
          </w:pPr>
          <w:hyperlink w:anchor="_Toc142087278" w:history="1">
            <w:r w:rsidR="00C02B1B" w:rsidRPr="00C02B1B">
              <w:rPr>
                <w:rStyle w:val="Hyperlink"/>
                <w:rFonts w:ascii="Times New Roman" w:hAnsi="Times New Roman" w:cs="Times New Roman"/>
                <w:noProof/>
                <w:sz w:val="24"/>
                <w:szCs w:val="24"/>
              </w:rPr>
              <w:t>Reference List</w:t>
            </w:r>
            <w:r w:rsidR="00C02B1B" w:rsidRPr="00C02B1B">
              <w:rPr>
                <w:rFonts w:ascii="Times New Roman" w:hAnsi="Times New Roman" w:cs="Times New Roman"/>
                <w:noProof/>
                <w:webHidden/>
                <w:sz w:val="24"/>
                <w:szCs w:val="24"/>
              </w:rPr>
              <w:tab/>
            </w:r>
            <w:r w:rsidR="00C02B1B" w:rsidRPr="00C02B1B">
              <w:rPr>
                <w:rFonts w:ascii="Times New Roman" w:hAnsi="Times New Roman" w:cs="Times New Roman"/>
                <w:noProof/>
                <w:webHidden/>
                <w:sz w:val="24"/>
                <w:szCs w:val="24"/>
              </w:rPr>
              <w:fldChar w:fldCharType="begin"/>
            </w:r>
            <w:r w:rsidR="00C02B1B" w:rsidRPr="00C02B1B">
              <w:rPr>
                <w:rFonts w:ascii="Times New Roman" w:hAnsi="Times New Roman" w:cs="Times New Roman"/>
                <w:noProof/>
                <w:webHidden/>
                <w:sz w:val="24"/>
                <w:szCs w:val="24"/>
              </w:rPr>
              <w:instrText xml:space="preserve"> PAGEREF _Toc142087278 \h </w:instrText>
            </w:r>
            <w:r w:rsidR="00C02B1B" w:rsidRPr="00C02B1B">
              <w:rPr>
                <w:rFonts w:ascii="Times New Roman" w:hAnsi="Times New Roman" w:cs="Times New Roman"/>
                <w:noProof/>
                <w:webHidden/>
                <w:sz w:val="24"/>
                <w:szCs w:val="24"/>
              </w:rPr>
            </w:r>
            <w:r w:rsidR="00C02B1B" w:rsidRPr="00C02B1B">
              <w:rPr>
                <w:rFonts w:ascii="Times New Roman" w:hAnsi="Times New Roman" w:cs="Times New Roman"/>
                <w:noProof/>
                <w:webHidden/>
                <w:sz w:val="24"/>
                <w:szCs w:val="24"/>
              </w:rPr>
              <w:fldChar w:fldCharType="separate"/>
            </w:r>
            <w:r w:rsidR="00C02B1B" w:rsidRPr="00C02B1B">
              <w:rPr>
                <w:rFonts w:ascii="Times New Roman" w:hAnsi="Times New Roman" w:cs="Times New Roman"/>
                <w:noProof/>
                <w:webHidden/>
                <w:sz w:val="24"/>
                <w:szCs w:val="24"/>
              </w:rPr>
              <w:t>18</w:t>
            </w:r>
            <w:r w:rsidR="00C02B1B" w:rsidRPr="00C02B1B">
              <w:rPr>
                <w:rFonts w:ascii="Times New Roman" w:hAnsi="Times New Roman" w:cs="Times New Roman"/>
                <w:noProof/>
                <w:webHidden/>
                <w:sz w:val="24"/>
                <w:szCs w:val="24"/>
              </w:rPr>
              <w:fldChar w:fldCharType="end"/>
            </w:r>
          </w:hyperlink>
        </w:p>
        <w:p w14:paraId="1ABBB65E" w14:textId="77777777" w:rsidR="00C02B1B" w:rsidRDefault="00C02B1B" w:rsidP="00C02B1B">
          <w:pPr>
            <w:spacing w:line="360" w:lineRule="auto"/>
            <w:jc w:val="both"/>
          </w:pPr>
          <w:r w:rsidRPr="00C02B1B">
            <w:rPr>
              <w:rFonts w:ascii="Times New Roman" w:hAnsi="Times New Roman" w:cs="Times New Roman"/>
              <w:sz w:val="24"/>
              <w:szCs w:val="24"/>
            </w:rPr>
            <w:fldChar w:fldCharType="end"/>
          </w:r>
        </w:p>
      </w:sdtContent>
    </w:sdt>
    <w:p w14:paraId="2E4FFA0F" w14:textId="77777777" w:rsidR="00C02B1B" w:rsidRDefault="00C02B1B">
      <w:pPr>
        <w:rPr>
          <w:rFonts w:ascii="Times New Roman" w:eastAsiaTheme="majorEastAsia" w:hAnsi="Times New Roman" w:cstheme="majorBidi"/>
          <w:b/>
          <w:bCs/>
          <w:sz w:val="26"/>
          <w:szCs w:val="28"/>
        </w:rPr>
      </w:pPr>
      <w:bookmarkStart w:id="0" w:name="_Toc142087270"/>
      <w:r>
        <w:br w:type="page"/>
      </w:r>
    </w:p>
    <w:p w14:paraId="4D38D6FB" w14:textId="77777777" w:rsidR="00620290" w:rsidRPr="00620290" w:rsidRDefault="00620290" w:rsidP="004F3B4D">
      <w:pPr>
        <w:pStyle w:val="Heading1"/>
      </w:pPr>
      <w:r>
        <w:lastRenderedPageBreak/>
        <w:t>1)</w:t>
      </w:r>
      <w:r w:rsidR="000E0056">
        <w:t xml:space="preserve"> </w:t>
      </w:r>
      <w:r w:rsidRPr="00620290">
        <w:t>Introduction</w:t>
      </w:r>
      <w:bookmarkEnd w:id="0"/>
      <w:r w:rsidRPr="00620290">
        <w:t xml:space="preserve"> </w:t>
      </w:r>
    </w:p>
    <w:p w14:paraId="189C4A9B" w14:textId="77777777" w:rsidR="000E0056" w:rsidRDefault="000E0056" w:rsidP="004F3B4D">
      <w:pPr>
        <w:spacing w:line="360" w:lineRule="auto"/>
        <w:jc w:val="both"/>
        <w:rPr>
          <w:rFonts w:ascii="Times New Roman" w:hAnsi="Times New Roman" w:cs="Times New Roman"/>
          <w:sz w:val="24"/>
          <w:szCs w:val="24"/>
        </w:rPr>
      </w:pPr>
      <w:r w:rsidRPr="000E0056">
        <w:rPr>
          <w:rFonts w:ascii="Times New Roman" w:hAnsi="Times New Roman" w:cs="Times New Roman"/>
          <w:sz w:val="24"/>
          <w:szCs w:val="24"/>
        </w:rPr>
        <w:t>In the world of contemporary finance, laws, policies, and paradigmatic changes are entwined in a complex web with the goal of protecting financial institution stability and promoting a robust global economy. Following the 2008 financial crisis, countries and financial institutions were forced to reflect, change, and implement policies aimed at reducing systemic risks and improving transparency. This essential drive resulted in the introduction of numerous reforms that have subsequently spread throughout the financial industry.</w:t>
      </w:r>
    </w:p>
    <w:p w14:paraId="3EE6D39B" w14:textId="77777777" w:rsidR="000E0056" w:rsidRDefault="000E0056" w:rsidP="004F3B4D">
      <w:pPr>
        <w:spacing w:line="360" w:lineRule="auto"/>
        <w:jc w:val="both"/>
        <w:rPr>
          <w:rFonts w:ascii="Times New Roman" w:hAnsi="Times New Roman" w:cs="Times New Roman"/>
          <w:sz w:val="24"/>
          <w:szCs w:val="24"/>
        </w:rPr>
      </w:pPr>
      <w:r w:rsidRPr="00620290">
        <w:rPr>
          <w:rFonts w:ascii="Times New Roman" w:hAnsi="Times New Roman" w:cs="Times New Roman"/>
          <w:sz w:val="24"/>
          <w:szCs w:val="24"/>
        </w:rPr>
        <w:t xml:space="preserve">Against this backdrop, this analysis delves into the profound impact of key financial reforms on a distinguished entity within the UK's financial landscape, </w:t>
      </w:r>
      <w:r w:rsidR="00C30C3F">
        <w:rPr>
          <w:rFonts w:ascii="Times New Roman" w:hAnsi="Times New Roman" w:cs="Times New Roman"/>
          <w:sz w:val="24"/>
          <w:szCs w:val="24"/>
        </w:rPr>
        <w:t xml:space="preserve">Barclays Bank. </w:t>
      </w:r>
      <w:r w:rsidRPr="00620290">
        <w:rPr>
          <w:rFonts w:ascii="Times New Roman" w:hAnsi="Times New Roman" w:cs="Times New Roman"/>
          <w:sz w:val="24"/>
          <w:szCs w:val="24"/>
        </w:rPr>
        <w:t xml:space="preserve">As one of the largest and most venerable banking institutions, </w:t>
      </w:r>
      <w:r w:rsidR="00C30C3F">
        <w:rPr>
          <w:rFonts w:ascii="Times New Roman" w:hAnsi="Times New Roman" w:cs="Times New Roman"/>
          <w:sz w:val="24"/>
          <w:szCs w:val="24"/>
        </w:rPr>
        <w:t xml:space="preserve">Barclays </w:t>
      </w:r>
      <w:r w:rsidRPr="00620290">
        <w:rPr>
          <w:rFonts w:ascii="Times New Roman" w:hAnsi="Times New Roman" w:cs="Times New Roman"/>
          <w:sz w:val="24"/>
          <w:szCs w:val="24"/>
        </w:rPr>
        <w:t>has navigated the currents of change set in motion by pivotal reforms, offering an insightful lens into the transformative power of regulatory mandates. In particular, this exploration traverses the realms of Basel III regulations and the paradigm-shifting concept of ring-fencing. It scrutinizes how these reforms have intricately woven thems</w:t>
      </w:r>
      <w:r w:rsidR="00826B9D">
        <w:rPr>
          <w:rFonts w:ascii="Times New Roman" w:hAnsi="Times New Roman" w:cs="Times New Roman"/>
          <w:sz w:val="24"/>
          <w:szCs w:val="24"/>
        </w:rPr>
        <w:t>elves into the fabric of Barclay’s</w:t>
      </w:r>
      <w:r w:rsidR="00826B9D" w:rsidRPr="00620290">
        <w:rPr>
          <w:rFonts w:ascii="Times New Roman" w:hAnsi="Times New Roman" w:cs="Times New Roman"/>
          <w:sz w:val="24"/>
          <w:szCs w:val="24"/>
        </w:rPr>
        <w:t xml:space="preserve"> </w:t>
      </w:r>
      <w:r w:rsidRPr="00620290">
        <w:rPr>
          <w:rFonts w:ascii="Times New Roman" w:hAnsi="Times New Roman" w:cs="Times New Roman"/>
          <w:sz w:val="24"/>
          <w:szCs w:val="24"/>
        </w:rPr>
        <w:t>business model, compliance endeavors, and financial performance.</w:t>
      </w:r>
    </w:p>
    <w:p w14:paraId="3850BD19" w14:textId="77777777" w:rsidR="000E0056" w:rsidRDefault="000E0056" w:rsidP="004F3B4D">
      <w:pPr>
        <w:spacing w:line="360" w:lineRule="auto"/>
        <w:jc w:val="both"/>
        <w:rPr>
          <w:rFonts w:ascii="Times New Roman" w:hAnsi="Times New Roman" w:cs="Times New Roman"/>
          <w:sz w:val="24"/>
          <w:szCs w:val="24"/>
        </w:rPr>
      </w:pPr>
      <w:r w:rsidRPr="000E0056">
        <w:rPr>
          <w:rFonts w:ascii="Times New Roman" w:hAnsi="Times New Roman" w:cs="Times New Roman"/>
          <w:sz w:val="24"/>
          <w:szCs w:val="24"/>
        </w:rPr>
        <w:t>This analysis focuses on the relationship between adherence and tra</w:t>
      </w:r>
      <w:r w:rsidR="00826B9D">
        <w:rPr>
          <w:rFonts w:ascii="Times New Roman" w:hAnsi="Times New Roman" w:cs="Times New Roman"/>
          <w:sz w:val="24"/>
          <w:szCs w:val="24"/>
        </w:rPr>
        <w:t>nsformation, showing how Barclay’s</w:t>
      </w:r>
      <w:r w:rsidRPr="000E0056">
        <w:rPr>
          <w:rFonts w:ascii="Times New Roman" w:hAnsi="Times New Roman" w:cs="Times New Roman"/>
          <w:sz w:val="24"/>
          <w:szCs w:val="24"/>
        </w:rPr>
        <w:t xml:space="preserve"> strategic reactions to reforms have changed its competitive position, strengthened its resilience, and prepared it for a changing financial horizon. A thorough grasp of the intricate relationships between reforms, compliance, and company evol</w:t>
      </w:r>
      <w:r w:rsidR="00C30C3F">
        <w:rPr>
          <w:rFonts w:ascii="Times New Roman" w:hAnsi="Times New Roman" w:cs="Times New Roman"/>
          <w:sz w:val="24"/>
          <w:szCs w:val="24"/>
        </w:rPr>
        <w:t xml:space="preserve">ution will become evident </w:t>
      </w:r>
      <w:r w:rsidRPr="000E0056">
        <w:rPr>
          <w:rFonts w:ascii="Times New Roman" w:hAnsi="Times New Roman" w:cs="Times New Roman"/>
          <w:sz w:val="24"/>
          <w:szCs w:val="24"/>
        </w:rPr>
        <w:t xml:space="preserve">through the ensuing sections, highlighting </w:t>
      </w:r>
      <w:r w:rsidR="00C30C3F">
        <w:rPr>
          <w:rFonts w:ascii="Times New Roman" w:hAnsi="Times New Roman" w:cs="Times New Roman"/>
          <w:sz w:val="24"/>
          <w:szCs w:val="24"/>
        </w:rPr>
        <w:t xml:space="preserve">Barclays </w:t>
      </w:r>
      <w:r w:rsidRPr="000E0056">
        <w:rPr>
          <w:rFonts w:ascii="Times New Roman" w:hAnsi="Times New Roman" w:cs="Times New Roman"/>
          <w:sz w:val="24"/>
          <w:szCs w:val="24"/>
        </w:rPr>
        <w:t>Group's journey during a period characterised by regulatory change.</w:t>
      </w:r>
    </w:p>
    <w:p w14:paraId="0C732F1E" w14:textId="77777777" w:rsidR="00AB10D1" w:rsidRPr="00620290" w:rsidRDefault="00620290" w:rsidP="004F3B4D">
      <w:pPr>
        <w:pStyle w:val="Heading1"/>
      </w:pPr>
      <w:bookmarkStart w:id="1" w:name="_Toc142087271"/>
      <w:r w:rsidRPr="00620290">
        <w:t xml:space="preserve">2) </w:t>
      </w:r>
      <w:r w:rsidR="00AB10D1" w:rsidRPr="00620290">
        <w:t>Key laws, regulations, and measures enacted in the UK following the 2008 financial crisis:</w:t>
      </w:r>
      <w:bookmarkEnd w:id="1"/>
    </w:p>
    <w:p w14:paraId="39E34CDE" w14:textId="77777777" w:rsidR="000E0056" w:rsidRPr="000E0056" w:rsidRDefault="00AB10D1" w:rsidP="004F3B4D">
      <w:pPr>
        <w:spacing w:line="360" w:lineRule="auto"/>
        <w:jc w:val="both"/>
        <w:rPr>
          <w:rFonts w:ascii="Times New Roman" w:hAnsi="Times New Roman" w:cs="Times New Roman"/>
          <w:sz w:val="24"/>
          <w:szCs w:val="24"/>
        </w:rPr>
      </w:pPr>
      <w:r w:rsidRPr="00AB10D1">
        <w:rPr>
          <w:rFonts w:ascii="Times New Roman" w:hAnsi="Times New Roman" w:cs="Times New Roman"/>
          <w:b/>
          <w:sz w:val="24"/>
          <w:szCs w:val="24"/>
        </w:rPr>
        <w:t>Financial Services Act (2012</w:t>
      </w:r>
      <w:r w:rsidR="00D85AC4" w:rsidRPr="00AB10D1">
        <w:rPr>
          <w:rFonts w:ascii="Times New Roman" w:hAnsi="Times New Roman" w:cs="Times New Roman"/>
          <w:b/>
          <w:sz w:val="24"/>
          <w:szCs w:val="24"/>
        </w:rPr>
        <w:t>)</w:t>
      </w:r>
      <w:r w:rsidR="00D85AC4">
        <w:rPr>
          <w:rFonts w:ascii="Times New Roman" w:hAnsi="Times New Roman" w:cs="Times New Roman"/>
          <w:b/>
          <w:sz w:val="24"/>
          <w:szCs w:val="24"/>
        </w:rPr>
        <w:t xml:space="preserve"> -</w:t>
      </w:r>
      <w:r w:rsidRPr="00AB10D1">
        <w:rPr>
          <w:rFonts w:ascii="Times New Roman" w:hAnsi="Times New Roman" w:cs="Times New Roman"/>
          <w:sz w:val="24"/>
          <w:szCs w:val="24"/>
        </w:rPr>
        <w:t xml:space="preserve"> </w:t>
      </w:r>
      <w:r w:rsidR="000E0056" w:rsidRPr="000E0056">
        <w:rPr>
          <w:rFonts w:ascii="Times New Roman" w:hAnsi="Times New Roman" w:cs="Times New Roman"/>
          <w:sz w:val="24"/>
          <w:szCs w:val="24"/>
        </w:rPr>
        <w:t>The UK's regulatory structure underwent substantial modifications as a result of this act. It created the Bank of England's Financial Policy Committee (FPC), which is in charge of recognising and resolving systemic hazards to the financial system. Additionally, it established the Financial Conduct Authority (FCA) and the Prudential Regulation Authority (PRA) as independent regulatory agencies to handle conduct and prudential problems, respectively</w:t>
      </w:r>
      <w:r w:rsidR="00BA364A">
        <w:rPr>
          <w:rFonts w:ascii="Times New Roman" w:hAnsi="Times New Roman" w:cs="Times New Roman"/>
          <w:sz w:val="24"/>
          <w:szCs w:val="24"/>
        </w:rPr>
        <w:t xml:space="preserve"> (</w:t>
      </w:r>
      <w:r w:rsidR="00BA364A">
        <w:rPr>
          <w:rFonts w:ascii="Times New Roman" w:hAnsi="Times New Roman" w:cs="Times New Roman"/>
          <w:color w:val="222222"/>
          <w:sz w:val="24"/>
          <w:szCs w:val="24"/>
          <w:shd w:val="clear" w:color="auto" w:fill="FFFFFF"/>
        </w:rPr>
        <w:t>Bortnikov and Denisova,</w:t>
      </w:r>
      <w:r w:rsidR="00BA364A" w:rsidRPr="001C4648">
        <w:rPr>
          <w:rFonts w:ascii="Times New Roman" w:hAnsi="Times New Roman" w:cs="Times New Roman"/>
          <w:color w:val="222222"/>
          <w:sz w:val="24"/>
          <w:szCs w:val="24"/>
          <w:shd w:val="clear" w:color="auto" w:fill="FFFFFF"/>
        </w:rPr>
        <w:t xml:space="preserve"> 2021</w:t>
      </w:r>
      <w:r w:rsidR="00BA364A">
        <w:rPr>
          <w:rFonts w:ascii="Times New Roman" w:hAnsi="Times New Roman" w:cs="Times New Roman"/>
          <w:color w:val="222222"/>
          <w:sz w:val="24"/>
          <w:szCs w:val="24"/>
          <w:shd w:val="clear" w:color="auto" w:fill="FFFFFF"/>
        </w:rPr>
        <w:t>).</w:t>
      </w:r>
    </w:p>
    <w:p w14:paraId="6008B89D" w14:textId="77777777" w:rsidR="00AB10D1" w:rsidRPr="00AB10D1" w:rsidRDefault="000E0056" w:rsidP="004F3B4D">
      <w:pPr>
        <w:spacing w:line="360" w:lineRule="auto"/>
        <w:jc w:val="both"/>
        <w:rPr>
          <w:rFonts w:ascii="Times New Roman" w:hAnsi="Times New Roman" w:cs="Times New Roman"/>
          <w:sz w:val="24"/>
          <w:szCs w:val="24"/>
        </w:rPr>
      </w:pPr>
      <w:r w:rsidRPr="000E0056">
        <w:rPr>
          <w:rFonts w:ascii="Times New Roman" w:hAnsi="Times New Roman" w:cs="Times New Roman"/>
          <w:sz w:val="24"/>
          <w:szCs w:val="24"/>
        </w:rPr>
        <w:lastRenderedPageBreak/>
        <w:t>2016 saw the Bank of England's Financial Policy Committee (FPC) identify a possible systemic risk related to the sharp rise in consumer lending. The FPC suggested that banks strengthen their capital buffers and tighten lending rules as a solution, which would promote more responsible lending practises and improved financial system stability</w:t>
      </w:r>
      <w:r w:rsidR="000B4198">
        <w:rPr>
          <w:rFonts w:ascii="Times New Roman" w:hAnsi="Times New Roman" w:cs="Times New Roman"/>
          <w:sz w:val="24"/>
          <w:szCs w:val="24"/>
        </w:rPr>
        <w:t xml:space="preserve"> (</w:t>
      </w:r>
      <w:r w:rsidR="000B4198">
        <w:rPr>
          <w:rFonts w:ascii="Times New Roman" w:hAnsi="Times New Roman" w:cs="Times New Roman"/>
          <w:color w:val="222222"/>
          <w:sz w:val="24"/>
          <w:szCs w:val="24"/>
          <w:shd w:val="clear" w:color="auto" w:fill="FFFFFF"/>
        </w:rPr>
        <w:t xml:space="preserve">Russo, </w:t>
      </w:r>
      <w:r w:rsidR="000B4198" w:rsidRPr="001C4648">
        <w:rPr>
          <w:rFonts w:ascii="Times New Roman" w:hAnsi="Times New Roman" w:cs="Times New Roman"/>
          <w:color w:val="222222"/>
          <w:sz w:val="24"/>
          <w:szCs w:val="24"/>
          <w:shd w:val="clear" w:color="auto" w:fill="FFFFFF"/>
        </w:rPr>
        <w:t>2016</w:t>
      </w:r>
      <w:r w:rsidR="000B4198">
        <w:rPr>
          <w:rFonts w:ascii="Times New Roman" w:hAnsi="Times New Roman" w:cs="Times New Roman"/>
          <w:color w:val="222222"/>
          <w:sz w:val="24"/>
          <w:szCs w:val="24"/>
          <w:shd w:val="clear" w:color="auto" w:fill="FFFFFF"/>
        </w:rPr>
        <w:t>)</w:t>
      </w:r>
      <w:r w:rsidRPr="000E0056">
        <w:rPr>
          <w:rFonts w:ascii="Times New Roman" w:hAnsi="Times New Roman" w:cs="Times New Roman"/>
          <w:sz w:val="24"/>
          <w:szCs w:val="24"/>
        </w:rPr>
        <w:t>.</w:t>
      </w:r>
    </w:p>
    <w:p w14:paraId="499F4251" w14:textId="77777777" w:rsidR="000E0056" w:rsidRPr="000E0056" w:rsidRDefault="00AB10D1" w:rsidP="004F3B4D">
      <w:pPr>
        <w:spacing w:line="360" w:lineRule="auto"/>
        <w:jc w:val="both"/>
        <w:rPr>
          <w:rFonts w:ascii="Times New Roman" w:hAnsi="Times New Roman" w:cs="Times New Roman"/>
          <w:sz w:val="24"/>
          <w:szCs w:val="24"/>
        </w:rPr>
      </w:pPr>
      <w:r w:rsidRPr="00AB10D1">
        <w:rPr>
          <w:rFonts w:ascii="Times New Roman" w:hAnsi="Times New Roman" w:cs="Times New Roman"/>
          <w:b/>
          <w:sz w:val="24"/>
          <w:szCs w:val="24"/>
        </w:rPr>
        <w:t>Banking Reform Act (2013) -</w:t>
      </w:r>
      <w:r w:rsidRPr="00AB10D1">
        <w:rPr>
          <w:rFonts w:ascii="Times New Roman" w:hAnsi="Times New Roman" w:cs="Times New Roman"/>
          <w:sz w:val="24"/>
          <w:szCs w:val="24"/>
        </w:rPr>
        <w:t xml:space="preserve"> </w:t>
      </w:r>
      <w:r w:rsidR="002D4814" w:rsidRPr="002D4814">
        <w:rPr>
          <w:rFonts w:ascii="Times New Roman" w:hAnsi="Times New Roman" w:cs="Times New Roman"/>
          <w:sz w:val="24"/>
          <w:szCs w:val="24"/>
        </w:rPr>
        <w:t>This legislation resulted in significant changes to the regulatory framework in the UK. It established the Financial Policy Committee (FPC) of the Bank of England, whose job it is to identify and address systemic risks to the financial system. Additionally, it created two separate regulatory organisations, the Financial Conduct Authority (FCA) and the Prudential Regulation Authority (PRA), to address conduct and prudential issues, respectively (Wesemann, 2016).</w:t>
      </w:r>
    </w:p>
    <w:p w14:paraId="7DBFEAC0" w14:textId="77777777" w:rsidR="00580A89" w:rsidRPr="00580A89" w:rsidRDefault="00AB10D1" w:rsidP="004F3B4D">
      <w:pPr>
        <w:spacing w:line="360" w:lineRule="auto"/>
        <w:jc w:val="both"/>
        <w:rPr>
          <w:rFonts w:ascii="Times New Roman" w:hAnsi="Times New Roman" w:cs="Times New Roman"/>
          <w:sz w:val="24"/>
          <w:szCs w:val="24"/>
        </w:rPr>
      </w:pPr>
      <w:r w:rsidRPr="00AB10D1">
        <w:rPr>
          <w:rFonts w:ascii="Times New Roman" w:hAnsi="Times New Roman" w:cs="Times New Roman"/>
          <w:b/>
          <w:sz w:val="24"/>
          <w:szCs w:val="24"/>
        </w:rPr>
        <w:t>Senior Managers and Certification Regime (SMCR</w:t>
      </w:r>
      <w:r w:rsidRPr="00AB10D1">
        <w:rPr>
          <w:rFonts w:ascii="Times New Roman" w:hAnsi="Times New Roman" w:cs="Times New Roman"/>
          <w:sz w:val="24"/>
          <w:szCs w:val="24"/>
        </w:rPr>
        <w:t xml:space="preserve">): </w:t>
      </w:r>
      <w:r w:rsidR="002D4814" w:rsidRPr="002D4814">
        <w:rPr>
          <w:rFonts w:ascii="Times New Roman" w:hAnsi="Times New Roman" w:cs="Times New Roman"/>
          <w:sz w:val="24"/>
          <w:szCs w:val="24"/>
        </w:rPr>
        <w:t>This legislation resulted in significant changes to the regulatory framework in the UK. It established the Financial Policy Committee (FPC) of the Bank of England, whose job it is to identify and address systemic risks to the financial system. Additionally, it created two separate regulatory organisations, the Prudential Regulation Authority (PRA) and the Financial Conduct Authority (FCA), to address conduct and prudential issues, respectively (Keller and Kokkinis, 2022).</w:t>
      </w:r>
    </w:p>
    <w:p w14:paraId="469DB2F9" w14:textId="77777777" w:rsidR="002D4814" w:rsidRPr="002D4814" w:rsidRDefault="00AB10D1" w:rsidP="004F3B4D">
      <w:pPr>
        <w:spacing w:line="360" w:lineRule="auto"/>
        <w:jc w:val="both"/>
        <w:rPr>
          <w:rFonts w:ascii="Times New Roman" w:hAnsi="Times New Roman" w:cs="Times New Roman"/>
          <w:sz w:val="24"/>
          <w:szCs w:val="24"/>
        </w:rPr>
      </w:pPr>
      <w:r w:rsidRPr="00AB10D1">
        <w:rPr>
          <w:rFonts w:ascii="Times New Roman" w:hAnsi="Times New Roman" w:cs="Times New Roman"/>
          <w:b/>
          <w:sz w:val="24"/>
          <w:szCs w:val="24"/>
        </w:rPr>
        <w:t>MiFID II (Markets in Financial Instruments Directive II):</w:t>
      </w:r>
      <w:r w:rsidRPr="00AB10D1">
        <w:rPr>
          <w:rFonts w:ascii="Times New Roman" w:hAnsi="Times New Roman" w:cs="Times New Roman"/>
          <w:sz w:val="24"/>
          <w:szCs w:val="24"/>
        </w:rPr>
        <w:t xml:space="preserve"> </w:t>
      </w:r>
      <w:r w:rsidR="002D4814" w:rsidRPr="002D4814">
        <w:rPr>
          <w:rFonts w:ascii="Times New Roman" w:hAnsi="Times New Roman" w:cs="Times New Roman"/>
          <w:sz w:val="24"/>
          <w:szCs w:val="24"/>
        </w:rPr>
        <w:t>In order to improve investor protection and financial market transparency, the UK implemented the EU norm. It implemented stronger regulations for trading financial products, such as derivatives, equities, bonds, and other types of securities (Gillet, Ligot, and Firouzi, 2017).</w:t>
      </w:r>
    </w:p>
    <w:p w14:paraId="2AE7D19A" w14:textId="77777777" w:rsidR="00583EF5" w:rsidRPr="00AB10D1" w:rsidRDefault="002D4814" w:rsidP="004F3B4D">
      <w:pPr>
        <w:spacing w:line="360" w:lineRule="auto"/>
        <w:jc w:val="both"/>
        <w:rPr>
          <w:rFonts w:ascii="Times New Roman" w:hAnsi="Times New Roman" w:cs="Times New Roman"/>
          <w:sz w:val="24"/>
          <w:szCs w:val="24"/>
        </w:rPr>
      </w:pPr>
      <w:r w:rsidRPr="002D4814">
        <w:rPr>
          <w:rFonts w:ascii="Times New Roman" w:hAnsi="Times New Roman" w:cs="Times New Roman"/>
          <w:sz w:val="24"/>
          <w:szCs w:val="24"/>
        </w:rPr>
        <w:t>By giving its clients better and more thorough information about the prices of various investment products, a brokerage firm in the UK implemented the MiFID II criteria. This boosted the openness of the financial industry by enabling clients to assess investment options based on actual costs and make better informed selections (Busch, 2017).</w:t>
      </w:r>
    </w:p>
    <w:p w14:paraId="1A60BDF1" w14:textId="77777777" w:rsidR="002D4814" w:rsidRPr="002D4814" w:rsidRDefault="00AB10D1" w:rsidP="004F3B4D">
      <w:pPr>
        <w:spacing w:line="360" w:lineRule="auto"/>
        <w:jc w:val="both"/>
        <w:rPr>
          <w:rFonts w:ascii="Times New Roman" w:hAnsi="Times New Roman" w:cs="Times New Roman"/>
          <w:sz w:val="24"/>
          <w:szCs w:val="24"/>
        </w:rPr>
      </w:pPr>
      <w:r w:rsidRPr="00AB10D1">
        <w:rPr>
          <w:rFonts w:ascii="Times New Roman" w:hAnsi="Times New Roman" w:cs="Times New Roman"/>
          <w:b/>
          <w:sz w:val="24"/>
          <w:szCs w:val="24"/>
        </w:rPr>
        <w:t>Bank of England's Prudential Regulation:</w:t>
      </w:r>
      <w:r w:rsidRPr="00AB10D1">
        <w:rPr>
          <w:rFonts w:ascii="Times New Roman" w:hAnsi="Times New Roman" w:cs="Times New Roman"/>
          <w:sz w:val="24"/>
          <w:szCs w:val="24"/>
        </w:rPr>
        <w:t xml:space="preserve"> </w:t>
      </w:r>
      <w:r w:rsidR="002D4814" w:rsidRPr="002D4814">
        <w:rPr>
          <w:rFonts w:ascii="Times New Roman" w:hAnsi="Times New Roman" w:cs="Times New Roman"/>
          <w:sz w:val="24"/>
          <w:szCs w:val="24"/>
        </w:rPr>
        <w:t>In order to improve financial institutions' prudential supervision, the Bank of England implemented new policies. This includes capital and liquidity requirements, recovery and resolution planning, and stress testing of banks to evaluate their resilience to economic shocks (Fisher and Grout, 2017).</w:t>
      </w:r>
    </w:p>
    <w:p w14:paraId="0C63747C" w14:textId="77777777" w:rsidR="00583EF5" w:rsidRPr="00AB10D1" w:rsidRDefault="002D4814" w:rsidP="004F3B4D">
      <w:pPr>
        <w:spacing w:line="360" w:lineRule="auto"/>
        <w:jc w:val="both"/>
        <w:rPr>
          <w:rFonts w:ascii="Times New Roman" w:hAnsi="Times New Roman" w:cs="Times New Roman"/>
          <w:sz w:val="24"/>
          <w:szCs w:val="24"/>
        </w:rPr>
      </w:pPr>
      <w:r w:rsidRPr="002D4814">
        <w:rPr>
          <w:rFonts w:ascii="Times New Roman" w:hAnsi="Times New Roman" w:cs="Times New Roman"/>
          <w:sz w:val="24"/>
          <w:szCs w:val="24"/>
        </w:rPr>
        <w:lastRenderedPageBreak/>
        <w:t>One of the major banks was judged to have insufficient capital to withstand a severe economic downturn in a recent stress test carried out by the Bank of England. The bank was required to raise extra capital and adjust its capital planning procedures in response to the test results to make sure it could effectively withstand challenging economic conditions (Lui, 2016).</w:t>
      </w:r>
    </w:p>
    <w:p w14:paraId="5E7879C9" w14:textId="77777777" w:rsidR="002D4814" w:rsidRPr="002D4814" w:rsidRDefault="00AB10D1" w:rsidP="004F3B4D">
      <w:pPr>
        <w:spacing w:line="360" w:lineRule="auto"/>
        <w:jc w:val="both"/>
        <w:rPr>
          <w:rFonts w:ascii="Times New Roman" w:hAnsi="Times New Roman" w:cs="Times New Roman"/>
          <w:sz w:val="24"/>
          <w:szCs w:val="24"/>
        </w:rPr>
      </w:pPr>
      <w:r w:rsidRPr="00AB10D1">
        <w:rPr>
          <w:rFonts w:ascii="Times New Roman" w:hAnsi="Times New Roman" w:cs="Times New Roman"/>
          <w:b/>
          <w:sz w:val="24"/>
          <w:szCs w:val="24"/>
        </w:rPr>
        <w:t>Consumer Protection and Competition Measures</w:t>
      </w:r>
      <w:r w:rsidRPr="00AB10D1">
        <w:rPr>
          <w:rFonts w:ascii="Times New Roman" w:hAnsi="Times New Roman" w:cs="Times New Roman"/>
          <w:sz w:val="24"/>
          <w:szCs w:val="24"/>
        </w:rPr>
        <w:t xml:space="preserve">: </w:t>
      </w:r>
      <w:r w:rsidR="002D4814" w:rsidRPr="002D4814">
        <w:rPr>
          <w:rFonts w:ascii="Times New Roman" w:hAnsi="Times New Roman" w:cs="Times New Roman"/>
          <w:sz w:val="24"/>
          <w:szCs w:val="24"/>
        </w:rPr>
        <w:t>In order to improve financial institutions' prudential supervision, the Bank of England implemented new policies. This includes capital and liquidity requirements, recovery and resolution planning, and stress testing of banks to evaluate their resilience to economic shocks (Fisher and Grout, 2017).</w:t>
      </w:r>
    </w:p>
    <w:p w14:paraId="4EE4EB76" w14:textId="77777777" w:rsidR="00583EF5" w:rsidRPr="00AB10D1" w:rsidRDefault="002D4814" w:rsidP="004F3B4D">
      <w:pPr>
        <w:spacing w:line="360" w:lineRule="auto"/>
        <w:jc w:val="both"/>
        <w:rPr>
          <w:rFonts w:ascii="Times New Roman" w:hAnsi="Times New Roman" w:cs="Times New Roman"/>
          <w:sz w:val="24"/>
          <w:szCs w:val="24"/>
        </w:rPr>
      </w:pPr>
      <w:r w:rsidRPr="002D4814">
        <w:rPr>
          <w:rFonts w:ascii="Times New Roman" w:hAnsi="Times New Roman" w:cs="Times New Roman"/>
          <w:sz w:val="24"/>
          <w:szCs w:val="24"/>
        </w:rPr>
        <w:t>One of the major banks was judged to have insufficient capital to withstand a severe economic downturn in a recent stress test carried out by the Bank of England. The bank was required to raise extra capital and adjust its capital planning procedures in response to the test results to make sure it could effectively withstand challenging economic conditions (Lui, 2016).</w:t>
      </w:r>
    </w:p>
    <w:p w14:paraId="3F29E6BC" w14:textId="77777777" w:rsidR="002D4814" w:rsidRPr="002D4814" w:rsidRDefault="00AB10D1" w:rsidP="004F3B4D">
      <w:pPr>
        <w:spacing w:line="360" w:lineRule="auto"/>
        <w:jc w:val="both"/>
        <w:rPr>
          <w:rFonts w:ascii="Times New Roman" w:hAnsi="Times New Roman" w:cs="Times New Roman"/>
          <w:sz w:val="24"/>
          <w:szCs w:val="24"/>
        </w:rPr>
      </w:pPr>
      <w:r w:rsidRPr="00AB10D1">
        <w:rPr>
          <w:rFonts w:ascii="Times New Roman" w:hAnsi="Times New Roman" w:cs="Times New Roman"/>
          <w:b/>
          <w:sz w:val="24"/>
          <w:szCs w:val="24"/>
        </w:rPr>
        <w:t>Resolution and Recovery Framework</w:t>
      </w:r>
      <w:r w:rsidRPr="00AB10D1">
        <w:rPr>
          <w:rFonts w:ascii="Times New Roman" w:hAnsi="Times New Roman" w:cs="Times New Roman"/>
          <w:sz w:val="24"/>
          <w:szCs w:val="24"/>
        </w:rPr>
        <w:t xml:space="preserve">: </w:t>
      </w:r>
      <w:r w:rsidR="002D4814" w:rsidRPr="002D4814">
        <w:rPr>
          <w:rFonts w:ascii="Times New Roman" w:hAnsi="Times New Roman" w:cs="Times New Roman"/>
          <w:sz w:val="24"/>
          <w:szCs w:val="24"/>
        </w:rPr>
        <w:t>In order to guarantee that failed financial institutions can be resolved in a way that maintains the stability of the financial system, the UK devised a framework. Plans for handling a big bank failure without depending on government bailouts are part of this.</w:t>
      </w:r>
    </w:p>
    <w:p w14:paraId="45857E1B" w14:textId="77777777" w:rsidR="00583EF5" w:rsidRDefault="002D4814" w:rsidP="004F3B4D">
      <w:pPr>
        <w:spacing w:line="360" w:lineRule="auto"/>
        <w:jc w:val="both"/>
        <w:rPr>
          <w:rFonts w:ascii="Times New Roman" w:hAnsi="Times New Roman" w:cs="Times New Roman"/>
          <w:sz w:val="24"/>
          <w:szCs w:val="24"/>
        </w:rPr>
      </w:pPr>
      <w:r w:rsidRPr="002D4814">
        <w:rPr>
          <w:rFonts w:ascii="Times New Roman" w:hAnsi="Times New Roman" w:cs="Times New Roman"/>
          <w:sz w:val="24"/>
          <w:szCs w:val="24"/>
        </w:rPr>
        <w:t>Following the insolvency of a minor financial institution, the UK implemented its resolution framework. Assets and liabilities of the institution were carefully transferred to a bridge bank, preventing a chaotic collapse and guaranteeing that customers would still get essential financial services (Townend and Walker, 2020).</w:t>
      </w:r>
    </w:p>
    <w:p w14:paraId="2D43BA69" w14:textId="77777777" w:rsidR="00AB10D1" w:rsidRDefault="00AB10D1" w:rsidP="004F3B4D">
      <w:pPr>
        <w:spacing w:line="360" w:lineRule="auto"/>
        <w:jc w:val="both"/>
        <w:rPr>
          <w:rFonts w:ascii="Times New Roman" w:hAnsi="Times New Roman" w:cs="Times New Roman"/>
          <w:sz w:val="24"/>
          <w:szCs w:val="24"/>
        </w:rPr>
      </w:pPr>
      <w:r w:rsidRPr="00AB10D1">
        <w:rPr>
          <w:rFonts w:ascii="Times New Roman" w:hAnsi="Times New Roman" w:cs="Times New Roman"/>
          <w:b/>
          <w:sz w:val="24"/>
          <w:szCs w:val="24"/>
        </w:rPr>
        <w:t>Bank Recapitalization Measures</w:t>
      </w:r>
      <w:r w:rsidRPr="00AB10D1">
        <w:rPr>
          <w:rFonts w:ascii="Times New Roman" w:hAnsi="Times New Roman" w:cs="Times New Roman"/>
          <w:sz w:val="24"/>
          <w:szCs w:val="24"/>
        </w:rPr>
        <w:t xml:space="preserve">: </w:t>
      </w:r>
      <w:r w:rsidR="002D4814" w:rsidRPr="002D4814">
        <w:rPr>
          <w:rFonts w:ascii="Times New Roman" w:hAnsi="Times New Roman" w:cs="Times New Roman"/>
          <w:sz w:val="24"/>
          <w:szCs w:val="24"/>
        </w:rPr>
        <w:t>In order to stabilise and recapitalize struggling banks, the UK government implemented direct capital injections as a response to the crisis. During the financial crisis, the UK government provided a failing bank with a substantial capital infusion in an effort to stabilise its operations and restore public confidence in the banking system. The bank was able to continue customer service and satisfy regulatory capital requirements with the help of this financing infusion (Homar and van Wijnbergen, 2017). Following the financial crisis of 2008, the UK put into place a number of significant legislation, regulations, and policies that were intended to improve oversight, maintain financial stability, and protect consumers in the financial sector (Bischof, Brüggemann, and Daske, 2023).</w:t>
      </w:r>
    </w:p>
    <w:p w14:paraId="1A531781" w14:textId="77777777" w:rsidR="007D2B84" w:rsidRPr="007D2B84" w:rsidRDefault="00620290" w:rsidP="004F3B4D">
      <w:pPr>
        <w:pStyle w:val="Heading1"/>
      </w:pPr>
      <w:bookmarkStart w:id="2" w:name="_Toc142087272"/>
      <w:r>
        <w:lastRenderedPageBreak/>
        <w:t xml:space="preserve">3) </w:t>
      </w:r>
      <w:r w:rsidR="00D85AC4" w:rsidRPr="00D85AC4">
        <w:t>Global players in the financial system to end the financial crises</w:t>
      </w:r>
      <w:bookmarkEnd w:id="2"/>
      <w:r>
        <w:t xml:space="preserve"> </w:t>
      </w:r>
    </w:p>
    <w:p w14:paraId="00B95CAD" w14:textId="77777777" w:rsidR="005D5298" w:rsidRDefault="007D2B84" w:rsidP="004F3B4D">
      <w:pPr>
        <w:spacing w:line="360" w:lineRule="auto"/>
        <w:jc w:val="both"/>
        <w:rPr>
          <w:rFonts w:ascii="Times New Roman" w:hAnsi="Times New Roman" w:cs="Times New Roman"/>
          <w:b/>
          <w:sz w:val="24"/>
          <w:szCs w:val="24"/>
        </w:rPr>
      </w:pPr>
      <w:r w:rsidRPr="007D2B84">
        <w:rPr>
          <w:rFonts w:ascii="Times New Roman" w:hAnsi="Times New Roman" w:cs="Times New Roman"/>
          <w:b/>
          <w:sz w:val="24"/>
          <w:szCs w:val="24"/>
        </w:rPr>
        <w:t>Dodd-Frank Wall Street Reform and Consumer Protection Act (USA)</w:t>
      </w:r>
    </w:p>
    <w:p w14:paraId="6224FDC9" w14:textId="77777777" w:rsidR="002D4814" w:rsidRDefault="002D4814" w:rsidP="004F3B4D">
      <w:pPr>
        <w:spacing w:line="360" w:lineRule="auto"/>
        <w:jc w:val="both"/>
        <w:rPr>
          <w:rFonts w:ascii="Times New Roman" w:hAnsi="Times New Roman" w:cs="Times New Roman"/>
          <w:sz w:val="24"/>
          <w:szCs w:val="24"/>
        </w:rPr>
      </w:pPr>
      <w:r w:rsidRPr="002D4814">
        <w:rPr>
          <w:rFonts w:ascii="Times New Roman" w:hAnsi="Times New Roman" w:cs="Times New Roman"/>
          <w:sz w:val="24"/>
          <w:szCs w:val="24"/>
        </w:rPr>
        <w:t>Following the financial crisis of 2008, the Dodd-Frank Wall Street Reform and Consumer Protection Act was passed in 2010, and it is regarded as a major piece of legislation that sought to address the systemic vulnerabilities that contributed to the disaster. To improve stability, accountability, and consumer protection in the American financial sector, it implemented a number of extensive changes (Shu-Acquaye, 2016).</w:t>
      </w:r>
    </w:p>
    <w:p w14:paraId="4028F6EA" w14:textId="77777777" w:rsidR="00007DCC" w:rsidRPr="00007DCC" w:rsidRDefault="00007DCC" w:rsidP="004F3B4D">
      <w:pPr>
        <w:spacing w:line="360" w:lineRule="auto"/>
        <w:jc w:val="both"/>
        <w:rPr>
          <w:rFonts w:ascii="Times New Roman" w:hAnsi="Times New Roman" w:cs="Times New Roman"/>
          <w:sz w:val="24"/>
          <w:szCs w:val="24"/>
        </w:rPr>
      </w:pPr>
      <w:r w:rsidRPr="00007DCC">
        <w:rPr>
          <w:rFonts w:ascii="Times New Roman" w:hAnsi="Times New Roman" w:cs="Times New Roman"/>
          <w:sz w:val="24"/>
          <w:szCs w:val="24"/>
        </w:rPr>
        <w:t>One of the key provisions of Dodd-Frank was the establishment of the Consumer Financial Protection Bureau (CFPB). The CFPB was designed to oversee and adjust patron economic merchandise and services, making sure that consumers have been dealt with pretty and transparently. For example, the CFPB played a pivotal position in addressing predatory lending practices, such as the issuance of subprime mortgages that were a significant driver of the crisis (dos Santos, Dodd-Frank Wall Street Reform, and Act–Section 1502). The Bureau created policies to require mortgage lenders to check borrowers' ability to repay loans, reducing the likelihood of tremendous personal loan delinquencies and foreclosures.</w:t>
      </w:r>
    </w:p>
    <w:p w14:paraId="7E954DB7" w14:textId="77777777" w:rsidR="00007DCC" w:rsidRDefault="00007DCC" w:rsidP="004F3B4D">
      <w:pPr>
        <w:spacing w:line="360" w:lineRule="auto"/>
        <w:jc w:val="both"/>
        <w:rPr>
          <w:rFonts w:ascii="Times New Roman" w:hAnsi="Times New Roman" w:cs="Times New Roman"/>
          <w:sz w:val="24"/>
          <w:szCs w:val="24"/>
        </w:rPr>
      </w:pPr>
      <w:r w:rsidRPr="00007DCC">
        <w:rPr>
          <w:rFonts w:ascii="Times New Roman" w:hAnsi="Times New Roman" w:cs="Times New Roman"/>
          <w:sz w:val="24"/>
          <w:szCs w:val="24"/>
        </w:rPr>
        <w:t>Dodd-Frank additionally tackled the complex and opaque world of derivatives trading, a principal contributor to the crisis. The Act mandated stricter regulations for derivatives, requiring standardized derivatives to be traded on exchanges or digital platforms and cleared through central counterparties (Congress, 2010). This expanded transparency and reduced counterparty risk, minimizing the conceivable for a cascade of disasters as seen for the duration of the crisis. For instance, credit score default swaps (CDS) – a kind of spinoff – played a position in amplifying the crisis with the aid of spreading hazard throughout the economic system. The new regulations aimed to prevent such dangers from amassing unchecked (Fein, 2010).</w:t>
      </w:r>
    </w:p>
    <w:p w14:paraId="40D35619" w14:textId="77777777" w:rsidR="005D5298" w:rsidRDefault="007D2B84" w:rsidP="004F3B4D">
      <w:pPr>
        <w:spacing w:line="360" w:lineRule="auto"/>
        <w:jc w:val="both"/>
        <w:rPr>
          <w:rFonts w:ascii="Times New Roman" w:hAnsi="Times New Roman" w:cs="Times New Roman"/>
          <w:sz w:val="24"/>
          <w:szCs w:val="24"/>
        </w:rPr>
      </w:pPr>
      <w:r w:rsidRPr="007D2B84">
        <w:rPr>
          <w:rFonts w:ascii="Times New Roman" w:hAnsi="Times New Roman" w:cs="Times New Roman"/>
          <w:b/>
          <w:sz w:val="24"/>
          <w:szCs w:val="24"/>
        </w:rPr>
        <w:t>European Market Infrastructure Regulation (EMIR)</w:t>
      </w:r>
    </w:p>
    <w:p w14:paraId="069AD739" w14:textId="77777777" w:rsidR="00007DCC" w:rsidRPr="00007DCC" w:rsidRDefault="00007DCC" w:rsidP="004F3B4D">
      <w:pPr>
        <w:spacing w:line="360" w:lineRule="auto"/>
        <w:jc w:val="both"/>
        <w:rPr>
          <w:rFonts w:ascii="Times New Roman" w:hAnsi="Times New Roman" w:cs="Times New Roman"/>
          <w:sz w:val="24"/>
          <w:szCs w:val="24"/>
        </w:rPr>
      </w:pPr>
      <w:r w:rsidRPr="00007DCC">
        <w:rPr>
          <w:rFonts w:ascii="Times New Roman" w:hAnsi="Times New Roman" w:cs="Times New Roman"/>
          <w:sz w:val="24"/>
          <w:szCs w:val="24"/>
        </w:rPr>
        <w:t xml:space="preserve">The European Market Infrastructure Regulation (EMIR), carried out through the European Union, targeted the rules of over-the-counter (OTC) derivatives markets. EMIR aimed to decorate financial balance through increasing transparency, mitigating counterparty risk, and standardizing derivatives trading practices. Under EMIR, by-product transactions were required to be suggested to trade repositories, promotion transparency by way of presenting regulators </w:t>
      </w:r>
      <w:r w:rsidRPr="00007DCC">
        <w:rPr>
          <w:rFonts w:ascii="Times New Roman" w:hAnsi="Times New Roman" w:cs="Times New Roman"/>
          <w:sz w:val="24"/>
          <w:szCs w:val="24"/>
        </w:rPr>
        <w:lastRenderedPageBreak/>
        <w:t>with a complete view of market things to do (Ferrarini and Saguato, 2014). This information allowed authorities to pick out and address manageable risks before they escalate. For instance, before EMIR, a lack of transparency in OTC derivatives markets contributed to the challenge in assessing the extent of risk exposure during the 2008 economic disaster (Aditya, 2013).</w:t>
      </w:r>
    </w:p>
    <w:p w14:paraId="7D3F6CE3" w14:textId="77777777" w:rsidR="00007DCC" w:rsidRDefault="00007DCC" w:rsidP="004F3B4D">
      <w:pPr>
        <w:spacing w:line="360" w:lineRule="auto"/>
        <w:jc w:val="both"/>
        <w:rPr>
          <w:rFonts w:ascii="Times New Roman" w:hAnsi="Times New Roman" w:cs="Times New Roman"/>
          <w:sz w:val="24"/>
          <w:szCs w:val="24"/>
        </w:rPr>
      </w:pPr>
      <w:r w:rsidRPr="00007DCC">
        <w:rPr>
          <w:rFonts w:ascii="Times New Roman" w:hAnsi="Times New Roman" w:cs="Times New Roman"/>
          <w:sz w:val="24"/>
          <w:szCs w:val="24"/>
        </w:rPr>
        <w:t>Moreover, EMIR mandated the clearing of standardized derivatives thru central counterparties (CCPs), reducing counterparty hazard by means of appearing as intermediaries that assurance transactions. This minimized the viable domino impact of defaults between interconnected financial institutions (Priem, 2022). For instance, the Lehman Brothers financial disaster in 2008 emonstrated the danger of contagion resulting from interconnected OTC by-product transactions. In essence, EMIR exemplified the European Union's commitment to developing a more secure financial surroundings by using standardizing trading practices, increasing transparency, and curbing systemic hazard inside OTC derivatives markets (Stiller, Dammert and Joehnk, 2013).</w:t>
      </w:r>
    </w:p>
    <w:p w14:paraId="05412FBD" w14:textId="77777777" w:rsidR="005D5298" w:rsidRDefault="007D2B84" w:rsidP="004F3B4D">
      <w:pPr>
        <w:spacing w:line="360" w:lineRule="auto"/>
        <w:jc w:val="both"/>
        <w:rPr>
          <w:rFonts w:ascii="Times New Roman" w:hAnsi="Times New Roman" w:cs="Times New Roman"/>
          <w:b/>
          <w:sz w:val="24"/>
          <w:szCs w:val="24"/>
        </w:rPr>
      </w:pPr>
      <w:r w:rsidRPr="007D2B84">
        <w:rPr>
          <w:rFonts w:ascii="Times New Roman" w:hAnsi="Times New Roman" w:cs="Times New Roman"/>
          <w:b/>
          <w:sz w:val="24"/>
          <w:szCs w:val="24"/>
        </w:rPr>
        <w:t>G20 Commitments</w:t>
      </w:r>
    </w:p>
    <w:p w14:paraId="30D10F19" w14:textId="77777777" w:rsidR="00007DCC" w:rsidRPr="00007DCC" w:rsidRDefault="00007DCC" w:rsidP="004F3B4D">
      <w:pPr>
        <w:spacing w:line="360" w:lineRule="auto"/>
        <w:jc w:val="both"/>
        <w:rPr>
          <w:rFonts w:ascii="Times New Roman" w:hAnsi="Times New Roman" w:cs="Times New Roman"/>
          <w:sz w:val="24"/>
          <w:szCs w:val="24"/>
        </w:rPr>
      </w:pPr>
      <w:r w:rsidRPr="00007DCC">
        <w:rPr>
          <w:rFonts w:ascii="Times New Roman" w:hAnsi="Times New Roman" w:cs="Times New Roman"/>
          <w:sz w:val="24"/>
          <w:szCs w:val="24"/>
        </w:rPr>
        <w:t>In the aftermath of the 2008 monetary crisis, the G20 countries undertook huge commitments aimed at bolstering world monetary stability. These commitments founded on improving economic regulation, transparency, and cooperation. G20 international locations embarked on efforts to adjust and standardize derivatives, crucial monetary devices that played a position in exacerbating the crisis (Okonjo, 2015). For example, the commitment led to the implementation of rules like the European Market Infrastructure Regulation (EMIR) and the Dodd-Frank Act in the United States, each of which aimed to increase transparency and centralize clearing of by-product transactions (Salazar, 2014).</w:t>
      </w:r>
    </w:p>
    <w:p w14:paraId="5F3CF6B7" w14:textId="77777777" w:rsidR="00007DCC" w:rsidRDefault="00007DCC" w:rsidP="004F3B4D">
      <w:pPr>
        <w:spacing w:line="360" w:lineRule="auto"/>
        <w:jc w:val="both"/>
        <w:rPr>
          <w:rFonts w:ascii="Times New Roman" w:hAnsi="Times New Roman" w:cs="Times New Roman"/>
          <w:sz w:val="24"/>
          <w:szCs w:val="24"/>
        </w:rPr>
      </w:pPr>
      <w:r w:rsidRPr="00007DCC">
        <w:rPr>
          <w:rFonts w:ascii="Times New Roman" w:hAnsi="Times New Roman" w:cs="Times New Roman"/>
          <w:sz w:val="24"/>
          <w:szCs w:val="24"/>
        </w:rPr>
        <w:t xml:space="preserve">Additionally, G20 countries targeted on strengthening capital and liquidity requirements for banks. The Basel III framework, adopted globally, mandated higher capital reserves for banks to take in conceivable losses and make certain their solvency at some point of monetary downturns. This requirement aimed to prevent banks from turning into undercapitalized, as exemplified via the insolvency of quite a few essential economic establishments at some stage in the 2008 crisis. Moreover, the G20's dedication to organising mechanisms for monitoring and addressing systemic risk led to the creation of supervisory our bodies and international forums for cooperation, such as the Financial Stability Board (FSB) (Bast et al. 2018). These entities aimed </w:t>
      </w:r>
      <w:r w:rsidRPr="00007DCC">
        <w:rPr>
          <w:rFonts w:ascii="Times New Roman" w:hAnsi="Times New Roman" w:cs="Times New Roman"/>
          <w:sz w:val="24"/>
          <w:szCs w:val="24"/>
        </w:rPr>
        <w:lastRenderedPageBreak/>
        <w:t>to discover vulnerabilities, coordinate regulatory responses, and facilitate communication amongst countries to stop and mitigate future crises.</w:t>
      </w:r>
    </w:p>
    <w:p w14:paraId="40D1B301" w14:textId="77777777" w:rsidR="00C25337" w:rsidRDefault="007D2B84" w:rsidP="004F3B4D">
      <w:pPr>
        <w:spacing w:line="360" w:lineRule="auto"/>
        <w:jc w:val="both"/>
        <w:rPr>
          <w:rFonts w:ascii="Times New Roman" w:hAnsi="Times New Roman" w:cs="Times New Roman"/>
          <w:sz w:val="24"/>
          <w:szCs w:val="24"/>
        </w:rPr>
      </w:pPr>
      <w:r w:rsidRPr="000850C2">
        <w:rPr>
          <w:rFonts w:ascii="Times New Roman" w:hAnsi="Times New Roman" w:cs="Times New Roman"/>
          <w:b/>
          <w:sz w:val="24"/>
          <w:szCs w:val="24"/>
        </w:rPr>
        <w:t>International Monetary Fund (IMF) Reforms</w:t>
      </w:r>
    </w:p>
    <w:p w14:paraId="47CD161D" w14:textId="77777777" w:rsidR="00007DCC" w:rsidRPr="00007DCC" w:rsidRDefault="00007DCC" w:rsidP="004F3B4D">
      <w:pPr>
        <w:spacing w:line="360" w:lineRule="auto"/>
        <w:jc w:val="both"/>
        <w:rPr>
          <w:rFonts w:ascii="Times New Roman" w:hAnsi="Times New Roman" w:cs="Times New Roman"/>
          <w:sz w:val="24"/>
          <w:szCs w:val="24"/>
        </w:rPr>
      </w:pPr>
      <w:r w:rsidRPr="00007DCC">
        <w:rPr>
          <w:rFonts w:ascii="Times New Roman" w:hAnsi="Times New Roman" w:cs="Times New Roman"/>
          <w:sz w:val="24"/>
          <w:szCs w:val="24"/>
        </w:rPr>
        <w:t>In the wake of the 2008 financial crisis, the International Monetary Fund (IMF) embarked on quintessential reforms to bolster its capacity for addressing world economic turmoil. These reforms had been designed to beautify the IMF's capacity to grant high quality monetary assistance to countries dealing with crises and to forestall the contagion of monetary instability (Griesgraber, 2009).</w:t>
      </w:r>
    </w:p>
    <w:p w14:paraId="21D62DD4" w14:textId="77777777" w:rsidR="00007DCC" w:rsidRPr="00007DCC" w:rsidRDefault="00007DCC" w:rsidP="004F3B4D">
      <w:pPr>
        <w:spacing w:line="360" w:lineRule="auto"/>
        <w:jc w:val="both"/>
        <w:rPr>
          <w:rFonts w:ascii="Times New Roman" w:hAnsi="Times New Roman" w:cs="Times New Roman"/>
          <w:sz w:val="24"/>
          <w:szCs w:val="24"/>
        </w:rPr>
      </w:pPr>
      <w:r w:rsidRPr="00007DCC">
        <w:rPr>
          <w:rFonts w:ascii="Times New Roman" w:hAnsi="Times New Roman" w:cs="Times New Roman"/>
          <w:sz w:val="24"/>
          <w:szCs w:val="24"/>
        </w:rPr>
        <w:t>One key component of these reforms was the growth of the IMF's financial resources. The 2010 reform package deal protected a make bigger in member countries' quotas – their financial contributions to the IMF – and the advent of new Special Drawing Rights (SDRs), an international reserve asset. This expansion of assets enabled the IMF to supply more extensive monetary help to countries in need. For instance, during the European debt crisis, the IMF played a quintessential role in extending financial help to countries like Greece, Ireland, and Portugal, assisting to stabilize their economies and forestall further contagion inside the Eurozone (Truman, 2005).</w:t>
      </w:r>
    </w:p>
    <w:p w14:paraId="30A8E8F2" w14:textId="77777777" w:rsidR="00007DCC" w:rsidRDefault="00007DCC" w:rsidP="004F3B4D">
      <w:pPr>
        <w:spacing w:line="360" w:lineRule="auto"/>
        <w:jc w:val="both"/>
        <w:rPr>
          <w:rFonts w:ascii="Times New Roman" w:hAnsi="Times New Roman" w:cs="Times New Roman"/>
          <w:sz w:val="24"/>
          <w:szCs w:val="24"/>
        </w:rPr>
      </w:pPr>
      <w:r w:rsidRPr="00007DCC">
        <w:rPr>
          <w:rFonts w:ascii="Times New Roman" w:hAnsi="Times New Roman" w:cs="Times New Roman"/>
          <w:sz w:val="24"/>
          <w:szCs w:val="24"/>
        </w:rPr>
        <w:t>Furthermore, the reforms sought to enhance the IMF's surveillance and monitoring capabilities. The establishment of the Early Warning Exercise and the strengthening of its economic area assessments enabled the IMF to become aware of vulnerabilities and dangers in member countries' economies greater effectively. This proactive approach aimed to prevent crises from escalating and spreading throughout borders (Steinwand and Stone, 2008).</w:t>
      </w:r>
    </w:p>
    <w:p w14:paraId="5AFD57F7" w14:textId="77777777" w:rsidR="00C25337" w:rsidRDefault="007D2B84" w:rsidP="004F3B4D">
      <w:pPr>
        <w:spacing w:line="360" w:lineRule="auto"/>
        <w:jc w:val="both"/>
        <w:rPr>
          <w:rFonts w:ascii="Times New Roman" w:hAnsi="Times New Roman" w:cs="Times New Roman"/>
          <w:sz w:val="24"/>
          <w:szCs w:val="24"/>
        </w:rPr>
      </w:pPr>
      <w:r w:rsidRPr="005D5298">
        <w:rPr>
          <w:rFonts w:ascii="Times New Roman" w:hAnsi="Times New Roman" w:cs="Times New Roman"/>
          <w:b/>
          <w:sz w:val="24"/>
          <w:szCs w:val="24"/>
        </w:rPr>
        <w:t>Global Systemically Important Banks (G-SIBs) Framework</w:t>
      </w:r>
    </w:p>
    <w:p w14:paraId="44248695" w14:textId="77777777" w:rsidR="00007DCC" w:rsidRPr="00007DCC" w:rsidRDefault="00007DCC" w:rsidP="004F3B4D">
      <w:pPr>
        <w:spacing w:line="360" w:lineRule="auto"/>
        <w:jc w:val="both"/>
        <w:rPr>
          <w:rFonts w:ascii="Times New Roman" w:hAnsi="Times New Roman" w:cs="Times New Roman"/>
          <w:sz w:val="24"/>
          <w:szCs w:val="24"/>
        </w:rPr>
      </w:pPr>
      <w:r w:rsidRPr="00007DCC">
        <w:rPr>
          <w:rFonts w:ascii="Times New Roman" w:hAnsi="Times New Roman" w:cs="Times New Roman"/>
          <w:sz w:val="24"/>
          <w:szCs w:val="24"/>
        </w:rPr>
        <w:t>The Global Systemically Important Banks (G-SIBs) framework, brought with the aid of the Financial Stability Board (FSB), aimed to address the dangers posed through large, interconnected banks to the global monetary system. This regulatory initiative required G-SIBs to maintain higher capital buffers and adhere to greater rigorous threat administration standards, therefore decreasing the doable for systemic disruptions (Mohanty, Akhigbe and Basheikh, 2018).</w:t>
      </w:r>
    </w:p>
    <w:p w14:paraId="484BD287" w14:textId="77777777" w:rsidR="00007DCC" w:rsidRDefault="00007DCC" w:rsidP="004F3B4D">
      <w:pPr>
        <w:spacing w:line="360" w:lineRule="auto"/>
        <w:jc w:val="both"/>
        <w:rPr>
          <w:rFonts w:ascii="Times New Roman" w:hAnsi="Times New Roman" w:cs="Times New Roman"/>
          <w:sz w:val="24"/>
          <w:szCs w:val="24"/>
        </w:rPr>
      </w:pPr>
      <w:r w:rsidRPr="00007DCC">
        <w:rPr>
          <w:rFonts w:ascii="Times New Roman" w:hAnsi="Times New Roman" w:cs="Times New Roman"/>
          <w:sz w:val="24"/>
          <w:szCs w:val="24"/>
        </w:rPr>
        <w:lastRenderedPageBreak/>
        <w:t>Under the G-SIB framework, banks had been categorized primarily based on their systemic importance, with higher-risk establishments precise as G-SIBs. These banks have been required to keep large capital reserves, ensuring they may want to soak up losses throughout periods of economic stress. For instance, after the 2008 crisis, massive banks like JPMorgan Chase and Goldman Sachs were recognized as G-SIBs and have been because of this required to preserve higher capital levels to mitigate the risk of insolvency. Moreover, G-SIBs have been subjected to more advantageous supervision and stringent risk administration expectations (Carmassi and Herring, 2016). They were mandated to advance and put into effect strong recovery and resolution plans to ensure orderly resolution in the event of a crisis. These measures aimed to forestall the "too massive to fail" problem, where the fall down of a large financial institution ought to have severe spillover outcomes on the entire economic system.</w:t>
      </w:r>
    </w:p>
    <w:p w14:paraId="1FD85B10" w14:textId="77777777" w:rsidR="00C25337" w:rsidRDefault="007D2B84" w:rsidP="004F3B4D">
      <w:pPr>
        <w:spacing w:line="360" w:lineRule="auto"/>
        <w:jc w:val="both"/>
        <w:rPr>
          <w:rFonts w:ascii="Times New Roman" w:hAnsi="Times New Roman" w:cs="Times New Roman"/>
          <w:sz w:val="24"/>
          <w:szCs w:val="24"/>
        </w:rPr>
      </w:pPr>
      <w:r w:rsidRPr="005D5298">
        <w:rPr>
          <w:rFonts w:ascii="Times New Roman" w:hAnsi="Times New Roman" w:cs="Times New Roman"/>
          <w:b/>
          <w:sz w:val="24"/>
          <w:szCs w:val="24"/>
        </w:rPr>
        <w:t>Bail-In Regime</w:t>
      </w:r>
    </w:p>
    <w:p w14:paraId="4A2A3C5E" w14:textId="77777777" w:rsidR="00007DCC" w:rsidRPr="00007DCC" w:rsidRDefault="00007DCC" w:rsidP="004F3B4D">
      <w:pPr>
        <w:spacing w:line="360" w:lineRule="auto"/>
        <w:jc w:val="both"/>
        <w:rPr>
          <w:rFonts w:ascii="Times New Roman" w:hAnsi="Times New Roman" w:cs="Times New Roman"/>
          <w:sz w:val="24"/>
          <w:szCs w:val="24"/>
        </w:rPr>
      </w:pPr>
      <w:r w:rsidRPr="00007DCC">
        <w:rPr>
          <w:rFonts w:ascii="Times New Roman" w:hAnsi="Times New Roman" w:cs="Times New Roman"/>
          <w:sz w:val="24"/>
          <w:szCs w:val="24"/>
        </w:rPr>
        <w:t>The implementation or enhancement of bail-in regimes in more than a few nations marked a massive response to the 2008 monetary crisis. These regimes provide authorities the energy to rescue failing banks by converting particular liabilities, such as bonds held through investors, into fairness (Tröger, 2018). This method serves to relieve taxpayers from bearing the economic burden of bank rescues whilst fostering increased market discipline and accountability.</w:t>
      </w:r>
    </w:p>
    <w:p w14:paraId="515ACDE5" w14:textId="77777777" w:rsidR="00007DCC" w:rsidRPr="00007DCC" w:rsidRDefault="00007DCC" w:rsidP="004F3B4D">
      <w:pPr>
        <w:spacing w:line="360" w:lineRule="auto"/>
        <w:jc w:val="both"/>
        <w:rPr>
          <w:rFonts w:ascii="Times New Roman" w:hAnsi="Times New Roman" w:cs="Times New Roman"/>
          <w:sz w:val="24"/>
          <w:szCs w:val="24"/>
        </w:rPr>
      </w:pPr>
      <w:r w:rsidRPr="00007DCC">
        <w:rPr>
          <w:rFonts w:ascii="Times New Roman" w:hAnsi="Times New Roman" w:cs="Times New Roman"/>
          <w:sz w:val="24"/>
          <w:szCs w:val="24"/>
        </w:rPr>
        <w:t>For instance, the European Union (EU) brought a complete bail-in framework as section of its Bank Recovery and Resolution Directive (BRRD). In 2013, Cyprus employed a bail-in to recapitalize its banks throughout its financial crisis, involving the conversion of deposits into fairness (Pancotto, ap Gwilym and Williams, 2019). This method aimed to stabilize the monetary device and limit the need for external monetary assistance.</w:t>
      </w:r>
    </w:p>
    <w:p w14:paraId="2399ABAD" w14:textId="77777777" w:rsidR="00B562B8" w:rsidRDefault="00007DCC" w:rsidP="004F3B4D">
      <w:pPr>
        <w:spacing w:line="360" w:lineRule="auto"/>
        <w:jc w:val="both"/>
        <w:rPr>
          <w:rFonts w:ascii="Times New Roman" w:hAnsi="Times New Roman" w:cs="Times New Roman"/>
          <w:b/>
          <w:sz w:val="24"/>
          <w:szCs w:val="24"/>
        </w:rPr>
      </w:pPr>
      <w:r w:rsidRPr="00007DCC">
        <w:rPr>
          <w:rFonts w:ascii="Times New Roman" w:hAnsi="Times New Roman" w:cs="Times New Roman"/>
          <w:sz w:val="24"/>
          <w:szCs w:val="24"/>
        </w:rPr>
        <w:t>Similarly, Canada adopted a bail-in regime below its "Economic Action Plan 2013." This was once designed to beautify the resilience of its home banking sector. By requiring sure financial institution liabilities to be transformed into equity in instances of crisis, Canada aimed to ensure that economic institutions should absorb losses without resorting to taxpayer-funded bailouts (PLAN, 2013).</w:t>
      </w:r>
    </w:p>
    <w:p w14:paraId="595BCB63" w14:textId="77777777" w:rsidR="00C25337" w:rsidRPr="00C25337" w:rsidRDefault="00620290" w:rsidP="004F3B4D">
      <w:pPr>
        <w:pStyle w:val="Heading1"/>
      </w:pPr>
      <w:bookmarkStart w:id="3" w:name="_Toc142087273"/>
      <w:r>
        <w:lastRenderedPageBreak/>
        <w:t xml:space="preserve">4) </w:t>
      </w:r>
      <w:r w:rsidR="00C25337" w:rsidRPr="00C25337">
        <w:t>Banking institutions post the 2008 crises</w:t>
      </w:r>
      <w:bookmarkEnd w:id="3"/>
    </w:p>
    <w:p w14:paraId="31967001" w14:textId="77777777" w:rsidR="00007DCC" w:rsidRPr="00007DCC" w:rsidRDefault="00007DCC" w:rsidP="004F3B4D">
      <w:pPr>
        <w:spacing w:line="360" w:lineRule="auto"/>
        <w:jc w:val="both"/>
        <w:rPr>
          <w:rFonts w:ascii="Times New Roman" w:hAnsi="Times New Roman" w:cs="Times New Roman"/>
          <w:sz w:val="24"/>
          <w:szCs w:val="24"/>
        </w:rPr>
      </w:pPr>
      <w:r w:rsidRPr="00007DCC">
        <w:rPr>
          <w:rFonts w:ascii="Times New Roman" w:hAnsi="Times New Roman" w:cs="Times New Roman"/>
          <w:sz w:val="24"/>
          <w:szCs w:val="24"/>
        </w:rPr>
        <w:t>The reforms delivered submit the 2008 monetary crisis, particularly the establishment of the Consumer Financial Protection Bureau (CFPB) and the European Market Infrastructure Regulation (EMIR), have played quintessential roles in stabilizing the monetary system and enhancing the resilience of banking establishments (Lannoo, 2013). These reforms have contributed to elevated transparency, chance management, and accountability, while additionally addressing some of the systemic vulnerabilities that have been exposed at some point of the crisis.</w:t>
      </w:r>
    </w:p>
    <w:p w14:paraId="7353A470" w14:textId="77777777" w:rsidR="00007DCC" w:rsidRPr="00007DCC" w:rsidRDefault="00007DCC" w:rsidP="004F3B4D">
      <w:pPr>
        <w:spacing w:line="360" w:lineRule="auto"/>
        <w:jc w:val="both"/>
        <w:rPr>
          <w:rFonts w:ascii="Times New Roman" w:hAnsi="Times New Roman" w:cs="Times New Roman"/>
          <w:b/>
          <w:sz w:val="24"/>
          <w:szCs w:val="24"/>
        </w:rPr>
      </w:pPr>
      <w:r w:rsidRPr="00007DCC">
        <w:rPr>
          <w:rFonts w:ascii="Times New Roman" w:hAnsi="Times New Roman" w:cs="Times New Roman"/>
          <w:b/>
          <w:sz w:val="24"/>
          <w:szCs w:val="24"/>
        </w:rPr>
        <w:t>Consumer Financial Protection Bureau (CFPB)</w:t>
      </w:r>
      <w:r>
        <w:rPr>
          <w:rFonts w:ascii="Times New Roman" w:hAnsi="Times New Roman" w:cs="Times New Roman"/>
          <w:b/>
          <w:sz w:val="24"/>
          <w:szCs w:val="24"/>
        </w:rPr>
        <w:t>-</w:t>
      </w:r>
      <w:r w:rsidRPr="00007DCC">
        <w:rPr>
          <w:rFonts w:ascii="Times New Roman" w:hAnsi="Times New Roman" w:cs="Times New Roman"/>
          <w:sz w:val="24"/>
          <w:szCs w:val="24"/>
        </w:rPr>
        <w:t>The establishment of the CFPB marked a vast step closer to safeguarding shoppers from abusive and predatory practices within the economic industry. By bettering transparency and accountability, the CFPB has contributed to the steadiness of the financial system in quite a few ways:</w:t>
      </w:r>
    </w:p>
    <w:p w14:paraId="6AD840DD" w14:textId="77777777" w:rsidR="00007DCC" w:rsidRDefault="00007DCC" w:rsidP="004F3B4D">
      <w:pPr>
        <w:spacing w:line="360" w:lineRule="auto"/>
        <w:jc w:val="both"/>
        <w:rPr>
          <w:rFonts w:ascii="Times New Roman" w:hAnsi="Times New Roman" w:cs="Times New Roman"/>
          <w:sz w:val="24"/>
          <w:szCs w:val="24"/>
        </w:rPr>
      </w:pPr>
      <w:r w:rsidRPr="00007DCC">
        <w:rPr>
          <w:rFonts w:ascii="Times New Roman" w:hAnsi="Times New Roman" w:cs="Times New Roman"/>
          <w:b/>
          <w:sz w:val="24"/>
          <w:szCs w:val="24"/>
        </w:rPr>
        <w:t>Consumer Protection</w:t>
      </w:r>
      <w:r w:rsidRPr="00007DCC">
        <w:rPr>
          <w:rFonts w:ascii="Times New Roman" w:hAnsi="Times New Roman" w:cs="Times New Roman"/>
          <w:sz w:val="24"/>
          <w:szCs w:val="24"/>
        </w:rPr>
        <w:t>: The CFPB's efforts to adjust and supervise patron monetary products have helped stop deceptive lending practices and make certain that borrowers have get right of entry to clear and accurate information. This has decreased the possible for big loan defaults and foreclosures, which had been fundamental contributors to the 2008 crisis (Kennedy, McCoy and Bernstein, 2011). The CFPB has taken enforcement moves towards monetary institutions engaged in deceptive practices. For example, in 2014, the CFPB ordered a large loan lender to pay $2.1 billion in relief to buyers affected via unlawful practices associated to personal loan servicing and foreclosures (Carpenter, 2014).</w:t>
      </w:r>
    </w:p>
    <w:p w14:paraId="053D58F2" w14:textId="77777777" w:rsidR="0094542D" w:rsidRPr="0094542D" w:rsidRDefault="0094542D" w:rsidP="004F3B4D">
      <w:pPr>
        <w:spacing w:line="360" w:lineRule="auto"/>
        <w:jc w:val="both"/>
        <w:rPr>
          <w:rFonts w:ascii="Times New Roman" w:hAnsi="Times New Roman" w:cs="Times New Roman"/>
          <w:b/>
          <w:sz w:val="24"/>
          <w:szCs w:val="24"/>
        </w:rPr>
      </w:pPr>
      <w:r w:rsidRPr="0094542D">
        <w:rPr>
          <w:rFonts w:ascii="Times New Roman" w:hAnsi="Times New Roman" w:cs="Times New Roman"/>
          <w:b/>
          <w:sz w:val="24"/>
          <w:szCs w:val="24"/>
        </w:rPr>
        <w:t xml:space="preserve">Fair Lending Practices: </w:t>
      </w:r>
      <w:r w:rsidRPr="0094542D">
        <w:rPr>
          <w:rFonts w:ascii="Times New Roman" w:hAnsi="Times New Roman" w:cs="Times New Roman"/>
          <w:sz w:val="24"/>
          <w:szCs w:val="24"/>
        </w:rPr>
        <w:t>Through regulations such as the Qualified Mortgage Rule, t</w:t>
      </w:r>
      <w:r>
        <w:rPr>
          <w:rFonts w:ascii="Times New Roman" w:hAnsi="Times New Roman" w:cs="Times New Roman"/>
          <w:sz w:val="24"/>
          <w:szCs w:val="24"/>
        </w:rPr>
        <w:t xml:space="preserve">he CFPB has prompted </w:t>
      </w:r>
      <w:r w:rsidRPr="0094542D">
        <w:rPr>
          <w:rFonts w:ascii="Times New Roman" w:hAnsi="Times New Roman" w:cs="Times New Roman"/>
          <w:sz w:val="24"/>
          <w:szCs w:val="24"/>
        </w:rPr>
        <w:t>lending practices, ensuring that borrowers are now not placed in loans they cannot afford. This has contributed to the standard steadiness of the housing market and decreased the hazard of a housing bubble. For instance, reflect on</w:t>
      </w:r>
      <w:r>
        <w:rPr>
          <w:rFonts w:ascii="Times New Roman" w:hAnsi="Times New Roman" w:cs="Times New Roman"/>
          <w:sz w:val="24"/>
          <w:szCs w:val="24"/>
        </w:rPr>
        <w:t xml:space="preserve"> </w:t>
      </w:r>
      <w:r w:rsidRPr="0094542D">
        <w:rPr>
          <w:rFonts w:ascii="Times New Roman" w:hAnsi="Times New Roman" w:cs="Times New Roman"/>
          <w:sz w:val="24"/>
          <w:szCs w:val="24"/>
        </w:rPr>
        <w:t>consideration on a state of affairs prior to the implementation of the Qualified Mortgage Rule (Shatz and Angelo, 2014). Lenders have been supplying subprime mortgages to borrowers with inadequate profits verification or excessive debt, leading to a surge in mortgage defaults and foreclosures all through the 2008 financial crisis. The absence of desirable evaluation of borrowers' reimbursement ability contributed to the housing bubble and subsequent market fall down (Renuart and Keest, 2012).</w:t>
      </w:r>
    </w:p>
    <w:p w14:paraId="1D89FCBB" w14:textId="77777777" w:rsidR="0094542D" w:rsidRPr="0094542D" w:rsidRDefault="0094542D" w:rsidP="004F3B4D">
      <w:pPr>
        <w:spacing w:line="360" w:lineRule="auto"/>
        <w:jc w:val="both"/>
        <w:rPr>
          <w:rFonts w:ascii="Times New Roman" w:hAnsi="Times New Roman" w:cs="Times New Roman"/>
          <w:sz w:val="24"/>
          <w:szCs w:val="24"/>
        </w:rPr>
      </w:pPr>
      <w:r w:rsidRPr="0094542D">
        <w:rPr>
          <w:rFonts w:ascii="Times New Roman" w:hAnsi="Times New Roman" w:cs="Times New Roman"/>
          <w:b/>
          <w:sz w:val="24"/>
          <w:szCs w:val="24"/>
        </w:rPr>
        <w:lastRenderedPageBreak/>
        <w:t xml:space="preserve">Early Warning System: </w:t>
      </w:r>
      <w:r w:rsidRPr="0094542D">
        <w:rPr>
          <w:rFonts w:ascii="Times New Roman" w:hAnsi="Times New Roman" w:cs="Times New Roman"/>
          <w:sz w:val="24"/>
          <w:szCs w:val="24"/>
        </w:rPr>
        <w:t>The CFPB's patron criticism database serves as an early warning computer for figuring out emerging troubles and conceivable dangers inside the monetary industry. This proactive strategy enables nicely timed interventions to address issues beforehand than they improve into systemic crises (Bastani, Namavari and Shaffer, 2019).</w:t>
      </w:r>
    </w:p>
    <w:p w14:paraId="51B149FB" w14:textId="77777777" w:rsidR="0094542D" w:rsidRPr="0094542D" w:rsidRDefault="0094542D" w:rsidP="004F3B4D">
      <w:pPr>
        <w:spacing w:line="360" w:lineRule="auto"/>
        <w:jc w:val="both"/>
        <w:rPr>
          <w:rFonts w:ascii="Times New Roman" w:hAnsi="Times New Roman" w:cs="Times New Roman"/>
          <w:sz w:val="24"/>
          <w:szCs w:val="24"/>
        </w:rPr>
      </w:pPr>
      <w:r w:rsidRPr="0094542D">
        <w:rPr>
          <w:rFonts w:ascii="Times New Roman" w:hAnsi="Times New Roman" w:cs="Times New Roman"/>
          <w:sz w:val="24"/>
          <w:szCs w:val="24"/>
        </w:rPr>
        <w:t>In 2016, the CFPB's patron grievance database performed a necessary function in uncovering the tremendous unauthorized account scandal at Wells Fargo. Consumer complaints filed with the CFPB alerted regulators to the unethical profits practices employed by means of the bank. Employees at Wells Fargo had been opening unauthorized money owed and financial savings cards in customers' names barring</w:t>
      </w:r>
      <w:r w:rsidRPr="0094542D">
        <w:rPr>
          <w:rFonts w:ascii="Times New Roman" w:hAnsi="Times New Roman" w:cs="Times New Roman"/>
          <w:sz w:val="24"/>
          <w:szCs w:val="24"/>
        </w:rPr>
        <w:tab/>
        <w:t xml:space="preserve"> their consent, main to unsuitable fees, broken credit score score scores, and a breach of have self belief (Halvorsen and Møkkelgård, 2018).</w:t>
      </w:r>
    </w:p>
    <w:p w14:paraId="196FF6EE" w14:textId="77777777" w:rsidR="0094542D" w:rsidRPr="0094542D" w:rsidRDefault="0094542D" w:rsidP="004F3B4D">
      <w:pPr>
        <w:spacing w:line="360" w:lineRule="auto"/>
        <w:jc w:val="both"/>
        <w:rPr>
          <w:rFonts w:ascii="Times New Roman" w:hAnsi="Times New Roman" w:cs="Times New Roman"/>
          <w:sz w:val="24"/>
          <w:szCs w:val="24"/>
        </w:rPr>
      </w:pPr>
      <w:r w:rsidRPr="0094542D">
        <w:rPr>
          <w:rFonts w:ascii="Times New Roman" w:hAnsi="Times New Roman" w:cs="Times New Roman"/>
          <w:sz w:val="24"/>
          <w:szCs w:val="24"/>
        </w:rPr>
        <w:t>The patron complaints submitted to the CFPB supplied an early indication of the issue's scope and systemic implications. The CFPB then initiated an investigation into Wells Fargo's practices. The investigation published that the unethical behavior was once now not isolated but was once alternatively a section of the bank's broader income culture. The subsequent enforcement moves and penalties imposed on Wells Fargo highlighted the importance of the customer complaint database</w:t>
      </w:r>
      <w:r>
        <w:rPr>
          <w:rFonts w:ascii="Times New Roman" w:hAnsi="Times New Roman" w:cs="Times New Roman"/>
          <w:sz w:val="24"/>
          <w:szCs w:val="24"/>
        </w:rPr>
        <w:t xml:space="preserve"> as an early warning mechanism.</w:t>
      </w:r>
    </w:p>
    <w:p w14:paraId="7760CCA5" w14:textId="77777777" w:rsidR="0094542D" w:rsidRPr="0094542D" w:rsidRDefault="0094542D" w:rsidP="004F3B4D">
      <w:pPr>
        <w:spacing w:line="360" w:lineRule="auto"/>
        <w:jc w:val="both"/>
        <w:rPr>
          <w:rFonts w:ascii="Times New Roman" w:hAnsi="Times New Roman" w:cs="Times New Roman"/>
          <w:sz w:val="24"/>
          <w:szCs w:val="24"/>
        </w:rPr>
      </w:pPr>
      <w:r w:rsidRPr="0094542D">
        <w:rPr>
          <w:rFonts w:ascii="Times New Roman" w:hAnsi="Times New Roman" w:cs="Times New Roman"/>
          <w:sz w:val="24"/>
          <w:szCs w:val="24"/>
        </w:rPr>
        <w:t>However, it's vital to well known that the CF</w:t>
      </w:r>
      <w:r>
        <w:rPr>
          <w:rFonts w:ascii="Times New Roman" w:hAnsi="Times New Roman" w:cs="Times New Roman"/>
          <w:sz w:val="24"/>
          <w:szCs w:val="24"/>
        </w:rPr>
        <w:t>PB's impact has limitations. It</w:t>
      </w:r>
      <w:r w:rsidRPr="0094542D">
        <w:rPr>
          <w:rFonts w:ascii="Times New Roman" w:hAnsi="Times New Roman" w:cs="Times New Roman"/>
          <w:sz w:val="24"/>
          <w:szCs w:val="24"/>
        </w:rPr>
        <w:t xml:space="preserve"> attains and jurisdiction may not cowl all monetary institutions, leaving some regulatory gaps. Additionally, some critics argue that immoderate regulation may want to stifle innovation and potentially restriction credit score availability, which is crucial for financial growth.</w:t>
      </w:r>
    </w:p>
    <w:p w14:paraId="5797BB05" w14:textId="77777777" w:rsidR="00C25337" w:rsidRPr="00C25337" w:rsidRDefault="00C25337" w:rsidP="004F3B4D">
      <w:pPr>
        <w:spacing w:line="360" w:lineRule="auto"/>
        <w:jc w:val="both"/>
        <w:rPr>
          <w:rFonts w:ascii="Times New Roman" w:hAnsi="Times New Roman" w:cs="Times New Roman"/>
          <w:b/>
          <w:sz w:val="24"/>
          <w:szCs w:val="24"/>
        </w:rPr>
      </w:pPr>
      <w:r w:rsidRPr="00C25337">
        <w:rPr>
          <w:rFonts w:ascii="Times New Roman" w:hAnsi="Times New Roman" w:cs="Times New Roman"/>
          <w:b/>
          <w:sz w:val="24"/>
          <w:szCs w:val="24"/>
        </w:rPr>
        <w:t>European Market In</w:t>
      </w:r>
      <w:r>
        <w:rPr>
          <w:rFonts w:ascii="Times New Roman" w:hAnsi="Times New Roman" w:cs="Times New Roman"/>
          <w:b/>
          <w:sz w:val="24"/>
          <w:szCs w:val="24"/>
        </w:rPr>
        <w:t>frastructure Regulation (EMIR)</w:t>
      </w:r>
    </w:p>
    <w:p w14:paraId="72EE8A00" w14:textId="77777777" w:rsidR="0094542D" w:rsidRPr="0094542D" w:rsidRDefault="0094542D" w:rsidP="004F3B4D">
      <w:pPr>
        <w:spacing w:line="360" w:lineRule="auto"/>
        <w:jc w:val="both"/>
        <w:rPr>
          <w:rFonts w:ascii="Times New Roman" w:hAnsi="Times New Roman" w:cs="Times New Roman"/>
          <w:sz w:val="24"/>
          <w:szCs w:val="24"/>
        </w:rPr>
      </w:pPr>
      <w:r w:rsidRPr="0094542D">
        <w:rPr>
          <w:rFonts w:ascii="Times New Roman" w:hAnsi="Times New Roman" w:cs="Times New Roman"/>
          <w:sz w:val="24"/>
          <w:szCs w:val="24"/>
        </w:rPr>
        <w:t>EMIR aimed to alter and standardize the over-the-counter (OTC) derivatives markets, with the intention of enhancing transparency and lowering counterparty risk. The impact of EMIR on stabilizing the economic system and banking establishments is notable:</w:t>
      </w:r>
    </w:p>
    <w:p w14:paraId="44312460" w14:textId="77777777" w:rsidR="0094542D" w:rsidRPr="0094542D" w:rsidRDefault="0094542D" w:rsidP="004F3B4D">
      <w:pPr>
        <w:spacing w:line="360" w:lineRule="auto"/>
        <w:jc w:val="both"/>
        <w:rPr>
          <w:rFonts w:ascii="Times New Roman" w:hAnsi="Times New Roman" w:cs="Times New Roman"/>
          <w:sz w:val="24"/>
          <w:szCs w:val="24"/>
        </w:rPr>
      </w:pPr>
      <w:r w:rsidRPr="0094542D">
        <w:rPr>
          <w:rFonts w:ascii="Times New Roman" w:hAnsi="Times New Roman" w:cs="Times New Roman"/>
          <w:b/>
          <w:sz w:val="24"/>
          <w:szCs w:val="24"/>
        </w:rPr>
        <w:t>Transparency and Risk Reduction:</w:t>
      </w:r>
      <w:r w:rsidRPr="0094542D">
        <w:rPr>
          <w:rFonts w:ascii="Times New Roman" w:hAnsi="Times New Roman" w:cs="Times New Roman"/>
          <w:sz w:val="24"/>
          <w:szCs w:val="24"/>
        </w:rPr>
        <w:t xml:space="preserve"> By requiring the reporting of derivative transactions to exchange repositories, EMIR has increased transparency and furnished regulators with valuable statistics for monitoring systemic risks. This transparency helps prevent the buildup of hidden dangers that contributed to the 2008 disaster (Ferrarini and Saguato, 2014).</w:t>
      </w:r>
    </w:p>
    <w:p w14:paraId="2C4D52D0" w14:textId="77777777" w:rsidR="0094542D" w:rsidRPr="0094542D" w:rsidRDefault="0094542D" w:rsidP="004F3B4D">
      <w:pPr>
        <w:spacing w:line="360" w:lineRule="auto"/>
        <w:jc w:val="both"/>
        <w:rPr>
          <w:rFonts w:ascii="Times New Roman" w:hAnsi="Times New Roman" w:cs="Times New Roman"/>
          <w:sz w:val="24"/>
          <w:szCs w:val="24"/>
        </w:rPr>
      </w:pPr>
      <w:r w:rsidRPr="0094542D">
        <w:rPr>
          <w:rFonts w:ascii="Times New Roman" w:hAnsi="Times New Roman" w:cs="Times New Roman"/>
          <w:b/>
          <w:sz w:val="24"/>
          <w:szCs w:val="24"/>
        </w:rPr>
        <w:lastRenderedPageBreak/>
        <w:t>Central Clearing:</w:t>
      </w:r>
      <w:r w:rsidRPr="0094542D">
        <w:rPr>
          <w:rFonts w:ascii="Times New Roman" w:hAnsi="Times New Roman" w:cs="Times New Roman"/>
          <w:sz w:val="24"/>
          <w:szCs w:val="24"/>
        </w:rPr>
        <w:t xml:space="preserve"> EMIR mandated central clearing of standardized derivatives through central counterparties (CCPs), lowering counterparty hazard and the possible for contagion in case of a default. This has better the stability of the economic device by using minimizing the chance of a cascading failure of interconnected establishments (Aditya, 2013).</w:t>
      </w:r>
    </w:p>
    <w:p w14:paraId="2D6ECA88" w14:textId="77777777" w:rsidR="0094542D" w:rsidRPr="0094542D" w:rsidRDefault="0094542D" w:rsidP="004F3B4D">
      <w:pPr>
        <w:spacing w:line="360" w:lineRule="auto"/>
        <w:jc w:val="both"/>
        <w:rPr>
          <w:rFonts w:ascii="Times New Roman" w:hAnsi="Times New Roman" w:cs="Times New Roman"/>
          <w:sz w:val="24"/>
          <w:szCs w:val="24"/>
        </w:rPr>
      </w:pPr>
      <w:r w:rsidRPr="0094542D">
        <w:rPr>
          <w:rFonts w:ascii="Times New Roman" w:hAnsi="Times New Roman" w:cs="Times New Roman"/>
          <w:b/>
          <w:sz w:val="24"/>
          <w:szCs w:val="24"/>
        </w:rPr>
        <w:t>Standardization:</w:t>
      </w:r>
      <w:r w:rsidRPr="0094542D">
        <w:rPr>
          <w:rFonts w:ascii="Times New Roman" w:hAnsi="Times New Roman" w:cs="Times New Roman"/>
          <w:sz w:val="24"/>
          <w:szCs w:val="24"/>
        </w:rPr>
        <w:t xml:space="preserve"> EMIR's emphasis on standardized derivatives buying and selling has promoted consistency and predictability in the derivatives markets. This reduces the complexity that can extend systemic dangers during periods of market stress (Priem, 2022).</w:t>
      </w:r>
    </w:p>
    <w:p w14:paraId="0E5C9C80" w14:textId="77777777" w:rsidR="0094542D" w:rsidRDefault="0094542D" w:rsidP="004F3B4D">
      <w:pPr>
        <w:spacing w:line="360" w:lineRule="auto"/>
        <w:jc w:val="both"/>
        <w:rPr>
          <w:rFonts w:ascii="Times New Roman" w:hAnsi="Times New Roman" w:cs="Times New Roman"/>
          <w:sz w:val="24"/>
          <w:szCs w:val="24"/>
        </w:rPr>
      </w:pPr>
      <w:r w:rsidRPr="0094542D">
        <w:rPr>
          <w:rFonts w:ascii="Times New Roman" w:hAnsi="Times New Roman" w:cs="Times New Roman"/>
          <w:sz w:val="24"/>
          <w:szCs w:val="24"/>
        </w:rPr>
        <w:t>However, critics argue that whilst EMIR has made big strides in enhancing derivatives market stability, it would possibly now not fully address the challenges posed via complex and customized derivatives. Additionally, regulatory compliance fees should have an effect on smaller market participants, doubtlessly main to concentration in the economic industry.</w:t>
      </w:r>
    </w:p>
    <w:p w14:paraId="11EC8CDB" w14:textId="77777777" w:rsidR="00192B87" w:rsidRDefault="004F3B4D" w:rsidP="004F3B4D">
      <w:pPr>
        <w:pStyle w:val="Heading1"/>
      </w:pPr>
      <w:bookmarkStart w:id="4" w:name="_Toc142087274"/>
      <w:r>
        <w:t>5)</w:t>
      </w:r>
      <w:r w:rsidRPr="00192B87">
        <w:t xml:space="preserve"> Theoretical</w:t>
      </w:r>
      <w:r w:rsidR="00192B87" w:rsidRPr="00192B87">
        <w:t xml:space="preserve"> Implementation</w:t>
      </w:r>
      <w:bookmarkEnd w:id="4"/>
    </w:p>
    <w:p w14:paraId="3AE4636F" w14:textId="77777777" w:rsidR="00192B87" w:rsidRPr="004F3B4D" w:rsidRDefault="003713FE" w:rsidP="004F3B4D">
      <w:pPr>
        <w:spacing w:line="360" w:lineRule="auto"/>
        <w:jc w:val="both"/>
        <w:rPr>
          <w:rFonts w:ascii="Times New Roman" w:hAnsi="Times New Roman" w:cs="Times New Roman"/>
          <w:b/>
          <w:sz w:val="24"/>
          <w:szCs w:val="24"/>
        </w:rPr>
      </w:pPr>
      <w:r w:rsidRPr="003713FE">
        <w:rPr>
          <w:rFonts w:ascii="Times New Roman" w:hAnsi="Times New Roman" w:cs="Times New Roman"/>
          <w:b/>
          <w:sz w:val="24"/>
          <w:szCs w:val="24"/>
        </w:rPr>
        <w:t>Capital Asset Pricing Model (CAPM)</w:t>
      </w:r>
    </w:p>
    <w:p w14:paraId="66C763CD" w14:textId="77777777" w:rsidR="0094542D" w:rsidRPr="0094542D" w:rsidRDefault="0094542D" w:rsidP="004F3B4D">
      <w:pPr>
        <w:spacing w:line="360" w:lineRule="auto"/>
        <w:jc w:val="both"/>
        <w:rPr>
          <w:rFonts w:ascii="Times New Roman" w:hAnsi="Times New Roman" w:cs="Times New Roman"/>
          <w:sz w:val="24"/>
          <w:szCs w:val="24"/>
        </w:rPr>
      </w:pPr>
      <w:r w:rsidRPr="0094542D">
        <w:rPr>
          <w:rFonts w:ascii="Times New Roman" w:hAnsi="Times New Roman" w:cs="Times New Roman"/>
          <w:sz w:val="24"/>
          <w:szCs w:val="24"/>
        </w:rPr>
        <w:t>The Capital Asset Pricing Model (CAPM) stands as a crucial concept in the realm of finance, providing valuable insights into the difficult interplay between hazard and anticipated return within funding scenarios. For researchers and practitioners delving into the analysis of numerous belongings or portfolios, CAPM provides an essential tool for assessing risk-return dynamics (Hundal, Eskola and Tuan, 2019).</w:t>
      </w:r>
    </w:p>
    <w:p w14:paraId="0A4C9E72" w14:textId="77777777" w:rsidR="0094542D" w:rsidRDefault="0094542D" w:rsidP="004F3B4D">
      <w:pPr>
        <w:spacing w:line="360" w:lineRule="auto"/>
        <w:jc w:val="both"/>
        <w:rPr>
          <w:rFonts w:ascii="Times New Roman" w:hAnsi="Times New Roman" w:cs="Times New Roman"/>
          <w:sz w:val="24"/>
          <w:szCs w:val="24"/>
        </w:rPr>
      </w:pPr>
      <w:r w:rsidRPr="0094542D">
        <w:rPr>
          <w:rFonts w:ascii="Times New Roman" w:hAnsi="Times New Roman" w:cs="Times New Roman"/>
          <w:sz w:val="24"/>
          <w:szCs w:val="24"/>
        </w:rPr>
        <w:t xml:space="preserve">At its core, CAPM affords a structured framework for estimating the anticipated return on an funding by means of considering its exposure to systematic risk, many times represented as beta. This beta coefficient quantifies the asset's sensitivity to ordinary market fluctuations. Complementing this, the theory incorporates the broader market hazard premium, reflecting the extra return demanded by investors for bearing systematic risk. In a study context, the place evaluation of chance and return attributes of different property or portfolios is paramount; CAPM affords a systematic method (Zerbib, 2022). For instance, researchers can utilize CAPM to verify the appropriateness of plausible funding selections by means of gauging the expected returns vis-à-vis the related risks. By calculating the required price of return based on the beta </w:t>
      </w:r>
      <w:r w:rsidRPr="0094542D">
        <w:rPr>
          <w:rFonts w:ascii="Times New Roman" w:hAnsi="Times New Roman" w:cs="Times New Roman"/>
          <w:sz w:val="24"/>
          <w:szCs w:val="24"/>
        </w:rPr>
        <w:lastRenderedPageBreak/>
        <w:t>and market danger premium, analysts can weigh the elegance of funding alternatives towards their inherent danger profiles.</w:t>
      </w:r>
    </w:p>
    <w:p w14:paraId="38672F44" w14:textId="77777777" w:rsidR="003713FE" w:rsidRPr="003713FE" w:rsidRDefault="003713FE" w:rsidP="004F3B4D">
      <w:pPr>
        <w:spacing w:line="360" w:lineRule="auto"/>
        <w:jc w:val="both"/>
        <w:rPr>
          <w:rFonts w:ascii="Times New Roman" w:hAnsi="Times New Roman" w:cs="Times New Roman"/>
          <w:b/>
          <w:sz w:val="24"/>
          <w:szCs w:val="24"/>
        </w:rPr>
      </w:pPr>
      <w:r w:rsidRPr="003713FE">
        <w:rPr>
          <w:rFonts w:ascii="Times New Roman" w:hAnsi="Times New Roman" w:cs="Times New Roman"/>
          <w:b/>
          <w:sz w:val="24"/>
          <w:szCs w:val="24"/>
        </w:rPr>
        <w:t>The Efficient Market Hypothesis (EMH) theory</w:t>
      </w:r>
    </w:p>
    <w:p w14:paraId="698D11DA" w14:textId="77777777" w:rsidR="0094542D" w:rsidRPr="0094542D" w:rsidRDefault="0094542D" w:rsidP="004F3B4D">
      <w:pPr>
        <w:spacing w:line="360" w:lineRule="auto"/>
        <w:jc w:val="both"/>
        <w:rPr>
          <w:rFonts w:ascii="Times New Roman" w:hAnsi="Times New Roman" w:cs="Times New Roman"/>
          <w:sz w:val="24"/>
          <w:szCs w:val="24"/>
        </w:rPr>
      </w:pPr>
      <w:r w:rsidRPr="0094542D">
        <w:rPr>
          <w:rFonts w:ascii="Times New Roman" w:hAnsi="Times New Roman" w:cs="Times New Roman"/>
          <w:sz w:val="24"/>
          <w:szCs w:val="24"/>
        </w:rPr>
        <w:t>The Efficient Market Hypothesis (EMH) stands as a cornerstone concept in finance, asserting that asset expenditures at once incorporate all relevant facts available in the market. This suggests that persistently achieving returns past the market common thru active buying and selling or funding techniques is an arduous undertaking (Leković, 2018). In the context of your study, if you are delving into the evaluation of actively managed funds, the have an effect on of new records on inventory prices, or the overall effectivity of monetary markets, EMH affords a pertinent theoretical lens.</w:t>
      </w:r>
    </w:p>
    <w:p w14:paraId="63F2C357" w14:textId="77777777" w:rsidR="0094542D" w:rsidRPr="0094542D" w:rsidRDefault="0094542D" w:rsidP="004F3B4D">
      <w:pPr>
        <w:spacing w:line="360" w:lineRule="auto"/>
        <w:jc w:val="both"/>
        <w:rPr>
          <w:rFonts w:ascii="Times New Roman" w:hAnsi="Times New Roman" w:cs="Times New Roman"/>
          <w:sz w:val="24"/>
          <w:szCs w:val="24"/>
        </w:rPr>
      </w:pPr>
      <w:r w:rsidRPr="0094542D">
        <w:rPr>
          <w:rFonts w:ascii="Times New Roman" w:hAnsi="Times New Roman" w:cs="Times New Roman"/>
          <w:sz w:val="24"/>
          <w:szCs w:val="24"/>
        </w:rPr>
        <w:t>When assessing actively managed funds, EMH provides a framework to scrutinize whether fund managers constantly outperform the broader market or if such occurrences may want to be attributed to danger rather than skill. Moreover, the theory's premise of instantaneous information incorporation affords a lens to consider how unexpectedly stock expenditures adjust to new facts (Liu, Yu, Shiu and Shih, 2022). This is especially applicable when investigating the efficiency of financial markets, as it helps gauge how shortly costs mirror changes in fundamental data.</w:t>
      </w:r>
    </w:p>
    <w:p w14:paraId="733CD710" w14:textId="77777777" w:rsidR="0094542D" w:rsidRDefault="0094542D" w:rsidP="004F3B4D">
      <w:pPr>
        <w:spacing w:line="360" w:lineRule="auto"/>
        <w:jc w:val="both"/>
        <w:rPr>
          <w:rFonts w:ascii="Times New Roman" w:hAnsi="Times New Roman" w:cs="Times New Roman"/>
          <w:sz w:val="24"/>
          <w:szCs w:val="24"/>
        </w:rPr>
      </w:pPr>
      <w:r w:rsidRPr="0094542D">
        <w:rPr>
          <w:rFonts w:ascii="Times New Roman" w:hAnsi="Times New Roman" w:cs="Times New Roman"/>
          <w:sz w:val="24"/>
          <w:szCs w:val="24"/>
        </w:rPr>
        <w:t>By leveraging EMH, your study can delve into whether historic inventory price tendencies align with the hypothesis's underpinnings, checking out the degree to which data effectivity is observable. Additionally, it allows an examination of whether or not active management strategies persistently yield returns that surpass the market average, contributing to the ongoing discourse on the efficacy of energetic versus passive funding approaches.</w:t>
      </w:r>
    </w:p>
    <w:p w14:paraId="001387B0" w14:textId="77777777" w:rsidR="00192B87" w:rsidRPr="003713FE" w:rsidRDefault="004F3B4D" w:rsidP="004F3B4D">
      <w:pPr>
        <w:pStyle w:val="Heading1"/>
      </w:pPr>
      <w:bookmarkStart w:id="5" w:name="_Toc142087275"/>
      <w:r>
        <w:t xml:space="preserve">6) </w:t>
      </w:r>
      <w:r w:rsidR="003713FE" w:rsidRPr="003713FE">
        <w:t>Financial Services company and analyse</w:t>
      </w:r>
      <w:bookmarkEnd w:id="5"/>
    </w:p>
    <w:p w14:paraId="08491C9E" w14:textId="77777777" w:rsidR="006415FD" w:rsidRPr="0094542D" w:rsidRDefault="006415FD" w:rsidP="004F3B4D">
      <w:pPr>
        <w:spacing w:line="360" w:lineRule="auto"/>
        <w:jc w:val="both"/>
        <w:rPr>
          <w:rFonts w:ascii="Times New Roman" w:hAnsi="Times New Roman" w:cs="Times New Roman"/>
          <w:b/>
          <w:sz w:val="24"/>
          <w:szCs w:val="24"/>
        </w:rPr>
      </w:pPr>
      <w:r w:rsidRPr="006415FD">
        <w:rPr>
          <w:rFonts w:ascii="Times New Roman" w:hAnsi="Times New Roman" w:cs="Times New Roman"/>
          <w:b/>
          <w:sz w:val="24"/>
          <w:szCs w:val="24"/>
        </w:rPr>
        <w:t>Barclays Bank: Impact of Financial Reforms</w:t>
      </w:r>
    </w:p>
    <w:p w14:paraId="77DB9D48" w14:textId="77777777" w:rsidR="0094542D" w:rsidRPr="0094542D" w:rsidRDefault="0094542D" w:rsidP="004F3B4D">
      <w:pPr>
        <w:spacing w:line="360" w:lineRule="auto"/>
        <w:jc w:val="both"/>
        <w:rPr>
          <w:rFonts w:ascii="Times New Roman" w:hAnsi="Times New Roman" w:cs="Times New Roman"/>
          <w:b/>
          <w:sz w:val="24"/>
          <w:szCs w:val="24"/>
        </w:rPr>
      </w:pPr>
      <w:r w:rsidRPr="0094542D">
        <w:rPr>
          <w:rFonts w:ascii="Times New Roman" w:hAnsi="Times New Roman" w:cs="Times New Roman"/>
          <w:b/>
          <w:sz w:val="24"/>
          <w:szCs w:val="24"/>
        </w:rPr>
        <w:t>Overview of Barclays Bank</w:t>
      </w:r>
    </w:p>
    <w:p w14:paraId="3F2DD061" w14:textId="77777777" w:rsidR="0094542D" w:rsidRPr="0094542D" w:rsidRDefault="0094542D" w:rsidP="004F3B4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Barclays Bank is </w:t>
      </w:r>
      <w:r w:rsidRPr="0094542D">
        <w:rPr>
          <w:rFonts w:ascii="Times New Roman" w:hAnsi="Times New Roman" w:cs="Times New Roman"/>
          <w:sz w:val="24"/>
          <w:szCs w:val="24"/>
        </w:rPr>
        <w:t xml:space="preserve">globally identified economic offerings organization headquartered in the United Kingdom. With a prosperous records dating back over three centuries, Barclays affords a </w:t>
      </w:r>
      <w:r w:rsidRPr="0094542D">
        <w:rPr>
          <w:rFonts w:ascii="Times New Roman" w:hAnsi="Times New Roman" w:cs="Times New Roman"/>
          <w:sz w:val="24"/>
          <w:szCs w:val="24"/>
        </w:rPr>
        <w:lastRenderedPageBreak/>
        <w:t>complete range of banking, investment, and monetary products and services to its diverse clientele, spanning retail, corporate, and funding banking sectors (Barclays, 2023).</w:t>
      </w:r>
    </w:p>
    <w:p w14:paraId="5B9FFF5D" w14:textId="77777777" w:rsidR="0094542D" w:rsidRPr="0094542D" w:rsidRDefault="0094542D" w:rsidP="004F3B4D">
      <w:pPr>
        <w:spacing w:line="360" w:lineRule="auto"/>
        <w:jc w:val="both"/>
        <w:rPr>
          <w:rFonts w:ascii="Times New Roman" w:hAnsi="Times New Roman" w:cs="Times New Roman"/>
          <w:sz w:val="24"/>
          <w:szCs w:val="24"/>
        </w:rPr>
      </w:pPr>
      <w:r w:rsidRPr="0094542D">
        <w:rPr>
          <w:rFonts w:ascii="Times New Roman" w:hAnsi="Times New Roman" w:cs="Times New Roman"/>
          <w:sz w:val="24"/>
          <w:szCs w:val="24"/>
        </w:rPr>
        <w:t>Barclays Bank is a British multinational ordinary financial institution headquartered in London, England. It is one of the Big Five banks in the United Kingdom, and is ranked as the world's 18th greatest financial institution by assets. As of March 2023, Barclays had whole property of £935 billion, total fairness of £47 billion, and internet income of £2.8 billion. The financial institution employs over 85,000 people in over 50 nations (Barclays, 2023).</w:t>
      </w:r>
    </w:p>
    <w:p w14:paraId="241482BB" w14:textId="77777777" w:rsidR="0094542D" w:rsidRPr="0094542D" w:rsidRDefault="0094542D" w:rsidP="004F3B4D">
      <w:pPr>
        <w:spacing w:line="360" w:lineRule="auto"/>
        <w:jc w:val="both"/>
        <w:rPr>
          <w:rFonts w:ascii="Times New Roman" w:hAnsi="Times New Roman" w:cs="Times New Roman"/>
          <w:sz w:val="24"/>
          <w:szCs w:val="24"/>
        </w:rPr>
      </w:pPr>
      <w:r w:rsidRPr="0094542D">
        <w:rPr>
          <w:rFonts w:ascii="Times New Roman" w:hAnsi="Times New Roman" w:cs="Times New Roman"/>
          <w:sz w:val="24"/>
          <w:szCs w:val="24"/>
        </w:rPr>
        <w:t>In 2022, Barclays' retail banking division generated £16.3 billion in revenue, while its corporate and investment banking division generated £14.2 billion in revenue. The bank's investment banking division also ranked as the world's tenth biggest investment bank through expenses in 2022. Barclays is a leading world economic group with a long and uncommon history. The bank offers a huge range of products and services to its customers, and is committed to offering responsible and sustainable finance (Barclays PLC, 2022).</w:t>
      </w:r>
    </w:p>
    <w:p w14:paraId="41E801A5" w14:textId="77777777" w:rsidR="006415FD" w:rsidRPr="006415FD" w:rsidRDefault="006415FD" w:rsidP="004F3B4D">
      <w:pPr>
        <w:spacing w:line="360" w:lineRule="auto"/>
        <w:jc w:val="both"/>
        <w:rPr>
          <w:rFonts w:ascii="Times New Roman" w:hAnsi="Times New Roman" w:cs="Times New Roman"/>
          <w:b/>
          <w:sz w:val="24"/>
          <w:szCs w:val="24"/>
        </w:rPr>
      </w:pPr>
      <w:r w:rsidRPr="006415FD">
        <w:rPr>
          <w:rFonts w:ascii="Times New Roman" w:hAnsi="Times New Roman" w:cs="Times New Roman"/>
          <w:b/>
          <w:sz w:val="24"/>
          <w:szCs w:val="24"/>
        </w:rPr>
        <w:t>Relevant Financial Reforms-For the analysis of Barclays Bank, two pivotal financial reforms will be considered:</w:t>
      </w:r>
    </w:p>
    <w:p w14:paraId="7C93FC3E" w14:textId="77777777" w:rsidR="000C6542" w:rsidRPr="000C6542" w:rsidRDefault="006415FD" w:rsidP="004F3B4D">
      <w:pPr>
        <w:spacing w:line="360" w:lineRule="auto"/>
        <w:jc w:val="both"/>
        <w:rPr>
          <w:rFonts w:ascii="Times New Roman" w:hAnsi="Times New Roman" w:cs="Times New Roman"/>
          <w:sz w:val="24"/>
          <w:szCs w:val="24"/>
        </w:rPr>
      </w:pPr>
      <w:r w:rsidRPr="006415FD">
        <w:rPr>
          <w:rFonts w:ascii="Times New Roman" w:hAnsi="Times New Roman" w:cs="Times New Roman"/>
          <w:b/>
          <w:sz w:val="24"/>
          <w:szCs w:val="24"/>
        </w:rPr>
        <w:t>Basel III Regulations</w:t>
      </w:r>
      <w:r w:rsidRPr="006415FD">
        <w:rPr>
          <w:rFonts w:ascii="Times New Roman" w:hAnsi="Times New Roman" w:cs="Times New Roman"/>
          <w:sz w:val="24"/>
          <w:szCs w:val="24"/>
        </w:rPr>
        <w:t xml:space="preserve">: </w:t>
      </w:r>
      <w:r w:rsidR="000C6542" w:rsidRPr="000C6542">
        <w:rPr>
          <w:rFonts w:ascii="Times New Roman" w:hAnsi="Times New Roman" w:cs="Times New Roman"/>
          <w:sz w:val="24"/>
          <w:szCs w:val="24"/>
        </w:rPr>
        <w:t>These global regulatory standards, aimed at improving the resilience of banks, encompass greater capital requirements, stringent liquidity standards, and increased threat management practices. Basel III regulations, a global framework, fortify banks via imposing rigorous standards. Elevated capital necessities demand banks to preserve large buffers, bettering their capability to soak up losses (Roulet, 2018). For instance, Barclays Bank, in response to Basel III, increased its Tier 1 capital to bolster resilience towards potential financial shocks, bettering depositor confidence.</w:t>
      </w:r>
    </w:p>
    <w:p w14:paraId="5440C68A" w14:textId="77777777" w:rsidR="006415FD" w:rsidRDefault="000C6542" w:rsidP="004F3B4D">
      <w:pPr>
        <w:spacing w:line="360" w:lineRule="auto"/>
        <w:jc w:val="both"/>
        <w:rPr>
          <w:rFonts w:ascii="Times New Roman" w:hAnsi="Times New Roman" w:cs="Times New Roman"/>
          <w:sz w:val="24"/>
          <w:szCs w:val="24"/>
        </w:rPr>
      </w:pPr>
      <w:r w:rsidRPr="000C6542">
        <w:rPr>
          <w:rFonts w:ascii="Times New Roman" w:hAnsi="Times New Roman" w:cs="Times New Roman"/>
          <w:b/>
          <w:sz w:val="24"/>
          <w:szCs w:val="24"/>
        </w:rPr>
        <w:t>Ring-Fencing</w:t>
      </w:r>
      <w:r w:rsidRPr="000C6542">
        <w:rPr>
          <w:rFonts w:ascii="Times New Roman" w:hAnsi="Times New Roman" w:cs="Times New Roman"/>
          <w:sz w:val="24"/>
          <w:szCs w:val="24"/>
        </w:rPr>
        <w:t xml:space="preserve">: A one-of-a-kind feature of UK's banking reforms, ring-fencing mandates the separation of retail banking operations from riskier investment things to do to defend purchaser pursuits and make certain economic stability. Ring-fencing, an extraordinary UK reform, safeguards retail clients from investment risks. Barclays carried out this via separating its retail operations from investment banking (Cullen, 2018). This shielding barrier prevents attainable contagion. For example, Barclays separated its retail banking services from its funding arm, </w:t>
      </w:r>
      <w:r w:rsidRPr="000C6542">
        <w:rPr>
          <w:rFonts w:ascii="Times New Roman" w:hAnsi="Times New Roman" w:cs="Times New Roman"/>
          <w:sz w:val="24"/>
          <w:szCs w:val="24"/>
        </w:rPr>
        <w:lastRenderedPageBreak/>
        <w:t>lowering the likelihood of consumer deposits being affected via riskier investment activities, improving financial stability.</w:t>
      </w:r>
    </w:p>
    <w:p w14:paraId="540D8B40" w14:textId="77777777" w:rsidR="006415FD" w:rsidRPr="006415FD" w:rsidRDefault="006415FD" w:rsidP="004F3B4D">
      <w:pPr>
        <w:spacing w:line="360" w:lineRule="auto"/>
        <w:jc w:val="both"/>
        <w:rPr>
          <w:rFonts w:ascii="Times New Roman" w:hAnsi="Times New Roman" w:cs="Times New Roman"/>
          <w:b/>
          <w:sz w:val="24"/>
          <w:szCs w:val="24"/>
        </w:rPr>
      </w:pPr>
      <w:r w:rsidRPr="006415FD">
        <w:rPr>
          <w:rFonts w:ascii="Times New Roman" w:hAnsi="Times New Roman" w:cs="Times New Roman"/>
          <w:b/>
          <w:sz w:val="24"/>
          <w:szCs w:val="24"/>
        </w:rPr>
        <w:t>Impact on Business Model-The identified financial reforms have significantly impacted Barclays Bank's business model:</w:t>
      </w:r>
    </w:p>
    <w:p w14:paraId="26A3FE67" w14:textId="77777777" w:rsidR="009A3B82" w:rsidRPr="009A3B82" w:rsidRDefault="009A3B82" w:rsidP="004F3B4D">
      <w:pPr>
        <w:spacing w:line="360" w:lineRule="auto"/>
        <w:jc w:val="both"/>
        <w:rPr>
          <w:rFonts w:ascii="Times New Roman" w:hAnsi="Times New Roman" w:cs="Times New Roman"/>
          <w:b/>
          <w:sz w:val="24"/>
          <w:szCs w:val="24"/>
        </w:rPr>
      </w:pPr>
      <w:r>
        <w:rPr>
          <w:rFonts w:ascii="Times New Roman" w:hAnsi="Times New Roman" w:cs="Times New Roman"/>
          <w:b/>
          <w:sz w:val="24"/>
          <w:szCs w:val="24"/>
        </w:rPr>
        <w:t>Basel III Regulations</w:t>
      </w:r>
    </w:p>
    <w:p w14:paraId="7C637B53" w14:textId="77777777" w:rsidR="000C6542" w:rsidRPr="000C6542" w:rsidRDefault="000C6542" w:rsidP="004F3B4D">
      <w:pPr>
        <w:spacing w:line="360" w:lineRule="auto"/>
        <w:jc w:val="both"/>
        <w:rPr>
          <w:rFonts w:ascii="Times New Roman" w:hAnsi="Times New Roman" w:cs="Times New Roman"/>
          <w:sz w:val="24"/>
          <w:szCs w:val="24"/>
        </w:rPr>
      </w:pPr>
      <w:r w:rsidRPr="000C6542">
        <w:rPr>
          <w:rFonts w:ascii="Times New Roman" w:hAnsi="Times New Roman" w:cs="Times New Roman"/>
          <w:sz w:val="24"/>
          <w:szCs w:val="24"/>
        </w:rPr>
        <w:t>Barclays Bank's response to Basel III epitomizes strategic evolution guided via regulatory imperatives. The reinforcement of capital buffers and fortification of chance administration now not only underscores the bank's dedication to resilience but also reshape its lending paradigm. For instance, Barclays' heightened center of attention on really apt capital allocation, mandated by Basel III, has advised the bank's lending method closer to a extra discerning and calculated method (Muñoz and Soler, 2017). This is exemplified by using Barclays' tailored financing decisions, where the allocation of capital to particular lending ventures is meticulously evaluated to align with regulatory hints and danger appetite.</w:t>
      </w:r>
    </w:p>
    <w:p w14:paraId="0F7F0B0D" w14:textId="77777777" w:rsidR="000C6542" w:rsidRPr="000C6542" w:rsidRDefault="000C6542" w:rsidP="004F3B4D">
      <w:pPr>
        <w:spacing w:line="360" w:lineRule="auto"/>
        <w:jc w:val="both"/>
        <w:rPr>
          <w:rFonts w:ascii="Times New Roman" w:hAnsi="Times New Roman" w:cs="Times New Roman"/>
          <w:b/>
          <w:sz w:val="24"/>
          <w:szCs w:val="24"/>
        </w:rPr>
      </w:pPr>
      <w:r w:rsidRPr="000C6542">
        <w:rPr>
          <w:rFonts w:ascii="Times New Roman" w:hAnsi="Times New Roman" w:cs="Times New Roman"/>
          <w:b/>
          <w:sz w:val="24"/>
          <w:szCs w:val="24"/>
        </w:rPr>
        <w:t>Ring-Fencing</w:t>
      </w:r>
    </w:p>
    <w:p w14:paraId="17D7BAC8" w14:textId="77777777" w:rsidR="000C6542" w:rsidRDefault="000C6542" w:rsidP="004F3B4D">
      <w:pPr>
        <w:spacing w:line="360" w:lineRule="auto"/>
        <w:jc w:val="both"/>
        <w:rPr>
          <w:rFonts w:ascii="Times New Roman" w:hAnsi="Times New Roman" w:cs="Times New Roman"/>
          <w:sz w:val="24"/>
          <w:szCs w:val="24"/>
        </w:rPr>
      </w:pPr>
      <w:r w:rsidRPr="000C6542">
        <w:rPr>
          <w:rFonts w:ascii="Times New Roman" w:hAnsi="Times New Roman" w:cs="Times New Roman"/>
          <w:sz w:val="24"/>
          <w:szCs w:val="24"/>
        </w:rPr>
        <w:t>Barclays' strategic response to ring-fencing reflects its adaptability in an technology defined by using regulatory shifts. The creation of awesome criminal entities for retail and commercial banking showcases a tangible commitment to patron safeguarding and monetary stability. This transformation echoes across operational realms, necessitating complex recalibrations. For example, Barclays' overhaul of its IT structures and purchaser verbal exchange pathways serves as a testomony to the transformative impact of regulatory directives (Hardie and Macartney, 2019). This strategic shift not only fortifies patron have faith but additionally accentuates the profound have an impact on of regulatory mandates on how banks engage with their purchasers in a secure and regulated environment.</w:t>
      </w:r>
    </w:p>
    <w:p w14:paraId="4A2541F4" w14:textId="77777777" w:rsidR="00A85928" w:rsidRPr="00A85928" w:rsidRDefault="00A85928" w:rsidP="004F3B4D">
      <w:pPr>
        <w:spacing w:line="360" w:lineRule="auto"/>
        <w:jc w:val="both"/>
        <w:rPr>
          <w:rFonts w:ascii="Times New Roman" w:hAnsi="Times New Roman" w:cs="Times New Roman"/>
          <w:b/>
          <w:sz w:val="24"/>
          <w:szCs w:val="24"/>
        </w:rPr>
      </w:pPr>
      <w:r w:rsidRPr="00A85928">
        <w:rPr>
          <w:rFonts w:ascii="Times New Roman" w:hAnsi="Times New Roman" w:cs="Times New Roman"/>
          <w:b/>
          <w:sz w:val="24"/>
          <w:szCs w:val="24"/>
        </w:rPr>
        <w:t xml:space="preserve">Compliance and Non-Compliance-Barclays Bank's response </w:t>
      </w:r>
      <w:r w:rsidR="009A3B82">
        <w:rPr>
          <w:rFonts w:ascii="Times New Roman" w:hAnsi="Times New Roman" w:cs="Times New Roman"/>
          <w:b/>
          <w:sz w:val="24"/>
          <w:szCs w:val="24"/>
        </w:rPr>
        <w:t xml:space="preserve">to financial reforms </w:t>
      </w:r>
      <w:r w:rsidR="00052628">
        <w:rPr>
          <w:rFonts w:ascii="Times New Roman" w:hAnsi="Times New Roman" w:cs="Times New Roman"/>
          <w:b/>
          <w:sz w:val="24"/>
          <w:szCs w:val="24"/>
        </w:rPr>
        <w:t xml:space="preserve">showcases </w:t>
      </w:r>
      <w:r w:rsidR="00052628" w:rsidRPr="00A85928">
        <w:rPr>
          <w:rFonts w:ascii="Times New Roman" w:hAnsi="Times New Roman" w:cs="Times New Roman"/>
          <w:b/>
          <w:sz w:val="24"/>
          <w:szCs w:val="24"/>
        </w:rPr>
        <w:t>blend</w:t>
      </w:r>
      <w:r w:rsidRPr="00A85928">
        <w:rPr>
          <w:rFonts w:ascii="Times New Roman" w:hAnsi="Times New Roman" w:cs="Times New Roman"/>
          <w:b/>
          <w:sz w:val="24"/>
          <w:szCs w:val="24"/>
        </w:rPr>
        <w:t xml:space="preserve"> of compliance and strategic alignment:</w:t>
      </w:r>
    </w:p>
    <w:p w14:paraId="1260096E" w14:textId="77777777" w:rsidR="00A85928" w:rsidRPr="009A3B82" w:rsidRDefault="009A3B82" w:rsidP="004F3B4D">
      <w:pPr>
        <w:spacing w:line="360" w:lineRule="auto"/>
        <w:jc w:val="both"/>
        <w:rPr>
          <w:rFonts w:ascii="Times New Roman" w:hAnsi="Times New Roman" w:cs="Times New Roman"/>
          <w:b/>
          <w:sz w:val="24"/>
          <w:szCs w:val="24"/>
        </w:rPr>
      </w:pPr>
      <w:r>
        <w:rPr>
          <w:rFonts w:ascii="Times New Roman" w:hAnsi="Times New Roman" w:cs="Times New Roman"/>
          <w:b/>
          <w:sz w:val="24"/>
          <w:szCs w:val="24"/>
        </w:rPr>
        <w:t>Basel III Regulations</w:t>
      </w:r>
    </w:p>
    <w:p w14:paraId="095687FF" w14:textId="77777777" w:rsidR="000C6542" w:rsidRPr="000C6542" w:rsidRDefault="000C6542" w:rsidP="004F3B4D">
      <w:pPr>
        <w:spacing w:line="360" w:lineRule="auto"/>
        <w:jc w:val="both"/>
        <w:rPr>
          <w:rFonts w:ascii="Times New Roman" w:hAnsi="Times New Roman" w:cs="Times New Roman"/>
          <w:sz w:val="24"/>
          <w:szCs w:val="24"/>
        </w:rPr>
      </w:pPr>
      <w:r w:rsidRPr="000C6542">
        <w:rPr>
          <w:rFonts w:ascii="Times New Roman" w:hAnsi="Times New Roman" w:cs="Times New Roman"/>
          <w:sz w:val="24"/>
          <w:szCs w:val="24"/>
        </w:rPr>
        <w:lastRenderedPageBreak/>
        <w:t>Barclays Bank's embrace of Basel III exemplifies a harmonious combination of regulatory compliance and strategic acumen. The bank's proactive capital-raising endeavors mirror a dedication to adherence, evident thru capital ratios that consistently exceed mandated thresholds. This compliance, however, has been underpinned through really apt useful resource deployment (Mashamba, 2018). Barclays' strategic allocation of raised capital highlights an astute balance between meeting regulatory requisites and maintaining operational agility. For instance, Barclays leveraged capital injections to beautify its capital adequacy, fortifying its resilience towards achievable monetary upheavals while retaining flexibility for strategic initiatives (Muñoz and Soler, 2017).</w:t>
      </w:r>
    </w:p>
    <w:p w14:paraId="57ABFC9B" w14:textId="77777777" w:rsidR="000C6542" w:rsidRPr="000C6542" w:rsidRDefault="000C6542" w:rsidP="004F3B4D">
      <w:pPr>
        <w:spacing w:line="360" w:lineRule="auto"/>
        <w:jc w:val="both"/>
        <w:rPr>
          <w:rFonts w:ascii="Times New Roman" w:hAnsi="Times New Roman" w:cs="Times New Roman"/>
          <w:b/>
          <w:sz w:val="24"/>
          <w:szCs w:val="24"/>
        </w:rPr>
      </w:pPr>
      <w:r w:rsidRPr="000C6542">
        <w:rPr>
          <w:rFonts w:ascii="Times New Roman" w:hAnsi="Times New Roman" w:cs="Times New Roman"/>
          <w:b/>
          <w:sz w:val="24"/>
          <w:szCs w:val="24"/>
        </w:rPr>
        <w:t>Ring-Fencing</w:t>
      </w:r>
    </w:p>
    <w:p w14:paraId="7C069E45" w14:textId="77777777" w:rsidR="000C6542" w:rsidRDefault="000C6542" w:rsidP="004F3B4D">
      <w:pPr>
        <w:spacing w:line="360" w:lineRule="auto"/>
        <w:jc w:val="both"/>
        <w:rPr>
          <w:rFonts w:ascii="Times New Roman" w:hAnsi="Times New Roman" w:cs="Times New Roman"/>
          <w:sz w:val="24"/>
          <w:szCs w:val="24"/>
        </w:rPr>
      </w:pPr>
      <w:r w:rsidRPr="000C6542">
        <w:rPr>
          <w:rFonts w:ascii="Times New Roman" w:hAnsi="Times New Roman" w:cs="Times New Roman"/>
          <w:sz w:val="24"/>
          <w:szCs w:val="24"/>
        </w:rPr>
        <w:t>Barclays' successful implementation of ring-fencing accentuates its unwavering compliance with evolving monetary reforms. By efficiently segregating retail banking from riskier funding pursuits, the financial institution aligns with the core tenets of ring-fencing, bolstering customer protection and economic stability. This dedication transcends regulatory mandates, embedding a subculture of safeguarding purchaser hobbies inside the bank's ethos (Cedeno-Brea, 2017). An illustrative instance lies in the awesome felony entities set up for retail and commercial banking segments, insulating patron deposits from the uncertainties of funding activities. This proactive strategy not solely exemplifies compliance but also underscores Barclays' dedication to aligning its operations with the evolving regulatory landscape (Buckle and Thompson, 2020).</w:t>
      </w:r>
    </w:p>
    <w:p w14:paraId="24F2C6B6" w14:textId="77777777" w:rsidR="00052628" w:rsidRDefault="004F3B4D" w:rsidP="004F3B4D">
      <w:pPr>
        <w:pStyle w:val="Heading1"/>
      </w:pPr>
      <w:bookmarkStart w:id="6" w:name="_Toc142087276"/>
      <w:r>
        <w:t xml:space="preserve">7) </w:t>
      </w:r>
      <w:r w:rsidR="00052628">
        <w:t>Recommendations</w:t>
      </w:r>
      <w:bookmarkEnd w:id="6"/>
    </w:p>
    <w:p w14:paraId="10BE0185" w14:textId="77777777" w:rsidR="000C6542" w:rsidRPr="00052628" w:rsidRDefault="000C6542" w:rsidP="004F3B4D">
      <w:pPr>
        <w:spacing w:line="360" w:lineRule="auto"/>
        <w:jc w:val="both"/>
        <w:rPr>
          <w:rFonts w:ascii="Times New Roman" w:hAnsi="Times New Roman" w:cs="Times New Roman"/>
          <w:sz w:val="24"/>
          <w:szCs w:val="24"/>
        </w:rPr>
      </w:pPr>
      <w:r w:rsidRPr="00052628">
        <w:rPr>
          <w:rFonts w:ascii="Times New Roman" w:hAnsi="Times New Roman" w:cs="Times New Roman"/>
          <w:sz w:val="24"/>
          <w:szCs w:val="24"/>
        </w:rPr>
        <w:t>In light of the transformative impact of financial reforms on Barclays Bank's business model and operational dynamics, several strategic recommendations emerge to navigate the evolving regulatory landscape and ensure sustained success.</w:t>
      </w:r>
    </w:p>
    <w:p w14:paraId="644D1724" w14:textId="77777777" w:rsidR="000C6542" w:rsidRPr="00052628" w:rsidRDefault="000C6542" w:rsidP="004F3B4D">
      <w:pPr>
        <w:spacing w:line="360" w:lineRule="auto"/>
        <w:jc w:val="both"/>
        <w:rPr>
          <w:rFonts w:ascii="Times New Roman" w:hAnsi="Times New Roman" w:cs="Times New Roman"/>
          <w:sz w:val="24"/>
          <w:szCs w:val="24"/>
        </w:rPr>
      </w:pPr>
      <w:r w:rsidRPr="00052628">
        <w:rPr>
          <w:rFonts w:ascii="Times New Roman" w:hAnsi="Times New Roman" w:cs="Times New Roman"/>
          <w:sz w:val="24"/>
          <w:szCs w:val="24"/>
        </w:rPr>
        <w:t xml:space="preserve">Firstly, Barclays should continue its proactive approach towards regulatory compliance, capitalizing on its demonstrated capacity to align with reform-driven mandates. Regular assessment and adaptation of risk management practices will be pivotal, allowing the bank to effectively anticipate and respond to changing regulatory expectations. This could involve </w:t>
      </w:r>
      <w:r w:rsidRPr="00052628">
        <w:rPr>
          <w:rFonts w:ascii="Times New Roman" w:hAnsi="Times New Roman" w:cs="Times New Roman"/>
          <w:sz w:val="24"/>
          <w:szCs w:val="24"/>
        </w:rPr>
        <w:lastRenderedPageBreak/>
        <w:t>fostering a culture of risk-awareness and continuous training for employees to enhance compliance measures.</w:t>
      </w:r>
    </w:p>
    <w:p w14:paraId="7C7DB962" w14:textId="77777777" w:rsidR="000C6542" w:rsidRPr="00052628" w:rsidRDefault="000C6542" w:rsidP="004F3B4D">
      <w:pPr>
        <w:spacing w:line="360" w:lineRule="auto"/>
        <w:jc w:val="both"/>
        <w:rPr>
          <w:rFonts w:ascii="Times New Roman" w:hAnsi="Times New Roman" w:cs="Times New Roman"/>
          <w:sz w:val="24"/>
          <w:szCs w:val="24"/>
        </w:rPr>
      </w:pPr>
      <w:r w:rsidRPr="00052628">
        <w:rPr>
          <w:rFonts w:ascii="Times New Roman" w:hAnsi="Times New Roman" w:cs="Times New Roman"/>
          <w:sz w:val="24"/>
          <w:szCs w:val="24"/>
        </w:rPr>
        <w:t>Secondly, the bank should further leverage technological advancements to streamline operational adjustments necessitated by reforms. Investments in robust IT systems and digital platforms can not only enhance customer communication but also facilitate efficient internal recalibrations, ensuring smooth adherence to regulatory requirements while minimizing disruptions</w:t>
      </w:r>
      <w:r>
        <w:rPr>
          <w:rFonts w:ascii="Times New Roman" w:hAnsi="Times New Roman" w:cs="Times New Roman"/>
          <w:sz w:val="24"/>
          <w:szCs w:val="24"/>
        </w:rPr>
        <w:t xml:space="preserve"> (</w:t>
      </w:r>
      <w:r>
        <w:rPr>
          <w:rFonts w:ascii="Times New Roman" w:hAnsi="Times New Roman" w:cs="Times New Roman"/>
          <w:color w:val="222222"/>
          <w:sz w:val="24"/>
          <w:szCs w:val="24"/>
          <w:shd w:val="clear" w:color="auto" w:fill="FFFFFF"/>
        </w:rPr>
        <w:t>Rejeb, Keogh and Treiblmaier,</w:t>
      </w:r>
      <w:r w:rsidRPr="00710969">
        <w:rPr>
          <w:rFonts w:ascii="Times New Roman" w:hAnsi="Times New Roman" w:cs="Times New Roman"/>
          <w:color w:val="222222"/>
          <w:sz w:val="24"/>
          <w:szCs w:val="24"/>
          <w:shd w:val="clear" w:color="auto" w:fill="FFFFFF"/>
        </w:rPr>
        <w:t xml:space="preserve"> 2019</w:t>
      </w:r>
      <w:r>
        <w:rPr>
          <w:rFonts w:ascii="Times New Roman" w:hAnsi="Times New Roman" w:cs="Times New Roman"/>
          <w:color w:val="222222"/>
          <w:sz w:val="24"/>
          <w:szCs w:val="24"/>
          <w:shd w:val="clear" w:color="auto" w:fill="FFFFFF"/>
        </w:rPr>
        <w:t>)</w:t>
      </w:r>
      <w:r w:rsidRPr="00052628">
        <w:rPr>
          <w:rFonts w:ascii="Times New Roman" w:hAnsi="Times New Roman" w:cs="Times New Roman"/>
          <w:sz w:val="24"/>
          <w:szCs w:val="24"/>
        </w:rPr>
        <w:t>.</w:t>
      </w:r>
    </w:p>
    <w:p w14:paraId="7E3DE7B9" w14:textId="77777777" w:rsidR="000C6542" w:rsidRPr="00052628" w:rsidRDefault="000C6542" w:rsidP="004F3B4D">
      <w:pPr>
        <w:spacing w:line="360" w:lineRule="auto"/>
        <w:jc w:val="both"/>
        <w:rPr>
          <w:rFonts w:ascii="Times New Roman" w:hAnsi="Times New Roman" w:cs="Times New Roman"/>
          <w:sz w:val="24"/>
          <w:szCs w:val="24"/>
        </w:rPr>
      </w:pPr>
      <w:r w:rsidRPr="00052628">
        <w:rPr>
          <w:rFonts w:ascii="Times New Roman" w:hAnsi="Times New Roman" w:cs="Times New Roman"/>
          <w:sz w:val="24"/>
          <w:szCs w:val="24"/>
        </w:rPr>
        <w:t>Furthermore, Barclays could explore innovative approaches to optimize capital allocation, considering diversification of funding sources and exploring partnerships for strategic initiatives</w:t>
      </w:r>
      <w:r>
        <w:rPr>
          <w:rFonts w:ascii="Times New Roman" w:hAnsi="Times New Roman" w:cs="Times New Roman"/>
          <w:sz w:val="24"/>
          <w:szCs w:val="24"/>
        </w:rPr>
        <w:t xml:space="preserve"> (</w:t>
      </w:r>
      <w:r>
        <w:rPr>
          <w:rFonts w:ascii="Times New Roman" w:hAnsi="Times New Roman" w:cs="Times New Roman"/>
          <w:color w:val="222222"/>
          <w:sz w:val="24"/>
          <w:szCs w:val="24"/>
          <w:shd w:val="clear" w:color="auto" w:fill="FFFFFF"/>
        </w:rPr>
        <w:t xml:space="preserve">Liyanage and Walker, </w:t>
      </w:r>
      <w:r w:rsidRPr="00710969">
        <w:rPr>
          <w:rFonts w:ascii="Times New Roman" w:hAnsi="Times New Roman" w:cs="Times New Roman"/>
          <w:color w:val="222222"/>
          <w:sz w:val="24"/>
          <w:szCs w:val="24"/>
          <w:shd w:val="clear" w:color="auto" w:fill="FFFFFF"/>
        </w:rPr>
        <w:t>2023</w:t>
      </w:r>
      <w:r>
        <w:rPr>
          <w:rFonts w:ascii="Times New Roman" w:hAnsi="Times New Roman" w:cs="Times New Roman"/>
          <w:color w:val="222222"/>
          <w:sz w:val="24"/>
          <w:szCs w:val="24"/>
          <w:shd w:val="clear" w:color="auto" w:fill="FFFFFF"/>
        </w:rPr>
        <w:t>)</w:t>
      </w:r>
      <w:r w:rsidRPr="00052628">
        <w:rPr>
          <w:rFonts w:ascii="Times New Roman" w:hAnsi="Times New Roman" w:cs="Times New Roman"/>
          <w:sz w:val="24"/>
          <w:szCs w:val="24"/>
        </w:rPr>
        <w:t>. This could facilitate a balanced allocation of resources to meet both regulatory demands and strategic growth objectives.</w:t>
      </w:r>
    </w:p>
    <w:p w14:paraId="27EF9F9E" w14:textId="77777777" w:rsidR="000C6542" w:rsidRPr="00052628" w:rsidRDefault="000C6542" w:rsidP="004F3B4D">
      <w:pPr>
        <w:spacing w:line="360" w:lineRule="auto"/>
        <w:jc w:val="both"/>
        <w:rPr>
          <w:rFonts w:ascii="Times New Roman" w:hAnsi="Times New Roman" w:cs="Times New Roman"/>
          <w:sz w:val="24"/>
          <w:szCs w:val="24"/>
        </w:rPr>
      </w:pPr>
      <w:r w:rsidRPr="00052628">
        <w:rPr>
          <w:rFonts w:ascii="Times New Roman" w:hAnsi="Times New Roman" w:cs="Times New Roman"/>
          <w:sz w:val="24"/>
          <w:szCs w:val="24"/>
        </w:rPr>
        <w:t>Lastly, Barclays should actively engage in industry collaborations and thought leadership forums to stay ahead of regulatory developments. This proactive stance will enable the bank to anticipate and prepare for potential reforms, effectively minimizing the impact of regulatory changes on its operations.</w:t>
      </w:r>
      <w:r>
        <w:rPr>
          <w:rFonts w:ascii="Times New Roman" w:hAnsi="Times New Roman" w:cs="Times New Roman"/>
          <w:sz w:val="24"/>
          <w:szCs w:val="24"/>
        </w:rPr>
        <w:t xml:space="preserve"> </w:t>
      </w:r>
      <w:r w:rsidRPr="00052628">
        <w:rPr>
          <w:rFonts w:ascii="Times New Roman" w:hAnsi="Times New Roman" w:cs="Times New Roman"/>
          <w:sz w:val="24"/>
          <w:szCs w:val="24"/>
        </w:rPr>
        <w:t>By weaving these recommendations into its strategic fabric, Barclays can not only navigate the intricate regulatory landscape but also bolster its resilience, enhance customer trust, and position itself as a steadfast and agile financial institution within the ever-evolving financial ecosystem.</w:t>
      </w:r>
    </w:p>
    <w:p w14:paraId="2ECB2A2B" w14:textId="77777777" w:rsidR="00052628" w:rsidRPr="00052628" w:rsidRDefault="00052628" w:rsidP="004F3B4D">
      <w:pPr>
        <w:spacing w:line="360" w:lineRule="auto"/>
        <w:jc w:val="both"/>
        <w:rPr>
          <w:rFonts w:ascii="Times New Roman" w:hAnsi="Times New Roman" w:cs="Times New Roman"/>
          <w:sz w:val="24"/>
          <w:szCs w:val="24"/>
        </w:rPr>
      </w:pPr>
    </w:p>
    <w:p w14:paraId="431D8F2F" w14:textId="77777777" w:rsidR="00052628" w:rsidRPr="00052628" w:rsidRDefault="00052628" w:rsidP="004F3B4D">
      <w:pPr>
        <w:spacing w:line="360" w:lineRule="auto"/>
        <w:rPr>
          <w:rFonts w:ascii="Times New Roman" w:hAnsi="Times New Roman" w:cs="Times New Roman"/>
          <w:sz w:val="24"/>
          <w:szCs w:val="24"/>
        </w:rPr>
      </w:pPr>
    </w:p>
    <w:p w14:paraId="600AD690" w14:textId="77777777" w:rsidR="00192B87" w:rsidRDefault="004F3B4D" w:rsidP="004F3B4D">
      <w:pPr>
        <w:pStyle w:val="Heading1"/>
      </w:pPr>
      <w:bookmarkStart w:id="7" w:name="_Toc142087277"/>
      <w:r>
        <w:t xml:space="preserve">8) </w:t>
      </w:r>
      <w:r w:rsidR="00620290" w:rsidRPr="00620290">
        <w:t>Conclusion</w:t>
      </w:r>
      <w:bookmarkEnd w:id="7"/>
      <w:r w:rsidR="00620290" w:rsidRPr="00620290">
        <w:t xml:space="preserve"> </w:t>
      </w:r>
    </w:p>
    <w:p w14:paraId="1AD64003" w14:textId="77777777" w:rsidR="000C6542" w:rsidRPr="000C6542" w:rsidRDefault="000C6542" w:rsidP="004F3B4D">
      <w:pPr>
        <w:spacing w:line="360" w:lineRule="auto"/>
        <w:jc w:val="both"/>
        <w:rPr>
          <w:rFonts w:ascii="Times New Roman" w:hAnsi="Times New Roman" w:cs="Times New Roman"/>
          <w:sz w:val="24"/>
          <w:szCs w:val="24"/>
        </w:rPr>
      </w:pPr>
      <w:r w:rsidRPr="000C6542">
        <w:rPr>
          <w:rFonts w:ascii="Times New Roman" w:hAnsi="Times New Roman" w:cs="Times New Roman"/>
          <w:sz w:val="24"/>
          <w:szCs w:val="24"/>
        </w:rPr>
        <w:t>In conclusion, the panorama of modern finance has been profoundly reshaped with the aid of a multitude of monetary reforms enacted in the aftermath of the 2008 monetary crisis. These reforms, driven by way of the want for larger stability, transparency, and accountability, have left an indelible mark on the operations and techniques of monetary institutions worldwide. As illustrated thru the comprehensive analysis of Barclays Bank, the intricate relationship between compliance and strategic transformation comes to the forefront.</w:t>
      </w:r>
    </w:p>
    <w:p w14:paraId="28626392" w14:textId="77777777" w:rsidR="000C6542" w:rsidRPr="000C6542" w:rsidRDefault="000C6542" w:rsidP="004F3B4D">
      <w:pPr>
        <w:spacing w:line="360" w:lineRule="auto"/>
        <w:jc w:val="both"/>
        <w:rPr>
          <w:rFonts w:ascii="Times New Roman" w:hAnsi="Times New Roman" w:cs="Times New Roman"/>
          <w:sz w:val="24"/>
          <w:szCs w:val="24"/>
        </w:rPr>
      </w:pPr>
      <w:r w:rsidRPr="000C6542">
        <w:rPr>
          <w:rFonts w:ascii="Times New Roman" w:hAnsi="Times New Roman" w:cs="Times New Roman"/>
          <w:sz w:val="24"/>
          <w:szCs w:val="24"/>
        </w:rPr>
        <w:lastRenderedPageBreak/>
        <w:t>Barclays Bank's journey through the corridors of Basel III regulations and the ring-fencing notion vividly demonstrates the dynamic interplay between regulatory adherence and strategic evolution. The bank's proactive response to Basel III, marked by using heightened capital buffers and subtle chance management, exemplifies its dedication to resilience in the face of workable monetary uncertainties. Concurrently, the prudent allocation of assets showcases a strategic balancing act, whereby regulatory compliance harmoniously aligns with the pursuit of operational flexibility and growth.</w:t>
      </w:r>
    </w:p>
    <w:p w14:paraId="61929F85" w14:textId="77777777" w:rsidR="000C6542" w:rsidRPr="000C6542" w:rsidRDefault="000C6542" w:rsidP="004F3B4D">
      <w:pPr>
        <w:spacing w:line="360" w:lineRule="auto"/>
        <w:jc w:val="both"/>
        <w:rPr>
          <w:rFonts w:ascii="Times New Roman" w:hAnsi="Times New Roman" w:cs="Times New Roman"/>
          <w:sz w:val="24"/>
          <w:szCs w:val="24"/>
        </w:rPr>
      </w:pPr>
      <w:r w:rsidRPr="000C6542">
        <w:rPr>
          <w:rFonts w:ascii="Times New Roman" w:hAnsi="Times New Roman" w:cs="Times New Roman"/>
          <w:sz w:val="24"/>
          <w:szCs w:val="24"/>
        </w:rPr>
        <w:t>Furthermore, Barclays' profitable implementation of ring-fencing attests to its adeptness in translating regulatory imperatives into tangible customer-centric actions. The segregation of retail banking from riskier ventures illustrates the bank's dedication to safeguarding client pursuits whilst fostering economic stability. This transformative strategy underscores how compliance can serve as a springboard for strategic innovation, ensuing in enhanced operational dynamics that resonate with the evolving regulatory landscape.</w:t>
      </w:r>
    </w:p>
    <w:p w14:paraId="50FE9618" w14:textId="77777777" w:rsidR="000C6542" w:rsidRPr="000C6542" w:rsidRDefault="000C6542" w:rsidP="004F3B4D">
      <w:pPr>
        <w:spacing w:line="360" w:lineRule="auto"/>
        <w:jc w:val="both"/>
        <w:rPr>
          <w:rFonts w:ascii="Times New Roman" w:hAnsi="Times New Roman" w:cs="Times New Roman"/>
          <w:sz w:val="24"/>
          <w:szCs w:val="24"/>
        </w:rPr>
      </w:pPr>
      <w:r w:rsidRPr="000C6542">
        <w:rPr>
          <w:rFonts w:ascii="Times New Roman" w:hAnsi="Times New Roman" w:cs="Times New Roman"/>
          <w:sz w:val="24"/>
          <w:szCs w:val="24"/>
        </w:rPr>
        <w:t>Throughout this analysis, it turns into evident that financial reforms are no longer mere compliance exercises; rather, they serve as catalysts for strategic realignment, fostering resilience, accountability, and purchaser protection. The symbiotic relationship between adherence and transformation paints a compelling portrait of how monetary institutions like Barclays navigate the complicated tapestry of regulatory change whilst carving pathways towards sustainable increase and stability.</w:t>
      </w:r>
    </w:p>
    <w:p w14:paraId="51D0FC52" w14:textId="77777777" w:rsidR="00192B87" w:rsidRPr="00192B87" w:rsidRDefault="000C6542" w:rsidP="004F3B4D">
      <w:pPr>
        <w:spacing w:line="360" w:lineRule="auto"/>
        <w:jc w:val="both"/>
        <w:rPr>
          <w:rFonts w:ascii="Times New Roman" w:hAnsi="Times New Roman" w:cs="Times New Roman"/>
          <w:sz w:val="24"/>
          <w:szCs w:val="24"/>
        </w:rPr>
      </w:pPr>
      <w:r w:rsidRPr="000C6542">
        <w:rPr>
          <w:rFonts w:ascii="Times New Roman" w:hAnsi="Times New Roman" w:cs="Times New Roman"/>
          <w:sz w:val="24"/>
          <w:szCs w:val="24"/>
        </w:rPr>
        <w:t xml:space="preserve">As the monetary ecosystem continues to evolve and new challenges emerge, the training realized from Barclays Bank's journey provide valuable insights for economic institutions worldwide. The delicate dance between compliance and strategic agility serves as a guiding beacon, illuminating the course towards a future characterised by means of sturdy financial systems, responsible practices, and a steadfast dedication to each regulatory mandates and modern </w:t>
      </w:r>
      <w:r w:rsidR="004F3B4D">
        <w:rPr>
          <w:rFonts w:ascii="Times New Roman" w:hAnsi="Times New Roman" w:cs="Times New Roman"/>
          <w:sz w:val="24"/>
          <w:szCs w:val="24"/>
        </w:rPr>
        <w:t xml:space="preserve">progress. </w:t>
      </w:r>
    </w:p>
    <w:p w14:paraId="596CBB51" w14:textId="77777777" w:rsidR="004F3B4D" w:rsidRPr="00F32A7F" w:rsidRDefault="004F3B4D" w:rsidP="004F3B4D">
      <w:pPr>
        <w:pStyle w:val="Heading1"/>
      </w:pPr>
      <w:bookmarkStart w:id="8" w:name="_Toc142087278"/>
      <w:r>
        <w:lastRenderedPageBreak/>
        <w:t>Reference List</w:t>
      </w:r>
      <w:bookmarkEnd w:id="8"/>
      <w:r>
        <w:t xml:space="preserve"> </w:t>
      </w:r>
    </w:p>
    <w:p w14:paraId="3B5AF0FC" w14:textId="77777777" w:rsidR="004F3B4D" w:rsidRDefault="004F3B4D" w:rsidP="004F3B4D">
      <w:pPr>
        <w:tabs>
          <w:tab w:val="left" w:pos="7440"/>
        </w:tabs>
        <w:spacing w:line="360" w:lineRule="auto"/>
        <w:jc w:val="both"/>
        <w:rPr>
          <w:rFonts w:ascii="Times New Roman" w:hAnsi="Times New Roman" w:cs="Times New Roman"/>
          <w:color w:val="222222"/>
          <w:sz w:val="24"/>
          <w:szCs w:val="24"/>
          <w:shd w:val="clear" w:color="auto" w:fill="FFFFFF"/>
        </w:rPr>
      </w:pPr>
      <w:r w:rsidRPr="00B50A4C">
        <w:rPr>
          <w:rFonts w:ascii="Times New Roman" w:hAnsi="Times New Roman" w:cs="Times New Roman"/>
          <w:color w:val="222222"/>
          <w:sz w:val="24"/>
          <w:szCs w:val="24"/>
          <w:shd w:val="clear" w:color="auto" w:fill="FFFFFF"/>
        </w:rPr>
        <w:t>Aditya, P.D., 2013. European Markets Infrastructure Regulation (EMIR) and Dodd-Frank Wall Street Reform and Consumer Protection Act (DFA): A New Revolution of OTC Derivatives Towards Transparency. </w:t>
      </w:r>
      <w:r w:rsidRPr="00B50A4C">
        <w:rPr>
          <w:rFonts w:ascii="Times New Roman" w:hAnsi="Times New Roman" w:cs="Times New Roman"/>
          <w:i/>
          <w:iCs/>
          <w:color w:val="222222"/>
          <w:sz w:val="24"/>
          <w:szCs w:val="24"/>
          <w:shd w:val="clear" w:color="auto" w:fill="FFFFFF"/>
        </w:rPr>
        <w:t>Available at SSRN 2314998</w:t>
      </w:r>
      <w:r w:rsidRPr="00B50A4C">
        <w:rPr>
          <w:rFonts w:ascii="Times New Roman" w:hAnsi="Times New Roman" w:cs="Times New Roman"/>
          <w:color w:val="222222"/>
          <w:sz w:val="24"/>
          <w:szCs w:val="24"/>
          <w:shd w:val="clear" w:color="auto" w:fill="FFFFFF"/>
        </w:rPr>
        <w:t>.</w:t>
      </w:r>
    </w:p>
    <w:p w14:paraId="2ADBD63B" w14:textId="77777777" w:rsidR="004F3B4D" w:rsidRDefault="004F3B4D" w:rsidP="004F3B4D">
      <w:pPr>
        <w:spacing w:line="360" w:lineRule="auto"/>
        <w:jc w:val="both"/>
        <w:rPr>
          <w:rFonts w:ascii="Times New Roman" w:hAnsi="Times New Roman" w:cs="Times New Roman"/>
          <w:color w:val="222222"/>
          <w:sz w:val="24"/>
          <w:szCs w:val="24"/>
          <w:shd w:val="clear" w:color="auto" w:fill="FFFFFF"/>
        </w:rPr>
      </w:pPr>
      <w:r w:rsidRPr="009151B1">
        <w:rPr>
          <w:rFonts w:ascii="Times New Roman" w:hAnsi="Times New Roman" w:cs="Times New Roman"/>
          <w:color w:val="222222"/>
          <w:sz w:val="24"/>
          <w:szCs w:val="24"/>
          <w:shd w:val="clear" w:color="auto" w:fill="FFFFFF"/>
        </w:rPr>
        <w:t>Aditya, P.D., 2013. European Markets Infrastructure Regulation (EMIR) and Dodd-Frank Wall Street Reform and Consumer Protection Act (DFA): A New Revolution of OTC Derivatives Towards Transparency. </w:t>
      </w:r>
      <w:r w:rsidRPr="009151B1">
        <w:rPr>
          <w:rFonts w:ascii="Times New Roman" w:hAnsi="Times New Roman" w:cs="Times New Roman"/>
          <w:i/>
          <w:iCs/>
          <w:color w:val="222222"/>
          <w:sz w:val="24"/>
          <w:szCs w:val="24"/>
          <w:shd w:val="clear" w:color="auto" w:fill="FFFFFF"/>
        </w:rPr>
        <w:t>Available at SSRN 2314998</w:t>
      </w:r>
      <w:r w:rsidRPr="009151B1">
        <w:rPr>
          <w:rFonts w:ascii="Times New Roman" w:hAnsi="Times New Roman" w:cs="Times New Roman"/>
          <w:color w:val="222222"/>
          <w:sz w:val="24"/>
          <w:szCs w:val="24"/>
          <w:shd w:val="clear" w:color="auto" w:fill="FFFFFF"/>
        </w:rPr>
        <w:t>.</w:t>
      </w:r>
    </w:p>
    <w:p w14:paraId="4EB65160" w14:textId="77777777" w:rsidR="004F3B4D" w:rsidRPr="00995B70" w:rsidRDefault="004F3B4D" w:rsidP="004F3B4D">
      <w:pPr>
        <w:pStyle w:val="NormalWeb"/>
        <w:shd w:val="clear" w:color="auto" w:fill="FFFFFF"/>
        <w:spacing w:before="360" w:beforeAutospacing="0" w:after="360" w:afterAutospacing="0" w:line="360" w:lineRule="auto"/>
        <w:jc w:val="both"/>
        <w:rPr>
          <w:color w:val="1F1F1F"/>
        </w:rPr>
      </w:pPr>
      <w:r w:rsidRPr="00995B70">
        <w:rPr>
          <w:color w:val="1F1F1F"/>
        </w:rPr>
        <w:t>Barclays PLC. (2022). Barclays PLC Annual Report 2022. Retrieved from https://home.barclays/content/dam/home-barclays/documents/investor-relations/reports-and-events/annual-reports/2022/AR/Barclays-PLC-Annual-Report-2022.pdf</w:t>
      </w:r>
    </w:p>
    <w:p w14:paraId="435CB5B4" w14:textId="77777777" w:rsidR="004F3B4D" w:rsidRDefault="004F3B4D" w:rsidP="004F3B4D">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Barclays. (2023</w:t>
      </w:r>
      <w:r w:rsidRPr="002C6BF8">
        <w:rPr>
          <w:rFonts w:ascii="Times New Roman" w:hAnsi="Times New Roman" w:cs="Times New Roman"/>
          <w:color w:val="222222"/>
          <w:sz w:val="24"/>
          <w:szCs w:val="24"/>
          <w:shd w:val="clear" w:color="auto" w:fill="FFFFFF"/>
        </w:rPr>
        <w:t>). Retrieved from https://home.barclays/</w:t>
      </w:r>
    </w:p>
    <w:p w14:paraId="56B38E76" w14:textId="77777777" w:rsidR="004F3B4D" w:rsidRPr="00934709" w:rsidRDefault="004F3B4D" w:rsidP="004F3B4D">
      <w:pPr>
        <w:tabs>
          <w:tab w:val="left" w:pos="7440"/>
        </w:tabs>
        <w:spacing w:line="360" w:lineRule="auto"/>
        <w:jc w:val="both"/>
        <w:rPr>
          <w:rFonts w:ascii="Times New Roman" w:hAnsi="Times New Roman" w:cs="Times New Roman"/>
          <w:sz w:val="24"/>
          <w:szCs w:val="24"/>
        </w:rPr>
      </w:pPr>
      <w:r w:rsidRPr="00934709">
        <w:rPr>
          <w:rFonts w:ascii="Times New Roman" w:hAnsi="Times New Roman" w:cs="Times New Roman"/>
          <w:color w:val="222222"/>
          <w:sz w:val="24"/>
          <w:szCs w:val="24"/>
          <w:shd w:val="clear" w:color="auto" w:fill="FFFFFF"/>
        </w:rPr>
        <w:t>Bast, E., Doukas, A., Pickard, S., Van Der Burg, L. and Whitley, S., 2015. Empty promises: G20 subsidies to oil, gas and coal production.</w:t>
      </w:r>
    </w:p>
    <w:p w14:paraId="416D1710" w14:textId="77777777" w:rsidR="004F3B4D" w:rsidRDefault="004F3B4D" w:rsidP="004F3B4D">
      <w:pPr>
        <w:spacing w:line="360" w:lineRule="auto"/>
        <w:jc w:val="both"/>
        <w:rPr>
          <w:rFonts w:ascii="Times New Roman" w:hAnsi="Times New Roman" w:cs="Times New Roman"/>
          <w:color w:val="222222"/>
          <w:sz w:val="24"/>
          <w:szCs w:val="24"/>
          <w:shd w:val="clear" w:color="auto" w:fill="FFFFFF"/>
        </w:rPr>
      </w:pPr>
      <w:r w:rsidRPr="00183B60">
        <w:rPr>
          <w:rFonts w:ascii="Times New Roman" w:hAnsi="Times New Roman" w:cs="Times New Roman"/>
          <w:color w:val="222222"/>
          <w:sz w:val="24"/>
          <w:szCs w:val="24"/>
          <w:shd w:val="clear" w:color="auto" w:fill="FFFFFF"/>
        </w:rPr>
        <w:t>Bastani, K., Namavari, H. and Shaffer, J., 2019. Latent Dirichlet allocation (LDA) for topic modeling of the CFPB consumer complaints. </w:t>
      </w:r>
      <w:r w:rsidRPr="00183B60">
        <w:rPr>
          <w:rFonts w:ascii="Times New Roman" w:hAnsi="Times New Roman" w:cs="Times New Roman"/>
          <w:i/>
          <w:iCs/>
          <w:color w:val="222222"/>
          <w:sz w:val="24"/>
          <w:szCs w:val="24"/>
          <w:shd w:val="clear" w:color="auto" w:fill="FFFFFF"/>
        </w:rPr>
        <w:t>Expert Systems with Applications</w:t>
      </w:r>
      <w:r w:rsidRPr="00183B60">
        <w:rPr>
          <w:rFonts w:ascii="Times New Roman" w:hAnsi="Times New Roman" w:cs="Times New Roman"/>
          <w:color w:val="222222"/>
          <w:sz w:val="24"/>
          <w:szCs w:val="24"/>
          <w:shd w:val="clear" w:color="auto" w:fill="FFFFFF"/>
        </w:rPr>
        <w:t>, </w:t>
      </w:r>
      <w:r w:rsidRPr="00183B60">
        <w:rPr>
          <w:rFonts w:ascii="Times New Roman" w:hAnsi="Times New Roman" w:cs="Times New Roman"/>
          <w:i/>
          <w:iCs/>
          <w:color w:val="222222"/>
          <w:sz w:val="24"/>
          <w:szCs w:val="24"/>
          <w:shd w:val="clear" w:color="auto" w:fill="FFFFFF"/>
        </w:rPr>
        <w:t>127</w:t>
      </w:r>
      <w:r w:rsidRPr="00183B60">
        <w:rPr>
          <w:rFonts w:ascii="Times New Roman" w:hAnsi="Times New Roman" w:cs="Times New Roman"/>
          <w:color w:val="222222"/>
          <w:sz w:val="24"/>
          <w:szCs w:val="24"/>
          <w:shd w:val="clear" w:color="auto" w:fill="FFFFFF"/>
        </w:rPr>
        <w:t>, pp.256-271.</w:t>
      </w:r>
    </w:p>
    <w:p w14:paraId="111AA49F" w14:textId="77777777" w:rsidR="004F3B4D" w:rsidRDefault="004F3B4D" w:rsidP="004F3B4D">
      <w:pPr>
        <w:spacing w:line="360" w:lineRule="auto"/>
        <w:jc w:val="both"/>
        <w:rPr>
          <w:rFonts w:ascii="Times New Roman" w:hAnsi="Times New Roman" w:cs="Times New Roman"/>
          <w:color w:val="222222"/>
          <w:sz w:val="24"/>
          <w:szCs w:val="24"/>
          <w:shd w:val="clear" w:color="auto" w:fill="FFFFFF"/>
        </w:rPr>
      </w:pPr>
      <w:r w:rsidRPr="00BE1FB8">
        <w:rPr>
          <w:rFonts w:ascii="Times New Roman" w:hAnsi="Times New Roman" w:cs="Times New Roman"/>
          <w:color w:val="222222"/>
          <w:sz w:val="24"/>
          <w:szCs w:val="24"/>
          <w:shd w:val="clear" w:color="auto" w:fill="FFFFFF"/>
        </w:rPr>
        <w:t>Bischof, J., Brüggemann, U. and Daske, H., 2023. Asset reclassifications and bank recapitalization during the financial crisis. </w:t>
      </w:r>
      <w:r w:rsidRPr="00BE1FB8">
        <w:rPr>
          <w:rFonts w:ascii="Times New Roman" w:hAnsi="Times New Roman" w:cs="Times New Roman"/>
          <w:i/>
          <w:iCs/>
          <w:color w:val="222222"/>
          <w:sz w:val="24"/>
          <w:szCs w:val="24"/>
          <w:shd w:val="clear" w:color="auto" w:fill="FFFFFF"/>
        </w:rPr>
        <w:t>Management Science</w:t>
      </w:r>
      <w:r w:rsidRPr="00BE1FB8">
        <w:rPr>
          <w:rFonts w:ascii="Times New Roman" w:hAnsi="Times New Roman" w:cs="Times New Roman"/>
          <w:color w:val="222222"/>
          <w:sz w:val="24"/>
          <w:szCs w:val="24"/>
          <w:shd w:val="clear" w:color="auto" w:fill="FFFFFF"/>
        </w:rPr>
        <w:t>, </w:t>
      </w:r>
      <w:r w:rsidRPr="00BE1FB8">
        <w:rPr>
          <w:rFonts w:ascii="Times New Roman" w:hAnsi="Times New Roman" w:cs="Times New Roman"/>
          <w:i/>
          <w:iCs/>
          <w:color w:val="222222"/>
          <w:sz w:val="24"/>
          <w:szCs w:val="24"/>
          <w:shd w:val="clear" w:color="auto" w:fill="FFFFFF"/>
        </w:rPr>
        <w:t>69</w:t>
      </w:r>
      <w:r w:rsidRPr="00BE1FB8">
        <w:rPr>
          <w:rFonts w:ascii="Times New Roman" w:hAnsi="Times New Roman" w:cs="Times New Roman"/>
          <w:color w:val="222222"/>
          <w:sz w:val="24"/>
          <w:szCs w:val="24"/>
          <w:shd w:val="clear" w:color="auto" w:fill="FFFFFF"/>
        </w:rPr>
        <w:t>(1), pp.75-100.</w:t>
      </w:r>
    </w:p>
    <w:p w14:paraId="462A1924" w14:textId="77777777" w:rsidR="004F3B4D" w:rsidRDefault="004F3B4D" w:rsidP="004F3B4D">
      <w:pPr>
        <w:spacing w:line="360" w:lineRule="auto"/>
        <w:jc w:val="both"/>
        <w:rPr>
          <w:rFonts w:ascii="Times New Roman" w:hAnsi="Times New Roman" w:cs="Times New Roman"/>
          <w:color w:val="222222"/>
          <w:sz w:val="24"/>
          <w:szCs w:val="24"/>
          <w:shd w:val="clear" w:color="auto" w:fill="FFFFFF"/>
        </w:rPr>
      </w:pPr>
      <w:r w:rsidRPr="001C4648">
        <w:rPr>
          <w:rFonts w:ascii="Times New Roman" w:hAnsi="Times New Roman" w:cs="Times New Roman"/>
          <w:color w:val="222222"/>
          <w:sz w:val="24"/>
          <w:szCs w:val="24"/>
          <w:shd w:val="clear" w:color="auto" w:fill="FFFFFF"/>
        </w:rPr>
        <w:t>Bortnikov, S.P. and Denisova, A.V., 2021. Crimes in Financial Markets in Russia and Great Britain. In </w:t>
      </w:r>
      <w:r w:rsidRPr="001C4648">
        <w:rPr>
          <w:rFonts w:ascii="Times New Roman" w:hAnsi="Times New Roman" w:cs="Times New Roman"/>
          <w:i/>
          <w:iCs/>
          <w:color w:val="222222"/>
          <w:sz w:val="24"/>
          <w:szCs w:val="24"/>
          <w:shd w:val="clear" w:color="auto" w:fill="FFFFFF"/>
        </w:rPr>
        <w:t>Digital Economy and the New Labor Market: Jobs, Competences and Innovative HR Technologies</w:t>
      </w:r>
      <w:r w:rsidRPr="001C4648">
        <w:rPr>
          <w:rFonts w:ascii="Times New Roman" w:hAnsi="Times New Roman" w:cs="Times New Roman"/>
          <w:color w:val="222222"/>
          <w:sz w:val="24"/>
          <w:szCs w:val="24"/>
          <w:shd w:val="clear" w:color="auto" w:fill="FFFFFF"/>
        </w:rPr>
        <w:t> (pp. 552-557). Springer International Publishing.</w:t>
      </w:r>
    </w:p>
    <w:p w14:paraId="58134874" w14:textId="77777777" w:rsidR="004F3B4D" w:rsidRDefault="004F3B4D" w:rsidP="004F3B4D">
      <w:pPr>
        <w:spacing w:line="360" w:lineRule="auto"/>
        <w:jc w:val="both"/>
        <w:rPr>
          <w:rFonts w:ascii="Times New Roman" w:hAnsi="Times New Roman" w:cs="Times New Roman"/>
          <w:color w:val="222222"/>
          <w:sz w:val="24"/>
          <w:szCs w:val="24"/>
          <w:shd w:val="clear" w:color="auto" w:fill="FFFFFF"/>
        </w:rPr>
      </w:pPr>
      <w:r w:rsidRPr="00710969">
        <w:rPr>
          <w:rFonts w:ascii="Times New Roman" w:hAnsi="Times New Roman" w:cs="Times New Roman"/>
          <w:color w:val="222222"/>
          <w:sz w:val="24"/>
          <w:szCs w:val="24"/>
          <w:shd w:val="clear" w:color="auto" w:fill="FFFFFF"/>
        </w:rPr>
        <w:t>Buckle, M. and Thompson, J., 2020. Regulation of the banking system. In </w:t>
      </w:r>
      <w:r w:rsidRPr="00710969">
        <w:rPr>
          <w:rFonts w:ascii="Times New Roman" w:hAnsi="Times New Roman" w:cs="Times New Roman"/>
          <w:i/>
          <w:iCs/>
          <w:color w:val="222222"/>
          <w:sz w:val="24"/>
          <w:szCs w:val="24"/>
          <w:shd w:val="clear" w:color="auto" w:fill="FFFFFF"/>
        </w:rPr>
        <w:t>The UK financial system (fifth edition)</w:t>
      </w:r>
      <w:r w:rsidRPr="00710969">
        <w:rPr>
          <w:rFonts w:ascii="Times New Roman" w:hAnsi="Times New Roman" w:cs="Times New Roman"/>
          <w:color w:val="222222"/>
          <w:sz w:val="24"/>
          <w:szCs w:val="24"/>
          <w:shd w:val="clear" w:color="auto" w:fill="FFFFFF"/>
        </w:rPr>
        <w:t> (pp. 363-402). Manchester University Press.</w:t>
      </w:r>
    </w:p>
    <w:p w14:paraId="76CF63D4" w14:textId="77777777" w:rsidR="004F3B4D" w:rsidRDefault="004F3B4D" w:rsidP="004F3B4D">
      <w:pPr>
        <w:spacing w:line="360" w:lineRule="auto"/>
        <w:jc w:val="both"/>
        <w:rPr>
          <w:rFonts w:ascii="Times New Roman" w:hAnsi="Times New Roman" w:cs="Times New Roman"/>
          <w:color w:val="222222"/>
          <w:sz w:val="24"/>
          <w:szCs w:val="24"/>
          <w:shd w:val="clear" w:color="auto" w:fill="FFFFFF"/>
        </w:rPr>
      </w:pPr>
      <w:r w:rsidRPr="001C4648">
        <w:rPr>
          <w:rFonts w:ascii="Times New Roman" w:hAnsi="Times New Roman" w:cs="Times New Roman"/>
          <w:color w:val="222222"/>
          <w:sz w:val="24"/>
          <w:szCs w:val="24"/>
          <w:shd w:val="clear" w:color="auto" w:fill="FFFFFF"/>
        </w:rPr>
        <w:t>Busch, D., 2017. Agency and Principal Dealing Under the Markets in Financial Instruments Directive (MiFID) I &amp; II. </w:t>
      </w:r>
      <w:r w:rsidRPr="001C4648">
        <w:rPr>
          <w:rFonts w:ascii="Times New Roman" w:hAnsi="Times New Roman" w:cs="Times New Roman"/>
          <w:i/>
          <w:iCs/>
          <w:color w:val="222222"/>
          <w:sz w:val="24"/>
          <w:szCs w:val="24"/>
          <w:shd w:val="clear" w:color="auto" w:fill="FFFFFF"/>
        </w:rPr>
        <w:t>European Review of Private Law</w:t>
      </w:r>
      <w:r w:rsidRPr="001C4648">
        <w:rPr>
          <w:rFonts w:ascii="Times New Roman" w:hAnsi="Times New Roman" w:cs="Times New Roman"/>
          <w:color w:val="222222"/>
          <w:sz w:val="24"/>
          <w:szCs w:val="24"/>
          <w:shd w:val="clear" w:color="auto" w:fill="FFFFFF"/>
        </w:rPr>
        <w:t>, </w:t>
      </w:r>
      <w:r w:rsidRPr="001C4648">
        <w:rPr>
          <w:rFonts w:ascii="Times New Roman" w:hAnsi="Times New Roman" w:cs="Times New Roman"/>
          <w:i/>
          <w:iCs/>
          <w:color w:val="222222"/>
          <w:sz w:val="24"/>
          <w:szCs w:val="24"/>
          <w:shd w:val="clear" w:color="auto" w:fill="FFFFFF"/>
        </w:rPr>
        <w:t>25</w:t>
      </w:r>
      <w:r w:rsidRPr="001C4648">
        <w:rPr>
          <w:rFonts w:ascii="Times New Roman" w:hAnsi="Times New Roman" w:cs="Times New Roman"/>
          <w:color w:val="222222"/>
          <w:sz w:val="24"/>
          <w:szCs w:val="24"/>
          <w:shd w:val="clear" w:color="auto" w:fill="FFFFFF"/>
        </w:rPr>
        <w:t>(2).</w:t>
      </w:r>
    </w:p>
    <w:p w14:paraId="0D35A61E" w14:textId="77777777" w:rsidR="004F3B4D" w:rsidRDefault="004F3B4D" w:rsidP="004F3B4D">
      <w:pPr>
        <w:tabs>
          <w:tab w:val="left" w:pos="7440"/>
        </w:tabs>
        <w:spacing w:line="360" w:lineRule="auto"/>
        <w:jc w:val="both"/>
        <w:rPr>
          <w:rFonts w:ascii="Times New Roman" w:hAnsi="Times New Roman" w:cs="Times New Roman"/>
          <w:color w:val="222222"/>
          <w:sz w:val="24"/>
          <w:szCs w:val="24"/>
          <w:shd w:val="clear" w:color="auto" w:fill="FFFFFF"/>
        </w:rPr>
      </w:pPr>
      <w:r w:rsidRPr="00E70AE6">
        <w:rPr>
          <w:rFonts w:ascii="Times New Roman" w:hAnsi="Times New Roman" w:cs="Times New Roman"/>
          <w:color w:val="222222"/>
          <w:sz w:val="24"/>
          <w:szCs w:val="24"/>
          <w:shd w:val="clear" w:color="auto" w:fill="FFFFFF"/>
        </w:rPr>
        <w:lastRenderedPageBreak/>
        <w:t>Carmassi, J. and Herring, R., 2016. The corporate complexity of global systemically important banks. </w:t>
      </w:r>
      <w:r w:rsidRPr="00E70AE6">
        <w:rPr>
          <w:rFonts w:ascii="Times New Roman" w:hAnsi="Times New Roman" w:cs="Times New Roman"/>
          <w:i/>
          <w:iCs/>
          <w:color w:val="222222"/>
          <w:sz w:val="24"/>
          <w:szCs w:val="24"/>
          <w:shd w:val="clear" w:color="auto" w:fill="FFFFFF"/>
        </w:rPr>
        <w:t>Journal of Financial Services Research</w:t>
      </w:r>
      <w:r w:rsidRPr="00E70AE6">
        <w:rPr>
          <w:rFonts w:ascii="Times New Roman" w:hAnsi="Times New Roman" w:cs="Times New Roman"/>
          <w:color w:val="222222"/>
          <w:sz w:val="24"/>
          <w:szCs w:val="24"/>
          <w:shd w:val="clear" w:color="auto" w:fill="FFFFFF"/>
        </w:rPr>
        <w:t>, </w:t>
      </w:r>
      <w:r w:rsidRPr="00E70AE6">
        <w:rPr>
          <w:rFonts w:ascii="Times New Roman" w:hAnsi="Times New Roman" w:cs="Times New Roman"/>
          <w:i/>
          <w:iCs/>
          <w:color w:val="222222"/>
          <w:sz w:val="24"/>
          <w:szCs w:val="24"/>
          <w:shd w:val="clear" w:color="auto" w:fill="FFFFFF"/>
        </w:rPr>
        <w:t>49</w:t>
      </w:r>
      <w:r w:rsidRPr="00E70AE6">
        <w:rPr>
          <w:rFonts w:ascii="Times New Roman" w:hAnsi="Times New Roman" w:cs="Times New Roman"/>
          <w:color w:val="222222"/>
          <w:sz w:val="24"/>
          <w:szCs w:val="24"/>
          <w:shd w:val="clear" w:color="auto" w:fill="FFFFFF"/>
        </w:rPr>
        <w:t>, pp.175-201.</w:t>
      </w:r>
    </w:p>
    <w:p w14:paraId="5E32882A" w14:textId="77777777" w:rsidR="004F3B4D" w:rsidRDefault="004F3B4D" w:rsidP="004F3B4D">
      <w:pPr>
        <w:tabs>
          <w:tab w:val="left" w:pos="495"/>
        </w:tabs>
        <w:spacing w:line="360" w:lineRule="auto"/>
        <w:jc w:val="both"/>
        <w:rPr>
          <w:rFonts w:ascii="Times New Roman" w:hAnsi="Times New Roman" w:cs="Times New Roman"/>
          <w:color w:val="222222"/>
          <w:sz w:val="24"/>
          <w:szCs w:val="24"/>
          <w:shd w:val="clear" w:color="auto" w:fill="FFFFFF"/>
        </w:rPr>
      </w:pPr>
      <w:r w:rsidRPr="004C4F6F">
        <w:rPr>
          <w:rFonts w:ascii="Times New Roman" w:hAnsi="Times New Roman" w:cs="Times New Roman"/>
          <w:color w:val="222222"/>
          <w:sz w:val="24"/>
          <w:szCs w:val="24"/>
          <w:shd w:val="clear" w:color="auto" w:fill="FFFFFF"/>
        </w:rPr>
        <w:t>Carpenter, D.H., 2014, January. The Consumer Financial Protection Bureau (CFPB): A Legal Analysis. Library of Congress, Congressional Research Service.</w:t>
      </w:r>
    </w:p>
    <w:p w14:paraId="539EA719" w14:textId="77777777" w:rsidR="004F3B4D" w:rsidRDefault="004F3B4D" w:rsidP="004F3B4D">
      <w:pPr>
        <w:spacing w:line="360" w:lineRule="auto"/>
        <w:jc w:val="both"/>
        <w:rPr>
          <w:rFonts w:ascii="Times New Roman" w:hAnsi="Times New Roman" w:cs="Times New Roman"/>
          <w:color w:val="222222"/>
          <w:sz w:val="24"/>
          <w:szCs w:val="24"/>
          <w:shd w:val="clear" w:color="auto" w:fill="FFFFFF"/>
        </w:rPr>
      </w:pPr>
      <w:r w:rsidRPr="00710969">
        <w:rPr>
          <w:rFonts w:ascii="Times New Roman" w:hAnsi="Times New Roman" w:cs="Times New Roman"/>
          <w:color w:val="222222"/>
          <w:sz w:val="24"/>
          <w:szCs w:val="24"/>
          <w:shd w:val="clear" w:color="auto" w:fill="FFFFFF"/>
        </w:rPr>
        <w:t>Cedeno-Brea, E., 2017. The Legal Structure of Commercial Banks and Financial Regulation: does organizational form matter for the design of bank regulation?.</w:t>
      </w:r>
    </w:p>
    <w:p w14:paraId="087D3CE2" w14:textId="77777777" w:rsidR="004F3B4D" w:rsidRDefault="004F3B4D" w:rsidP="004F3B4D">
      <w:pPr>
        <w:spacing w:line="360" w:lineRule="auto"/>
        <w:jc w:val="both"/>
        <w:rPr>
          <w:rFonts w:ascii="Times New Roman" w:hAnsi="Times New Roman" w:cs="Times New Roman"/>
          <w:sz w:val="24"/>
          <w:szCs w:val="24"/>
        </w:rPr>
      </w:pPr>
      <w:r w:rsidRPr="00BE1FB8">
        <w:rPr>
          <w:rFonts w:ascii="Times New Roman" w:hAnsi="Times New Roman" w:cs="Times New Roman"/>
          <w:color w:val="222222"/>
          <w:sz w:val="24"/>
          <w:szCs w:val="24"/>
          <w:shd w:val="clear" w:color="auto" w:fill="FFFFFF"/>
        </w:rPr>
        <w:t>Congress, U.S., 2010. Dodd-Frank Wall Street reform and consumer protection act.</w:t>
      </w:r>
    </w:p>
    <w:p w14:paraId="47955290" w14:textId="77777777" w:rsidR="004F3B4D" w:rsidRDefault="004F3B4D" w:rsidP="004F3B4D">
      <w:pPr>
        <w:spacing w:line="360" w:lineRule="auto"/>
        <w:jc w:val="both"/>
        <w:rPr>
          <w:rFonts w:ascii="Times New Roman" w:hAnsi="Times New Roman" w:cs="Times New Roman"/>
          <w:color w:val="222222"/>
          <w:sz w:val="24"/>
          <w:szCs w:val="24"/>
          <w:shd w:val="clear" w:color="auto" w:fill="FFFFFF"/>
        </w:rPr>
      </w:pPr>
      <w:r w:rsidRPr="002C6BF8">
        <w:rPr>
          <w:rFonts w:ascii="Times New Roman" w:hAnsi="Times New Roman" w:cs="Times New Roman"/>
          <w:color w:val="222222"/>
          <w:sz w:val="24"/>
          <w:szCs w:val="24"/>
          <w:shd w:val="clear" w:color="auto" w:fill="FFFFFF"/>
        </w:rPr>
        <w:t>Cullen, J., 2018. Securitisation, ring-fencing, and housing bubbles: financial stability implications of UK and EU Bank reforms. </w:t>
      </w:r>
      <w:r w:rsidRPr="002C6BF8">
        <w:rPr>
          <w:rFonts w:ascii="Times New Roman" w:hAnsi="Times New Roman" w:cs="Times New Roman"/>
          <w:i/>
          <w:iCs/>
          <w:color w:val="222222"/>
          <w:sz w:val="24"/>
          <w:szCs w:val="24"/>
          <w:shd w:val="clear" w:color="auto" w:fill="FFFFFF"/>
        </w:rPr>
        <w:t>Journal of Financial Regulation</w:t>
      </w:r>
      <w:r w:rsidRPr="002C6BF8">
        <w:rPr>
          <w:rFonts w:ascii="Times New Roman" w:hAnsi="Times New Roman" w:cs="Times New Roman"/>
          <w:color w:val="222222"/>
          <w:sz w:val="24"/>
          <w:szCs w:val="24"/>
          <w:shd w:val="clear" w:color="auto" w:fill="FFFFFF"/>
        </w:rPr>
        <w:t>, </w:t>
      </w:r>
      <w:r w:rsidRPr="002C6BF8">
        <w:rPr>
          <w:rFonts w:ascii="Times New Roman" w:hAnsi="Times New Roman" w:cs="Times New Roman"/>
          <w:i/>
          <w:iCs/>
          <w:color w:val="222222"/>
          <w:sz w:val="24"/>
          <w:szCs w:val="24"/>
          <w:shd w:val="clear" w:color="auto" w:fill="FFFFFF"/>
        </w:rPr>
        <w:t>4</w:t>
      </w:r>
      <w:r w:rsidRPr="002C6BF8">
        <w:rPr>
          <w:rFonts w:ascii="Times New Roman" w:hAnsi="Times New Roman" w:cs="Times New Roman"/>
          <w:color w:val="222222"/>
          <w:sz w:val="24"/>
          <w:szCs w:val="24"/>
          <w:shd w:val="clear" w:color="auto" w:fill="FFFFFF"/>
        </w:rPr>
        <w:t>(1), pp.73-118.</w:t>
      </w:r>
    </w:p>
    <w:p w14:paraId="468D3B73" w14:textId="77777777" w:rsidR="004F3B4D" w:rsidRDefault="004F3B4D" w:rsidP="004F3B4D">
      <w:pPr>
        <w:spacing w:line="360" w:lineRule="auto"/>
        <w:jc w:val="both"/>
        <w:rPr>
          <w:rFonts w:ascii="Times New Roman" w:hAnsi="Times New Roman" w:cs="Times New Roman"/>
          <w:color w:val="222222"/>
          <w:sz w:val="24"/>
          <w:szCs w:val="24"/>
          <w:shd w:val="clear" w:color="auto" w:fill="FFFFFF"/>
        </w:rPr>
      </w:pPr>
      <w:r w:rsidRPr="00BE1FB8">
        <w:rPr>
          <w:rFonts w:ascii="Times New Roman" w:hAnsi="Times New Roman" w:cs="Times New Roman"/>
          <w:color w:val="222222"/>
          <w:sz w:val="24"/>
          <w:szCs w:val="24"/>
          <w:shd w:val="clear" w:color="auto" w:fill="FFFFFF"/>
        </w:rPr>
        <w:t>dos Santos, P.C., Dodd-Frank Wall Street Reform and Consumer Protection Act–Section 1502: the implications of oversimplifying the complexity of conflict minerals.</w:t>
      </w:r>
    </w:p>
    <w:p w14:paraId="332E7C27" w14:textId="77777777" w:rsidR="004F3B4D" w:rsidRDefault="004F3B4D" w:rsidP="004F3B4D">
      <w:pPr>
        <w:spacing w:line="360" w:lineRule="auto"/>
        <w:jc w:val="both"/>
        <w:rPr>
          <w:rFonts w:ascii="Times New Roman" w:hAnsi="Times New Roman" w:cs="Times New Roman"/>
          <w:sz w:val="24"/>
          <w:szCs w:val="24"/>
        </w:rPr>
      </w:pPr>
      <w:r w:rsidRPr="00BE1FB8">
        <w:rPr>
          <w:rFonts w:ascii="Times New Roman" w:hAnsi="Times New Roman" w:cs="Times New Roman"/>
          <w:color w:val="222222"/>
          <w:sz w:val="24"/>
          <w:szCs w:val="24"/>
          <w:shd w:val="clear" w:color="auto" w:fill="FFFFFF"/>
        </w:rPr>
        <w:t>Fein, M.L., 2010. Dodd-Frank wall street reform and consumer protection act.</w:t>
      </w:r>
      <w:r>
        <w:rPr>
          <w:rFonts w:ascii="Times New Roman" w:hAnsi="Times New Roman" w:cs="Times New Roman"/>
          <w:sz w:val="24"/>
          <w:szCs w:val="24"/>
        </w:rPr>
        <w:tab/>
      </w:r>
    </w:p>
    <w:p w14:paraId="195DA1B0" w14:textId="77777777" w:rsidR="004F3B4D" w:rsidRDefault="004F3B4D" w:rsidP="004F3B4D">
      <w:pPr>
        <w:tabs>
          <w:tab w:val="left" w:pos="8190"/>
        </w:tabs>
        <w:spacing w:line="360" w:lineRule="auto"/>
        <w:jc w:val="both"/>
        <w:rPr>
          <w:rFonts w:ascii="Times New Roman" w:hAnsi="Times New Roman" w:cs="Times New Roman"/>
          <w:sz w:val="24"/>
          <w:szCs w:val="24"/>
        </w:rPr>
      </w:pPr>
      <w:r w:rsidRPr="00BE1FB8">
        <w:rPr>
          <w:rFonts w:ascii="Times New Roman" w:hAnsi="Times New Roman" w:cs="Times New Roman"/>
          <w:color w:val="222222"/>
          <w:sz w:val="24"/>
          <w:szCs w:val="24"/>
          <w:shd w:val="clear" w:color="auto" w:fill="FFFFFF"/>
        </w:rPr>
        <w:t>Ferrarini, G. and Saguato, P., 2014. Regulating financial market infrastructures. </w:t>
      </w:r>
      <w:r w:rsidRPr="00BE1FB8">
        <w:rPr>
          <w:rFonts w:ascii="Times New Roman" w:hAnsi="Times New Roman" w:cs="Times New Roman"/>
          <w:i/>
          <w:iCs/>
          <w:color w:val="222222"/>
          <w:sz w:val="24"/>
          <w:szCs w:val="24"/>
          <w:shd w:val="clear" w:color="auto" w:fill="FFFFFF"/>
        </w:rPr>
        <w:t>Forthcoming draft chapter, The Oxford Handbook on Financial Regulation, edited by Eilís Ferran, Niamh Moloney, and Jennifer Payne,(Oxford University Press)., European Corporate Governance Institute (ECGI)-Law Working Paper</w:t>
      </w:r>
      <w:r w:rsidRPr="00BE1FB8">
        <w:rPr>
          <w:rFonts w:ascii="Times New Roman" w:hAnsi="Times New Roman" w:cs="Times New Roman"/>
          <w:color w:val="222222"/>
          <w:sz w:val="24"/>
          <w:szCs w:val="24"/>
          <w:shd w:val="clear" w:color="auto" w:fill="FFFFFF"/>
        </w:rPr>
        <w:t>, (259).</w:t>
      </w:r>
      <w:r>
        <w:rPr>
          <w:rFonts w:ascii="Times New Roman" w:hAnsi="Times New Roman" w:cs="Times New Roman"/>
          <w:sz w:val="24"/>
          <w:szCs w:val="24"/>
        </w:rPr>
        <w:tab/>
      </w:r>
    </w:p>
    <w:p w14:paraId="38109549" w14:textId="77777777" w:rsidR="004F3B4D" w:rsidRDefault="004F3B4D" w:rsidP="004F3B4D">
      <w:pPr>
        <w:spacing w:line="360" w:lineRule="auto"/>
        <w:jc w:val="both"/>
        <w:rPr>
          <w:rFonts w:ascii="Times New Roman" w:hAnsi="Times New Roman" w:cs="Times New Roman"/>
          <w:color w:val="222222"/>
          <w:sz w:val="24"/>
          <w:szCs w:val="24"/>
          <w:shd w:val="clear" w:color="auto" w:fill="FFFFFF"/>
        </w:rPr>
      </w:pPr>
      <w:r w:rsidRPr="009151B1">
        <w:rPr>
          <w:rFonts w:ascii="Times New Roman" w:hAnsi="Times New Roman" w:cs="Times New Roman"/>
          <w:color w:val="222222"/>
          <w:sz w:val="24"/>
          <w:szCs w:val="24"/>
          <w:shd w:val="clear" w:color="auto" w:fill="FFFFFF"/>
        </w:rPr>
        <w:t>Ferrarini, G. and Saguato, P., 2014. Regulating financial market infrastructures. </w:t>
      </w:r>
      <w:r w:rsidRPr="009151B1">
        <w:rPr>
          <w:rFonts w:ascii="Times New Roman" w:hAnsi="Times New Roman" w:cs="Times New Roman"/>
          <w:i/>
          <w:iCs/>
          <w:color w:val="222222"/>
          <w:sz w:val="24"/>
          <w:szCs w:val="24"/>
          <w:shd w:val="clear" w:color="auto" w:fill="FFFFFF"/>
        </w:rPr>
        <w:t>Forthcoming draft chapter, The Oxford Handbook on Financial Regulation, edited by Eilís Ferran, Niamh Moloney, and Jennifer Payne,(Oxford University Press)., European Corporate Governance Institute (ECGI)-Law Working Paper</w:t>
      </w:r>
      <w:r w:rsidRPr="009151B1">
        <w:rPr>
          <w:rFonts w:ascii="Times New Roman" w:hAnsi="Times New Roman" w:cs="Times New Roman"/>
          <w:color w:val="222222"/>
          <w:sz w:val="24"/>
          <w:szCs w:val="24"/>
          <w:shd w:val="clear" w:color="auto" w:fill="FFFFFF"/>
        </w:rPr>
        <w:t>, (259).</w:t>
      </w:r>
    </w:p>
    <w:p w14:paraId="6F3BDBC5" w14:textId="77777777" w:rsidR="004F3B4D" w:rsidRDefault="004F3B4D" w:rsidP="004F3B4D">
      <w:pPr>
        <w:spacing w:line="360" w:lineRule="auto"/>
        <w:jc w:val="both"/>
        <w:rPr>
          <w:rFonts w:ascii="Times New Roman" w:hAnsi="Times New Roman" w:cs="Times New Roman"/>
          <w:color w:val="222222"/>
          <w:sz w:val="24"/>
          <w:szCs w:val="24"/>
          <w:shd w:val="clear" w:color="auto" w:fill="FFFFFF"/>
        </w:rPr>
      </w:pPr>
      <w:r w:rsidRPr="001C4648">
        <w:rPr>
          <w:rFonts w:ascii="Times New Roman" w:hAnsi="Times New Roman" w:cs="Times New Roman"/>
          <w:color w:val="222222"/>
          <w:sz w:val="24"/>
          <w:szCs w:val="24"/>
          <w:shd w:val="clear" w:color="auto" w:fill="FFFFFF"/>
        </w:rPr>
        <w:t>Fisher, P. and Grout, P.A., 2017. Competition and prudential regulation.</w:t>
      </w:r>
    </w:p>
    <w:p w14:paraId="666B14FE" w14:textId="77777777" w:rsidR="004F3B4D" w:rsidRDefault="004F3B4D" w:rsidP="004F3B4D">
      <w:pPr>
        <w:spacing w:line="360" w:lineRule="auto"/>
        <w:jc w:val="both"/>
        <w:rPr>
          <w:rFonts w:ascii="Times New Roman" w:hAnsi="Times New Roman" w:cs="Times New Roman"/>
          <w:color w:val="222222"/>
          <w:sz w:val="24"/>
          <w:szCs w:val="24"/>
          <w:shd w:val="clear" w:color="auto" w:fill="FFFFFF"/>
        </w:rPr>
      </w:pPr>
      <w:r w:rsidRPr="001C4648">
        <w:rPr>
          <w:rFonts w:ascii="Times New Roman" w:hAnsi="Times New Roman" w:cs="Times New Roman"/>
          <w:color w:val="222222"/>
          <w:sz w:val="24"/>
          <w:szCs w:val="24"/>
          <w:shd w:val="clear" w:color="auto" w:fill="FFFFFF"/>
        </w:rPr>
        <w:t>Gillet, R., Ligot, S. and Firouzi, H.O., 2017. The challenges and implications of the Markets in Financial Instruments Directive (MiFID) and of its revision (MiFID II, MiFIR) on the efficiency of financial markets. </w:t>
      </w:r>
      <w:r w:rsidRPr="001C4648">
        <w:rPr>
          <w:rFonts w:ascii="Times New Roman" w:hAnsi="Times New Roman" w:cs="Times New Roman"/>
          <w:i/>
          <w:iCs/>
          <w:color w:val="222222"/>
          <w:sz w:val="24"/>
          <w:szCs w:val="24"/>
          <w:shd w:val="clear" w:color="auto" w:fill="FFFFFF"/>
        </w:rPr>
        <w:t>Financial Regulation in the EU: From Resilience to Growth</w:t>
      </w:r>
      <w:r w:rsidRPr="001C4648">
        <w:rPr>
          <w:rFonts w:ascii="Times New Roman" w:hAnsi="Times New Roman" w:cs="Times New Roman"/>
          <w:color w:val="222222"/>
          <w:sz w:val="24"/>
          <w:szCs w:val="24"/>
          <w:shd w:val="clear" w:color="auto" w:fill="FFFFFF"/>
        </w:rPr>
        <w:t>, pp.151-198.</w:t>
      </w:r>
    </w:p>
    <w:p w14:paraId="35113B00" w14:textId="77777777" w:rsidR="004F3B4D" w:rsidRDefault="004F3B4D" w:rsidP="004F3B4D">
      <w:pPr>
        <w:tabs>
          <w:tab w:val="left" w:pos="7440"/>
        </w:tabs>
        <w:spacing w:line="360" w:lineRule="auto"/>
        <w:jc w:val="both"/>
        <w:rPr>
          <w:rFonts w:ascii="Times New Roman" w:hAnsi="Times New Roman" w:cs="Times New Roman"/>
          <w:color w:val="222222"/>
          <w:sz w:val="24"/>
          <w:szCs w:val="24"/>
          <w:shd w:val="clear" w:color="auto" w:fill="FFFFFF"/>
        </w:rPr>
      </w:pPr>
      <w:r w:rsidRPr="00934709">
        <w:rPr>
          <w:rFonts w:ascii="Times New Roman" w:hAnsi="Times New Roman" w:cs="Times New Roman"/>
          <w:color w:val="222222"/>
          <w:sz w:val="24"/>
          <w:szCs w:val="24"/>
          <w:shd w:val="clear" w:color="auto" w:fill="FFFFFF"/>
        </w:rPr>
        <w:t>Griesgraber, J.M., 2009. Reforms for Major New Roles of the International Monetary Fund-The IMF Post-G-20 Summit. </w:t>
      </w:r>
      <w:r w:rsidRPr="00934709">
        <w:rPr>
          <w:rFonts w:ascii="Times New Roman" w:hAnsi="Times New Roman" w:cs="Times New Roman"/>
          <w:i/>
          <w:iCs/>
          <w:color w:val="222222"/>
          <w:sz w:val="24"/>
          <w:szCs w:val="24"/>
          <w:shd w:val="clear" w:color="auto" w:fill="FFFFFF"/>
        </w:rPr>
        <w:t>Global Governance</w:t>
      </w:r>
      <w:r w:rsidRPr="00934709">
        <w:rPr>
          <w:rFonts w:ascii="Times New Roman" w:hAnsi="Times New Roman" w:cs="Times New Roman"/>
          <w:color w:val="222222"/>
          <w:sz w:val="24"/>
          <w:szCs w:val="24"/>
          <w:shd w:val="clear" w:color="auto" w:fill="FFFFFF"/>
        </w:rPr>
        <w:t>, </w:t>
      </w:r>
      <w:r w:rsidRPr="00934709">
        <w:rPr>
          <w:rFonts w:ascii="Times New Roman" w:hAnsi="Times New Roman" w:cs="Times New Roman"/>
          <w:i/>
          <w:iCs/>
          <w:color w:val="222222"/>
          <w:sz w:val="24"/>
          <w:szCs w:val="24"/>
          <w:shd w:val="clear" w:color="auto" w:fill="FFFFFF"/>
        </w:rPr>
        <w:t>15</w:t>
      </w:r>
      <w:r w:rsidRPr="00934709">
        <w:rPr>
          <w:rFonts w:ascii="Times New Roman" w:hAnsi="Times New Roman" w:cs="Times New Roman"/>
          <w:color w:val="222222"/>
          <w:sz w:val="24"/>
          <w:szCs w:val="24"/>
          <w:shd w:val="clear" w:color="auto" w:fill="FFFFFF"/>
        </w:rPr>
        <w:t>, p.179.</w:t>
      </w:r>
    </w:p>
    <w:p w14:paraId="711149F6" w14:textId="77777777" w:rsidR="004F3B4D" w:rsidRDefault="004F3B4D" w:rsidP="004F3B4D">
      <w:pPr>
        <w:spacing w:line="360" w:lineRule="auto"/>
        <w:jc w:val="both"/>
        <w:rPr>
          <w:rFonts w:ascii="Times New Roman" w:hAnsi="Times New Roman" w:cs="Times New Roman"/>
          <w:color w:val="222222"/>
          <w:sz w:val="24"/>
          <w:szCs w:val="24"/>
          <w:shd w:val="clear" w:color="auto" w:fill="FFFFFF"/>
        </w:rPr>
      </w:pPr>
      <w:r w:rsidRPr="009151B1">
        <w:rPr>
          <w:rFonts w:ascii="Times New Roman" w:hAnsi="Times New Roman" w:cs="Times New Roman"/>
          <w:color w:val="222222"/>
          <w:sz w:val="24"/>
          <w:szCs w:val="24"/>
          <w:shd w:val="clear" w:color="auto" w:fill="FFFFFF"/>
        </w:rPr>
        <w:lastRenderedPageBreak/>
        <w:t>Halvorsen, J.L. and Møkkelgård, P.J., 2018. </w:t>
      </w:r>
      <w:r w:rsidRPr="009151B1">
        <w:rPr>
          <w:rFonts w:ascii="Times New Roman" w:hAnsi="Times New Roman" w:cs="Times New Roman"/>
          <w:i/>
          <w:iCs/>
          <w:color w:val="222222"/>
          <w:sz w:val="24"/>
          <w:szCs w:val="24"/>
          <w:shd w:val="clear" w:color="auto" w:fill="FFFFFF"/>
        </w:rPr>
        <w:t>Financial literacy and other determinants of consumer complaint behavior: An empirical study utilizing the CFPB’s complaint database</w:t>
      </w:r>
      <w:r w:rsidRPr="009151B1">
        <w:rPr>
          <w:rFonts w:ascii="Times New Roman" w:hAnsi="Times New Roman" w:cs="Times New Roman"/>
          <w:color w:val="222222"/>
          <w:sz w:val="24"/>
          <w:szCs w:val="24"/>
          <w:shd w:val="clear" w:color="auto" w:fill="FFFFFF"/>
        </w:rPr>
        <w:t> (Master's thesis).</w:t>
      </w:r>
    </w:p>
    <w:p w14:paraId="3F4F4FD6" w14:textId="77777777" w:rsidR="004F3B4D" w:rsidRPr="002C6BF8" w:rsidRDefault="004F3B4D" w:rsidP="004F3B4D">
      <w:pPr>
        <w:spacing w:line="360" w:lineRule="auto"/>
        <w:jc w:val="both"/>
        <w:rPr>
          <w:rFonts w:ascii="Times New Roman" w:hAnsi="Times New Roman" w:cs="Times New Roman"/>
          <w:color w:val="222222"/>
          <w:sz w:val="24"/>
          <w:szCs w:val="24"/>
          <w:shd w:val="clear" w:color="auto" w:fill="FFFFFF"/>
        </w:rPr>
      </w:pPr>
      <w:r w:rsidRPr="002C6BF8">
        <w:rPr>
          <w:rFonts w:ascii="Times New Roman" w:hAnsi="Times New Roman" w:cs="Times New Roman"/>
          <w:color w:val="222222"/>
          <w:sz w:val="24"/>
          <w:szCs w:val="24"/>
          <w:shd w:val="clear" w:color="auto" w:fill="FFFFFF"/>
        </w:rPr>
        <w:t>Hardie, I. and Macartney, H., 2019. EU ring-fencing and the defence of too-big-to-fail banks. In </w:t>
      </w:r>
      <w:r w:rsidRPr="002C6BF8">
        <w:rPr>
          <w:rFonts w:ascii="Times New Roman" w:hAnsi="Times New Roman" w:cs="Times New Roman"/>
          <w:i/>
          <w:iCs/>
          <w:color w:val="222222"/>
          <w:sz w:val="24"/>
          <w:szCs w:val="24"/>
          <w:shd w:val="clear" w:color="auto" w:fill="FFFFFF"/>
        </w:rPr>
        <w:t>The Politics of Supranational Banking Supervision in Europe</w:t>
      </w:r>
      <w:r w:rsidRPr="002C6BF8">
        <w:rPr>
          <w:rFonts w:ascii="Times New Roman" w:hAnsi="Times New Roman" w:cs="Times New Roman"/>
          <w:color w:val="222222"/>
          <w:sz w:val="24"/>
          <w:szCs w:val="24"/>
          <w:shd w:val="clear" w:color="auto" w:fill="FFFFFF"/>
        </w:rPr>
        <w:t> (pp. 89-111). Routledge.</w:t>
      </w:r>
    </w:p>
    <w:p w14:paraId="60B6AD1E" w14:textId="77777777" w:rsidR="004F3B4D" w:rsidRDefault="004F3B4D" w:rsidP="004F3B4D">
      <w:pPr>
        <w:spacing w:line="360" w:lineRule="auto"/>
        <w:jc w:val="both"/>
        <w:rPr>
          <w:rFonts w:ascii="Times New Roman" w:hAnsi="Times New Roman" w:cs="Times New Roman"/>
          <w:color w:val="222222"/>
          <w:sz w:val="24"/>
          <w:szCs w:val="24"/>
          <w:shd w:val="clear" w:color="auto" w:fill="FFFFFF"/>
        </w:rPr>
      </w:pPr>
      <w:r w:rsidRPr="00BE1FB8">
        <w:rPr>
          <w:rFonts w:ascii="Times New Roman" w:hAnsi="Times New Roman" w:cs="Times New Roman"/>
          <w:color w:val="222222"/>
          <w:sz w:val="24"/>
          <w:szCs w:val="24"/>
          <w:shd w:val="clear" w:color="auto" w:fill="FFFFFF"/>
        </w:rPr>
        <w:t>Homar, T. and van Wijnbergen, S.J., 2017. Bank recapitalization and economic recovery after financial crises. </w:t>
      </w:r>
      <w:r w:rsidRPr="00BE1FB8">
        <w:rPr>
          <w:rFonts w:ascii="Times New Roman" w:hAnsi="Times New Roman" w:cs="Times New Roman"/>
          <w:i/>
          <w:iCs/>
          <w:color w:val="222222"/>
          <w:sz w:val="24"/>
          <w:szCs w:val="24"/>
          <w:shd w:val="clear" w:color="auto" w:fill="FFFFFF"/>
        </w:rPr>
        <w:t>Journal of Financial Intermediation</w:t>
      </w:r>
      <w:r w:rsidRPr="00BE1FB8">
        <w:rPr>
          <w:rFonts w:ascii="Times New Roman" w:hAnsi="Times New Roman" w:cs="Times New Roman"/>
          <w:color w:val="222222"/>
          <w:sz w:val="24"/>
          <w:szCs w:val="24"/>
          <w:shd w:val="clear" w:color="auto" w:fill="FFFFFF"/>
        </w:rPr>
        <w:t>, </w:t>
      </w:r>
      <w:r w:rsidRPr="00BE1FB8">
        <w:rPr>
          <w:rFonts w:ascii="Times New Roman" w:hAnsi="Times New Roman" w:cs="Times New Roman"/>
          <w:i/>
          <w:iCs/>
          <w:color w:val="222222"/>
          <w:sz w:val="24"/>
          <w:szCs w:val="24"/>
          <w:shd w:val="clear" w:color="auto" w:fill="FFFFFF"/>
        </w:rPr>
        <w:t>32</w:t>
      </w:r>
      <w:r w:rsidRPr="00BE1FB8">
        <w:rPr>
          <w:rFonts w:ascii="Times New Roman" w:hAnsi="Times New Roman" w:cs="Times New Roman"/>
          <w:color w:val="222222"/>
          <w:sz w:val="24"/>
          <w:szCs w:val="24"/>
          <w:shd w:val="clear" w:color="auto" w:fill="FFFFFF"/>
        </w:rPr>
        <w:t>, pp.16-28.</w:t>
      </w:r>
    </w:p>
    <w:p w14:paraId="5B1C32B6" w14:textId="77777777" w:rsidR="004F3B4D" w:rsidRDefault="004F3B4D" w:rsidP="004F3B4D">
      <w:pPr>
        <w:spacing w:line="360" w:lineRule="auto"/>
        <w:jc w:val="both"/>
        <w:rPr>
          <w:rFonts w:ascii="Times New Roman" w:hAnsi="Times New Roman" w:cs="Times New Roman"/>
          <w:color w:val="222222"/>
          <w:sz w:val="24"/>
          <w:szCs w:val="24"/>
          <w:shd w:val="clear" w:color="auto" w:fill="FFFFFF"/>
        </w:rPr>
      </w:pPr>
      <w:r w:rsidRPr="009151B1">
        <w:rPr>
          <w:rFonts w:ascii="Times New Roman" w:hAnsi="Times New Roman" w:cs="Times New Roman"/>
          <w:color w:val="222222"/>
          <w:sz w:val="24"/>
          <w:szCs w:val="24"/>
          <w:shd w:val="clear" w:color="auto" w:fill="FFFFFF"/>
        </w:rPr>
        <w:t>Hundal, S., Eskola, A. and Tuan, D., 2019. Risk–return relationship in the Finnish stock market in the light of Capital Asset Pricing Model (CAPM). </w:t>
      </w:r>
      <w:r w:rsidRPr="009151B1">
        <w:rPr>
          <w:rFonts w:ascii="Times New Roman" w:hAnsi="Times New Roman" w:cs="Times New Roman"/>
          <w:i/>
          <w:iCs/>
          <w:color w:val="222222"/>
          <w:sz w:val="24"/>
          <w:szCs w:val="24"/>
          <w:shd w:val="clear" w:color="auto" w:fill="FFFFFF"/>
        </w:rPr>
        <w:t>Journal of Transnational Management</w:t>
      </w:r>
      <w:r w:rsidRPr="009151B1">
        <w:rPr>
          <w:rFonts w:ascii="Times New Roman" w:hAnsi="Times New Roman" w:cs="Times New Roman"/>
          <w:color w:val="222222"/>
          <w:sz w:val="24"/>
          <w:szCs w:val="24"/>
          <w:shd w:val="clear" w:color="auto" w:fill="FFFFFF"/>
        </w:rPr>
        <w:t>, </w:t>
      </w:r>
      <w:r w:rsidRPr="009151B1">
        <w:rPr>
          <w:rFonts w:ascii="Times New Roman" w:hAnsi="Times New Roman" w:cs="Times New Roman"/>
          <w:i/>
          <w:iCs/>
          <w:color w:val="222222"/>
          <w:sz w:val="24"/>
          <w:szCs w:val="24"/>
          <w:shd w:val="clear" w:color="auto" w:fill="FFFFFF"/>
        </w:rPr>
        <w:t>24</w:t>
      </w:r>
      <w:r w:rsidRPr="009151B1">
        <w:rPr>
          <w:rFonts w:ascii="Times New Roman" w:hAnsi="Times New Roman" w:cs="Times New Roman"/>
          <w:color w:val="222222"/>
          <w:sz w:val="24"/>
          <w:szCs w:val="24"/>
          <w:shd w:val="clear" w:color="auto" w:fill="FFFFFF"/>
        </w:rPr>
        <w:t>(4), pp.305-322.</w:t>
      </w:r>
    </w:p>
    <w:p w14:paraId="63D24FA6" w14:textId="77777777" w:rsidR="004F3B4D" w:rsidRDefault="004F3B4D" w:rsidP="004F3B4D">
      <w:pPr>
        <w:spacing w:line="360" w:lineRule="auto"/>
        <w:jc w:val="both"/>
        <w:rPr>
          <w:rFonts w:ascii="Times New Roman" w:hAnsi="Times New Roman" w:cs="Times New Roman"/>
          <w:color w:val="222222"/>
          <w:sz w:val="24"/>
          <w:szCs w:val="24"/>
          <w:shd w:val="clear" w:color="auto" w:fill="FFFFFF"/>
        </w:rPr>
      </w:pPr>
      <w:r w:rsidRPr="00BE1FB8">
        <w:rPr>
          <w:rFonts w:ascii="Times New Roman" w:hAnsi="Times New Roman" w:cs="Times New Roman"/>
          <w:color w:val="222222"/>
          <w:sz w:val="24"/>
          <w:szCs w:val="24"/>
          <w:shd w:val="clear" w:color="auto" w:fill="FFFFFF"/>
        </w:rPr>
        <w:t>Hunold, M., Kesler, R. and Laitenberger, U., 2020. Rankings of online travel agents, channel pricing, and consumer protection. </w:t>
      </w:r>
      <w:r w:rsidRPr="00BE1FB8">
        <w:rPr>
          <w:rFonts w:ascii="Times New Roman" w:hAnsi="Times New Roman" w:cs="Times New Roman"/>
          <w:i/>
          <w:iCs/>
          <w:color w:val="222222"/>
          <w:sz w:val="24"/>
          <w:szCs w:val="24"/>
          <w:shd w:val="clear" w:color="auto" w:fill="FFFFFF"/>
        </w:rPr>
        <w:t>Marketing Science</w:t>
      </w:r>
      <w:r w:rsidRPr="00BE1FB8">
        <w:rPr>
          <w:rFonts w:ascii="Times New Roman" w:hAnsi="Times New Roman" w:cs="Times New Roman"/>
          <w:color w:val="222222"/>
          <w:sz w:val="24"/>
          <w:szCs w:val="24"/>
          <w:shd w:val="clear" w:color="auto" w:fill="FFFFFF"/>
        </w:rPr>
        <w:t>, </w:t>
      </w:r>
      <w:r w:rsidRPr="00BE1FB8">
        <w:rPr>
          <w:rFonts w:ascii="Times New Roman" w:hAnsi="Times New Roman" w:cs="Times New Roman"/>
          <w:i/>
          <w:iCs/>
          <w:color w:val="222222"/>
          <w:sz w:val="24"/>
          <w:szCs w:val="24"/>
          <w:shd w:val="clear" w:color="auto" w:fill="FFFFFF"/>
        </w:rPr>
        <w:t>39</w:t>
      </w:r>
      <w:r w:rsidRPr="00BE1FB8">
        <w:rPr>
          <w:rFonts w:ascii="Times New Roman" w:hAnsi="Times New Roman" w:cs="Times New Roman"/>
          <w:color w:val="222222"/>
          <w:sz w:val="24"/>
          <w:szCs w:val="24"/>
          <w:shd w:val="clear" w:color="auto" w:fill="FFFFFF"/>
        </w:rPr>
        <w:t>(1), pp.92-116.</w:t>
      </w:r>
    </w:p>
    <w:p w14:paraId="164683DA" w14:textId="77777777" w:rsidR="004F3B4D" w:rsidRDefault="004F3B4D" w:rsidP="004F3B4D">
      <w:pPr>
        <w:spacing w:line="360" w:lineRule="auto"/>
        <w:jc w:val="both"/>
        <w:rPr>
          <w:rFonts w:ascii="Times New Roman" w:hAnsi="Times New Roman" w:cs="Times New Roman"/>
          <w:color w:val="222222"/>
          <w:sz w:val="24"/>
          <w:szCs w:val="24"/>
          <w:shd w:val="clear" w:color="auto" w:fill="FFFFFF"/>
        </w:rPr>
      </w:pPr>
      <w:r w:rsidRPr="001C4648">
        <w:rPr>
          <w:rFonts w:ascii="Times New Roman" w:hAnsi="Times New Roman" w:cs="Times New Roman"/>
          <w:color w:val="222222"/>
          <w:sz w:val="24"/>
          <w:szCs w:val="24"/>
          <w:shd w:val="clear" w:color="auto" w:fill="FFFFFF"/>
        </w:rPr>
        <w:t>Keller, A. and Kokkinis, A., 2022. The senior managers and certification regime in financial firms: an organisational culture analysis. </w:t>
      </w:r>
      <w:r w:rsidRPr="001C4648">
        <w:rPr>
          <w:rFonts w:ascii="Times New Roman" w:hAnsi="Times New Roman" w:cs="Times New Roman"/>
          <w:i/>
          <w:iCs/>
          <w:color w:val="222222"/>
          <w:sz w:val="24"/>
          <w:szCs w:val="24"/>
          <w:shd w:val="clear" w:color="auto" w:fill="FFFFFF"/>
        </w:rPr>
        <w:t>Journal of Corporate Law Studies</w:t>
      </w:r>
      <w:r w:rsidRPr="001C4648">
        <w:rPr>
          <w:rFonts w:ascii="Times New Roman" w:hAnsi="Times New Roman" w:cs="Times New Roman"/>
          <w:color w:val="222222"/>
          <w:sz w:val="24"/>
          <w:szCs w:val="24"/>
          <w:shd w:val="clear" w:color="auto" w:fill="FFFFFF"/>
        </w:rPr>
        <w:t>, </w:t>
      </w:r>
      <w:r w:rsidRPr="001C4648">
        <w:rPr>
          <w:rFonts w:ascii="Times New Roman" w:hAnsi="Times New Roman" w:cs="Times New Roman"/>
          <w:i/>
          <w:iCs/>
          <w:color w:val="222222"/>
          <w:sz w:val="24"/>
          <w:szCs w:val="24"/>
          <w:shd w:val="clear" w:color="auto" w:fill="FFFFFF"/>
        </w:rPr>
        <w:t>22</w:t>
      </w:r>
      <w:r w:rsidRPr="001C4648">
        <w:rPr>
          <w:rFonts w:ascii="Times New Roman" w:hAnsi="Times New Roman" w:cs="Times New Roman"/>
          <w:color w:val="222222"/>
          <w:sz w:val="24"/>
          <w:szCs w:val="24"/>
          <w:shd w:val="clear" w:color="auto" w:fill="FFFFFF"/>
        </w:rPr>
        <w:t>(1), pp.299-334.</w:t>
      </w:r>
    </w:p>
    <w:p w14:paraId="2A3CEEEE" w14:textId="77777777" w:rsidR="004F3B4D" w:rsidRDefault="004F3B4D" w:rsidP="004F3B4D">
      <w:pPr>
        <w:tabs>
          <w:tab w:val="left" w:pos="495"/>
        </w:tabs>
        <w:spacing w:line="360" w:lineRule="auto"/>
        <w:jc w:val="both"/>
        <w:rPr>
          <w:rFonts w:ascii="Times New Roman" w:hAnsi="Times New Roman" w:cs="Times New Roman"/>
          <w:color w:val="222222"/>
          <w:sz w:val="24"/>
          <w:szCs w:val="24"/>
          <w:shd w:val="clear" w:color="auto" w:fill="FFFFFF"/>
        </w:rPr>
      </w:pPr>
      <w:r w:rsidRPr="004C4F6F">
        <w:rPr>
          <w:rFonts w:ascii="Times New Roman" w:hAnsi="Times New Roman" w:cs="Times New Roman"/>
          <w:color w:val="222222"/>
          <w:sz w:val="24"/>
          <w:szCs w:val="24"/>
          <w:shd w:val="clear" w:color="auto" w:fill="FFFFFF"/>
        </w:rPr>
        <w:t>Kennedy, L.J., McCoy, P.A. and Bernstein, E., 2011. The consumer financial protection bureau: Financial regulation for the twenty-first century. </w:t>
      </w:r>
      <w:r w:rsidRPr="004C4F6F">
        <w:rPr>
          <w:rFonts w:ascii="Times New Roman" w:hAnsi="Times New Roman" w:cs="Times New Roman"/>
          <w:i/>
          <w:iCs/>
          <w:color w:val="222222"/>
          <w:sz w:val="24"/>
          <w:szCs w:val="24"/>
          <w:shd w:val="clear" w:color="auto" w:fill="FFFFFF"/>
        </w:rPr>
        <w:t>Cornell L. Rev.</w:t>
      </w:r>
      <w:r w:rsidRPr="004C4F6F">
        <w:rPr>
          <w:rFonts w:ascii="Times New Roman" w:hAnsi="Times New Roman" w:cs="Times New Roman"/>
          <w:color w:val="222222"/>
          <w:sz w:val="24"/>
          <w:szCs w:val="24"/>
          <w:shd w:val="clear" w:color="auto" w:fill="FFFFFF"/>
        </w:rPr>
        <w:t>, </w:t>
      </w:r>
      <w:r w:rsidRPr="004C4F6F">
        <w:rPr>
          <w:rFonts w:ascii="Times New Roman" w:hAnsi="Times New Roman" w:cs="Times New Roman"/>
          <w:i/>
          <w:iCs/>
          <w:color w:val="222222"/>
          <w:sz w:val="24"/>
          <w:szCs w:val="24"/>
          <w:shd w:val="clear" w:color="auto" w:fill="FFFFFF"/>
        </w:rPr>
        <w:t>97</w:t>
      </w:r>
      <w:r w:rsidRPr="004C4F6F">
        <w:rPr>
          <w:rFonts w:ascii="Times New Roman" w:hAnsi="Times New Roman" w:cs="Times New Roman"/>
          <w:color w:val="222222"/>
          <w:sz w:val="24"/>
          <w:szCs w:val="24"/>
          <w:shd w:val="clear" w:color="auto" w:fill="FFFFFF"/>
        </w:rPr>
        <w:t>, p.1141.</w:t>
      </w:r>
    </w:p>
    <w:p w14:paraId="7EA6E4CB" w14:textId="77777777" w:rsidR="004F3B4D" w:rsidRPr="004C4F6F" w:rsidRDefault="004F3B4D" w:rsidP="004F3B4D">
      <w:pPr>
        <w:tabs>
          <w:tab w:val="left" w:pos="8445"/>
        </w:tabs>
        <w:spacing w:line="360" w:lineRule="auto"/>
        <w:jc w:val="both"/>
        <w:rPr>
          <w:rFonts w:ascii="Times New Roman" w:hAnsi="Times New Roman" w:cs="Times New Roman"/>
          <w:sz w:val="24"/>
          <w:szCs w:val="24"/>
        </w:rPr>
      </w:pPr>
      <w:r w:rsidRPr="004C4F6F">
        <w:rPr>
          <w:rFonts w:ascii="Times New Roman" w:hAnsi="Times New Roman" w:cs="Times New Roman"/>
          <w:color w:val="222222"/>
          <w:sz w:val="24"/>
          <w:szCs w:val="24"/>
          <w:shd w:val="clear" w:color="auto" w:fill="FFFFFF"/>
        </w:rPr>
        <w:t>Lannoo, K., 2013. Financial Services and the Transatlantic Trade and Investment Partnership. </w:t>
      </w:r>
      <w:r w:rsidRPr="004C4F6F">
        <w:rPr>
          <w:rFonts w:ascii="Times New Roman" w:hAnsi="Times New Roman" w:cs="Times New Roman"/>
          <w:i/>
          <w:iCs/>
          <w:color w:val="222222"/>
          <w:sz w:val="24"/>
          <w:szCs w:val="24"/>
          <w:shd w:val="clear" w:color="auto" w:fill="FFFFFF"/>
        </w:rPr>
        <w:t>CEPS Policy Briefs</w:t>
      </w:r>
      <w:r w:rsidRPr="004C4F6F">
        <w:rPr>
          <w:rFonts w:ascii="Times New Roman" w:hAnsi="Times New Roman" w:cs="Times New Roman"/>
          <w:color w:val="222222"/>
          <w:sz w:val="24"/>
          <w:szCs w:val="24"/>
          <w:shd w:val="clear" w:color="auto" w:fill="FFFFFF"/>
        </w:rPr>
        <w:t>, (302).</w:t>
      </w:r>
      <w:r w:rsidRPr="004C4F6F">
        <w:rPr>
          <w:rFonts w:ascii="Times New Roman" w:hAnsi="Times New Roman" w:cs="Times New Roman"/>
          <w:sz w:val="24"/>
          <w:szCs w:val="24"/>
        </w:rPr>
        <w:tab/>
      </w:r>
    </w:p>
    <w:p w14:paraId="63A432C2" w14:textId="77777777" w:rsidR="004F3B4D" w:rsidRDefault="004F3B4D" w:rsidP="004F3B4D">
      <w:pPr>
        <w:spacing w:line="360" w:lineRule="auto"/>
        <w:jc w:val="both"/>
        <w:rPr>
          <w:rFonts w:ascii="Times New Roman" w:hAnsi="Times New Roman" w:cs="Times New Roman"/>
          <w:color w:val="222222"/>
          <w:sz w:val="24"/>
          <w:szCs w:val="24"/>
          <w:shd w:val="clear" w:color="auto" w:fill="FFFFFF"/>
        </w:rPr>
      </w:pPr>
      <w:r w:rsidRPr="002561D8">
        <w:rPr>
          <w:rFonts w:ascii="Times New Roman" w:hAnsi="Times New Roman" w:cs="Times New Roman"/>
          <w:color w:val="222222"/>
          <w:sz w:val="24"/>
          <w:szCs w:val="24"/>
          <w:shd w:val="clear" w:color="auto" w:fill="FFFFFF"/>
        </w:rPr>
        <w:t>Leković, M., 2018. Evidence for and against the validity of efficient market hypothesis. </w:t>
      </w:r>
      <w:r w:rsidRPr="002561D8">
        <w:rPr>
          <w:rFonts w:ascii="Times New Roman" w:hAnsi="Times New Roman" w:cs="Times New Roman"/>
          <w:i/>
          <w:iCs/>
          <w:color w:val="222222"/>
          <w:sz w:val="24"/>
          <w:szCs w:val="24"/>
          <w:shd w:val="clear" w:color="auto" w:fill="FFFFFF"/>
        </w:rPr>
        <w:t>Economic themes</w:t>
      </w:r>
      <w:r w:rsidRPr="002561D8">
        <w:rPr>
          <w:rFonts w:ascii="Times New Roman" w:hAnsi="Times New Roman" w:cs="Times New Roman"/>
          <w:color w:val="222222"/>
          <w:sz w:val="24"/>
          <w:szCs w:val="24"/>
          <w:shd w:val="clear" w:color="auto" w:fill="FFFFFF"/>
        </w:rPr>
        <w:t>, </w:t>
      </w:r>
      <w:r w:rsidRPr="002561D8">
        <w:rPr>
          <w:rFonts w:ascii="Times New Roman" w:hAnsi="Times New Roman" w:cs="Times New Roman"/>
          <w:i/>
          <w:iCs/>
          <w:color w:val="222222"/>
          <w:sz w:val="24"/>
          <w:szCs w:val="24"/>
          <w:shd w:val="clear" w:color="auto" w:fill="FFFFFF"/>
        </w:rPr>
        <w:t>56</w:t>
      </w:r>
      <w:r w:rsidRPr="002561D8">
        <w:rPr>
          <w:rFonts w:ascii="Times New Roman" w:hAnsi="Times New Roman" w:cs="Times New Roman"/>
          <w:color w:val="222222"/>
          <w:sz w:val="24"/>
          <w:szCs w:val="24"/>
          <w:shd w:val="clear" w:color="auto" w:fill="FFFFFF"/>
        </w:rPr>
        <w:t>(3), pp.369-387.</w:t>
      </w:r>
    </w:p>
    <w:p w14:paraId="2D3C35C9" w14:textId="77777777" w:rsidR="004F3B4D" w:rsidRDefault="004F3B4D" w:rsidP="004F3B4D">
      <w:pPr>
        <w:spacing w:line="360" w:lineRule="auto"/>
        <w:jc w:val="both"/>
        <w:rPr>
          <w:rFonts w:ascii="Times New Roman" w:hAnsi="Times New Roman" w:cs="Times New Roman"/>
          <w:color w:val="222222"/>
          <w:sz w:val="24"/>
          <w:szCs w:val="24"/>
          <w:shd w:val="clear" w:color="auto" w:fill="FFFFFF"/>
        </w:rPr>
      </w:pPr>
      <w:r w:rsidRPr="00F32A7F">
        <w:rPr>
          <w:rFonts w:ascii="Times New Roman" w:hAnsi="Times New Roman" w:cs="Times New Roman"/>
          <w:color w:val="222222"/>
          <w:sz w:val="24"/>
          <w:szCs w:val="24"/>
          <w:shd w:val="clear" w:color="auto" w:fill="FFFFFF"/>
        </w:rPr>
        <w:t>Liu, G., Yu, C.P., Shiu, S.N. and Shih, I.T., 2022. The Efficient Market Hypothesis and the Fractal Market Hypothesis: Interfluves, Fusions, and Evolutions. </w:t>
      </w:r>
      <w:r w:rsidRPr="00F32A7F">
        <w:rPr>
          <w:rFonts w:ascii="Times New Roman" w:hAnsi="Times New Roman" w:cs="Times New Roman"/>
          <w:i/>
          <w:iCs/>
          <w:color w:val="222222"/>
          <w:sz w:val="24"/>
          <w:szCs w:val="24"/>
          <w:shd w:val="clear" w:color="auto" w:fill="FFFFFF"/>
        </w:rPr>
        <w:t>Sage Open</w:t>
      </w:r>
      <w:r w:rsidRPr="00F32A7F">
        <w:rPr>
          <w:rFonts w:ascii="Times New Roman" w:hAnsi="Times New Roman" w:cs="Times New Roman"/>
          <w:color w:val="222222"/>
          <w:sz w:val="24"/>
          <w:szCs w:val="24"/>
          <w:shd w:val="clear" w:color="auto" w:fill="FFFFFF"/>
        </w:rPr>
        <w:t>, </w:t>
      </w:r>
      <w:r w:rsidRPr="00F32A7F">
        <w:rPr>
          <w:rFonts w:ascii="Times New Roman" w:hAnsi="Times New Roman" w:cs="Times New Roman"/>
          <w:i/>
          <w:iCs/>
          <w:color w:val="222222"/>
          <w:sz w:val="24"/>
          <w:szCs w:val="24"/>
          <w:shd w:val="clear" w:color="auto" w:fill="FFFFFF"/>
        </w:rPr>
        <w:t>12</w:t>
      </w:r>
      <w:r w:rsidRPr="00F32A7F">
        <w:rPr>
          <w:rFonts w:ascii="Times New Roman" w:hAnsi="Times New Roman" w:cs="Times New Roman"/>
          <w:color w:val="222222"/>
          <w:sz w:val="24"/>
          <w:szCs w:val="24"/>
          <w:shd w:val="clear" w:color="auto" w:fill="FFFFFF"/>
        </w:rPr>
        <w:t>(1), p.21582440221082137.</w:t>
      </w:r>
    </w:p>
    <w:p w14:paraId="79E83CC7" w14:textId="77777777" w:rsidR="004F3B4D" w:rsidRPr="00710969" w:rsidRDefault="004F3B4D" w:rsidP="004F3B4D">
      <w:pPr>
        <w:spacing w:line="360" w:lineRule="auto"/>
        <w:jc w:val="both"/>
        <w:rPr>
          <w:rFonts w:ascii="Times New Roman" w:hAnsi="Times New Roman" w:cs="Times New Roman"/>
          <w:color w:val="222222"/>
          <w:sz w:val="24"/>
          <w:szCs w:val="24"/>
          <w:shd w:val="clear" w:color="auto" w:fill="FFFFFF"/>
        </w:rPr>
      </w:pPr>
      <w:r w:rsidRPr="00710969">
        <w:rPr>
          <w:rFonts w:ascii="Times New Roman" w:hAnsi="Times New Roman" w:cs="Times New Roman"/>
          <w:color w:val="222222"/>
          <w:sz w:val="24"/>
          <w:szCs w:val="24"/>
          <w:shd w:val="clear" w:color="auto" w:fill="FFFFFF"/>
        </w:rPr>
        <w:t>Liyanage, I. and Walker, T., 2023. English teachers’ identity-agency and curriculum reform policies in the People’s Republic of China (PRC). </w:t>
      </w:r>
      <w:r w:rsidRPr="00710969">
        <w:rPr>
          <w:rFonts w:ascii="Times New Roman" w:hAnsi="Times New Roman" w:cs="Times New Roman"/>
          <w:i/>
          <w:iCs/>
          <w:color w:val="222222"/>
          <w:sz w:val="24"/>
          <w:szCs w:val="24"/>
          <w:shd w:val="clear" w:color="auto" w:fill="FFFFFF"/>
        </w:rPr>
        <w:t>Educational Research for Policy and Practice</w:t>
      </w:r>
      <w:r w:rsidRPr="00710969">
        <w:rPr>
          <w:rFonts w:ascii="Times New Roman" w:hAnsi="Times New Roman" w:cs="Times New Roman"/>
          <w:color w:val="222222"/>
          <w:sz w:val="24"/>
          <w:szCs w:val="24"/>
          <w:shd w:val="clear" w:color="auto" w:fill="FFFFFF"/>
        </w:rPr>
        <w:t>, pp.1-15.</w:t>
      </w:r>
    </w:p>
    <w:p w14:paraId="5D70998C" w14:textId="77777777" w:rsidR="004F3B4D" w:rsidRDefault="004F3B4D" w:rsidP="004F3B4D">
      <w:pPr>
        <w:spacing w:line="360" w:lineRule="auto"/>
        <w:jc w:val="both"/>
        <w:rPr>
          <w:rFonts w:ascii="Times New Roman" w:hAnsi="Times New Roman" w:cs="Times New Roman"/>
          <w:color w:val="222222"/>
          <w:sz w:val="24"/>
          <w:szCs w:val="24"/>
          <w:shd w:val="clear" w:color="auto" w:fill="FFFFFF"/>
        </w:rPr>
      </w:pPr>
      <w:r w:rsidRPr="001C4648">
        <w:rPr>
          <w:rFonts w:ascii="Times New Roman" w:hAnsi="Times New Roman" w:cs="Times New Roman"/>
          <w:color w:val="222222"/>
          <w:sz w:val="24"/>
          <w:szCs w:val="24"/>
          <w:shd w:val="clear" w:color="auto" w:fill="FFFFFF"/>
        </w:rPr>
        <w:lastRenderedPageBreak/>
        <w:t>Lui, A., 2016. </w:t>
      </w:r>
      <w:r w:rsidRPr="001C4648">
        <w:rPr>
          <w:rFonts w:ascii="Times New Roman" w:hAnsi="Times New Roman" w:cs="Times New Roman"/>
          <w:i/>
          <w:iCs/>
          <w:color w:val="222222"/>
          <w:sz w:val="24"/>
          <w:szCs w:val="24"/>
          <w:shd w:val="clear" w:color="auto" w:fill="FFFFFF"/>
        </w:rPr>
        <w:t>Financial stability and prudential regulation: A comparative approach to the UK, US, Canada, Australia and Germany</w:t>
      </w:r>
      <w:r w:rsidRPr="001C4648">
        <w:rPr>
          <w:rFonts w:ascii="Times New Roman" w:hAnsi="Times New Roman" w:cs="Times New Roman"/>
          <w:color w:val="222222"/>
          <w:sz w:val="24"/>
          <w:szCs w:val="24"/>
          <w:shd w:val="clear" w:color="auto" w:fill="FFFFFF"/>
        </w:rPr>
        <w:t>. Taylor &amp; Francis.</w:t>
      </w:r>
    </w:p>
    <w:p w14:paraId="43BF886B" w14:textId="77777777" w:rsidR="004F3B4D" w:rsidRDefault="004F3B4D" w:rsidP="004F3B4D">
      <w:pPr>
        <w:spacing w:line="360" w:lineRule="auto"/>
        <w:jc w:val="both"/>
        <w:rPr>
          <w:rFonts w:ascii="Times New Roman" w:hAnsi="Times New Roman" w:cs="Times New Roman"/>
          <w:color w:val="222222"/>
          <w:sz w:val="24"/>
          <w:szCs w:val="24"/>
          <w:shd w:val="clear" w:color="auto" w:fill="FFFFFF"/>
        </w:rPr>
      </w:pPr>
      <w:r w:rsidRPr="00710969">
        <w:rPr>
          <w:rFonts w:ascii="Times New Roman" w:hAnsi="Times New Roman" w:cs="Times New Roman"/>
          <w:color w:val="222222"/>
          <w:sz w:val="24"/>
          <w:szCs w:val="24"/>
          <w:shd w:val="clear" w:color="auto" w:fill="FFFFFF"/>
        </w:rPr>
        <w:t>Mashamba, T., 2018. The effects of Basel III liquidity regulations on banks’ profitability. </w:t>
      </w:r>
      <w:r w:rsidRPr="00710969">
        <w:rPr>
          <w:rFonts w:ascii="Times New Roman" w:hAnsi="Times New Roman" w:cs="Times New Roman"/>
          <w:i/>
          <w:iCs/>
          <w:color w:val="222222"/>
          <w:sz w:val="24"/>
          <w:szCs w:val="24"/>
          <w:shd w:val="clear" w:color="auto" w:fill="FFFFFF"/>
        </w:rPr>
        <w:t>Journal of governance &amp; regulation</w:t>
      </w:r>
      <w:r w:rsidRPr="00710969">
        <w:rPr>
          <w:rFonts w:ascii="Times New Roman" w:hAnsi="Times New Roman" w:cs="Times New Roman"/>
          <w:color w:val="222222"/>
          <w:sz w:val="24"/>
          <w:szCs w:val="24"/>
          <w:shd w:val="clear" w:color="auto" w:fill="FFFFFF"/>
        </w:rPr>
        <w:t>, (7, Iss. 2), pp.34-48.</w:t>
      </w:r>
    </w:p>
    <w:p w14:paraId="25E154AD" w14:textId="77777777" w:rsidR="004F3B4D" w:rsidRDefault="004F3B4D" w:rsidP="004F3B4D">
      <w:pPr>
        <w:tabs>
          <w:tab w:val="left" w:pos="7440"/>
        </w:tabs>
        <w:spacing w:line="360" w:lineRule="auto"/>
        <w:jc w:val="both"/>
        <w:rPr>
          <w:rFonts w:ascii="Times New Roman" w:hAnsi="Times New Roman" w:cs="Times New Roman"/>
          <w:color w:val="222222"/>
          <w:sz w:val="24"/>
          <w:szCs w:val="24"/>
          <w:shd w:val="clear" w:color="auto" w:fill="FFFFFF"/>
        </w:rPr>
      </w:pPr>
      <w:r w:rsidRPr="00E70AE6">
        <w:rPr>
          <w:rFonts w:ascii="Times New Roman" w:hAnsi="Times New Roman" w:cs="Times New Roman"/>
          <w:color w:val="222222"/>
          <w:sz w:val="24"/>
          <w:szCs w:val="24"/>
          <w:shd w:val="clear" w:color="auto" w:fill="FFFFFF"/>
        </w:rPr>
        <w:t>Mohanty, S.K., Akhigbe, A. and Basheikh, A., 2018. The Dodd-Frank Act and Basel III: Market-based risk implications for global systemically important banks (G-SIBs). </w:t>
      </w:r>
      <w:r w:rsidRPr="00E70AE6">
        <w:rPr>
          <w:rFonts w:ascii="Times New Roman" w:hAnsi="Times New Roman" w:cs="Times New Roman"/>
          <w:i/>
          <w:iCs/>
          <w:color w:val="222222"/>
          <w:sz w:val="24"/>
          <w:szCs w:val="24"/>
          <w:shd w:val="clear" w:color="auto" w:fill="FFFFFF"/>
        </w:rPr>
        <w:t>Journal of Multinational Financial Management</w:t>
      </w:r>
      <w:r w:rsidRPr="00E70AE6">
        <w:rPr>
          <w:rFonts w:ascii="Times New Roman" w:hAnsi="Times New Roman" w:cs="Times New Roman"/>
          <w:color w:val="222222"/>
          <w:sz w:val="24"/>
          <w:szCs w:val="24"/>
          <w:shd w:val="clear" w:color="auto" w:fill="FFFFFF"/>
        </w:rPr>
        <w:t>, </w:t>
      </w:r>
      <w:r w:rsidRPr="00E70AE6">
        <w:rPr>
          <w:rFonts w:ascii="Times New Roman" w:hAnsi="Times New Roman" w:cs="Times New Roman"/>
          <w:i/>
          <w:iCs/>
          <w:color w:val="222222"/>
          <w:sz w:val="24"/>
          <w:szCs w:val="24"/>
          <w:shd w:val="clear" w:color="auto" w:fill="FFFFFF"/>
        </w:rPr>
        <w:t>47</w:t>
      </w:r>
      <w:r w:rsidRPr="00E70AE6">
        <w:rPr>
          <w:rFonts w:ascii="Times New Roman" w:hAnsi="Times New Roman" w:cs="Times New Roman"/>
          <w:color w:val="222222"/>
          <w:sz w:val="24"/>
          <w:szCs w:val="24"/>
          <w:shd w:val="clear" w:color="auto" w:fill="FFFFFF"/>
        </w:rPr>
        <w:t>, pp.91-109.</w:t>
      </w:r>
    </w:p>
    <w:p w14:paraId="507A4897" w14:textId="77777777" w:rsidR="004F3B4D" w:rsidRDefault="004F3B4D" w:rsidP="004F3B4D">
      <w:pPr>
        <w:tabs>
          <w:tab w:val="left" w:pos="7125"/>
        </w:tabs>
        <w:spacing w:line="360" w:lineRule="auto"/>
        <w:jc w:val="both"/>
        <w:rPr>
          <w:rFonts w:ascii="Times New Roman" w:hAnsi="Times New Roman" w:cs="Times New Roman"/>
          <w:color w:val="222222"/>
          <w:sz w:val="24"/>
          <w:szCs w:val="24"/>
          <w:shd w:val="clear" w:color="auto" w:fill="FFFFFF"/>
        </w:rPr>
      </w:pPr>
      <w:r w:rsidRPr="002C6BF8">
        <w:rPr>
          <w:rFonts w:ascii="Times New Roman" w:hAnsi="Times New Roman" w:cs="Times New Roman"/>
          <w:color w:val="222222"/>
          <w:sz w:val="24"/>
          <w:szCs w:val="24"/>
          <w:shd w:val="clear" w:color="auto" w:fill="FFFFFF"/>
        </w:rPr>
        <w:t>Muñoz, S. and Soler, P., 2017. Basel III End Game. </w:t>
      </w:r>
      <w:r w:rsidRPr="002C6BF8">
        <w:rPr>
          <w:rFonts w:ascii="Times New Roman" w:hAnsi="Times New Roman" w:cs="Times New Roman"/>
          <w:i/>
          <w:iCs/>
          <w:color w:val="222222"/>
          <w:sz w:val="24"/>
          <w:szCs w:val="24"/>
          <w:shd w:val="clear" w:color="auto" w:fill="FFFFFF"/>
        </w:rPr>
        <w:t>Regulation</w:t>
      </w:r>
      <w:r w:rsidRPr="002C6BF8">
        <w:rPr>
          <w:rFonts w:ascii="Times New Roman" w:hAnsi="Times New Roman" w:cs="Times New Roman"/>
          <w:color w:val="222222"/>
          <w:sz w:val="24"/>
          <w:szCs w:val="24"/>
          <w:shd w:val="clear" w:color="auto" w:fill="FFFFFF"/>
        </w:rPr>
        <w:t>, </w:t>
      </w:r>
      <w:r w:rsidRPr="002C6BF8">
        <w:rPr>
          <w:rFonts w:ascii="Times New Roman" w:hAnsi="Times New Roman" w:cs="Times New Roman"/>
          <w:i/>
          <w:iCs/>
          <w:color w:val="222222"/>
          <w:sz w:val="24"/>
          <w:szCs w:val="24"/>
          <w:shd w:val="clear" w:color="auto" w:fill="FFFFFF"/>
        </w:rPr>
        <w:t>1</w:t>
      </w:r>
      <w:r w:rsidRPr="002C6BF8">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ab/>
      </w:r>
    </w:p>
    <w:p w14:paraId="7E3F973A" w14:textId="77777777" w:rsidR="004F3B4D" w:rsidRDefault="004F3B4D" w:rsidP="004F3B4D">
      <w:pPr>
        <w:spacing w:line="360" w:lineRule="auto"/>
        <w:jc w:val="both"/>
        <w:rPr>
          <w:rFonts w:ascii="Times New Roman" w:hAnsi="Times New Roman" w:cs="Times New Roman"/>
          <w:color w:val="222222"/>
          <w:sz w:val="24"/>
          <w:szCs w:val="24"/>
          <w:shd w:val="clear" w:color="auto" w:fill="FFFFFF"/>
        </w:rPr>
      </w:pPr>
      <w:r w:rsidRPr="00710969">
        <w:rPr>
          <w:rFonts w:ascii="Times New Roman" w:hAnsi="Times New Roman" w:cs="Times New Roman"/>
          <w:color w:val="222222"/>
          <w:sz w:val="24"/>
          <w:szCs w:val="24"/>
          <w:shd w:val="clear" w:color="auto" w:fill="FFFFFF"/>
        </w:rPr>
        <w:t>Muñoz, S. and Soler, P., 2017. Basel III End Game. </w:t>
      </w:r>
      <w:r w:rsidRPr="00710969">
        <w:rPr>
          <w:rFonts w:ascii="Times New Roman" w:hAnsi="Times New Roman" w:cs="Times New Roman"/>
          <w:i/>
          <w:iCs/>
          <w:color w:val="222222"/>
          <w:sz w:val="24"/>
          <w:szCs w:val="24"/>
          <w:shd w:val="clear" w:color="auto" w:fill="FFFFFF"/>
        </w:rPr>
        <w:t>Regulation</w:t>
      </w:r>
      <w:r w:rsidRPr="00710969">
        <w:rPr>
          <w:rFonts w:ascii="Times New Roman" w:hAnsi="Times New Roman" w:cs="Times New Roman"/>
          <w:color w:val="222222"/>
          <w:sz w:val="24"/>
          <w:szCs w:val="24"/>
          <w:shd w:val="clear" w:color="auto" w:fill="FFFFFF"/>
        </w:rPr>
        <w:t>, </w:t>
      </w:r>
      <w:r w:rsidRPr="00710969">
        <w:rPr>
          <w:rFonts w:ascii="Times New Roman" w:hAnsi="Times New Roman" w:cs="Times New Roman"/>
          <w:i/>
          <w:iCs/>
          <w:color w:val="222222"/>
          <w:sz w:val="24"/>
          <w:szCs w:val="24"/>
          <w:shd w:val="clear" w:color="auto" w:fill="FFFFFF"/>
        </w:rPr>
        <w:t>1</w:t>
      </w:r>
      <w:r w:rsidRPr="00710969">
        <w:rPr>
          <w:rFonts w:ascii="Times New Roman" w:hAnsi="Times New Roman" w:cs="Times New Roman"/>
          <w:color w:val="222222"/>
          <w:sz w:val="24"/>
          <w:szCs w:val="24"/>
          <w:shd w:val="clear" w:color="auto" w:fill="FFFFFF"/>
        </w:rPr>
        <w:t>.</w:t>
      </w:r>
    </w:p>
    <w:p w14:paraId="68998C1F" w14:textId="77777777" w:rsidR="004F3B4D" w:rsidRDefault="004F3B4D" w:rsidP="004F3B4D">
      <w:pPr>
        <w:tabs>
          <w:tab w:val="left" w:pos="7440"/>
        </w:tabs>
        <w:spacing w:line="360" w:lineRule="auto"/>
        <w:jc w:val="both"/>
        <w:rPr>
          <w:rFonts w:ascii="Times New Roman" w:hAnsi="Times New Roman" w:cs="Times New Roman"/>
          <w:color w:val="222222"/>
          <w:sz w:val="24"/>
          <w:szCs w:val="24"/>
          <w:shd w:val="clear" w:color="auto" w:fill="FFFFFF"/>
        </w:rPr>
      </w:pPr>
      <w:r w:rsidRPr="00B50A4C">
        <w:rPr>
          <w:rFonts w:ascii="Times New Roman" w:hAnsi="Times New Roman" w:cs="Times New Roman"/>
          <w:color w:val="222222"/>
          <w:sz w:val="24"/>
          <w:szCs w:val="24"/>
          <w:shd w:val="clear" w:color="auto" w:fill="FFFFFF"/>
        </w:rPr>
        <w:t>Okonjo, J., 2015. Assessing the Impact of the Extraterritorial Provisions of the European Markets Infrastructure Regulation (EMIR) on Emerging Economies' OTC Derivatives Markets: A Doctrine of Proportionality Perspective. </w:t>
      </w:r>
      <w:r w:rsidRPr="00B50A4C">
        <w:rPr>
          <w:rFonts w:ascii="Times New Roman" w:hAnsi="Times New Roman" w:cs="Times New Roman"/>
          <w:i/>
          <w:iCs/>
          <w:color w:val="222222"/>
          <w:sz w:val="24"/>
          <w:szCs w:val="24"/>
          <w:shd w:val="clear" w:color="auto" w:fill="FFFFFF"/>
        </w:rPr>
        <w:t>Indian J. Int'l Econ. L.</w:t>
      </w:r>
      <w:r w:rsidRPr="00B50A4C">
        <w:rPr>
          <w:rFonts w:ascii="Times New Roman" w:hAnsi="Times New Roman" w:cs="Times New Roman"/>
          <w:color w:val="222222"/>
          <w:sz w:val="24"/>
          <w:szCs w:val="24"/>
          <w:shd w:val="clear" w:color="auto" w:fill="FFFFFF"/>
        </w:rPr>
        <w:t>, </w:t>
      </w:r>
      <w:r w:rsidRPr="00B50A4C">
        <w:rPr>
          <w:rFonts w:ascii="Times New Roman" w:hAnsi="Times New Roman" w:cs="Times New Roman"/>
          <w:i/>
          <w:iCs/>
          <w:color w:val="222222"/>
          <w:sz w:val="24"/>
          <w:szCs w:val="24"/>
          <w:shd w:val="clear" w:color="auto" w:fill="FFFFFF"/>
        </w:rPr>
        <w:t>7</w:t>
      </w:r>
      <w:r w:rsidRPr="00B50A4C">
        <w:rPr>
          <w:rFonts w:ascii="Times New Roman" w:hAnsi="Times New Roman" w:cs="Times New Roman"/>
          <w:color w:val="222222"/>
          <w:sz w:val="24"/>
          <w:szCs w:val="24"/>
          <w:shd w:val="clear" w:color="auto" w:fill="FFFFFF"/>
        </w:rPr>
        <w:t>, p.1.</w:t>
      </w:r>
    </w:p>
    <w:p w14:paraId="65A16B6F" w14:textId="77777777" w:rsidR="004F3B4D" w:rsidRDefault="004F3B4D" w:rsidP="004F3B4D">
      <w:pPr>
        <w:tabs>
          <w:tab w:val="left" w:pos="7440"/>
        </w:tabs>
        <w:spacing w:line="360" w:lineRule="auto"/>
        <w:jc w:val="both"/>
        <w:rPr>
          <w:rFonts w:ascii="Times New Roman" w:hAnsi="Times New Roman" w:cs="Times New Roman"/>
          <w:sz w:val="24"/>
          <w:szCs w:val="24"/>
        </w:rPr>
      </w:pPr>
      <w:r w:rsidRPr="00E70AE6">
        <w:rPr>
          <w:rFonts w:ascii="Times New Roman" w:hAnsi="Times New Roman" w:cs="Times New Roman"/>
          <w:color w:val="222222"/>
          <w:sz w:val="24"/>
          <w:szCs w:val="24"/>
          <w:shd w:val="clear" w:color="auto" w:fill="FFFFFF"/>
        </w:rPr>
        <w:t>Pancotto, L., ap Gwilym, O. and Williams, J., 2019. The European bank recovery and resolution directive: A market assessment. </w:t>
      </w:r>
      <w:r w:rsidRPr="00E70AE6">
        <w:rPr>
          <w:rFonts w:ascii="Times New Roman" w:hAnsi="Times New Roman" w:cs="Times New Roman"/>
          <w:i/>
          <w:iCs/>
          <w:color w:val="222222"/>
          <w:sz w:val="24"/>
          <w:szCs w:val="24"/>
          <w:shd w:val="clear" w:color="auto" w:fill="FFFFFF"/>
        </w:rPr>
        <w:t>Journal of Financial Stability</w:t>
      </w:r>
      <w:r w:rsidRPr="00E70AE6">
        <w:rPr>
          <w:rFonts w:ascii="Times New Roman" w:hAnsi="Times New Roman" w:cs="Times New Roman"/>
          <w:color w:val="222222"/>
          <w:sz w:val="24"/>
          <w:szCs w:val="24"/>
          <w:shd w:val="clear" w:color="auto" w:fill="FFFFFF"/>
        </w:rPr>
        <w:t>, </w:t>
      </w:r>
      <w:r w:rsidRPr="00E70AE6">
        <w:rPr>
          <w:rFonts w:ascii="Times New Roman" w:hAnsi="Times New Roman" w:cs="Times New Roman"/>
          <w:i/>
          <w:iCs/>
          <w:color w:val="222222"/>
          <w:sz w:val="24"/>
          <w:szCs w:val="24"/>
          <w:shd w:val="clear" w:color="auto" w:fill="FFFFFF"/>
        </w:rPr>
        <w:t>44</w:t>
      </w:r>
      <w:r w:rsidRPr="00E70AE6">
        <w:rPr>
          <w:rFonts w:ascii="Times New Roman" w:hAnsi="Times New Roman" w:cs="Times New Roman"/>
          <w:color w:val="222222"/>
          <w:sz w:val="24"/>
          <w:szCs w:val="24"/>
          <w:shd w:val="clear" w:color="auto" w:fill="FFFFFF"/>
        </w:rPr>
        <w:t>, p.100689.</w:t>
      </w:r>
    </w:p>
    <w:p w14:paraId="7CA369EC" w14:textId="77777777" w:rsidR="004F3B4D" w:rsidRDefault="004F3B4D" w:rsidP="004F3B4D">
      <w:pPr>
        <w:tabs>
          <w:tab w:val="left" w:pos="8445"/>
        </w:tabs>
        <w:spacing w:line="360" w:lineRule="auto"/>
        <w:jc w:val="both"/>
        <w:rPr>
          <w:rFonts w:ascii="Times New Roman" w:hAnsi="Times New Roman" w:cs="Times New Roman"/>
          <w:sz w:val="24"/>
          <w:szCs w:val="24"/>
        </w:rPr>
      </w:pPr>
      <w:r w:rsidRPr="00B23799">
        <w:rPr>
          <w:rFonts w:ascii="Times New Roman" w:hAnsi="Times New Roman" w:cs="Times New Roman"/>
          <w:color w:val="222222"/>
          <w:sz w:val="24"/>
          <w:szCs w:val="24"/>
          <w:shd w:val="clear" w:color="auto" w:fill="FFFFFF"/>
        </w:rPr>
        <w:t>PLAN, E.A., 2013. PROSPERITY.</w:t>
      </w:r>
    </w:p>
    <w:p w14:paraId="24237274" w14:textId="77777777" w:rsidR="004F3B4D" w:rsidRDefault="004F3B4D" w:rsidP="004F3B4D">
      <w:pPr>
        <w:tabs>
          <w:tab w:val="left" w:pos="7440"/>
        </w:tabs>
        <w:spacing w:line="360" w:lineRule="auto"/>
        <w:jc w:val="both"/>
        <w:rPr>
          <w:rFonts w:ascii="Times New Roman" w:hAnsi="Times New Roman" w:cs="Times New Roman"/>
          <w:color w:val="222222"/>
          <w:sz w:val="24"/>
          <w:szCs w:val="24"/>
          <w:shd w:val="clear" w:color="auto" w:fill="FFFFFF"/>
        </w:rPr>
      </w:pPr>
      <w:r w:rsidRPr="00B50A4C">
        <w:rPr>
          <w:rFonts w:ascii="Times New Roman" w:hAnsi="Times New Roman" w:cs="Times New Roman"/>
          <w:color w:val="222222"/>
          <w:sz w:val="24"/>
          <w:szCs w:val="24"/>
          <w:shd w:val="clear" w:color="auto" w:fill="FFFFFF"/>
        </w:rPr>
        <w:t>Priem, R., 2022. A European distributed ledger technology pilot regime for market infrastructures: finding a balance between innovation, investor protection and financial stability. </w:t>
      </w:r>
      <w:r w:rsidRPr="00B50A4C">
        <w:rPr>
          <w:rFonts w:ascii="Times New Roman" w:hAnsi="Times New Roman" w:cs="Times New Roman"/>
          <w:i/>
          <w:iCs/>
          <w:color w:val="222222"/>
          <w:sz w:val="24"/>
          <w:szCs w:val="24"/>
          <w:shd w:val="clear" w:color="auto" w:fill="FFFFFF"/>
        </w:rPr>
        <w:t>Journal of Financial Regulation and Compliance</w:t>
      </w:r>
      <w:r w:rsidRPr="00B50A4C">
        <w:rPr>
          <w:rFonts w:ascii="Times New Roman" w:hAnsi="Times New Roman" w:cs="Times New Roman"/>
          <w:color w:val="222222"/>
          <w:sz w:val="24"/>
          <w:szCs w:val="24"/>
          <w:shd w:val="clear" w:color="auto" w:fill="FFFFFF"/>
        </w:rPr>
        <w:t>, </w:t>
      </w:r>
      <w:r w:rsidRPr="00B50A4C">
        <w:rPr>
          <w:rFonts w:ascii="Times New Roman" w:hAnsi="Times New Roman" w:cs="Times New Roman"/>
          <w:i/>
          <w:iCs/>
          <w:color w:val="222222"/>
          <w:sz w:val="24"/>
          <w:szCs w:val="24"/>
          <w:shd w:val="clear" w:color="auto" w:fill="FFFFFF"/>
        </w:rPr>
        <w:t>30</w:t>
      </w:r>
      <w:r w:rsidRPr="00B50A4C">
        <w:rPr>
          <w:rFonts w:ascii="Times New Roman" w:hAnsi="Times New Roman" w:cs="Times New Roman"/>
          <w:color w:val="222222"/>
          <w:sz w:val="24"/>
          <w:szCs w:val="24"/>
          <w:shd w:val="clear" w:color="auto" w:fill="FFFFFF"/>
        </w:rPr>
        <w:t>(3), pp.371-390.</w:t>
      </w:r>
    </w:p>
    <w:p w14:paraId="7EEA9F62" w14:textId="77777777" w:rsidR="004F3B4D" w:rsidRDefault="004F3B4D" w:rsidP="004F3B4D">
      <w:pPr>
        <w:spacing w:line="360" w:lineRule="auto"/>
        <w:jc w:val="both"/>
        <w:rPr>
          <w:rFonts w:ascii="Times New Roman" w:hAnsi="Times New Roman" w:cs="Times New Roman"/>
          <w:sz w:val="24"/>
          <w:szCs w:val="24"/>
        </w:rPr>
      </w:pPr>
      <w:r w:rsidRPr="009151B1">
        <w:rPr>
          <w:rFonts w:ascii="Times New Roman" w:hAnsi="Times New Roman" w:cs="Times New Roman"/>
          <w:sz w:val="24"/>
          <w:szCs w:val="24"/>
        </w:rPr>
        <w:t>Priem, R., 2022. A European distributed ledger technology pilot regime for market infrastructures: finding a balance between innovation, investor protection and financial stability. Journal of Financial Regulation and Compliance, 30(3), pp.371-390.</w:t>
      </w:r>
    </w:p>
    <w:p w14:paraId="09F16B3D" w14:textId="77777777" w:rsidR="004F3B4D" w:rsidRPr="00710969" w:rsidRDefault="004F3B4D" w:rsidP="004F3B4D">
      <w:pPr>
        <w:spacing w:line="360" w:lineRule="auto"/>
        <w:jc w:val="both"/>
        <w:rPr>
          <w:rFonts w:ascii="Times New Roman" w:hAnsi="Times New Roman" w:cs="Times New Roman"/>
          <w:color w:val="222222"/>
          <w:sz w:val="24"/>
          <w:szCs w:val="24"/>
          <w:shd w:val="clear" w:color="auto" w:fill="FFFFFF"/>
        </w:rPr>
      </w:pPr>
      <w:r w:rsidRPr="00710969">
        <w:rPr>
          <w:rFonts w:ascii="Times New Roman" w:hAnsi="Times New Roman" w:cs="Times New Roman"/>
          <w:color w:val="222222"/>
          <w:sz w:val="24"/>
          <w:szCs w:val="24"/>
          <w:shd w:val="clear" w:color="auto" w:fill="FFFFFF"/>
        </w:rPr>
        <w:t>Rejeb, A., Keogh, J.G. and Treiblmaier, H., 2019. Leveraging the internet of things and blockchain technology in supply chain management. </w:t>
      </w:r>
      <w:r w:rsidRPr="00710969">
        <w:rPr>
          <w:rFonts w:ascii="Times New Roman" w:hAnsi="Times New Roman" w:cs="Times New Roman"/>
          <w:i/>
          <w:iCs/>
          <w:color w:val="222222"/>
          <w:sz w:val="24"/>
          <w:szCs w:val="24"/>
          <w:shd w:val="clear" w:color="auto" w:fill="FFFFFF"/>
        </w:rPr>
        <w:t>Future Internet</w:t>
      </w:r>
      <w:r w:rsidRPr="00710969">
        <w:rPr>
          <w:rFonts w:ascii="Times New Roman" w:hAnsi="Times New Roman" w:cs="Times New Roman"/>
          <w:color w:val="222222"/>
          <w:sz w:val="24"/>
          <w:szCs w:val="24"/>
          <w:shd w:val="clear" w:color="auto" w:fill="FFFFFF"/>
        </w:rPr>
        <w:t>, </w:t>
      </w:r>
      <w:r w:rsidRPr="00710969">
        <w:rPr>
          <w:rFonts w:ascii="Times New Roman" w:hAnsi="Times New Roman" w:cs="Times New Roman"/>
          <w:i/>
          <w:iCs/>
          <w:color w:val="222222"/>
          <w:sz w:val="24"/>
          <w:szCs w:val="24"/>
          <w:shd w:val="clear" w:color="auto" w:fill="FFFFFF"/>
        </w:rPr>
        <w:t>11</w:t>
      </w:r>
      <w:r w:rsidRPr="00710969">
        <w:rPr>
          <w:rFonts w:ascii="Times New Roman" w:hAnsi="Times New Roman" w:cs="Times New Roman"/>
          <w:color w:val="222222"/>
          <w:sz w:val="24"/>
          <w:szCs w:val="24"/>
          <w:shd w:val="clear" w:color="auto" w:fill="FFFFFF"/>
        </w:rPr>
        <w:t>(7), p.161.</w:t>
      </w:r>
    </w:p>
    <w:p w14:paraId="0DABC7B9" w14:textId="77777777" w:rsidR="004F3B4D" w:rsidRDefault="004F3B4D" w:rsidP="004F3B4D">
      <w:pPr>
        <w:spacing w:line="360" w:lineRule="auto"/>
        <w:jc w:val="both"/>
        <w:rPr>
          <w:rFonts w:ascii="Times New Roman" w:hAnsi="Times New Roman" w:cs="Times New Roman"/>
          <w:color w:val="222222"/>
          <w:sz w:val="24"/>
          <w:szCs w:val="24"/>
          <w:shd w:val="clear" w:color="auto" w:fill="FFFFFF"/>
        </w:rPr>
      </w:pPr>
      <w:r w:rsidRPr="00183B60">
        <w:rPr>
          <w:rFonts w:ascii="Times New Roman" w:hAnsi="Times New Roman" w:cs="Times New Roman"/>
          <w:color w:val="222222"/>
          <w:sz w:val="24"/>
          <w:szCs w:val="24"/>
          <w:shd w:val="clear" w:color="auto" w:fill="FFFFFF"/>
        </w:rPr>
        <w:t>Renuart, E. and Keest, K., 2012. Integrity and Accountability in the Secondary Mortgage Market. </w:t>
      </w:r>
      <w:r w:rsidRPr="00183B60">
        <w:rPr>
          <w:rFonts w:ascii="Times New Roman" w:hAnsi="Times New Roman" w:cs="Times New Roman"/>
          <w:i/>
          <w:iCs/>
          <w:color w:val="222222"/>
          <w:sz w:val="24"/>
          <w:szCs w:val="24"/>
          <w:shd w:val="clear" w:color="auto" w:fill="FFFFFF"/>
        </w:rPr>
        <w:t>Hamline L. Rev.</w:t>
      </w:r>
      <w:r w:rsidRPr="00183B60">
        <w:rPr>
          <w:rFonts w:ascii="Times New Roman" w:hAnsi="Times New Roman" w:cs="Times New Roman"/>
          <w:color w:val="222222"/>
          <w:sz w:val="24"/>
          <w:szCs w:val="24"/>
          <w:shd w:val="clear" w:color="auto" w:fill="FFFFFF"/>
        </w:rPr>
        <w:t>, </w:t>
      </w:r>
      <w:r w:rsidRPr="00183B60">
        <w:rPr>
          <w:rFonts w:ascii="Times New Roman" w:hAnsi="Times New Roman" w:cs="Times New Roman"/>
          <w:i/>
          <w:iCs/>
          <w:color w:val="222222"/>
          <w:sz w:val="24"/>
          <w:szCs w:val="24"/>
          <w:shd w:val="clear" w:color="auto" w:fill="FFFFFF"/>
        </w:rPr>
        <w:t>35</w:t>
      </w:r>
      <w:r w:rsidRPr="00183B60">
        <w:rPr>
          <w:rFonts w:ascii="Times New Roman" w:hAnsi="Times New Roman" w:cs="Times New Roman"/>
          <w:color w:val="222222"/>
          <w:sz w:val="24"/>
          <w:szCs w:val="24"/>
          <w:shd w:val="clear" w:color="auto" w:fill="FFFFFF"/>
        </w:rPr>
        <w:t>, p.487.</w:t>
      </w:r>
    </w:p>
    <w:p w14:paraId="1219BF67" w14:textId="77777777" w:rsidR="004F3B4D" w:rsidRDefault="004F3B4D" w:rsidP="004F3B4D">
      <w:pPr>
        <w:spacing w:line="360" w:lineRule="auto"/>
        <w:jc w:val="both"/>
        <w:rPr>
          <w:rFonts w:ascii="Times New Roman" w:hAnsi="Times New Roman" w:cs="Times New Roman"/>
          <w:color w:val="222222"/>
          <w:sz w:val="24"/>
          <w:szCs w:val="24"/>
          <w:shd w:val="clear" w:color="auto" w:fill="FFFFFF"/>
        </w:rPr>
      </w:pPr>
      <w:r w:rsidRPr="002C6BF8">
        <w:rPr>
          <w:rFonts w:ascii="Times New Roman" w:hAnsi="Times New Roman" w:cs="Times New Roman"/>
          <w:color w:val="222222"/>
          <w:sz w:val="24"/>
          <w:szCs w:val="24"/>
          <w:shd w:val="clear" w:color="auto" w:fill="FFFFFF"/>
        </w:rPr>
        <w:lastRenderedPageBreak/>
        <w:t>Roulet, C., 2018. Basel III: Effects of capital and liquidity regulations on European bank lending. </w:t>
      </w:r>
      <w:r w:rsidRPr="002C6BF8">
        <w:rPr>
          <w:rFonts w:ascii="Times New Roman" w:hAnsi="Times New Roman" w:cs="Times New Roman"/>
          <w:i/>
          <w:iCs/>
          <w:color w:val="222222"/>
          <w:sz w:val="24"/>
          <w:szCs w:val="24"/>
          <w:shd w:val="clear" w:color="auto" w:fill="FFFFFF"/>
        </w:rPr>
        <w:t>Journal of Economics and Business</w:t>
      </w:r>
      <w:r w:rsidRPr="002C6BF8">
        <w:rPr>
          <w:rFonts w:ascii="Times New Roman" w:hAnsi="Times New Roman" w:cs="Times New Roman"/>
          <w:color w:val="222222"/>
          <w:sz w:val="24"/>
          <w:szCs w:val="24"/>
          <w:shd w:val="clear" w:color="auto" w:fill="FFFFFF"/>
        </w:rPr>
        <w:t>, </w:t>
      </w:r>
      <w:r w:rsidRPr="002C6BF8">
        <w:rPr>
          <w:rFonts w:ascii="Times New Roman" w:hAnsi="Times New Roman" w:cs="Times New Roman"/>
          <w:i/>
          <w:iCs/>
          <w:color w:val="222222"/>
          <w:sz w:val="24"/>
          <w:szCs w:val="24"/>
          <w:shd w:val="clear" w:color="auto" w:fill="FFFFFF"/>
        </w:rPr>
        <w:t>95</w:t>
      </w:r>
      <w:r w:rsidRPr="002C6BF8">
        <w:rPr>
          <w:rFonts w:ascii="Times New Roman" w:hAnsi="Times New Roman" w:cs="Times New Roman"/>
          <w:color w:val="222222"/>
          <w:sz w:val="24"/>
          <w:szCs w:val="24"/>
          <w:shd w:val="clear" w:color="auto" w:fill="FFFFFF"/>
        </w:rPr>
        <w:t>, pp.26-46.</w:t>
      </w:r>
    </w:p>
    <w:p w14:paraId="00D098EE" w14:textId="77777777" w:rsidR="004F3B4D" w:rsidRDefault="004F3B4D" w:rsidP="004F3B4D">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Russo</w:t>
      </w:r>
      <w:r w:rsidRPr="001C4648">
        <w:rPr>
          <w:rFonts w:ascii="Times New Roman" w:hAnsi="Times New Roman" w:cs="Times New Roman"/>
          <w:color w:val="222222"/>
          <w:sz w:val="24"/>
          <w:szCs w:val="24"/>
          <w:shd w:val="clear" w:color="auto" w:fill="FFFFFF"/>
        </w:rPr>
        <w:t>, C., 2016. The Ethics of Banking and Financial Regulatory Authorities: a study of the Bank of England, the Prudential Regulation Authority, the Monetary Policy Committee and the Financial Conduct Authority.</w:t>
      </w:r>
    </w:p>
    <w:p w14:paraId="5D879303" w14:textId="77777777" w:rsidR="004F3B4D" w:rsidRDefault="004F3B4D" w:rsidP="004F3B4D">
      <w:pPr>
        <w:tabs>
          <w:tab w:val="left" w:pos="7440"/>
        </w:tabs>
        <w:spacing w:line="360" w:lineRule="auto"/>
        <w:jc w:val="both"/>
        <w:rPr>
          <w:rFonts w:ascii="Times New Roman" w:hAnsi="Times New Roman" w:cs="Times New Roman"/>
          <w:sz w:val="24"/>
          <w:szCs w:val="24"/>
        </w:rPr>
      </w:pPr>
      <w:r w:rsidRPr="00B50A4C">
        <w:rPr>
          <w:rFonts w:ascii="Times New Roman" w:hAnsi="Times New Roman" w:cs="Times New Roman"/>
          <w:color w:val="222222"/>
          <w:sz w:val="24"/>
          <w:szCs w:val="24"/>
          <w:shd w:val="clear" w:color="auto" w:fill="FFFFFF"/>
        </w:rPr>
        <w:t>Salazar, M., 2014. Swapping More than Regulations: Reexamining the Goals of the Dodd-Frank Act and the European Market Infrastructure Regulation on Over-the-Counter Derivative Markets. </w:t>
      </w:r>
      <w:r w:rsidRPr="00B50A4C">
        <w:rPr>
          <w:rFonts w:ascii="Times New Roman" w:hAnsi="Times New Roman" w:cs="Times New Roman"/>
          <w:i/>
          <w:iCs/>
          <w:color w:val="222222"/>
          <w:sz w:val="24"/>
          <w:szCs w:val="24"/>
          <w:shd w:val="clear" w:color="auto" w:fill="FFFFFF"/>
        </w:rPr>
        <w:t>Sw. J. Int'l L.</w:t>
      </w:r>
      <w:r w:rsidRPr="00B50A4C">
        <w:rPr>
          <w:rFonts w:ascii="Times New Roman" w:hAnsi="Times New Roman" w:cs="Times New Roman"/>
          <w:color w:val="222222"/>
          <w:sz w:val="24"/>
          <w:szCs w:val="24"/>
          <w:shd w:val="clear" w:color="auto" w:fill="FFFFFF"/>
        </w:rPr>
        <w:t>, </w:t>
      </w:r>
      <w:r w:rsidRPr="00B50A4C">
        <w:rPr>
          <w:rFonts w:ascii="Times New Roman" w:hAnsi="Times New Roman" w:cs="Times New Roman"/>
          <w:i/>
          <w:iCs/>
          <w:color w:val="222222"/>
          <w:sz w:val="24"/>
          <w:szCs w:val="24"/>
          <w:shd w:val="clear" w:color="auto" w:fill="FFFFFF"/>
        </w:rPr>
        <w:t>21</w:t>
      </w:r>
      <w:r w:rsidRPr="00B50A4C">
        <w:rPr>
          <w:rFonts w:ascii="Times New Roman" w:hAnsi="Times New Roman" w:cs="Times New Roman"/>
          <w:color w:val="222222"/>
          <w:sz w:val="24"/>
          <w:szCs w:val="24"/>
          <w:shd w:val="clear" w:color="auto" w:fill="FFFFFF"/>
        </w:rPr>
        <w:t>, p.217.</w:t>
      </w:r>
    </w:p>
    <w:p w14:paraId="351FCEE8" w14:textId="77777777" w:rsidR="004F3B4D" w:rsidRPr="004C4F6F" w:rsidRDefault="004F3B4D" w:rsidP="004F3B4D">
      <w:pPr>
        <w:tabs>
          <w:tab w:val="left" w:pos="495"/>
        </w:tabs>
        <w:spacing w:line="360" w:lineRule="auto"/>
        <w:jc w:val="both"/>
        <w:rPr>
          <w:rFonts w:ascii="Times New Roman" w:hAnsi="Times New Roman" w:cs="Times New Roman"/>
          <w:sz w:val="24"/>
          <w:szCs w:val="24"/>
        </w:rPr>
      </w:pPr>
      <w:r w:rsidRPr="004C4F6F">
        <w:rPr>
          <w:rFonts w:ascii="Times New Roman" w:hAnsi="Times New Roman" w:cs="Times New Roman"/>
          <w:color w:val="222222"/>
          <w:sz w:val="24"/>
          <w:szCs w:val="24"/>
          <w:shd w:val="clear" w:color="auto" w:fill="FFFFFF"/>
        </w:rPr>
        <w:t>Shatz, S. and Angelo, J., 2014. The Consumer Financial Protection Bureau's Ability-to-Repay/Qualified Mortgage Rule. </w:t>
      </w:r>
      <w:r w:rsidRPr="004C4F6F">
        <w:rPr>
          <w:rFonts w:ascii="Times New Roman" w:hAnsi="Times New Roman" w:cs="Times New Roman"/>
          <w:i/>
          <w:iCs/>
          <w:color w:val="222222"/>
          <w:sz w:val="24"/>
          <w:szCs w:val="24"/>
          <w:shd w:val="clear" w:color="auto" w:fill="FFFFFF"/>
        </w:rPr>
        <w:t>The Business Lawyer</w:t>
      </w:r>
      <w:r w:rsidRPr="004C4F6F">
        <w:rPr>
          <w:rFonts w:ascii="Times New Roman" w:hAnsi="Times New Roman" w:cs="Times New Roman"/>
          <w:color w:val="222222"/>
          <w:sz w:val="24"/>
          <w:szCs w:val="24"/>
          <w:shd w:val="clear" w:color="auto" w:fill="FFFFFF"/>
        </w:rPr>
        <w:t>, </w:t>
      </w:r>
      <w:r w:rsidRPr="004C4F6F">
        <w:rPr>
          <w:rFonts w:ascii="Times New Roman" w:hAnsi="Times New Roman" w:cs="Times New Roman"/>
          <w:i/>
          <w:iCs/>
          <w:color w:val="222222"/>
          <w:sz w:val="24"/>
          <w:szCs w:val="24"/>
          <w:shd w:val="clear" w:color="auto" w:fill="FFFFFF"/>
        </w:rPr>
        <w:t>69</w:t>
      </w:r>
      <w:r w:rsidRPr="004C4F6F">
        <w:rPr>
          <w:rFonts w:ascii="Times New Roman" w:hAnsi="Times New Roman" w:cs="Times New Roman"/>
          <w:color w:val="222222"/>
          <w:sz w:val="24"/>
          <w:szCs w:val="24"/>
          <w:shd w:val="clear" w:color="auto" w:fill="FFFFFF"/>
        </w:rPr>
        <w:t>(2), pp.539-549.</w:t>
      </w:r>
    </w:p>
    <w:p w14:paraId="2051600B" w14:textId="77777777" w:rsidR="004F3B4D" w:rsidRPr="00BE1FB8" w:rsidRDefault="004F3B4D" w:rsidP="004F3B4D">
      <w:pPr>
        <w:spacing w:line="360" w:lineRule="auto"/>
        <w:jc w:val="both"/>
        <w:rPr>
          <w:rFonts w:ascii="Times New Roman" w:hAnsi="Times New Roman" w:cs="Times New Roman"/>
          <w:sz w:val="24"/>
          <w:szCs w:val="24"/>
        </w:rPr>
      </w:pPr>
      <w:r w:rsidRPr="00BE1FB8">
        <w:rPr>
          <w:rFonts w:ascii="Times New Roman" w:hAnsi="Times New Roman" w:cs="Times New Roman"/>
          <w:color w:val="222222"/>
          <w:sz w:val="24"/>
          <w:szCs w:val="24"/>
          <w:shd w:val="clear" w:color="auto" w:fill="FFFFFF"/>
        </w:rPr>
        <w:t>Shu-Acquaye, F., 2016. Dodd-Frank Wall Street Reform and Consumer Protection Act: The Evolution of Whistleblower Protections, Employment Contracts and Mandatory Arbitration Agreements. </w:t>
      </w:r>
      <w:r w:rsidRPr="00BE1FB8">
        <w:rPr>
          <w:rFonts w:ascii="Times New Roman" w:hAnsi="Times New Roman" w:cs="Times New Roman"/>
          <w:i/>
          <w:iCs/>
          <w:color w:val="222222"/>
          <w:sz w:val="24"/>
          <w:szCs w:val="24"/>
          <w:shd w:val="clear" w:color="auto" w:fill="FFFFFF"/>
        </w:rPr>
        <w:t>DePaul Bus. &amp; Comm. LJ</w:t>
      </w:r>
      <w:r w:rsidRPr="00BE1FB8">
        <w:rPr>
          <w:rFonts w:ascii="Times New Roman" w:hAnsi="Times New Roman" w:cs="Times New Roman"/>
          <w:color w:val="222222"/>
          <w:sz w:val="24"/>
          <w:szCs w:val="24"/>
          <w:shd w:val="clear" w:color="auto" w:fill="FFFFFF"/>
        </w:rPr>
        <w:t>, </w:t>
      </w:r>
      <w:r w:rsidRPr="00BE1FB8">
        <w:rPr>
          <w:rFonts w:ascii="Times New Roman" w:hAnsi="Times New Roman" w:cs="Times New Roman"/>
          <w:i/>
          <w:iCs/>
          <w:color w:val="222222"/>
          <w:sz w:val="24"/>
          <w:szCs w:val="24"/>
          <w:shd w:val="clear" w:color="auto" w:fill="FFFFFF"/>
        </w:rPr>
        <w:t>15</w:t>
      </w:r>
      <w:r w:rsidRPr="00BE1FB8">
        <w:rPr>
          <w:rFonts w:ascii="Times New Roman" w:hAnsi="Times New Roman" w:cs="Times New Roman"/>
          <w:color w:val="222222"/>
          <w:sz w:val="24"/>
          <w:szCs w:val="24"/>
          <w:shd w:val="clear" w:color="auto" w:fill="FFFFFF"/>
        </w:rPr>
        <w:t>, p.127.</w:t>
      </w:r>
    </w:p>
    <w:p w14:paraId="6CDE3D97" w14:textId="77777777" w:rsidR="004F3B4D" w:rsidRDefault="004F3B4D" w:rsidP="004F3B4D">
      <w:pPr>
        <w:tabs>
          <w:tab w:val="left" w:pos="7440"/>
        </w:tabs>
        <w:spacing w:line="360" w:lineRule="auto"/>
        <w:jc w:val="both"/>
        <w:rPr>
          <w:rFonts w:ascii="Times New Roman" w:hAnsi="Times New Roman" w:cs="Times New Roman"/>
          <w:color w:val="222222"/>
          <w:sz w:val="24"/>
          <w:szCs w:val="24"/>
          <w:shd w:val="clear" w:color="auto" w:fill="FFFFFF"/>
        </w:rPr>
      </w:pPr>
      <w:r w:rsidRPr="00934709">
        <w:rPr>
          <w:rFonts w:ascii="Times New Roman" w:hAnsi="Times New Roman" w:cs="Times New Roman"/>
          <w:color w:val="222222"/>
          <w:sz w:val="24"/>
          <w:szCs w:val="24"/>
          <w:shd w:val="clear" w:color="auto" w:fill="FFFFFF"/>
        </w:rPr>
        <w:t>Steinwand, M.C. and Stone, R.W., 2008. The International Monetary Fund: A review of the recent evidence. </w:t>
      </w:r>
      <w:r w:rsidRPr="00934709">
        <w:rPr>
          <w:rFonts w:ascii="Times New Roman" w:hAnsi="Times New Roman" w:cs="Times New Roman"/>
          <w:i/>
          <w:iCs/>
          <w:color w:val="222222"/>
          <w:sz w:val="24"/>
          <w:szCs w:val="24"/>
          <w:shd w:val="clear" w:color="auto" w:fill="FFFFFF"/>
        </w:rPr>
        <w:t>The Review of International Organizations</w:t>
      </w:r>
      <w:r w:rsidRPr="00934709">
        <w:rPr>
          <w:rFonts w:ascii="Times New Roman" w:hAnsi="Times New Roman" w:cs="Times New Roman"/>
          <w:color w:val="222222"/>
          <w:sz w:val="24"/>
          <w:szCs w:val="24"/>
          <w:shd w:val="clear" w:color="auto" w:fill="FFFFFF"/>
        </w:rPr>
        <w:t>, </w:t>
      </w:r>
      <w:r w:rsidRPr="00934709">
        <w:rPr>
          <w:rFonts w:ascii="Times New Roman" w:hAnsi="Times New Roman" w:cs="Times New Roman"/>
          <w:i/>
          <w:iCs/>
          <w:color w:val="222222"/>
          <w:sz w:val="24"/>
          <w:szCs w:val="24"/>
          <w:shd w:val="clear" w:color="auto" w:fill="FFFFFF"/>
        </w:rPr>
        <w:t>3</w:t>
      </w:r>
      <w:r w:rsidRPr="00934709">
        <w:rPr>
          <w:rFonts w:ascii="Times New Roman" w:hAnsi="Times New Roman" w:cs="Times New Roman"/>
          <w:color w:val="222222"/>
          <w:sz w:val="24"/>
          <w:szCs w:val="24"/>
          <w:shd w:val="clear" w:color="auto" w:fill="FFFFFF"/>
        </w:rPr>
        <w:t>, pp.123-149.</w:t>
      </w:r>
    </w:p>
    <w:p w14:paraId="24EDC185" w14:textId="77777777" w:rsidR="004F3B4D" w:rsidRDefault="004F3B4D" w:rsidP="004F3B4D">
      <w:pPr>
        <w:tabs>
          <w:tab w:val="left" w:pos="7440"/>
        </w:tabs>
        <w:spacing w:line="360" w:lineRule="auto"/>
        <w:jc w:val="both"/>
        <w:rPr>
          <w:rFonts w:ascii="Times New Roman" w:hAnsi="Times New Roman" w:cs="Times New Roman"/>
          <w:color w:val="222222"/>
          <w:sz w:val="24"/>
          <w:szCs w:val="24"/>
          <w:shd w:val="clear" w:color="auto" w:fill="FFFFFF"/>
        </w:rPr>
      </w:pPr>
      <w:r w:rsidRPr="00B50A4C">
        <w:rPr>
          <w:rFonts w:ascii="Times New Roman" w:hAnsi="Times New Roman" w:cs="Times New Roman"/>
          <w:color w:val="222222"/>
          <w:sz w:val="24"/>
          <w:szCs w:val="24"/>
          <w:shd w:val="clear" w:color="auto" w:fill="FFFFFF"/>
        </w:rPr>
        <w:t>Stiller, D., Dammert, C. and Joehnk, P., 2013. Risk Management and the European Market Infrastructure Regulation (EMIR). </w:t>
      </w:r>
      <w:r w:rsidRPr="00B50A4C">
        <w:rPr>
          <w:rFonts w:ascii="Times New Roman" w:hAnsi="Times New Roman" w:cs="Times New Roman"/>
          <w:i/>
          <w:iCs/>
          <w:color w:val="222222"/>
          <w:sz w:val="24"/>
          <w:szCs w:val="24"/>
          <w:shd w:val="clear" w:color="auto" w:fill="FFFFFF"/>
        </w:rPr>
        <w:t>Research Papers Faculty of Materials Science and Technology Slovak University of Technology</w:t>
      </w:r>
      <w:r w:rsidRPr="00B50A4C">
        <w:rPr>
          <w:rFonts w:ascii="Times New Roman" w:hAnsi="Times New Roman" w:cs="Times New Roman"/>
          <w:color w:val="222222"/>
          <w:sz w:val="24"/>
          <w:szCs w:val="24"/>
          <w:shd w:val="clear" w:color="auto" w:fill="FFFFFF"/>
        </w:rPr>
        <w:t>, </w:t>
      </w:r>
      <w:r w:rsidRPr="00B50A4C">
        <w:rPr>
          <w:rFonts w:ascii="Times New Roman" w:hAnsi="Times New Roman" w:cs="Times New Roman"/>
          <w:i/>
          <w:iCs/>
          <w:color w:val="222222"/>
          <w:sz w:val="24"/>
          <w:szCs w:val="24"/>
          <w:shd w:val="clear" w:color="auto" w:fill="FFFFFF"/>
        </w:rPr>
        <w:t>21</w:t>
      </w:r>
      <w:r w:rsidRPr="00B50A4C">
        <w:rPr>
          <w:rFonts w:ascii="Times New Roman" w:hAnsi="Times New Roman" w:cs="Times New Roman"/>
          <w:color w:val="222222"/>
          <w:sz w:val="24"/>
          <w:szCs w:val="24"/>
          <w:shd w:val="clear" w:color="auto" w:fill="FFFFFF"/>
        </w:rPr>
        <w:t>(Special-Issue), pp.150-154.</w:t>
      </w:r>
    </w:p>
    <w:p w14:paraId="5025C1F0" w14:textId="77777777" w:rsidR="004F3B4D" w:rsidRDefault="004F3B4D" w:rsidP="004F3B4D">
      <w:pPr>
        <w:spacing w:line="360" w:lineRule="auto"/>
        <w:jc w:val="both"/>
        <w:rPr>
          <w:rFonts w:ascii="Times New Roman" w:hAnsi="Times New Roman" w:cs="Times New Roman"/>
          <w:color w:val="222222"/>
          <w:sz w:val="24"/>
          <w:szCs w:val="24"/>
          <w:shd w:val="clear" w:color="auto" w:fill="FFFFFF"/>
        </w:rPr>
      </w:pPr>
      <w:r w:rsidRPr="00BE1FB8">
        <w:rPr>
          <w:rFonts w:ascii="Times New Roman" w:hAnsi="Times New Roman" w:cs="Times New Roman"/>
          <w:color w:val="222222"/>
          <w:sz w:val="24"/>
          <w:szCs w:val="24"/>
          <w:shd w:val="clear" w:color="auto" w:fill="FFFFFF"/>
        </w:rPr>
        <w:t>Townend, D. and Walker, S.D., 2020, August. A 3D statistical framework for the UK’s mobile network. In </w:t>
      </w:r>
      <w:r w:rsidRPr="00BE1FB8">
        <w:rPr>
          <w:rFonts w:ascii="Times New Roman" w:hAnsi="Times New Roman" w:cs="Times New Roman"/>
          <w:i/>
          <w:iCs/>
          <w:color w:val="222222"/>
          <w:sz w:val="24"/>
          <w:szCs w:val="24"/>
          <w:shd w:val="clear" w:color="auto" w:fill="FFFFFF"/>
        </w:rPr>
        <w:t>2020 IEEE 31st Annual International Symposium on Personal, Indoor and Mobile Radio Communications</w:t>
      </w:r>
      <w:r w:rsidRPr="00BE1FB8">
        <w:rPr>
          <w:rFonts w:ascii="Times New Roman" w:hAnsi="Times New Roman" w:cs="Times New Roman"/>
          <w:color w:val="222222"/>
          <w:sz w:val="24"/>
          <w:szCs w:val="24"/>
          <w:shd w:val="clear" w:color="auto" w:fill="FFFFFF"/>
        </w:rPr>
        <w:t> (pp. 1-5). IEEE.</w:t>
      </w:r>
    </w:p>
    <w:p w14:paraId="538DFDFC" w14:textId="77777777" w:rsidR="004F3B4D" w:rsidRDefault="004F3B4D" w:rsidP="004F3B4D">
      <w:pPr>
        <w:tabs>
          <w:tab w:val="left" w:pos="7440"/>
        </w:tabs>
        <w:spacing w:line="360" w:lineRule="auto"/>
        <w:jc w:val="both"/>
        <w:rPr>
          <w:rFonts w:ascii="Times New Roman" w:hAnsi="Times New Roman" w:cs="Times New Roman"/>
          <w:color w:val="222222"/>
          <w:sz w:val="24"/>
          <w:szCs w:val="24"/>
          <w:shd w:val="clear" w:color="auto" w:fill="FFFFFF"/>
        </w:rPr>
      </w:pPr>
      <w:r w:rsidRPr="00E70AE6">
        <w:rPr>
          <w:rFonts w:ascii="Times New Roman" w:hAnsi="Times New Roman" w:cs="Times New Roman"/>
          <w:color w:val="222222"/>
          <w:sz w:val="24"/>
          <w:szCs w:val="24"/>
          <w:shd w:val="clear" w:color="auto" w:fill="FFFFFF"/>
        </w:rPr>
        <w:t>Tröger, T.H., 2018. Too complex to work: a critical assessment of the bail-in tool under the European bank recovery and resolution regime. </w:t>
      </w:r>
      <w:r w:rsidRPr="00E70AE6">
        <w:rPr>
          <w:rFonts w:ascii="Times New Roman" w:hAnsi="Times New Roman" w:cs="Times New Roman"/>
          <w:i/>
          <w:iCs/>
          <w:color w:val="222222"/>
          <w:sz w:val="24"/>
          <w:szCs w:val="24"/>
          <w:shd w:val="clear" w:color="auto" w:fill="FFFFFF"/>
        </w:rPr>
        <w:t>Journal of Financial Regulation</w:t>
      </w:r>
      <w:r w:rsidRPr="00E70AE6">
        <w:rPr>
          <w:rFonts w:ascii="Times New Roman" w:hAnsi="Times New Roman" w:cs="Times New Roman"/>
          <w:color w:val="222222"/>
          <w:sz w:val="24"/>
          <w:szCs w:val="24"/>
          <w:shd w:val="clear" w:color="auto" w:fill="FFFFFF"/>
        </w:rPr>
        <w:t>, </w:t>
      </w:r>
      <w:r w:rsidRPr="00E70AE6">
        <w:rPr>
          <w:rFonts w:ascii="Times New Roman" w:hAnsi="Times New Roman" w:cs="Times New Roman"/>
          <w:i/>
          <w:iCs/>
          <w:color w:val="222222"/>
          <w:sz w:val="24"/>
          <w:szCs w:val="24"/>
          <w:shd w:val="clear" w:color="auto" w:fill="FFFFFF"/>
        </w:rPr>
        <w:t>4</w:t>
      </w:r>
      <w:r w:rsidRPr="00E70AE6">
        <w:rPr>
          <w:rFonts w:ascii="Times New Roman" w:hAnsi="Times New Roman" w:cs="Times New Roman"/>
          <w:color w:val="222222"/>
          <w:sz w:val="24"/>
          <w:szCs w:val="24"/>
          <w:shd w:val="clear" w:color="auto" w:fill="FFFFFF"/>
        </w:rPr>
        <w:t>(1), pp.35-72.</w:t>
      </w:r>
    </w:p>
    <w:p w14:paraId="095598AC" w14:textId="77777777" w:rsidR="004F3B4D" w:rsidRDefault="004F3B4D" w:rsidP="004F3B4D">
      <w:pPr>
        <w:tabs>
          <w:tab w:val="left" w:pos="7440"/>
        </w:tabs>
        <w:spacing w:line="360" w:lineRule="auto"/>
        <w:jc w:val="both"/>
        <w:rPr>
          <w:rFonts w:ascii="Times New Roman" w:hAnsi="Times New Roman" w:cs="Times New Roman"/>
          <w:color w:val="222222"/>
          <w:sz w:val="24"/>
          <w:szCs w:val="24"/>
          <w:shd w:val="clear" w:color="auto" w:fill="FFFFFF"/>
        </w:rPr>
      </w:pPr>
      <w:r w:rsidRPr="00934709">
        <w:rPr>
          <w:rFonts w:ascii="Times New Roman" w:hAnsi="Times New Roman" w:cs="Times New Roman"/>
          <w:color w:val="222222"/>
          <w:sz w:val="24"/>
          <w:szCs w:val="24"/>
          <w:shd w:val="clear" w:color="auto" w:fill="FFFFFF"/>
        </w:rPr>
        <w:t>Truman, E.M., 2005, September. International Monetary Fund Reform: An Overview of the Issues. In </w:t>
      </w:r>
      <w:r w:rsidRPr="00934709">
        <w:rPr>
          <w:rFonts w:ascii="Times New Roman" w:hAnsi="Times New Roman" w:cs="Times New Roman"/>
          <w:i/>
          <w:iCs/>
          <w:color w:val="222222"/>
          <w:sz w:val="24"/>
          <w:szCs w:val="24"/>
          <w:shd w:val="clear" w:color="auto" w:fill="FFFFFF"/>
        </w:rPr>
        <w:t>IIE conference on “IMF Reform,” Institute for International Economics, Washington, DC, August</w:t>
      </w:r>
      <w:r w:rsidRPr="00934709">
        <w:rPr>
          <w:rFonts w:ascii="Times New Roman" w:hAnsi="Times New Roman" w:cs="Times New Roman"/>
          <w:color w:val="222222"/>
          <w:sz w:val="24"/>
          <w:szCs w:val="24"/>
          <w:shd w:val="clear" w:color="auto" w:fill="FFFFFF"/>
        </w:rPr>
        <w:t>.</w:t>
      </w:r>
    </w:p>
    <w:p w14:paraId="33CEB615" w14:textId="77777777" w:rsidR="004F3B4D" w:rsidRDefault="004F3B4D" w:rsidP="004F3B4D">
      <w:pPr>
        <w:spacing w:line="360" w:lineRule="auto"/>
        <w:jc w:val="both"/>
        <w:rPr>
          <w:rFonts w:ascii="Times New Roman" w:hAnsi="Times New Roman" w:cs="Times New Roman"/>
          <w:color w:val="222222"/>
          <w:sz w:val="24"/>
          <w:szCs w:val="24"/>
          <w:shd w:val="clear" w:color="auto" w:fill="FFFFFF"/>
        </w:rPr>
      </w:pPr>
      <w:r w:rsidRPr="001C4648">
        <w:rPr>
          <w:rFonts w:ascii="Times New Roman" w:hAnsi="Times New Roman" w:cs="Times New Roman"/>
          <w:color w:val="222222"/>
          <w:sz w:val="24"/>
          <w:szCs w:val="24"/>
          <w:shd w:val="clear" w:color="auto" w:fill="FFFFFF"/>
        </w:rPr>
        <w:lastRenderedPageBreak/>
        <w:t>Vatamanescu, E.M., Nistoreanu, B.G. and Mitan, A., 2017. Competition and consumer behavior in the context of the digital economy. </w:t>
      </w:r>
      <w:r w:rsidRPr="001C4648">
        <w:rPr>
          <w:rFonts w:ascii="Times New Roman" w:hAnsi="Times New Roman" w:cs="Times New Roman"/>
          <w:i/>
          <w:iCs/>
          <w:color w:val="222222"/>
          <w:sz w:val="24"/>
          <w:szCs w:val="24"/>
          <w:shd w:val="clear" w:color="auto" w:fill="FFFFFF"/>
        </w:rPr>
        <w:t>Amfiteatru Economic</w:t>
      </w:r>
      <w:r w:rsidRPr="001C4648">
        <w:rPr>
          <w:rFonts w:ascii="Times New Roman" w:hAnsi="Times New Roman" w:cs="Times New Roman"/>
          <w:color w:val="222222"/>
          <w:sz w:val="24"/>
          <w:szCs w:val="24"/>
          <w:shd w:val="clear" w:color="auto" w:fill="FFFFFF"/>
        </w:rPr>
        <w:t>, </w:t>
      </w:r>
      <w:r w:rsidRPr="001C4648">
        <w:rPr>
          <w:rFonts w:ascii="Times New Roman" w:hAnsi="Times New Roman" w:cs="Times New Roman"/>
          <w:i/>
          <w:iCs/>
          <w:color w:val="222222"/>
          <w:sz w:val="24"/>
          <w:szCs w:val="24"/>
          <w:shd w:val="clear" w:color="auto" w:fill="FFFFFF"/>
        </w:rPr>
        <w:t>19</w:t>
      </w:r>
      <w:r w:rsidRPr="001C4648">
        <w:rPr>
          <w:rFonts w:ascii="Times New Roman" w:hAnsi="Times New Roman" w:cs="Times New Roman"/>
          <w:color w:val="222222"/>
          <w:sz w:val="24"/>
          <w:szCs w:val="24"/>
          <w:shd w:val="clear" w:color="auto" w:fill="FFFFFF"/>
        </w:rPr>
        <w:t>(45), p.354.</w:t>
      </w:r>
    </w:p>
    <w:p w14:paraId="1C2C14EE" w14:textId="77777777" w:rsidR="004F3B4D" w:rsidRDefault="004F3B4D" w:rsidP="004F3B4D">
      <w:pPr>
        <w:spacing w:line="360" w:lineRule="auto"/>
        <w:jc w:val="both"/>
        <w:rPr>
          <w:rFonts w:ascii="Times New Roman" w:hAnsi="Times New Roman" w:cs="Times New Roman"/>
          <w:color w:val="222222"/>
          <w:sz w:val="24"/>
          <w:szCs w:val="24"/>
          <w:shd w:val="clear" w:color="auto" w:fill="FFFFFF"/>
        </w:rPr>
      </w:pPr>
      <w:r w:rsidRPr="001C4648">
        <w:rPr>
          <w:rFonts w:ascii="Times New Roman" w:hAnsi="Times New Roman" w:cs="Times New Roman"/>
          <w:color w:val="222222"/>
          <w:sz w:val="24"/>
          <w:szCs w:val="24"/>
          <w:shd w:val="clear" w:color="auto" w:fill="FFFFFF"/>
        </w:rPr>
        <w:t>Wesemann, A., 2016. The Abolition of Deposit Insurance. A Modest Proposal for Banking Reform. </w:t>
      </w:r>
      <w:r w:rsidRPr="001C4648">
        <w:rPr>
          <w:rFonts w:ascii="Times New Roman" w:hAnsi="Times New Roman" w:cs="Times New Roman"/>
          <w:i/>
          <w:iCs/>
          <w:color w:val="222222"/>
          <w:sz w:val="24"/>
          <w:szCs w:val="24"/>
          <w:shd w:val="clear" w:color="auto" w:fill="FFFFFF"/>
        </w:rPr>
        <w:t>A Modest Proposal for Banking Reform (January 14, 2016). The Abolition of Deposit Insurance. A Modest Proposal for Banking Reform, Centre for Policy Studies</w:t>
      </w:r>
      <w:r w:rsidRPr="001C4648">
        <w:rPr>
          <w:rFonts w:ascii="Times New Roman" w:hAnsi="Times New Roman" w:cs="Times New Roman"/>
          <w:color w:val="222222"/>
          <w:sz w:val="24"/>
          <w:szCs w:val="24"/>
          <w:shd w:val="clear" w:color="auto" w:fill="FFFFFF"/>
        </w:rPr>
        <w:t>.</w:t>
      </w:r>
    </w:p>
    <w:p w14:paraId="622BA502" w14:textId="77777777" w:rsidR="004F3B4D" w:rsidRDefault="004F3B4D" w:rsidP="004F3B4D">
      <w:pPr>
        <w:spacing w:line="360" w:lineRule="auto"/>
        <w:jc w:val="both"/>
        <w:rPr>
          <w:rFonts w:ascii="Times New Roman" w:hAnsi="Times New Roman" w:cs="Times New Roman"/>
          <w:color w:val="222222"/>
          <w:sz w:val="24"/>
          <w:szCs w:val="24"/>
          <w:shd w:val="clear" w:color="auto" w:fill="FFFFFF"/>
        </w:rPr>
      </w:pPr>
      <w:r w:rsidRPr="009151B1">
        <w:rPr>
          <w:rFonts w:ascii="Times New Roman" w:hAnsi="Times New Roman" w:cs="Times New Roman"/>
          <w:color w:val="222222"/>
          <w:sz w:val="24"/>
          <w:szCs w:val="24"/>
          <w:shd w:val="clear" w:color="auto" w:fill="FFFFFF"/>
        </w:rPr>
        <w:t>Zerbib, O.D., 2022. A sustainable capital asset pricing model (S-CAPM): Evidence from environmental integration and sin stock exclusion. </w:t>
      </w:r>
      <w:r w:rsidRPr="009151B1">
        <w:rPr>
          <w:rFonts w:ascii="Times New Roman" w:hAnsi="Times New Roman" w:cs="Times New Roman"/>
          <w:i/>
          <w:iCs/>
          <w:color w:val="222222"/>
          <w:sz w:val="24"/>
          <w:szCs w:val="24"/>
          <w:shd w:val="clear" w:color="auto" w:fill="FFFFFF"/>
        </w:rPr>
        <w:t>Review of Finance</w:t>
      </w:r>
      <w:r w:rsidRPr="009151B1">
        <w:rPr>
          <w:rFonts w:ascii="Times New Roman" w:hAnsi="Times New Roman" w:cs="Times New Roman"/>
          <w:color w:val="222222"/>
          <w:sz w:val="24"/>
          <w:szCs w:val="24"/>
          <w:shd w:val="clear" w:color="auto" w:fill="FFFFFF"/>
        </w:rPr>
        <w:t>, </w:t>
      </w:r>
      <w:r w:rsidRPr="009151B1">
        <w:rPr>
          <w:rFonts w:ascii="Times New Roman" w:hAnsi="Times New Roman" w:cs="Times New Roman"/>
          <w:i/>
          <w:iCs/>
          <w:color w:val="222222"/>
          <w:sz w:val="24"/>
          <w:szCs w:val="24"/>
          <w:shd w:val="clear" w:color="auto" w:fill="FFFFFF"/>
        </w:rPr>
        <w:t>26</w:t>
      </w:r>
      <w:r w:rsidRPr="009151B1">
        <w:rPr>
          <w:rFonts w:ascii="Times New Roman" w:hAnsi="Times New Roman" w:cs="Times New Roman"/>
          <w:color w:val="222222"/>
          <w:sz w:val="24"/>
          <w:szCs w:val="24"/>
          <w:shd w:val="clear" w:color="auto" w:fill="FFFFFF"/>
        </w:rPr>
        <w:t>(6), pp.1345-1388.</w:t>
      </w:r>
    </w:p>
    <w:p w14:paraId="3F66208F" w14:textId="77777777" w:rsidR="004F3B4D" w:rsidRPr="00192B87" w:rsidRDefault="004F3B4D" w:rsidP="004F3B4D">
      <w:pPr>
        <w:spacing w:line="360" w:lineRule="auto"/>
        <w:jc w:val="both"/>
        <w:rPr>
          <w:rFonts w:ascii="Times New Roman" w:hAnsi="Times New Roman" w:cs="Times New Roman"/>
          <w:sz w:val="24"/>
          <w:szCs w:val="24"/>
        </w:rPr>
      </w:pPr>
    </w:p>
    <w:p w14:paraId="4BFBD7D4" w14:textId="77777777" w:rsidR="00192B87" w:rsidRPr="00192B87" w:rsidRDefault="00192B87" w:rsidP="004F3B4D">
      <w:pPr>
        <w:spacing w:line="360" w:lineRule="auto"/>
        <w:jc w:val="both"/>
        <w:rPr>
          <w:rFonts w:ascii="Times New Roman" w:hAnsi="Times New Roman" w:cs="Times New Roman"/>
          <w:sz w:val="24"/>
          <w:szCs w:val="24"/>
        </w:rPr>
      </w:pPr>
    </w:p>
    <w:p w14:paraId="1793BD9B" w14:textId="77777777" w:rsidR="00192B87" w:rsidRPr="00192B87" w:rsidRDefault="00192B87" w:rsidP="004F3B4D">
      <w:pPr>
        <w:spacing w:line="360" w:lineRule="auto"/>
        <w:jc w:val="both"/>
        <w:rPr>
          <w:rFonts w:ascii="Times New Roman" w:hAnsi="Times New Roman" w:cs="Times New Roman"/>
          <w:sz w:val="24"/>
          <w:szCs w:val="24"/>
        </w:rPr>
      </w:pPr>
    </w:p>
    <w:p w14:paraId="19DD91C4" w14:textId="77777777" w:rsidR="00192B87" w:rsidRPr="00192B87" w:rsidRDefault="00192B87" w:rsidP="004F3B4D">
      <w:pPr>
        <w:spacing w:line="360" w:lineRule="auto"/>
        <w:jc w:val="both"/>
        <w:rPr>
          <w:rFonts w:ascii="Times New Roman" w:hAnsi="Times New Roman" w:cs="Times New Roman"/>
          <w:sz w:val="24"/>
          <w:szCs w:val="24"/>
        </w:rPr>
      </w:pPr>
    </w:p>
    <w:p w14:paraId="642DD75B" w14:textId="77777777" w:rsidR="00C25337" w:rsidRPr="00192B87" w:rsidRDefault="00C25337" w:rsidP="004F3B4D">
      <w:pPr>
        <w:spacing w:line="360" w:lineRule="auto"/>
        <w:jc w:val="both"/>
        <w:rPr>
          <w:rFonts w:ascii="Times New Roman" w:hAnsi="Times New Roman" w:cs="Times New Roman"/>
          <w:b/>
          <w:sz w:val="24"/>
          <w:szCs w:val="24"/>
        </w:rPr>
      </w:pPr>
    </w:p>
    <w:p w14:paraId="4DAB9F04" w14:textId="77777777" w:rsidR="00C25337" w:rsidRPr="00C25337" w:rsidRDefault="00C25337" w:rsidP="004F3B4D">
      <w:pPr>
        <w:spacing w:line="360" w:lineRule="auto"/>
        <w:jc w:val="both"/>
        <w:rPr>
          <w:rFonts w:ascii="Times New Roman" w:hAnsi="Times New Roman" w:cs="Times New Roman"/>
          <w:b/>
          <w:sz w:val="24"/>
          <w:szCs w:val="24"/>
        </w:rPr>
      </w:pPr>
    </w:p>
    <w:p w14:paraId="4C0037F1" w14:textId="77777777" w:rsidR="007D2B84" w:rsidRPr="007D2B84" w:rsidRDefault="007D2B84" w:rsidP="004F3B4D">
      <w:pPr>
        <w:spacing w:line="360" w:lineRule="auto"/>
        <w:jc w:val="both"/>
        <w:rPr>
          <w:rFonts w:ascii="Times New Roman" w:hAnsi="Times New Roman" w:cs="Times New Roman"/>
          <w:sz w:val="24"/>
          <w:szCs w:val="24"/>
        </w:rPr>
      </w:pPr>
    </w:p>
    <w:p w14:paraId="3F6EEA13" w14:textId="77777777" w:rsidR="007D2B84" w:rsidRPr="007D2B84" w:rsidRDefault="007D2B84" w:rsidP="004F3B4D">
      <w:pPr>
        <w:spacing w:line="360" w:lineRule="auto"/>
        <w:jc w:val="both"/>
        <w:rPr>
          <w:rFonts w:ascii="Times New Roman" w:hAnsi="Times New Roman" w:cs="Times New Roman"/>
          <w:sz w:val="24"/>
          <w:szCs w:val="24"/>
        </w:rPr>
      </w:pPr>
    </w:p>
    <w:p w14:paraId="1D16A65C" w14:textId="77777777" w:rsidR="007D2B84" w:rsidRPr="007D2B84" w:rsidRDefault="007D2B84" w:rsidP="004F3B4D">
      <w:pPr>
        <w:spacing w:line="360" w:lineRule="auto"/>
        <w:jc w:val="both"/>
        <w:rPr>
          <w:rFonts w:ascii="Times New Roman" w:hAnsi="Times New Roman" w:cs="Times New Roman"/>
          <w:sz w:val="24"/>
          <w:szCs w:val="24"/>
        </w:rPr>
      </w:pPr>
    </w:p>
    <w:p w14:paraId="08F8C788" w14:textId="77777777" w:rsidR="00D85AC4" w:rsidRPr="00D85AC4" w:rsidRDefault="00D85AC4" w:rsidP="004F3B4D">
      <w:pPr>
        <w:spacing w:line="360" w:lineRule="auto"/>
        <w:jc w:val="both"/>
        <w:rPr>
          <w:rFonts w:ascii="Times New Roman" w:hAnsi="Times New Roman" w:cs="Times New Roman"/>
          <w:sz w:val="24"/>
          <w:szCs w:val="24"/>
        </w:rPr>
      </w:pPr>
    </w:p>
    <w:p w14:paraId="4B0B510C" w14:textId="77777777" w:rsidR="00AB10D1" w:rsidRPr="00AB10D1" w:rsidRDefault="00AB10D1" w:rsidP="004F3B4D">
      <w:pPr>
        <w:spacing w:line="360" w:lineRule="auto"/>
        <w:jc w:val="both"/>
        <w:rPr>
          <w:rFonts w:ascii="Times New Roman" w:hAnsi="Times New Roman" w:cs="Times New Roman"/>
          <w:sz w:val="24"/>
          <w:szCs w:val="24"/>
        </w:rPr>
      </w:pPr>
    </w:p>
    <w:p w14:paraId="0C310C62" w14:textId="77777777" w:rsidR="00AB10D1" w:rsidRPr="00AB10D1" w:rsidRDefault="00AB10D1" w:rsidP="004F3B4D">
      <w:pPr>
        <w:spacing w:line="360" w:lineRule="auto"/>
        <w:jc w:val="both"/>
        <w:rPr>
          <w:rFonts w:ascii="Times New Roman" w:hAnsi="Times New Roman" w:cs="Times New Roman"/>
          <w:sz w:val="24"/>
          <w:szCs w:val="24"/>
        </w:rPr>
      </w:pPr>
    </w:p>
    <w:p w14:paraId="50B4C8F8" w14:textId="77777777" w:rsidR="004202CF" w:rsidRPr="00AB10D1" w:rsidRDefault="004202CF" w:rsidP="004F3B4D">
      <w:pPr>
        <w:spacing w:line="360" w:lineRule="auto"/>
        <w:jc w:val="both"/>
        <w:rPr>
          <w:rFonts w:ascii="Times New Roman" w:hAnsi="Times New Roman" w:cs="Times New Roman"/>
          <w:sz w:val="24"/>
          <w:szCs w:val="24"/>
        </w:rPr>
      </w:pPr>
    </w:p>
    <w:sectPr w:rsidR="004202CF" w:rsidRPr="00AB10D1" w:rsidSect="004202C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C436B"/>
    <w:multiLevelType w:val="multilevel"/>
    <w:tmpl w:val="42F2C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B7298D"/>
    <w:multiLevelType w:val="multilevel"/>
    <w:tmpl w:val="7EF64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D636E5"/>
    <w:multiLevelType w:val="multilevel"/>
    <w:tmpl w:val="497C9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68766D0"/>
    <w:multiLevelType w:val="multilevel"/>
    <w:tmpl w:val="219CB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58056197">
    <w:abstractNumId w:val="3"/>
  </w:num>
  <w:num w:numId="2" w16cid:durableId="601883787">
    <w:abstractNumId w:val="0"/>
  </w:num>
  <w:num w:numId="3" w16cid:durableId="1532646602">
    <w:abstractNumId w:val="1"/>
  </w:num>
  <w:num w:numId="4" w16cid:durableId="18810452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0D1"/>
    <w:rsid w:val="00007DCC"/>
    <w:rsid w:val="00023431"/>
    <w:rsid w:val="00052628"/>
    <w:rsid w:val="000850C2"/>
    <w:rsid w:val="000B4198"/>
    <w:rsid w:val="000C6542"/>
    <w:rsid w:val="000E0056"/>
    <w:rsid w:val="00192B87"/>
    <w:rsid w:val="001C3229"/>
    <w:rsid w:val="00202332"/>
    <w:rsid w:val="00226937"/>
    <w:rsid w:val="00241165"/>
    <w:rsid w:val="0024550A"/>
    <w:rsid w:val="00262CD9"/>
    <w:rsid w:val="0026329D"/>
    <w:rsid w:val="00286591"/>
    <w:rsid w:val="002D4814"/>
    <w:rsid w:val="002F78C9"/>
    <w:rsid w:val="0030701E"/>
    <w:rsid w:val="00325987"/>
    <w:rsid w:val="00325C9B"/>
    <w:rsid w:val="003274D6"/>
    <w:rsid w:val="003638AC"/>
    <w:rsid w:val="003713FE"/>
    <w:rsid w:val="003C0CDC"/>
    <w:rsid w:val="00400254"/>
    <w:rsid w:val="004123DE"/>
    <w:rsid w:val="004202CF"/>
    <w:rsid w:val="004A4BEC"/>
    <w:rsid w:val="004F302C"/>
    <w:rsid w:val="004F3B4D"/>
    <w:rsid w:val="00502B0E"/>
    <w:rsid w:val="005136A8"/>
    <w:rsid w:val="00557155"/>
    <w:rsid w:val="00561557"/>
    <w:rsid w:val="00580A89"/>
    <w:rsid w:val="00583EF5"/>
    <w:rsid w:val="005930A2"/>
    <w:rsid w:val="005B5937"/>
    <w:rsid w:val="005D5298"/>
    <w:rsid w:val="00620290"/>
    <w:rsid w:val="006375CE"/>
    <w:rsid w:val="006415FD"/>
    <w:rsid w:val="0064205B"/>
    <w:rsid w:val="006E2C02"/>
    <w:rsid w:val="007D2B84"/>
    <w:rsid w:val="007E4B0C"/>
    <w:rsid w:val="008167F9"/>
    <w:rsid w:val="00826B9D"/>
    <w:rsid w:val="0088624B"/>
    <w:rsid w:val="008C7F69"/>
    <w:rsid w:val="008D32EE"/>
    <w:rsid w:val="008F1D53"/>
    <w:rsid w:val="0094542D"/>
    <w:rsid w:val="00980C57"/>
    <w:rsid w:val="009A178D"/>
    <w:rsid w:val="009A3B82"/>
    <w:rsid w:val="00A37BB3"/>
    <w:rsid w:val="00A669BE"/>
    <w:rsid w:val="00A75958"/>
    <w:rsid w:val="00A81E3C"/>
    <w:rsid w:val="00A85928"/>
    <w:rsid w:val="00A86BA7"/>
    <w:rsid w:val="00AA6E56"/>
    <w:rsid w:val="00AB10D1"/>
    <w:rsid w:val="00B07535"/>
    <w:rsid w:val="00B562B8"/>
    <w:rsid w:val="00BA0450"/>
    <w:rsid w:val="00BA364A"/>
    <w:rsid w:val="00C02B1B"/>
    <w:rsid w:val="00C10F76"/>
    <w:rsid w:val="00C25337"/>
    <w:rsid w:val="00C30C3F"/>
    <w:rsid w:val="00D06065"/>
    <w:rsid w:val="00D1061F"/>
    <w:rsid w:val="00D85AC4"/>
    <w:rsid w:val="00DF6AB9"/>
    <w:rsid w:val="00F00D62"/>
    <w:rsid w:val="00F0376D"/>
    <w:rsid w:val="00F4339A"/>
    <w:rsid w:val="00FA4B27"/>
    <w:rsid w:val="00FF70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AF124"/>
  <w15:docId w15:val="{532E41D1-DB22-4EEB-8EEA-09A3715C4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2CF"/>
  </w:style>
  <w:style w:type="paragraph" w:styleId="Heading1">
    <w:name w:val="heading 1"/>
    <w:basedOn w:val="Normal"/>
    <w:next w:val="Normal"/>
    <w:link w:val="Heading1Char"/>
    <w:uiPriority w:val="9"/>
    <w:qFormat/>
    <w:rsid w:val="004F3B4D"/>
    <w:pPr>
      <w:keepNext/>
      <w:keepLines/>
      <w:spacing w:before="480" w:after="0" w:line="360" w:lineRule="auto"/>
      <w:jc w:val="both"/>
      <w:outlineLvl w:val="0"/>
    </w:pPr>
    <w:rPr>
      <w:rFonts w:ascii="Times New Roman" w:eastAsiaTheme="majorEastAsia" w:hAnsi="Times New Roman" w:cstheme="majorBidi"/>
      <w:b/>
      <w:bCs/>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713F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713FE"/>
    <w:rPr>
      <w:b/>
      <w:bCs/>
    </w:rPr>
  </w:style>
  <w:style w:type="paragraph" w:styleId="z-TopofForm">
    <w:name w:val="HTML Top of Form"/>
    <w:basedOn w:val="Normal"/>
    <w:next w:val="Normal"/>
    <w:link w:val="z-TopofFormChar"/>
    <w:hidden/>
    <w:uiPriority w:val="99"/>
    <w:semiHidden/>
    <w:unhideWhenUsed/>
    <w:rsid w:val="003713FE"/>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3713FE"/>
    <w:rPr>
      <w:rFonts w:ascii="Arial" w:eastAsia="Times New Roman" w:hAnsi="Arial" w:cs="Arial"/>
      <w:vanish/>
      <w:sz w:val="16"/>
      <w:szCs w:val="16"/>
    </w:rPr>
  </w:style>
  <w:style w:type="paragraph" w:styleId="ListParagraph">
    <w:name w:val="List Paragraph"/>
    <w:basedOn w:val="Normal"/>
    <w:uiPriority w:val="34"/>
    <w:qFormat/>
    <w:rsid w:val="000E0056"/>
    <w:pPr>
      <w:ind w:left="720"/>
      <w:contextualSpacing/>
    </w:pPr>
  </w:style>
  <w:style w:type="character" w:customStyle="1" w:styleId="Heading1Char">
    <w:name w:val="Heading 1 Char"/>
    <w:basedOn w:val="DefaultParagraphFont"/>
    <w:link w:val="Heading1"/>
    <w:uiPriority w:val="9"/>
    <w:rsid w:val="004F3B4D"/>
    <w:rPr>
      <w:rFonts w:ascii="Times New Roman" w:eastAsiaTheme="majorEastAsia" w:hAnsi="Times New Roman" w:cstheme="majorBidi"/>
      <w:b/>
      <w:bCs/>
      <w:sz w:val="26"/>
      <w:szCs w:val="28"/>
    </w:rPr>
  </w:style>
  <w:style w:type="paragraph" w:styleId="TOCHeading">
    <w:name w:val="TOC Heading"/>
    <w:basedOn w:val="Heading1"/>
    <w:next w:val="Normal"/>
    <w:uiPriority w:val="39"/>
    <w:semiHidden/>
    <w:unhideWhenUsed/>
    <w:qFormat/>
    <w:rsid w:val="00C02B1B"/>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C02B1B"/>
    <w:pPr>
      <w:spacing w:after="100"/>
    </w:pPr>
  </w:style>
  <w:style w:type="character" w:styleId="Hyperlink">
    <w:name w:val="Hyperlink"/>
    <w:basedOn w:val="DefaultParagraphFont"/>
    <w:uiPriority w:val="99"/>
    <w:unhideWhenUsed/>
    <w:rsid w:val="00C02B1B"/>
    <w:rPr>
      <w:color w:val="0000FF" w:themeColor="hyperlink"/>
      <w:u w:val="single"/>
    </w:rPr>
  </w:style>
  <w:style w:type="paragraph" w:styleId="BalloonText">
    <w:name w:val="Balloon Text"/>
    <w:basedOn w:val="Normal"/>
    <w:link w:val="BalloonTextChar"/>
    <w:uiPriority w:val="99"/>
    <w:semiHidden/>
    <w:unhideWhenUsed/>
    <w:rsid w:val="00C02B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2B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4903">
      <w:bodyDiv w:val="1"/>
      <w:marLeft w:val="0"/>
      <w:marRight w:val="0"/>
      <w:marTop w:val="0"/>
      <w:marBottom w:val="0"/>
      <w:divBdr>
        <w:top w:val="none" w:sz="0" w:space="0" w:color="auto"/>
        <w:left w:val="none" w:sz="0" w:space="0" w:color="auto"/>
        <w:bottom w:val="none" w:sz="0" w:space="0" w:color="auto"/>
        <w:right w:val="none" w:sz="0" w:space="0" w:color="auto"/>
      </w:divBdr>
    </w:div>
    <w:div w:id="215548065">
      <w:bodyDiv w:val="1"/>
      <w:marLeft w:val="0"/>
      <w:marRight w:val="0"/>
      <w:marTop w:val="0"/>
      <w:marBottom w:val="0"/>
      <w:divBdr>
        <w:top w:val="none" w:sz="0" w:space="0" w:color="auto"/>
        <w:left w:val="none" w:sz="0" w:space="0" w:color="auto"/>
        <w:bottom w:val="none" w:sz="0" w:space="0" w:color="auto"/>
        <w:right w:val="none" w:sz="0" w:space="0" w:color="auto"/>
      </w:divBdr>
      <w:divsChild>
        <w:div w:id="2001032095">
          <w:marLeft w:val="0"/>
          <w:marRight w:val="0"/>
          <w:marTop w:val="0"/>
          <w:marBottom w:val="0"/>
          <w:divBdr>
            <w:top w:val="single" w:sz="2" w:space="0" w:color="D9D9E3"/>
            <w:left w:val="single" w:sz="2" w:space="0" w:color="D9D9E3"/>
            <w:bottom w:val="single" w:sz="2" w:space="0" w:color="D9D9E3"/>
            <w:right w:val="single" w:sz="2" w:space="0" w:color="D9D9E3"/>
          </w:divBdr>
          <w:divsChild>
            <w:div w:id="77604283">
              <w:marLeft w:val="0"/>
              <w:marRight w:val="0"/>
              <w:marTop w:val="0"/>
              <w:marBottom w:val="0"/>
              <w:divBdr>
                <w:top w:val="single" w:sz="2" w:space="0" w:color="D9D9E3"/>
                <w:left w:val="single" w:sz="2" w:space="0" w:color="D9D9E3"/>
                <w:bottom w:val="single" w:sz="2" w:space="0" w:color="D9D9E3"/>
                <w:right w:val="single" w:sz="2" w:space="0" w:color="D9D9E3"/>
              </w:divBdr>
              <w:divsChild>
                <w:div w:id="747700928">
                  <w:marLeft w:val="0"/>
                  <w:marRight w:val="0"/>
                  <w:marTop w:val="0"/>
                  <w:marBottom w:val="0"/>
                  <w:divBdr>
                    <w:top w:val="single" w:sz="2" w:space="0" w:color="D9D9E3"/>
                    <w:left w:val="single" w:sz="2" w:space="0" w:color="D9D9E3"/>
                    <w:bottom w:val="single" w:sz="2" w:space="0" w:color="D9D9E3"/>
                    <w:right w:val="single" w:sz="2" w:space="0" w:color="D9D9E3"/>
                  </w:divBdr>
                  <w:divsChild>
                    <w:div w:id="926157412">
                      <w:marLeft w:val="0"/>
                      <w:marRight w:val="0"/>
                      <w:marTop w:val="0"/>
                      <w:marBottom w:val="0"/>
                      <w:divBdr>
                        <w:top w:val="single" w:sz="2" w:space="0" w:color="D9D9E3"/>
                        <w:left w:val="single" w:sz="2" w:space="0" w:color="D9D9E3"/>
                        <w:bottom w:val="single" w:sz="2" w:space="0" w:color="D9D9E3"/>
                        <w:right w:val="single" w:sz="2" w:space="0" w:color="D9D9E3"/>
                      </w:divBdr>
                      <w:divsChild>
                        <w:div w:id="821892546">
                          <w:marLeft w:val="0"/>
                          <w:marRight w:val="0"/>
                          <w:marTop w:val="0"/>
                          <w:marBottom w:val="0"/>
                          <w:divBdr>
                            <w:top w:val="single" w:sz="2" w:space="0" w:color="auto"/>
                            <w:left w:val="single" w:sz="2" w:space="0" w:color="auto"/>
                            <w:bottom w:val="single" w:sz="6" w:space="0" w:color="auto"/>
                            <w:right w:val="single" w:sz="2" w:space="0" w:color="auto"/>
                          </w:divBdr>
                          <w:divsChild>
                            <w:div w:id="455369039">
                              <w:marLeft w:val="0"/>
                              <w:marRight w:val="0"/>
                              <w:marTop w:val="100"/>
                              <w:marBottom w:val="100"/>
                              <w:divBdr>
                                <w:top w:val="single" w:sz="2" w:space="0" w:color="D9D9E3"/>
                                <w:left w:val="single" w:sz="2" w:space="0" w:color="D9D9E3"/>
                                <w:bottom w:val="single" w:sz="2" w:space="0" w:color="D9D9E3"/>
                                <w:right w:val="single" w:sz="2" w:space="0" w:color="D9D9E3"/>
                              </w:divBdr>
                              <w:divsChild>
                                <w:div w:id="208685085">
                                  <w:marLeft w:val="0"/>
                                  <w:marRight w:val="0"/>
                                  <w:marTop w:val="0"/>
                                  <w:marBottom w:val="0"/>
                                  <w:divBdr>
                                    <w:top w:val="single" w:sz="2" w:space="0" w:color="D9D9E3"/>
                                    <w:left w:val="single" w:sz="2" w:space="0" w:color="D9D9E3"/>
                                    <w:bottom w:val="single" w:sz="2" w:space="0" w:color="D9D9E3"/>
                                    <w:right w:val="single" w:sz="2" w:space="0" w:color="D9D9E3"/>
                                  </w:divBdr>
                                  <w:divsChild>
                                    <w:div w:id="978147031">
                                      <w:marLeft w:val="0"/>
                                      <w:marRight w:val="0"/>
                                      <w:marTop w:val="0"/>
                                      <w:marBottom w:val="0"/>
                                      <w:divBdr>
                                        <w:top w:val="single" w:sz="2" w:space="0" w:color="D9D9E3"/>
                                        <w:left w:val="single" w:sz="2" w:space="0" w:color="D9D9E3"/>
                                        <w:bottom w:val="single" w:sz="2" w:space="0" w:color="D9D9E3"/>
                                        <w:right w:val="single" w:sz="2" w:space="0" w:color="D9D9E3"/>
                                      </w:divBdr>
                                      <w:divsChild>
                                        <w:div w:id="100607721">
                                          <w:marLeft w:val="0"/>
                                          <w:marRight w:val="0"/>
                                          <w:marTop w:val="0"/>
                                          <w:marBottom w:val="0"/>
                                          <w:divBdr>
                                            <w:top w:val="single" w:sz="2" w:space="0" w:color="D9D9E3"/>
                                            <w:left w:val="single" w:sz="2" w:space="0" w:color="D9D9E3"/>
                                            <w:bottom w:val="single" w:sz="2" w:space="0" w:color="D9D9E3"/>
                                            <w:right w:val="single" w:sz="2" w:space="0" w:color="D9D9E3"/>
                                          </w:divBdr>
                                          <w:divsChild>
                                            <w:div w:id="12815689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11061644">
          <w:marLeft w:val="0"/>
          <w:marRight w:val="0"/>
          <w:marTop w:val="0"/>
          <w:marBottom w:val="0"/>
          <w:divBdr>
            <w:top w:val="none" w:sz="0" w:space="0" w:color="auto"/>
            <w:left w:val="none" w:sz="0" w:space="0" w:color="auto"/>
            <w:bottom w:val="none" w:sz="0" w:space="0" w:color="auto"/>
            <w:right w:val="none" w:sz="0" w:space="0" w:color="auto"/>
          </w:divBdr>
        </w:div>
      </w:divsChild>
    </w:div>
    <w:div w:id="245769953">
      <w:bodyDiv w:val="1"/>
      <w:marLeft w:val="0"/>
      <w:marRight w:val="0"/>
      <w:marTop w:val="0"/>
      <w:marBottom w:val="0"/>
      <w:divBdr>
        <w:top w:val="none" w:sz="0" w:space="0" w:color="auto"/>
        <w:left w:val="none" w:sz="0" w:space="0" w:color="auto"/>
        <w:bottom w:val="none" w:sz="0" w:space="0" w:color="auto"/>
        <w:right w:val="none" w:sz="0" w:space="0" w:color="auto"/>
      </w:divBdr>
      <w:divsChild>
        <w:div w:id="259723144">
          <w:marLeft w:val="0"/>
          <w:marRight w:val="0"/>
          <w:marTop w:val="0"/>
          <w:marBottom w:val="0"/>
          <w:divBdr>
            <w:top w:val="single" w:sz="2" w:space="0" w:color="D9D9E3"/>
            <w:left w:val="single" w:sz="2" w:space="0" w:color="D9D9E3"/>
            <w:bottom w:val="single" w:sz="2" w:space="0" w:color="D9D9E3"/>
            <w:right w:val="single" w:sz="2" w:space="0" w:color="D9D9E3"/>
          </w:divBdr>
          <w:divsChild>
            <w:div w:id="759183277">
              <w:marLeft w:val="0"/>
              <w:marRight w:val="0"/>
              <w:marTop w:val="0"/>
              <w:marBottom w:val="0"/>
              <w:divBdr>
                <w:top w:val="single" w:sz="2" w:space="0" w:color="D9D9E3"/>
                <w:left w:val="single" w:sz="2" w:space="0" w:color="D9D9E3"/>
                <w:bottom w:val="single" w:sz="2" w:space="0" w:color="D9D9E3"/>
                <w:right w:val="single" w:sz="2" w:space="0" w:color="D9D9E3"/>
              </w:divBdr>
              <w:divsChild>
                <w:div w:id="840703967">
                  <w:marLeft w:val="0"/>
                  <w:marRight w:val="0"/>
                  <w:marTop w:val="0"/>
                  <w:marBottom w:val="0"/>
                  <w:divBdr>
                    <w:top w:val="single" w:sz="2" w:space="0" w:color="D9D9E3"/>
                    <w:left w:val="single" w:sz="2" w:space="0" w:color="D9D9E3"/>
                    <w:bottom w:val="single" w:sz="2" w:space="0" w:color="D9D9E3"/>
                    <w:right w:val="single" w:sz="2" w:space="0" w:color="D9D9E3"/>
                  </w:divBdr>
                  <w:divsChild>
                    <w:div w:id="642319632">
                      <w:marLeft w:val="0"/>
                      <w:marRight w:val="0"/>
                      <w:marTop w:val="0"/>
                      <w:marBottom w:val="0"/>
                      <w:divBdr>
                        <w:top w:val="single" w:sz="2" w:space="0" w:color="D9D9E3"/>
                        <w:left w:val="single" w:sz="2" w:space="0" w:color="D9D9E3"/>
                        <w:bottom w:val="single" w:sz="2" w:space="0" w:color="D9D9E3"/>
                        <w:right w:val="single" w:sz="2" w:space="0" w:color="D9D9E3"/>
                      </w:divBdr>
                      <w:divsChild>
                        <w:div w:id="1263566037">
                          <w:marLeft w:val="0"/>
                          <w:marRight w:val="0"/>
                          <w:marTop w:val="0"/>
                          <w:marBottom w:val="0"/>
                          <w:divBdr>
                            <w:top w:val="single" w:sz="2" w:space="0" w:color="auto"/>
                            <w:left w:val="single" w:sz="2" w:space="0" w:color="auto"/>
                            <w:bottom w:val="single" w:sz="6" w:space="0" w:color="auto"/>
                            <w:right w:val="single" w:sz="2" w:space="0" w:color="auto"/>
                          </w:divBdr>
                          <w:divsChild>
                            <w:div w:id="1974944624">
                              <w:marLeft w:val="0"/>
                              <w:marRight w:val="0"/>
                              <w:marTop w:val="100"/>
                              <w:marBottom w:val="100"/>
                              <w:divBdr>
                                <w:top w:val="single" w:sz="2" w:space="0" w:color="D9D9E3"/>
                                <w:left w:val="single" w:sz="2" w:space="0" w:color="D9D9E3"/>
                                <w:bottom w:val="single" w:sz="2" w:space="0" w:color="D9D9E3"/>
                                <w:right w:val="single" w:sz="2" w:space="0" w:color="D9D9E3"/>
                              </w:divBdr>
                              <w:divsChild>
                                <w:div w:id="789513730">
                                  <w:marLeft w:val="0"/>
                                  <w:marRight w:val="0"/>
                                  <w:marTop w:val="0"/>
                                  <w:marBottom w:val="0"/>
                                  <w:divBdr>
                                    <w:top w:val="single" w:sz="2" w:space="0" w:color="D9D9E3"/>
                                    <w:left w:val="single" w:sz="2" w:space="0" w:color="D9D9E3"/>
                                    <w:bottom w:val="single" w:sz="2" w:space="0" w:color="D9D9E3"/>
                                    <w:right w:val="single" w:sz="2" w:space="0" w:color="D9D9E3"/>
                                  </w:divBdr>
                                  <w:divsChild>
                                    <w:div w:id="279537776">
                                      <w:marLeft w:val="0"/>
                                      <w:marRight w:val="0"/>
                                      <w:marTop w:val="0"/>
                                      <w:marBottom w:val="0"/>
                                      <w:divBdr>
                                        <w:top w:val="single" w:sz="2" w:space="0" w:color="D9D9E3"/>
                                        <w:left w:val="single" w:sz="2" w:space="0" w:color="D9D9E3"/>
                                        <w:bottom w:val="single" w:sz="2" w:space="0" w:color="D9D9E3"/>
                                        <w:right w:val="single" w:sz="2" w:space="0" w:color="D9D9E3"/>
                                      </w:divBdr>
                                      <w:divsChild>
                                        <w:div w:id="749155432">
                                          <w:marLeft w:val="0"/>
                                          <w:marRight w:val="0"/>
                                          <w:marTop w:val="0"/>
                                          <w:marBottom w:val="0"/>
                                          <w:divBdr>
                                            <w:top w:val="single" w:sz="2" w:space="0" w:color="D9D9E3"/>
                                            <w:left w:val="single" w:sz="2" w:space="0" w:color="D9D9E3"/>
                                            <w:bottom w:val="single" w:sz="2" w:space="0" w:color="D9D9E3"/>
                                            <w:right w:val="single" w:sz="2" w:space="0" w:color="D9D9E3"/>
                                          </w:divBdr>
                                          <w:divsChild>
                                            <w:div w:id="17774843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12488595">
          <w:marLeft w:val="0"/>
          <w:marRight w:val="0"/>
          <w:marTop w:val="0"/>
          <w:marBottom w:val="0"/>
          <w:divBdr>
            <w:top w:val="none" w:sz="0" w:space="0" w:color="auto"/>
            <w:left w:val="none" w:sz="0" w:space="0" w:color="auto"/>
            <w:bottom w:val="none" w:sz="0" w:space="0" w:color="auto"/>
            <w:right w:val="none" w:sz="0" w:space="0" w:color="auto"/>
          </w:divBdr>
        </w:div>
      </w:divsChild>
    </w:div>
    <w:div w:id="524944832">
      <w:bodyDiv w:val="1"/>
      <w:marLeft w:val="0"/>
      <w:marRight w:val="0"/>
      <w:marTop w:val="0"/>
      <w:marBottom w:val="0"/>
      <w:divBdr>
        <w:top w:val="none" w:sz="0" w:space="0" w:color="auto"/>
        <w:left w:val="none" w:sz="0" w:space="0" w:color="auto"/>
        <w:bottom w:val="none" w:sz="0" w:space="0" w:color="auto"/>
        <w:right w:val="none" w:sz="0" w:space="0" w:color="auto"/>
      </w:divBdr>
      <w:divsChild>
        <w:div w:id="1940290489">
          <w:marLeft w:val="0"/>
          <w:marRight w:val="0"/>
          <w:marTop w:val="0"/>
          <w:marBottom w:val="0"/>
          <w:divBdr>
            <w:top w:val="single" w:sz="2" w:space="0" w:color="D9D9E3"/>
            <w:left w:val="single" w:sz="2" w:space="0" w:color="D9D9E3"/>
            <w:bottom w:val="single" w:sz="2" w:space="0" w:color="D9D9E3"/>
            <w:right w:val="single" w:sz="2" w:space="0" w:color="D9D9E3"/>
          </w:divBdr>
          <w:divsChild>
            <w:div w:id="560021972">
              <w:marLeft w:val="0"/>
              <w:marRight w:val="0"/>
              <w:marTop w:val="0"/>
              <w:marBottom w:val="0"/>
              <w:divBdr>
                <w:top w:val="single" w:sz="2" w:space="0" w:color="D9D9E3"/>
                <w:left w:val="single" w:sz="2" w:space="0" w:color="D9D9E3"/>
                <w:bottom w:val="single" w:sz="2" w:space="0" w:color="D9D9E3"/>
                <w:right w:val="single" w:sz="2" w:space="0" w:color="D9D9E3"/>
              </w:divBdr>
              <w:divsChild>
                <w:div w:id="1852144189">
                  <w:marLeft w:val="0"/>
                  <w:marRight w:val="0"/>
                  <w:marTop w:val="0"/>
                  <w:marBottom w:val="0"/>
                  <w:divBdr>
                    <w:top w:val="single" w:sz="2" w:space="0" w:color="D9D9E3"/>
                    <w:left w:val="single" w:sz="2" w:space="0" w:color="D9D9E3"/>
                    <w:bottom w:val="single" w:sz="2" w:space="0" w:color="D9D9E3"/>
                    <w:right w:val="single" w:sz="2" w:space="0" w:color="D9D9E3"/>
                  </w:divBdr>
                  <w:divsChild>
                    <w:div w:id="229535201">
                      <w:marLeft w:val="0"/>
                      <w:marRight w:val="0"/>
                      <w:marTop w:val="0"/>
                      <w:marBottom w:val="0"/>
                      <w:divBdr>
                        <w:top w:val="single" w:sz="2" w:space="0" w:color="D9D9E3"/>
                        <w:left w:val="single" w:sz="2" w:space="0" w:color="D9D9E3"/>
                        <w:bottom w:val="single" w:sz="2" w:space="0" w:color="D9D9E3"/>
                        <w:right w:val="single" w:sz="2" w:space="0" w:color="D9D9E3"/>
                      </w:divBdr>
                      <w:divsChild>
                        <w:div w:id="322437127">
                          <w:marLeft w:val="0"/>
                          <w:marRight w:val="0"/>
                          <w:marTop w:val="0"/>
                          <w:marBottom w:val="0"/>
                          <w:divBdr>
                            <w:top w:val="single" w:sz="2" w:space="0" w:color="auto"/>
                            <w:left w:val="single" w:sz="2" w:space="0" w:color="auto"/>
                            <w:bottom w:val="single" w:sz="6" w:space="0" w:color="auto"/>
                            <w:right w:val="single" w:sz="2" w:space="0" w:color="auto"/>
                          </w:divBdr>
                          <w:divsChild>
                            <w:div w:id="1084107382">
                              <w:marLeft w:val="0"/>
                              <w:marRight w:val="0"/>
                              <w:marTop w:val="100"/>
                              <w:marBottom w:val="100"/>
                              <w:divBdr>
                                <w:top w:val="single" w:sz="2" w:space="0" w:color="D9D9E3"/>
                                <w:left w:val="single" w:sz="2" w:space="0" w:color="D9D9E3"/>
                                <w:bottom w:val="single" w:sz="2" w:space="0" w:color="D9D9E3"/>
                                <w:right w:val="single" w:sz="2" w:space="0" w:color="D9D9E3"/>
                              </w:divBdr>
                              <w:divsChild>
                                <w:div w:id="1915237024">
                                  <w:marLeft w:val="0"/>
                                  <w:marRight w:val="0"/>
                                  <w:marTop w:val="0"/>
                                  <w:marBottom w:val="0"/>
                                  <w:divBdr>
                                    <w:top w:val="single" w:sz="2" w:space="0" w:color="D9D9E3"/>
                                    <w:left w:val="single" w:sz="2" w:space="0" w:color="D9D9E3"/>
                                    <w:bottom w:val="single" w:sz="2" w:space="0" w:color="D9D9E3"/>
                                    <w:right w:val="single" w:sz="2" w:space="0" w:color="D9D9E3"/>
                                  </w:divBdr>
                                  <w:divsChild>
                                    <w:div w:id="367878908">
                                      <w:marLeft w:val="0"/>
                                      <w:marRight w:val="0"/>
                                      <w:marTop w:val="0"/>
                                      <w:marBottom w:val="0"/>
                                      <w:divBdr>
                                        <w:top w:val="single" w:sz="2" w:space="0" w:color="D9D9E3"/>
                                        <w:left w:val="single" w:sz="2" w:space="0" w:color="D9D9E3"/>
                                        <w:bottom w:val="single" w:sz="2" w:space="0" w:color="D9D9E3"/>
                                        <w:right w:val="single" w:sz="2" w:space="0" w:color="D9D9E3"/>
                                      </w:divBdr>
                                      <w:divsChild>
                                        <w:div w:id="1585068573">
                                          <w:marLeft w:val="0"/>
                                          <w:marRight w:val="0"/>
                                          <w:marTop w:val="0"/>
                                          <w:marBottom w:val="0"/>
                                          <w:divBdr>
                                            <w:top w:val="single" w:sz="2" w:space="0" w:color="D9D9E3"/>
                                            <w:left w:val="single" w:sz="2" w:space="0" w:color="D9D9E3"/>
                                            <w:bottom w:val="single" w:sz="2" w:space="0" w:color="D9D9E3"/>
                                            <w:right w:val="single" w:sz="2" w:space="0" w:color="D9D9E3"/>
                                          </w:divBdr>
                                          <w:divsChild>
                                            <w:div w:id="7098880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98219435">
          <w:marLeft w:val="0"/>
          <w:marRight w:val="0"/>
          <w:marTop w:val="0"/>
          <w:marBottom w:val="0"/>
          <w:divBdr>
            <w:top w:val="none" w:sz="0" w:space="0" w:color="auto"/>
            <w:left w:val="none" w:sz="0" w:space="0" w:color="auto"/>
            <w:bottom w:val="none" w:sz="0" w:space="0" w:color="auto"/>
            <w:right w:val="none" w:sz="0" w:space="0" w:color="auto"/>
          </w:divBdr>
          <w:divsChild>
            <w:div w:id="509687111">
              <w:marLeft w:val="0"/>
              <w:marRight w:val="0"/>
              <w:marTop w:val="0"/>
              <w:marBottom w:val="0"/>
              <w:divBdr>
                <w:top w:val="single" w:sz="2" w:space="0" w:color="D9D9E3"/>
                <w:left w:val="single" w:sz="2" w:space="0" w:color="D9D9E3"/>
                <w:bottom w:val="single" w:sz="2" w:space="0" w:color="D9D9E3"/>
                <w:right w:val="single" w:sz="2" w:space="0" w:color="D9D9E3"/>
              </w:divBdr>
              <w:divsChild>
                <w:div w:id="1766684608">
                  <w:marLeft w:val="0"/>
                  <w:marRight w:val="0"/>
                  <w:marTop w:val="0"/>
                  <w:marBottom w:val="0"/>
                  <w:divBdr>
                    <w:top w:val="single" w:sz="2" w:space="0" w:color="D9D9E3"/>
                    <w:left w:val="single" w:sz="2" w:space="0" w:color="D9D9E3"/>
                    <w:bottom w:val="single" w:sz="2" w:space="0" w:color="D9D9E3"/>
                    <w:right w:val="single" w:sz="2" w:space="0" w:color="D9D9E3"/>
                  </w:divBdr>
                  <w:divsChild>
                    <w:div w:id="1790392336">
                      <w:marLeft w:val="0"/>
                      <w:marRight w:val="0"/>
                      <w:marTop w:val="0"/>
                      <w:marBottom w:val="0"/>
                      <w:divBdr>
                        <w:top w:val="single" w:sz="2" w:space="0" w:color="D9D9E3"/>
                        <w:left w:val="single" w:sz="2" w:space="0" w:color="D9D9E3"/>
                        <w:bottom w:val="single" w:sz="2" w:space="0" w:color="D9D9E3"/>
                        <w:right w:val="single" w:sz="2" w:space="0" w:color="D9D9E3"/>
                      </w:divBdr>
                      <w:divsChild>
                        <w:div w:id="558785879">
                          <w:marLeft w:val="0"/>
                          <w:marRight w:val="0"/>
                          <w:marTop w:val="0"/>
                          <w:marBottom w:val="0"/>
                          <w:divBdr>
                            <w:top w:val="single" w:sz="2" w:space="0" w:color="D9D9E3"/>
                            <w:left w:val="single" w:sz="2" w:space="0" w:color="D9D9E3"/>
                            <w:bottom w:val="single" w:sz="2" w:space="0" w:color="D9D9E3"/>
                            <w:right w:val="single" w:sz="2" w:space="0" w:color="D9D9E3"/>
                          </w:divBdr>
                          <w:divsChild>
                            <w:div w:id="2002005733">
                              <w:marLeft w:val="0"/>
                              <w:marRight w:val="0"/>
                              <w:marTop w:val="0"/>
                              <w:marBottom w:val="0"/>
                              <w:divBdr>
                                <w:top w:val="single" w:sz="2" w:space="0" w:color="D9D9E3"/>
                                <w:left w:val="single" w:sz="2" w:space="0" w:color="D9D9E3"/>
                                <w:bottom w:val="single" w:sz="2" w:space="0" w:color="D9D9E3"/>
                                <w:right w:val="single" w:sz="2" w:space="0" w:color="D9D9E3"/>
                              </w:divBdr>
                              <w:divsChild>
                                <w:div w:id="749792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25868796">
      <w:bodyDiv w:val="1"/>
      <w:marLeft w:val="0"/>
      <w:marRight w:val="0"/>
      <w:marTop w:val="0"/>
      <w:marBottom w:val="0"/>
      <w:divBdr>
        <w:top w:val="none" w:sz="0" w:space="0" w:color="auto"/>
        <w:left w:val="none" w:sz="0" w:space="0" w:color="auto"/>
        <w:bottom w:val="none" w:sz="0" w:space="0" w:color="auto"/>
        <w:right w:val="none" w:sz="0" w:space="0" w:color="auto"/>
      </w:divBdr>
      <w:divsChild>
        <w:div w:id="2069956055">
          <w:marLeft w:val="0"/>
          <w:marRight w:val="0"/>
          <w:marTop w:val="0"/>
          <w:marBottom w:val="0"/>
          <w:divBdr>
            <w:top w:val="single" w:sz="2" w:space="0" w:color="D9D9E3"/>
            <w:left w:val="single" w:sz="2" w:space="0" w:color="D9D9E3"/>
            <w:bottom w:val="single" w:sz="2" w:space="0" w:color="D9D9E3"/>
            <w:right w:val="single" w:sz="2" w:space="0" w:color="D9D9E3"/>
          </w:divBdr>
          <w:divsChild>
            <w:div w:id="847214076">
              <w:marLeft w:val="0"/>
              <w:marRight w:val="0"/>
              <w:marTop w:val="0"/>
              <w:marBottom w:val="0"/>
              <w:divBdr>
                <w:top w:val="single" w:sz="2" w:space="0" w:color="D9D9E3"/>
                <w:left w:val="single" w:sz="2" w:space="0" w:color="D9D9E3"/>
                <w:bottom w:val="single" w:sz="2" w:space="0" w:color="D9D9E3"/>
                <w:right w:val="single" w:sz="2" w:space="0" w:color="D9D9E3"/>
              </w:divBdr>
              <w:divsChild>
                <w:div w:id="649942654">
                  <w:marLeft w:val="0"/>
                  <w:marRight w:val="0"/>
                  <w:marTop w:val="0"/>
                  <w:marBottom w:val="0"/>
                  <w:divBdr>
                    <w:top w:val="single" w:sz="2" w:space="0" w:color="D9D9E3"/>
                    <w:left w:val="single" w:sz="2" w:space="0" w:color="D9D9E3"/>
                    <w:bottom w:val="single" w:sz="2" w:space="0" w:color="D9D9E3"/>
                    <w:right w:val="single" w:sz="2" w:space="0" w:color="D9D9E3"/>
                  </w:divBdr>
                  <w:divsChild>
                    <w:div w:id="995065355">
                      <w:marLeft w:val="0"/>
                      <w:marRight w:val="0"/>
                      <w:marTop w:val="0"/>
                      <w:marBottom w:val="0"/>
                      <w:divBdr>
                        <w:top w:val="single" w:sz="2" w:space="0" w:color="D9D9E3"/>
                        <w:left w:val="single" w:sz="2" w:space="0" w:color="D9D9E3"/>
                        <w:bottom w:val="single" w:sz="2" w:space="0" w:color="D9D9E3"/>
                        <w:right w:val="single" w:sz="2" w:space="0" w:color="D9D9E3"/>
                      </w:divBdr>
                      <w:divsChild>
                        <w:div w:id="816648515">
                          <w:marLeft w:val="0"/>
                          <w:marRight w:val="0"/>
                          <w:marTop w:val="0"/>
                          <w:marBottom w:val="0"/>
                          <w:divBdr>
                            <w:top w:val="single" w:sz="2" w:space="0" w:color="auto"/>
                            <w:left w:val="single" w:sz="2" w:space="0" w:color="auto"/>
                            <w:bottom w:val="single" w:sz="6" w:space="0" w:color="auto"/>
                            <w:right w:val="single" w:sz="2" w:space="0" w:color="auto"/>
                          </w:divBdr>
                          <w:divsChild>
                            <w:div w:id="1460295681">
                              <w:marLeft w:val="0"/>
                              <w:marRight w:val="0"/>
                              <w:marTop w:val="100"/>
                              <w:marBottom w:val="100"/>
                              <w:divBdr>
                                <w:top w:val="single" w:sz="2" w:space="0" w:color="D9D9E3"/>
                                <w:left w:val="single" w:sz="2" w:space="0" w:color="D9D9E3"/>
                                <w:bottom w:val="single" w:sz="2" w:space="0" w:color="D9D9E3"/>
                                <w:right w:val="single" w:sz="2" w:space="0" w:color="D9D9E3"/>
                              </w:divBdr>
                              <w:divsChild>
                                <w:div w:id="1565482817">
                                  <w:marLeft w:val="0"/>
                                  <w:marRight w:val="0"/>
                                  <w:marTop w:val="0"/>
                                  <w:marBottom w:val="0"/>
                                  <w:divBdr>
                                    <w:top w:val="single" w:sz="2" w:space="0" w:color="D9D9E3"/>
                                    <w:left w:val="single" w:sz="2" w:space="0" w:color="D9D9E3"/>
                                    <w:bottom w:val="single" w:sz="2" w:space="0" w:color="D9D9E3"/>
                                    <w:right w:val="single" w:sz="2" w:space="0" w:color="D9D9E3"/>
                                  </w:divBdr>
                                  <w:divsChild>
                                    <w:div w:id="1127506653">
                                      <w:marLeft w:val="0"/>
                                      <w:marRight w:val="0"/>
                                      <w:marTop w:val="0"/>
                                      <w:marBottom w:val="0"/>
                                      <w:divBdr>
                                        <w:top w:val="single" w:sz="2" w:space="0" w:color="D9D9E3"/>
                                        <w:left w:val="single" w:sz="2" w:space="0" w:color="D9D9E3"/>
                                        <w:bottom w:val="single" w:sz="2" w:space="0" w:color="D9D9E3"/>
                                        <w:right w:val="single" w:sz="2" w:space="0" w:color="D9D9E3"/>
                                      </w:divBdr>
                                      <w:divsChild>
                                        <w:div w:id="162858103">
                                          <w:marLeft w:val="0"/>
                                          <w:marRight w:val="0"/>
                                          <w:marTop w:val="0"/>
                                          <w:marBottom w:val="0"/>
                                          <w:divBdr>
                                            <w:top w:val="single" w:sz="2" w:space="0" w:color="D9D9E3"/>
                                            <w:left w:val="single" w:sz="2" w:space="0" w:color="D9D9E3"/>
                                            <w:bottom w:val="single" w:sz="2" w:space="0" w:color="D9D9E3"/>
                                            <w:right w:val="single" w:sz="2" w:space="0" w:color="D9D9E3"/>
                                          </w:divBdr>
                                          <w:divsChild>
                                            <w:div w:id="9867399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26060033">
          <w:marLeft w:val="0"/>
          <w:marRight w:val="0"/>
          <w:marTop w:val="0"/>
          <w:marBottom w:val="0"/>
          <w:divBdr>
            <w:top w:val="none" w:sz="0" w:space="0" w:color="auto"/>
            <w:left w:val="none" w:sz="0" w:space="0" w:color="auto"/>
            <w:bottom w:val="none" w:sz="0" w:space="0" w:color="auto"/>
            <w:right w:val="none" w:sz="0" w:space="0" w:color="auto"/>
          </w:divBdr>
        </w:div>
      </w:divsChild>
    </w:div>
    <w:div w:id="576940244">
      <w:bodyDiv w:val="1"/>
      <w:marLeft w:val="0"/>
      <w:marRight w:val="0"/>
      <w:marTop w:val="0"/>
      <w:marBottom w:val="0"/>
      <w:divBdr>
        <w:top w:val="none" w:sz="0" w:space="0" w:color="auto"/>
        <w:left w:val="none" w:sz="0" w:space="0" w:color="auto"/>
        <w:bottom w:val="none" w:sz="0" w:space="0" w:color="auto"/>
        <w:right w:val="none" w:sz="0" w:space="0" w:color="auto"/>
      </w:divBdr>
    </w:div>
    <w:div w:id="656417713">
      <w:bodyDiv w:val="1"/>
      <w:marLeft w:val="0"/>
      <w:marRight w:val="0"/>
      <w:marTop w:val="0"/>
      <w:marBottom w:val="0"/>
      <w:divBdr>
        <w:top w:val="none" w:sz="0" w:space="0" w:color="auto"/>
        <w:left w:val="none" w:sz="0" w:space="0" w:color="auto"/>
        <w:bottom w:val="none" w:sz="0" w:space="0" w:color="auto"/>
        <w:right w:val="none" w:sz="0" w:space="0" w:color="auto"/>
      </w:divBdr>
    </w:div>
    <w:div w:id="814027999">
      <w:bodyDiv w:val="1"/>
      <w:marLeft w:val="0"/>
      <w:marRight w:val="0"/>
      <w:marTop w:val="0"/>
      <w:marBottom w:val="0"/>
      <w:divBdr>
        <w:top w:val="none" w:sz="0" w:space="0" w:color="auto"/>
        <w:left w:val="none" w:sz="0" w:space="0" w:color="auto"/>
        <w:bottom w:val="none" w:sz="0" w:space="0" w:color="auto"/>
        <w:right w:val="none" w:sz="0" w:space="0" w:color="auto"/>
      </w:divBdr>
    </w:div>
    <w:div w:id="882406239">
      <w:bodyDiv w:val="1"/>
      <w:marLeft w:val="0"/>
      <w:marRight w:val="0"/>
      <w:marTop w:val="0"/>
      <w:marBottom w:val="0"/>
      <w:divBdr>
        <w:top w:val="none" w:sz="0" w:space="0" w:color="auto"/>
        <w:left w:val="none" w:sz="0" w:space="0" w:color="auto"/>
        <w:bottom w:val="none" w:sz="0" w:space="0" w:color="auto"/>
        <w:right w:val="none" w:sz="0" w:space="0" w:color="auto"/>
      </w:divBdr>
    </w:div>
    <w:div w:id="906647816">
      <w:bodyDiv w:val="1"/>
      <w:marLeft w:val="0"/>
      <w:marRight w:val="0"/>
      <w:marTop w:val="0"/>
      <w:marBottom w:val="0"/>
      <w:divBdr>
        <w:top w:val="none" w:sz="0" w:space="0" w:color="auto"/>
        <w:left w:val="none" w:sz="0" w:space="0" w:color="auto"/>
        <w:bottom w:val="none" w:sz="0" w:space="0" w:color="auto"/>
        <w:right w:val="none" w:sz="0" w:space="0" w:color="auto"/>
      </w:divBdr>
    </w:div>
    <w:div w:id="968441731">
      <w:bodyDiv w:val="1"/>
      <w:marLeft w:val="0"/>
      <w:marRight w:val="0"/>
      <w:marTop w:val="0"/>
      <w:marBottom w:val="0"/>
      <w:divBdr>
        <w:top w:val="none" w:sz="0" w:space="0" w:color="auto"/>
        <w:left w:val="none" w:sz="0" w:space="0" w:color="auto"/>
        <w:bottom w:val="none" w:sz="0" w:space="0" w:color="auto"/>
        <w:right w:val="none" w:sz="0" w:space="0" w:color="auto"/>
      </w:divBdr>
      <w:divsChild>
        <w:div w:id="1942689024">
          <w:marLeft w:val="0"/>
          <w:marRight w:val="0"/>
          <w:marTop w:val="0"/>
          <w:marBottom w:val="0"/>
          <w:divBdr>
            <w:top w:val="single" w:sz="2" w:space="0" w:color="D9D9E3"/>
            <w:left w:val="single" w:sz="2" w:space="0" w:color="D9D9E3"/>
            <w:bottom w:val="single" w:sz="2" w:space="0" w:color="D9D9E3"/>
            <w:right w:val="single" w:sz="2" w:space="0" w:color="D9D9E3"/>
          </w:divBdr>
          <w:divsChild>
            <w:div w:id="512375928">
              <w:marLeft w:val="0"/>
              <w:marRight w:val="0"/>
              <w:marTop w:val="0"/>
              <w:marBottom w:val="0"/>
              <w:divBdr>
                <w:top w:val="single" w:sz="2" w:space="0" w:color="D9D9E3"/>
                <w:left w:val="single" w:sz="2" w:space="0" w:color="D9D9E3"/>
                <w:bottom w:val="single" w:sz="2" w:space="0" w:color="D9D9E3"/>
                <w:right w:val="single" w:sz="2" w:space="0" w:color="D9D9E3"/>
              </w:divBdr>
              <w:divsChild>
                <w:div w:id="1684623596">
                  <w:marLeft w:val="0"/>
                  <w:marRight w:val="0"/>
                  <w:marTop w:val="0"/>
                  <w:marBottom w:val="0"/>
                  <w:divBdr>
                    <w:top w:val="single" w:sz="2" w:space="0" w:color="D9D9E3"/>
                    <w:left w:val="single" w:sz="2" w:space="0" w:color="D9D9E3"/>
                    <w:bottom w:val="single" w:sz="2" w:space="0" w:color="D9D9E3"/>
                    <w:right w:val="single" w:sz="2" w:space="0" w:color="D9D9E3"/>
                  </w:divBdr>
                  <w:divsChild>
                    <w:div w:id="935863942">
                      <w:marLeft w:val="0"/>
                      <w:marRight w:val="0"/>
                      <w:marTop w:val="0"/>
                      <w:marBottom w:val="0"/>
                      <w:divBdr>
                        <w:top w:val="single" w:sz="2" w:space="0" w:color="D9D9E3"/>
                        <w:left w:val="single" w:sz="2" w:space="0" w:color="D9D9E3"/>
                        <w:bottom w:val="single" w:sz="2" w:space="0" w:color="D9D9E3"/>
                        <w:right w:val="single" w:sz="2" w:space="0" w:color="D9D9E3"/>
                      </w:divBdr>
                      <w:divsChild>
                        <w:div w:id="1902401277">
                          <w:marLeft w:val="0"/>
                          <w:marRight w:val="0"/>
                          <w:marTop w:val="0"/>
                          <w:marBottom w:val="0"/>
                          <w:divBdr>
                            <w:top w:val="single" w:sz="2" w:space="0" w:color="auto"/>
                            <w:left w:val="single" w:sz="2" w:space="0" w:color="auto"/>
                            <w:bottom w:val="single" w:sz="6" w:space="0" w:color="auto"/>
                            <w:right w:val="single" w:sz="2" w:space="0" w:color="auto"/>
                          </w:divBdr>
                          <w:divsChild>
                            <w:div w:id="182669177">
                              <w:marLeft w:val="0"/>
                              <w:marRight w:val="0"/>
                              <w:marTop w:val="100"/>
                              <w:marBottom w:val="100"/>
                              <w:divBdr>
                                <w:top w:val="single" w:sz="2" w:space="0" w:color="D9D9E3"/>
                                <w:left w:val="single" w:sz="2" w:space="0" w:color="D9D9E3"/>
                                <w:bottom w:val="single" w:sz="2" w:space="0" w:color="D9D9E3"/>
                                <w:right w:val="single" w:sz="2" w:space="0" w:color="D9D9E3"/>
                              </w:divBdr>
                              <w:divsChild>
                                <w:div w:id="976029473">
                                  <w:marLeft w:val="0"/>
                                  <w:marRight w:val="0"/>
                                  <w:marTop w:val="0"/>
                                  <w:marBottom w:val="0"/>
                                  <w:divBdr>
                                    <w:top w:val="single" w:sz="2" w:space="0" w:color="D9D9E3"/>
                                    <w:left w:val="single" w:sz="2" w:space="0" w:color="D9D9E3"/>
                                    <w:bottom w:val="single" w:sz="2" w:space="0" w:color="D9D9E3"/>
                                    <w:right w:val="single" w:sz="2" w:space="0" w:color="D9D9E3"/>
                                  </w:divBdr>
                                  <w:divsChild>
                                    <w:div w:id="1328290095">
                                      <w:marLeft w:val="0"/>
                                      <w:marRight w:val="0"/>
                                      <w:marTop w:val="0"/>
                                      <w:marBottom w:val="0"/>
                                      <w:divBdr>
                                        <w:top w:val="single" w:sz="2" w:space="0" w:color="D9D9E3"/>
                                        <w:left w:val="single" w:sz="2" w:space="0" w:color="D9D9E3"/>
                                        <w:bottom w:val="single" w:sz="2" w:space="0" w:color="D9D9E3"/>
                                        <w:right w:val="single" w:sz="2" w:space="0" w:color="D9D9E3"/>
                                      </w:divBdr>
                                      <w:divsChild>
                                        <w:div w:id="148062395">
                                          <w:marLeft w:val="0"/>
                                          <w:marRight w:val="0"/>
                                          <w:marTop w:val="0"/>
                                          <w:marBottom w:val="0"/>
                                          <w:divBdr>
                                            <w:top w:val="single" w:sz="2" w:space="0" w:color="D9D9E3"/>
                                            <w:left w:val="single" w:sz="2" w:space="0" w:color="D9D9E3"/>
                                            <w:bottom w:val="single" w:sz="2" w:space="0" w:color="D9D9E3"/>
                                            <w:right w:val="single" w:sz="2" w:space="0" w:color="D9D9E3"/>
                                          </w:divBdr>
                                          <w:divsChild>
                                            <w:div w:id="15614795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26209359">
          <w:marLeft w:val="0"/>
          <w:marRight w:val="0"/>
          <w:marTop w:val="0"/>
          <w:marBottom w:val="0"/>
          <w:divBdr>
            <w:top w:val="none" w:sz="0" w:space="0" w:color="auto"/>
            <w:left w:val="none" w:sz="0" w:space="0" w:color="auto"/>
            <w:bottom w:val="none" w:sz="0" w:space="0" w:color="auto"/>
            <w:right w:val="none" w:sz="0" w:space="0" w:color="auto"/>
          </w:divBdr>
        </w:div>
      </w:divsChild>
    </w:div>
    <w:div w:id="1145201934">
      <w:bodyDiv w:val="1"/>
      <w:marLeft w:val="0"/>
      <w:marRight w:val="0"/>
      <w:marTop w:val="0"/>
      <w:marBottom w:val="0"/>
      <w:divBdr>
        <w:top w:val="none" w:sz="0" w:space="0" w:color="auto"/>
        <w:left w:val="none" w:sz="0" w:space="0" w:color="auto"/>
        <w:bottom w:val="none" w:sz="0" w:space="0" w:color="auto"/>
        <w:right w:val="none" w:sz="0" w:space="0" w:color="auto"/>
      </w:divBdr>
      <w:divsChild>
        <w:div w:id="1141535048">
          <w:marLeft w:val="0"/>
          <w:marRight w:val="0"/>
          <w:marTop w:val="0"/>
          <w:marBottom w:val="0"/>
          <w:divBdr>
            <w:top w:val="single" w:sz="2" w:space="0" w:color="D9D9E3"/>
            <w:left w:val="single" w:sz="2" w:space="0" w:color="D9D9E3"/>
            <w:bottom w:val="single" w:sz="2" w:space="0" w:color="D9D9E3"/>
            <w:right w:val="single" w:sz="2" w:space="0" w:color="D9D9E3"/>
          </w:divBdr>
          <w:divsChild>
            <w:div w:id="752777967">
              <w:marLeft w:val="0"/>
              <w:marRight w:val="0"/>
              <w:marTop w:val="0"/>
              <w:marBottom w:val="0"/>
              <w:divBdr>
                <w:top w:val="single" w:sz="2" w:space="0" w:color="D9D9E3"/>
                <w:left w:val="single" w:sz="2" w:space="0" w:color="D9D9E3"/>
                <w:bottom w:val="single" w:sz="2" w:space="0" w:color="D9D9E3"/>
                <w:right w:val="single" w:sz="2" w:space="0" w:color="D9D9E3"/>
              </w:divBdr>
              <w:divsChild>
                <w:div w:id="51005793">
                  <w:marLeft w:val="0"/>
                  <w:marRight w:val="0"/>
                  <w:marTop w:val="0"/>
                  <w:marBottom w:val="0"/>
                  <w:divBdr>
                    <w:top w:val="single" w:sz="2" w:space="0" w:color="D9D9E3"/>
                    <w:left w:val="single" w:sz="2" w:space="0" w:color="D9D9E3"/>
                    <w:bottom w:val="single" w:sz="2" w:space="0" w:color="D9D9E3"/>
                    <w:right w:val="single" w:sz="2" w:space="0" w:color="D9D9E3"/>
                  </w:divBdr>
                  <w:divsChild>
                    <w:div w:id="1271401863">
                      <w:marLeft w:val="0"/>
                      <w:marRight w:val="0"/>
                      <w:marTop w:val="0"/>
                      <w:marBottom w:val="0"/>
                      <w:divBdr>
                        <w:top w:val="single" w:sz="2" w:space="0" w:color="D9D9E3"/>
                        <w:left w:val="single" w:sz="2" w:space="0" w:color="D9D9E3"/>
                        <w:bottom w:val="single" w:sz="2" w:space="0" w:color="D9D9E3"/>
                        <w:right w:val="single" w:sz="2" w:space="0" w:color="D9D9E3"/>
                      </w:divBdr>
                      <w:divsChild>
                        <w:div w:id="863976454">
                          <w:marLeft w:val="0"/>
                          <w:marRight w:val="0"/>
                          <w:marTop w:val="0"/>
                          <w:marBottom w:val="0"/>
                          <w:divBdr>
                            <w:top w:val="single" w:sz="2" w:space="0" w:color="auto"/>
                            <w:left w:val="single" w:sz="2" w:space="0" w:color="auto"/>
                            <w:bottom w:val="single" w:sz="6" w:space="0" w:color="auto"/>
                            <w:right w:val="single" w:sz="2" w:space="0" w:color="auto"/>
                          </w:divBdr>
                          <w:divsChild>
                            <w:div w:id="61484900">
                              <w:marLeft w:val="0"/>
                              <w:marRight w:val="0"/>
                              <w:marTop w:val="100"/>
                              <w:marBottom w:val="100"/>
                              <w:divBdr>
                                <w:top w:val="single" w:sz="2" w:space="0" w:color="D9D9E3"/>
                                <w:left w:val="single" w:sz="2" w:space="0" w:color="D9D9E3"/>
                                <w:bottom w:val="single" w:sz="2" w:space="0" w:color="D9D9E3"/>
                                <w:right w:val="single" w:sz="2" w:space="0" w:color="D9D9E3"/>
                              </w:divBdr>
                              <w:divsChild>
                                <w:div w:id="1086001657">
                                  <w:marLeft w:val="0"/>
                                  <w:marRight w:val="0"/>
                                  <w:marTop w:val="0"/>
                                  <w:marBottom w:val="0"/>
                                  <w:divBdr>
                                    <w:top w:val="single" w:sz="2" w:space="0" w:color="D9D9E3"/>
                                    <w:left w:val="single" w:sz="2" w:space="0" w:color="D9D9E3"/>
                                    <w:bottom w:val="single" w:sz="2" w:space="0" w:color="D9D9E3"/>
                                    <w:right w:val="single" w:sz="2" w:space="0" w:color="D9D9E3"/>
                                  </w:divBdr>
                                  <w:divsChild>
                                    <w:div w:id="1197156667">
                                      <w:marLeft w:val="0"/>
                                      <w:marRight w:val="0"/>
                                      <w:marTop w:val="0"/>
                                      <w:marBottom w:val="0"/>
                                      <w:divBdr>
                                        <w:top w:val="single" w:sz="2" w:space="0" w:color="D9D9E3"/>
                                        <w:left w:val="single" w:sz="2" w:space="0" w:color="D9D9E3"/>
                                        <w:bottom w:val="single" w:sz="2" w:space="0" w:color="D9D9E3"/>
                                        <w:right w:val="single" w:sz="2" w:space="0" w:color="D9D9E3"/>
                                      </w:divBdr>
                                      <w:divsChild>
                                        <w:div w:id="1391266755">
                                          <w:marLeft w:val="0"/>
                                          <w:marRight w:val="0"/>
                                          <w:marTop w:val="0"/>
                                          <w:marBottom w:val="0"/>
                                          <w:divBdr>
                                            <w:top w:val="single" w:sz="2" w:space="0" w:color="D9D9E3"/>
                                            <w:left w:val="single" w:sz="2" w:space="0" w:color="D9D9E3"/>
                                            <w:bottom w:val="single" w:sz="2" w:space="0" w:color="D9D9E3"/>
                                            <w:right w:val="single" w:sz="2" w:space="0" w:color="D9D9E3"/>
                                          </w:divBdr>
                                          <w:divsChild>
                                            <w:div w:id="7823807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10153102">
          <w:marLeft w:val="0"/>
          <w:marRight w:val="0"/>
          <w:marTop w:val="0"/>
          <w:marBottom w:val="0"/>
          <w:divBdr>
            <w:top w:val="none" w:sz="0" w:space="0" w:color="auto"/>
            <w:left w:val="none" w:sz="0" w:space="0" w:color="auto"/>
            <w:bottom w:val="none" w:sz="0" w:space="0" w:color="auto"/>
            <w:right w:val="none" w:sz="0" w:space="0" w:color="auto"/>
          </w:divBdr>
        </w:div>
      </w:divsChild>
    </w:div>
    <w:div w:id="1186751249">
      <w:bodyDiv w:val="1"/>
      <w:marLeft w:val="0"/>
      <w:marRight w:val="0"/>
      <w:marTop w:val="0"/>
      <w:marBottom w:val="0"/>
      <w:divBdr>
        <w:top w:val="none" w:sz="0" w:space="0" w:color="auto"/>
        <w:left w:val="none" w:sz="0" w:space="0" w:color="auto"/>
        <w:bottom w:val="none" w:sz="0" w:space="0" w:color="auto"/>
        <w:right w:val="none" w:sz="0" w:space="0" w:color="auto"/>
      </w:divBdr>
      <w:divsChild>
        <w:div w:id="780148331">
          <w:marLeft w:val="0"/>
          <w:marRight w:val="0"/>
          <w:marTop w:val="0"/>
          <w:marBottom w:val="0"/>
          <w:divBdr>
            <w:top w:val="single" w:sz="2" w:space="0" w:color="D9D9E3"/>
            <w:left w:val="single" w:sz="2" w:space="0" w:color="D9D9E3"/>
            <w:bottom w:val="single" w:sz="2" w:space="0" w:color="D9D9E3"/>
            <w:right w:val="single" w:sz="2" w:space="0" w:color="D9D9E3"/>
          </w:divBdr>
          <w:divsChild>
            <w:div w:id="831528626">
              <w:marLeft w:val="0"/>
              <w:marRight w:val="0"/>
              <w:marTop w:val="0"/>
              <w:marBottom w:val="0"/>
              <w:divBdr>
                <w:top w:val="single" w:sz="2" w:space="0" w:color="D9D9E3"/>
                <w:left w:val="single" w:sz="2" w:space="0" w:color="D9D9E3"/>
                <w:bottom w:val="single" w:sz="2" w:space="0" w:color="D9D9E3"/>
                <w:right w:val="single" w:sz="2" w:space="0" w:color="D9D9E3"/>
              </w:divBdr>
              <w:divsChild>
                <w:div w:id="1644459147">
                  <w:marLeft w:val="0"/>
                  <w:marRight w:val="0"/>
                  <w:marTop w:val="0"/>
                  <w:marBottom w:val="0"/>
                  <w:divBdr>
                    <w:top w:val="single" w:sz="2" w:space="0" w:color="D9D9E3"/>
                    <w:left w:val="single" w:sz="2" w:space="0" w:color="D9D9E3"/>
                    <w:bottom w:val="single" w:sz="2" w:space="0" w:color="D9D9E3"/>
                    <w:right w:val="single" w:sz="2" w:space="0" w:color="D9D9E3"/>
                  </w:divBdr>
                  <w:divsChild>
                    <w:div w:id="1263419259">
                      <w:marLeft w:val="0"/>
                      <w:marRight w:val="0"/>
                      <w:marTop w:val="0"/>
                      <w:marBottom w:val="0"/>
                      <w:divBdr>
                        <w:top w:val="single" w:sz="2" w:space="0" w:color="D9D9E3"/>
                        <w:left w:val="single" w:sz="2" w:space="0" w:color="D9D9E3"/>
                        <w:bottom w:val="single" w:sz="2" w:space="0" w:color="D9D9E3"/>
                        <w:right w:val="single" w:sz="2" w:space="0" w:color="D9D9E3"/>
                      </w:divBdr>
                      <w:divsChild>
                        <w:div w:id="1349598081">
                          <w:marLeft w:val="0"/>
                          <w:marRight w:val="0"/>
                          <w:marTop w:val="0"/>
                          <w:marBottom w:val="0"/>
                          <w:divBdr>
                            <w:top w:val="single" w:sz="2" w:space="0" w:color="auto"/>
                            <w:left w:val="single" w:sz="2" w:space="0" w:color="auto"/>
                            <w:bottom w:val="single" w:sz="6" w:space="0" w:color="auto"/>
                            <w:right w:val="single" w:sz="2" w:space="0" w:color="auto"/>
                          </w:divBdr>
                          <w:divsChild>
                            <w:div w:id="1553469153">
                              <w:marLeft w:val="0"/>
                              <w:marRight w:val="0"/>
                              <w:marTop w:val="100"/>
                              <w:marBottom w:val="100"/>
                              <w:divBdr>
                                <w:top w:val="single" w:sz="2" w:space="0" w:color="D9D9E3"/>
                                <w:left w:val="single" w:sz="2" w:space="0" w:color="D9D9E3"/>
                                <w:bottom w:val="single" w:sz="2" w:space="0" w:color="D9D9E3"/>
                                <w:right w:val="single" w:sz="2" w:space="0" w:color="D9D9E3"/>
                              </w:divBdr>
                              <w:divsChild>
                                <w:div w:id="1926915845">
                                  <w:marLeft w:val="0"/>
                                  <w:marRight w:val="0"/>
                                  <w:marTop w:val="0"/>
                                  <w:marBottom w:val="0"/>
                                  <w:divBdr>
                                    <w:top w:val="single" w:sz="2" w:space="0" w:color="D9D9E3"/>
                                    <w:left w:val="single" w:sz="2" w:space="0" w:color="D9D9E3"/>
                                    <w:bottom w:val="single" w:sz="2" w:space="0" w:color="D9D9E3"/>
                                    <w:right w:val="single" w:sz="2" w:space="0" w:color="D9D9E3"/>
                                  </w:divBdr>
                                  <w:divsChild>
                                    <w:div w:id="1115294784">
                                      <w:marLeft w:val="0"/>
                                      <w:marRight w:val="0"/>
                                      <w:marTop w:val="0"/>
                                      <w:marBottom w:val="0"/>
                                      <w:divBdr>
                                        <w:top w:val="single" w:sz="2" w:space="0" w:color="D9D9E3"/>
                                        <w:left w:val="single" w:sz="2" w:space="0" w:color="D9D9E3"/>
                                        <w:bottom w:val="single" w:sz="2" w:space="0" w:color="D9D9E3"/>
                                        <w:right w:val="single" w:sz="2" w:space="0" w:color="D9D9E3"/>
                                      </w:divBdr>
                                      <w:divsChild>
                                        <w:div w:id="419326788">
                                          <w:marLeft w:val="0"/>
                                          <w:marRight w:val="0"/>
                                          <w:marTop w:val="0"/>
                                          <w:marBottom w:val="0"/>
                                          <w:divBdr>
                                            <w:top w:val="single" w:sz="2" w:space="0" w:color="D9D9E3"/>
                                            <w:left w:val="single" w:sz="2" w:space="0" w:color="D9D9E3"/>
                                            <w:bottom w:val="single" w:sz="2" w:space="0" w:color="D9D9E3"/>
                                            <w:right w:val="single" w:sz="2" w:space="0" w:color="D9D9E3"/>
                                          </w:divBdr>
                                          <w:divsChild>
                                            <w:div w:id="263149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28011906">
          <w:marLeft w:val="0"/>
          <w:marRight w:val="0"/>
          <w:marTop w:val="0"/>
          <w:marBottom w:val="0"/>
          <w:divBdr>
            <w:top w:val="none" w:sz="0" w:space="0" w:color="auto"/>
            <w:left w:val="none" w:sz="0" w:space="0" w:color="auto"/>
            <w:bottom w:val="none" w:sz="0" w:space="0" w:color="auto"/>
            <w:right w:val="none" w:sz="0" w:space="0" w:color="auto"/>
          </w:divBdr>
        </w:div>
      </w:divsChild>
    </w:div>
    <w:div w:id="1257205472">
      <w:bodyDiv w:val="1"/>
      <w:marLeft w:val="0"/>
      <w:marRight w:val="0"/>
      <w:marTop w:val="0"/>
      <w:marBottom w:val="0"/>
      <w:divBdr>
        <w:top w:val="none" w:sz="0" w:space="0" w:color="auto"/>
        <w:left w:val="none" w:sz="0" w:space="0" w:color="auto"/>
        <w:bottom w:val="none" w:sz="0" w:space="0" w:color="auto"/>
        <w:right w:val="none" w:sz="0" w:space="0" w:color="auto"/>
      </w:divBdr>
      <w:divsChild>
        <w:div w:id="1734158161">
          <w:marLeft w:val="0"/>
          <w:marRight w:val="0"/>
          <w:marTop w:val="0"/>
          <w:marBottom w:val="0"/>
          <w:divBdr>
            <w:top w:val="single" w:sz="2" w:space="0" w:color="D9D9E3"/>
            <w:left w:val="single" w:sz="2" w:space="0" w:color="D9D9E3"/>
            <w:bottom w:val="single" w:sz="2" w:space="0" w:color="D9D9E3"/>
            <w:right w:val="single" w:sz="2" w:space="0" w:color="D9D9E3"/>
          </w:divBdr>
          <w:divsChild>
            <w:div w:id="1257056542">
              <w:marLeft w:val="0"/>
              <w:marRight w:val="0"/>
              <w:marTop w:val="0"/>
              <w:marBottom w:val="0"/>
              <w:divBdr>
                <w:top w:val="single" w:sz="2" w:space="0" w:color="D9D9E3"/>
                <w:left w:val="single" w:sz="2" w:space="0" w:color="D9D9E3"/>
                <w:bottom w:val="single" w:sz="2" w:space="0" w:color="D9D9E3"/>
                <w:right w:val="single" w:sz="2" w:space="0" w:color="D9D9E3"/>
              </w:divBdr>
              <w:divsChild>
                <w:div w:id="275331882">
                  <w:marLeft w:val="0"/>
                  <w:marRight w:val="0"/>
                  <w:marTop w:val="0"/>
                  <w:marBottom w:val="0"/>
                  <w:divBdr>
                    <w:top w:val="single" w:sz="2" w:space="0" w:color="D9D9E3"/>
                    <w:left w:val="single" w:sz="2" w:space="0" w:color="D9D9E3"/>
                    <w:bottom w:val="single" w:sz="2" w:space="0" w:color="D9D9E3"/>
                    <w:right w:val="single" w:sz="2" w:space="0" w:color="D9D9E3"/>
                  </w:divBdr>
                  <w:divsChild>
                    <w:div w:id="1296762560">
                      <w:marLeft w:val="0"/>
                      <w:marRight w:val="0"/>
                      <w:marTop w:val="0"/>
                      <w:marBottom w:val="0"/>
                      <w:divBdr>
                        <w:top w:val="single" w:sz="2" w:space="0" w:color="D9D9E3"/>
                        <w:left w:val="single" w:sz="2" w:space="0" w:color="D9D9E3"/>
                        <w:bottom w:val="single" w:sz="2" w:space="0" w:color="D9D9E3"/>
                        <w:right w:val="single" w:sz="2" w:space="0" w:color="D9D9E3"/>
                      </w:divBdr>
                      <w:divsChild>
                        <w:div w:id="983853959">
                          <w:marLeft w:val="0"/>
                          <w:marRight w:val="0"/>
                          <w:marTop w:val="0"/>
                          <w:marBottom w:val="0"/>
                          <w:divBdr>
                            <w:top w:val="single" w:sz="2" w:space="0" w:color="auto"/>
                            <w:left w:val="single" w:sz="2" w:space="0" w:color="auto"/>
                            <w:bottom w:val="single" w:sz="6" w:space="0" w:color="auto"/>
                            <w:right w:val="single" w:sz="2" w:space="0" w:color="auto"/>
                          </w:divBdr>
                          <w:divsChild>
                            <w:div w:id="523137347">
                              <w:marLeft w:val="0"/>
                              <w:marRight w:val="0"/>
                              <w:marTop w:val="100"/>
                              <w:marBottom w:val="100"/>
                              <w:divBdr>
                                <w:top w:val="single" w:sz="2" w:space="0" w:color="D9D9E3"/>
                                <w:left w:val="single" w:sz="2" w:space="0" w:color="D9D9E3"/>
                                <w:bottom w:val="single" w:sz="2" w:space="0" w:color="D9D9E3"/>
                                <w:right w:val="single" w:sz="2" w:space="0" w:color="D9D9E3"/>
                              </w:divBdr>
                              <w:divsChild>
                                <w:div w:id="820004546">
                                  <w:marLeft w:val="0"/>
                                  <w:marRight w:val="0"/>
                                  <w:marTop w:val="0"/>
                                  <w:marBottom w:val="0"/>
                                  <w:divBdr>
                                    <w:top w:val="single" w:sz="2" w:space="0" w:color="D9D9E3"/>
                                    <w:left w:val="single" w:sz="2" w:space="0" w:color="D9D9E3"/>
                                    <w:bottom w:val="single" w:sz="2" w:space="0" w:color="D9D9E3"/>
                                    <w:right w:val="single" w:sz="2" w:space="0" w:color="D9D9E3"/>
                                  </w:divBdr>
                                  <w:divsChild>
                                    <w:div w:id="2056663351">
                                      <w:marLeft w:val="0"/>
                                      <w:marRight w:val="0"/>
                                      <w:marTop w:val="0"/>
                                      <w:marBottom w:val="0"/>
                                      <w:divBdr>
                                        <w:top w:val="single" w:sz="2" w:space="0" w:color="D9D9E3"/>
                                        <w:left w:val="single" w:sz="2" w:space="0" w:color="D9D9E3"/>
                                        <w:bottom w:val="single" w:sz="2" w:space="0" w:color="D9D9E3"/>
                                        <w:right w:val="single" w:sz="2" w:space="0" w:color="D9D9E3"/>
                                      </w:divBdr>
                                      <w:divsChild>
                                        <w:div w:id="1588464851">
                                          <w:marLeft w:val="0"/>
                                          <w:marRight w:val="0"/>
                                          <w:marTop w:val="0"/>
                                          <w:marBottom w:val="0"/>
                                          <w:divBdr>
                                            <w:top w:val="single" w:sz="2" w:space="0" w:color="D9D9E3"/>
                                            <w:left w:val="single" w:sz="2" w:space="0" w:color="D9D9E3"/>
                                            <w:bottom w:val="single" w:sz="2" w:space="0" w:color="D9D9E3"/>
                                            <w:right w:val="single" w:sz="2" w:space="0" w:color="D9D9E3"/>
                                          </w:divBdr>
                                          <w:divsChild>
                                            <w:div w:id="2651168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56803052">
          <w:marLeft w:val="0"/>
          <w:marRight w:val="0"/>
          <w:marTop w:val="0"/>
          <w:marBottom w:val="0"/>
          <w:divBdr>
            <w:top w:val="none" w:sz="0" w:space="0" w:color="auto"/>
            <w:left w:val="none" w:sz="0" w:space="0" w:color="auto"/>
            <w:bottom w:val="none" w:sz="0" w:space="0" w:color="auto"/>
            <w:right w:val="none" w:sz="0" w:space="0" w:color="auto"/>
          </w:divBdr>
          <w:divsChild>
            <w:div w:id="1006174209">
              <w:marLeft w:val="0"/>
              <w:marRight w:val="0"/>
              <w:marTop w:val="0"/>
              <w:marBottom w:val="0"/>
              <w:divBdr>
                <w:top w:val="single" w:sz="2" w:space="0" w:color="D9D9E3"/>
                <w:left w:val="single" w:sz="2" w:space="0" w:color="D9D9E3"/>
                <w:bottom w:val="single" w:sz="2" w:space="0" w:color="D9D9E3"/>
                <w:right w:val="single" w:sz="2" w:space="0" w:color="D9D9E3"/>
              </w:divBdr>
              <w:divsChild>
                <w:div w:id="639575401">
                  <w:marLeft w:val="0"/>
                  <w:marRight w:val="0"/>
                  <w:marTop w:val="0"/>
                  <w:marBottom w:val="0"/>
                  <w:divBdr>
                    <w:top w:val="single" w:sz="2" w:space="0" w:color="D9D9E3"/>
                    <w:left w:val="single" w:sz="2" w:space="0" w:color="D9D9E3"/>
                    <w:bottom w:val="single" w:sz="2" w:space="0" w:color="D9D9E3"/>
                    <w:right w:val="single" w:sz="2" w:space="0" w:color="D9D9E3"/>
                  </w:divBdr>
                  <w:divsChild>
                    <w:div w:id="1071192130">
                      <w:marLeft w:val="0"/>
                      <w:marRight w:val="0"/>
                      <w:marTop w:val="0"/>
                      <w:marBottom w:val="0"/>
                      <w:divBdr>
                        <w:top w:val="single" w:sz="2" w:space="0" w:color="D9D9E3"/>
                        <w:left w:val="single" w:sz="2" w:space="0" w:color="D9D9E3"/>
                        <w:bottom w:val="single" w:sz="2" w:space="0" w:color="D9D9E3"/>
                        <w:right w:val="single" w:sz="2" w:space="0" w:color="D9D9E3"/>
                      </w:divBdr>
                      <w:divsChild>
                        <w:div w:id="431635692">
                          <w:marLeft w:val="0"/>
                          <w:marRight w:val="0"/>
                          <w:marTop w:val="0"/>
                          <w:marBottom w:val="0"/>
                          <w:divBdr>
                            <w:top w:val="single" w:sz="2" w:space="0" w:color="D9D9E3"/>
                            <w:left w:val="single" w:sz="2" w:space="0" w:color="D9D9E3"/>
                            <w:bottom w:val="single" w:sz="2" w:space="0" w:color="D9D9E3"/>
                            <w:right w:val="single" w:sz="2" w:space="0" w:color="D9D9E3"/>
                          </w:divBdr>
                          <w:divsChild>
                            <w:div w:id="1749615073">
                              <w:marLeft w:val="0"/>
                              <w:marRight w:val="0"/>
                              <w:marTop w:val="0"/>
                              <w:marBottom w:val="0"/>
                              <w:divBdr>
                                <w:top w:val="single" w:sz="2" w:space="0" w:color="D9D9E3"/>
                                <w:left w:val="single" w:sz="2" w:space="0" w:color="D9D9E3"/>
                                <w:bottom w:val="single" w:sz="2" w:space="0" w:color="D9D9E3"/>
                                <w:right w:val="single" w:sz="2" w:space="0" w:color="D9D9E3"/>
                              </w:divBdr>
                              <w:divsChild>
                                <w:div w:id="364990080">
                                  <w:marLeft w:val="0"/>
                                  <w:marRight w:val="0"/>
                                  <w:marTop w:val="0"/>
                                  <w:marBottom w:val="0"/>
                                  <w:divBdr>
                                    <w:top w:val="single" w:sz="2" w:space="0" w:color="D9D9E3"/>
                                    <w:left w:val="single" w:sz="2" w:space="0" w:color="D9D9E3"/>
                                    <w:bottom w:val="single" w:sz="2" w:space="0" w:color="D9D9E3"/>
                                    <w:right w:val="single" w:sz="2" w:space="0" w:color="D9D9E3"/>
                                  </w:divBdr>
                                  <w:divsChild>
                                    <w:div w:id="14937898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62957195">
                                  <w:marLeft w:val="0"/>
                                  <w:marRight w:val="0"/>
                                  <w:marTop w:val="0"/>
                                  <w:marBottom w:val="0"/>
                                  <w:divBdr>
                                    <w:top w:val="single" w:sz="2" w:space="0" w:color="D9D9E3"/>
                                    <w:left w:val="single" w:sz="2" w:space="0" w:color="D9D9E3"/>
                                    <w:bottom w:val="single" w:sz="2" w:space="0" w:color="D9D9E3"/>
                                    <w:right w:val="single" w:sz="2" w:space="0" w:color="D9D9E3"/>
                                  </w:divBdr>
                                  <w:divsChild>
                                    <w:div w:id="702369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09044454">
      <w:bodyDiv w:val="1"/>
      <w:marLeft w:val="0"/>
      <w:marRight w:val="0"/>
      <w:marTop w:val="0"/>
      <w:marBottom w:val="0"/>
      <w:divBdr>
        <w:top w:val="none" w:sz="0" w:space="0" w:color="auto"/>
        <w:left w:val="none" w:sz="0" w:space="0" w:color="auto"/>
        <w:bottom w:val="none" w:sz="0" w:space="0" w:color="auto"/>
        <w:right w:val="none" w:sz="0" w:space="0" w:color="auto"/>
      </w:divBdr>
      <w:divsChild>
        <w:div w:id="1770345181">
          <w:marLeft w:val="0"/>
          <w:marRight w:val="0"/>
          <w:marTop w:val="0"/>
          <w:marBottom w:val="0"/>
          <w:divBdr>
            <w:top w:val="single" w:sz="2" w:space="0" w:color="D9D9E3"/>
            <w:left w:val="single" w:sz="2" w:space="0" w:color="D9D9E3"/>
            <w:bottom w:val="single" w:sz="2" w:space="0" w:color="D9D9E3"/>
            <w:right w:val="single" w:sz="2" w:space="0" w:color="D9D9E3"/>
          </w:divBdr>
          <w:divsChild>
            <w:div w:id="1219518040">
              <w:marLeft w:val="0"/>
              <w:marRight w:val="0"/>
              <w:marTop w:val="0"/>
              <w:marBottom w:val="0"/>
              <w:divBdr>
                <w:top w:val="single" w:sz="2" w:space="0" w:color="D9D9E3"/>
                <w:left w:val="single" w:sz="2" w:space="0" w:color="D9D9E3"/>
                <w:bottom w:val="single" w:sz="2" w:space="0" w:color="D9D9E3"/>
                <w:right w:val="single" w:sz="2" w:space="0" w:color="D9D9E3"/>
              </w:divBdr>
              <w:divsChild>
                <w:div w:id="1045519962">
                  <w:marLeft w:val="0"/>
                  <w:marRight w:val="0"/>
                  <w:marTop w:val="0"/>
                  <w:marBottom w:val="0"/>
                  <w:divBdr>
                    <w:top w:val="single" w:sz="2" w:space="0" w:color="D9D9E3"/>
                    <w:left w:val="single" w:sz="2" w:space="0" w:color="D9D9E3"/>
                    <w:bottom w:val="single" w:sz="2" w:space="0" w:color="D9D9E3"/>
                    <w:right w:val="single" w:sz="2" w:space="0" w:color="D9D9E3"/>
                  </w:divBdr>
                  <w:divsChild>
                    <w:div w:id="798687424">
                      <w:marLeft w:val="0"/>
                      <w:marRight w:val="0"/>
                      <w:marTop w:val="0"/>
                      <w:marBottom w:val="0"/>
                      <w:divBdr>
                        <w:top w:val="single" w:sz="2" w:space="0" w:color="D9D9E3"/>
                        <w:left w:val="single" w:sz="2" w:space="0" w:color="D9D9E3"/>
                        <w:bottom w:val="single" w:sz="2" w:space="0" w:color="D9D9E3"/>
                        <w:right w:val="single" w:sz="2" w:space="0" w:color="D9D9E3"/>
                      </w:divBdr>
                      <w:divsChild>
                        <w:div w:id="1806704773">
                          <w:marLeft w:val="0"/>
                          <w:marRight w:val="0"/>
                          <w:marTop w:val="0"/>
                          <w:marBottom w:val="0"/>
                          <w:divBdr>
                            <w:top w:val="single" w:sz="2" w:space="0" w:color="auto"/>
                            <w:left w:val="single" w:sz="2" w:space="0" w:color="auto"/>
                            <w:bottom w:val="single" w:sz="6" w:space="0" w:color="auto"/>
                            <w:right w:val="single" w:sz="2" w:space="0" w:color="auto"/>
                          </w:divBdr>
                          <w:divsChild>
                            <w:div w:id="859589390">
                              <w:marLeft w:val="0"/>
                              <w:marRight w:val="0"/>
                              <w:marTop w:val="100"/>
                              <w:marBottom w:val="100"/>
                              <w:divBdr>
                                <w:top w:val="single" w:sz="2" w:space="0" w:color="D9D9E3"/>
                                <w:left w:val="single" w:sz="2" w:space="0" w:color="D9D9E3"/>
                                <w:bottom w:val="single" w:sz="2" w:space="0" w:color="D9D9E3"/>
                                <w:right w:val="single" w:sz="2" w:space="0" w:color="D9D9E3"/>
                              </w:divBdr>
                              <w:divsChild>
                                <w:div w:id="164709232">
                                  <w:marLeft w:val="0"/>
                                  <w:marRight w:val="0"/>
                                  <w:marTop w:val="0"/>
                                  <w:marBottom w:val="0"/>
                                  <w:divBdr>
                                    <w:top w:val="single" w:sz="2" w:space="0" w:color="D9D9E3"/>
                                    <w:left w:val="single" w:sz="2" w:space="0" w:color="D9D9E3"/>
                                    <w:bottom w:val="single" w:sz="2" w:space="0" w:color="D9D9E3"/>
                                    <w:right w:val="single" w:sz="2" w:space="0" w:color="D9D9E3"/>
                                  </w:divBdr>
                                  <w:divsChild>
                                    <w:div w:id="1634023028">
                                      <w:marLeft w:val="0"/>
                                      <w:marRight w:val="0"/>
                                      <w:marTop w:val="0"/>
                                      <w:marBottom w:val="0"/>
                                      <w:divBdr>
                                        <w:top w:val="single" w:sz="2" w:space="0" w:color="D9D9E3"/>
                                        <w:left w:val="single" w:sz="2" w:space="0" w:color="D9D9E3"/>
                                        <w:bottom w:val="single" w:sz="2" w:space="0" w:color="D9D9E3"/>
                                        <w:right w:val="single" w:sz="2" w:space="0" w:color="D9D9E3"/>
                                      </w:divBdr>
                                      <w:divsChild>
                                        <w:div w:id="670186179">
                                          <w:marLeft w:val="0"/>
                                          <w:marRight w:val="0"/>
                                          <w:marTop w:val="0"/>
                                          <w:marBottom w:val="0"/>
                                          <w:divBdr>
                                            <w:top w:val="single" w:sz="2" w:space="0" w:color="D9D9E3"/>
                                            <w:left w:val="single" w:sz="2" w:space="0" w:color="D9D9E3"/>
                                            <w:bottom w:val="single" w:sz="2" w:space="0" w:color="D9D9E3"/>
                                            <w:right w:val="single" w:sz="2" w:space="0" w:color="D9D9E3"/>
                                          </w:divBdr>
                                          <w:divsChild>
                                            <w:div w:id="8631274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30895728">
          <w:marLeft w:val="0"/>
          <w:marRight w:val="0"/>
          <w:marTop w:val="0"/>
          <w:marBottom w:val="0"/>
          <w:divBdr>
            <w:top w:val="none" w:sz="0" w:space="0" w:color="auto"/>
            <w:left w:val="none" w:sz="0" w:space="0" w:color="auto"/>
            <w:bottom w:val="none" w:sz="0" w:space="0" w:color="auto"/>
            <w:right w:val="none" w:sz="0" w:space="0" w:color="auto"/>
          </w:divBdr>
        </w:div>
      </w:divsChild>
    </w:div>
    <w:div w:id="1389917230">
      <w:bodyDiv w:val="1"/>
      <w:marLeft w:val="0"/>
      <w:marRight w:val="0"/>
      <w:marTop w:val="0"/>
      <w:marBottom w:val="0"/>
      <w:divBdr>
        <w:top w:val="none" w:sz="0" w:space="0" w:color="auto"/>
        <w:left w:val="none" w:sz="0" w:space="0" w:color="auto"/>
        <w:bottom w:val="none" w:sz="0" w:space="0" w:color="auto"/>
        <w:right w:val="none" w:sz="0" w:space="0" w:color="auto"/>
      </w:divBdr>
    </w:div>
    <w:div w:id="1397439578">
      <w:bodyDiv w:val="1"/>
      <w:marLeft w:val="0"/>
      <w:marRight w:val="0"/>
      <w:marTop w:val="0"/>
      <w:marBottom w:val="0"/>
      <w:divBdr>
        <w:top w:val="none" w:sz="0" w:space="0" w:color="auto"/>
        <w:left w:val="none" w:sz="0" w:space="0" w:color="auto"/>
        <w:bottom w:val="none" w:sz="0" w:space="0" w:color="auto"/>
        <w:right w:val="none" w:sz="0" w:space="0" w:color="auto"/>
      </w:divBdr>
      <w:divsChild>
        <w:div w:id="1723864834">
          <w:marLeft w:val="0"/>
          <w:marRight w:val="0"/>
          <w:marTop w:val="0"/>
          <w:marBottom w:val="0"/>
          <w:divBdr>
            <w:top w:val="single" w:sz="2" w:space="0" w:color="D9D9E3"/>
            <w:left w:val="single" w:sz="2" w:space="0" w:color="D9D9E3"/>
            <w:bottom w:val="single" w:sz="2" w:space="0" w:color="D9D9E3"/>
            <w:right w:val="single" w:sz="2" w:space="0" w:color="D9D9E3"/>
          </w:divBdr>
          <w:divsChild>
            <w:div w:id="1972010819">
              <w:marLeft w:val="0"/>
              <w:marRight w:val="0"/>
              <w:marTop w:val="0"/>
              <w:marBottom w:val="0"/>
              <w:divBdr>
                <w:top w:val="single" w:sz="2" w:space="0" w:color="D9D9E3"/>
                <w:left w:val="single" w:sz="2" w:space="0" w:color="D9D9E3"/>
                <w:bottom w:val="single" w:sz="2" w:space="0" w:color="D9D9E3"/>
                <w:right w:val="single" w:sz="2" w:space="0" w:color="D9D9E3"/>
              </w:divBdr>
              <w:divsChild>
                <w:div w:id="585843529">
                  <w:marLeft w:val="0"/>
                  <w:marRight w:val="0"/>
                  <w:marTop w:val="0"/>
                  <w:marBottom w:val="0"/>
                  <w:divBdr>
                    <w:top w:val="single" w:sz="2" w:space="0" w:color="D9D9E3"/>
                    <w:left w:val="single" w:sz="2" w:space="0" w:color="D9D9E3"/>
                    <w:bottom w:val="single" w:sz="2" w:space="0" w:color="D9D9E3"/>
                    <w:right w:val="single" w:sz="2" w:space="0" w:color="D9D9E3"/>
                  </w:divBdr>
                  <w:divsChild>
                    <w:div w:id="776485783">
                      <w:marLeft w:val="0"/>
                      <w:marRight w:val="0"/>
                      <w:marTop w:val="0"/>
                      <w:marBottom w:val="0"/>
                      <w:divBdr>
                        <w:top w:val="single" w:sz="2" w:space="0" w:color="D9D9E3"/>
                        <w:left w:val="single" w:sz="2" w:space="0" w:color="D9D9E3"/>
                        <w:bottom w:val="single" w:sz="2" w:space="0" w:color="D9D9E3"/>
                        <w:right w:val="single" w:sz="2" w:space="0" w:color="D9D9E3"/>
                      </w:divBdr>
                      <w:divsChild>
                        <w:div w:id="1996444996">
                          <w:marLeft w:val="0"/>
                          <w:marRight w:val="0"/>
                          <w:marTop w:val="0"/>
                          <w:marBottom w:val="0"/>
                          <w:divBdr>
                            <w:top w:val="single" w:sz="2" w:space="0" w:color="auto"/>
                            <w:left w:val="single" w:sz="2" w:space="0" w:color="auto"/>
                            <w:bottom w:val="single" w:sz="6" w:space="0" w:color="auto"/>
                            <w:right w:val="single" w:sz="2" w:space="0" w:color="auto"/>
                          </w:divBdr>
                          <w:divsChild>
                            <w:div w:id="1409032311">
                              <w:marLeft w:val="0"/>
                              <w:marRight w:val="0"/>
                              <w:marTop w:val="100"/>
                              <w:marBottom w:val="100"/>
                              <w:divBdr>
                                <w:top w:val="single" w:sz="2" w:space="0" w:color="D9D9E3"/>
                                <w:left w:val="single" w:sz="2" w:space="0" w:color="D9D9E3"/>
                                <w:bottom w:val="single" w:sz="2" w:space="0" w:color="D9D9E3"/>
                                <w:right w:val="single" w:sz="2" w:space="0" w:color="D9D9E3"/>
                              </w:divBdr>
                              <w:divsChild>
                                <w:div w:id="1020745326">
                                  <w:marLeft w:val="0"/>
                                  <w:marRight w:val="0"/>
                                  <w:marTop w:val="0"/>
                                  <w:marBottom w:val="0"/>
                                  <w:divBdr>
                                    <w:top w:val="single" w:sz="2" w:space="0" w:color="D9D9E3"/>
                                    <w:left w:val="single" w:sz="2" w:space="0" w:color="D9D9E3"/>
                                    <w:bottom w:val="single" w:sz="2" w:space="0" w:color="D9D9E3"/>
                                    <w:right w:val="single" w:sz="2" w:space="0" w:color="D9D9E3"/>
                                  </w:divBdr>
                                  <w:divsChild>
                                    <w:div w:id="1777599693">
                                      <w:marLeft w:val="0"/>
                                      <w:marRight w:val="0"/>
                                      <w:marTop w:val="0"/>
                                      <w:marBottom w:val="0"/>
                                      <w:divBdr>
                                        <w:top w:val="single" w:sz="2" w:space="0" w:color="D9D9E3"/>
                                        <w:left w:val="single" w:sz="2" w:space="0" w:color="D9D9E3"/>
                                        <w:bottom w:val="single" w:sz="2" w:space="0" w:color="D9D9E3"/>
                                        <w:right w:val="single" w:sz="2" w:space="0" w:color="D9D9E3"/>
                                      </w:divBdr>
                                      <w:divsChild>
                                        <w:div w:id="1915503046">
                                          <w:marLeft w:val="0"/>
                                          <w:marRight w:val="0"/>
                                          <w:marTop w:val="0"/>
                                          <w:marBottom w:val="0"/>
                                          <w:divBdr>
                                            <w:top w:val="single" w:sz="2" w:space="0" w:color="D9D9E3"/>
                                            <w:left w:val="single" w:sz="2" w:space="0" w:color="D9D9E3"/>
                                            <w:bottom w:val="single" w:sz="2" w:space="0" w:color="D9D9E3"/>
                                            <w:right w:val="single" w:sz="2" w:space="0" w:color="D9D9E3"/>
                                          </w:divBdr>
                                          <w:divsChild>
                                            <w:div w:id="2860838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98093332">
          <w:marLeft w:val="0"/>
          <w:marRight w:val="0"/>
          <w:marTop w:val="0"/>
          <w:marBottom w:val="0"/>
          <w:divBdr>
            <w:top w:val="none" w:sz="0" w:space="0" w:color="auto"/>
            <w:left w:val="none" w:sz="0" w:space="0" w:color="auto"/>
            <w:bottom w:val="none" w:sz="0" w:space="0" w:color="auto"/>
            <w:right w:val="none" w:sz="0" w:space="0" w:color="auto"/>
          </w:divBdr>
        </w:div>
      </w:divsChild>
    </w:div>
    <w:div w:id="1499151471">
      <w:bodyDiv w:val="1"/>
      <w:marLeft w:val="0"/>
      <w:marRight w:val="0"/>
      <w:marTop w:val="0"/>
      <w:marBottom w:val="0"/>
      <w:divBdr>
        <w:top w:val="none" w:sz="0" w:space="0" w:color="auto"/>
        <w:left w:val="none" w:sz="0" w:space="0" w:color="auto"/>
        <w:bottom w:val="none" w:sz="0" w:space="0" w:color="auto"/>
        <w:right w:val="none" w:sz="0" w:space="0" w:color="auto"/>
      </w:divBdr>
      <w:divsChild>
        <w:div w:id="763309226">
          <w:marLeft w:val="0"/>
          <w:marRight w:val="0"/>
          <w:marTop w:val="0"/>
          <w:marBottom w:val="0"/>
          <w:divBdr>
            <w:top w:val="single" w:sz="2" w:space="0" w:color="D9D9E3"/>
            <w:left w:val="single" w:sz="2" w:space="0" w:color="D9D9E3"/>
            <w:bottom w:val="single" w:sz="2" w:space="0" w:color="D9D9E3"/>
            <w:right w:val="single" w:sz="2" w:space="0" w:color="D9D9E3"/>
          </w:divBdr>
          <w:divsChild>
            <w:div w:id="307050548">
              <w:marLeft w:val="0"/>
              <w:marRight w:val="0"/>
              <w:marTop w:val="0"/>
              <w:marBottom w:val="0"/>
              <w:divBdr>
                <w:top w:val="single" w:sz="2" w:space="0" w:color="D9D9E3"/>
                <w:left w:val="single" w:sz="2" w:space="0" w:color="D9D9E3"/>
                <w:bottom w:val="single" w:sz="2" w:space="0" w:color="D9D9E3"/>
                <w:right w:val="single" w:sz="2" w:space="0" w:color="D9D9E3"/>
              </w:divBdr>
              <w:divsChild>
                <w:div w:id="1027100811">
                  <w:marLeft w:val="0"/>
                  <w:marRight w:val="0"/>
                  <w:marTop w:val="0"/>
                  <w:marBottom w:val="0"/>
                  <w:divBdr>
                    <w:top w:val="single" w:sz="2" w:space="0" w:color="D9D9E3"/>
                    <w:left w:val="single" w:sz="2" w:space="0" w:color="D9D9E3"/>
                    <w:bottom w:val="single" w:sz="2" w:space="0" w:color="D9D9E3"/>
                    <w:right w:val="single" w:sz="2" w:space="0" w:color="D9D9E3"/>
                  </w:divBdr>
                  <w:divsChild>
                    <w:div w:id="34431201">
                      <w:marLeft w:val="0"/>
                      <w:marRight w:val="0"/>
                      <w:marTop w:val="0"/>
                      <w:marBottom w:val="0"/>
                      <w:divBdr>
                        <w:top w:val="single" w:sz="2" w:space="0" w:color="D9D9E3"/>
                        <w:left w:val="single" w:sz="2" w:space="0" w:color="D9D9E3"/>
                        <w:bottom w:val="single" w:sz="2" w:space="0" w:color="D9D9E3"/>
                        <w:right w:val="single" w:sz="2" w:space="0" w:color="D9D9E3"/>
                      </w:divBdr>
                      <w:divsChild>
                        <w:div w:id="1608467794">
                          <w:marLeft w:val="0"/>
                          <w:marRight w:val="0"/>
                          <w:marTop w:val="0"/>
                          <w:marBottom w:val="0"/>
                          <w:divBdr>
                            <w:top w:val="single" w:sz="2" w:space="0" w:color="auto"/>
                            <w:left w:val="single" w:sz="2" w:space="0" w:color="auto"/>
                            <w:bottom w:val="single" w:sz="6" w:space="0" w:color="auto"/>
                            <w:right w:val="single" w:sz="2" w:space="0" w:color="auto"/>
                          </w:divBdr>
                          <w:divsChild>
                            <w:div w:id="1772355913">
                              <w:marLeft w:val="0"/>
                              <w:marRight w:val="0"/>
                              <w:marTop w:val="100"/>
                              <w:marBottom w:val="100"/>
                              <w:divBdr>
                                <w:top w:val="single" w:sz="2" w:space="0" w:color="D9D9E3"/>
                                <w:left w:val="single" w:sz="2" w:space="0" w:color="D9D9E3"/>
                                <w:bottom w:val="single" w:sz="2" w:space="0" w:color="D9D9E3"/>
                                <w:right w:val="single" w:sz="2" w:space="0" w:color="D9D9E3"/>
                              </w:divBdr>
                              <w:divsChild>
                                <w:div w:id="769085772">
                                  <w:marLeft w:val="0"/>
                                  <w:marRight w:val="0"/>
                                  <w:marTop w:val="0"/>
                                  <w:marBottom w:val="0"/>
                                  <w:divBdr>
                                    <w:top w:val="single" w:sz="2" w:space="0" w:color="D9D9E3"/>
                                    <w:left w:val="single" w:sz="2" w:space="0" w:color="D9D9E3"/>
                                    <w:bottom w:val="single" w:sz="2" w:space="0" w:color="D9D9E3"/>
                                    <w:right w:val="single" w:sz="2" w:space="0" w:color="D9D9E3"/>
                                  </w:divBdr>
                                  <w:divsChild>
                                    <w:div w:id="493452601">
                                      <w:marLeft w:val="0"/>
                                      <w:marRight w:val="0"/>
                                      <w:marTop w:val="0"/>
                                      <w:marBottom w:val="0"/>
                                      <w:divBdr>
                                        <w:top w:val="single" w:sz="2" w:space="0" w:color="D9D9E3"/>
                                        <w:left w:val="single" w:sz="2" w:space="0" w:color="D9D9E3"/>
                                        <w:bottom w:val="single" w:sz="2" w:space="0" w:color="D9D9E3"/>
                                        <w:right w:val="single" w:sz="2" w:space="0" w:color="D9D9E3"/>
                                      </w:divBdr>
                                      <w:divsChild>
                                        <w:div w:id="511578427">
                                          <w:marLeft w:val="0"/>
                                          <w:marRight w:val="0"/>
                                          <w:marTop w:val="0"/>
                                          <w:marBottom w:val="0"/>
                                          <w:divBdr>
                                            <w:top w:val="single" w:sz="2" w:space="0" w:color="D9D9E3"/>
                                            <w:left w:val="single" w:sz="2" w:space="0" w:color="D9D9E3"/>
                                            <w:bottom w:val="single" w:sz="2" w:space="0" w:color="D9D9E3"/>
                                            <w:right w:val="single" w:sz="2" w:space="0" w:color="D9D9E3"/>
                                          </w:divBdr>
                                          <w:divsChild>
                                            <w:div w:id="19729069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76616739">
          <w:marLeft w:val="0"/>
          <w:marRight w:val="0"/>
          <w:marTop w:val="0"/>
          <w:marBottom w:val="0"/>
          <w:divBdr>
            <w:top w:val="none" w:sz="0" w:space="0" w:color="auto"/>
            <w:left w:val="none" w:sz="0" w:space="0" w:color="auto"/>
            <w:bottom w:val="none" w:sz="0" w:space="0" w:color="auto"/>
            <w:right w:val="none" w:sz="0" w:space="0" w:color="auto"/>
          </w:divBdr>
        </w:div>
      </w:divsChild>
    </w:div>
    <w:div w:id="1543665799">
      <w:bodyDiv w:val="1"/>
      <w:marLeft w:val="0"/>
      <w:marRight w:val="0"/>
      <w:marTop w:val="0"/>
      <w:marBottom w:val="0"/>
      <w:divBdr>
        <w:top w:val="none" w:sz="0" w:space="0" w:color="auto"/>
        <w:left w:val="none" w:sz="0" w:space="0" w:color="auto"/>
        <w:bottom w:val="none" w:sz="0" w:space="0" w:color="auto"/>
        <w:right w:val="none" w:sz="0" w:space="0" w:color="auto"/>
      </w:divBdr>
      <w:divsChild>
        <w:div w:id="343020026">
          <w:marLeft w:val="0"/>
          <w:marRight w:val="0"/>
          <w:marTop w:val="0"/>
          <w:marBottom w:val="0"/>
          <w:divBdr>
            <w:top w:val="single" w:sz="2" w:space="0" w:color="D9D9E3"/>
            <w:left w:val="single" w:sz="2" w:space="0" w:color="D9D9E3"/>
            <w:bottom w:val="single" w:sz="2" w:space="0" w:color="D9D9E3"/>
            <w:right w:val="single" w:sz="2" w:space="0" w:color="D9D9E3"/>
          </w:divBdr>
          <w:divsChild>
            <w:div w:id="1357538819">
              <w:marLeft w:val="0"/>
              <w:marRight w:val="0"/>
              <w:marTop w:val="0"/>
              <w:marBottom w:val="0"/>
              <w:divBdr>
                <w:top w:val="single" w:sz="2" w:space="0" w:color="D9D9E3"/>
                <w:left w:val="single" w:sz="2" w:space="0" w:color="D9D9E3"/>
                <w:bottom w:val="single" w:sz="2" w:space="0" w:color="D9D9E3"/>
                <w:right w:val="single" w:sz="2" w:space="0" w:color="D9D9E3"/>
              </w:divBdr>
              <w:divsChild>
                <w:div w:id="193007716">
                  <w:marLeft w:val="0"/>
                  <w:marRight w:val="0"/>
                  <w:marTop w:val="0"/>
                  <w:marBottom w:val="0"/>
                  <w:divBdr>
                    <w:top w:val="single" w:sz="2" w:space="0" w:color="D9D9E3"/>
                    <w:left w:val="single" w:sz="2" w:space="0" w:color="D9D9E3"/>
                    <w:bottom w:val="single" w:sz="2" w:space="0" w:color="D9D9E3"/>
                    <w:right w:val="single" w:sz="2" w:space="0" w:color="D9D9E3"/>
                  </w:divBdr>
                  <w:divsChild>
                    <w:div w:id="945432005">
                      <w:marLeft w:val="0"/>
                      <w:marRight w:val="0"/>
                      <w:marTop w:val="0"/>
                      <w:marBottom w:val="0"/>
                      <w:divBdr>
                        <w:top w:val="single" w:sz="2" w:space="0" w:color="D9D9E3"/>
                        <w:left w:val="single" w:sz="2" w:space="0" w:color="D9D9E3"/>
                        <w:bottom w:val="single" w:sz="2" w:space="0" w:color="D9D9E3"/>
                        <w:right w:val="single" w:sz="2" w:space="0" w:color="D9D9E3"/>
                      </w:divBdr>
                      <w:divsChild>
                        <w:div w:id="444737230">
                          <w:marLeft w:val="0"/>
                          <w:marRight w:val="0"/>
                          <w:marTop w:val="0"/>
                          <w:marBottom w:val="0"/>
                          <w:divBdr>
                            <w:top w:val="single" w:sz="2" w:space="0" w:color="auto"/>
                            <w:left w:val="single" w:sz="2" w:space="0" w:color="auto"/>
                            <w:bottom w:val="single" w:sz="6" w:space="0" w:color="auto"/>
                            <w:right w:val="single" w:sz="2" w:space="0" w:color="auto"/>
                          </w:divBdr>
                          <w:divsChild>
                            <w:div w:id="36861374">
                              <w:marLeft w:val="0"/>
                              <w:marRight w:val="0"/>
                              <w:marTop w:val="100"/>
                              <w:marBottom w:val="100"/>
                              <w:divBdr>
                                <w:top w:val="single" w:sz="2" w:space="0" w:color="D9D9E3"/>
                                <w:left w:val="single" w:sz="2" w:space="0" w:color="D9D9E3"/>
                                <w:bottom w:val="single" w:sz="2" w:space="0" w:color="D9D9E3"/>
                                <w:right w:val="single" w:sz="2" w:space="0" w:color="D9D9E3"/>
                              </w:divBdr>
                              <w:divsChild>
                                <w:div w:id="803305497">
                                  <w:marLeft w:val="0"/>
                                  <w:marRight w:val="0"/>
                                  <w:marTop w:val="0"/>
                                  <w:marBottom w:val="0"/>
                                  <w:divBdr>
                                    <w:top w:val="single" w:sz="2" w:space="0" w:color="D9D9E3"/>
                                    <w:left w:val="single" w:sz="2" w:space="0" w:color="D9D9E3"/>
                                    <w:bottom w:val="single" w:sz="2" w:space="0" w:color="D9D9E3"/>
                                    <w:right w:val="single" w:sz="2" w:space="0" w:color="D9D9E3"/>
                                  </w:divBdr>
                                  <w:divsChild>
                                    <w:div w:id="1100762232">
                                      <w:marLeft w:val="0"/>
                                      <w:marRight w:val="0"/>
                                      <w:marTop w:val="0"/>
                                      <w:marBottom w:val="0"/>
                                      <w:divBdr>
                                        <w:top w:val="single" w:sz="2" w:space="0" w:color="D9D9E3"/>
                                        <w:left w:val="single" w:sz="2" w:space="0" w:color="D9D9E3"/>
                                        <w:bottom w:val="single" w:sz="2" w:space="0" w:color="D9D9E3"/>
                                        <w:right w:val="single" w:sz="2" w:space="0" w:color="D9D9E3"/>
                                      </w:divBdr>
                                      <w:divsChild>
                                        <w:div w:id="1242986513">
                                          <w:marLeft w:val="0"/>
                                          <w:marRight w:val="0"/>
                                          <w:marTop w:val="0"/>
                                          <w:marBottom w:val="0"/>
                                          <w:divBdr>
                                            <w:top w:val="single" w:sz="2" w:space="0" w:color="D9D9E3"/>
                                            <w:left w:val="single" w:sz="2" w:space="0" w:color="D9D9E3"/>
                                            <w:bottom w:val="single" w:sz="2" w:space="0" w:color="D9D9E3"/>
                                            <w:right w:val="single" w:sz="2" w:space="0" w:color="D9D9E3"/>
                                          </w:divBdr>
                                          <w:divsChild>
                                            <w:div w:id="18744631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58589947">
          <w:marLeft w:val="0"/>
          <w:marRight w:val="0"/>
          <w:marTop w:val="0"/>
          <w:marBottom w:val="0"/>
          <w:divBdr>
            <w:top w:val="none" w:sz="0" w:space="0" w:color="auto"/>
            <w:left w:val="none" w:sz="0" w:space="0" w:color="auto"/>
            <w:bottom w:val="none" w:sz="0" w:space="0" w:color="auto"/>
            <w:right w:val="none" w:sz="0" w:space="0" w:color="auto"/>
          </w:divBdr>
          <w:divsChild>
            <w:div w:id="1736469593">
              <w:marLeft w:val="0"/>
              <w:marRight w:val="0"/>
              <w:marTop w:val="0"/>
              <w:marBottom w:val="0"/>
              <w:divBdr>
                <w:top w:val="single" w:sz="2" w:space="0" w:color="D9D9E3"/>
                <w:left w:val="single" w:sz="2" w:space="0" w:color="D9D9E3"/>
                <w:bottom w:val="single" w:sz="2" w:space="0" w:color="D9D9E3"/>
                <w:right w:val="single" w:sz="2" w:space="0" w:color="D9D9E3"/>
              </w:divBdr>
              <w:divsChild>
                <w:div w:id="37631066">
                  <w:marLeft w:val="0"/>
                  <w:marRight w:val="0"/>
                  <w:marTop w:val="0"/>
                  <w:marBottom w:val="0"/>
                  <w:divBdr>
                    <w:top w:val="single" w:sz="2" w:space="0" w:color="D9D9E3"/>
                    <w:left w:val="single" w:sz="2" w:space="0" w:color="D9D9E3"/>
                    <w:bottom w:val="single" w:sz="2" w:space="0" w:color="D9D9E3"/>
                    <w:right w:val="single" w:sz="2" w:space="0" w:color="D9D9E3"/>
                  </w:divBdr>
                  <w:divsChild>
                    <w:div w:id="93210385">
                      <w:marLeft w:val="0"/>
                      <w:marRight w:val="0"/>
                      <w:marTop w:val="0"/>
                      <w:marBottom w:val="0"/>
                      <w:divBdr>
                        <w:top w:val="single" w:sz="2" w:space="0" w:color="D9D9E3"/>
                        <w:left w:val="single" w:sz="2" w:space="0" w:color="D9D9E3"/>
                        <w:bottom w:val="single" w:sz="2" w:space="0" w:color="D9D9E3"/>
                        <w:right w:val="single" w:sz="2" w:space="0" w:color="D9D9E3"/>
                      </w:divBdr>
                      <w:divsChild>
                        <w:div w:id="696350865">
                          <w:marLeft w:val="0"/>
                          <w:marRight w:val="0"/>
                          <w:marTop w:val="0"/>
                          <w:marBottom w:val="0"/>
                          <w:divBdr>
                            <w:top w:val="single" w:sz="2" w:space="0" w:color="D9D9E3"/>
                            <w:left w:val="single" w:sz="2" w:space="0" w:color="D9D9E3"/>
                            <w:bottom w:val="single" w:sz="2" w:space="0" w:color="D9D9E3"/>
                            <w:right w:val="single" w:sz="2" w:space="0" w:color="D9D9E3"/>
                          </w:divBdr>
                          <w:divsChild>
                            <w:div w:id="1910843196">
                              <w:marLeft w:val="0"/>
                              <w:marRight w:val="0"/>
                              <w:marTop w:val="0"/>
                              <w:marBottom w:val="0"/>
                              <w:divBdr>
                                <w:top w:val="single" w:sz="2" w:space="0" w:color="D9D9E3"/>
                                <w:left w:val="single" w:sz="2" w:space="0" w:color="D9D9E3"/>
                                <w:bottom w:val="single" w:sz="2" w:space="0" w:color="D9D9E3"/>
                                <w:right w:val="single" w:sz="2" w:space="0" w:color="D9D9E3"/>
                              </w:divBdr>
                              <w:divsChild>
                                <w:div w:id="11325581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31091807">
      <w:bodyDiv w:val="1"/>
      <w:marLeft w:val="0"/>
      <w:marRight w:val="0"/>
      <w:marTop w:val="0"/>
      <w:marBottom w:val="0"/>
      <w:divBdr>
        <w:top w:val="none" w:sz="0" w:space="0" w:color="auto"/>
        <w:left w:val="none" w:sz="0" w:space="0" w:color="auto"/>
        <w:bottom w:val="none" w:sz="0" w:space="0" w:color="auto"/>
        <w:right w:val="none" w:sz="0" w:space="0" w:color="auto"/>
      </w:divBdr>
    </w:div>
    <w:div w:id="1667903821">
      <w:bodyDiv w:val="1"/>
      <w:marLeft w:val="0"/>
      <w:marRight w:val="0"/>
      <w:marTop w:val="0"/>
      <w:marBottom w:val="0"/>
      <w:divBdr>
        <w:top w:val="none" w:sz="0" w:space="0" w:color="auto"/>
        <w:left w:val="none" w:sz="0" w:space="0" w:color="auto"/>
        <w:bottom w:val="none" w:sz="0" w:space="0" w:color="auto"/>
        <w:right w:val="none" w:sz="0" w:space="0" w:color="auto"/>
      </w:divBdr>
      <w:divsChild>
        <w:div w:id="1907642398">
          <w:marLeft w:val="0"/>
          <w:marRight w:val="0"/>
          <w:marTop w:val="0"/>
          <w:marBottom w:val="0"/>
          <w:divBdr>
            <w:top w:val="single" w:sz="2" w:space="0" w:color="D9D9E3"/>
            <w:left w:val="single" w:sz="2" w:space="0" w:color="D9D9E3"/>
            <w:bottom w:val="single" w:sz="2" w:space="0" w:color="D9D9E3"/>
            <w:right w:val="single" w:sz="2" w:space="0" w:color="D9D9E3"/>
          </w:divBdr>
          <w:divsChild>
            <w:div w:id="1689525747">
              <w:marLeft w:val="0"/>
              <w:marRight w:val="0"/>
              <w:marTop w:val="0"/>
              <w:marBottom w:val="0"/>
              <w:divBdr>
                <w:top w:val="single" w:sz="2" w:space="0" w:color="D9D9E3"/>
                <w:left w:val="single" w:sz="2" w:space="0" w:color="D9D9E3"/>
                <w:bottom w:val="single" w:sz="2" w:space="0" w:color="D9D9E3"/>
                <w:right w:val="single" w:sz="2" w:space="0" w:color="D9D9E3"/>
              </w:divBdr>
              <w:divsChild>
                <w:div w:id="154228588">
                  <w:marLeft w:val="0"/>
                  <w:marRight w:val="0"/>
                  <w:marTop w:val="0"/>
                  <w:marBottom w:val="0"/>
                  <w:divBdr>
                    <w:top w:val="single" w:sz="2" w:space="0" w:color="D9D9E3"/>
                    <w:left w:val="single" w:sz="2" w:space="0" w:color="D9D9E3"/>
                    <w:bottom w:val="single" w:sz="2" w:space="0" w:color="D9D9E3"/>
                    <w:right w:val="single" w:sz="2" w:space="0" w:color="D9D9E3"/>
                  </w:divBdr>
                  <w:divsChild>
                    <w:div w:id="1593393217">
                      <w:marLeft w:val="0"/>
                      <w:marRight w:val="0"/>
                      <w:marTop w:val="0"/>
                      <w:marBottom w:val="0"/>
                      <w:divBdr>
                        <w:top w:val="single" w:sz="2" w:space="0" w:color="D9D9E3"/>
                        <w:left w:val="single" w:sz="2" w:space="0" w:color="D9D9E3"/>
                        <w:bottom w:val="single" w:sz="2" w:space="0" w:color="D9D9E3"/>
                        <w:right w:val="single" w:sz="2" w:space="0" w:color="D9D9E3"/>
                      </w:divBdr>
                      <w:divsChild>
                        <w:div w:id="1168210391">
                          <w:marLeft w:val="0"/>
                          <w:marRight w:val="0"/>
                          <w:marTop w:val="0"/>
                          <w:marBottom w:val="0"/>
                          <w:divBdr>
                            <w:top w:val="single" w:sz="2" w:space="0" w:color="auto"/>
                            <w:left w:val="single" w:sz="2" w:space="0" w:color="auto"/>
                            <w:bottom w:val="single" w:sz="6" w:space="0" w:color="auto"/>
                            <w:right w:val="single" w:sz="2" w:space="0" w:color="auto"/>
                          </w:divBdr>
                          <w:divsChild>
                            <w:div w:id="499547633">
                              <w:marLeft w:val="0"/>
                              <w:marRight w:val="0"/>
                              <w:marTop w:val="100"/>
                              <w:marBottom w:val="100"/>
                              <w:divBdr>
                                <w:top w:val="single" w:sz="2" w:space="0" w:color="D9D9E3"/>
                                <w:left w:val="single" w:sz="2" w:space="0" w:color="D9D9E3"/>
                                <w:bottom w:val="single" w:sz="2" w:space="0" w:color="D9D9E3"/>
                                <w:right w:val="single" w:sz="2" w:space="0" w:color="D9D9E3"/>
                              </w:divBdr>
                              <w:divsChild>
                                <w:div w:id="1078357961">
                                  <w:marLeft w:val="0"/>
                                  <w:marRight w:val="0"/>
                                  <w:marTop w:val="0"/>
                                  <w:marBottom w:val="0"/>
                                  <w:divBdr>
                                    <w:top w:val="single" w:sz="2" w:space="0" w:color="D9D9E3"/>
                                    <w:left w:val="single" w:sz="2" w:space="0" w:color="D9D9E3"/>
                                    <w:bottom w:val="single" w:sz="2" w:space="0" w:color="D9D9E3"/>
                                    <w:right w:val="single" w:sz="2" w:space="0" w:color="D9D9E3"/>
                                  </w:divBdr>
                                  <w:divsChild>
                                    <w:div w:id="1273826156">
                                      <w:marLeft w:val="0"/>
                                      <w:marRight w:val="0"/>
                                      <w:marTop w:val="0"/>
                                      <w:marBottom w:val="0"/>
                                      <w:divBdr>
                                        <w:top w:val="single" w:sz="2" w:space="0" w:color="D9D9E3"/>
                                        <w:left w:val="single" w:sz="2" w:space="0" w:color="D9D9E3"/>
                                        <w:bottom w:val="single" w:sz="2" w:space="0" w:color="D9D9E3"/>
                                        <w:right w:val="single" w:sz="2" w:space="0" w:color="D9D9E3"/>
                                      </w:divBdr>
                                      <w:divsChild>
                                        <w:div w:id="483861759">
                                          <w:marLeft w:val="0"/>
                                          <w:marRight w:val="0"/>
                                          <w:marTop w:val="0"/>
                                          <w:marBottom w:val="0"/>
                                          <w:divBdr>
                                            <w:top w:val="single" w:sz="2" w:space="0" w:color="D9D9E3"/>
                                            <w:left w:val="single" w:sz="2" w:space="0" w:color="D9D9E3"/>
                                            <w:bottom w:val="single" w:sz="2" w:space="0" w:color="D9D9E3"/>
                                            <w:right w:val="single" w:sz="2" w:space="0" w:color="D9D9E3"/>
                                          </w:divBdr>
                                          <w:divsChild>
                                            <w:div w:id="18390772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21349472">
          <w:marLeft w:val="0"/>
          <w:marRight w:val="0"/>
          <w:marTop w:val="0"/>
          <w:marBottom w:val="0"/>
          <w:divBdr>
            <w:top w:val="none" w:sz="0" w:space="0" w:color="auto"/>
            <w:left w:val="none" w:sz="0" w:space="0" w:color="auto"/>
            <w:bottom w:val="none" w:sz="0" w:space="0" w:color="auto"/>
            <w:right w:val="none" w:sz="0" w:space="0" w:color="auto"/>
          </w:divBdr>
        </w:div>
      </w:divsChild>
    </w:div>
    <w:div w:id="1676760018">
      <w:bodyDiv w:val="1"/>
      <w:marLeft w:val="0"/>
      <w:marRight w:val="0"/>
      <w:marTop w:val="0"/>
      <w:marBottom w:val="0"/>
      <w:divBdr>
        <w:top w:val="none" w:sz="0" w:space="0" w:color="auto"/>
        <w:left w:val="none" w:sz="0" w:space="0" w:color="auto"/>
        <w:bottom w:val="none" w:sz="0" w:space="0" w:color="auto"/>
        <w:right w:val="none" w:sz="0" w:space="0" w:color="auto"/>
      </w:divBdr>
      <w:divsChild>
        <w:div w:id="1057901407">
          <w:marLeft w:val="0"/>
          <w:marRight w:val="0"/>
          <w:marTop w:val="0"/>
          <w:marBottom w:val="0"/>
          <w:divBdr>
            <w:top w:val="single" w:sz="2" w:space="0" w:color="D9D9E3"/>
            <w:left w:val="single" w:sz="2" w:space="0" w:color="D9D9E3"/>
            <w:bottom w:val="single" w:sz="2" w:space="0" w:color="D9D9E3"/>
            <w:right w:val="single" w:sz="2" w:space="0" w:color="D9D9E3"/>
          </w:divBdr>
          <w:divsChild>
            <w:div w:id="1410153297">
              <w:marLeft w:val="0"/>
              <w:marRight w:val="0"/>
              <w:marTop w:val="0"/>
              <w:marBottom w:val="0"/>
              <w:divBdr>
                <w:top w:val="single" w:sz="2" w:space="0" w:color="D9D9E3"/>
                <w:left w:val="single" w:sz="2" w:space="0" w:color="D9D9E3"/>
                <w:bottom w:val="single" w:sz="2" w:space="0" w:color="D9D9E3"/>
                <w:right w:val="single" w:sz="2" w:space="0" w:color="D9D9E3"/>
              </w:divBdr>
              <w:divsChild>
                <w:div w:id="594050783">
                  <w:marLeft w:val="0"/>
                  <w:marRight w:val="0"/>
                  <w:marTop w:val="0"/>
                  <w:marBottom w:val="0"/>
                  <w:divBdr>
                    <w:top w:val="single" w:sz="2" w:space="0" w:color="D9D9E3"/>
                    <w:left w:val="single" w:sz="2" w:space="0" w:color="D9D9E3"/>
                    <w:bottom w:val="single" w:sz="2" w:space="0" w:color="D9D9E3"/>
                    <w:right w:val="single" w:sz="2" w:space="0" w:color="D9D9E3"/>
                  </w:divBdr>
                  <w:divsChild>
                    <w:div w:id="578175939">
                      <w:marLeft w:val="0"/>
                      <w:marRight w:val="0"/>
                      <w:marTop w:val="0"/>
                      <w:marBottom w:val="0"/>
                      <w:divBdr>
                        <w:top w:val="single" w:sz="2" w:space="0" w:color="D9D9E3"/>
                        <w:left w:val="single" w:sz="2" w:space="0" w:color="D9D9E3"/>
                        <w:bottom w:val="single" w:sz="2" w:space="0" w:color="D9D9E3"/>
                        <w:right w:val="single" w:sz="2" w:space="0" w:color="D9D9E3"/>
                      </w:divBdr>
                      <w:divsChild>
                        <w:div w:id="303629073">
                          <w:marLeft w:val="0"/>
                          <w:marRight w:val="0"/>
                          <w:marTop w:val="0"/>
                          <w:marBottom w:val="0"/>
                          <w:divBdr>
                            <w:top w:val="single" w:sz="2" w:space="0" w:color="auto"/>
                            <w:left w:val="single" w:sz="2" w:space="0" w:color="auto"/>
                            <w:bottom w:val="single" w:sz="6" w:space="0" w:color="auto"/>
                            <w:right w:val="single" w:sz="2" w:space="0" w:color="auto"/>
                          </w:divBdr>
                          <w:divsChild>
                            <w:div w:id="1729109321">
                              <w:marLeft w:val="0"/>
                              <w:marRight w:val="0"/>
                              <w:marTop w:val="100"/>
                              <w:marBottom w:val="100"/>
                              <w:divBdr>
                                <w:top w:val="single" w:sz="2" w:space="0" w:color="D9D9E3"/>
                                <w:left w:val="single" w:sz="2" w:space="0" w:color="D9D9E3"/>
                                <w:bottom w:val="single" w:sz="2" w:space="0" w:color="D9D9E3"/>
                                <w:right w:val="single" w:sz="2" w:space="0" w:color="D9D9E3"/>
                              </w:divBdr>
                              <w:divsChild>
                                <w:div w:id="1018775289">
                                  <w:marLeft w:val="0"/>
                                  <w:marRight w:val="0"/>
                                  <w:marTop w:val="0"/>
                                  <w:marBottom w:val="0"/>
                                  <w:divBdr>
                                    <w:top w:val="single" w:sz="2" w:space="0" w:color="D9D9E3"/>
                                    <w:left w:val="single" w:sz="2" w:space="0" w:color="D9D9E3"/>
                                    <w:bottom w:val="single" w:sz="2" w:space="0" w:color="D9D9E3"/>
                                    <w:right w:val="single" w:sz="2" w:space="0" w:color="D9D9E3"/>
                                  </w:divBdr>
                                  <w:divsChild>
                                    <w:div w:id="993875555">
                                      <w:marLeft w:val="0"/>
                                      <w:marRight w:val="0"/>
                                      <w:marTop w:val="0"/>
                                      <w:marBottom w:val="0"/>
                                      <w:divBdr>
                                        <w:top w:val="single" w:sz="2" w:space="0" w:color="D9D9E3"/>
                                        <w:left w:val="single" w:sz="2" w:space="0" w:color="D9D9E3"/>
                                        <w:bottom w:val="single" w:sz="2" w:space="0" w:color="D9D9E3"/>
                                        <w:right w:val="single" w:sz="2" w:space="0" w:color="D9D9E3"/>
                                      </w:divBdr>
                                      <w:divsChild>
                                        <w:div w:id="462773663">
                                          <w:marLeft w:val="0"/>
                                          <w:marRight w:val="0"/>
                                          <w:marTop w:val="0"/>
                                          <w:marBottom w:val="0"/>
                                          <w:divBdr>
                                            <w:top w:val="single" w:sz="2" w:space="0" w:color="D9D9E3"/>
                                            <w:left w:val="single" w:sz="2" w:space="0" w:color="D9D9E3"/>
                                            <w:bottom w:val="single" w:sz="2" w:space="0" w:color="D9D9E3"/>
                                            <w:right w:val="single" w:sz="2" w:space="0" w:color="D9D9E3"/>
                                          </w:divBdr>
                                          <w:divsChild>
                                            <w:div w:id="15758980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25428613">
          <w:marLeft w:val="0"/>
          <w:marRight w:val="0"/>
          <w:marTop w:val="0"/>
          <w:marBottom w:val="0"/>
          <w:divBdr>
            <w:top w:val="none" w:sz="0" w:space="0" w:color="auto"/>
            <w:left w:val="none" w:sz="0" w:space="0" w:color="auto"/>
            <w:bottom w:val="none" w:sz="0" w:space="0" w:color="auto"/>
            <w:right w:val="none" w:sz="0" w:space="0" w:color="auto"/>
          </w:divBdr>
        </w:div>
      </w:divsChild>
    </w:div>
    <w:div w:id="1799763344">
      <w:bodyDiv w:val="1"/>
      <w:marLeft w:val="0"/>
      <w:marRight w:val="0"/>
      <w:marTop w:val="0"/>
      <w:marBottom w:val="0"/>
      <w:divBdr>
        <w:top w:val="none" w:sz="0" w:space="0" w:color="auto"/>
        <w:left w:val="none" w:sz="0" w:space="0" w:color="auto"/>
        <w:bottom w:val="none" w:sz="0" w:space="0" w:color="auto"/>
        <w:right w:val="none" w:sz="0" w:space="0" w:color="auto"/>
      </w:divBdr>
      <w:divsChild>
        <w:div w:id="1601445504">
          <w:marLeft w:val="0"/>
          <w:marRight w:val="0"/>
          <w:marTop w:val="0"/>
          <w:marBottom w:val="0"/>
          <w:divBdr>
            <w:top w:val="single" w:sz="2" w:space="0" w:color="D9D9E3"/>
            <w:left w:val="single" w:sz="2" w:space="0" w:color="D9D9E3"/>
            <w:bottom w:val="single" w:sz="2" w:space="0" w:color="D9D9E3"/>
            <w:right w:val="single" w:sz="2" w:space="0" w:color="D9D9E3"/>
          </w:divBdr>
          <w:divsChild>
            <w:div w:id="1462455344">
              <w:marLeft w:val="0"/>
              <w:marRight w:val="0"/>
              <w:marTop w:val="0"/>
              <w:marBottom w:val="0"/>
              <w:divBdr>
                <w:top w:val="single" w:sz="2" w:space="0" w:color="D9D9E3"/>
                <w:left w:val="single" w:sz="2" w:space="0" w:color="D9D9E3"/>
                <w:bottom w:val="single" w:sz="2" w:space="0" w:color="D9D9E3"/>
                <w:right w:val="single" w:sz="2" w:space="0" w:color="D9D9E3"/>
              </w:divBdr>
              <w:divsChild>
                <w:div w:id="1029333071">
                  <w:marLeft w:val="0"/>
                  <w:marRight w:val="0"/>
                  <w:marTop w:val="0"/>
                  <w:marBottom w:val="0"/>
                  <w:divBdr>
                    <w:top w:val="single" w:sz="2" w:space="0" w:color="D9D9E3"/>
                    <w:left w:val="single" w:sz="2" w:space="0" w:color="D9D9E3"/>
                    <w:bottom w:val="single" w:sz="2" w:space="0" w:color="D9D9E3"/>
                    <w:right w:val="single" w:sz="2" w:space="0" w:color="D9D9E3"/>
                  </w:divBdr>
                  <w:divsChild>
                    <w:div w:id="1920751490">
                      <w:marLeft w:val="0"/>
                      <w:marRight w:val="0"/>
                      <w:marTop w:val="0"/>
                      <w:marBottom w:val="0"/>
                      <w:divBdr>
                        <w:top w:val="single" w:sz="2" w:space="0" w:color="D9D9E3"/>
                        <w:left w:val="single" w:sz="2" w:space="0" w:color="D9D9E3"/>
                        <w:bottom w:val="single" w:sz="2" w:space="0" w:color="D9D9E3"/>
                        <w:right w:val="single" w:sz="2" w:space="0" w:color="D9D9E3"/>
                      </w:divBdr>
                      <w:divsChild>
                        <w:div w:id="1796941302">
                          <w:marLeft w:val="0"/>
                          <w:marRight w:val="0"/>
                          <w:marTop w:val="0"/>
                          <w:marBottom w:val="0"/>
                          <w:divBdr>
                            <w:top w:val="single" w:sz="2" w:space="0" w:color="auto"/>
                            <w:left w:val="single" w:sz="2" w:space="0" w:color="auto"/>
                            <w:bottom w:val="single" w:sz="6" w:space="0" w:color="auto"/>
                            <w:right w:val="single" w:sz="2" w:space="0" w:color="auto"/>
                          </w:divBdr>
                          <w:divsChild>
                            <w:div w:id="999311631">
                              <w:marLeft w:val="0"/>
                              <w:marRight w:val="0"/>
                              <w:marTop w:val="100"/>
                              <w:marBottom w:val="100"/>
                              <w:divBdr>
                                <w:top w:val="single" w:sz="2" w:space="0" w:color="D9D9E3"/>
                                <w:left w:val="single" w:sz="2" w:space="0" w:color="D9D9E3"/>
                                <w:bottom w:val="single" w:sz="2" w:space="0" w:color="D9D9E3"/>
                                <w:right w:val="single" w:sz="2" w:space="0" w:color="D9D9E3"/>
                              </w:divBdr>
                              <w:divsChild>
                                <w:div w:id="162595962">
                                  <w:marLeft w:val="0"/>
                                  <w:marRight w:val="0"/>
                                  <w:marTop w:val="0"/>
                                  <w:marBottom w:val="0"/>
                                  <w:divBdr>
                                    <w:top w:val="single" w:sz="2" w:space="0" w:color="D9D9E3"/>
                                    <w:left w:val="single" w:sz="2" w:space="0" w:color="D9D9E3"/>
                                    <w:bottom w:val="single" w:sz="2" w:space="0" w:color="D9D9E3"/>
                                    <w:right w:val="single" w:sz="2" w:space="0" w:color="D9D9E3"/>
                                  </w:divBdr>
                                  <w:divsChild>
                                    <w:div w:id="2018849993">
                                      <w:marLeft w:val="0"/>
                                      <w:marRight w:val="0"/>
                                      <w:marTop w:val="0"/>
                                      <w:marBottom w:val="0"/>
                                      <w:divBdr>
                                        <w:top w:val="single" w:sz="2" w:space="0" w:color="D9D9E3"/>
                                        <w:left w:val="single" w:sz="2" w:space="0" w:color="D9D9E3"/>
                                        <w:bottom w:val="single" w:sz="2" w:space="0" w:color="D9D9E3"/>
                                        <w:right w:val="single" w:sz="2" w:space="0" w:color="D9D9E3"/>
                                      </w:divBdr>
                                      <w:divsChild>
                                        <w:div w:id="228006049">
                                          <w:marLeft w:val="0"/>
                                          <w:marRight w:val="0"/>
                                          <w:marTop w:val="0"/>
                                          <w:marBottom w:val="0"/>
                                          <w:divBdr>
                                            <w:top w:val="single" w:sz="2" w:space="0" w:color="D9D9E3"/>
                                            <w:left w:val="single" w:sz="2" w:space="0" w:color="D9D9E3"/>
                                            <w:bottom w:val="single" w:sz="2" w:space="0" w:color="D9D9E3"/>
                                            <w:right w:val="single" w:sz="2" w:space="0" w:color="D9D9E3"/>
                                          </w:divBdr>
                                          <w:divsChild>
                                            <w:div w:id="6018847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95034844">
          <w:marLeft w:val="0"/>
          <w:marRight w:val="0"/>
          <w:marTop w:val="0"/>
          <w:marBottom w:val="0"/>
          <w:divBdr>
            <w:top w:val="none" w:sz="0" w:space="0" w:color="auto"/>
            <w:left w:val="none" w:sz="0" w:space="0" w:color="auto"/>
            <w:bottom w:val="none" w:sz="0" w:space="0" w:color="auto"/>
            <w:right w:val="none" w:sz="0" w:space="0" w:color="auto"/>
          </w:divBdr>
        </w:div>
      </w:divsChild>
    </w:div>
    <w:div w:id="1852840363">
      <w:bodyDiv w:val="1"/>
      <w:marLeft w:val="0"/>
      <w:marRight w:val="0"/>
      <w:marTop w:val="0"/>
      <w:marBottom w:val="0"/>
      <w:divBdr>
        <w:top w:val="none" w:sz="0" w:space="0" w:color="auto"/>
        <w:left w:val="none" w:sz="0" w:space="0" w:color="auto"/>
        <w:bottom w:val="none" w:sz="0" w:space="0" w:color="auto"/>
        <w:right w:val="none" w:sz="0" w:space="0" w:color="auto"/>
      </w:divBdr>
    </w:div>
    <w:div w:id="1914076942">
      <w:bodyDiv w:val="1"/>
      <w:marLeft w:val="0"/>
      <w:marRight w:val="0"/>
      <w:marTop w:val="0"/>
      <w:marBottom w:val="0"/>
      <w:divBdr>
        <w:top w:val="none" w:sz="0" w:space="0" w:color="auto"/>
        <w:left w:val="none" w:sz="0" w:space="0" w:color="auto"/>
        <w:bottom w:val="none" w:sz="0" w:space="0" w:color="auto"/>
        <w:right w:val="none" w:sz="0" w:space="0" w:color="auto"/>
      </w:divBdr>
      <w:divsChild>
        <w:div w:id="449740065">
          <w:marLeft w:val="0"/>
          <w:marRight w:val="0"/>
          <w:marTop w:val="0"/>
          <w:marBottom w:val="0"/>
          <w:divBdr>
            <w:top w:val="single" w:sz="2" w:space="0" w:color="D9D9E3"/>
            <w:left w:val="single" w:sz="2" w:space="0" w:color="D9D9E3"/>
            <w:bottom w:val="single" w:sz="2" w:space="0" w:color="D9D9E3"/>
            <w:right w:val="single" w:sz="2" w:space="0" w:color="D9D9E3"/>
          </w:divBdr>
          <w:divsChild>
            <w:div w:id="1521311414">
              <w:marLeft w:val="0"/>
              <w:marRight w:val="0"/>
              <w:marTop w:val="0"/>
              <w:marBottom w:val="0"/>
              <w:divBdr>
                <w:top w:val="single" w:sz="2" w:space="0" w:color="D9D9E3"/>
                <w:left w:val="single" w:sz="2" w:space="0" w:color="D9D9E3"/>
                <w:bottom w:val="single" w:sz="2" w:space="0" w:color="D9D9E3"/>
                <w:right w:val="single" w:sz="2" w:space="0" w:color="D9D9E3"/>
              </w:divBdr>
              <w:divsChild>
                <w:div w:id="927037974">
                  <w:marLeft w:val="0"/>
                  <w:marRight w:val="0"/>
                  <w:marTop w:val="0"/>
                  <w:marBottom w:val="0"/>
                  <w:divBdr>
                    <w:top w:val="single" w:sz="2" w:space="0" w:color="D9D9E3"/>
                    <w:left w:val="single" w:sz="2" w:space="0" w:color="D9D9E3"/>
                    <w:bottom w:val="single" w:sz="2" w:space="0" w:color="D9D9E3"/>
                    <w:right w:val="single" w:sz="2" w:space="0" w:color="D9D9E3"/>
                  </w:divBdr>
                  <w:divsChild>
                    <w:div w:id="620306225">
                      <w:marLeft w:val="0"/>
                      <w:marRight w:val="0"/>
                      <w:marTop w:val="0"/>
                      <w:marBottom w:val="0"/>
                      <w:divBdr>
                        <w:top w:val="single" w:sz="2" w:space="0" w:color="D9D9E3"/>
                        <w:left w:val="single" w:sz="2" w:space="0" w:color="D9D9E3"/>
                        <w:bottom w:val="single" w:sz="2" w:space="0" w:color="D9D9E3"/>
                        <w:right w:val="single" w:sz="2" w:space="0" w:color="D9D9E3"/>
                      </w:divBdr>
                      <w:divsChild>
                        <w:div w:id="397439579">
                          <w:marLeft w:val="0"/>
                          <w:marRight w:val="0"/>
                          <w:marTop w:val="0"/>
                          <w:marBottom w:val="0"/>
                          <w:divBdr>
                            <w:top w:val="single" w:sz="2" w:space="0" w:color="auto"/>
                            <w:left w:val="single" w:sz="2" w:space="0" w:color="auto"/>
                            <w:bottom w:val="single" w:sz="6" w:space="0" w:color="auto"/>
                            <w:right w:val="single" w:sz="2" w:space="0" w:color="auto"/>
                          </w:divBdr>
                          <w:divsChild>
                            <w:div w:id="279803619">
                              <w:marLeft w:val="0"/>
                              <w:marRight w:val="0"/>
                              <w:marTop w:val="100"/>
                              <w:marBottom w:val="100"/>
                              <w:divBdr>
                                <w:top w:val="single" w:sz="2" w:space="0" w:color="D9D9E3"/>
                                <w:left w:val="single" w:sz="2" w:space="0" w:color="D9D9E3"/>
                                <w:bottom w:val="single" w:sz="2" w:space="0" w:color="D9D9E3"/>
                                <w:right w:val="single" w:sz="2" w:space="0" w:color="D9D9E3"/>
                              </w:divBdr>
                              <w:divsChild>
                                <w:div w:id="1073088620">
                                  <w:marLeft w:val="0"/>
                                  <w:marRight w:val="0"/>
                                  <w:marTop w:val="0"/>
                                  <w:marBottom w:val="0"/>
                                  <w:divBdr>
                                    <w:top w:val="single" w:sz="2" w:space="0" w:color="D9D9E3"/>
                                    <w:left w:val="single" w:sz="2" w:space="0" w:color="D9D9E3"/>
                                    <w:bottom w:val="single" w:sz="2" w:space="0" w:color="D9D9E3"/>
                                    <w:right w:val="single" w:sz="2" w:space="0" w:color="D9D9E3"/>
                                  </w:divBdr>
                                  <w:divsChild>
                                    <w:div w:id="1362125038">
                                      <w:marLeft w:val="0"/>
                                      <w:marRight w:val="0"/>
                                      <w:marTop w:val="0"/>
                                      <w:marBottom w:val="0"/>
                                      <w:divBdr>
                                        <w:top w:val="single" w:sz="2" w:space="0" w:color="D9D9E3"/>
                                        <w:left w:val="single" w:sz="2" w:space="0" w:color="D9D9E3"/>
                                        <w:bottom w:val="single" w:sz="2" w:space="0" w:color="D9D9E3"/>
                                        <w:right w:val="single" w:sz="2" w:space="0" w:color="D9D9E3"/>
                                      </w:divBdr>
                                      <w:divsChild>
                                        <w:div w:id="1355032834">
                                          <w:marLeft w:val="0"/>
                                          <w:marRight w:val="0"/>
                                          <w:marTop w:val="0"/>
                                          <w:marBottom w:val="0"/>
                                          <w:divBdr>
                                            <w:top w:val="single" w:sz="2" w:space="0" w:color="D9D9E3"/>
                                            <w:left w:val="single" w:sz="2" w:space="0" w:color="D9D9E3"/>
                                            <w:bottom w:val="single" w:sz="2" w:space="0" w:color="D9D9E3"/>
                                            <w:right w:val="single" w:sz="2" w:space="0" w:color="D9D9E3"/>
                                          </w:divBdr>
                                          <w:divsChild>
                                            <w:div w:id="1457916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72166128">
          <w:marLeft w:val="0"/>
          <w:marRight w:val="0"/>
          <w:marTop w:val="0"/>
          <w:marBottom w:val="0"/>
          <w:divBdr>
            <w:top w:val="none" w:sz="0" w:space="0" w:color="auto"/>
            <w:left w:val="none" w:sz="0" w:space="0" w:color="auto"/>
            <w:bottom w:val="none" w:sz="0" w:space="0" w:color="auto"/>
            <w:right w:val="none" w:sz="0" w:space="0" w:color="auto"/>
          </w:divBdr>
        </w:div>
      </w:divsChild>
    </w:div>
    <w:div w:id="1947496086">
      <w:bodyDiv w:val="1"/>
      <w:marLeft w:val="0"/>
      <w:marRight w:val="0"/>
      <w:marTop w:val="0"/>
      <w:marBottom w:val="0"/>
      <w:divBdr>
        <w:top w:val="none" w:sz="0" w:space="0" w:color="auto"/>
        <w:left w:val="none" w:sz="0" w:space="0" w:color="auto"/>
        <w:bottom w:val="none" w:sz="0" w:space="0" w:color="auto"/>
        <w:right w:val="none" w:sz="0" w:space="0" w:color="auto"/>
      </w:divBdr>
      <w:divsChild>
        <w:div w:id="1606382537">
          <w:marLeft w:val="0"/>
          <w:marRight w:val="0"/>
          <w:marTop w:val="0"/>
          <w:marBottom w:val="0"/>
          <w:divBdr>
            <w:top w:val="single" w:sz="2" w:space="0" w:color="D9D9E3"/>
            <w:left w:val="single" w:sz="2" w:space="0" w:color="D9D9E3"/>
            <w:bottom w:val="single" w:sz="2" w:space="0" w:color="D9D9E3"/>
            <w:right w:val="single" w:sz="2" w:space="0" w:color="D9D9E3"/>
          </w:divBdr>
          <w:divsChild>
            <w:div w:id="888304283">
              <w:marLeft w:val="0"/>
              <w:marRight w:val="0"/>
              <w:marTop w:val="0"/>
              <w:marBottom w:val="0"/>
              <w:divBdr>
                <w:top w:val="single" w:sz="2" w:space="0" w:color="D9D9E3"/>
                <w:left w:val="single" w:sz="2" w:space="0" w:color="D9D9E3"/>
                <w:bottom w:val="single" w:sz="2" w:space="0" w:color="D9D9E3"/>
                <w:right w:val="single" w:sz="2" w:space="0" w:color="D9D9E3"/>
              </w:divBdr>
              <w:divsChild>
                <w:div w:id="1625040303">
                  <w:marLeft w:val="0"/>
                  <w:marRight w:val="0"/>
                  <w:marTop w:val="0"/>
                  <w:marBottom w:val="0"/>
                  <w:divBdr>
                    <w:top w:val="single" w:sz="2" w:space="0" w:color="D9D9E3"/>
                    <w:left w:val="single" w:sz="2" w:space="0" w:color="D9D9E3"/>
                    <w:bottom w:val="single" w:sz="2" w:space="0" w:color="D9D9E3"/>
                    <w:right w:val="single" w:sz="2" w:space="0" w:color="D9D9E3"/>
                  </w:divBdr>
                  <w:divsChild>
                    <w:div w:id="74087795">
                      <w:marLeft w:val="0"/>
                      <w:marRight w:val="0"/>
                      <w:marTop w:val="0"/>
                      <w:marBottom w:val="0"/>
                      <w:divBdr>
                        <w:top w:val="single" w:sz="2" w:space="0" w:color="D9D9E3"/>
                        <w:left w:val="single" w:sz="2" w:space="0" w:color="D9D9E3"/>
                        <w:bottom w:val="single" w:sz="2" w:space="0" w:color="D9D9E3"/>
                        <w:right w:val="single" w:sz="2" w:space="0" w:color="D9D9E3"/>
                      </w:divBdr>
                      <w:divsChild>
                        <w:div w:id="493644050">
                          <w:marLeft w:val="0"/>
                          <w:marRight w:val="0"/>
                          <w:marTop w:val="0"/>
                          <w:marBottom w:val="0"/>
                          <w:divBdr>
                            <w:top w:val="single" w:sz="2" w:space="0" w:color="auto"/>
                            <w:left w:val="single" w:sz="2" w:space="0" w:color="auto"/>
                            <w:bottom w:val="single" w:sz="6" w:space="0" w:color="auto"/>
                            <w:right w:val="single" w:sz="2" w:space="0" w:color="auto"/>
                          </w:divBdr>
                          <w:divsChild>
                            <w:div w:id="1229850148">
                              <w:marLeft w:val="0"/>
                              <w:marRight w:val="0"/>
                              <w:marTop w:val="100"/>
                              <w:marBottom w:val="100"/>
                              <w:divBdr>
                                <w:top w:val="single" w:sz="2" w:space="0" w:color="D9D9E3"/>
                                <w:left w:val="single" w:sz="2" w:space="0" w:color="D9D9E3"/>
                                <w:bottom w:val="single" w:sz="2" w:space="0" w:color="D9D9E3"/>
                                <w:right w:val="single" w:sz="2" w:space="0" w:color="D9D9E3"/>
                              </w:divBdr>
                              <w:divsChild>
                                <w:div w:id="1792817138">
                                  <w:marLeft w:val="0"/>
                                  <w:marRight w:val="0"/>
                                  <w:marTop w:val="0"/>
                                  <w:marBottom w:val="0"/>
                                  <w:divBdr>
                                    <w:top w:val="single" w:sz="2" w:space="0" w:color="D9D9E3"/>
                                    <w:left w:val="single" w:sz="2" w:space="0" w:color="D9D9E3"/>
                                    <w:bottom w:val="single" w:sz="2" w:space="0" w:color="D9D9E3"/>
                                    <w:right w:val="single" w:sz="2" w:space="0" w:color="D9D9E3"/>
                                  </w:divBdr>
                                  <w:divsChild>
                                    <w:div w:id="65492230">
                                      <w:marLeft w:val="0"/>
                                      <w:marRight w:val="0"/>
                                      <w:marTop w:val="0"/>
                                      <w:marBottom w:val="0"/>
                                      <w:divBdr>
                                        <w:top w:val="single" w:sz="2" w:space="0" w:color="D9D9E3"/>
                                        <w:left w:val="single" w:sz="2" w:space="0" w:color="D9D9E3"/>
                                        <w:bottom w:val="single" w:sz="2" w:space="0" w:color="D9D9E3"/>
                                        <w:right w:val="single" w:sz="2" w:space="0" w:color="D9D9E3"/>
                                      </w:divBdr>
                                      <w:divsChild>
                                        <w:div w:id="290983220">
                                          <w:marLeft w:val="0"/>
                                          <w:marRight w:val="0"/>
                                          <w:marTop w:val="0"/>
                                          <w:marBottom w:val="0"/>
                                          <w:divBdr>
                                            <w:top w:val="single" w:sz="2" w:space="0" w:color="D9D9E3"/>
                                            <w:left w:val="single" w:sz="2" w:space="0" w:color="D9D9E3"/>
                                            <w:bottom w:val="single" w:sz="2" w:space="0" w:color="D9D9E3"/>
                                            <w:right w:val="single" w:sz="2" w:space="0" w:color="D9D9E3"/>
                                          </w:divBdr>
                                          <w:divsChild>
                                            <w:div w:id="2648439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83036064">
          <w:marLeft w:val="0"/>
          <w:marRight w:val="0"/>
          <w:marTop w:val="0"/>
          <w:marBottom w:val="0"/>
          <w:divBdr>
            <w:top w:val="none" w:sz="0" w:space="0" w:color="auto"/>
            <w:left w:val="none" w:sz="0" w:space="0" w:color="auto"/>
            <w:bottom w:val="none" w:sz="0" w:space="0" w:color="auto"/>
            <w:right w:val="none" w:sz="0" w:space="0" w:color="auto"/>
          </w:divBdr>
        </w:div>
      </w:divsChild>
    </w:div>
    <w:div w:id="1966546654">
      <w:bodyDiv w:val="1"/>
      <w:marLeft w:val="0"/>
      <w:marRight w:val="0"/>
      <w:marTop w:val="0"/>
      <w:marBottom w:val="0"/>
      <w:divBdr>
        <w:top w:val="none" w:sz="0" w:space="0" w:color="auto"/>
        <w:left w:val="none" w:sz="0" w:space="0" w:color="auto"/>
        <w:bottom w:val="none" w:sz="0" w:space="0" w:color="auto"/>
        <w:right w:val="none" w:sz="0" w:space="0" w:color="auto"/>
      </w:divBdr>
      <w:divsChild>
        <w:div w:id="1085885664">
          <w:marLeft w:val="0"/>
          <w:marRight w:val="0"/>
          <w:marTop w:val="0"/>
          <w:marBottom w:val="0"/>
          <w:divBdr>
            <w:top w:val="single" w:sz="2" w:space="0" w:color="D9D9E3"/>
            <w:left w:val="single" w:sz="2" w:space="0" w:color="D9D9E3"/>
            <w:bottom w:val="single" w:sz="2" w:space="0" w:color="D9D9E3"/>
            <w:right w:val="single" w:sz="2" w:space="0" w:color="D9D9E3"/>
          </w:divBdr>
          <w:divsChild>
            <w:div w:id="858549034">
              <w:marLeft w:val="0"/>
              <w:marRight w:val="0"/>
              <w:marTop w:val="0"/>
              <w:marBottom w:val="0"/>
              <w:divBdr>
                <w:top w:val="single" w:sz="2" w:space="0" w:color="D9D9E3"/>
                <w:left w:val="single" w:sz="2" w:space="0" w:color="D9D9E3"/>
                <w:bottom w:val="single" w:sz="2" w:space="0" w:color="D9D9E3"/>
                <w:right w:val="single" w:sz="2" w:space="0" w:color="D9D9E3"/>
              </w:divBdr>
              <w:divsChild>
                <w:div w:id="1694333615">
                  <w:marLeft w:val="0"/>
                  <w:marRight w:val="0"/>
                  <w:marTop w:val="0"/>
                  <w:marBottom w:val="0"/>
                  <w:divBdr>
                    <w:top w:val="single" w:sz="2" w:space="0" w:color="D9D9E3"/>
                    <w:left w:val="single" w:sz="2" w:space="0" w:color="D9D9E3"/>
                    <w:bottom w:val="single" w:sz="2" w:space="0" w:color="D9D9E3"/>
                    <w:right w:val="single" w:sz="2" w:space="0" w:color="D9D9E3"/>
                  </w:divBdr>
                  <w:divsChild>
                    <w:div w:id="683870358">
                      <w:marLeft w:val="0"/>
                      <w:marRight w:val="0"/>
                      <w:marTop w:val="0"/>
                      <w:marBottom w:val="0"/>
                      <w:divBdr>
                        <w:top w:val="single" w:sz="2" w:space="0" w:color="D9D9E3"/>
                        <w:left w:val="single" w:sz="2" w:space="0" w:color="D9D9E3"/>
                        <w:bottom w:val="single" w:sz="2" w:space="0" w:color="D9D9E3"/>
                        <w:right w:val="single" w:sz="2" w:space="0" w:color="D9D9E3"/>
                      </w:divBdr>
                      <w:divsChild>
                        <w:div w:id="1148941471">
                          <w:marLeft w:val="0"/>
                          <w:marRight w:val="0"/>
                          <w:marTop w:val="0"/>
                          <w:marBottom w:val="0"/>
                          <w:divBdr>
                            <w:top w:val="single" w:sz="2" w:space="0" w:color="auto"/>
                            <w:left w:val="single" w:sz="2" w:space="0" w:color="auto"/>
                            <w:bottom w:val="single" w:sz="6" w:space="0" w:color="auto"/>
                            <w:right w:val="single" w:sz="2" w:space="0" w:color="auto"/>
                          </w:divBdr>
                          <w:divsChild>
                            <w:div w:id="186143161">
                              <w:marLeft w:val="0"/>
                              <w:marRight w:val="0"/>
                              <w:marTop w:val="100"/>
                              <w:marBottom w:val="100"/>
                              <w:divBdr>
                                <w:top w:val="single" w:sz="2" w:space="0" w:color="D9D9E3"/>
                                <w:left w:val="single" w:sz="2" w:space="0" w:color="D9D9E3"/>
                                <w:bottom w:val="single" w:sz="2" w:space="0" w:color="D9D9E3"/>
                                <w:right w:val="single" w:sz="2" w:space="0" w:color="D9D9E3"/>
                              </w:divBdr>
                              <w:divsChild>
                                <w:div w:id="404105282">
                                  <w:marLeft w:val="0"/>
                                  <w:marRight w:val="0"/>
                                  <w:marTop w:val="0"/>
                                  <w:marBottom w:val="0"/>
                                  <w:divBdr>
                                    <w:top w:val="single" w:sz="2" w:space="0" w:color="D9D9E3"/>
                                    <w:left w:val="single" w:sz="2" w:space="0" w:color="D9D9E3"/>
                                    <w:bottom w:val="single" w:sz="2" w:space="0" w:color="D9D9E3"/>
                                    <w:right w:val="single" w:sz="2" w:space="0" w:color="D9D9E3"/>
                                  </w:divBdr>
                                  <w:divsChild>
                                    <w:div w:id="32001183">
                                      <w:marLeft w:val="0"/>
                                      <w:marRight w:val="0"/>
                                      <w:marTop w:val="0"/>
                                      <w:marBottom w:val="0"/>
                                      <w:divBdr>
                                        <w:top w:val="single" w:sz="2" w:space="0" w:color="D9D9E3"/>
                                        <w:left w:val="single" w:sz="2" w:space="0" w:color="D9D9E3"/>
                                        <w:bottom w:val="single" w:sz="2" w:space="0" w:color="D9D9E3"/>
                                        <w:right w:val="single" w:sz="2" w:space="0" w:color="D9D9E3"/>
                                      </w:divBdr>
                                      <w:divsChild>
                                        <w:div w:id="1911303017">
                                          <w:marLeft w:val="0"/>
                                          <w:marRight w:val="0"/>
                                          <w:marTop w:val="0"/>
                                          <w:marBottom w:val="0"/>
                                          <w:divBdr>
                                            <w:top w:val="single" w:sz="2" w:space="0" w:color="D9D9E3"/>
                                            <w:left w:val="single" w:sz="2" w:space="0" w:color="D9D9E3"/>
                                            <w:bottom w:val="single" w:sz="2" w:space="0" w:color="D9D9E3"/>
                                            <w:right w:val="single" w:sz="2" w:space="0" w:color="D9D9E3"/>
                                          </w:divBdr>
                                          <w:divsChild>
                                            <w:div w:id="11122129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86306894">
          <w:marLeft w:val="0"/>
          <w:marRight w:val="0"/>
          <w:marTop w:val="0"/>
          <w:marBottom w:val="0"/>
          <w:divBdr>
            <w:top w:val="none" w:sz="0" w:space="0" w:color="auto"/>
            <w:left w:val="none" w:sz="0" w:space="0" w:color="auto"/>
            <w:bottom w:val="none" w:sz="0" w:space="0" w:color="auto"/>
            <w:right w:val="none" w:sz="0" w:space="0" w:color="auto"/>
          </w:divBdr>
        </w:div>
      </w:divsChild>
    </w:div>
    <w:div w:id="2013023438">
      <w:bodyDiv w:val="1"/>
      <w:marLeft w:val="0"/>
      <w:marRight w:val="0"/>
      <w:marTop w:val="0"/>
      <w:marBottom w:val="0"/>
      <w:divBdr>
        <w:top w:val="none" w:sz="0" w:space="0" w:color="auto"/>
        <w:left w:val="none" w:sz="0" w:space="0" w:color="auto"/>
        <w:bottom w:val="none" w:sz="0" w:space="0" w:color="auto"/>
        <w:right w:val="none" w:sz="0" w:space="0" w:color="auto"/>
      </w:divBdr>
    </w:div>
    <w:div w:id="2136176118">
      <w:bodyDiv w:val="1"/>
      <w:marLeft w:val="0"/>
      <w:marRight w:val="0"/>
      <w:marTop w:val="0"/>
      <w:marBottom w:val="0"/>
      <w:divBdr>
        <w:top w:val="none" w:sz="0" w:space="0" w:color="auto"/>
        <w:left w:val="none" w:sz="0" w:space="0" w:color="auto"/>
        <w:bottom w:val="none" w:sz="0" w:space="0" w:color="auto"/>
        <w:right w:val="none" w:sz="0" w:space="0" w:color="auto"/>
      </w:divBdr>
      <w:divsChild>
        <w:div w:id="491331975">
          <w:marLeft w:val="0"/>
          <w:marRight w:val="0"/>
          <w:marTop w:val="0"/>
          <w:marBottom w:val="0"/>
          <w:divBdr>
            <w:top w:val="single" w:sz="2" w:space="0" w:color="D9D9E3"/>
            <w:left w:val="single" w:sz="2" w:space="0" w:color="D9D9E3"/>
            <w:bottom w:val="single" w:sz="2" w:space="0" w:color="D9D9E3"/>
            <w:right w:val="single" w:sz="2" w:space="0" w:color="D9D9E3"/>
          </w:divBdr>
          <w:divsChild>
            <w:div w:id="290941576">
              <w:marLeft w:val="0"/>
              <w:marRight w:val="0"/>
              <w:marTop w:val="0"/>
              <w:marBottom w:val="0"/>
              <w:divBdr>
                <w:top w:val="single" w:sz="2" w:space="0" w:color="D9D9E3"/>
                <w:left w:val="single" w:sz="2" w:space="0" w:color="D9D9E3"/>
                <w:bottom w:val="single" w:sz="2" w:space="0" w:color="D9D9E3"/>
                <w:right w:val="single" w:sz="2" w:space="0" w:color="D9D9E3"/>
              </w:divBdr>
              <w:divsChild>
                <w:div w:id="446699635">
                  <w:marLeft w:val="0"/>
                  <w:marRight w:val="0"/>
                  <w:marTop w:val="0"/>
                  <w:marBottom w:val="0"/>
                  <w:divBdr>
                    <w:top w:val="single" w:sz="2" w:space="0" w:color="D9D9E3"/>
                    <w:left w:val="single" w:sz="2" w:space="0" w:color="D9D9E3"/>
                    <w:bottom w:val="single" w:sz="2" w:space="0" w:color="D9D9E3"/>
                    <w:right w:val="single" w:sz="2" w:space="0" w:color="D9D9E3"/>
                  </w:divBdr>
                  <w:divsChild>
                    <w:div w:id="1823504249">
                      <w:marLeft w:val="0"/>
                      <w:marRight w:val="0"/>
                      <w:marTop w:val="0"/>
                      <w:marBottom w:val="0"/>
                      <w:divBdr>
                        <w:top w:val="single" w:sz="2" w:space="0" w:color="D9D9E3"/>
                        <w:left w:val="single" w:sz="2" w:space="0" w:color="D9D9E3"/>
                        <w:bottom w:val="single" w:sz="2" w:space="0" w:color="D9D9E3"/>
                        <w:right w:val="single" w:sz="2" w:space="0" w:color="D9D9E3"/>
                      </w:divBdr>
                      <w:divsChild>
                        <w:div w:id="922958411">
                          <w:marLeft w:val="0"/>
                          <w:marRight w:val="0"/>
                          <w:marTop w:val="0"/>
                          <w:marBottom w:val="0"/>
                          <w:divBdr>
                            <w:top w:val="single" w:sz="2" w:space="0" w:color="auto"/>
                            <w:left w:val="single" w:sz="2" w:space="0" w:color="auto"/>
                            <w:bottom w:val="single" w:sz="6" w:space="0" w:color="auto"/>
                            <w:right w:val="single" w:sz="2" w:space="0" w:color="auto"/>
                          </w:divBdr>
                          <w:divsChild>
                            <w:div w:id="387344833">
                              <w:marLeft w:val="0"/>
                              <w:marRight w:val="0"/>
                              <w:marTop w:val="100"/>
                              <w:marBottom w:val="100"/>
                              <w:divBdr>
                                <w:top w:val="single" w:sz="2" w:space="0" w:color="D9D9E3"/>
                                <w:left w:val="single" w:sz="2" w:space="0" w:color="D9D9E3"/>
                                <w:bottom w:val="single" w:sz="2" w:space="0" w:color="D9D9E3"/>
                                <w:right w:val="single" w:sz="2" w:space="0" w:color="D9D9E3"/>
                              </w:divBdr>
                              <w:divsChild>
                                <w:div w:id="47269883">
                                  <w:marLeft w:val="0"/>
                                  <w:marRight w:val="0"/>
                                  <w:marTop w:val="0"/>
                                  <w:marBottom w:val="0"/>
                                  <w:divBdr>
                                    <w:top w:val="single" w:sz="2" w:space="0" w:color="D9D9E3"/>
                                    <w:left w:val="single" w:sz="2" w:space="0" w:color="D9D9E3"/>
                                    <w:bottom w:val="single" w:sz="2" w:space="0" w:color="D9D9E3"/>
                                    <w:right w:val="single" w:sz="2" w:space="0" w:color="D9D9E3"/>
                                  </w:divBdr>
                                  <w:divsChild>
                                    <w:div w:id="1501119730">
                                      <w:marLeft w:val="0"/>
                                      <w:marRight w:val="0"/>
                                      <w:marTop w:val="0"/>
                                      <w:marBottom w:val="0"/>
                                      <w:divBdr>
                                        <w:top w:val="single" w:sz="2" w:space="0" w:color="D9D9E3"/>
                                        <w:left w:val="single" w:sz="2" w:space="0" w:color="D9D9E3"/>
                                        <w:bottom w:val="single" w:sz="2" w:space="0" w:color="D9D9E3"/>
                                        <w:right w:val="single" w:sz="2" w:space="0" w:color="D9D9E3"/>
                                      </w:divBdr>
                                      <w:divsChild>
                                        <w:div w:id="576747297">
                                          <w:marLeft w:val="0"/>
                                          <w:marRight w:val="0"/>
                                          <w:marTop w:val="0"/>
                                          <w:marBottom w:val="0"/>
                                          <w:divBdr>
                                            <w:top w:val="single" w:sz="2" w:space="0" w:color="D9D9E3"/>
                                            <w:left w:val="single" w:sz="2" w:space="0" w:color="D9D9E3"/>
                                            <w:bottom w:val="single" w:sz="2" w:space="0" w:color="D9D9E3"/>
                                            <w:right w:val="single" w:sz="2" w:space="0" w:color="D9D9E3"/>
                                          </w:divBdr>
                                          <w:divsChild>
                                            <w:div w:id="901479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311147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D69350-8564-4F4E-B99D-A9F646DB9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24</Pages>
  <Words>7196</Words>
  <Characters>41022</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Amandeep Kaur</dc:creator>
  <cp:lastModifiedBy>Hardikkumar Hareshbhai Solanki (2220271)</cp:lastModifiedBy>
  <cp:revision>2</cp:revision>
  <dcterms:created xsi:type="dcterms:W3CDTF">2023-08-19T16:04:00Z</dcterms:created>
  <dcterms:modified xsi:type="dcterms:W3CDTF">2023-08-19T16:04:00Z</dcterms:modified>
</cp:coreProperties>
</file>