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425D" w:rsidRPr="007D425D" w:rsidRDefault="007D425D" w:rsidP="007D425D">
      <w:pPr>
        <w:spacing w:after="0" w:line="240" w:lineRule="auto"/>
        <w:ind w:left="-180" w:right="-334"/>
        <w:rPr>
          <w:rFonts w:ascii="Georgia" w:eastAsia="SimSun" w:hAnsi="Georgia" w:cs="Times New Roman"/>
          <w:color w:val="000000"/>
          <w:sz w:val="21"/>
          <w:szCs w:val="21"/>
          <w:lang w:eastAsia="zh-CN"/>
        </w:rPr>
      </w:pPr>
      <w:r>
        <w:rPr>
          <w:rFonts w:ascii="Georgia" w:eastAsia="SimSun" w:hAnsi="Georgia" w:cs="Times New Roman"/>
          <w:noProof/>
          <w:color w:val="000000"/>
          <w:sz w:val="21"/>
          <w:szCs w:val="21"/>
          <w:lang w:eastAsia="en-GB"/>
        </w:rPr>
        <w:drawing>
          <wp:inline distT="0" distB="0" distL="0" distR="0">
            <wp:extent cx="1910080" cy="635000"/>
            <wp:effectExtent l="19050" t="19050" r="13970" b="127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35000"/>
                    </a:xfrm>
                    <a:prstGeom prst="rect">
                      <a:avLst/>
                    </a:prstGeom>
                    <a:noFill/>
                    <a:ln w="19050" cmpd="sng">
                      <a:solidFill>
                        <a:srgbClr val="000000"/>
                      </a:solidFill>
                      <a:miter lim="800000"/>
                      <a:headEnd/>
                      <a:tailEnd/>
                    </a:ln>
                    <a:effectLst/>
                  </pic:spPr>
                </pic:pic>
              </a:graphicData>
            </a:graphic>
          </wp:inline>
        </w:drawing>
      </w:r>
    </w:p>
    <w:p w:rsidR="007D425D" w:rsidRPr="007D425D" w:rsidRDefault="007D425D" w:rsidP="007D425D">
      <w:pPr>
        <w:spacing w:after="0" w:line="240" w:lineRule="auto"/>
        <w:ind w:left="-180" w:right="-334"/>
        <w:rPr>
          <w:rFonts w:ascii="Georgia" w:eastAsia="SimSun" w:hAnsi="Georgia" w:cs="Times New Roman"/>
          <w:color w:val="000000"/>
          <w:sz w:val="21"/>
          <w:szCs w:val="21"/>
          <w:lang w:eastAsia="zh-CN"/>
        </w:rPr>
      </w:pPr>
    </w:p>
    <w:p w:rsidR="007D425D" w:rsidRPr="007D425D" w:rsidRDefault="007D425D" w:rsidP="007D425D">
      <w:pPr>
        <w:spacing w:after="0" w:line="240" w:lineRule="auto"/>
        <w:ind w:left="-180" w:right="-334"/>
        <w:rPr>
          <w:rFonts w:ascii="Georgia" w:eastAsia="SimSun" w:hAnsi="Georgia" w:cs="Times New Roman"/>
          <w:color w:val="000000"/>
          <w:sz w:val="21"/>
          <w:szCs w:val="21"/>
          <w:lang w:eastAsia="zh-CN"/>
        </w:rPr>
      </w:pPr>
    </w:p>
    <w:p w:rsidR="007D425D" w:rsidRPr="007D425D" w:rsidRDefault="007D425D" w:rsidP="007D425D">
      <w:pPr>
        <w:spacing w:after="0" w:line="240" w:lineRule="auto"/>
        <w:ind w:left="-180" w:right="-334"/>
        <w:jc w:val="center"/>
        <w:rPr>
          <w:rFonts w:ascii="Arial" w:eastAsia="SimSun" w:hAnsi="Arial" w:cs="Arial"/>
          <w:b/>
          <w:color w:val="000000"/>
          <w:sz w:val="28"/>
          <w:szCs w:val="28"/>
          <w:lang w:val="cy-GB" w:eastAsia="zh-CN"/>
        </w:rPr>
      </w:pPr>
      <w:r w:rsidRPr="007D425D">
        <w:rPr>
          <w:rFonts w:ascii="Arial" w:eastAsia="SimSun" w:hAnsi="Arial" w:cs="Arial"/>
          <w:b/>
          <w:color w:val="000000"/>
          <w:sz w:val="28"/>
          <w:szCs w:val="28"/>
          <w:lang w:val="cy-GB" w:eastAsia="zh-CN"/>
        </w:rPr>
        <w:t xml:space="preserve">Postgraduate/Distance Learning </w:t>
      </w:r>
    </w:p>
    <w:p w:rsidR="007D425D" w:rsidRPr="007D425D" w:rsidRDefault="007D425D" w:rsidP="007D425D">
      <w:pPr>
        <w:spacing w:after="0" w:line="240" w:lineRule="auto"/>
        <w:ind w:left="-180" w:right="-334"/>
        <w:jc w:val="center"/>
        <w:rPr>
          <w:rFonts w:ascii="Arial" w:eastAsia="SimSun" w:hAnsi="Arial" w:cs="Arial"/>
          <w:b/>
          <w:color w:val="000000"/>
          <w:sz w:val="28"/>
          <w:szCs w:val="28"/>
          <w:lang w:eastAsia="zh-CN"/>
        </w:rPr>
      </w:pPr>
      <w:r w:rsidRPr="007D425D">
        <w:rPr>
          <w:rFonts w:ascii="Arial" w:eastAsia="SimSun" w:hAnsi="Arial" w:cs="Arial"/>
          <w:b/>
          <w:color w:val="000000"/>
          <w:sz w:val="28"/>
          <w:szCs w:val="28"/>
          <w:lang w:val="cy-GB" w:eastAsia="zh-CN"/>
        </w:rPr>
        <w:t>Assignment coversheet &amp; feedback form</w:t>
      </w:r>
    </w:p>
    <w:p w:rsidR="007D425D" w:rsidRPr="007D425D" w:rsidRDefault="007D425D" w:rsidP="007D425D">
      <w:pPr>
        <w:spacing w:after="0" w:line="240" w:lineRule="auto"/>
        <w:rPr>
          <w:rFonts w:ascii="Arial" w:eastAsia="SimSun" w:hAnsi="Arial" w:cs="Arial"/>
          <w:sz w:val="28"/>
          <w:szCs w:val="28"/>
          <w:lang w:val="cy-GB" w:eastAsia="zh-CN"/>
        </w:rPr>
      </w:pPr>
    </w:p>
    <w:p w:rsidR="007D425D" w:rsidRPr="007D425D" w:rsidRDefault="007D425D" w:rsidP="007D425D">
      <w:pPr>
        <w:keepNext/>
        <w:spacing w:after="0" w:line="240" w:lineRule="auto"/>
        <w:ind w:left="720"/>
        <w:jc w:val="center"/>
        <w:outlineLvl w:val="2"/>
        <w:rPr>
          <w:rFonts w:ascii="Tahoma" w:eastAsia="SimSun" w:hAnsi="Tahoma" w:cs="Tahoma"/>
          <w:b/>
          <w:bCs/>
          <w:sz w:val="20"/>
          <w:szCs w:val="20"/>
          <w:lang w:val="cy-GB" w:eastAsia="zh-CN"/>
        </w:rPr>
      </w:pPr>
      <w:r w:rsidRPr="007D425D">
        <w:rPr>
          <w:rFonts w:ascii="Tahoma" w:eastAsia="SimSun" w:hAnsi="Tahoma" w:cs="Tahoma"/>
          <w:b/>
          <w:bCs/>
          <w:sz w:val="20"/>
          <w:szCs w:val="20"/>
          <w:lang w:val="cy-GB" w:eastAsia="zh-CN"/>
        </w:rPr>
        <w:t>THIS SHEET MUST BE THE FIRST PAGE OF THE ASSIGNMENT YOU ARE SUBMITTING  (DO NOT SEND AS A SEPARATE FILE)</w:t>
      </w:r>
    </w:p>
    <w:p w:rsidR="007D425D" w:rsidRPr="007D425D" w:rsidRDefault="007D425D" w:rsidP="007D425D">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D425D" w:rsidRPr="007D425D" w:rsidTr="006C30C3">
        <w:trPr>
          <w:trHeight w:val="614"/>
        </w:trPr>
        <w:tc>
          <w:tcPr>
            <w:tcW w:w="8856" w:type="dxa"/>
            <w:gridSpan w:val="5"/>
          </w:tcPr>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b/>
                <w:color w:val="000000"/>
                <w:lang w:eastAsia="zh-CN"/>
              </w:rPr>
              <w:t>For completion by the student</w:t>
            </w:r>
            <w:r w:rsidRPr="007D425D">
              <w:rPr>
                <w:rFonts w:ascii="Arial" w:eastAsia="SimSun" w:hAnsi="Arial" w:cs="Arial"/>
                <w:color w:val="000000"/>
                <w:lang w:eastAsia="zh-CN"/>
              </w:rPr>
              <w:t>:</w:t>
            </w:r>
          </w:p>
        </w:tc>
      </w:tr>
      <w:tr w:rsidR="007D425D" w:rsidRPr="007D425D" w:rsidTr="006C30C3">
        <w:trPr>
          <w:trHeight w:val="718"/>
        </w:trPr>
        <w:tc>
          <w:tcPr>
            <w:tcW w:w="8856" w:type="dxa"/>
            <w:gridSpan w:val="5"/>
          </w:tcPr>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Student Name: Murray Eiland</w:t>
            </w:r>
          </w:p>
          <w:p w:rsidR="007D425D" w:rsidRPr="007D425D" w:rsidRDefault="007D425D" w:rsidP="007D425D">
            <w:pPr>
              <w:spacing w:after="0" w:line="240" w:lineRule="auto"/>
              <w:ind w:right="34"/>
              <w:rPr>
                <w:rFonts w:ascii="Arial" w:eastAsia="SimSun" w:hAnsi="Arial" w:cs="Arial"/>
                <w:color w:val="000000"/>
                <w:lang w:eastAsia="zh-CN"/>
              </w:rPr>
            </w:pPr>
          </w:p>
        </w:tc>
      </w:tr>
      <w:tr w:rsidR="007D425D" w:rsidRPr="007D425D" w:rsidTr="006C30C3">
        <w:trPr>
          <w:trHeight w:val="849"/>
        </w:trPr>
        <w:tc>
          <w:tcPr>
            <w:tcW w:w="4788" w:type="dxa"/>
          </w:tcPr>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Module code:</w:t>
            </w:r>
            <w:r w:rsidRPr="007D425D">
              <w:rPr>
                <w:rFonts w:ascii="Georgia" w:eastAsia="SimSun" w:hAnsi="Georgia" w:cs="Times New Roman"/>
                <w:color w:val="000000"/>
                <w:sz w:val="21"/>
                <w:szCs w:val="21"/>
                <w:lang w:eastAsia="zh-CN"/>
              </w:rPr>
              <w:t xml:space="preserve"> </w:t>
            </w:r>
            <w:r w:rsidRPr="007D425D">
              <w:rPr>
                <w:rFonts w:ascii="Arial" w:eastAsia="SimSun" w:hAnsi="Arial" w:cs="Arial"/>
                <w:color w:val="000000"/>
                <w:lang w:eastAsia="zh-CN"/>
              </w:rPr>
              <w:t>HPCA7027</w:t>
            </w:r>
          </w:p>
          <w:p w:rsidR="007D425D" w:rsidRPr="007D425D" w:rsidRDefault="007D425D" w:rsidP="007D425D">
            <w:pPr>
              <w:spacing w:after="0" w:line="240" w:lineRule="auto"/>
              <w:ind w:right="34"/>
              <w:rPr>
                <w:rFonts w:ascii="Arial" w:eastAsia="SimSun" w:hAnsi="Arial" w:cs="Arial"/>
                <w:color w:val="000000"/>
                <w:lang w:eastAsia="zh-CN"/>
              </w:rPr>
            </w:pPr>
          </w:p>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Module title: Cosmology, Magic and Divination</w:t>
            </w:r>
          </w:p>
        </w:tc>
        <w:tc>
          <w:tcPr>
            <w:tcW w:w="2266" w:type="dxa"/>
            <w:gridSpan w:val="3"/>
          </w:tcPr>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Student ID number:</w:t>
            </w:r>
            <w:r>
              <w:rPr>
                <w:rFonts w:ascii="Arial" w:eastAsia="SimSun" w:hAnsi="Arial" w:cs="Arial"/>
                <w:color w:val="000000"/>
                <w:lang w:eastAsia="zh-CN"/>
              </w:rPr>
              <w:t xml:space="preserve">  </w:t>
            </w:r>
            <w:r w:rsidRPr="007D425D">
              <w:rPr>
                <w:rFonts w:ascii="Arial" w:eastAsia="SimSun" w:hAnsi="Arial" w:cs="Arial"/>
                <w:color w:val="000000"/>
                <w:lang w:eastAsia="zh-CN"/>
              </w:rPr>
              <w:t xml:space="preserve">30001006 </w:t>
            </w:r>
          </w:p>
        </w:tc>
        <w:tc>
          <w:tcPr>
            <w:tcW w:w="1802" w:type="dxa"/>
          </w:tcPr>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Educational support needs:</w:t>
            </w:r>
          </w:p>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Yes/</w:t>
            </w:r>
            <w:r w:rsidRPr="007D425D">
              <w:rPr>
                <w:rFonts w:ascii="Arial" w:eastAsia="SimSun" w:hAnsi="Arial" w:cs="Arial"/>
                <w:b/>
                <w:color w:val="000000"/>
                <w:lang w:eastAsia="zh-CN"/>
              </w:rPr>
              <w:t>No</w:t>
            </w:r>
          </w:p>
        </w:tc>
      </w:tr>
      <w:tr w:rsidR="007D425D" w:rsidRPr="007D425D" w:rsidTr="006C30C3">
        <w:trPr>
          <w:trHeight w:val="1139"/>
        </w:trPr>
        <w:tc>
          <w:tcPr>
            <w:tcW w:w="8856" w:type="dxa"/>
            <w:gridSpan w:val="5"/>
          </w:tcPr>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Module tutor: Dorian Greenbaum, Dawn Collins</w:t>
            </w:r>
          </w:p>
          <w:p w:rsidR="007D425D" w:rsidRPr="007D425D" w:rsidRDefault="007D425D" w:rsidP="007D425D">
            <w:pPr>
              <w:spacing w:after="0" w:line="240" w:lineRule="auto"/>
              <w:ind w:right="34"/>
              <w:rPr>
                <w:rFonts w:ascii="Arial" w:eastAsia="SimSun" w:hAnsi="Arial" w:cs="Arial"/>
                <w:color w:val="000000"/>
                <w:lang w:eastAsia="zh-CN"/>
              </w:rPr>
            </w:pPr>
          </w:p>
          <w:p w:rsidR="007D425D" w:rsidRPr="007D425D" w:rsidRDefault="007D425D" w:rsidP="007D425D">
            <w:pPr>
              <w:spacing w:after="0" w:line="240" w:lineRule="auto"/>
              <w:ind w:right="34"/>
              <w:rPr>
                <w:rFonts w:ascii="Arial" w:eastAsia="SimSun" w:hAnsi="Arial" w:cs="Arial"/>
                <w:color w:val="000000"/>
                <w:lang w:eastAsia="zh-CN"/>
              </w:rPr>
            </w:pPr>
          </w:p>
          <w:p w:rsidR="007D425D" w:rsidRPr="007D425D" w:rsidRDefault="007B0671" w:rsidP="007D425D">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Assignment due date: 24th April</w:t>
            </w:r>
            <w:r w:rsidR="007D425D" w:rsidRPr="007D425D">
              <w:rPr>
                <w:rFonts w:ascii="Arial" w:eastAsia="SimSun" w:hAnsi="Arial" w:cs="Arial"/>
                <w:color w:val="000000"/>
                <w:lang w:eastAsia="zh-CN"/>
              </w:rPr>
              <w:t xml:space="preserve"> 2023</w:t>
            </w:r>
          </w:p>
        </w:tc>
      </w:tr>
      <w:tr w:rsidR="007D425D" w:rsidRPr="007D425D" w:rsidTr="006C30C3">
        <w:trPr>
          <w:trHeight w:val="978"/>
        </w:trPr>
        <w:tc>
          <w:tcPr>
            <w:tcW w:w="8856" w:type="dxa"/>
            <w:gridSpan w:val="5"/>
            <w:tcBorders>
              <w:bottom w:val="single" w:sz="4" w:space="0" w:color="000000"/>
            </w:tcBorders>
          </w:tcPr>
          <w:p w:rsidR="007D425D" w:rsidRPr="007D425D" w:rsidRDefault="007D425D" w:rsidP="007D425D">
            <w:pPr>
              <w:spacing w:after="0" w:line="240" w:lineRule="auto"/>
              <w:rPr>
                <w:rFonts w:ascii="Arial" w:eastAsia="SimSun" w:hAnsi="Arial" w:cs="Arial"/>
                <w:lang w:eastAsia="zh-CN"/>
              </w:rPr>
            </w:pPr>
            <w:r w:rsidRPr="007D425D">
              <w:rPr>
                <w:rFonts w:ascii="Arial" w:eastAsia="SimSun" w:hAnsi="Arial" w:cs="Arial"/>
                <w:lang w:eastAsia="zh-CN"/>
              </w:rPr>
              <w:t>If your module has multiple submissions please indicate which piece of work this is.</w:t>
            </w:r>
          </w:p>
          <w:p w:rsidR="007D425D" w:rsidRPr="007D425D" w:rsidRDefault="007D425D" w:rsidP="007D425D">
            <w:pPr>
              <w:spacing w:after="0" w:line="240" w:lineRule="auto"/>
              <w:rPr>
                <w:rFonts w:ascii="Arial" w:eastAsia="SimSun" w:hAnsi="Arial" w:cs="Arial"/>
                <w:lang w:eastAsia="zh-CN"/>
              </w:rPr>
            </w:pPr>
          </w:p>
          <w:p w:rsidR="007D425D" w:rsidRPr="007D425D" w:rsidRDefault="007D425D" w:rsidP="007D425D">
            <w:pPr>
              <w:spacing w:after="0" w:line="240" w:lineRule="auto"/>
              <w:rPr>
                <w:rFonts w:ascii="Arial" w:eastAsia="SimSun" w:hAnsi="Arial" w:cs="Arial"/>
                <w:lang w:eastAsia="zh-CN"/>
              </w:rPr>
            </w:pPr>
            <w:r w:rsidRPr="007D425D">
              <w:rPr>
                <w:rFonts w:ascii="Arial" w:eastAsia="SimSun" w:hAnsi="Arial" w:cs="Arial"/>
                <w:lang w:eastAsia="zh-CN"/>
              </w:rPr>
              <w:t>1</w:t>
            </w:r>
            <w:r w:rsidRPr="007D425D">
              <w:rPr>
                <w:rFonts w:ascii="Arial" w:eastAsia="SimSun" w:hAnsi="Arial" w:cs="Arial"/>
                <w:vertAlign w:val="superscript"/>
                <w:lang w:eastAsia="zh-CN"/>
              </w:rPr>
              <w:t xml:space="preserve">st </w:t>
            </w:r>
            <w:r w:rsidRPr="007D425D">
              <w:rPr>
                <w:rFonts w:ascii="Arial" w:eastAsia="SimSun" w:hAnsi="Arial" w:cs="Arial"/>
                <w:lang w:eastAsia="zh-CN"/>
              </w:rPr>
              <w:fldChar w:fldCharType="begin">
                <w:ffData>
                  <w:name w:val="Check13"/>
                  <w:enabled/>
                  <w:calcOnExit w:val="0"/>
                  <w:checkBox>
                    <w:sizeAuto/>
                    <w:default w:val="0"/>
                  </w:checkBox>
                </w:ffData>
              </w:fldChar>
            </w:r>
            <w:bookmarkStart w:id="0" w:name="Check13"/>
            <w:r w:rsidRPr="007D425D">
              <w:rPr>
                <w:rFonts w:ascii="Arial" w:eastAsia="SimSun" w:hAnsi="Arial" w:cs="Arial"/>
                <w:lang w:eastAsia="zh-CN"/>
              </w:rPr>
              <w:instrText xml:space="preserve"> FORMCHECKBOX </w:instrText>
            </w:r>
            <w:r w:rsidR="00745F67">
              <w:rPr>
                <w:rFonts w:ascii="Arial" w:eastAsia="SimSun" w:hAnsi="Arial" w:cs="Arial"/>
                <w:lang w:eastAsia="zh-CN"/>
              </w:rPr>
            </w:r>
            <w:r w:rsidR="00745F67">
              <w:rPr>
                <w:rFonts w:ascii="Arial" w:eastAsia="SimSun" w:hAnsi="Arial" w:cs="Arial"/>
                <w:lang w:eastAsia="zh-CN"/>
              </w:rPr>
              <w:fldChar w:fldCharType="separate"/>
            </w:r>
            <w:r w:rsidRPr="007D425D">
              <w:rPr>
                <w:rFonts w:ascii="Arial" w:eastAsia="SimSun" w:hAnsi="Arial" w:cs="Arial"/>
                <w:lang w:eastAsia="zh-CN"/>
              </w:rPr>
              <w:fldChar w:fldCharType="end"/>
            </w:r>
            <w:bookmarkEnd w:id="0"/>
            <w:r w:rsidRPr="007D425D">
              <w:rPr>
                <w:rFonts w:ascii="Arial" w:eastAsia="SimSun" w:hAnsi="Arial" w:cs="Arial"/>
                <w:lang w:eastAsia="zh-CN"/>
              </w:rPr>
              <w:t xml:space="preserve">    2</w:t>
            </w:r>
            <w:r w:rsidRPr="007D425D">
              <w:rPr>
                <w:rFonts w:ascii="Arial" w:eastAsia="SimSun" w:hAnsi="Arial" w:cs="Arial"/>
                <w:vertAlign w:val="superscript"/>
                <w:lang w:eastAsia="zh-CN"/>
              </w:rPr>
              <w:t>nd</w:t>
            </w:r>
            <w:r w:rsidRPr="007D425D">
              <w:rPr>
                <w:rFonts w:ascii="Arial" w:eastAsia="SimSun" w:hAnsi="Arial" w:cs="Arial"/>
                <w:lang w:eastAsia="zh-CN"/>
              </w:rPr>
              <w:t xml:space="preserve">  </w:t>
            </w:r>
            <w:r w:rsidRPr="007D425D">
              <w:rPr>
                <w:rFonts w:ascii="Arial" w:eastAsia="SimSun" w:hAnsi="Arial" w:cs="Arial"/>
                <w:lang w:eastAsia="zh-CN"/>
              </w:rPr>
              <w:fldChar w:fldCharType="begin">
                <w:ffData>
                  <w:name w:val="Check14"/>
                  <w:enabled/>
                  <w:calcOnExit w:val="0"/>
                  <w:checkBox>
                    <w:sizeAuto/>
                    <w:default w:val="0"/>
                  </w:checkBox>
                </w:ffData>
              </w:fldChar>
            </w:r>
            <w:bookmarkStart w:id="1" w:name="Check14"/>
            <w:r w:rsidRPr="007D425D">
              <w:rPr>
                <w:rFonts w:ascii="Arial" w:eastAsia="SimSun" w:hAnsi="Arial" w:cs="Arial"/>
                <w:lang w:eastAsia="zh-CN"/>
              </w:rPr>
              <w:instrText xml:space="preserve"> FORMCHECKBOX </w:instrText>
            </w:r>
            <w:r w:rsidR="00745F67">
              <w:rPr>
                <w:rFonts w:ascii="Arial" w:eastAsia="SimSun" w:hAnsi="Arial" w:cs="Arial"/>
                <w:lang w:eastAsia="zh-CN"/>
              </w:rPr>
            </w:r>
            <w:r w:rsidR="00745F67">
              <w:rPr>
                <w:rFonts w:ascii="Arial" w:eastAsia="SimSun" w:hAnsi="Arial" w:cs="Arial"/>
                <w:lang w:eastAsia="zh-CN"/>
              </w:rPr>
              <w:fldChar w:fldCharType="separate"/>
            </w:r>
            <w:r w:rsidRPr="007D425D">
              <w:rPr>
                <w:rFonts w:ascii="Arial" w:eastAsia="SimSun" w:hAnsi="Arial" w:cs="Arial"/>
                <w:lang w:eastAsia="zh-CN"/>
              </w:rPr>
              <w:fldChar w:fldCharType="end"/>
            </w:r>
            <w:bookmarkEnd w:id="1"/>
            <w:r w:rsidRPr="007D425D">
              <w:rPr>
                <w:rFonts w:ascii="Arial" w:eastAsia="SimSun" w:hAnsi="Arial" w:cs="Arial"/>
                <w:lang w:eastAsia="zh-CN"/>
              </w:rPr>
              <w:t xml:space="preserve">     3</w:t>
            </w:r>
            <w:r w:rsidRPr="007D425D">
              <w:rPr>
                <w:rFonts w:ascii="Arial" w:eastAsia="SimSun" w:hAnsi="Arial" w:cs="Arial"/>
                <w:vertAlign w:val="superscript"/>
                <w:lang w:eastAsia="zh-CN"/>
              </w:rPr>
              <w:t>rd</w:t>
            </w:r>
            <w:r w:rsidRPr="007D425D">
              <w:rPr>
                <w:rFonts w:ascii="Arial" w:eastAsia="SimSun" w:hAnsi="Arial" w:cs="Arial"/>
                <w:lang w:eastAsia="zh-CN"/>
              </w:rPr>
              <w:t xml:space="preserve">  </w:t>
            </w:r>
            <w:r w:rsidRPr="007D425D">
              <w:rPr>
                <w:rFonts w:ascii="Arial" w:eastAsia="SimSun" w:hAnsi="Arial" w:cs="Arial"/>
                <w:lang w:eastAsia="zh-CN"/>
              </w:rPr>
              <w:fldChar w:fldCharType="begin">
                <w:ffData>
                  <w:name w:val="Check15"/>
                  <w:enabled/>
                  <w:calcOnExit w:val="0"/>
                  <w:checkBox>
                    <w:sizeAuto/>
                    <w:default w:val="0"/>
                  </w:checkBox>
                </w:ffData>
              </w:fldChar>
            </w:r>
            <w:bookmarkStart w:id="2" w:name="Check15"/>
            <w:r w:rsidRPr="007D425D">
              <w:rPr>
                <w:rFonts w:ascii="Arial" w:eastAsia="SimSun" w:hAnsi="Arial" w:cs="Arial"/>
                <w:lang w:eastAsia="zh-CN"/>
              </w:rPr>
              <w:instrText xml:space="preserve"> FORMCHECKBOX </w:instrText>
            </w:r>
            <w:r w:rsidR="00745F67">
              <w:rPr>
                <w:rFonts w:ascii="Arial" w:eastAsia="SimSun" w:hAnsi="Arial" w:cs="Arial"/>
                <w:lang w:eastAsia="zh-CN"/>
              </w:rPr>
            </w:r>
            <w:r w:rsidR="00745F67">
              <w:rPr>
                <w:rFonts w:ascii="Arial" w:eastAsia="SimSun" w:hAnsi="Arial" w:cs="Arial"/>
                <w:lang w:eastAsia="zh-CN"/>
              </w:rPr>
              <w:fldChar w:fldCharType="separate"/>
            </w:r>
            <w:r w:rsidRPr="007D425D">
              <w:rPr>
                <w:rFonts w:ascii="Arial" w:eastAsia="SimSun" w:hAnsi="Arial" w:cs="Arial"/>
                <w:lang w:eastAsia="zh-CN"/>
              </w:rPr>
              <w:fldChar w:fldCharType="end"/>
            </w:r>
            <w:bookmarkEnd w:id="2"/>
            <w:r w:rsidRPr="007D425D">
              <w:rPr>
                <w:rFonts w:ascii="Arial" w:eastAsia="SimSun" w:hAnsi="Arial" w:cs="Arial"/>
                <w:lang w:eastAsia="zh-CN"/>
              </w:rPr>
              <w:t xml:space="preserve">      4</w:t>
            </w:r>
            <w:r w:rsidRPr="007D425D">
              <w:rPr>
                <w:rFonts w:ascii="Arial" w:eastAsia="SimSun" w:hAnsi="Arial" w:cs="Arial"/>
                <w:vertAlign w:val="superscript"/>
                <w:lang w:eastAsia="zh-CN"/>
              </w:rPr>
              <w:t>th</w:t>
            </w:r>
            <w:r w:rsidRPr="007D425D">
              <w:rPr>
                <w:rFonts w:ascii="Arial" w:eastAsia="SimSun" w:hAnsi="Arial" w:cs="Arial"/>
                <w:lang w:eastAsia="zh-CN"/>
              </w:rPr>
              <w:t xml:space="preserve"> </w:t>
            </w:r>
            <w:r w:rsidRPr="007D425D">
              <w:rPr>
                <w:rFonts w:ascii="Arial" w:eastAsia="SimSun" w:hAnsi="Arial" w:cs="Arial"/>
                <w:lang w:eastAsia="zh-CN"/>
              </w:rPr>
              <w:fldChar w:fldCharType="begin">
                <w:ffData>
                  <w:name w:val="Check16"/>
                  <w:enabled/>
                  <w:calcOnExit w:val="0"/>
                  <w:checkBox>
                    <w:sizeAuto/>
                    <w:default w:val="0"/>
                  </w:checkBox>
                </w:ffData>
              </w:fldChar>
            </w:r>
            <w:bookmarkStart w:id="3" w:name="Check16"/>
            <w:r w:rsidRPr="007D425D">
              <w:rPr>
                <w:rFonts w:ascii="Arial" w:eastAsia="SimSun" w:hAnsi="Arial" w:cs="Arial"/>
                <w:lang w:eastAsia="zh-CN"/>
              </w:rPr>
              <w:instrText xml:space="preserve"> FORMCHECKBOX </w:instrText>
            </w:r>
            <w:r w:rsidR="00745F67">
              <w:rPr>
                <w:rFonts w:ascii="Arial" w:eastAsia="SimSun" w:hAnsi="Arial" w:cs="Arial"/>
                <w:lang w:eastAsia="zh-CN"/>
              </w:rPr>
            </w:r>
            <w:r w:rsidR="00745F67">
              <w:rPr>
                <w:rFonts w:ascii="Arial" w:eastAsia="SimSun" w:hAnsi="Arial" w:cs="Arial"/>
                <w:lang w:eastAsia="zh-CN"/>
              </w:rPr>
              <w:fldChar w:fldCharType="separate"/>
            </w:r>
            <w:r w:rsidRPr="007D425D">
              <w:rPr>
                <w:rFonts w:ascii="Arial" w:eastAsia="SimSun" w:hAnsi="Arial" w:cs="Arial"/>
                <w:lang w:eastAsia="zh-CN"/>
              </w:rPr>
              <w:fldChar w:fldCharType="end"/>
            </w:r>
            <w:bookmarkEnd w:id="3"/>
            <w:r w:rsidRPr="007D425D">
              <w:rPr>
                <w:rFonts w:ascii="Arial" w:eastAsia="SimSun" w:hAnsi="Arial" w:cs="Arial"/>
                <w:lang w:eastAsia="zh-CN"/>
              </w:rPr>
              <w:t xml:space="preserve">      5</w:t>
            </w:r>
            <w:r w:rsidRPr="007D425D">
              <w:rPr>
                <w:rFonts w:ascii="Arial" w:eastAsia="SimSun" w:hAnsi="Arial" w:cs="Arial"/>
                <w:vertAlign w:val="superscript"/>
                <w:lang w:eastAsia="zh-CN"/>
              </w:rPr>
              <w:t>th</w:t>
            </w:r>
            <w:r w:rsidRPr="007D425D">
              <w:rPr>
                <w:rFonts w:ascii="Arial" w:eastAsia="SimSun" w:hAnsi="Arial" w:cs="Arial"/>
                <w:lang w:eastAsia="zh-CN"/>
              </w:rPr>
              <w:t xml:space="preserve"> </w:t>
            </w:r>
            <w:r w:rsidRPr="007D425D">
              <w:rPr>
                <w:rFonts w:ascii="Arial" w:eastAsia="SimSun" w:hAnsi="Arial" w:cs="Arial"/>
                <w:lang w:eastAsia="zh-CN"/>
              </w:rPr>
              <w:fldChar w:fldCharType="begin">
                <w:ffData>
                  <w:name w:val="Check17"/>
                  <w:enabled/>
                  <w:calcOnExit w:val="0"/>
                  <w:checkBox>
                    <w:sizeAuto/>
                    <w:default w:val="0"/>
                  </w:checkBox>
                </w:ffData>
              </w:fldChar>
            </w:r>
            <w:bookmarkStart w:id="4" w:name="Check17"/>
            <w:r w:rsidRPr="007D425D">
              <w:rPr>
                <w:rFonts w:ascii="Arial" w:eastAsia="SimSun" w:hAnsi="Arial" w:cs="Arial"/>
                <w:lang w:eastAsia="zh-CN"/>
              </w:rPr>
              <w:instrText xml:space="preserve"> FORMCHECKBOX </w:instrText>
            </w:r>
            <w:r w:rsidR="00745F67">
              <w:rPr>
                <w:rFonts w:ascii="Arial" w:eastAsia="SimSun" w:hAnsi="Arial" w:cs="Arial"/>
                <w:lang w:eastAsia="zh-CN"/>
              </w:rPr>
            </w:r>
            <w:r w:rsidR="00745F67">
              <w:rPr>
                <w:rFonts w:ascii="Arial" w:eastAsia="SimSun" w:hAnsi="Arial" w:cs="Arial"/>
                <w:lang w:eastAsia="zh-CN"/>
              </w:rPr>
              <w:fldChar w:fldCharType="separate"/>
            </w:r>
            <w:r w:rsidRPr="007D425D">
              <w:rPr>
                <w:rFonts w:ascii="Arial" w:eastAsia="SimSun" w:hAnsi="Arial" w:cs="Arial"/>
                <w:lang w:eastAsia="zh-CN"/>
              </w:rPr>
              <w:fldChar w:fldCharType="end"/>
            </w:r>
            <w:bookmarkEnd w:id="4"/>
            <w:r w:rsidRPr="007D425D">
              <w:rPr>
                <w:rFonts w:ascii="Arial" w:eastAsia="SimSun" w:hAnsi="Arial" w:cs="Arial"/>
                <w:lang w:eastAsia="zh-CN"/>
              </w:rPr>
              <w:t xml:space="preserve">      6</w:t>
            </w:r>
            <w:r w:rsidRPr="007D425D">
              <w:rPr>
                <w:rFonts w:ascii="Arial" w:eastAsia="SimSun" w:hAnsi="Arial" w:cs="Arial"/>
                <w:vertAlign w:val="superscript"/>
                <w:lang w:eastAsia="zh-CN"/>
              </w:rPr>
              <w:t>th</w:t>
            </w:r>
            <w:r w:rsidRPr="007D425D">
              <w:rPr>
                <w:rFonts w:ascii="Arial" w:eastAsia="SimSun" w:hAnsi="Arial" w:cs="Arial"/>
                <w:lang w:eastAsia="zh-CN"/>
              </w:rPr>
              <w:t xml:space="preserve"> </w:t>
            </w:r>
            <w:r w:rsidRPr="007D425D">
              <w:rPr>
                <w:rFonts w:ascii="Arial" w:eastAsia="SimSun" w:hAnsi="Arial" w:cs="Arial"/>
                <w:lang w:eastAsia="zh-CN"/>
              </w:rPr>
              <w:fldChar w:fldCharType="begin">
                <w:ffData>
                  <w:name w:val="Check18"/>
                  <w:enabled/>
                  <w:calcOnExit w:val="0"/>
                  <w:checkBox>
                    <w:sizeAuto/>
                    <w:default w:val="0"/>
                  </w:checkBox>
                </w:ffData>
              </w:fldChar>
            </w:r>
            <w:bookmarkStart w:id="5" w:name="Check18"/>
            <w:r w:rsidRPr="007D425D">
              <w:rPr>
                <w:rFonts w:ascii="Arial" w:eastAsia="SimSun" w:hAnsi="Arial" w:cs="Arial"/>
                <w:lang w:eastAsia="zh-CN"/>
              </w:rPr>
              <w:instrText xml:space="preserve"> FORMCHECKBOX </w:instrText>
            </w:r>
            <w:r w:rsidR="00745F67">
              <w:rPr>
                <w:rFonts w:ascii="Arial" w:eastAsia="SimSun" w:hAnsi="Arial" w:cs="Arial"/>
                <w:lang w:eastAsia="zh-CN"/>
              </w:rPr>
            </w:r>
            <w:r w:rsidR="00745F67">
              <w:rPr>
                <w:rFonts w:ascii="Arial" w:eastAsia="SimSun" w:hAnsi="Arial" w:cs="Arial"/>
                <w:lang w:eastAsia="zh-CN"/>
              </w:rPr>
              <w:fldChar w:fldCharType="separate"/>
            </w:r>
            <w:r w:rsidRPr="007D425D">
              <w:rPr>
                <w:rFonts w:ascii="Arial" w:eastAsia="SimSun" w:hAnsi="Arial" w:cs="Arial"/>
                <w:lang w:eastAsia="zh-CN"/>
              </w:rPr>
              <w:fldChar w:fldCharType="end"/>
            </w:r>
            <w:bookmarkEnd w:id="5"/>
          </w:p>
        </w:tc>
      </w:tr>
      <w:tr w:rsidR="007D425D" w:rsidRPr="007D425D" w:rsidTr="006C30C3">
        <w:trPr>
          <w:trHeight w:val="978"/>
        </w:trPr>
        <w:tc>
          <w:tcPr>
            <w:tcW w:w="8856" w:type="dxa"/>
            <w:gridSpan w:val="5"/>
            <w:shd w:val="clear" w:color="auto" w:fill="D9D9D9"/>
          </w:tcPr>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I confirm that this is my original work and that I have adhered to the University policy on plagiarism.</w:t>
            </w:r>
          </w:p>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Arial" w:eastAsia="SimSun" w:hAnsi="Arial" w:cs="Arial"/>
                <w:color w:val="000000"/>
                <w:lang w:eastAsia="zh-CN"/>
              </w:rPr>
              <w:t>Signed  Murray Eiland</w:t>
            </w:r>
          </w:p>
          <w:p w:rsidR="007D425D" w:rsidRPr="007D425D" w:rsidRDefault="007D425D" w:rsidP="007D425D">
            <w:pPr>
              <w:spacing w:after="0" w:line="240" w:lineRule="auto"/>
              <w:ind w:right="34"/>
              <w:rPr>
                <w:rFonts w:ascii="Calibri" w:eastAsia="SimSun" w:hAnsi="Calibri" w:cs="Calibri"/>
                <w:b/>
                <w:color w:val="000000"/>
                <w:sz w:val="44"/>
                <w:szCs w:val="44"/>
                <w:lang w:eastAsia="zh-CN"/>
              </w:rPr>
            </w:pPr>
            <w:r w:rsidRPr="007D425D">
              <w:rPr>
                <w:rFonts w:ascii="Calibri" w:eastAsia="SimSun" w:hAnsi="Calibri" w:cs="Tahoma"/>
                <w:b/>
                <w:color w:val="000000"/>
                <w:sz w:val="24"/>
                <w:szCs w:val="24"/>
                <w:lang w:eastAsia="zh-CN"/>
              </w:rPr>
              <w:t xml:space="preserve">Email submission: if you are submitting this form via email, please tick this box </w:t>
            </w:r>
            <w:r w:rsidRPr="007D425D">
              <w:rPr>
                <w:rFonts w:ascii="Calibri" w:eastAsia="SimSun" w:hAnsi="Calibri" w:cs="Calibri"/>
                <w:b/>
                <w:color w:val="000000"/>
                <w:sz w:val="44"/>
                <w:szCs w:val="44"/>
                <w:lang w:eastAsia="zh-CN"/>
              </w:rPr>
              <w:t>x</w:t>
            </w:r>
          </w:p>
          <w:p w:rsidR="007D425D" w:rsidRPr="007D425D" w:rsidRDefault="007D425D" w:rsidP="007D425D">
            <w:pPr>
              <w:spacing w:after="0" w:line="240" w:lineRule="auto"/>
              <w:ind w:right="34"/>
              <w:rPr>
                <w:rFonts w:ascii="Arial" w:eastAsia="SimSun" w:hAnsi="Arial" w:cs="Arial"/>
                <w:color w:val="000000"/>
                <w:lang w:eastAsia="zh-CN"/>
              </w:rPr>
            </w:pPr>
            <w:r w:rsidRPr="007D425D">
              <w:rPr>
                <w:rFonts w:ascii="Calibri" w:eastAsia="SimSun" w:hAnsi="Calibri" w:cs="Tahoma"/>
                <w:b/>
                <w:color w:val="000000"/>
                <w:sz w:val="24"/>
                <w:szCs w:val="24"/>
                <w:lang w:eastAsia="zh-CN"/>
              </w:rPr>
              <w:t>(as a substitute for your signature) to confirm that you agree to the above declaration.</w:t>
            </w:r>
          </w:p>
        </w:tc>
      </w:tr>
      <w:tr w:rsidR="007D425D" w:rsidRPr="007D425D" w:rsidTr="006C30C3">
        <w:trPr>
          <w:trHeight w:val="3972"/>
        </w:trPr>
        <w:tc>
          <w:tcPr>
            <w:tcW w:w="8856" w:type="dxa"/>
            <w:gridSpan w:val="5"/>
          </w:tcPr>
          <w:p w:rsidR="007D425D" w:rsidRPr="007D425D" w:rsidRDefault="007D425D" w:rsidP="007D425D">
            <w:pPr>
              <w:spacing w:after="0" w:line="240" w:lineRule="auto"/>
              <w:rPr>
                <w:rFonts w:ascii="Arial" w:eastAsia="SimSun" w:hAnsi="Arial" w:cs="Times New Roman"/>
                <w:b/>
                <w:sz w:val="24"/>
                <w:szCs w:val="24"/>
                <w:lang w:eastAsia="zh-CN"/>
              </w:rPr>
            </w:pPr>
          </w:p>
          <w:p w:rsidR="007D425D" w:rsidRPr="007D425D" w:rsidRDefault="007D425D" w:rsidP="007D425D">
            <w:pPr>
              <w:spacing w:after="0" w:line="240" w:lineRule="auto"/>
              <w:rPr>
                <w:rFonts w:ascii="Arial" w:eastAsia="SimSun" w:hAnsi="Arial" w:cs="Times New Roman"/>
                <w:b/>
                <w:sz w:val="24"/>
                <w:szCs w:val="24"/>
                <w:lang w:eastAsia="zh-CN"/>
              </w:rPr>
            </w:pPr>
            <w:r w:rsidRPr="007D425D">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D425D" w:rsidRPr="007D425D" w:rsidTr="006C30C3">
              <w:tc>
                <w:tcPr>
                  <w:tcW w:w="6970" w:type="dxa"/>
                </w:tcPr>
                <w:p w:rsidR="007D425D" w:rsidRPr="007D425D" w:rsidRDefault="007D425D" w:rsidP="007D425D">
                  <w:pPr>
                    <w:spacing w:after="0" w:line="240" w:lineRule="auto"/>
                    <w:rPr>
                      <w:rFonts w:ascii="Arial" w:eastAsia="SimSun" w:hAnsi="Arial" w:cs="Times New Roman"/>
                      <w:sz w:val="20"/>
                      <w:szCs w:val="20"/>
                      <w:lang w:eastAsia="zh-CN"/>
                    </w:rPr>
                  </w:pPr>
                </w:p>
                <w:p w:rsidR="007D425D" w:rsidRPr="007D425D" w:rsidRDefault="007D425D" w:rsidP="007D425D">
                  <w:pPr>
                    <w:spacing w:after="0" w:line="240" w:lineRule="auto"/>
                    <w:rPr>
                      <w:rFonts w:ascii="Arial" w:eastAsia="SimSun" w:hAnsi="Arial" w:cs="Times New Roman"/>
                      <w:b/>
                      <w:sz w:val="20"/>
                      <w:szCs w:val="20"/>
                      <w:lang w:eastAsia="zh-CN"/>
                    </w:rPr>
                  </w:pPr>
                  <w:r w:rsidRPr="007D425D">
                    <w:rPr>
                      <w:rFonts w:ascii="Arial" w:eastAsia="SimSun" w:hAnsi="Arial" w:cs="Times New Roman"/>
                      <w:b/>
                      <w:sz w:val="20"/>
                      <w:szCs w:val="20"/>
                      <w:lang w:eastAsia="zh-CN"/>
                    </w:rPr>
                    <w:t>Final Mark</w:t>
                  </w:r>
                </w:p>
                <w:p w:rsidR="007D425D" w:rsidRPr="007D425D" w:rsidRDefault="007D425D" w:rsidP="007D425D">
                  <w:pPr>
                    <w:spacing w:after="0" w:line="240" w:lineRule="auto"/>
                    <w:rPr>
                      <w:rFonts w:ascii="Arial" w:eastAsia="SimSun" w:hAnsi="Arial" w:cs="Times New Roman"/>
                      <w:sz w:val="20"/>
                      <w:szCs w:val="20"/>
                      <w:lang w:eastAsia="zh-CN"/>
                    </w:rPr>
                  </w:pPr>
                </w:p>
              </w:tc>
              <w:tc>
                <w:tcPr>
                  <w:tcW w:w="1660" w:type="dxa"/>
                </w:tcPr>
                <w:p w:rsidR="007D425D" w:rsidRPr="007D425D" w:rsidRDefault="007D425D" w:rsidP="007D425D">
                  <w:pPr>
                    <w:spacing w:after="0" w:line="240" w:lineRule="auto"/>
                    <w:rPr>
                      <w:rFonts w:ascii="Arial" w:eastAsia="SimSun" w:hAnsi="Arial" w:cs="Times New Roman"/>
                      <w:sz w:val="20"/>
                      <w:szCs w:val="20"/>
                      <w:lang w:eastAsia="zh-CN"/>
                    </w:rPr>
                  </w:pPr>
                  <w:r w:rsidRPr="007D425D">
                    <w:rPr>
                      <w:rFonts w:ascii="Arial" w:eastAsia="SimSun" w:hAnsi="Arial" w:cs="Times New Roman"/>
                      <w:sz w:val="20"/>
                      <w:szCs w:val="20"/>
                      <w:lang w:eastAsia="zh-CN"/>
                    </w:rPr>
                    <w:t>WILL BE GIVEN ON TURNITIN</w:t>
                  </w:r>
                </w:p>
              </w:tc>
            </w:tr>
          </w:tbl>
          <w:p w:rsidR="007D425D" w:rsidRPr="007D425D" w:rsidRDefault="007D425D" w:rsidP="007D425D">
            <w:pPr>
              <w:spacing w:after="0" w:line="240" w:lineRule="auto"/>
              <w:ind w:left="142" w:right="34"/>
              <w:rPr>
                <w:rFonts w:ascii="Arial" w:eastAsia="SimSun" w:hAnsi="Arial" w:cs="Arial"/>
                <w:b/>
                <w:color w:val="000000"/>
                <w:lang w:eastAsia="zh-CN"/>
              </w:rPr>
            </w:pPr>
          </w:p>
          <w:p w:rsidR="007D425D" w:rsidRPr="007D425D" w:rsidRDefault="007D425D" w:rsidP="007D425D">
            <w:pPr>
              <w:spacing w:after="0" w:line="240" w:lineRule="auto"/>
              <w:ind w:left="142" w:right="34"/>
              <w:rPr>
                <w:rFonts w:ascii="Arial" w:eastAsia="SimSun" w:hAnsi="Arial" w:cs="Arial"/>
                <w:color w:val="000000"/>
                <w:lang w:eastAsia="zh-CN"/>
              </w:rPr>
            </w:pPr>
            <w:r w:rsidRPr="007D425D">
              <w:rPr>
                <w:rFonts w:ascii="Arial" w:eastAsia="SimSun" w:hAnsi="Arial" w:cs="Arial"/>
                <w:b/>
                <w:color w:val="000000"/>
                <w:lang w:eastAsia="zh-CN"/>
              </w:rPr>
              <w:t>NB.</w:t>
            </w:r>
            <w:r w:rsidRPr="007D425D">
              <w:rPr>
                <w:rFonts w:ascii="Arial" w:eastAsia="SimSun" w:hAnsi="Arial" w:cs="Arial"/>
                <w:color w:val="000000"/>
                <w:lang w:eastAsia="zh-CN"/>
              </w:rPr>
              <w:t xml:space="preserve">  All marks are provisional until confirmed by the Final Examination Board.</w:t>
            </w:r>
          </w:p>
          <w:p w:rsidR="007D425D" w:rsidRPr="007D425D" w:rsidRDefault="007D425D" w:rsidP="007D425D">
            <w:pPr>
              <w:spacing w:after="0" w:line="240" w:lineRule="auto"/>
              <w:rPr>
                <w:rFonts w:ascii="Arial" w:eastAsia="SimSun" w:hAnsi="Arial" w:cs="Arial"/>
                <w:b/>
                <w:color w:val="000000"/>
                <w:lang w:eastAsia="zh-CN"/>
              </w:rPr>
            </w:pPr>
          </w:p>
          <w:p w:rsidR="007D425D" w:rsidRPr="007D425D" w:rsidRDefault="007D425D" w:rsidP="007D425D">
            <w:pPr>
              <w:spacing w:after="0" w:line="240" w:lineRule="auto"/>
              <w:rPr>
                <w:rFonts w:ascii="Arial" w:eastAsia="SimSun" w:hAnsi="Arial" w:cs="Arial"/>
                <w:b/>
                <w:color w:val="000000"/>
                <w:lang w:eastAsia="zh-CN"/>
              </w:rPr>
            </w:pPr>
            <w:r w:rsidRPr="007D425D">
              <w:rPr>
                <w:rFonts w:ascii="Arial" w:eastAsia="SimSun" w:hAnsi="Arial" w:cs="Arial"/>
                <w:b/>
                <w:color w:val="000000"/>
                <w:lang w:eastAsia="zh-CN"/>
              </w:rPr>
              <w:t>PLEASE NOTE: ALL COMMENTS WIL BE POSTED ON TURNITIN</w:t>
            </w:r>
          </w:p>
          <w:p w:rsidR="007D425D" w:rsidRPr="007D425D" w:rsidRDefault="007D425D" w:rsidP="007D425D">
            <w:pPr>
              <w:spacing w:after="0" w:line="240" w:lineRule="auto"/>
              <w:rPr>
                <w:rFonts w:ascii="Arial" w:eastAsia="SimSun" w:hAnsi="Arial" w:cs="Arial"/>
                <w:b/>
                <w:color w:val="000000"/>
                <w:lang w:eastAsia="zh-CN"/>
              </w:rPr>
            </w:pPr>
          </w:p>
          <w:p w:rsidR="007D425D" w:rsidRPr="007D425D" w:rsidRDefault="007D425D" w:rsidP="007D425D">
            <w:pPr>
              <w:spacing w:after="0" w:line="240" w:lineRule="auto"/>
              <w:rPr>
                <w:rFonts w:ascii="Arial" w:eastAsia="SimSun" w:hAnsi="Arial" w:cs="Arial"/>
                <w:b/>
                <w:color w:val="000000"/>
                <w:lang w:eastAsia="zh-CN"/>
              </w:rPr>
            </w:pPr>
          </w:p>
          <w:p w:rsidR="007D425D" w:rsidRPr="007D425D" w:rsidRDefault="007D425D" w:rsidP="007D425D">
            <w:pPr>
              <w:spacing w:after="0" w:line="240" w:lineRule="auto"/>
              <w:rPr>
                <w:rFonts w:ascii="Arial" w:eastAsia="SimSun" w:hAnsi="Arial" w:cs="Arial"/>
                <w:b/>
                <w:color w:val="000000"/>
                <w:lang w:eastAsia="zh-CN"/>
              </w:rPr>
            </w:pPr>
            <w:r w:rsidRPr="007D425D">
              <w:rPr>
                <w:rFonts w:ascii="Arial" w:eastAsia="SimSun" w:hAnsi="Arial" w:cs="Arial"/>
                <w:b/>
                <w:color w:val="000000"/>
                <w:lang w:eastAsia="zh-CN"/>
              </w:rPr>
              <w:t>For completion by Marker 1 :</w:t>
            </w:r>
          </w:p>
          <w:p w:rsidR="007D425D" w:rsidRPr="007D425D" w:rsidRDefault="007D425D" w:rsidP="007D425D">
            <w:pPr>
              <w:spacing w:before="100" w:beforeAutospacing="1" w:after="100" w:afterAutospacing="1" w:line="240" w:lineRule="auto"/>
              <w:rPr>
                <w:rFonts w:ascii="Arial" w:eastAsia="SimSun" w:hAnsi="Arial" w:cs="Arial"/>
                <w:color w:val="000000"/>
                <w:lang w:eastAsia="zh-CN"/>
              </w:rPr>
            </w:pPr>
            <w:r w:rsidRPr="007D425D">
              <w:rPr>
                <w:rFonts w:ascii="Arial" w:eastAsia="SimSun" w:hAnsi="Arial" w:cs="Arial"/>
                <w:color w:val="000000"/>
                <w:lang w:eastAsia="zh-CN"/>
              </w:rPr>
              <w:t>Comments:</w:t>
            </w:r>
          </w:p>
          <w:p w:rsidR="007D425D" w:rsidRPr="007D425D" w:rsidRDefault="007D425D" w:rsidP="007D425D">
            <w:pPr>
              <w:spacing w:before="100" w:beforeAutospacing="1" w:after="100" w:afterAutospacing="1" w:line="240" w:lineRule="auto"/>
              <w:rPr>
                <w:rFonts w:ascii="Arial" w:eastAsia="SimSun" w:hAnsi="Arial" w:cs="Arial"/>
                <w:color w:val="000000"/>
                <w:lang w:eastAsia="zh-CN"/>
              </w:rPr>
            </w:pPr>
          </w:p>
        </w:tc>
      </w:tr>
      <w:tr w:rsidR="007D425D" w:rsidRPr="007D425D" w:rsidTr="006C30C3">
        <w:trPr>
          <w:trHeight w:val="492"/>
        </w:trPr>
        <w:tc>
          <w:tcPr>
            <w:tcW w:w="6768" w:type="dxa"/>
            <w:gridSpan w:val="3"/>
          </w:tcPr>
          <w:p w:rsidR="007D425D" w:rsidRPr="007D425D" w:rsidRDefault="007D425D" w:rsidP="007D425D">
            <w:pPr>
              <w:spacing w:before="100" w:beforeAutospacing="1" w:after="100" w:afterAutospacing="1" w:line="240" w:lineRule="auto"/>
              <w:ind w:left="142" w:right="34"/>
              <w:rPr>
                <w:rFonts w:ascii="Arial" w:eastAsia="SimSun" w:hAnsi="Arial" w:cs="Arial"/>
                <w:color w:val="000000"/>
                <w:lang w:eastAsia="zh-CN"/>
              </w:rPr>
            </w:pPr>
            <w:r w:rsidRPr="007D425D">
              <w:rPr>
                <w:rFonts w:ascii="Arial" w:eastAsia="SimSun" w:hAnsi="Arial" w:cs="Arial"/>
                <w:color w:val="000000"/>
                <w:lang w:eastAsia="zh-CN"/>
              </w:rPr>
              <w:lastRenderedPageBreak/>
              <w:t>Marker’s signature:</w:t>
            </w:r>
          </w:p>
        </w:tc>
        <w:tc>
          <w:tcPr>
            <w:tcW w:w="2088" w:type="dxa"/>
            <w:gridSpan w:val="2"/>
          </w:tcPr>
          <w:p w:rsidR="007D425D" w:rsidRPr="007D425D" w:rsidRDefault="007D425D" w:rsidP="007D425D">
            <w:pPr>
              <w:spacing w:before="100" w:beforeAutospacing="1" w:after="0" w:afterAutospacing="1" w:line="240" w:lineRule="auto"/>
              <w:ind w:left="142" w:right="34"/>
              <w:rPr>
                <w:rFonts w:ascii="Arial" w:eastAsia="SimSun" w:hAnsi="Arial" w:cs="Arial"/>
                <w:color w:val="000000"/>
                <w:lang w:eastAsia="zh-CN"/>
              </w:rPr>
            </w:pPr>
            <w:r w:rsidRPr="007D425D">
              <w:rPr>
                <w:rFonts w:ascii="Arial" w:eastAsia="SimSun" w:hAnsi="Arial" w:cs="Arial"/>
                <w:color w:val="000000"/>
                <w:lang w:eastAsia="zh-CN"/>
              </w:rPr>
              <w:t>Date:</w:t>
            </w:r>
          </w:p>
        </w:tc>
      </w:tr>
      <w:tr w:rsidR="007D425D" w:rsidRPr="007D425D" w:rsidTr="006C30C3">
        <w:tc>
          <w:tcPr>
            <w:tcW w:w="8856" w:type="dxa"/>
            <w:gridSpan w:val="5"/>
          </w:tcPr>
          <w:p w:rsidR="007D425D" w:rsidRPr="007D425D" w:rsidRDefault="007D425D" w:rsidP="007D425D">
            <w:pPr>
              <w:spacing w:after="0" w:line="240" w:lineRule="auto"/>
              <w:ind w:right="-334"/>
              <w:rPr>
                <w:rFonts w:ascii="Arial" w:eastAsia="SimSun" w:hAnsi="Arial" w:cs="Arial"/>
                <w:bCs/>
                <w:i/>
                <w:color w:val="000000"/>
                <w:lang w:eastAsia="zh-CN"/>
              </w:rPr>
            </w:pPr>
          </w:p>
          <w:p w:rsidR="007D425D" w:rsidRPr="007D425D" w:rsidRDefault="007D425D" w:rsidP="007D425D">
            <w:pPr>
              <w:spacing w:after="0" w:line="240" w:lineRule="auto"/>
              <w:ind w:right="-334"/>
              <w:rPr>
                <w:rFonts w:ascii="Arial" w:eastAsia="SimSun" w:hAnsi="Arial" w:cs="Arial"/>
                <w:b/>
                <w:bCs/>
                <w:color w:val="000000"/>
                <w:lang w:eastAsia="zh-CN"/>
              </w:rPr>
            </w:pPr>
            <w:r w:rsidRPr="007D425D">
              <w:rPr>
                <w:rFonts w:ascii="Arial" w:eastAsia="SimSun" w:hAnsi="Arial" w:cs="Arial"/>
                <w:b/>
                <w:bCs/>
                <w:color w:val="000000"/>
                <w:lang w:eastAsia="zh-CN"/>
              </w:rPr>
              <w:t>For completion by Marker 2/Moderator:</w:t>
            </w:r>
          </w:p>
          <w:p w:rsidR="007D425D" w:rsidRPr="007D425D" w:rsidRDefault="007D425D" w:rsidP="007D425D">
            <w:pPr>
              <w:spacing w:after="0" w:line="240" w:lineRule="auto"/>
              <w:ind w:right="-334"/>
              <w:rPr>
                <w:rFonts w:ascii="Arial" w:eastAsia="SimSun" w:hAnsi="Arial" w:cs="Arial"/>
                <w:b/>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r w:rsidRPr="007D425D">
              <w:rPr>
                <w:rFonts w:ascii="Arial" w:eastAsia="SimSun" w:hAnsi="Arial" w:cs="Arial"/>
                <w:bCs/>
                <w:color w:val="000000"/>
                <w:lang w:eastAsia="zh-CN"/>
              </w:rPr>
              <w:t>Comments:</w:t>
            </w:r>
          </w:p>
          <w:p w:rsidR="007D425D" w:rsidRPr="007D425D" w:rsidRDefault="007D425D" w:rsidP="007D425D">
            <w:pPr>
              <w:spacing w:after="0" w:line="240" w:lineRule="auto"/>
              <w:ind w:right="-334"/>
              <w:rPr>
                <w:rFonts w:ascii="Arial" w:eastAsia="SimSun" w:hAnsi="Arial" w:cs="Arial"/>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p>
        </w:tc>
      </w:tr>
      <w:tr w:rsidR="007D425D" w:rsidRPr="007D425D" w:rsidTr="006C30C3">
        <w:trPr>
          <w:trHeight w:val="720"/>
        </w:trPr>
        <w:tc>
          <w:tcPr>
            <w:tcW w:w="5211" w:type="dxa"/>
            <w:gridSpan w:val="2"/>
          </w:tcPr>
          <w:p w:rsidR="007D425D" w:rsidRPr="007D425D" w:rsidRDefault="007D425D" w:rsidP="007D425D">
            <w:pPr>
              <w:spacing w:after="0" w:line="240" w:lineRule="auto"/>
              <w:ind w:right="-334"/>
              <w:rPr>
                <w:rFonts w:ascii="Arial" w:eastAsia="SimSun" w:hAnsi="Arial" w:cs="Arial"/>
                <w:bCs/>
                <w:color w:val="000000"/>
                <w:lang w:eastAsia="zh-CN"/>
              </w:rPr>
            </w:pPr>
            <w:r w:rsidRPr="007D425D">
              <w:rPr>
                <w:rFonts w:ascii="Arial" w:eastAsia="SimSun" w:hAnsi="Arial" w:cs="Arial"/>
                <w:bCs/>
                <w:color w:val="000000"/>
                <w:lang w:eastAsia="zh-CN"/>
              </w:rPr>
              <w:t>Marker’s Signature:</w:t>
            </w:r>
          </w:p>
        </w:tc>
        <w:tc>
          <w:tcPr>
            <w:tcW w:w="3645" w:type="dxa"/>
            <w:gridSpan w:val="3"/>
          </w:tcPr>
          <w:p w:rsidR="007D425D" w:rsidRPr="007D425D" w:rsidRDefault="007D425D" w:rsidP="007D425D">
            <w:pPr>
              <w:spacing w:after="0" w:line="240" w:lineRule="auto"/>
              <w:ind w:right="-334"/>
              <w:rPr>
                <w:rFonts w:ascii="Arial" w:eastAsia="SimSun" w:hAnsi="Arial" w:cs="Arial"/>
                <w:bCs/>
                <w:color w:val="000000"/>
                <w:lang w:eastAsia="zh-CN"/>
              </w:rPr>
            </w:pPr>
            <w:r w:rsidRPr="007D425D">
              <w:rPr>
                <w:rFonts w:ascii="Arial" w:eastAsia="SimSun" w:hAnsi="Arial" w:cs="Arial"/>
                <w:bCs/>
                <w:color w:val="000000"/>
                <w:lang w:eastAsia="zh-CN"/>
              </w:rPr>
              <w:t>Date:</w:t>
            </w:r>
          </w:p>
        </w:tc>
      </w:tr>
      <w:tr w:rsidR="007D425D" w:rsidRPr="007D425D" w:rsidTr="006C30C3">
        <w:trPr>
          <w:trHeight w:val="720"/>
        </w:trPr>
        <w:tc>
          <w:tcPr>
            <w:tcW w:w="8856" w:type="dxa"/>
            <w:gridSpan w:val="5"/>
          </w:tcPr>
          <w:p w:rsidR="007D425D" w:rsidRPr="007D425D" w:rsidRDefault="007D425D" w:rsidP="007D425D">
            <w:pPr>
              <w:spacing w:after="0" w:line="240" w:lineRule="auto"/>
              <w:rPr>
                <w:rFonts w:ascii="Arial" w:eastAsia="SimSun" w:hAnsi="Arial" w:cs="Arial"/>
                <w:b/>
                <w:lang w:eastAsia="zh-CN"/>
              </w:rPr>
            </w:pPr>
            <w:r w:rsidRPr="007D425D">
              <w:rPr>
                <w:rFonts w:ascii="Arial" w:eastAsia="SimSun" w:hAnsi="Arial" w:cs="Arial"/>
                <w:b/>
                <w:lang w:eastAsia="zh-CN"/>
              </w:rPr>
              <w:t>AGREED INTERNAL MARK (where necessary):</w:t>
            </w:r>
          </w:p>
          <w:p w:rsidR="007D425D" w:rsidRPr="007D425D" w:rsidRDefault="007D425D" w:rsidP="007D425D">
            <w:pPr>
              <w:spacing w:after="0" w:line="240" w:lineRule="auto"/>
              <w:rPr>
                <w:rFonts w:ascii="Arial" w:eastAsia="SimSun" w:hAnsi="Arial" w:cs="Arial"/>
                <w:b/>
                <w:lang w:eastAsia="zh-CN"/>
              </w:rPr>
            </w:pPr>
          </w:p>
          <w:p w:rsidR="007D425D" w:rsidRPr="007D425D" w:rsidRDefault="007D425D" w:rsidP="007D425D">
            <w:pPr>
              <w:spacing w:after="0" w:line="240" w:lineRule="auto"/>
              <w:rPr>
                <w:rFonts w:ascii="Arial" w:eastAsia="SimSun" w:hAnsi="Arial" w:cs="Arial"/>
                <w:b/>
                <w:lang w:eastAsia="zh-CN"/>
              </w:rPr>
            </w:pPr>
            <w:r w:rsidRPr="007D425D">
              <w:rPr>
                <w:rFonts w:ascii="Arial" w:eastAsia="SimSun" w:hAnsi="Arial" w:cs="Arial"/>
                <w:b/>
                <w:lang w:eastAsia="zh-CN"/>
              </w:rPr>
              <w:t>Comment on process of arriving at agreed mark:</w:t>
            </w:r>
          </w:p>
          <w:p w:rsidR="007D425D" w:rsidRPr="007D425D" w:rsidRDefault="007D425D" w:rsidP="007D425D">
            <w:pPr>
              <w:spacing w:after="0" w:line="240" w:lineRule="auto"/>
              <w:rPr>
                <w:rFonts w:ascii="Arial" w:eastAsia="SimSun" w:hAnsi="Arial" w:cs="Arial"/>
                <w:b/>
                <w:lang w:eastAsia="zh-CN"/>
              </w:rPr>
            </w:pPr>
          </w:p>
          <w:p w:rsidR="007D425D" w:rsidRPr="007D425D" w:rsidRDefault="007D425D" w:rsidP="007D425D">
            <w:pPr>
              <w:spacing w:after="0" w:line="240" w:lineRule="auto"/>
              <w:rPr>
                <w:rFonts w:ascii="Arial" w:eastAsia="SimSun" w:hAnsi="Arial" w:cs="Arial"/>
                <w:b/>
                <w:lang w:eastAsia="zh-CN"/>
              </w:rPr>
            </w:pPr>
          </w:p>
          <w:p w:rsidR="007D425D" w:rsidRPr="007D425D" w:rsidRDefault="007D425D" w:rsidP="007D425D">
            <w:pPr>
              <w:spacing w:after="0" w:line="240" w:lineRule="auto"/>
              <w:rPr>
                <w:rFonts w:ascii="Arial" w:eastAsia="SimSun" w:hAnsi="Arial" w:cs="Arial"/>
                <w:b/>
                <w:lang w:eastAsia="zh-CN"/>
              </w:rPr>
            </w:pPr>
          </w:p>
          <w:p w:rsidR="007D425D" w:rsidRPr="007D425D" w:rsidRDefault="007D425D" w:rsidP="007D425D">
            <w:pPr>
              <w:spacing w:after="0" w:line="240" w:lineRule="auto"/>
              <w:rPr>
                <w:rFonts w:ascii="Arial" w:eastAsia="SimSun" w:hAnsi="Arial" w:cs="Arial"/>
                <w:b/>
                <w:lang w:eastAsia="zh-CN"/>
              </w:rPr>
            </w:pPr>
          </w:p>
          <w:p w:rsidR="007D425D" w:rsidRPr="007D425D" w:rsidRDefault="007D425D" w:rsidP="007D425D">
            <w:pPr>
              <w:spacing w:after="0" w:line="240" w:lineRule="auto"/>
              <w:rPr>
                <w:rFonts w:ascii="Arial" w:eastAsia="SimSun" w:hAnsi="Arial" w:cs="Arial"/>
                <w:b/>
                <w:lang w:eastAsia="zh-CN"/>
              </w:rPr>
            </w:pPr>
          </w:p>
          <w:p w:rsidR="007D425D" w:rsidRPr="007D425D" w:rsidRDefault="007D425D" w:rsidP="007D425D">
            <w:pPr>
              <w:spacing w:after="0" w:line="240" w:lineRule="auto"/>
              <w:rPr>
                <w:rFonts w:ascii="Arial" w:eastAsia="SimSun" w:hAnsi="Arial" w:cs="Arial"/>
                <w:b/>
                <w:lang w:eastAsia="zh-CN"/>
              </w:rPr>
            </w:pPr>
          </w:p>
          <w:p w:rsidR="007D425D" w:rsidRPr="007D425D" w:rsidRDefault="007D425D" w:rsidP="007D425D">
            <w:pPr>
              <w:spacing w:after="0" w:line="240" w:lineRule="auto"/>
              <w:rPr>
                <w:rFonts w:ascii="Arial" w:eastAsia="SimSun" w:hAnsi="Arial" w:cs="Arial"/>
                <w:b/>
                <w:lang w:eastAsia="zh-CN"/>
              </w:rPr>
            </w:pPr>
          </w:p>
          <w:p w:rsidR="007D425D" w:rsidRPr="007D425D" w:rsidRDefault="007D425D" w:rsidP="007D425D">
            <w:pPr>
              <w:spacing w:after="0" w:line="240" w:lineRule="auto"/>
              <w:rPr>
                <w:rFonts w:ascii="Arial" w:eastAsia="SimSun" w:hAnsi="Arial" w:cs="Arial"/>
                <w:b/>
                <w:lang w:eastAsia="zh-CN"/>
              </w:rPr>
            </w:pPr>
          </w:p>
        </w:tc>
      </w:tr>
      <w:tr w:rsidR="007D425D" w:rsidRPr="007D425D" w:rsidTr="006C30C3">
        <w:trPr>
          <w:trHeight w:val="720"/>
        </w:trPr>
        <w:tc>
          <w:tcPr>
            <w:tcW w:w="8856" w:type="dxa"/>
            <w:gridSpan w:val="5"/>
          </w:tcPr>
          <w:p w:rsidR="007D425D" w:rsidRPr="007D425D" w:rsidRDefault="007D425D" w:rsidP="007D425D">
            <w:pPr>
              <w:spacing w:after="0" w:line="240" w:lineRule="auto"/>
              <w:rPr>
                <w:rFonts w:ascii="Arial" w:eastAsia="SimSun" w:hAnsi="Arial" w:cs="Arial"/>
                <w:b/>
                <w:lang w:eastAsia="zh-CN"/>
              </w:rPr>
            </w:pPr>
            <w:r w:rsidRPr="007D425D">
              <w:rPr>
                <w:rFonts w:ascii="Arial" w:eastAsia="SimSun" w:hAnsi="Arial" w:cs="Arial"/>
                <w:b/>
                <w:lang w:eastAsia="zh-CN"/>
              </w:rPr>
              <w:t>External Examiner’s comments (if relevant)</w:t>
            </w:r>
          </w:p>
          <w:p w:rsidR="007D425D" w:rsidRPr="007D425D" w:rsidRDefault="007D425D" w:rsidP="007D425D">
            <w:pPr>
              <w:spacing w:after="0" w:line="240" w:lineRule="auto"/>
              <w:ind w:right="-334"/>
              <w:rPr>
                <w:rFonts w:ascii="Arial" w:eastAsia="SimSun" w:hAnsi="Arial" w:cs="Arial"/>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p>
          <w:p w:rsidR="007D425D" w:rsidRPr="007D425D" w:rsidRDefault="007D425D" w:rsidP="007D425D">
            <w:pPr>
              <w:spacing w:after="0" w:line="240" w:lineRule="auto"/>
              <w:ind w:right="-334"/>
              <w:rPr>
                <w:rFonts w:ascii="Arial" w:eastAsia="SimSun" w:hAnsi="Arial" w:cs="Arial"/>
                <w:bCs/>
                <w:color w:val="000000"/>
                <w:lang w:eastAsia="zh-CN"/>
              </w:rPr>
            </w:pPr>
          </w:p>
        </w:tc>
      </w:tr>
      <w:tr w:rsidR="007D425D" w:rsidRPr="007D425D" w:rsidTr="006C30C3">
        <w:trPr>
          <w:trHeight w:val="720"/>
        </w:trPr>
        <w:tc>
          <w:tcPr>
            <w:tcW w:w="5211" w:type="dxa"/>
            <w:gridSpan w:val="2"/>
          </w:tcPr>
          <w:p w:rsidR="007D425D" w:rsidRPr="007D425D" w:rsidRDefault="007D425D" w:rsidP="007D425D">
            <w:pPr>
              <w:spacing w:after="0" w:line="240" w:lineRule="auto"/>
              <w:rPr>
                <w:rFonts w:ascii="Arial" w:eastAsia="SimSun" w:hAnsi="Arial" w:cs="Arial"/>
                <w:lang w:eastAsia="zh-CN"/>
              </w:rPr>
            </w:pPr>
            <w:r w:rsidRPr="007D425D">
              <w:rPr>
                <w:rFonts w:ascii="Arial" w:eastAsia="SimSun" w:hAnsi="Arial" w:cs="Arial"/>
                <w:lang w:eastAsia="zh-CN"/>
              </w:rPr>
              <w:t>External Examiner’s Signature:</w:t>
            </w:r>
          </w:p>
        </w:tc>
        <w:tc>
          <w:tcPr>
            <w:tcW w:w="3645" w:type="dxa"/>
            <w:gridSpan w:val="3"/>
          </w:tcPr>
          <w:p w:rsidR="007D425D" w:rsidRPr="007D425D" w:rsidRDefault="007D425D" w:rsidP="007D425D">
            <w:pPr>
              <w:spacing w:after="0" w:line="240" w:lineRule="auto"/>
              <w:rPr>
                <w:rFonts w:ascii="Arial" w:eastAsia="SimSun" w:hAnsi="Arial" w:cs="Arial"/>
                <w:lang w:eastAsia="zh-CN"/>
              </w:rPr>
            </w:pPr>
            <w:r w:rsidRPr="007D425D">
              <w:rPr>
                <w:rFonts w:ascii="Arial" w:eastAsia="SimSun" w:hAnsi="Arial" w:cs="Arial"/>
                <w:lang w:eastAsia="zh-CN"/>
              </w:rPr>
              <w:t>Date:</w:t>
            </w:r>
          </w:p>
        </w:tc>
      </w:tr>
    </w:tbl>
    <w:p w:rsidR="007D425D" w:rsidRPr="007D425D" w:rsidRDefault="007D425D" w:rsidP="007D425D">
      <w:pPr>
        <w:spacing w:after="0" w:line="240" w:lineRule="auto"/>
        <w:ind w:right="-334"/>
        <w:rPr>
          <w:rFonts w:ascii="Trebuchet MS" w:eastAsia="SimSun" w:hAnsi="Trebuchet MS" w:cs="Tahoma"/>
          <w:bCs/>
          <w:color w:val="000000"/>
          <w:sz w:val="24"/>
          <w:szCs w:val="24"/>
          <w:lang w:eastAsia="zh-CN"/>
        </w:rPr>
      </w:pPr>
    </w:p>
    <w:p w:rsidR="00285AA9" w:rsidRDefault="00285AA9"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7D425D" w:rsidRDefault="007D425D" w:rsidP="00F20F07">
      <w:pPr>
        <w:spacing w:after="0" w:line="240" w:lineRule="auto"/>
        <w:rPr>
          <w:rFonts w:ascii="Times New Roman" w:hAnsi="Times New Roman" w:cs="Times New Roman"/>
        </w:rPr>
      </w:pPr>
    </w:p>
    <w:p w:rsidR="00943DF9" w:rsidRDefault="00943DF9" w:rsidP="00943D4C">
      <w:pPr>
        <w:spacing w:after="0"/>
        <w:rPr>
          <w:rFonts w:ascii="Times New Roman" w:hAnsi="Times New Roman" w:cs="Times New Roman"/>
        </w:rPr>
      </w:pPr>
    </w:p>
    <w:p w:rsidR="00943D4C" w:rsidRDefault="00943D4C" w:rsidP="00943D4C">
      <w:pPr>
        <w:spacing w:after="0"/>
        <w:rPr>
          <w:rFonts w:ascii="Times New Roman" w:eastAsia="Calibri" w:hAnsi="Times New Roman" w:cs="Times New Roman"/>
          <w:b/>
          <w:bCs/>
          <w:lang w:val="en-US"/>
        </w:rPr>
      </w:pPr>
      <w:r w:rsidRPr="00943D4C">
        <w:rPr>
          <w:rFonts w:ascii="Times New Roman" w:eastAsia="Calibri" w:hAnsi="Times New Roman" w:cs="Times New Roman"/>
          <w:b/>
          <w:bCs/>
          <w:lang w:val="en-US"/>
        </w:rPr>
        <w:lastRenderedPageBreak/>
        <w:t>1.3 The</w:t>
      </w:r>
      <w:r w:rsidR="00286A0D">
        <w:rPr>
          <w:rFonts w:ascii="Times New Roman" w:eastAsia="Calibri" w:hAnsi="Times New Roman" w:cs="Times New Roman"/>
          <w:b/>
          <w:bCs/>
          <w:lang w:val="en-US"/>
        </w:rPr>
        <w:t xml:space="preserve"> roles of and the</w:t>
      </w:r>
      <w:r w:rsidRPr="00943D4C">
        <w:rPr>
          <w:rFonts w:ascii="Times New Roman" w:eastAsia="Calibri" w:hAnsi="Times New Roman" w:cs="Times New Roman"/>
          <w:b/>
          <w:bCs/>
          <w:lang w:val="en-US"/>
        </w:rPr>
        <w:t xml:space="preserve"> relationship between, cosmology and divination: Hellenistic astrology</w:t>
      </w:r>
    </w:p>
    <w:p w:rsidR="00B861B6" w:rsidRDefault="00B861B6" w:rsidP="00943D4C">
      <w:pPr>
        <w:spacing w:after="0"/>
        <w:rPr>
          <w:rFonts w:ascii="Times New Roman" w:eastAsia="Calibri" w:hAnsi="Times New Roman" w:cs="Times New Roman"/>
          <w:b/>
          <w:bCs/>
          <w:lang w:val="en-US"/>
        </w:rPr>
      </w:pPr>
      <w:bookmarkStart w:id="6" w:name="_GoBack"/>
      <w:bookmarkEnd w:id="6"/>
    </w:p>
    <w:p w:rsidR="00B861B6" w:rsidRPr="00B861B6" w:rsidRDefault="00B861B6" w:rsidP="00943D4C">
      <w:pPr>
        <w:spacing w:after="0"/>
        <w:rPr>
          <w:rFonts w:ascii="Times New Roman" w:eastAsia="Calibri" w:hAnsi="Times New Roman" w:cs="Times New Roman"/>
          <w:bCs/>
          <w:lang w:val="en-US"/>
        </w:rPr>
      </w:pPr>
      <w:r w:rsidRPr="00B861B6">
        <w:rPr>
          <w:rFonts w:ascii="Times New Roman" w:eastAsia="Calibri" w:hAnsi="Times New Roman" w:cs="Times New Roman"/>
          <w:bCs/>
          <w:lang w:val="en-US"/>
        </w:rPr>
        <w:t>Murray Eiland</w:t>
      </w:r>
    </w:p>
    <w:p w:rsidR="00943D4C" w:rsidRPr="00943D4C" w:rsidRDefault="00943D4C" w:rsidP="00943D4C">
      <w:pPr>
        <w:spacing w:after="0"/>
        <w:rPr>
          <w:rFonts w:ascii="Times New Roman" w:eastAsia="Calibri" w:hAnsi="Times New Roman" w:cs="Times New Roman"/>
          <w:b/>
          <w:bCs/>
          <w:lang w:val="en-US"/>
        </w:rPr>
      </w:pPr>
    </w:p>
    <w:p w:rsidR="00943D4C" w:rsidRPr="00943D4C" w:rsidRDefault="00943D4C" w:rsidP="00943D4C">
      <w:pPr>
        <w:spacing w:after="0"/>
        <w:rPr>
          <w:rFonts w:ascii="Times New Roman" w:eastAsia="Calibri" w:hAnsi="Times New Roman" w:cs="Times New Roman"/>
          <w:b/>
          <w:lang w:val="en-US"/>
        </w:rPr>
      </w:pPr>
      <w:r w:rsidRPr="00943D4C">
        <w:rPr>
          <w:rFonts w:ascii="Times New Roman" w:eastAsia="Calibri" w:hAnsi="Times New Roman" w:cs="Times New Roman"/>
          <w:b/>
          <w:lang w:val="en-US"/>
        </w:rPr>
        <w:t>Introduction</w:t>
      </w:r>
    </w:p>
    <w:p w:rsidR="00943D4C" w:rsidRP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 xml:space="preserve">     Logically, the structure of the universe determines what forms of communication a</w:t>
      </w:r>
      <w:r w:rsidR="0094774D">
        <w:rPr>
          <w:rFonts w:ascii="Times New Roman" w:eastAsia="Calibri" w:hAnsi="Times New Roman" w:cs="Times New Roman"/>
          <w:lang w:val="en-US"/>
        </w:rPr>
        <w:t>re possible with higher powers. L</w:t>
      </w:r>
      <w:r w:rsidRPr="00943D4C">
        <w:rPr>
          <w:rFonts w:ascii="Times New Roman" w:eastAsia="Calibri" w:hAnsi="Times New Roman" w:cs="Times New Roman"/>
          <w:lang w:val="en-US"/>
        </w:rPr>
        <w:t>ong traditions were valued as g</w:t>
      </w:r>
      <w:r w:rsidR="001C37E2">
        <w:rPr>
          <w:rFonts w:ascii="Times New Roman" w:eastAsia="Calibri" w:hAnsi="Times New Roman" w:cs="Times New Roman"/>
          <w:lang w:val="en-US"/>
        </w:rPr>
        <w:t>uarantees of effectiveness. The ancients</w:t>
      </w:r>
      <w:r w:rsidRPr="00943D4C">
        <w:rPr>
          <w:rFonts w:ascii="Times New Roman" w:eastAsia="Calibri" w:hAnsi="Times New Roman" w:cs="Times New Roman"/>
          <w:lang w:val="en-US"/>
        </w:rPr>
        <w:t xml:space="preserve"> believed that causation propagated from certain points to others and t</w:t>
      </w:r>
      <w:r w:rsidR="003F3B51">
        <w:rPr>
          <w:rFonts w:ascii="Times New Roman" w:eastAsia="Calibri" w:hAnsi="Times New Roman" w:cs="Times New Roman"/>
          <w:lang w:val="en-US"/>
        </w:rPr>
        <w:t xml:space="preserve">hat information accompanied </w:t>
      </w:r>
      <w:r w:rsidRPr="00943D4C">
        <w:rPr>
          <w:rFonts w:ascii="Times New Roman" w:eastAsia="Calibri" w:hAnsi="Times New Roman" w:cs="Times New Roman"/>
          <w:lang w:val="en-US"/>
        </w:rPr>
        <w:t>causation. Divination and astrology involved deciphering this information, which would also reveal the future. There was considerable tension</w:t>
      </w:r>
      <w:r w:rsidR="00DE69E0">
        <w:rPr>
          <w:rFonts w:ascii="Times New Roman" w:eastAsia="Calibri" w:hAnsi="Times New Roman" w:cs="Times New Roman"/>
          <w:lang w:val="en-US"/>
        </w:rPr>
        <w:t xml:space="preserve">, expressed in Hellenistic </w:t>
      </w:r>
      <w:r w:rsidR="003F3B51">
        <w:rPr>
          <w:rFonts w:ascii="Times New Roman" w:eastAsia="Calibri" w:hAnsi="Times New Roman" w:cs="Times New Roman"/>
          <w:lang w:val="en-US"/>
        </w:rPr>
        <w:t xml:space="preserve">(c. 323 - 30 BCE) </w:t>
      </w:r>
      <w:r w:rsidR="00DE69E0">
        <w:rPr>
          <w:rFonts w:ascii="Times New Roman" w:eastAsia="Calibri" w:hAnsi="Times New Roman" w:cs="Times New Roman"/>
          <w:lang w:val="en-US"/>
        </w:rPr>
        <w:t>phi</w:t>
      </w:r>
      <w:r w:rsidR="003F3B51">
        <w:rPr>
          <w:rFonts w:ascii="Times New Roman" w:eastAsia="Calibri" w:hAnsi="Times New Roman" w:cs="Times New Roman"/>
          <w:lang w:val="en-US"/>
        </w:rPr>
        <w:t>losophical schools</w:t>
      </w:r>
      <w:r w:rsidR="00DE69E0">
        <w:rPr>
          <w:rFonts w:ascii="Times New Roman" w:eastAsia="Calibri" w:hAnsi="Times New Roman" w:cs="Times New Roman"/>
          <w:lang w:val="en-US"/>
        </w:rPr>
        <w:t>,</w:t>
      </w:r>
      <w:r w:rsidRPr="00943D4C">
        <w:rPr>
          <w:rFonts w:ascii="Times New Roman" w:eastAsia="Calibri" w:hAnsi="Times New Roman" w:cs="Times New Roman"/>
          <w:lang w:val="en-US"/>
        </w:rPr>
        <w:t xml:space="preserve"> between believing it a logical necessity that causation was fixed so th</w:t>
      </w:r>
      <w:r w:rsidR="003F3B51">
        <w:rPr>
          <w:rFonts w:ascii="Times New Roman" w:eastAsia="Calibri" w:hAnsi="Times New Roman" w:cs="Times New Roman"/>
          <w:lang w:val="en-US"/>
        </w:rPr>
        <w:t xml:space="preserve">at events could not be altered - </w:t>
      </w:r>
      <w:r w:rsidRPr="00943D4C">
        <w:rPr>
          <w:rFonts w:ascii="Times New Roman" w:eastAsia="Calibri" w:hAnsi="Times New Roman" w:cs="Times New Roman"/>
          <w:lang w:val="en-US"/>
        </w:rPr>
        <w:t>in which case divination wou</w:t>
      </w:r>
      <w:r w:rsidR="003F3B51">
        <w:rPr>
          <w:rFonts w:ascii="Times New Roman" w:eastAsia="Calibri" w:hAnsi="Times New Roman" w:cs="Times New Roman"/>
          <w:lang w:val="en-US"/>
        </w:rPr>
        <w:t>ld be useless -</w:t>
      </w:r>
      <w:r w:rsidRPr="00943D4C">
        <w:rPr>
          <w:rFonts w:ascii="Times New Roman" w:eastAsia="Calibri" w:hAnsi="Times New Roman" w:cs="Times New Roman"/>
          <w:lang w:val="en-US"/>
        </w:rPr>
        <w:t xml:space="preserve"> and the hope that divination could inform decisions that might lead to more favorable outcomes. These points were aptly addressed by Cicero</w:t>
      </w:r>
      <w:r w:rsidR="001C37E2">
        <w:rPr>
          <w:rFonts w:ascii="Times New Roman" w:eastAsia="Calibri" w:hAnsi="Times New Roman" w:cs="Times New Roman"/>
          <w:lang w:val="en-US"/>
        </w:rPr>
        <w:t xml:space="preserve"> (106 -</w:t>
      </w:r>
      <w:r w:rsidR="001C37E2" w:rsidRPr="001C37E2">
        <w:rPr>
          <w:rFonts w:ascii="Times New Roman" w:eastAsia="Calibri" w:hAnsi="Times New Roman" w:cs="Times New Roman"/>
          <w:lang w:val="en-US"/>
        </w:rPr>
        <w:t xml:space="preserve"> 43 BCE</w:t>
      </w:r>
      <w:r w:rsidR="001C37E2">
        <w:rPr>
          <w:rFonts w:ascii="Times New Roman" w:eastAsia="Calibri" w:hAnsi="Times New Roman" w:cs="Times New Roman"/>
          <w:lang w:val="en-US"/>
        </w:rPr>
        <w:t>)</w:t>
      </w:r>
      <w:r w:rsidRPr="00943D4C">
        <w:rPr>
          <w:rFonts w:ascii="Times New Roman" w:eastAsia="Calibri" w:hAnsi="Times New Roman" w:cs="Times New Roman"/>
          <w:lang w:val="en-US"/>
        </w:rPr>
        <w:t>.</w:t>
      </w:r>
      <w:r w:rsidRPr="00943D4C">
        <w:rPr>
          <w:rFonts w:ascii="Times New Roman" w:eastAsia="Calibri" w:hAnsi="Times New Roman" w:cs="Times New Roman"/>
          <w:vertAlign w:val="superscript"/>
          <w:lang w:val="en-US"/>
        </w:rPr>
        <w:footnoteReference w:id="1"/>
      </w:r>
      <w:r w:rsidRPr="00943D4C">
        <w:rPr>
          <w:rFonts w:ascii="Times New Roman" w:eastAsia="Calibri" w:hAnsi="Times New Roman" w:cs="Times New Roman"/>
          <w:lang w:val="en-US"/>
        </w:rPr>
        <w:t xml:space="preserve"> This paper will</w:t>
      </w:r>
      <w:r w:rsidR="00DE69E0">
        <w:rPr>
          <w:rFonts w:ascii="Times New Roman" w:eastAsia="Calibri" w:hAnsi="Times New Roman" w:cs="Times New Roman"/>
          <w:lang w:val="en-US"/>
        </w:rPr>
        <w:t xml:space="preserve"> focus on Hellenistic</w:t>
      </w:r>
      <w:r w:rsidRPr="00943D4C">
        <w:rPr>
          <w:rFonts w:ascii="Times New Roman" w:eastAsia="Calibri" w:hAnsi="Times New Roman" w:cs="Times New Roman"/>
          <w:lang w:val="en-US"/>
        </w:rPr>
        <w:t xml:space="preserve"> astrology, offering an explanation</w:t>
      </w:r>
      <w:r w:rsidR="001C37E2">
        <w:rPr>
          <w:rFonts w:ascii="Times New Roman" w:eastAsia="Calibri" w:hAnsi="Times New Roman" w:cs="Times New Roman"/>
          <w:lang w:val="en-US"/>
        </w:rPr>
        <w:t xml:space="preserve"> of how it functioned and</w:t>
      </w:r>
      <w:r w:rsidRPr="00943D4C">
        <w:rPr>
          <w:rFonts w:ascii="Times New Roman" w:eastAsia="Calibri" w:hAnsi="Times New Roman" w:cs="Times New Roman"/>
          <w:lang w:val="en-US"/>
        </w:rPr>
        <w:t xml:space="preserve"> how it was used</w:t>
      </w:r>
      <w:r w:rsidR="003F3B51">
        <w:rPr>
          <w:rFonts w:ascii="Times New Roman" w:eastAsia="Calibri" w:hAnsi="Times New Roman" w:cs="Times New Roman"/>
          <w:lang w:val="en-US"/>
        </w:rPr>
        <w:t>, as well as how it fit into a distinctive worldview</w:t>
      </w:r>
      <w:r w:rsidRPr="00943D4C">
        <w:rPr>
          <w:rFonts w:ascii="Times New Roman" w:eastAsia="Calibri" w:hAnsi="Times New Roman" w:cs="Times New Roman"/>
          <w:lang w:val="en-US"/>
        </w:rPr>
        <w:t>.</w:t>
      </w:r>
      <w:r w:rsidR="00D8265C">
        <w:rPr>
          <w:rFonts w:ascii="Times New Roman" w:eastAsia="Calibri" w:hAnsi="Times New Roman" w:cs="Times New Roman"/>
          <w:lang w:val="en-US"/>
        </w:rPr>
        <w:t xml:space="preserve"> However, before discussing the Hellenistic world some mention must be made of earlier traditions, particularly in Mesopotamia, which formed the basis for the Hellenistic cosmos. </w:t>
      </w:r>
    </w:p>
    <w:p w:rsidR="00943D4C" w:rsidRPr="00943D4C" w:rsidRDefault="00943D4C" w:rsidP="00943D4C">
      <w:pPr>
        <w:spacing w:after="0"/>
        <w:rPr>
          <w:rFonts w:ascii="Times New Roman" w:eastAsia="Calibri" w:hAnsi="Times New Roman" w:cs="Times New Roman"/>
          <w:lang w:val="en-US"/>
        </w:rPr>
      </w:pPr>
    </w:p>
    <w:p w:rsidR="00943D4C" w:rsidRP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b/>
          <w:lang w:val="en-US"/>
        </w:rPr>
        <w:t>Divination</w:t>
      </w:r>
      <w:r w:rsidR="007B0671">
        <w:rPr>
          <w:rFonts w:ascii="Times New Roman" w:eastAsia="Calibri" w:hAnsi="Times New Roman" w:cs="Times New Roman"/>
          <w:lang w:val="en-US"/>
        </w:rPr>
        <w:tab/>
      </w:r>
    </w:p>
    <w:p w:rsid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 xml:space="preserve">     </w:t>
      </w:r>
      <w:r w:rsidR="003F3B51">
        <w:rPr>
          <w:rFonts w:ascii="Times New Roman" w:eastAsia="Calibri" w:hAnsi="Times New Roman" w:cs="Times New Roman"/>
          <w:lang w:val="en-US"/>
        </w:rPr>
        <w:t>According to Netanel Anor as well as</w:t>
      </w:r>
      <w:r w:rsidRPr="00943D4C">
        <w:rPr>
          <w:rFonts w:ascii="Times New Roman" w:eastAsia="Calibri" w:hAnsi="Times New Roman" w:cs="Times New Roman"/>
          <w:lang w:val="en-US"/>
        </w:rPr>
        <w:t xml:space="preserve"> Walker Trimble, practice</w:t>
      </w:r>
      <w:r w:rsidR="00D8265C">
        <w:rPr>
          <w:rFonts w:ascii="Times New Roman" w:eastAsia="Calibri" w:hAnsi="Times New Roman" w:cs="Times New Roman"/>
          <w:lang w:val="en-US"/>
        </w:rPr>
        <w:t>s of divination share</w:t>
      </w:r>
      <w:r w:rsidRPr="00943D4C">
        <w:rPr>
          <w:rFonts w:ascii="Times New Roman" w:eastAsia="Calibri" w:hAnsi="Times New Roman" w:cs="Times New Roman"/>
          <w:lang w:val="en-US"/>
        </w:rPr>
        <w:t xml:space="preserve"> a broadly common structure in many Mediterranean cultures, including Semitic, Indo-European and Etruscan (the latter language is an isolate</w:t>
      </w:r>
      <w:r w:rsidRPr="00943D4C">
        <w:rPr>
          <w:rFonts w:ascii="Times New Roman" w:eastAsia="Calibri" w:hAnsi="Times New Roman" w:cs="Times New Roman"/>
          <w:vertAlign w:val="superscript"/>
          <w:lang w:val="en-US"/>
        </w:rPr>
        <w:footnoteReference w:id="2"/>
      </w:r>
      <w:r w:rsidRPr="00943D4C">
        <w:rPr>
          <w:rFonts w:ascii="Times New Roman" w:eastAsia="Calibri" w:hAnsi="Times New Roman" w:cs="Times New Roman"/>
          <w:lang w:val="en-US"/>
        </w:rPr>
        <w:t>) peoples. This suggests traditions go back to the proto-culture from which those three groups descended perhaps 10,000 years ago or more.</w:t>
      </w:r>
      <w:r w:rsidRPr="00943D4C">
        <w:rPr>
          <w:rFonts w:ascii="Times New Roman" w:eastAsia="Calibri" w:hAnsi="Times New Roman" w:cs="Times New Roman"/>
          <w:vertAlign w:val="superscript"/>
          <w:lang w:val="en-US"/>
        </w:rPr>
        <w:footnoteReference w:id="3"/>
      </w:r>
      <w:r w:rsidRPr="00943D4C">
        <w:rPr>
          <w:rFonts w:ascii="Times New Roman" w:eastAsia="Calibri" w:hAnsi="Times New Roman" w:cs="Times New Roman"/>
          <w:lang w:val="en-US"/>
        </w:rPr>
        <w:t xml:space="preserve"> The earliest reliable records of divination occur in Akkadian sources (a Semitic language spoken in Mesopotamia from the 3</w:t>
      </w:r>
      <w:r w:rsidRPr="00943D4C">
        <w:rPr>
          <w:rFonts w:ascii="Times New Roman" w:eastAsia="Calibri" w:hAnsi="Times New Roman" w:cs="Times New Roman"/>
          <w:vertAlign w:val="superscript"/>
          <w:lang w:val="en-US"/>
        </w:rPr>
        <w:t>rd</w:t>
      </w:r>
      <w:r w:rsidRPr="00943D4C">
        <w:rPr>
          <w:rFonts w:ascii="Times New Roman" w:eastAsia="Calibri" w:hAnsi="Times New Roman" w:cs="Times New Roman"/>
          <w:lang w:val="en-US"/>
        </w:rPr>
        <w:t xml:space="preserve"> </w:t>
      </w:r>
      <w:r w:rsidR="00D8265C">
        <w:rPr>
          <w:rFonts w:ascii="Times New Roman" w:eastAsia="Calibri" w:hAnsi="Times New Roman" w:cs="Times New Roman"/>
          <w:lang w:val="en-US"/>
        </w:rPr>
        <w:t>-</w:t>
      </w:r>
      <w:r w:rsidRPr="00943D4C">
        <w:rPr>
          <w:rFonts w:ascii="Times New Roman" w:eastAsia="Calibri" w:hAnsi="Times New Roman" w:cs="Times New Roman"/>
          <w:lang w:val="en-US"/>
        </w:rPr>
        <w:t>1</w:t>
      </w:r>
      <w:r w:rsidRPr="00943D4C">
        <w:rPr>
          <w:rFonts w:ascii="Times New Roman" w:eastAsia="Calibri" w:hAnsi="Times New Roman" w:cs="Times New Roman"/>
          <w:vertAlign w:val="superscript"/>
          <w:lang w:val="en-US"/>
        </w:rPr>
        <w:t>st</w:t>
      </w:r>
      <w:r w:rsidRPr="00943D4C">
        <w:rPr>
          <w:rFonts w:ascii="Times New Roman" w:eastAsia="Calibri" w:hAnsi="Times New Roman" w:cs="Times New Roman"/>
          <w:lang w:val="en-US"/>
        </w:rPr>
        <w:t xml:space="preserve"> millennium BCE). </w:t>
      </w:r>
      <w:r w:rsidR="00D61708">
        <w:rPr>
          <w:rFonts w:ascii="Times New Roman" w:eastAsia="Calibri" w:hAnsi="Times New Roman" w:cs="Times New Roman"/>
          <w:lang w:val="en-US"/>
        </w:rPr>
        <w:t>A</w:t>
      </w:r>
      <w:r w:rsidR="00D8265C">
        <w:rPr>
          <w:rFonts w:ascii="Times New Roman" w:eastAsia="Calibri" w:hAnsi="Times New Roman" w:cs="Times New Roman"/>
          <w:lang w:val="en-US"/>
        </w:rPr>
        <w:t xml:space="preserve">ccording to </w:t>
      </w:r>
      <w:r w:rsidR="00D8265C" w:rsidRPr="00D8265C">
        <w:rPr>
          <w:rFonts w:ascii="Times New Roman" w:eastAsia="Calibri" w:hAnsi="Times New Roman" w:cs="Times New Roman"/>
          <w:lang w:val="en-US"/>
        </w:rPr>
        <w:t>Leda Ciraolo</w:t>
      </w:r>
      <w:r w:rsidR="00D8265C">
        <w:rPr>
          <w:rFonts w:ascii="Times New Roman" w:eastAsia="Calibri" w:hAnsi="Times New Roman" w:cs="Times New Roman"/>
          <w:lang w:val="en-US"/>
        </w:rPr>
        <w:t xml:space="preserve">, </w:t>
      </w:r>
      <w:r w:rsidRPr="00943D4C">
        <w:rPr>
          <w:rFonts w:ascii="Times New Roman" w:eastAsia="Calibri" w:hAnsi="Times New Roman" w:cs="Times New Roman"/>
          <w:lang w:val="en-US"/>
        </w:rPr>
        <w:t>there were two classes of specialists practicing two different arts. One of these was the art of provoking divinatory answers by performing certain rituals</w:t>
      </w:r>
      <w:r w:rsidR="00195244">
        <w:rPr>
          <w:rFonts w:ascii="Times New Roman" w:eastAsia="Calibri" w:hAnsi="Times New Roman" w:cs="Times New Roman"/>
          <w:lang w:val="en-US"/>
        </w:rPr>
        <w:t xml:space="preserve"> (or by observation of, for example, bird flight)</w:t>
      </w:r>
      <w:r w:rsidRPr="00943D4C">
        <w:rPr>
          <w:rFonts w:ascii="Times New Roman" w:eastAsia="Calibri" w:hAnsi="Times New Roman" w:cs="Times New Roman"/>
          <w:lang w:val="en-US"/>
        </w:rPr>
        <w:t>. The most importan</w:t>
      </w:r>
      <w:r w:rsidR="00003B49">
        <w:rPr>
          <w:rFonts w:ascii="Times New Roman" w:eastAsia="Calibri" w:hAnsi="Times New Roman" w:cs="Times New Roman"/>
          <w:lang w:val="en-US"/>
        </w:rPr>
        <w:t>t ritual was sacrificing animals</w:t>
      </w:r>
      <w:r w:rsidRPr="00943D4C">
        <w:rPr>
          <w:rFonts w:ascii="Times New Roman" w:eastAsia="Calibri" w:hAnsi="Times New Roman" w:cs="Times New Roman"/>
          <w:lang w:val="en-US"/>
        </w:rPr>
        <w:t xml:space="preserve"> and exam</w:t>
      </w:r>
      <w:r w:rsidR="00003B49">
        <w:rPr>
          <w:rFonts w:ascii="Times New Roman" w:eastAsia="Calibri" w:hAnsi="Times New Roman" w:cs="Times New Roman"/>
          <w:lang w:val="en-US"/>
        </w:rPr>
        <w:t>ining its liver in particular</w:t>
      </w:r>
      <w:r w:rsidRPr="00943D4C">
        <w:rPr>
          <w:rFonts w:ascii="Times New Roman" w:eastAsia="Calibri" w:hAnsi="Times New Roman" w:cs="Times New Roman"/>
          <w:lang w:val="en-US"/>
        </w:rPr>
        <w:t>. This was done to obtain an</w:t>
      </w:r>
      <w:r w:rsidR="0094774D">
        <w:rPr>
          <w:rFonts w:ascii="Times New Roman" w:eastAsia="Calibri" w:hAnsi="Times New Roman" w:cs="Times New Roman"/>
          <w:lang w:val="en-US"/>
        </w:rPr>
        <w:t xml:space="preserve"> answer to a yes or no question</w:t>
      </w:r>
      <w:r w:rsidRPr="00943D4C">
        <w:rPr>
          <w:rFonts w:ascii="Times New Roman" w:eastAsia="Calibri" w:hAnsi="Times New Roman" w:cs="Times New Roman"/>
          <w:lang w:val="en-US"/>
        </w:rPr>
        <w:t>.</w:t>
      </w:r>
      <w:r w:rsidRPr="00943D4C">
        <w:rPr>
          <w:rFonts w:ascii="Times New Roman" w:eastAsia="Calibri" w:hAnsi="Times New Roman" w:cs="Times New Roman"/>
          <w:vertAlign w:val="superscript"/>
          <w:lang w:val="en-US"/>
        </w:rPr>
        <w:footnoteReference w:id="4"/>
      </w:r>
      <w:r w:rsidRPr="00943D4C">
        <w:rPr>
          <w:rFonts w:ascii="Times New Roman" w:eastAsia="Calibri" w:hAnsi="Times New Roman" w:cs="Times New Roman"/>
          <w:lang w:val="en-US"/>
        </w:rPr>
        <w:t xml:space="preserve"> There are extensive written records of divination. The omen is recorded as a sign that carries the inf</w:t>
      </w:r>
      <w:r w:rsidR="00003B49">
        <w:rPr>
          <w:rFonts w:ascii="Times New Roman" w:eastAsia="Calibri" w:hAnsi="Times New Roman" w:cs="Times New Roman"/>
          <w:lang w:val="en-US"/>
        </w:rPr>
        <w:t>ormation of the divination</w:t>
      </w:r>
      <w:r w:rsidRPr="00943D4C">
        <w:rPr>
          <w:rFonts w:ascii="Times New Roman" w:eastAsia="Calibri" w:hAnsi="Times New Roman" w:cs="Times New Roman"/>
          <w:lang w:val="en-US"/>
        </w:rPr>
        <w:t>. According to Ulla Koch-Westenholz, the records take a set form like an if-then statement with the quest</w:t>
      </w:r>
      <w:r w:rsidR="00D8265C">
        <w:rPr>
          <w:rFonts w:ascii="Times New Roman" w:eastAsia="Calibri" w:hAnsi="Times New Roman" w:cs="Times New Roman"/>
          <w:lang w:val="en-US"/>
        </w:rPr>
        <w:t xml:space="preserve">ion at the end. An example is ‘if a </w:t>
      </w:r>
      <w:r w:rsidRPr="00943D4C">
        <w:rPr>
          <w:rFonts w:ascii="Times New Roman" w:eastAsia="Calibri" w:hAnsi="Times New Roman" w:cs="Times New Roman"/>
          <w:lang w:val="en-US"/>
        </w:rPr>
        <w:t>drawing’ is stretched from the centre of the top of the ‘presence’ to the ‘palace gate’ and a ‘weapon’ is ahead of it, a leader will leave the country.’</w:t>
      </w:r>
      <w:r w:rsidRPr="00943D4C">
        <w:rPr>
          <w:rFonts w:ascii="Times New Roman" w:eastAsia="Calibri" w:hAnsi="Times New Roman" w:cs="Times New Roman"/>
          <w:vertAlign w:val="superscript"/>
          <w:lang w:val="en-US"/>
        </w:rPr>
        <w:footnoteReference w:id="5"/>
      </w:r>
      <w:r w:rsidRPr="00943D4C">
        <w:rPr>
          <w:rFonts w:ascii="Times New Roman" w:eastAsia="Calibri" w:hAnsi="Times New Roman" w:cs="Times New Roman"/>
          <w:lang w:val="en-US"/>
        </w:rPr>
        <w:t xml:space="preserve"> The surface of the liver is read similarly to</w:t>
      </w:r>
      <w:r w:rsidR="00D61708">
        <w:rPr>
          <w:rFonts w:ascii="Times New Roman" w:eastAsia="Calibri" w:hAnsi="Times New Roman" w:cs="Times New Roman"/>
          <w:lang w:val="en-US"/>
        </w:rPr>
        <w:t xml:space="preserve"> a map</w:t>
      </w:r>
      <w:r w:rsidR="003E4584">
        <w:rPr>
          <w:rFonts w:ascii="Times New Roman" w:eastAsia="Calibri" w:hAnsi="Times New Roman" w:cs="Times New Roman"/>
          <w:lang w:val="en-US"/>
        </w:rPr>
        <w:t xml:space="preserve">. </w:t>
      </w:r>
      <w:r w:rsidR="003E4584" w:rsidRPr="003E4584">
        <w:rPr>
          <w:rFonts w:ascii="Times New Roman" w:eastAsia="Calibri" w:hAnsi="Times New Roman" w:cs="Times New Roman"/>
          <w:lang w:val="en-US"/>
        </w:rPr>
        <w:t xml:space="preserve">Koch-Westenholz </w:t>
      </w:r>
      <w:r w:rsidR="003E4584">
        <w:rPr>
          <w:rFonts w:ascii="Times New Roman" w:eastAsia="Calibri" w:hAnsi="Times New Roman" w:cs="Times New Roman"/>
          <w:lang w:val="en-US"/>
        </w:rPr>
        <w:t>notes t</w:t>
      </w:r>
      <w:r w:rsidRPr="00943D4C">
        <w:rPr>
          <w:rFonts w:ascii="Times New Roman" w:eastAsia="Calibri" w:hAnsi="Times New Roman" w:cs="Times New Roman"/>
          <w:lang w:val="en-US"/>
        </w:rPr>
        <w:t xml:space="preserve">he ‘presence’ and the ‘palace gate’ are particular places on a liver (a lobe that most livers possess), while terms like ‘drawing’ and ‘weapon’ designate variable features like nerves or sinews. This omen was obtained in response to the question ‘will </w:t>
      </w:r>
      <w:r w:rsidR="003E4584">
        <w:rPr>
          <w:rFonts w:ascii="Times New Roman" w:eastAsia="Calibri" w:hAnsi="Times New Roman" w:cs="Times New Roman"/>
          <w:lang w:val="en-US"/>
        </w:rPr>
        <w:t xml:space="preserve">a leader leave the country’. </w:t>
      </w:r>
      <w:r w:rsidRPr="00943D4C">
        <w:rPr>
          <w:rFonts w:ascii="Times New Roman" w:eastAsia="Calibri" w:hAnsi="Times New Roman" w:cs="Times New Roman"/>
          <w:lang w:val="en-US"/>
        </w:rPr>
        <w:t xml:space="preserve"> </w:t>
      </w:r>
      <w:r w:rsidR="003F3B51">
        <w:rPr>
          <w:rFonts w:ascii="Times New Roman" w:eastAsia="Calibri" w:hAnsi="Times New Roman" w:cs="Times New Roman"/>
          <w:lang w:val="en-US"/>
        </w:rPr>
        <w:t xml:space="preserve">Stefan </w:t>
      </w:r>
      <w:r w:rsidR="003E4584" w:rsidRPr="003E4584">
        <w:rPr>
          <w:rFonts w:ascii="Times New Roman" w:eastAsia="Calibri" w:hAnsi="Times New Roman" w:cs="Times New Roman"/>
          <w:lang w:val="en-US"/>
        </w:rPr>
        <w:t xml:space="preserve">Maul </w:t>
      </w:r>
      <w:r w:rsidR="003E4584">
        <w:rPr>
          <w:rFonts w:ascii="Times New Roman" w:eastAsia="Calibri" w:hAnsi="Times New Roman" w:cs="Times New Roman"/>
          <w:lang w:val="en-US"/>
        </w:rPr>
        <w:t xml:space="preserve">notes that omens were often </w:t>
      </w:r>
      <w:r w:rsidR="003E4584">
        <w:rPr>
          <w:rFonts w:ascii="Times New Roman" w:eastAsia="Calibri" w:hAnsi="Times New Roman" w:cs="Times New Roman"/>
          <w:lang w:val="en-US"/>
        </w:rPr>
        <w:lastRenderedPageBreak/>
        <w:t>recorded as lists.</w:t>
      </w:r>
      <w:r w:rsidR="003E4584" w:rsidRPr="003E4584">
        <w:rPr>
          <w:rFonts w:ascii="Times New Roman" w:eastAsia="Calibri" w:hAnsi="Times New Roman" w:cs="Times New Roman"/>
          <w:vertAlign w:val="superscript"/>
          <w:lang w:val="en-US"/>
        </w:rPr>
        <w:t xml:space="preserve"> </w:t>
      </w:r>
      <w:r w:rsidR="003E4584" w:rsidRPr="00943D4C">
        <w:rPr>
          <w:rFonts w:ascii="Times New Roman" w:eastAsia="Calibri" w:hAnsi="Times New Roman" w:cs="Times New Roman"/>
          <w:vertAlign w:val="superscript"/>
          <w:lang w:val="en-US"/>
        </w:rPr>
        <w:footnoteReference w:id="6"/>
      </w:r>
      <w:r w:rsidR="003E4584" w:rsidRPr="00943D4C">
        <w:rPr>
          <w:rFonts w:ascii="Times New Roman" w:eastAsia="Calibri" w:hAnsi="Times New Roman" w:cs="Times New Roman"/>
          <w:lang w:val="en-US"/>
        </w:rPr>
        <w:t xml:space="preserve"> </w:t>
      </w:r>
      <w:r w:rsidR="003E4584">
        <w:rPr>
          <w:rFonts w:ascii="Times New Roman" w:eastAsia="Calibri" w:hAnsi="Times New Roman" w:cs="Times New Roman"/>
          <w:lang w:val="en-US"/>
        </w:rPr>
        <w:t xml:space="preserve">For instance the </w:t>
      </w:r>
      <w:r w:rsidRPr="00943D4C">
        <w:rPr>
          <w:rFonts w:ascii="Times New Roman" w:eastAsia="Calibri" w:hAnsi="Times New Roman" w:cs="Times New Roman"/>
          <w:lang w:val="en-US"/>
        </w:rPr>
        <w:t xml:space="preserve">next omen on the list </w:t>
      </w:r>
      <w:r w:rsidR="003E4584">
        <w:rPr>
          <w:rFonts w:ascii="Times New Roman" w:eastAsia="Calibri" w:hAnsi="Times New Roman" w:cs="Times New Roman"/>
          <w:lang w:val="en-US"/>
        </w:rPr>
        <w:t>might describe</w:t>
      </w:r>
      <w:r w:rsidRPr="00943D4C">
        <w:rPr>
          <w:rFonts w:ascii="Times New Roman" w:eastAsia="Calibri" w:hAnsi="Times New Roman" w:cs="Times New Roman"/>
          <w:lang w:val="en-US"/>
        </w:rPr>
        <w:t xml:space="preserve"> the liver wh</w:t>
      </w:r>
      <w:r w:rsidR="003E4584">
        <w:rPr>
          <w:rFonts w:ascii="Times New Roman" w:eastAsia="Calibri" w:hAnsi="Times New Roman" w:cs="Times New Roman"/>
          <w:lang w:val="en-US"/>
        </w:rPr>
        <w:t>en the question was asked when a ‘</w:t>
      </w:r>
      <w:r w:rsidRPr="00943D4C">
        <w:rPr>
          <w:rFonts w:ascii="Times New Roman" w:eastAsia="Calibri" w:hAnsi="Times New Roman" w:cs="Times New Roman"/>
          <w:lang w:val="en-US"/>
        </w:rPr>
        <w:t>leader did not leave the country</w:t>
      </w:r>
      <w:r w:rsidR="003E4584">
        <w:rPr>
          <w:rFonts w:ascii="Times New Roman" w:eastAsia="Calibri" w:hAnsi="Times New Roman" w:cs="Times New Roman"/>
          <w:lang w:val="en-US"/>
        </w:rPr>
        <w:t>’</w:t>
      </w:r>
      <w:r w:rsidRPr="00943D4C">
        <w:rPr>
          <w:rFonts w:ascii="Times New Roman" w:eastAsia="Calibri" w:hAnsi="Times New Roman" w:cs="Times New Roman"/>
          <w:lang w:val="en-US"/>
        </w:rPr>
        <w:t xml:space="preserve"> to cover all eventualities. </w:t>
      </w:r>
    </w:p>
    <w:p w:rsidR="003F3B51" w:rsidRDefault="003F3B51" w:rsidP="00943D4C">
      <w:pPr>
        <w:spacing w:after="0"/>
        <w:rPr>
          <w:rFonts w:ascii="Times New Roman" w:eastAsia="Calibri" w:hAnsi="Times New Roman" w:cs="Times New Roman"/>
          <w:lang w:val="en-US"/>
        </w:rPr>
      </w:pPr>
    </w:p>
    <w:p w:rsidR="003F3B51" w:rsidRPr="003F3B51" w:rsidRDefault="003F3B51" w:rsidP="00943D4C">
      <w:pPr>
        <w:spacing w:after="0"/>
        <w:rPr>
          <w:rFonts w:ascii="Times New Roman" w:eastAsia="Calibri" w:hAnsi="Times New Roman" w:cs="Times New Roman"/>
          <w:b/>
          <w:lang w:val="en-US"/>
        </w:rPr>
      </w:pPr>
      <w:r w:rsidRPr="003F3B51">
        <w:rPr>
          <w:rFonts w:ascii="Times New Roman" w:eastAsia="Calibri" w:hAnsi="Times New Roman" w:cs="Times New Roman"/>
          <w:b/>
          <w:lang w:val="en-US"/>
        </w:rPr>
        <w:t xml:space="preserve">Early </w:t>
      </w:r>
      <w:r>
        <w:rPr>
          <w:rFonts w:ascii="Times New Roman" w:eastAsia="Calibri" w:hAnsi="Times New Roman" w:cs="Times New Roman"/>
          <w:b/>
          <w:lang w:val="en-US"/>
        </w:rPr>
        <w:t>a</w:t>
      </w:r>
      <w:r w:rsidRPr="003F3B51">
        <w:rPr>
          <w:rFonts w:ascii="Times New Roman" w:eastAsia="Calibri" w:hAnsi="Times New Roman" w:cs="Times New Roman"/>
          <w:b/>
          <w:lang w:val="en-US"/>
        </w:rPr>
        <w:t>strology</w:t>
      </w:r>
    </w:p>
    <w:p w:rsidR="00943D4C" w:rsidRPr="00943D4C" w:rsidRDefault="00195244" w:rsidP="00943D4C">
      <w:pPr>
        <w:spacing w:after="0"/>
        <w:rPr>
          <w:rFonts w:ascii="Times New Roman" w:eastAsia="Calibri" w:hAnsi="Times New Roman" w:cs="Times New Roman"/>
          <w:lang w:val="en-US"/>
        </w:rPr>
      </w:pPr>
      <w:r>
        <w:rPr>
          <w:rFonts w:ascii="Times New Roman" w:eastAsia="Calibri" w:hAnsi="Times New Roman" w:cs="Times New Roman"/>
          <w:lang w:val="en-US"/>
        </w:rPr>
        <w:tab/>
        <w:t>T</w:t>
      </w:r>
      <w:r w:rsidR="00943D4C" w:rsidRPr="00943D4C">
        <w:rPr>
          <w:rFonts w:ascii="Times New Roman" w:eastAsia="Calibri" w:hAnsi="Times New Roman" w:cs="Times New Roman"/>
          <w:lang w:val="en-US"/>
        </w:rPr>
        <w:t>he other type of divination involved the observation of natur</w:t>
      </w:r>
      <w:r w:rsidR="00CA0C28">
        <w:rPr>
          <w:rFonts w:ascii="Times New Roman" w:eastAsia="Calibri" w:hAnsi="Times New Roman" w:cs="Times New Roman"/>
          <w:lang w:val="en-US"/>
        </w:rPr>
        <w:t>e, especially heavenly bodies</w:t>
      </w:r>
      <w:r w:rsidR="00943D4C" w:rsidRPr="00943D4C">
        <w:rPr>
          <w:rFonts w:ascii="Times New Roman" w:eastAsia="Calibri" w:hAnsi="Times New Roman" w:cs="Times New Roman"/>
          <w:lang w:val="en-US"/>
        </w:rPr>
        <w:t>. As Erica Reiner notes, the common name for the stars of the night sky collectively was ‘the writing of heaven’ meaning that it could be read by a knowledgeable person.</w:t>
      </w:r>
      <w:r w:rsidR="00943D4C" w:rsidRPr="00943D4C">
        <w:rPr>
          <w:rFonts w:ascii="Times New Roman" w:eastAsia="Calibri" w:hAnsi="Times New Roman" w:cs="Times New Roman"/>
          <w:vertAlign w:val="superscript"/>
          <w:lang w:val="en-US"/>
        </w:rPr>
        <w:footnoteReference w:id="7"/>
      </w:r>
      <w:r w:rsidR="00943D4C" w:rsidRPr="00943D4C">
        <w:rPr>
          <w:rFonts w:ascii="Times New Roman" w:eastAsia="Calibri" w:hAnsi="Times New Roman" w:cs="Times New Roman"/>
          <w:lang w:val="en-US"/>
        </w:rPr>
        <w:t xml:space="preserve"> Mathematical astronomy and horoscopic astrology were relatively late developments in Mesopotamian culture. </w:t>
      </w:r>
      <w:r w:rsidR="00EA60DF" w:rsidRPr="00EA60DF">
        <w:rPr>
          <w:rFonts w:ascii="Times New Roman" w:eastAsia="Calibri" w:hAnsi="Times New Roman" w:cs="Times New Roman"/>
          <w:lang w:val="en-US"/>
        </w:rPr>
        <w:t xml:space="preserve">Erica Reiner and David Pingree </w:t>
      </w:r>
      <w:r w:rsidR="00EA60DF">
        <w:rPr>
          <w:rFonts w:ascii="Times New Roman" w:eastAsia="Calibri" w:hAnsi="Times New Roman" w:cs="Times New Roman"/>
          <w:lang w:val="en-US"/>
        </w:rPr>
        <w:t>note that t</w:t>
      </w:r>
      <w:r w:rsidR="00943D4C" w:rsidRPr="00943D4C">
        <w:rPr>
          <w:rFonts w:ascii="Times New Roman" w:eastAsia="Calibri" w:hAnsi="Times New Roman" w:cs="Times New Roman"/>
          <w:lang w:val="en-US"/>
        </w:rPr>
        <w:t xml:space="preserve">hroughout its early history, astral divination consisted of observing more generalized phenomena and omen reports took the form, ‘If Venus at her appearance stars gather around her: </w:t>
      </w:r>
      <w:bookmarkStart w:id="12" w:name="_Hlk132228286"/>
      <w:r w:rsidR="00943D4C" w:rsidRPr="00943D4C">
        <w:rPr>
          <w:rFonts w:ascii="Times New Roman" w:eastAsia="Calibri" w:hAnsi="Times New Roman" w:cs="Times New Roman"/>
          <w:lang w:val="en-US"/>
        </w:rPr>
        <w:t>the gods in the sky will gather and decide the counsel of the land for evil</w:t>
      </w:r>
      <w:bookmarkEnd w:id="12"/>
      <w:r w:rsidR="00943D4C" w:rsidRPr="00943D4C">
        <w:rPr>
          <w:rFonts w:ascii="Times New Roman" w:eastAsia="Calibri" w:hAnsi="Times New Roman" w:cs="Times New Roman"/>
          <w:lang w:val="en-US"/>
        </w:rPr>
        <w:t>.’</w:t>
      </w:r>
      <w:r w:rsidR="00943D4C" w:rsidRPr="00943D4C">
        <w:rPr>
          <w:rFonts w:ascii="Times New Roman" w:eastAsia="Calibri" w:hAnsi="Times New Roman" w:cs="Times New Roman"/>
          <w:vertAlign w:val="superscript"/>
          <w:lang w:val="en-US"/>
        </w:rPr>
        <w:footnoteReference w:id="8"/>
      </w:r>
      <w:r w:rsidR="00943D4C" w:rsidRPr="00943D4C">
        <w:rPr>
          <w:rFonts w:ascii="Times New Roman" w:eastAsia="Calibri" w:hAnsi="Times New Roman" w:cs="Times New Roman"/>
          <w:lang w:val="en-US"/>
        </w:rPr>
        <w:t xml:space="preserve"> In the earlier stage, the omens observed were discrete events, and while observers might take an interest in a particular planet seen near one or another constellation, there was as yet nothing like a horoscope. The thing most looked for was a star or planet to do something unexpected. </w:t>
      </w:r>
      <w:r w:rsidR="00215F9C">
        <w:rPr>
          <w:rFonts w:ascii="Times New Roman" w:eastAsia="Calibri" w:hAnsi="Times New Roman" w:cs="Times New Roman"/>
          <w:lang w:val="en-US"/>
        </w:rPr>
        <w:t xml:space="preserve">If there had been a comprehensive </w:t>
      </w:r>
      <w:r w:rsidR="00943D4C" w:rsidRPr="00943D4C">
        <w:rPr>
          <w:rFonts w:ascii="Times New Roman" w:eastAsia="Calibri" w:hAnsi="Times New Roman" w:cs="Times New Roman"/>
          <w:lang w:val="en-US"/>
        </w:rPr>
        <w:t>system of</w:t>
      </w:r>
      <w:r w:rsidR="00215F9C">
        <w:rPr>
          <w:rFonts w:ascii="Times New Roman" w:eastAsia="Calibri" w:hAnsi="Times New Roman" w:cs="Times New Roman"/>
          <w:lang w:val="en-US"/>
        </w:rPr>
        <w:t xml:space="preserve"> mathematical astronomy</w:t>
      </w:r>
      <w:r w:rsidR="00943D4C" w:rsidRPr="00943D4C">
        <w:rPr>
          <w:rFonts w:ascii="Times New Roman" w:eastAsia="Calibri" w:hAnsi="Times New Roman" w:cs="Times New Roman"/>
          <w:lang w:val="en-US"/>
        </w:rPr>
        <w:t>, like in Cicero’s era</w:t>
      </w:r>
      <w:r w:rsidR="00215F9C">
        <w:rPr>
          <w:rFonts w:ascii="Times New Roman" w:eastAsia="Calibri" w:hAnsi="Times New Roman" w:cs="Times New Roman"/>
          <w:lang w:val="en-US"/>
        </w:rPr>
        <w:t>, most celestial events could have been predicted</w:t>
      </w:r>
      <w:r w:rsidR="00943D4C" w:rsidRPr="00943D4C">
        <w:rPr>
          <w:rFonts w:ascii="Times New Roman" w:eastAsia="Calibri" w:hAnsi="Times New Roman" w:cs="Times New Roman"/>
          <w:lang w:val="en-US"/>
        </w:rPr>
        <w:t>.</w:t>
      </w:r>
      <w:r w:rsidR="00943D4C" w:rsidRPr="00943D4C">
        <w:rPr>
          <w:rFonts w:ascii="Times New Roman" w:eastAsia="Calibri" w:hAnsi="Times New Roman" w:cs="Times New Roman"/>
          <w:vertAlign w:val="superscript"/>
          <w:lang w:val="en-US"/>
        </w:rPr>
        <w:footnoteReference w:id="9"/>
      </w:r>
      <w:r w:rsidR="00EA60DF">
        <w:rPr>
          <w:rFonts w:ascii="Times New Roman" w:eastAsia="Calibri" w:hAnsi="Times New Roman" w:cs="Times New Roman"/>
          <w:lang w:val="en-US"/>
        </w:rPr>
        <w:t xml:space="preserve"> </w:t>
      </w:r>
    </w:p>
    <w:p w:rsidR="00943D4C" w:rsidRPr="00943D4C" w:rsidRDefault="00943D4C" w:rsidP="007B0671">
      <w:pPr>
        <w:spacing w:after="0"/>
        <w:ind w:firstLine="720"/>
        <w:rPr>
          <w:rFonts w:ascii="Times New Roman" w:eastAsia="Calibri" w:hAnsi="Times New Roman" w:cs="Times New Roman"/>
          <w:lang w:val="en-US"/>
        </w:rPr>
      </w:pPr>
      <w:r w:rsidRPr="00943D4C">
        <w:rPr>
          <w:rFonts w:ascii="Times New Roman" w:eastAsia="Calibri" w:hAnsi="Times New Roman" w:cs="Times New Roman"/>
          <w:lang w:val="en-US"/>
        </w:rPr>
        <w:t>As Stefan Maul notes, two further facts need to be observed. The first is the relationship between the two forms of divination.</w:t>
      </w:r>
      <w:r w:rsidRPr="00943D4C">
        <w:rPr>
          <w:rFonts w:ascii="Times New Roman" w:eastAsia="Calibri" w:hAnsi="Times New Roman" w:cs="Times New Roman"/>
          <w:vertAlign w:val="superscript"/>
          <w:lang w:val="en-US"/>
        </w:rPr>
        <w:footnoteReference w:id="10"/>
      </w:r>
      <w:r w:rsidRPr="00943D4C">
        <w:rPr>
          <w:rFonts w:ascii="Times New Roman" w:eastAsia="Calibri" w:hAnsi="Times New Roman" w:cs="Times New Roman"/>
          <w:lang w:val="en-US"/>
        </w:rPr>
        <w:t xml:space="preserve"> Both provoked and spontaneous omens were signs of communication sent by the gods to humanity. The gods took decisions in a divine council exactly like the rulers of a Mesopotamian city communicating the outcome or instruction to their subjects. Parsa Daneshmand suggests that each omen would contain a number of positive and negative elements, and those that predominated numerically would give the decision, like the vote of a council. If a client did not like the outcome they could ask again.</w:t>
      </w:r>
      <w:r w:rsidRPr="00943D4C">
        <w:rPr>
          <w:rFonts w:ascii="Times New Roman" w:eastAsia="Calibri" w:hAnsi="Times New Roman" w:cs="Times New Roman"/>
          <w:vertAlign w:val="superscript"/>
          <w:lang w:val="en-US"/>
        </w:rPr>
        <w:footnoteReference w:id="11"/>
      </w:r>
      <w:r w:rsidRPr="00943D4C">
        <w:rPr>
          <w:rFonts w:ascii="Times New Roman" w:eastAsia="Calibri" w:hAnsi="Times New Roman" w:cs="Times New Roman"/>
          <w:lang w:val="en-US"/>
        </w:rPr>
        <w:t xml:space="preserve"> The other important consideration is how divination related to cosmology, the concept of how the</w:t>
      </w:r>
      <w:r w:rsidR="00CA0C28">
        <w:rPr>
          <w:rFonts w:ascii="Times New Roman" w:eastAsia="Calibri" w:hAnsi="Times New Roman" w:cs="Times New Roman"/>
          <w:lang w:val="en-US"/>
        </w:rPr>
        <w:t xml:space="preserve"> universe operated and what role</w:t>
      </w:r>
      <w:r w:rsidRPr="00943D4C">
        <w:rPr>
          <w:rFonts w:ascii="Times New Roman" w:eastAsia="Calibri" w:hAnsi="Times New Roman" w:cs="Times New Roman"/>
          <w:lang w:val="en-US"/>
        </w:rPr>
        <w:t xml:space="preserve"> divination played in that process. According to Reiner, Mes</w:t>
      </w:r>
      <w:r w:rsidR="001C37E2">
        <w:rPr>
          <w:rFonts w:ascii="Times New Roman" w:eastAsia="Calibri" w:hAnsi="Times New Roman" w:cs="Times New Roman"/>
          <w:lang w:val="en-US"/>
        </w:rPr>
        <w:t>o</w:t>
      </w:r>
      <w:r w:rsidRPr="00943D4C">
        <w:rPr>
          <w:rFonts w:ascii="Times New Roman" w:eastAsia="Calibri" w:hAnsi="Times New Roman" w:cs="Times New Roman"/>
          <w:lang w:val="en-US"/>
        </w:rPr>
        <w:t xml:space="preserve">potamians thought the ‘messengers of the gods’ were visible in the sky in the form of the planets </w:t>
      </w:r>
      <w:r w:rsidR="00D61708">
        <w:rPr>
          <w:rFonts w:ascii="Times New Roman" w:eastAsia="Calibri" w:hAnsi="Times New Roman" w:cs="Times New Roman"/>
          <w:lang w:val="en-US"/>
        </w:rPr>
        <w:t>and stars. The stars, she posits</w:t>
      </w:r>
      <w:r w:rsidRPr="00943D4C">
        <w:rPr>
          <w:rFonts w:ascii="Times New Roman" w:eastAsia="Calibri" w:hAnsi="Times New Roman" w:cs="Times New Roman"/>
          <w:lang w:val="en-US"/>
        </w:rPr>
        <w:t>, are called ‘gods of the nights’ but she holds that they are also distinct from the gods. Each star does have a separate name (for instance, Sirius is both the Arrow and Ninurta), but the gods go by many names according to context.</w:t>
      </w:r>
      <w:r w:rsidRPr="00943D4C">
        <w:rPr>
          <w:rFonts w:ascii="Times New Roman" w:eastAsia="Calibri" w:hAnsi="Times New Roman" w:cs="Times New Roman"/>
          <w:vertAlign w:val="superscript"/>
          <w:lang w:val="en-US"/>
        </w:rPr>
        <w:footnoteReference w:id="12"/>
      </w:r>
      <w:r w:rsidRPr="00943D4C">
        <w:rPr>
          <w:rFonts w:ascii="Times New Roman" w:eastAsia="Calibri" w:hAnsi="Times New Roman" w:cs="Times New Roman"/>
          <w:lang w:val="en-US"/>
        </w:rPr>
        <w:t xml:space="preserve"> </w:t>
      </w:r>
    </w:p>
    <w:p w:rsidR="00943D4C" w:rsidRPr="00943D4C" w:rsidRDefault="00943D4C" w:rsidP="00943D4C">
      <w:pPr>
        <w:spacing w:after="0"/>
        <w:ind w:firstLine="720"/>
        <w:rPr>
          <w:rFonts w:ascii="Times New Roman" w:eastAsia="Calibri" w:hAnsi="Times New Roman" w:cs="Times New Roman"/>
          <w:lang w:val="en-US"/>
        </w:rPr>
      </w:pPr>
      <w:r w:rsidRPr="00943D4C">
        <w:rPr>
          <w:rFonts w:ascii="Times New Roman" w:eastAsia="Calibri" w:hAnsi="Times New Roman" w:cs="Times New Roman"/>
          <w:lang w:val="en-US"/>
        </w:rPr>
        <w:t xml:space="preserve">However, a counter argument is possible. Divinatory specialists knew what particular physical relationships meant. This was not a metaphor or a matter of a planet symbolizing or being associated with a god. Marduk was the bright planet Jupiter. In contrast, a cult statue was inhabited by a manifestation of a god, but the star was the god in the most fundamental sense. This condition applies just as much to divination provoked by humans (extispicy) as to spontaneous divination (astrology). The sixteenth tablet of chapter ten of the omen series </w:t>
      </w:r>
      <w:r w:rsidRPr="00943D4C">
        <w:rPr>
          <w:rFonts w:ascii="Times New Roman" w:eastAsia="Calibri" w:hAnsi="Times New Roman" w:cs="Times New Roman"/>
          <w:i/>
          <w:iCs/>
          <w:lang w:val="en-US"/>
        </w:rPr>
        <w:t>bārûtu</w:t>
      </w:r>
      <w:r w:rsidRPr="00943D4C">
        <w:rPr>
          <w:rFonts w:ascii="Times New Roman" w:eastAsia="Calibri" w:hAnsi="Times New Roman" w:cs="Times New Roman"/>
          <w:lang w:val="en-US"/>
        </w:rPr>
        <w:t xml:space="preserve"> described how the two were related in detail; it is one of the obscure passages that the king claimed to have mastered in the document ‘Assurbanipal’s Declaration of Scholarship’ under the title ‘If the liver is a reflection of the sky’. Although its general content is clear from other references, according to Arnor no copy of this particular tablet has been discovered.</w:t>
      </w:r>
      <w:r w:rsidRPr="00943D4C">
        <w:rPr>
          <w:rFonts w:ascii="Times New Roman" w:eastAsia="Calibri" w:hAnsi="Times New Roman" w:cs="Times New Roman"/>
          <w:vertAlign w:val="superscript"/>
          <w:lang w:val="en-US"/>
        </w:rPr>
        <w:footnoteReference w:id="13"/>
      </w:r>
      <w:r w:rsidRPr="00943D4C">
        <w:rPr>
          <w:rFonts w:ascii="Times New Roman" w:eastAsia="Calibri" w:hAnsi="Times New Roman" w:cs="Times New Roman"/>
          <w:lang w:val="en-US"/>
        </w:rPr>
        <w:t xml:space="preserve"> The liver was understood as a mirror reflecting the heavens. Looking at the liver communicated the divine decision in exactly the same way looking at the sky</w:t>
      </w:r>
      <w:r w:rsidR="001C37E2">
        <w:rPr>
          <w:rFonts w:ascii="Times New Roman" w:eastAsia="Calibri" w:hAnsi="Times New Roman" w:cs="Times New Roman"/>
          <w:lang w:val="en-US"/>
        </w:rPr>
        <w:t xml:space="preserve"> </w:t>
      </w:r>
      <w:r w:rsidR="001C37E2">
        <w:rPr>
          <w:rFonts w:ascii="Times New Roman" w:eastAsia="Calibri" w:hAnsi="Times New Roman" w:cs="Times New Roman"/>
          <w:lang w:val="en-US"/>
        </w:rPr>
        <w:lastRenderedPageBreak/>
        <w:t xml:space="preserve">would. At a basic level, </w:t>
      </w:r>
      <w:r w:rsidRPr="00943D4C">
        <w:rPr>
          <w:rFonts w:ascii="Times New Roman" w:eastAsia="Calibri" w:hAnsi="Times New Roman" w:cs="Times New Roman"/>
          <w:lang w:val="en-US"/>
        </w:rPr>
        <w:t>extispicy and astrology were the same in respect to communicating the physical structure of the universe and actions of the gods. The gods cast</w:t>
      </w:r>
      <w:r w:rsidR="001C37E2">
        <w:rPr>
          <w:rFonts w:ascii="Times New Roman" w:eastAsia="Calibri" w:hAnsi="Times New Roman" w:cs="Times New Roman"/>
          <w:lang w:val="en-US"/>
        </w:rPr>
        <w:t xml:space="preserve"> some energy or substance down from the sky</w:t>
      </w:r>
      <w:r w:rsidR="00CA0C28">
        <w:rPr>
          <w:rFonts w:ascii="Times New Roman" w:eastAsia="Calibri" w:hAnsi="Times New Roman" w:cs="Times New Roman"/>
          <w:lang w:val="en-US"/>
        </w:rPr>
        <w:t>, perhaps starlight</w:t>
      </w:r>
      <w:r w:rsidRPr="00943D4C">
        <w:rPr>
          <w:rFonts w:ascii="Times New Roman" w:eastAsia="Calibri" w:hAnsi="Times New Roman" w:cs="Times New Roman"/>
          <w:lang w:val="en-US"/>
        </w:rPr>
        <w:t xml:space="preserve">. </w:t>
      </w:r>
      <w:r w:rsidRPr="00943D4C">
        <w:rPr>
          <w:rFonts w:ascii="Times New Roman" w:eastAsia="Calibri" w:hAnsi="Times New Roman" w:cs="Times New Roman"/>
          <w:i/>
          <w:iCs/>
          <w:lang w:val="en-US"/>
        </w:rPr>
        <w:t>Materia magica</w:t>
      </w:r>
      <w:r w:rsidRPr="00943D4C">
        <w:rPr>
          <w:rFonts w:ascii="Times New Roman" w:eastAsia="Calibri" w:hAnsi="Times New Roman" w:cs="Times New Roman"/>
          <w:lang w:val="en-US"/>
        </w:rPr>
        <w:t xml:space="preserve"> such as potions or cursing dolls were left on the roof tops overnight to activate them by being exposed to various astral configurations. According to Reiner, the same divine energy was responsible for causation and it was what was also read in the various types of divination.</w:t>
      </w:r>
      <w:r w:rsidRPr="00943D4C">
        <w:rPr>
          <w:rFonts w:ascii="Times New Roman" w:eastAsia="Calibri" w:hAnsi="Times New Roman" w:cs="Times New Roman"/>
          <w:vertAlign w:val="superscript"/>
          <w:lang w:val="en-US"/>
        </w:rPr>
        <w:footnoteReference w:id="14"/>
      </w:r>
      <w:r w:rsidRPr="00943D4C">
        <w:rPr>
          <w:rFonts w:ascii="Times New Roman" w:eastAsia="Calibri" w:hAnsi="Times New Roman" w:cs="Times New Roman"/>
          <w:lang w:val="en-US"/>
        </w:rPr>
        <w:t xml:space="preserve"> Hermann Hunger notes that humans could directly experience divine revelation </w:t>
      </w:r>
      <w:r w:rsidR="00793360">
        <w:rPr>
          <w:rFonts w:ascii="Times New Roman" w:eastAsia="Calibri" w:hAnsi="Times New Roman" w:cs="Times New Roman"/>
          <w:lang w:val="en-US"/>
        </w:rPr>
        <w:t xml:space="preserve">via dreams and visions </w:t>
      </w:r>
      <w:r w:rsidRPr="00943D4C">
        <w:rPr>
          <w:rFonts w:ascii="Times New Roman" w:eastAsia="Calibri" w:hAnsi="Times New Roman" w:cs="Times New Roman"/>
          <w:lang w:val="en-US"/>
        </w:rPr>
        <w:t>by sleeping on the roof.</w:t>
      </w:r>
      <w:r w:rsidRPr="00943D4C">
        <w:rPr>
          <w:rFonts w:ascii="Times New Roman" w:eastAsia="Calibri" w:hAnsi="Times New Roman" w:cs="Times New Roman"/>
          <w:vertAlign w:val="superscript"/>
          <w:lang w:val="en-US"/>
        </w:rPr>
        <w:footnoteReference w:id="15"/>
      </w:r>
    </w:p>
    <w:p w:rsidR="00943D4C" w:rsidRPr="00943D4C" w:rsidRDefault="00943D4C" w:rsidP="00943D4C">
      <w:pPr>
        <w:spacing w:after="0"/>
        <w:ind w:firstLine="720"/>
        <w:rPr>
          <w:rFonts w:ascii="Times New Roman" w:eastAsia="Calibri" w:hAnsi="Times New Roman" w:cs="Times New Roman"/>
          <w:lang w:val="en-US"/>
        </w:rPr>
      </w:pPr>
      <w:r w:rsidRPr="00943D4C">
        <w:rPr>
          <w:rFonts w:ascii="Times New Roman" w:eastAsia="Calibri" w:hAnsi="Times New Roman" w:cs="Times New Roman"/>
          <w:lang w:val="en-US"/>
        </w:rPr>
        <w:t>Mesopotamian diviners were the exclusive employees of the king and their technical knowledge was secret. The kings would naturally not want their enemies to have access to the same grade of information as they received. This changed when the Achaemenids (550 -330 BCE) conquered Mesopotamia. Zoroastrianism repudiated much of traditional Mesopotamian religion, incl</w:t>
      </w:r>
      <w:r w:rsidR="00D61708">
        <w:rPr>
          <w:rFonts w:ascii="Times New Roman" w:eastAsia="Calibri" w:hAnsi="Times New Roman" w:cs="Times New Roman"/>
          <w:lang w:val="en-US"/>
        </w:rPr>
        <w:t xml:space="preserve">uding extispicy. </w:t>
      </w:r>
      <w:r w:rsidRPr="00943D4C">
        <w:rPr>
          <w:rFonts w:ascii="Times New Roman" w:eastAsia="Calibri" w:hAnsi="Times New Roman" w:cs="Times New Roman"/>
          <w:lang w:val="en-US"/>
        </w:rPr>
        <w:t>The text SpTU 4, 159 translated by Arnor</w:t>
      </w:r>
      <w:r w:rsidR="00793360">
        <w:rPr>
          <w:rFonts w:ascii="Times New Roman" w:eastAsia="Calibri" w:hAnsi="Times New Roman" w:cs="Times New Roman"/>
          <w:lang w:val="en-US"/>
        </w:rPr>
        <w:t xml:space="preserve"> </w:t>
      </w:r>
      <w:r w:rsidRPr="00943D4C">
        <w:rPr>
          <w:rFonts w:ascii="Times New Roman" w:eastAsia="Calibri" w:hAnsi="Times New Roman" w:cs="Times New Roman"/>
          <w:lang w:val="en-US"/>
        </w:rPr>
        <w:t xml:space="preserve">comes from this period and gives considerable detail about how the liver omens fit into the cosmological system. Each line of this text specified a part of the liver, what god rules it, what month of the lunar-solar calendar is propitious for it, and what </w:t>
      </w:r>
      <w:r w:rsidR="00D61708">
        <w:rPr>
          <w:rFonts w:ascii="Times New Roman" w:eastAsia="Calibri" w:hAnsi="Times New Roman" w:cs="Times New Roman"/>
          <w:lang w:val="en-US"/>
        </w:rPr>
        <w:t>constellation it corresponds to.</w:t>
      </w:r>
      <w:r w:rsidR="00D61708" w:rsidRPr="00D61708">
        <w:rPr>
          <w:rFonts w:ascii="Times New Roman" w:eastAsia="Calibri" w:hAnsi="Times New Roman" w:cs="Times New Roman"/>
          <w:vertAlign w:val="superscript"/>
          <w:lang w:val="en-US"/>
        </w:rPr>
        <w:t xml:space="preserve"> </w:t>
      </w:r>
      <w:r w:rsidR="00D61708" w:rsidRPr="00943D4C">
        <w:rPr>
          <w:rFonts w:ascii="Times New Roman" w:eastAsia="Calibri" w:hAnsi="Times New Roman" w:cs="Times New Roman"/>
          <w:vertAlign w:val="superscript"/>
          <w:lang w:val="en-US"/>
        </w:rPr>
        <w:footnoteReference w:id="16"/>
      </w:r>
      <w:r w:rsidR="00D61708" w:rsidRPr="00943D4C">
        <w:rPr>
          <w:rFonts w:ascii="Times New Roman" w:eastAsia="Calibri" w:hAnsi="Times New Roman" w:cs="Times New Roman"/>
          <w:lang w:val="en-US"/>
        </w:rPr>
        <w:t xml:space="preserve"> </w:t>
      </w:r>
      <w:r w:rsidRPr="00943D4C">
        <w:rPr>
          <w:rFonts w:ascii="Times New Roman" w:eastAsia="Calibri" w:hAnsi="Times New Roman" w:cs="Times New Roman"/>
          <w:lang w:val="en-US"/>
        </w:rPr>
        <w:t>The idea of the correspondence between the liver and the sky is, much older, but the astrologers elaborated them. The West received a derived form of Mesopotamian ideas about divination and cosmology. William Furley and Victor Gysemberghe argue that in the seventh and sixth centuries, the Mesopotamian forms if divination were the most sophisticated. They had a wide influence as trade expanded throughout the Eastern Mediterranean and ‘divination formed a vast cultural continuum extending from Mesopotamia to the Italian peninsula’.</w:t>
      </w:r>
      <w:r w:rsidRPr="00943D4C">
        <w:rPr>
          <w:rFonts w:ascii="Times New Roman" w:eastAsia="Calibri" w:hAnsi="Times New Roman" w:cs="Times New Roman"/>
          <w:vertAlign w:val="superscript"/>
          <w:lang w:val="en-US"/>
        </w:rPr>
        <w:footnoteReference w:id="17"/>
      </w:r>
    </w:p>
    <w:p w:rsidR="00943D4C" w:rsidRPr="00943D4C" w:rsidRDefault="00943D4C" w:rsidP="00943D4C">
      <w:pPr>
        <w:spacing w:after="0"/>
        <w:rPr>
          <w:rFonts w:ascii="Times New Roman" w:eastAsia="Calibri" w:hAnsi="Times New Roman" w:cs="Times New Roman"/>
          <w:lang w:val="en-US"/>
        </w:rPr>
      </w:pPr>
    </w:p>
    <w:p w:rsidR="00943D4C" w:rsidRPr="00943D4C" w:rsidRDefault="003F3B51" w:rsidP="00943D4C">
      <w:pPr>
        <w:spacing w:after="0"/>
        <w:rPr>
          <w:rFonts w:ascii="Times New Roman" w:eastAsia="Calibri" w:hAnsi="Times New Roman" w:cs="Times New Roman"/>
          <w:b/>
          <w:lang w:val="en-US"/>
        </w:rPr>
      </w:pPr>
      <w:r>
        <w:rPr>
          <w:rFonts w:ascii="Times New Roman" w:eastAsia="Calibri" w:hAnsi="Times New Roman" w:cs="Times New Roman"/>
          <w:b/>
          <w:lang w:val="en-US"/>
        </w:rPr>
        <w:t>Greek d</w:t>
      </w:r>
      <w:r w:rsidR="00943D4C" w:rsidRPr="00943D4C">
        <w:rPr>
          <w:rFonts w:ascii="Times New Roman" w:eastAsia="Calibri" w:hAnsi="Times New Roman" w:cs="Times New Roman"/>
          <w:b/>
          <w:lang w:val="en-US"/>
        </w:rPr>
        <w:t xml:space="preserve">ivination </w:t>
      </w:r>
    </w:p>
    <w:p w:rsidR="00943D4C" w:rsidRDefault="00793360" w:rsidP="00943D4C">
      <w:pPr>
        <w:spacing w:after="0"/>
        <w:ind w:firstLine="720"/>
        <w:rPr>
          <w:rFonts w:ascii="Times New Roman" w:eastAsia="Calibri" w:hAnsi="Times New Roman" w:cs="Times New Roman"/>
          <w:lang w:val="en-US"/>
        </w:rPr>
      </w:pPr>
      <w:r>
        <w:rPr>
          <w:rFonts w:ascii="Times New Roman" w:eastAsia="Calibri" w:hAnsi="Times New Roman" w:cs="Times New Roman"/>
          <w:lang w:val="en-US"/>
        </w:rPr>
        <w:t xml:space="preserve">Core Greek concepts </w:t>
      </w:r>
      <w:r w:rsidR="00943D4C" w:rsidRPr="00943D4C">
        <w:rPr>
          <w:rFonts w:ascii="Times New Roman" w:eastAsia="Calibri" w:hAnsi="Times New Roman" w:cs="Times New Roman"/>
          <w:lang w:val="en-US"/>
        </w:rPr>
        <w:t xml:space="preserve">about </w:t>
      </w:r>
      <w:r>
        <w:rPr>
          <w:rFonts w:ascii="Times New Roman" w:eastAsia="Calibri" w:hAnsi="Times New Roman" w:cs="Times New Roman"/>
          <w:lang w:val="en-US"/>
        </w:rPr>
        <w:t xml:space="preserve">cosmology, </w:t>
      </w:r>
      <w:r w:rsidR="00943D4C" w:rsidRPr="00943D4C">
        <w:rPr>
          <w:rFonts w:ascii="Times New Roman" w:eastAsia="Calibri" w:hAnsi="Times New Roman" w:cs="Times New Roman"/>
          <w:lang w:val="en-US"/>
        </w:rPr>
        <w:t>divination</w:t>
      </w:r>
      <w:r>
        <w:rPr>
          <w:rFonts w:ascii="Times New Roman" w:eastAsia="Calibri" w:hAnsi="Times New Roman" w:cs="Times New Roman"/>
          <w:lang w:val="en-US"/>
        </w:rPr>
        <w:t>, and astrology</w:t>
      </w:r>
      <w:r w:rsidR="00943D4C" w:rsidRPr="00943D4C">
        <w:rPr>
          <w:rFonts w:ascii="Times New Roman" w:eastAsia="Calibri" w:hAnsi="Times New Roman" w:cs="Times New Roman"/>
          <w:lang w:val="en-US"/>
        </w:rPr>
        <w:t xml:space="preserve"> were profoundly influenced by Babylonian learning as early as Plato (c. 428 - 348 BCE) and increasingly throu</w:t>
      </w:r>
      <w:r w:rsidR="003F3B51">
        <w:rPr>
          <w:rFonts w:ascii="Times New Roman" w:eastAsia="Calibri" w:hAnsi="Times New Roman" w:cs="Times New Roman"/>
          <w:lang w:val="en-US"/>
        </w:rPr>
        <w:t xml:space="preserve">ghout the Hellenistic period. </w:t>
      </w:r>
      <w:r w:rsidR="00943D4C" w:rsidRPr="00943D4C">
        <w:rPr>
          <w:rFonts w:ascii="Times New Roman" w:eastAsia="Calibri" w:hAnsi="Times New Roman" w:cs="Times New Roman"/>
          <w:lang w:val="en-US"/>
        </w:rPr>
        <w:t xml:space="preserve">Greeks had probably always had a system of interpreting astral omens, manifested in things as simple as awareness of the cyclical change of the seasons (for example the weather, appropriate times for planting and navigation) which was believed to be caused by the regular motion of the stars. Plato is aware of several more sophisticated forms of astrology that were innovations in Babylonian practice invented during his life-time or not long before. As he states in the </w:t>
      </w:r>
      <w:r w:rsidR="00943D4C" w:rsidRPr="00943D4C">
        <w:rPr>
          <w:rFonts w:ascii="Times New Roman" w:eastAsia="Calibri" w:hAnsi="Times New Roman" w:cs="Times New Roman"/>
          <w:i/>
          <w:lang w:val="en-US"/>
        </w:rPr>
        <w:t>Timaeus</w:t>
      </w:r>
      <w:r w:rsidR="00943D4C" w:rsidRPr="00943D4C">
        <w:rPr>
          <w:rFonts w:ascii="Times New Roman" w:eastAsia="Calibri" w:hAnsi="Times New Roman" w:cs="Times New Roman"/>
          <w:lang w:val="en-US"/>
        </w:rPr>
        <w:t xml:space="preserve">, </w:t>
      </w:r>
    </w:p>
    <w:p w:rsidR="007B0671" w:rsidRPr="00943D4C" w:rsidRDefault="007B0671" w:rsidP="00943D4C">
      <w:pPr>
        <w:spacing w:after="0"/>
        <w:ind w:firstLine="720"/>
        <w:rPr>
          <w:rFonts w:ascii="Times New Roman" w:eastAsia="Calibri" w:hAnsi="Times New Roman" w:cs="Times New Roman"/>
          <w:lang w:val="en-US"/>
        </w:rPr>
      </w:pP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Vain would be the attempt to tell all the figures of them [i.e., the eldest of gods that are in the interior of heaven] circling as in a dance, and their juxtapositions, and the return of them in their revolutions upon themselves, and their approximations, and to say which of these deities in their conjunctions meet, and which of them are in opposition, and in what order they get behind and before one another, and when they are severally eclipsed to our sight and again reappear, sending terrors and intimations of the future to those who cannot calculate their movements—to attempt to tell of all this without a visible representation of the heavenly system would be labor in vain.</w:t>
      </w:r>
      <w:r w:rsidRPr="00943D4C">
        <w:rPr>
          <w:rFonts w:ascii="Times New Roman" w:eastAsia="Calibri" w:hAnsi="Times New Roman" w:cs="Times New Roman"/>
          <w:vertAlign w:val="superscript"/>
          <w:lang w:val="en-US"/>
        </w:rPr>
        <w:footnoteReference w:id="18"/>
      </w:r>
    </w:p>
    <w:p w:rsidR="00943D4C" w:rsidRPr="00943D4C" w:rsidRDefault="00943D4C" w:rsidP="00943D4C">
      <w:pPr>
        <w:spacing w:after="0"/>
        <w:ind w:left="720" w:right="720"/>
        <w:rPr>
          <w:rFonts w:ascii="Times New Roman" w:eastAsia="Calibri" w:hAnsi="Times New Roman" w:cs="Times New Roman"/>
          <w:lang w:val="en-US"/>
        </w:rPr>
      </w:pPr>
    </w:p>
    <w:p w:rsid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 xml:space="preserve">Plato also provides an explanation of how divination works relative to his understanding of the structure of the universe. The </w:t>
      </w:r>
      <w:r w:rsidRPr="00943D4C">
        <w:rPr>
          <w:rFonts w:ascii="Times New Roman" w:eastAsia="Calibri" w:hAnsi="Times New Roman" w:cs="Times New Roman"/>
          <w:i/>
          <w:iCs/>
          <w:lang w:val="en-US"/>
        </w:rPr>
        <w:t>nous</w:t>
      </w:r>
      <w:r w:rsidRPr="00943D4C">
        <w:rPr>
          <w:rFonts w:ascii="Times New Roman" w:eastAsia="Calibri" w:hAnsi="Times New Roman" w:cs="Times New Roman"/>
          <w:lang w:val="en-US"/>
        </w:rPr>
        <w:t xml:space="preserve">, which is a part of the human mind to which consciousness does </w:t>
      </w:r>
      <w:r w:rsidRPr="00943D4C">
        <w:rPr>
          <w:rFonts w:ascii="Times New Roman" w:eastAsia="Calibri" w:hAnsi="Times New Roman" w:cs="Times New Roman"/>
          <w:lang w:val="en-US"/>
        </w:rPr>
        <w:lastRenderedPageBreak/>
        <w:t>not have direct access, is constantly contemplating the forms which are the true nature of rea</w:t>
      </w:r>
      <w:r w:rsidR="00CA0C28">
        <w:rPr>
          <w:rFonts w:ascii="Times New Roman" w:eastAsia="Calibri" w:hAnsi="Times New Roman" w:cs="Times New Roman"/>
          <w:lang w:val="en-US"/>
        </w:rPr>
        <w:t>lity. As Anne Sheppard contends</w:t>
      </w:r>
      <w:r w:rsidRPr="00943D4C">
        <w:rPr>
          <w:rFonts w:ascii="Times New Roman" w:eastAsia="Calibri" w:hAnsi="Times New Roman" w:cs="Times New Roman"/>
          <w:lang w:val="en-US"/>
        </w:rPr>
        <w:t xml:space="preserve"> </w:t>
      </w:r>
      <w:r w:rsidR="00CA0C28">
        <w:rPr>
          <w:rFonts w:ascii="Times New Roman" w:eastAsia="Calibri" w:hAnsi="Times New Roman" w:cs="Times New Roman"/>
          <w:lang w:val="en-US"/>
        </w:rPr>
        <w:t>Plato also believed the liver was a communication device. T</w:t>
      </w:r>
      <w:r w:rsidRPr="00943D4C">
        <w:rPr>
          <w:rFonts w:ascii="Times New Roman" w:eastAsia="Calibri" w:hAnsi="Times New Roman" w:cs="Times New Roman"/>
          <w:lang w:val="en-US"/>
        </w:rPr>
        <w:t>he liver is able, like a mirror, to occasionally catch glimpses of this contemplation and hence of a higher truth.</w:t>
      </w:r>
      <w:r w:rsidRPr="00943D4C">
        <w:rPr>
          <w:rFonts w:ascii="Times New Roman" w:eastAsia="Calibri" w:hAnsi="Times New Roman" w:cs="Times New Roman"/>
          <w:vertAlign w:val="superscript"/>
          <w:lang w:val="en-US"/>
        </w:rPr>
        <w:footnoteReference w:id="19"/>
      </w:r>
      <w:r w:rsidRPr="00943D4C">
        <w:rPr>
          <w:rFonts w:ascii="Times New Roman" w:eastAsia="Calibri" w:hAnsi="Times New Roman" w:cs="Times New Roman"/>
          <w:lang w:val="en-US"/>
        </w:rPr>
        <w:t xml:space="preserve"> The consciousness can in turn become aware of this truth by means of the liver during dreams or mystical ecstasy and this is the basis of divination as in the </w:t>
      </w:r>
      <w:r w:rsidRPr="00943D4C">
        <w:rPr>
          <w:rFonts w:ascii="Times New Roman" w:eastAsia="Calibri" w:hAnsi="Times New Roman" w:cs="Times New Roman"/>
          <w:i/>
          <w:lang w:val="en-US"/>
        </w:rPr>
        <w:t>Timaeus</w:t>
      </w:r>
      <w:r w:rsidRPr="00943D4C">
        <w:rPr>
          <w:rFonts w:ascii="Times New Roman" w:eastAsia="Calibri" w:hAnsi="Times New Roman" w:cs="Times New Roman"/>
          <w:lang w:val="en-US"/>
        </w:rPr>
        <w:t xml:space="preserve">, </w:t>
      </w:r>
    </w:p>
    <w:p w:rsidR="007B0671" w:rsidRPr="00943D4C" w:rsidRDefault="007B0671" w:rsidP="00943D4C">
      <w:pPr>
        <w:spacing w:after="0"/>
        <w:rPr>
          <w:rFonts w:ascii="Times New Roman" w:eastAsia="Calibri" w:hAnsi="Times New Roman" w:cs="Times New Roman"/>
          <w:lang w:val="en-US"/>
        </w:rPr>
      </w:pP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God combined with it [the lower part of the soul] the liver and placed it in the house of the lower nature, contriving that it should be solid and smooth, and bright and sweet, and should also have a bitter quality in order that the power of thought, which proceeds from the mind, might be reflected as in a mirror…[the liver enables the lower soul] to pass the night in peace, and to practice divination in sleep…For the authors of our being…placed in the liver the seat of divination. And herein is proof that God has given the art of divination not to the wisdom, but to the foolishness of man. No man, when in his wits, attains prophetic truth and inspiration, but when he receives the inspired word, either his intelligence is enthralled in sleep or he is demented by some distemper or possession.</w:t>
      </w:r>
      <w:r w:rsidRPr="00943D4C">
        <w:rPr>
          <w:rFonts w:ascii="Times New Roman" w:eastAsia="Calibri" w:hAnsi="Times New Roman" w:cs="Times New Roman"/>
          <w:vertAlign w:val="superscript"/>
          <w:lang w:val="en-US"/>
        </w:rPr>
        <w:footnoteReference w:id="20"/>
      </w:r>
    </w:p>
    <w:p w:rsidR="00943D4C" w:rsidRPr="00943D4C" w:rsidRDefault="00943D4C" w:rsidP="00943D4C">
      <w:pPr>
        <w:spacing w:after="0"/>
        <w:rPr>
          <w:rFonts w:ascii="Times New Roman" w:eastAsia="Calibri" w:hAnsi="Times New Roman" w:cs="Times New Roman"/>
          <w:lang w:val="en-US"/>
        </w:rPr>
      </w:pPr>
    </w:p>
    <w:p w:rsidR="00943D4C" w:rsidRP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These statements explain why divination can provide information that is not available to the senses. This might also suggest that human livers would be more reliable than those of sacrificial animals, except for the moral difficulties posed by human sacrifice. Although this is nowhere spelled out, according to Fritz Graf this must be the reason for the stereotype that magicians sacrifice children to divine from their livers, and could contribute to their problematical reputation in antiquity.</w:t>
      </w:r>
      <w:r w:rsidRPr="00943D4C">
        <w:rPr>
          <w:rFonts w:ascii="Times New Roman" w:eastAsia="Calibri" w:hAnsi="Times New Roman" w:cs="Times New Roman"/>
          <w:vertAlign w:val="superscript"/>
          <w:lang w:val="en-US"/>
        </w:rPr>
        <w:footnoteReference w:id="21"/>
      </w:r>
    </w:p>
    <w:p w:rsidR="00943D4C" w:rsidRPr="00943D4C" w:rsidRDefault="00CA0C28" w:rsidP="00943D4C">
      <w:pPr>
        <w:spacing w:after="0"/>
        <w:rPr>
          <w:rFonts w:ascii="Times New Roman" w:eastAsia="Calibri" w:hAnsi="Times New Roman" w:cs="Times New Roman"/>
          <w:lang w:val="en-US"/>
        </w:rPr>
      </w:pPr>
      <w:r>
        <w:rPr>
          <w:rFonts w:ascii="Times New Roman" w:eastAsia="Calibri" w:hAnsi="Times New Roman" w:cs="Times New Roman"/>
          <w:lang w:val="en-US"/>
        </w:rPr>
        <w:tab/>
        <w:t>According to Roger Beck, t</w:t>
      </w:r>
      <w:r w:rsidR="00943D4C" w:rsidRPr="00943D4C">
        <w:rPr>
          <w:rFonts w:ascii="Times New Roman" w:eastAsia="Calibri" w:hAnsi="Times New Roman" w:cs="Times New Roman"/>
          <w:lang w:val="en-US"/>
        </w:rPr>
        <w:t>he development of mathematical astronomy in Babylon was very late and came about only during the Achaemenid period</w:t>
      </w:r>
      <w:r w:rsidR="00215F9C">
        <w:rPr>
          <w:rFonts w:ascii="Times New Roman" w:eastAsia="Calibri" w:hAnsi="Times New Roman" w:cs="Times New Roman"/>
          <w:lang w:val="en-US"/>
        </w:rPr>
        <w:t xml:space="preserve"> (overlapping with the Hellenistic period in the latest phase)</w:t>
      </w:r>
      <w:r w:rsidR="00943D4C" w:rsidRPr="00943D4C">
        <w:rPr>
          <w:rFonts w:ascii="Times New Roman" w:eastAsia="Calibri" w:hAnsi="Times New Roman" w:cs="Times New Roman"/>
          <w:lang w:val="en-US"/>
        </w:rPr>
        <w:t>. The oldest surviving horoscope concer</w:t>
      </w:r>
      <w:r>
        <w:rPr>
          <w:rFonts w:ascii="Times New Roman" w:eastAsia="Calibri" w:hAnsi="Times New Roman" w:cs="Times New Roman"/>
          <w:lang w:val="en-US"/>
        </w:rPr>
        <w:t xml:space="preserve">ns a birth in 410 BCE and </w:t>
      </w:r>
      <w:r w:rsidR="00943D4C" w:rsidRPr="00943D4C">
        <w:rPr>
          <w:rFonts w:ascii="Times New Roman" w:eastAsia="Calibri" w:hAnsi="Times New Roman" w:cs="Times New Roman"/>
          <w:lang w:val="en-US"/>
        </w:rPr>
        <w:t>Beck notes it may have cast a few years later.</w:t>
      </w:r>
      <w:r w:rsidR="00943D4C" w:rsidRPr="00943D4C">
        <w:rPr>
          <w:rFonts w:ascii="Times New Roman" w:eastAsia="Calibri" w:hAnsi="Times New Roman" w:cs="Times New Roman"/>
          <w:vertAlign w:val="superscript"/>
          <w:lang w:val="en-US"/>
        </w:rPr>
        <w:footnoteReference w:id="22"/>
      </w:r>
      <w:r w:rsidR="00943D4C" w:rsidRPr="00943D4C">
        <w:rPr>
          <w:rFonts w:ascii="Times New Roman" w:eastAsia="Calibri" w:hAnsi="Times New Roman" w:cs="Times New Roman"/>
          <w:lang w:val="en-US"/>
        </w:rPr>
        <w:t xml:space="preserve"> This promoted the keeping of ephemerides showing the position of various stars with a continuous coverage over hundreds of years. The fact that the position of the planets could be accurately predicted indefinitely into the past and future was taken as evidence of the predictive power of astrology. The Greek astronomer Hipparchus used this data, according to Gerald J. Toomer</w:t>
      </w:r>
      <w:r>
        <w:rPr>
          <w:rFonts w:ascii="Times New Roman" w:eastAsia="Calibri" w:hAnsi="Times New Roman" w:cs="Times New Roman"/>
          <w:lang w:val="en-US"/>
        </w:rPr>
        <w:t>, after</w:t>
      </w:r>
      <w:r w:rsidR="00943D4C" w:rsidRPr="00943D4C">
        <w:rPr>
          <w:rFonts w:ascii="Times New Roman" w:eastAsia="Calibri" w:hAnsi="Times New Roman" w:cs="Times New Roman"/>
          <w:lang w:val="en-US"/>
        </w:rPr>
        <w:t xml:space="preserve"> employing secretaries who could read the cun</w:t>
      </w:r>
      <w:r>
        <w:rPr>
          <w:rFonts w:ascii="Times New Roman" w:eastAsia="Calibri" w:hAnsi="Times New Roman" w:cs="Times New Roman"/>
          <w:lang w:val="en-US"/>
        </w:rPr>
        <w:t>eiform texts. It also</w:t>
      </w:r>
      <w:r w:rsidR="00943D4C" w:rsidRPr="00943D4C">
        <w:rPr>
          <w:rFonts w:ascii="Times New Roman" w:eastAsia="Calibri" w:hAnsi="Times New Roman" w:cs="Times New Roman"/>
          <w:lang w:val="en-US"/>
        </w:rPr>
        <w:t xml:space="preserve"> </w:t>
      </w:r>
      <w:r w:rsidR="008F1353">
        <w:rPr>
          <w:rFonts w:ascii="Times New Roman" w:eastAsia="Calibri" w:hAnsi="Times New Roman" w:cs="Times New Roman"/>
          <w:lang w:val="en-US"/>
        </w:rPr>
        <w:t xml:space="preserve">allowed Hipparchus (c. 190 - </w:t>
      </w:r>
      <w:r w:rsidR="00943D4C" w:rsidRPr="00943D4C">
        <w:rPr>
          <w:rFonts w:ascii="Times New Roman" w:eastAsia="Calibri" w:hAnsi="Times New Roman" w:cs="Times New Roman"/>
          <w:lang w:val="en-US"/>
        </w:rPr>
        <w:t xml:space="preserve">120 BCE) to discover the </w:t>
      </w:r>
      <w:r>
        <w:rPr>
          <w:rFonts w:ascii="Times New Roman" w:eastAsia="Calibri" w:hAnsi="Times New Roman" w:cs="Times New Roman"/>
          <w:lang w:val="en-US"/>
        </w:rPr>
        <w:t>precession of the equinoxes</w:t>
      </w:r>
      <w:r w:rsidR="00943D4C" w:rsidRPr="00943D4C">
        <w:rPr>
          <w:rFonts w:ascii="Times New Roman" w:eastAsia="Calibri" w:hAnsi="Times New Roman" w:cs="Times New Roman"/>
          <w:lang w:val="en-US"/>
        </w:rPr>
        <w:t>.</w:t>
      </w:r>
      <w:r w:rsidR="00943D4C" w:rsidRPr="00943D4C">
        <w:rPr>
          <w:rFonts w:ascii="Times New Roman" w:eastAsia="Calibri" w:hAnsi="Times New Roman" w:cs="Times New Roman"/>
          <w:vertAlign w:val="superscript"/>
          <w:lang w:val="en-US"/>
        </w:rPr>
        <w:footnoteReference w:id="23"/>
      </w:r>
      <w:r w:rsidR="00943D4C" w:rsidRPr="00943D4C">
        <w:rPr>
          <w:rFonts w:ascii="Times New Roman" w:eastAsia="Calibri" w:hAnsi="Times New Roman" w:cs="Times New Roman"/>
          <w:lang w:val="en-US"/>
        </w:rPr>
        <w:t xml:space="preserve"> The new development in astronomy completely changed the nature of astral divination. According to Ulla Koch-Westenholz, ‘celestial phenomena could no longer be regarded as willed communications from th</w:t>
      </w:r>
      <w:r>
        <w:rPr>
          <w:rFonts w:ascii="Times New Roman" w:eastAsia="Calibri" w:hAnsi="Times New Roman" w:cs="Times New Roman"/>
          <w:lang w:val="en-US"/>
        </w:rPr>
        <w:t>e gods, and the old idea, that ‘signs’</w:t>
      </w:r>
      <w:r w:rsidR="00943D4C" w:rsidRPr="00943D4C">
        <w:rPr>
          <w:rFonts w:ascii="Times New Roman" w:eastAsia="Calibri" w:hAnsi="Times New Roman" w:cs="Times New Roman"/>
          <w:lang w:val="en-US"/>
        </w:rPr>
        <w:t xml:space="preserve"> in heaven correlate with events on Earth, was abandoned. Instead, the planets and stars came to be seen as, imparting their characteristic qualities by their sheer physical presence at decisive moments of an individual’s life, notably his birth’.</w:t>
      </w:r>
      <w:r w:rsidR="00943D4C" w:rsidRPr="00943D4C">
        <w:rPr>
          <w:rFonts w:ascii="Times New Roman" w:eastAsia="Calibri" w:hAnsi="Times New Roman" w:cs="Times New Roman"/>
          <w:vertAlign w:val="superscript"/>
          <w:lang w:val="en-US"/>
        </w:rPr>
        <w:footnoteReference w:id="24"/>
      </w:r>
      <w:r w:rsidR="00943D4C" w:rsidRPr="00943D4C">
        <w:rPr>
          <w:rFonts w:ascii="Times New Roman" w:eastAsia="Calibri" w:hAnsi="Times New Roman" w:cs="Times New Roman"/>
          <w:lang w:val="en-US"/>
        </w:rPr>
        <w:t xml:space="preserve"> </w:t>
      </w:r>
    </w:p>
    <w:p w:rsidR="00943D4C" w:rsidRPr="00943D4C" w:rsidRDefault="00943D4C" w:rsidP="00943D4C">
      <w:pPr>
        <w:spacing w:after="0"/>
        <w:rPr>
          <w:rFonts w:ascii="Times New Roman" w:eastAsia="Calibri" w:hAnsi="Times New Roman" w:cs="Times New Roman"/>
          <w:lang w:val="en-US"/>
        </w:rPr>
      </w:pPr>
    </w:p>
    <w:p w:rsidR="00943D4C" w:rsidRPr="00943D4C" w:rsidRDefault="003F3B51" w:rsidP="00943D4C">
      <w:pPr>
        <w:spacing w:after="0"/>
        <w:rPr>
          <w:rFonts w:ascii="Times New Roman" w:eastAsia="Calibri" w:hAnsi="Times New Roman" w:cs="Times New Roman"/>
          <w:lang w:val="en-US"/>
        </w:rPr>
      </w:pPr>
      <w:r>
        <w:rPr>
          <w:rFonts w:ascii="Times New Roman" w:eastAsia="Calibri" w:hAnsi="Times New Roman" w:cs="Times New Roman"/>
          <w:b/>
          <w:lang w:val="en-US"/>
        </w:rPr>
        <w:t>Hellenistic a</w:t>
      </w:r>
      <w:r w:rsidR="00943D4C" w:rsidRPr="00943D4C">
        <w:rPr>
          <w:rFonts w:ascii="Times New Roman" w:eastAsia="Calibri" w:hAnsi="Times New Roman" w:cs="Times New Roman"/>
          <w:b/>
          <w:lang w:val="en-US"/>
        </w:rPr>
        <w:t>strology</w:t>
      </w:r>
      <w:r w:rsidR="00943D4C" w:rsidRPr="00943D4C">
        <w:rPr>
          <w:rFonts w:ascii="Times New Roman" w:eastAsia="Calibri" w:hAnsi="Times New Roman" w:cs="Times New Roman"/>
          <w:lang w:val="en-US"/>
        </w:rPr>
        <w:t xml:space="preserve">     </w:t>
      </w:r>
    </w:p>
    <w:p w:rsidR="00943D4C" w:rsidRP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 xml:space="preserve">     According to Anthony Long, the dominant schools the Helleni</w:t>
      </w:r>
      <w:r w:rsidR="00215F9C">
        <w:rPr>
          <w:rFonts w:ascii="Times New Roman" w:eastAsia="Calibri" w:hAnsi="Times New Roman" w:cs="Times New Roman"/>
          <w:lang w:val="en-US"/>
        </w:rPr>
        <w:t xml:space="preserve">stic period were the Stoics, </w:t>
      </w:r>
      <w:r w:rsidRPr="00943D4C">
        <w:rPr>
          <w:rFonts w:ascii="Times New Roman" w:eastAsia="Calibri" w:hAnsi="Times New Roman" w:cs="Times New Roman"/>
          <w:lang w:val="en-US"/>
        </w:rPr>
        <w:t xml:space="preserve"> Epicureans</w:t>
      </w:r>
      <w:r w:rsidR="00215F9C">
        <w:rPr>
          <w:rFonts w:ascii="Times New Roman" w:eastAsia="Calibri" w:hAnsi="Times New Roman" w:cs="Times New Roman"/>
          <w:lang w:val="en-US"/>
        </w:rPr>
        <w:t>,</w:t>
      </w:r>
      <w:r w:rsidRPr="00943D4C">
        <w:rPr>
          <w:rFonts w:ascii="Times New Roman" w:eastAsia="Calibri" w:hAnsi="Times New Roman" w:cs="Times New Roman"/>
          <w:lang w:val="en-US"/>
        </w:rPr>
        <w:t xml:space="preserve"> and the Skeptics.</w:t>
      </w:r>
      <w:r w:rsidRPr="00943D4C">
        <w:rPr>
          <w:rFonts w:ascii="Times New Roman" w:eastAsia="Calibri" w:hAnsi="Times New Roman" w:cs="Times New Roman"/>
          <w:vertAlign w:val="superscript"/>
          <w:lang w:val="en-US"/>
        </w:rPr>
        <w:footnoteReference w:id="25"/>
      </w:r>
      <w:r w:rsidR="003E4584">
        <w:rPr>
          <w:rFonts w:ascii="Times New Roman" w:eastAsia="Calibri" w:hAnsi="Times New Roman" w:cs="Times New Roman"/>
          <w:lang w:val="en-US"/>
        </w:rPr>
        <w:t xml:space="preserve"> </w:t>
      </w:r>
      <w:r w:rsidRPr="00943D4C">
        <w:rPr>
          <w:rFonts w:ascii="Times New Roman" w:eastAsia="Calibri" w:hAnsi="Times New Roman" w:cs="Times New Roman"/>
          <w:lang w:val="en-US"/>
        </w:rPr>
        <w:t xml:space="preserve">The Hellenistic and Roman worlds received several forms of astrology </w:t>
      </w:r>
      <w:r w:rsidRPr="00943D4C">
        <w:rPr>
          <w:rFonts w:ascii="Times New Roman" w:eastAsia="Calibri" w:hAnsi="Times New Roman" w:cs="Times New Roman"/>
          <w:lang w:val="en-US"/>
        </w:rPr>
        <w:lastRenderedPageBreak/>
        <w:t>from Babylon, specifically from the royal astrologers at the</w:t>
      </w:r>
      <w:r w:rsidR="00215F9C">
        <w:rPr>
          <w:rFonts w:ascii="Times New Roman" w:eastAsia="Calibri" w:hAnsi="Times New Roman" w:cs="Times New Roman"/>
          <w:lang w:val="en-US"/>
        </w:rPr>
        <w:t xml:space="preserve"> Seleucid (312</w:t>
      </w:r>
      <w:r w:rsidRPr="00943D4C">
        <w:rPr>
          <w:rFonts w:ascii="Times New Roman" w:eastAsia="Calibri" w:hAnsi="Times New Roman" w:cs="Times New Roman"/>
          <w:lang w:val="en-US"/>
        </w:rPr>
        <w:t xml:space="preserve"> - 63 BCE) and even Parthian (247 BCE - 224 CE) courts as well as from Babylonians acting as private practitioners in Asia Minor and Egypt. The most important type of astrology was genethlialogy, or the casting of horoscopes from the ephemerides to foretell the future of a client from the positions of the planets at birth (similar to much astrolog</w:t>
      </w:r>
      <w:r w:rsidR="003E4584">
        <w:rPr>
          <w:rFonts w:ascii="Times New Roman" w:eastAsia="Calibri" w:hAnsi="Times New Roman" w:cs="Times New Roman"/>
          <w:lang w:val="en-US"/>
        </w:rPr>
        <w:t>y</w:t>
      </w:r>
      <w:r w:rsidRPr="00943D4C">
        <w:rPr>
          <w:rFonts w:ascii="Times New Roman" w:eastAsia="Calibri" w:hAnsi="Times New Roman" w:cs="Times New Roman"/>
          <w:lang w:val="en-US"/>
        </w:rPr>
        <w:t xml:space="preserve"> today). The same technique could be applied to third persons, but as Frederick H. Cramer warns, casting the horoscope of the emperor was a capital crime.</w:t>
      </w:r>
      <w:r w:rsidRPr="00943D4C">
        <w:rPr>
          <w:rFonts w:ascii="Times New Roman" w:eastAsia="Calibri" w:hAnsi="Times New Roman" w:cs="Times New Roman"/>
          <w:vertAlign w:val="superscript"/>
          <w:lang w:val="en-US"/>
        </w:rPr>
        <w:footnoteReference w:id="26"/>
      </w:r>
      <w:r w:rsidRPr="00943D4C">
        <w:rPr>
          <w:rFonts w:ascii="Times New Roman" w:eastAsia="Calibri" w:hAnsi="Times New Roman" w:cs="Times New Roman"/>
          <w:lang w:val="en-US"/>
        </w:rPr>
        <w:t xml:space="preserve"> Horoscopes could also be case for cities or nations. As Beck argues, catarchic astrology was used like older techniques of provoked divination, but with the improvement that it would not simply tell whether or not to do something, but would also provide the best time to do something to make it a success. Interrogatory astrology would make general predictions from the current positions of the planets in combination with the enquirer’s horoscope. Omen astrology, the most obviously useful way to determine weather-related actions such as planting or setting sail, persisted with little change.</w:t>
      </w:r>
      <w:r w:rsidRPr="00943D4C">
        <w:rPr>
          <w:rFonts w:ascii="Times New Roman" w:eastAsia="Calibri" w:hAnsi="Times New Roman" w:cs="Times New Roman"/>
          <w:vertAlign w:val="superscript"/>
          <w:lang w:val="en-US"/>
        </w:rPr>
        <w:footnoteReference w:id="27"/>
      </w:r>
      <w:r w:rsidRPr="00943D4C">
        <w:rPr>
          <w:rFonts w:ascii="Times New Roman" w:eastAsia="Calibri" w:hAnsi="Times New Roman" w:cs="Times New Roman"/>
          <w:lang w:val="en-US"/>
        </w:rPr>
        <w:t xml:space="preserve"> </w:t>
      </w:r>
    </w:p>
    <w:p w:rsidR="00943D4C" w:rsidRP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ab/>
        <w:t xml:space="preserve">Astronomer and astrologer were not quite interchangeable terms in Greek and Latin. A common name for what we would call an astrologer was </w:t>
      </w:r>
      <w:r w:rsidRPr="00943D4C">
        <w:rPr>
          <w:rFonts w:ascii="Times New Roman" w:eastAsia="Calibri" w:hAnsi="Times New Roman" w:cs="Times New Roman"/>
          <w:i/>
          <w:iCs/>
          <w:lang w:val="en-US"/>
        </w:rPr>
        <w:t>mathematicus</w:t>
      </w:r>
      <w:r w:rsidRPr="00943D4C">
        <w:rPr>
          <w:rFonts w:ascii="Times New Roman" w:eastAsia="Calibri" w:hAnsi="Times New Roman" w:cs="Times New Roman"/>
          <w:lang w:val="en-US"/>
        </w:rPr>
        <w:t xml:space="preserve">, because of their use of mathematical </w:t>
      </w:r>
      <w:r w:rsidRPr="00943D4C">
        <w:rPr>
          <w:rFonts w:ascii="Times New Roman" w:eastAsia="Calibri" w:hAnsi="Times New Roman" w:cs="Times New Roman"/>
          <w:i/>
          <w:iCs/>
          <w:lang w:val="en-US"/>
        </w:rPr>
        <w:t>ephemerides</w:t>
      </w:r>
      <w:r w:rsidRPr="00943D4C">
        <w:rPr>
          <w:rFonts w:ascii="Times New Roman" w:eastAsia="Calibri" w:hAnsi="Times New Roman" w:cs="Times New Roman"/>
          <w:lang w:val="en-US"/>
        </w:rPr>
        <w:t>. At the same time, as Pauline Ripat notes, drawing upon Cicero (Div. 1.132), Quintus expresses his distaste for astrologers of the circus who do not have skill or knowledge, and not astrologers in general.</w:t>
      </w:r>
      <w:r w:rsidRPr="00943D4C">
        <w:rPr>
          <w:rFonts w:ascii="Times New Roman" w:eastAsia="Calibri" w:hAnsi="Times New Roman" w:cs="Times New Roman"/>
          <w:vertAlign w:val="superscript"/>
          <w:lang w:val="en-US"/>
        </w:rPr>
        <w:footnoteReference w:id="28"/>
      </w:r>
      <w:r w:rsidRPr="00943D4C">
        <w:rPr>
          <w:rFonts w:ascii="Times New Roman" w:eastAsia="Calibri" w:hAnsi="Times New Roman" w:cs="Times New Roman"/>
          <w:lang w:val="en-US"/>
        </w:rPr>
        <w:t xml:space="preserve"> As Michael Stausberg argues, a huge body of pesuepigrapha circulated in Hellenistic and Roman culture devoted to various topics, including astrology. Any term denoting a foreign priest or an intellectual outsider such as </w:t>
      </w:r>
      <w:r w:rsidRPr="00943D4C">
        <w:rPr>
          <w:rFonts w:ascii="Times New Roman" w:eastAsia="Calibri" w:hAnsi="Times New Roman" w:cs="Times New Roman"/>
          <w:i/>
          <w:iCs/>
          <w:lang w:val="en-US"/>
        </w:rPr>
        <w:t>magos</w:t>
      </w:r>
      <w:r w:rsidRPr="00943D4C">
        <w:rPr>
          <w:rFonts w:ascii="Times New Roman" w:eastAsia="Calibri" w:hAnsi="Times New Roman" w:cs="Times New Roman"/>
          <w:lang w:val="en-US"/>
        </w:rPr>
        <w:t xml:space="preserve"> or Chaldaean could also mean astrologer. Good examples are found in the New Testament or the 10</w:t>
      </w:r>
      <w:r w:rsidRPr="00943D4C">
        <w:rPr>
          <w:rFonts w:ascii="Times New Roman" w:eastAsia="Calibri" w:hAnsi="Times New Roman" w:cs="Times New Roman"/>
          <w:vertAlign w:val="superscript"/>
          <w:lang w:val="en-US"/>
        </w:rPr>
        <w:t>th</w:t>
      </w:r>
      <w:r w:rsidRPr="00943D4C">
        <w:rPr>
          <w:rFonts w:ascii="Times New Roman" w:eastAsia="Calibri" w:hAnsi="Times New Roman" w:cs="Times New Roman"/>
          <w:lang w:val="en-US"/>
        </w:rPr>
        <w:t xml:space="preserve"> century </w:t>
      </w:r>
      <w:r w:rsidRPr="00943D4C">
        <w:rPr>
          <w:rFonts w:ascii="Times New Roman" w:eastAsia="Calibri" w:hAnsi="Times New Roman" w:cs="Times New Roman"/>
          <w:i/>
          <w:iCs/>
          <w:lang w:val="en-US"/>
        </w:rPr>
        <w:t>Geoponica</w:t>
      </w:r>
      <w:r w:rsidRPr="00943D4C">
        <w:rPr>
          <w:rFonts w:ascii="Times New Roman" w:eastAsia="Calibri" w:hAnsi="Times New Roman" w:cs="Times New Roman"/>
          <w:lang w:val="en-US"/>
        </w:rPr>
        <w:t>, a book on agriculture that attributed its astral lore Zoroaster.</w:t>
      </w:r>
      <w:r w:rsidRPr="00943D4C">
        <w:rPr>
          <w:rFonts w:ascii="Times New Roman" w:eastAsia="Calibri" w:hAnsi="Times New Roman" w:cs="Times New Roman"/>
          <w:vertAlign w:val="superscript"/>
          <w:lang w:val="en-US"/>
        </w:rPr>
        <w:footnoteReference w:id="29"/>
      </w:r>
      <w:r w:rsidRPr="00943D4C">
        <w:rPr>
          <w:rFonts w:ascii="Times New Roman" w:eastAsia="Calibri" w:hAnsi="Times New Roman" w:cs="Times New Roman"/>
          <w:lang w:val="en-US"/>
        </w:rPr>
        <w:t xml:space="preserve"> </w:t>
      </w:r>
    </w:p>
    <w:p w:rsidR="00943D4C" w:rsidRP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 xml:space="preserve">     The Greeks were aware that astronomy and astrology were not the quite same thing, and the Greek living in the Roman p</w:t>
      </w:r>
      <w:r w:rsidR="008F1353">
        <w:rPr>
          <w:rFonts w:ascii="Times New Roman" w:eastAsia="Calibri" w:hAnsi="Times New Roman" w:cs="Times New Roman"/>
          <w:lang w:val="en-US"/>
        </w:rPr>
        <w:t xml:space="preserve">eriod Claudius Ptolemy (c. 100 - </w:t>
      </w:r>
      <w:r w:rsidRPr="00943D4C">
        <w:rPr>
          <w:rFonts w:ascii="Times New Roman" w:eastAsia="Calibri" w:hAnsi="Times New Roman" w:cs="Times New Roman"/>
          <w:lang w:val="en-US"/>
        </w:rPr>
        <w:t xml:space="preserve">170 CE), wrote separate books clearly concerned with the former (the </w:t>
      </w:r>
      <w:r w:rsidRPr="00943D4C">
        <w:rPr>
          <w:rFonts w:ascii="Times New Roman" w:eastAsia="Calibri" w:hAnsi="Times New Roman" w:cs="Times New Roman"/>
          <w:i/>
          <w:iCs/>
          <w:lang w:val="en-US"/>
        </w:rPr>
        <w:t>Almagest</w:t>
      </w:r>
      <w:r w:rsidRPr="00943D4C">
        <w:rPr>
          <w:rFonts w:ascii="Times New Roman" w:eastAsia="Calibri" w:hAnsi="Times New Roman" w:cs="Times New Roman"/>
          <w:lang w:val="en-US"/>
        </w:rPr>
        <w:t xml:space="preserve">) and the latter (the </w:t>
      </w:r>
      <w:r w:rsidRPr="00943D4C">
        <w:rPr>
          <w:rFonts w:ascii="Times New Roman" w:eastAsia="Calibri" w:hAnsi="Times New Roman" w:cs="Times New Roman"/>
          <w:i/>
          <w:iCs/>
          <w:lang w:val="en-US"/>
        </w:rPr>
        <w:t>Tetrabiblos</w:t>
      </w:r>
      <w:r w:rsidRPr="00943D4C">
        <w:rPr>
          <w:rFonts w:ascii="Times New Roman" w:eastAsia="Calibri" w:hAnsi="Times New Roman" w:cs="Times New Roman"/>
          <w:lang w:val="en-US"/>
        </w:rPr>
        <w:t xml:space="preserve">). Both books are practical, and give some idea of how an astronomer understands the link between their discipline and philosophical cosmology. Ptolemy begins the </w:t>
      </w:r>
      <w:r w:rsidRPr="00943D4C">
        <w:rPr>
          <w:rFonts w:ascii="Times New Roman" w:eastAsia="Calibri" w:hAnsi="Times New Roman" w:cs="Times New Roman"/>
          <w:i/>
          <w:iCs/>
          <w:lang w:val="en-US"/>
        </w:rPr>
        <w:t>Tetrabiblos</w:t>
      </w:r>
      <w:r w:rsidRPr="00943D4C">
        <w:rPr>
          <w:rFonts w:ascii="Times New Roman" w:eastAsia="Calibri" w:hAnsi="Times New Roman" w:cs="Times New Roman"/>
          <w:lang w:val="en-US"/>
        </w:rPr>
        <w:t xml:space="preserve"> with the observation that one can accurately predict the motions of the stars. He makes the inference that the effect of the position of the stars on the lower world (the earth) is equally valid, even if it can be known less certainly.</w:t>
      </w:r>
      <w:r w:rsidRPr="00943D4C">
        <w:rPr>
          <w:rFonts w:ascii="Times New Roman" w:eastAsia="Calibri" w:hAnsi="Times New Roman" w:cs="Times New Roman"/>
          <w:vertAlign w:val="superscript"/>
          <w:lang w:val="en-US"/>
        </w:rPr>
        <w:footnoteReference w:id="30"/>
      </w:r>
      <w:r w:rsidRPr="00943D4C">
        <w:rPr>
          <w:rFonts w:ascii="Times New Roman" w:eastAsia="Calibri" w:hAnsi="Times New Roman" w:cs="Times New Roman"/>
          <w:lang w:val="en-US"/>
        </w:rPr>
        <w:t xml:space="preserve"> He gives some explanation of how these effects are propagated. He says that ‘a certain power emanating from the eternal ethereal substance is dispersed through and permeates the whole region about the earth’.</w:t>
      </w:r>
      <w:r w:rsidRPr="00943D4C">
        <w:rPr>
          <w:rFonts w:ascii="Times New Roman" w:eastAsia="Calibri" w:hAnsi="Times New Roman" w:cs="Times New Roman"/>
          <w:vertAlign w:val="superscript"/>
          <w:lang w:val="en-US"/>
        </w:rPr>
        <w:footnoteReference w:id="31"/>
      </w:r>
      <w:r w:rsidRPr="00943D4C">
        <w:rPr>
          <w:rFonts w:ascii="Times New Roman" w:eastAsia="Calibri" w:hAnsi="Times New Roman" w:cs="Times New Roman"/>
          <w:lang w:val="en-US"/>
        </w:rPr>
        <w:t xml:space="preserve"> The ether is a fifth element which is superior to the four elements that make up the natural world familiar to humans (fire, air, water, and earth) and controls the motions and transformations of those elements on earth. Ptolemy holds that the sun causes events like the change of the seasons as well as things that happen in a seasonal pattern, such as the flowering of plants. Similarly, the moon’s ether causes the tides. Claire Hall argues that Ptolemy, unlike authors such as Cicero, considered astrology very much predictive of weather as well.</w:t>
      </w:r>
      <w:r w:rsidRPr="00943D4C">
        <w:rPr>
          <w:rFonts w:ascii="Times New Roman" w:eastAsia="Calibri" w:hAnsi="Times New Roman" w:cs="Times New Roman"/>
          <w:vertAlign w:val="superscript"/>
          <w:lang w:val="en-US"/>
        </w:rPr>
        <w:footnoteReference w:id="32"/>
      </w:r>
    </w:p>
    <w:p w:rsidR="00943D4C" w:rsidRP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 xml:space="preserve">     According to Ptolemy since the planets cause these things, it is perfectly reasonable to assume that they are responsible for the more general causation that is illustrated through astrology. Since each </w:t>
      </w:r>
      <w:r w:rsidRPr="00943D4C">
        <w:rPr>
          <w:rFonts w:ascii="Times New Roman" w:eastAsia="Calibri" w:hAnsi="Times New Roman" w:cs="Times New Roman"/>
          <w:lang w:val="en-US"/>
        </w:rPr>
        <w:lastRenderedPageBreak/>
        <w:t xml:space="preserve">planet governs a different category of existence, the full range of causation can only be determined from their relative position. Ptolemy fully integrates astrology into an Aristotelian cosmology in which the heavenly bodies exist in a system of spheres around the earth and causation falls downward from the gods in the sky into the world below. The same forces that cause the seasons and the tides cause other events and conditions on earth such as the characters of human beings. This force causes plants to bud in the spring, but it does not cause every single bud on every plant, this would be too complicated to predict and hence would be useless to try to explain; it is only the general disposition to grow </w:t>
      </w:r>
      <w:r w:rsidR="007E570D">
        <w:rPr>
          <w:rFonts w:ascii="Times New Roman" w:eastAsia="Calibri" w:hAnsi="Times New Roman" w:cs="Times New Roman"/>
          <w:lang w:val="en-US"/>
        </w:rPr>
        <w:t xml:space="preserve">interacting with </w:t>
      </w:r>
      <w:r w:rsidRPr="00943D4C">
        <w:rPr>
          <w:rFonts w:ascii="Times New Roman" w:eastAsia="Calibri" w:hAnsi="Times New Roman" w:cs="Times New Roman"/>
          <w:lang w:val="en-US"/>
        </w:rPr>
        <w:t>local conditions</w:t>
      </w:r>
      <w:r w:rsidR="007E570D">
        <w:rPr>
          <w:rFonts w:ascii="Times New Roman" w:eastAsia="Calibri" w:hAnsi="Times New Roman" w:cs="Times New Roman"/>
          <w:lang w:val="en-US"/>
        </w:rPr>
        <w:t xml:space="preserve"> to </w:t>
      </w:r>
      <w:r w:rsidRPr="00943D4C">
        <w:rPr>
          <w:rFonts w:ascii="Times New Roman" w:eastAsia="Calibri" w:hAnsi="Times New Roman" w:cs="Times New Roman"/>
          <w:lang w:val="en-US"/>
        </w:rPr>
        <w:t>cause random events, ‘every science that deals with the quality of its subject-matter is conjectural and not to be absolutely affirmed, particularly one which is composed of many unlike elements…predictions sometimes fail, because of the disparity of the examples on which they are based’.</w:t>
      </w:r>
      <w:r w:rsidRPr="00943D4C">
        <w:rPr>
          <w:rFonts w:ascii="Times New Roman" w:eastAsia="Calibri" w:hAnsi="Times New Roman" w:cs="Times New Roman"/>
          <w:vertAlign w:val="superscript"/>
          <w:lang w:val="en-US"/>
        </w:rPr>
        <w:footnoteReference w:id="33"/>
      </w:r>
      <w:r w:rsidR="007E570D">
        <w:rPr>
          <w:rFonts w:ascii="Times New Roman" w:eastAsia="Calibri" w:hAnsi="Times New Roman" w:cs="Times New Roman"/>
          <w:lang w:val="en-US"/>
        </w:rPr>
        <w:t xml:space="preserve"> </w:t>
      </w:r>
      <w:r w:rsidR="007E570D" w:rsidRPr="007E570D">
        <w:rPr>
          <w:rFonts w:ascii="Times New Roman" w:eastAsia="Calibri" w:hAnsi="Times New Roman" w:cs="Times New Roman"/>
          <w:lang w:val="en-US"/>
        </w:rPr>
        <w:t xml:space="preserve">Ptolemy </w:t>
      </w:r>
      <w:r w:rsidR="007E570D">
        <w:rPr>
          <w:rFonts w:ascii="Times New Roman" w:eastAsia="Calibri" w:hAnsi="Times New Roman" w:cs="Times New Roman"/>
          <w:lang w:val="en-US"/>
        </w:rPr>
        <w:t>s</w:t>
      </w:r>
      <w:r w:rsidRPr="00943D4C">
        <w:rPr>
          <w:rFonts w:ascii="Times New Roman" w:eastAsia="Calibri" w:hAnsi="Times New Roman" w:cs="Times New Roman"/>
          <w:lang w:val="en-US"/>
        </w:rPr>
        <w:t>pecifically</w:t>
      </w:r>
      <w:r w:rsidR="007E570D">
        <w:rPr>
          <w:rFonts w:ascii="Times New Roman" w:eastAsia="Calibri" w:hAnsi="Times New Roman" w:cs="Times New Roman"/>
          <w:lang w:val="en-US"/>
        </w:rPr>
        <w:t xml:space="preserve"> states</w:t>
      </w:r>
      <w:r w:rsidRPr="00943D4C">
        <w:rPr>
          <w:rFonts w:ascii="Times New Roman" w:eastAsia="Calibri" w:hAnsi="Times New Roman" w:cs="Times New Roman"/>
          <w:lang w:val="en-US"/>
        </w:rPr>
        <w:t>, ‘concerning nativities and individual temperaments in general, one can see that there are circumstances of no small importance… which join to cause the special qualities of those who are born’.</w:t>
      </w:r>
      <w:r w:rsidRPr="00943D4C">
        <w:rPr>
          <w:rFonts w:ascii="Times New Roman" w:eastAsia="Calibri" w:hAnsi="Times New Roman" w:cs="Times New Roman"/>
          <w:vertAlign w:val="superscript"/>
          <w:lang w:val="en-US"/>
        </w:rPr>
        <w:footnoteReference w:id="34"/>
      </w:r>
      <w:r w:rsidR="007E570D">
        <w:rPr>
          <w:rFonts w:ascii="Times New Roman" w:eastAsia="Calibri" w:hAnsi="Times New Roman" w:cs="Times New Roman"/>
          <w:lang w:val="en-US"/>
        </w:rPr>
        <w:t xml:space="preserve"> There is no exact correlation between the earth and sky. </w:t>
      </w:r>
    </w:p>
    <w:p w:rsidR="00943D4C" w:rsidRDefault="00943D4C" w:rsidP="00943D4C">
      <w:pPr>
        <w:spacing w:after="0"/>
        <w:ind w:firstLine="720"/>
        <w:rPr>
          <w:rFonts w:ascii="Times New Roman" w:eastAsia="Calibri" w:hAnsi="Times New Roman" w:cs="Times New Roman"/>
          <w:lang w:val="en-US"/>
        </w:rPr>
      </w:pPr>
      <w:r w:rsidRPr="00943D4C">
        <w:rPr>
          <w:rFonts w:ascii="Times New Roman" w:eastAsia="Calibri" w:hAnsi="Times New Roman" w:cs="Times New Roman"/>
          <w:lang w:val="en-US"/>
        </w:rPr>
        <w:t>While Ptolemy integrated astrology into the cosmological system, other philosophers expand</w:t>
      </w:r>
      <w:r w:rsidR="007E570D">
        <w:rPr>
          <w:rFonts w:ascii="Times New Roman" w:eastAsia="Calibri" w:hAnsi="Times New Roman" w:cs="Times New Roman"/>
          <w:lang w:val="en-US"/>
        </w:rPr>
        <w:t>ed on the subject</w:t>
      </w:r>
      <w:r w:rsidRPr="00943D4C">
        <w:rPr>
          <w:rFonts w:ascii="Times New Roman" w:eastAsia="Calibri" w:hAnsi="Times New Roman" w:cs="Times New Roman"/>
          <w:lang w:val="en-US"/>
        </w:rPr>
        <w:t xml:space="preserve">. An early author like </w:t>
      </w:r>
      <w:r w:rsidR="007E570D">
        <w:rPr>
          <w:rFonts w:ascii="Times New Roman" w:eastAsia="Calibri" w:hAnsi="Times New Roman" w:cs="Times New Roman"/>
          <w:lang w:val="en-US"/>
        </w:rPr>
        <w:t>Plato says about it</w:t>
      </w:r>
      <w:r w:rsidRPr="00943D4C">
        <w:rPr>
          <w:rFonts w:ascii="Times New Roman" w:eastAsia="Calibri" w:hAnsi="Times New Roman" w:cs="Times New Roman"/>
          <w:lang w:val="en-US"/>
        </w:rPr>
        <w:t>, but astrology was extremely important for Stoicism. There was a variety of opinions on the matter. Some Stoics may have rejected the efficacy of astrology, but what might be taken as the standard Stoic view, and one which may have originated with Posidonius (c. 135 - 51 BCE), is summarized by the Christian philosophical encyclopedist Nemesius (fl. c. CE 390),</w:t>
      </w:r>
    </w:p>
    <w:p w:rsidR="007B0671" w:rsidRPr="00943D4C" w:rsidRDefault="007B0671" w:rsidP="00943D4C">
      <w:pPr>
        <w:spacing w:after="0"/>
        <w:ind w:firstLine="720"/>
        <w:rPr>
          <w:rFonts w:ascii="Times New Roman" w:eastAsia="Calibri" w:hAnsi="Times New Roman" w:cs="Times New Roman"/>
          <w:lang w:val="en-US"/>
        </w:rPr>
      </w:pP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The Stoics say that the planets are established again into the same</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sign according to magnitude and longitude in which each was in the</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beginning when the universe first was formed, and at set revolutions of time</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they bring about the conflagration and destruction of what exists and again</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establish the universe anew in the same state, and, as the stars travel once</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again in the same way, each of the things that came to be in the previous</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cycle is brought to be unchanged. For Socrates and Plato will exist</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again, and each person with the same friends and fellow-citizens, and they</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will have the same experiences, meet with the same events and undertake</w:t>
      </w:r>
    </w:p>
    <w:p w:rsidR="00943D4C" w:rsidRPr="00943D4C" w:rsidRDefault="00943D4C" w:rsidP="007B0671">
      <w:pPr>
        <w:spacing w:after="0" w:line="240" w:lineRule="auto"/>
        <w:ind w:left="720" w:right="720"/>
        <w:rPr>
          <w:rFonts w:ascii="Times New Roman" w:eastAsia="Calibri" w:hAnsi="Times New Roman" w:cs="Times New Roman"/>
          <w:lang w:val="en-US"/>
        </w:rPr>
      </w:pPr>
      <w:r w:rsidRPr="00943D4C">
        <w:rPr>
          <w:rFonts w:ascii="Times New Roman" w:eastAsia="Calibri" w:hAnsi="Times New Roman" w:cs="Times New Roman"/>
          <w:lang w:val="en-US"/>
        </w:rPr>
        <w:t>the same activities...</w:t>
      </w:r>
      <w:r w:rsidRPr="00943D4C">
        <w:rPr>
          <w:rFonts w:ascii="Times New Roman" w:eastAsia="Calibri" w:hAnsi="Times New Roman" w:cs="Times New Roman"/>
          <w:vertAlign w:val="superscript"/>
          <w:lang w:val="en-US"/>
        </w:rPr>
        <w:footnoteReference w:id="35"/>
      </w:r>
    </w:p>
    <w:p w:rsidR="00943D4C" w:rsidRPr="00943D4C" w:rsidRDefault="00943D4C" w:rsidP="00943D4C">
      <w:pPr>
        <w:spacing w:after="0"/>
        <w:ind w:left="720" w:right="720"/>
        <w:rPr>
          <w:rFonts w:ascii="Times New Roman" w:eastAsia="Calibri" w:hAnsi="Times New Roman" w:cs="Times New Roman"/>
          <w:lang w:val="en-US"/>
        </w:rPr>
      </w:pPr>
    </w:p>
    <w:p w:rsidR="00943D4C" w:rsidRPr="00943D4C" w:rsidRDefault="00943D4C" w:rsidP="00943D4C">
      <w:pPr>
        <w:spacing w:after="0"/>
        <w:rPr>
          <w:rFonts w:ascii="Times New Roman" w:eastAsia="Calibri" w:hAnsi="Times New Roman" w:cs="Times New Roman"/>
          <w:lang w:val="en-US"/>
        </w:rPr>
      </w:pPr>
      <w:r w:rsidRPr="00943D4C">
        <w:rPr>
          <w:rFonts w:ascii="Times New Roman" w:eastAsia="Calibri" w:hAnsi="Times New Roman" w:cs="Times New Roman"/>
          <w:lang w:val="en-US"/>
        </w:rPr>
        <w:t xml:space="preserve">     The image was so ubiquitous it was incorporated into the poetry of Vergil (70-19 BCE), ‘A second Tiphys will then arise, and a second Argo to carry chosen heroes; a second war will be fought, and great Achilles be sent again to Troy’.</w:t>
      </w:r>
      <w:r w:rsidRPr="00943D4C">
        <w:rPr>
          <w:rFonts w:ascii="Times New Roman" w:eastAsia="Calibri" w:hAnsi="Times New Roman" w:cs="Times New Roman"/>
          <w:vertAlign w:val="superscript"/>
          <w:lang w:val="en-US"/>
        </w:rPr>
        <w:footnoteReference w:id="36"/>
      </w:r>
      <w:r w:rsidRPr="00943D4C">
        <w:rPr>
          <w:rFonts w:ascii="Times New Roman" w:eastAsia="Calibri" w:hAnsi="Times New Roman" w:cs="Times New Roman"/>
          <w:lang w:val="en-US"/>
        </w:rPr>
        <w:t xml:space="preserve"> It is doubtful that Vergil actually believed that a messianic figure would actually arise in the future, but it was an arresting literary device. As John Sellars suggests, while many modern scholars might hold that the Stoics were more concerned with the existence of material things, there was a complex interplay of ideas and it might be difficult to draw a bright line between Stoics and Platonists.</w:t>
      </w:r>
      <w:r w:rsidRPr="00943D4C">
        <w:rPr>
          <w:rFonts w:ascii="Times New Roman" w:eastAsia="Calibri" w:hAnsi="Times New Roman" w:cs="Times New Roman"/>
          <w:vertAlign w:val="superscript"/>
          <w:lang w:val="en-US"/>
        </w:rPr>
        <w:footnoteReference w:id="37"/>
      </w:r>
      <w:r w:rsidRPr="00943D4C">
        <w:rPr>
          <w:rFonts w:ascii="Times New Roman" w:eastAsia="Calibri" w:hAnsi="Times New Roman" w:cs="Times New Roman"/>
          <w:lang w:val="en-US"/>
        </w:rPr>
        <w:t xml:space="preserve"> The idea is that the position and movement of the stars have absolute causative effect over events on earth and as the planets move like clockwork back to their original positions, the same precise events will play out in the same order. Some Greek philosophers were fascinated with perceiving time as a cycle and the idea goes back at least to </w:t>
      </w:r>
      <w:r w:rsidRPr="00943D4C">
        <w:rPr>
          <w:rFonts w:ascii="Times New Roman" w:eastAsia="Calibri" w:hAnsi="Times New Roman" w:cs="Times New Roman"/>
          <w:lang w:val="en-US"/>
        </w:rPr>
        <w:lastRenderedPageBreak/>
        <w:t>Empedocles (c. 494 - 434 BCE). George E. Karamanolis suggests this is the most extreme form of astrological causation, allo</w:t>
      </w:r>
      <w:r w:rsidR="007E570D">
        <w:rPr>
          <w:rFonts w:ascii="Times New Roman" w:eastAsia="Calibri" w:hAnsi="Times New Roman" w:cs="Times New Roman"/>
          <w:lang w:val="en-US"/>
        </w:rPr>
        <w:t xml:space="preserve">wing no </w:t>
      </w:r>
      <w:r w:rsidRPr="00943D4C">
        <w:rPr>
          <w:rFonts w:ascii="Times New Roman" w:eastAsia="Calibri" w:hAnsi="Times New Roman" w:cs="Times New Roman"/>
          <w:lang w:val="en-US"/>
        </w:rPr>
        <w:t>free will.</w:t>
      </w:r>
      <w:r w:rsidRPr="00943D4C">
        <w:rPr>
          <w:rFonts w:ascii="Times New Roman" w:eastAsia="Calibri" w:hAnsi="Times New Roman" w:cs="Times New Roman"/>
          <w:vertAlign w:val="superscript"/>
          <w:lang w:val="en-US"/>
        </w:rPr>
        <w:footnoteReference w:id="38"/>
      </w:r>
    </w:p>
    <w:p w:rsidR="00943D4C" w:rsidRPr="00943D4C" w:rsidRDefault="00943D4C" w:rsidP="00943D4C">
      <w:pPr>
        <w:spacing w:after="0"/>
        <w:ind w:firstLine="720"/>
        <w:rPr>
          <w:rFonts w:ascii="Times New Roman" w:eastAsia="Calibri" w:hAnsi="Times New Roman" w:cs="Times New Roman"/>
          <w:lang w:val="en-US"/>
        </w:rPr>
      </w:pPr>
      <w:r w:rsidRPr="00943D4C">
        <w:rPr>
          <w:rFonts w:ascii="Times New Roman" w:eastAsia="Calibri" w:hAnsi="Times New Roman" w:cs="Times New Roman"/>
          <w:lang w:val="en-US"/>
        </w:rPr>
        <w:t>Plotinus (c. 204/5 - 270 CE), a Hellenistic Platonist (often credited as the founder of Neoplatonism) born and raised in Roman Egypt, gives the most thorough discussion of astrology of any philosopher. Peter Adamson argues Plotinus challenged strictly casual astrology where specific configurations led to certain outcomes. At the same time Plotinus did leave some scope for heavenly bodies influencing life cycles.</w:t>
      </w:r>
      <w:r w:rsidRPr="00943D4C">
        <w:rPr>
          <w:rFonts w:ascii="Times New Roman" w:eastAsia="Calibri" w:hAnsi="Times New Roman" w:cs="Times New Roman"/>
          <w:vertAlign w:val="superscript"/>
          <w:lang w:val="en-US"/>
        </w:rPr>
        <w:footnoteReference w:id="39"/>
      </w:r>
    </w:p>
    <w:p w:rsidR="00943D4C" w:rsidRPr="00943D4C" w:rsidRDefault="00943D4C" w:rsidP="007B0671">
      <w:pPr>
        <w:spacing w:after="0"/>
        <w:ind w:firstLine="720"/>
        <w:rPr>
          <w:rFonts w:ascii="Times New Roman" w:eastAsia="Calibri" w:hAnsi="Times New Roman" w:cs="Times New Roman"/>
          <w:lang w:val="en-US"/>
        </w:rPr>
      </w:pPr>
      <w:r w:rsidRPr="00943D4C">
        <w:rPr>
          <w:rFonts w:ascii="Times New Roman" w:eastAsia="Calibri" w:hAnsi="Times New Roman" w:cs="Times New Roman"/>
          <w:lang w:val="en-US"/>
        </w:rPr>
        <w:t>In his treatise, Whether the Stars are Causes,</w:t>
      </w:r>
      <w:r w:rsidRPr="00943D4C">
        <w:rPr>
          <w:rFonts w:ascii="Times New Roman" w:eastAsia="Calibri" w:hAnsi="Times New Roman" w:cs="Times New Roman"/>
          <w:vertAlign w:val="superscript"/>
          <w:lang w:val="en-US"/>
        </w:rPr>
        <w:footnoteReference w:id="40"/>
      </w:r>
      <w:r w:rsidRPr="00943D4C">
        <w:rPr>
          <w:rFonts w:ascii="Times New Roman" w:eastAsia="Calibri" w:hAnsi="Times New Roman" w:cs="Times New Roman"/>
          <w:lang w:val="en-US"/>
        </w:rPr>
        <w:t xml:space="preserve"> which was compiled by his student Porph</w:t>
      </w:r>
      <w:r w:rsidR="007E570D">
        <w:rPr>
          <w:rFonts w:ascii="Times New Roman" w:eastAsia="Calibri" w:hAnsi="Times New Roman" w:cs="Times New Roman"/>
          <w:lang w:val="en-US"/>
        </w:rPr>
        <w:t>yry of Tyre (c. 234 - 305 CE) Plotinus</w:t>
      </w:r>
      <w:r w:rsidRPr="00943D4C">
        <w:rPr>
          <w:rFonts w:ascii="Times New Roman" w:eastAsia="Calibri" w:hAnsi="Times New Roman" w:cs="Times New Roman"/>
          <w:lang w:val="en-US"/>
        </w:rPr>
        <w:t xml:space="preserve"> argues in a way that allows the stars to play a role in causation while preserving human free will. As James Wilberding argues, many passages in his short treatise</w:t>
      </w:r>
      <w:r w:rsidR="00546D87">
        <w:rPr>
          <w:rFonts w:ascii="Times New Roman" w:eastAsia="Calibri" w:hAnsi="Times New Roman" w:cs="Times New Roman"/>
          <w:lang w:val="en-US"/>
        </w:rPr>
        <w:t>, like the following one,</w:t>
      </w:r>
      <w:r w:rsidRPr="00943D4C">
        <w:rPr>
          <w:rFonts w:ascii="Times New Roman" w:eastAsia="Calibri" w:hAnsi="Times New Roman" w:cs="Times New Roman"/>
          <w:lang w:val="en-US"/>
        </w:rPr>
        <w:t xml:space="preserve"> require background to understand,</w:t>
      </w:r>
      <w:r w:rsidR="00DE69E0">
        <w:rPr>
          <w:rFonts w:ascii="Times New Roman" w:eastAsia="Calibri" w:hAnsi="Times New Roman" w:cs="Times New Roman"/>
          <w:lang w:val="en-US"/>
        </w:rPr>
        <w:t xml:space="preserve"> </w:t>
      </w:r>
      <w:r w:rsidRPr="00943D4C">
        <w:rPr>
          <w:rFonts w:ascii="Times New Roman" w:eastAsia="Calibri" w:hAnsi="Times New Roman" w:cs="Times New Roman"/>
          <w:lang w:val="en-US"/>
        </w:rPr>
        <w:t>‘the revolution of the stars signifies the future for each thing, but without causing everything to happen, as the masses suppose’.</w:t>
      </w:r>
      <w:r w:rsidRPr="00943D4C">
        <w:rPr>
          <w:rFonts w:ascii="Times New Roman" w:eastAsia="Calibri" w:hAnsi="Times New Roman" w:cs="Times New Roman"/>
          <w:vertAlign w:val="superscript"/>
          <w:lang w:val="en-US"/>
        </w:rPr>
        <w:footnoteReference w:id="41"/>
      </w:r>
      <w:r w:rsidRPr="00943D4C">
        <w:rPr>
          <w:rFonts w:ascii="Times New Roman" w:eastAsia="Calibri" w:hAnsi="Times New Roman" w:cs="Times New Roman"/>
          <w:lang w:val="en-US"/>
        </w:rPr>
        <w:t xml:space="preserve"> This statement suggests the stars do not</w:t>
      </w:r>
      <w:r w:rsidR="00546D87">
        <w:rPr>
          <w:rFonts w:ascii="Times New Roman" w:eastAsia="Calibri" w:hAnsi="Times New Roman" w:cs="Times New Roman"/>
          <w:lang w:val="en-US"/>
        </w:rPr>
        <w:t xml:space="preserve"> control everything, and have no emotion,</w:t>
      </w:r>
      <w:r w:rsidR="007E570D">
        <w:rPr>
          <w:rFonts w:ascii="Times New Roman" w:eastAsia="Calibri" w:hAnsi="Times New Roman" w:cs="Times New Roman"/>
          <w:lang w:val="en-US"/>
        </w:rPr>
        <w:t>as many</w:t>
      </w:r>
      <w:r w:rsidR="00546D87">
        <w:rPr>
          <w:rFonts w:ascii="Times New Roman" w:eastAsia="Calibri" w:hAnsi="Times New Roman" w:cs="Times New Roman"/>
          <w:lang w:val="en-US"/>
        </w:rPr>
        <w:t xml:space="preserve"> astrologers believed</w:t>
      </w:r>
      <w:r w:rsidRPr="00943D4C">
        <w:rPr>
          <w:rFonts w:ascii="Times New Roman" w:eastAsia="Calibri" w:hAnsi="Times New Roman" w:cs="Times New Roman"/>
          <w:lang w:val="en-US"/>
        </w:rPr>
        <w:t>.</w:t>
      </w:r>
      <w:r w:rsidRPr="00943D4C">
        <w:rPr>
          <w:rFonts w:ascii="Times New Roman" w:eastAsia="Calibri" w:hAnsi="Times New Roman" w:cs="Times New Roman"/>
          <w:vertAlign w:val="superscript"/>
          <w:lang w:val="en-US"/>
        </w:rPr>
        <w:footnoteReference w:id="42"/>
      </w:r>
      <w:r w:rsidRPr="00943D4C">
        <w:rPr>
          <w:rFonts w:ascii="Times New Roman" w:eastAsia="Calibri" w:hAnsi="Times New Roman" w:cs="Times New Roman"/>
          <w:lang w:val="en-US"/>
        </w:rPr>
        <w:t xml:space="preserve"> Rather than being causes themselves, they are subject to the same causes that ultimately cause events on </w:t>
      </w:r>
      <w:r w:rsidR="00546D87">
        <w:rPr>
          <w:rFonts w:ascii="Times New Roman" w:eastAsia="Calibri" w:hAnsi="Times New Roman" w:cs="Times New Roman"/>
          <w:lang w:val="en-US"/>
        </w:rPr>
        <w:t>earth</w:t>
      </w:r>
      <w:r w:rsidRPr="00943D4C">
        <w:rPr>
          <w:rFonts w:ascii="Times New Roman" w:eastAsia="Calibri" w:hAnsi="Times New Roman" w:cs="Times New Roman"/>
          <w:lang w:val="en-US"/>
        </w:rPr>
        <w:t>.</w:t>
      </w:r>
      <w:r w:rsidR="00546D87">
        <w:rPr>
          <w:rFonts w:ascii="Times New Roman" w:eastAsia="Calibri" w:hAnsi="Times New Roman" w:cs="Times New Roman"/>
          <w:lang w:val="en-US"/>
        </w:rPr>
        <w:t xml:space="preserve"> Plotinus states that b</w:t>
      </w:r>
      <w:r w:rsidRPr="00943D4C">
        <w:rPr>
          <w:rFonts w:ascii="Times New Roman" w:eastAsia="Calibri" w:hAnsi="Times New Roman" w:cs="Times New Roman"/>
          <w:lang w:val="en-US"/>
        </w:rPr>
        <w:t>eing able to read the future in the stars is, ‘just as from a single principle in a single living being one might understand one part from another part’.</w:t>
      </w:r>
      <w:r w:rsidRPr="00943D4C">
        <w:rPr>
          <w:rFonts w:ascii="Times New Roman" w:eastAsia="Calibri" w:hAnsi="Times New Roman" w:cs="Times New Roman"/>
          <w:vertAlign w:val="superscript"/>
          <w:lang w:val="en-US"/>
        </w:rPr>
        <w:footnoteReference w:id="43"/>
      </w:r>
      <w:r w:rsidRPr="00943D4C">
        <w:rPr>
          <w:rFonts w:ascii="Times New Roman" w:eastAsia="Calibri" w:hAnsi="Times New Roman" w:cs="Times New Roman"/>
          <w:lang w:val="en-US"/>
        </w:rPr>
        <w:t xml:space="preserve"> </w:t>
      </w:r>
    </w:p>
    <w:p w:rsidR="00943D4C" w:rsidRPr="00943D4C" w:rsidRDefault="00943D4C" w:rsidP="00943D4C">
      <w:pPr>
        <w:spacing w:after="0"/>
        <w:ind w:firstLine="720"/>
        <w:rPr>
          <w:rFonts w:ascii="Times New Roman" w:eastAsia="Calibri" w:hAnsi="Times New Roman" w:cs="Times New Roman"/>
          <w:lang w:val="en-US"/>
        </w:rPr>
      </w:pPr>
      <w:r w:rsidRPr="00943D4C">
        <w:rPr>
          <w:rFonts w:ascii="Times New Roman" w:eastAsia="Calibri" w:hAnsi="Times New Roman" w:cs="Times New Roman"/>
          <w:lang w:val="en-US"/>
        </w:rPr>
        <w:t>It is the same as being able to discern a person’s emotional state by looking into their eyes. Human beings and stars are part of the same single body, the universe, so what affects one affects the other, ‘Everything is full of signs’.</w:t>
      </w:r>
      <w:r w:rsidRPr="00943D4C">
        <w:rPr>
          <w:rFonts w:ascii="Times New Roman" w:eastAsia="Calibri" w:hAnsi="Times New Roman" w:cs="Times New Roman"/>
          <w:vertAlign w:val="superscript"/>
          <w:lang w:val="en-US"/>
        </w:rPr>
        <w:footnoteReference w:id="44"/>
      </w:r>
      <w:r w:rsidRPr="00943D4C">
        <w:rPr>
          <w:rFonts w:ascii="Times New Roman" w:eastAsia="Calibri" w:hAnsi="Times New Roman" w:cs="Times New Roman"/>
          <w:lang w:val="en-US"/>
        </w:rPr>
        <w:t xml:space="preserve"> Since the universe has a single body, it has a single soul, the so-called world soul. The soul is the cause of motion, which, though it does not push on objects like wind, acts at a higher level of organization and lower entities, even corporeal ones like human beings, obey its commands to the extent they are able. When the stars carry out the commands of the soul, they become signs to less able human beings who must obey the same commands.</w:t>
      </w:r>
      <w:r w:rsidRPr="00943D4C">
        <w:rPr>
          <w:rFonts w:ascii="Times New Roman" w:eastAsia="Calibri" w:hAnsi="Times New Roman" w:cs="Times New Roman"/>
          <w:vertAlign w:val="superscript"/>
          <w:lang w:val="en-US"/>
        </w:rPr>
        <w:footnoteReference w:id="45"/>
      </w:r>
      <w:r w:rsidRPr="00943D4C">
        <w:rPr>
          <w:rFonts w:ascii="Times New Roman" w:eastAsia="Calibri" w:hAnsi="Times New Roman" w:cs="Times New Roman"/>
          <w:lang w:val="en-US"/>
        </w:rPr>
        <w:t xml:space="preserve"> Plotinus recalls that in the Myth of </w:t>
      </w:r>
      <w:r w:rsidRPr="00DE69E0">
        <w:rPr>
          <w:rFonts w:ascii="Times New Roman" w:eastAsia="Calibri" w:hAnsi="Times New Roman" w:cs="Times New Roman"/>
          <w:i/>
          <w:lang w:val="en-US"/>
        </w:rPr>
        <w:t xml:space="preserve">Er </w:t>
      </w:r>
      <w:r w:rsidRPr="00943D4C">
        <w:rPr>
          <w:rFonts w:ascii="Times New Roman" w:eastAsia="Calibri" w:hAnsi="Times New Roman" w:cs="Times New Roman"/>
          <w:lang w:val="en-US"/>
        </w:rPr>
        <w:t xml:space="preserve">in book 10 of the </w:t>
      </w:r>
      <w:r w:rsidRPr="00943D4C">
        <w:rPr>
          <w:rFonts w:ascii="Times New Roman" w:eastAsia="Calibri" w:hAnsi="Times New Roman" w:cs="Times New Roman"/>
          <w:i/>
          <w:iCs/>
          <w:lang w:val="en-US"/>
        </w:rPr>
        <w:t>Republic</w:t>
      </w:r>
      <w:r w:rsidRPr="00943D4C">
        <w:rPr>
          <w:rFonts w:ascii="Times New Roman" w:eastAsia="Calibri" w:hAnsi="Times New Roman" w:cs="Times New Roman"/>
          <w:lang w:val="en-US"/>
        </w:rPr>
        <w:t xml:space="preserve">, Plato described the circular motion of the heavens as the whirling of the Fate’s spindle producing human destiny. Since, following the orders of the demiurge as described in one of Plato’s dialogs, the </w:t>
      </w:r>
      <w:r w:rsidRPr="00943D4C">
        <w:rPr>
          <w:rFonts w:ascii="Times New Roman" w:eastAsia="Calibri" w:hAnsi="Times New Roman" w:cs="Times New Roman"/>
          <w:i/>
          <w:iCs/>
          <w:lang w:val="en-US"/>
        </w:rPr>
        <w:t>Timaeus</w:t>
      </w:r>
      <w:r w:rsidRPr="00943D4C">
        <w:rPr>
          <w:rFonts w:ascii="Times New Roman" w:eastAsia="Calibri" w:hAnsi="Times New Roman" w:cs="Times New Roman"/>
          <w:lang w:val="en-US"/>
        </w:rPr>
        <w:t>,</w:t>
      </w:r>
      <w:r w:rsidRPr="00943D4C">
        <w:rPr>
          <w:rFonts w:ascii="Times New Roman" w:eastAsia="Calibri" w:hAnsi="Times New Roman" w:cs="Times New Roman"/>
          <w:vertAlign w:val="superscript"/>
          <w:lang w:val="en-US"/>
        </w:rPr>
        <w:footnoteReference w:id="46"/>
      </w:r>
      <w:r w:rsidRPr="00943D4C">
        <w:rPr>
          <w:rFonts w:ascii="Times New Roman" w:eastAsia="Calibri" w:hAnsi="Times New Roman" w:cs="Times New Roman"/>
          <w:lang w:val="en-US"/>
        </w:rPr>
        <w:t xml:space="preserve"> the stars are the entities that place souls in human beings, the various passions that affect the lower soul (anger, desire, etc.) are accurately signaled by the stars. Plotinus asks what is left for us to be if all this is controlled by</w:t>
      </w:r>
      <w:r w:rsidR="00DE69E0">
        <w:rPr>
          <w:rFonts w:ascii="Times New Roman" w:eastAsia="Calibri" w:hAnsi="Times New Roman" w:cs="Times New Roman"/>
          <w:lang w:val="en-US"/>
        </w:rPr>
        <w:t xml:space="preserve"> an outside force? He answers, ‘</w:t>
      </w:r>
      <w:r w:rsidRPr="00943D4C">
        <w:rPr>
          <w:rFonts w:ascii="Times New Roman" w:eastAsia="Calibri" w:hAnsi="Times New Roman" w:cs="Times New Roman"/>
          <w:lang w:val="en-US"/>
        </w:rPr>
        <w:t>In fact, ‘we’ are what we truly are, the ones to whom nature provided the possibili</w:t>
      </w:r>
      <w:r w:rsidR="00DE69E0">
        <w:rPr>
          <w:rFonts w:ascii="Times New Roman" w:eastAsia="Calibri" w:hAnsi="Times New Roman" w:cs="Times New Roman"/>
          <w:lang w:val="en-US"/>
        </w:rPr>
        <w:t>ty of ruling over our passions.’</w:t>
      </w:r>
      <w:r w:rsidRPr="00943D4C">
        <w:rPr>
          <w:rFonts w:ascii="Times New Roman" w:eastAsia="Calibri" w:hAnsi="Times New Roman" w:cs="Times New Roman"/>
          <w:vertAlign w:val="superscript"/>
          <w:lang w:val="en-US"/>
        </w:rPr>
        <w:footnoteReference w:id="47"/>
      </w:r>
      <w:r w:rsidRPr="00943D4C">
        <w:rPr>
          <w:rFonts w:ascii="Times New Roman" w:eastAsia="Calibri" w:hAnsi="Times New Roman" w:cs="Times New Roman"/>
          <w:lang w:val="en-US"/>
        </w:rPr>
        <w:t xml:space="preserve"> The true part of the human being is what decides to resist or yield to the temptations imparted by astrological causation. It is the failure of the body that in its incapacity is unable to obey the world soul’s commands that bring about evils such as experiencing the passions and living in poverty. Once the human soul, which is the true self, is freed (by death or by contemplation) then it will be able to obey the cosmic commands to its own advantage. While the soul is embodied, when it acts according to reason, and only then, since it is not buffeted by outside impulses, its actions are voluntary and free from fate, astrological or otherwise.</w:t>
      </w:r>
      <w:r w:rsidRPr="00943D4C">
        <w:rPr>
          <w:rFonts w:ascii="Times New Roman" w:eastAsia="Calibri" w:hAnsi="Times New Roman" w:cs="Times New Roman"/>
          <w:vertAlign w:val="superscript"/>
          <w:lang w:val="en-US"/>
        </w:rPr>
        <w:footnoteReference w:id="48"/>
      </w:r>
      <w:r w:rsidRPr="00943D4C">
        <w:rPr>
          <w:rFonts w:ascii="Times New Roman" w:eastAsia="Calibri" w:hAnsi="Times New Roman" w:cs="Times New Roman"/>
          <w:lang w:val="en-US"/>
        </w:rPr>
        <w:t xml:space="preserve"> Everything has a </w:t>
      </w:r>
      <w:r w:rsidRPr="00943D4C">
        <w:rPr>
          <w:rFonts w:ascii="Times New Roman" w:eastAsia="Calibri" w:hAnsi="Times New Roman" w:cs="Times New Roman"/>
          <w:lang w:val="en-US"/>
        </w:rPr>
        <w:lastRenderedPageBreak/>
        <w:t>cause, but some things are caused by the world soul and propagated throughout the physical universe through the motion of the stars, but other things are caused by the reasoning of the soul.</w:t>
      </w:r>
      <w:r w:rsidRPr="00943D4C">
        <w:rPr>
          <w:rFonts w:ascii="Times New Roman" w:eastAsia="Calibri" w:hAnsi="Times New Roman" w:cs="Times New Roman"/>
          <w:vertAlign w:val="superscript"/>
          <w:lang w:val="en-US"/>
        </w:rPr>
        <w:footnoteReference w:id="49"/>
      </w:r>
    </w:p>
    <w:p w:rsidR="00943D4C" w:rsidRPr="00943D4C" w:rsidRDefault="00943D4C" w:rsidP="00943D4C">
      <w:pPr>
        <w:spacing w:after="0"/>
        <w:rPr>
          <w:rFonts w:ascii="Times New Roman" w:eastAsia="Calibri" w:hAnsi="Times New Roman" w:cs="Times New Roman"/>
          <w:lang w:val="en-US"/>
        </w:rPr>
      </w:pPr>
    </w:p>
    <w:p w:rsidR="00943D4C" w:rsidRPr="00943D4C" w:rsidRDefault="003F3B51" w:rsidP="007B0671">
      <w:pPr>
        <w:spacing w:after="0"/>
        <w:rPr>
          <w:rFonts w:ascii="Times New Roman" w:eastAsia="Calibri" w:hAnsi="Times New Roman" w:cs="Times New Roman"/>
          <w:b/>
          <w:lang w:val="en-US"/>
        </w:rPr>
      </w:pPr>
      <w:r>
        <w:rPr>
          <w:rFonts w:ascii="Times New Roman" w:eastAsia="Calibri" w:hAnsi="Times New Roman" w:cs="Times New Roman"/>
          <w:b/>
          <w:lang w:val="en-US"/>
        </w:rPr>
        <w:t xml:space="preserve">Conclusion: the Hellenistic world view </w:t>
      </w:r>
    </w:p>
    <w:p w:rsidR="00943D4C" w:rsidRPr="00943D4C" w:rsidRDefault="00943D4C" w:rsidP="007B0671">
      <w:pPr>
        <w:spacing w:after="0"/>
        <w:ind w:firstLine="720"/>
        <w:rPr>
          <w:rFonts w:ascii="Times New Roman" w:eastAsia="Calibri" w:hAnsi="Times New Roman" w:cs="Times New Roman"/>
          <w:lang w:val="en-US"/>
        </w:rPr>
      </w:pPr>
      <w:r w:rsidRPr="00943D4C">
        <w:rPr>
          <w:rFonts w:ascii="Times New Roman" w:eastAsia="Calibri" w:hAnsi="Times New Roman" w:cs="Times New Roman"/>
          <w:lang w:val="en-US"/>
        </w:rPr>
        <w:t>The ancients viewed the cosmos as a complex and orderly system that was subject to rules. Clearly both divination and astrology (which had similar origins) allowed practitioners to understand what to do in the present, as well as the possibility to know th</w:t>
      </w:r>
      <w:r w:rsidR="00EA60DF">
        <w:rPr>
          <w:rFonts w:ascii="Times New Roman" w:eastAsia="Calibri" w:hAnsi="Times New Roman" w:cs="Times New Roman"/>
          <w:lang w:val="en-US"/>
        </w:rPr>
        <w:t>e future. D</w:t>
      </w:r>
      <w:r w:rsidRPr="00943D4C">
        <w:rPr>
          <w:rFonts w:ascii="Times New Roman" w:eastAsia="Calibri" w:hAnsi="Times New Roman" w:cs="Times New Roman"/>
          <w:lang w:val="en-US"/>
        </w:rPr>
        <w:t>ivination</w:t>
      </w:r>
      <w:r w:rsidR="00EA60DF">
        <w:rPr>
          <w:rFonts w:ascii="Times New Roman" w:eastAsia="Calibri" w:hAnsi="Times New Roman" w:cs="Times New Roman"/>
          <w:lang w:val="en-US"/>
        </w:rPr>
        <w:t xml:space="preserve"> had a long history in Mesopotamia, where it was assumed forces in the sky were expressed i</w:t>
      </w:r>
      <w:r w:rsidR="0094774D">
        <w:rPr>
          <w:rFonts w:ascii="Times New Roman" w:eastAsia="Calibri" w:hAnsi="Times New Roman" w:cs="Times New Roman"/>
          <w:lang w:val="en-US"/>
        </w:rPr>
        <w:t>n organs of sacrificial victims, and that the gods were expressed in the sky.</w:t>
      </w:r>
      <w:r w:rsidR="00EA60DF">
        <w:rPr>
          <w:rFonts w:ascii="Times New Roman" w:eastAsia="Calibri" w:hAnsi="Times New Roman" w:cs="Times New Roman"/>
          <w:lang w:val="en-US"/>
        </w:rPr>
        <w:t xml:space="preserve"> </w:t>
      </w:r>
      <w:r w:rsidR="00195244">
        <w:rPr>
          <w:rFonts w:ascii="Times New Roman" w:eastAsia="Calibri" w:hAnsi="Times New Roman" w:cs="Times New Roman"/>
          <w:lang w:val="en-US"/>
        </w:rPr>
        <w:t xml:space="preserve">This kind of divination was good for yes and no type questions. </w:t>
      </w:r>
      <w:r w:rsidR="00EA60DF">
        <w:rPr>
          <w:rFonts w:ascii="Times New Roman" w:eastAsia="Calibri" w:hAnsi="Times New Roman" w:cs="Times New Roman"/>
          <w:lang w:val="en-US"/>
        </w:rPr>
        <w:t>It was very much the concern of an elite.</w:t>
      </w:r>
      <w:r w:rsidRPr="00943D4C">
        <w:rPr>
          <w:rFonts w:ascii="Times New Roman" w:eastAsia="Calibri" w:hAnsi="Times New Roman" w:cs="Times New Roman"/>
          <w:lang w:val="en-US"/>
        </w:rPr>
        <w:t xml:space="preserve"> </w:t>
      </w:r>
      <w:r w:rsidR="003E4584">
        <w:rPr>
          <w:rFonts w:ascii="Times New Roman" w:eastAsia="Calibri" w:hAnsi="Times New Roman" w:cs="Times New Roman"/>
          <w:lang w:val="en-US"/>
        </w:rPr>
        <w:t>Greek philosophers deepened their view of the cosmos, and questioned how divination and astrology functioned.</w:t>
      </w:r>
      <w:r w:rsidR="00195244">
        <w:rPr>
          <w:rFonts w:ascii="Times New Roman" w:eastAsia="Calibri" w:hAnsi="Times New Roman" w:cs="Times New Roman"/>
          <w:lang w:val="en-US"/>
        </w:rPr>
        <w:t xml:space="preserve"> It seems hard to quantify, but it appears that the more open ended form of divination, astrology, was favored by the G</w:t>
      </w:r>
      <w:r w:rsidR="0094774D">
        <w:rPr>
          <w:rFonts w:ascii="Times New Roman" w:eastAsia="Calibri" w:hAnsi="Times New Roman" w:cs="Times New Roman"/>
          <w:lang w:val="en-US"/>
        </w:rPr>
        <w:t>reeks, who thought that celestial events could act on human life at certain times, such as at birth. The sky did not contain gods themselves.</w:t>
      </w:r>
      <w:r w:rsidRPr="00943D4C">
        <w:rPr>
          <w:rFonts w:ascii="Times New Roman" w:eastAsia="Calibri" w:hAnsi="Times New Roman" w:cs="Times New Roman"/>
          <w:lang w:val="en-US"/>
        </w:rPr>
        <w:t xml:space="preserve"> How</w:t>
      </w:r>
      <w:r w:rsidR="00EA60DF">
        <w:rPr>
          <w:rFonts w:ascii="Times New Roman" w:eastAsia="Calibri" w:hAnsi="Times New Roman" w:cs="Times New Roman"/>
          <w:lang w:val="en-US"/>
        </w:rPr>
        <w:t>ever, by the Hellenistic period, the situation had changed. The elite were increasingly movin</w:t>
      </w:r>
      <w:r w:rsidR="00195244">
        <w:rPr>
          <w:rFonts w:ascii="Times New Roman" w:eastAsia="Calibri" w:hAnsi="Times New Roman" w:cs="Times New Roman"/>
          <w:lang w:val="en-US"/>
        </w:rPr>
        <w:t xml:space="preserve">g away from </w:t>
      </w:r>
      <w:r w:rsidR="00EA60DF">
        <w:rPr>
          <w:rFonts w:ascii="Times New Roman" w:eastAsia="Calibri" w:hAnsi="Times New Roman" w:cs="Times New Roman"/>
          <w:lang w:val="en-US"/>
        </w:rPr>
        <w:t>astrology</w:t>
      </w:r>
      <w:r w:rsidR="00195244">
        <w:rPr>
          <w:rFonts w:ascii="Times New Roman" w:eastAsia="Calibri" w:hAnsi="Times New Roman" w:cs="Times New Roman"/>
          <w:lang w:val="en-US"/>
        </w:rPr>
        <w:t xml:space="preserve"> and onto more complicated views of the cosmos</w:t>
      </w:r>
      <w:r w:rsidR="00EA60DF">
        <w:rPr>
          <w:rFonts w:ascii="Times New Roman" w:eastAsia="Calibri" w:hAnsi="Times New Roman" w:cs="Times New Roman"/>
          <w:lang w:val="en-US"/>
        </w:rPr>
        <w:t>. There were no doubt many forces at play, but philosophical texts show there was a</w:t>
      </w:r>
      <w:r w:rsidRPr="00943D4C">
        <w:rPr>
          <w:rFonts w:ascii="Times New Roman" w:eastAsia="Calibri" w:hAnsi="Times New Roman" w:cs="Times New Roman"/>
          <w:lang w:val="en-US"/>
        </w:rPr>
        <w:t xml:space="preserve"> growing sense of free will and a greater mathematical unde</w:t>
      </w:r>
      <w:r w:rsidR="00EA60DF">
        <w:rPr>
          <w:rFonts w:ascii="Times New Roman" w:eastAsia="Calibri" w:hAnsi="Times New Roman" w:cs="Times New Roman"/>
          <w:lang w:val="en-US"/>
        </w:rPr>
        <w:t>rstanding of celestial motion. T</w:t>
      </w:r>
      <w:r w:rsidRPr="00943D4C">
        <w:rPr>
          <w:rFonts w:ascii="Times New Roman" w:eastAsia="Calibri" w:hAnsi="Times New Roman" w:cs="Times New Roman"/>
          <w:lang w:val="en-US"/>
        </w:rPr>
        <w:t xml:space="preserve">he power of fate began to wane. By the time of Plotinus it seems </w:t>
      </w:r>
      <w:r w:rsidR="00EA60DF">
        <w:rPr>
          <w:rFonts w:ascii="Times New Roman" w:eastAsia="Calibri" w:hAnsi="Times New Roman" w:cs="Times New Roman"/>
          <w:lang w:val="en-US"/>
        </w:rPr>
        <w:t xml:space="preserve">the ideal was that </w:t>
      </w:r>
      <w:r w:rsidRPr="00943D4C">
        <w:rPr>
          <w:rFonts w:ascii="Times New Roman" w:eastAsia="Calibri" w:hAnsi="Times New Roman" w:cs="Times New Roman"/>
          <w:lang w:val="en-US"/>
        </w:rPr>
        <w:t xml:space="preserve">a rationally thinking person </w:t>
      </w:r>
      <w:r w:rsidR="00195244">
        <w:rPr>
          <w:rFonts w:ascii="Times New Roman" w:eastAsia="Calibri" w:hAnsi="Times New Roman" w:cs="Times New Roman"/>
          <w:lang w:val="en-US"/>
        </w:rPr>
        <w:t>w</w:t>
      </w:r>
      <w:r w:rsidRPr="00943D4C">
        <w:rPr>
          <w:rFonts w:ascii="Times New Roman" w:eastAsia="Calibri" w:hAnsi="Times New Roman" w:cs="Times New Roman"/>
          <w:lang w:val="en-US"/>
        </w:rPr>
        <w:t>as someone who could resist base emotions that were controlled by celestial forces. Enlightened people</w:t>
      </w:r>
      <w:r w:rsidR="00DE69E0">
        <w:rPr>
          <w:rFonts w:ascii="Times New Roman" w:eastAsia="Calibri" w:hAnsi="Times New Roman" w:cs="Times New Roman"/>
          <w:lang w:val="en-US"/>
        </w:rPr>
        <w:t xml:space="preserve"> could chart their o</w:t>
      </w:r>
      <w:r w:rsidR="00546D87">
        <w:rPr>
          <w:rFonts w:ascii="Times New Roman" w:eastAsia="Calibri" w:hAnsi="Times New Roman" w:cs="Times New Roman"/>
          <w:lang w:val="en-US"/>
        </w:rPr>
        <w:t>wn destiny, while remaining part of the world soul</w:t>
      </w:r>
      <w:r w:rsidR="00DE69E0">
        <w:rPr>
          <w:rFonts w:ascii="Times New Roman" w:eastAsia="Calibri" w:hAnsi="Times New Roman" w:cs="Times New Roman"/>
          <w:lang w:val="en-US"/>
        </w:rPr>
        <w:t xml:space="preserve">. </w:t>
      </w:r>
    </w:p>
    <w:p w:rsidR="00943D4C" w:rsidRPr="00943D4C" w:rsidRDefault="00943D4C" w:rsidP="00943D4C">
      <w:pPr>
        <w:spacing w:after="160" w:line="256" w:lineRule="auto"/>
        <w:rPr>
          <w:rFonts w:ascii="Times New Roman" w:eastAsia="Calibri" w:hAnsi="Times New Roman" w:cs="Times New Roman"/>
          <w:lang w:val="en-US"/>
        </w:rPr>
      </w:pPr>
      <w:r w:rsidRPr="00943D4C">
        <w:rPr>
          <w:rFonts w:ascii="Times New Roman" w:eastAsia="Calibri" w:hAnsi="Times New Roman" w:cs="Times New Roman"/>
          <w:lang w:val="en-US"/>
        </w:rPr>
        <w:br w:type="page"/>
      </w:r>
    </w:p>
    <w:p w:rsidR="00943D4C" w:rsidRPr="00943DF9" w:rsidRDefault="00943DF9" w:rsidP="00943D4C">
      <w:pPr>
        <w:spacing w:after="0" w:line="240" w:lineRule="auto"/>
        <w:ind w:left="720" w:hanging="720"/>
        <w:rPr>
          <w:rFonts w:ascii="Times New Roman" w:eastAsia="Calibri" w:hAnsi="Times New Roman" w:cs="Times New Roman"/>
          <w:bCs/>
          <w:iCs/>
          <w:lang w:val="en-US"/>
        </w:rPr>
      </w:pPr>
      <w:r>
        <w:rPr>
          <w:rFonts w:ascii="Times New Roman" w:eastAsia="Calibri" w:hAnsi="Times New Roman" w:cs="Times New Roman"/>
          <w:bCs/>
          <w:iCs/>
          <w:lang w:val="en-US"/>
        </w:rPr>
        <w:lastRenderedPageBreak/>
        <w:t xml:space="preserve">BIBLIOGRAPHY </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Pr="00943D4C" w:rsidRDefault="00943D4C" w:rsidP="00943D4C">
      <w:pPr>
        <w:spacing w:after="0" w:line="240" w:lineRule="auto"/>
        <w:ind w:left="720" w:hanging="720"/>
        <w:rPr>
          <w:rFonts w:ascii="Times New Roman" w:eastAsia="Calibri" w:hAnsi="Times New Roman" w:cs="Times New Roman"/>
          <w:b/>
          <w:bCs/>
          <w:lang w:val="en-US"/>
        </w:rPr>
      </w:pPr>
      <w:r w:rsidRPr="00943D4C">
        <w:rPr>
          <w:rFonts w:ascii="Times New Roman" w:eastAsia="Calibri" w:hAnsi="Times New Roman" w:cs="Times New Roman"/>
          <w:b/>
          <w:bCs/>
          <w:lang w:val="en-US"/>
        </w:rPr>
        <w:t>Primary</w:t>
      </w:r>
    </w:p>
    <w:p w:rsidR="00943D4C" w:rsidRPr="00943D4C" w:rsidRDefault="00943D4C"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Cicero, </w:t>
      </w:r>
      <w:r w:rsidRPr="00943D4C">
        <w:rPr>
          <w:rFonts w:ascii="Times New Roman" w:eastAsia="Calibri" w:hAnsi="Times New Roman" w:cs="Times New Roman"/>
          <w:i/>
          <w:iCs/>
          <w:lang w:val="en-US"/>
        </w:rPr>
        <w:t>De Divinatione</w:t>
      </w:r>
      <w:r w:rsidRPr="00943D4C">
        <w:rPr>
          <w:rFonts w:ascii="Times New Roman" w:eastAsia="Calibri" w:hAnsi="Times New Roman" w:cs="Times New Roman"/>
          <w:lang w:val="en-US"/>
        </w:rPr>
        <w:t xml:space="preserve"> in </w:t>
      </w:r>
      <w:r w:rsidRPr="00943D4C">
        <w:rPr>
          <w:rFonts w:ascii="Times New Roman" w:eastAsia="Calibri" w:hAnsi="Times New Roman" w:cs="Times New Roman"/>
          <w:i/>
          <w:iCs/>
          <w:lang w:val="en-US"/>
        </w:rPr>
        <w:t>De Senectute, De Amicita, De Divinatione,</w:t>
      </w:r>
      <w:r w:rsidRPr="00943D4C">
        <w:rPr>
          <w:rFonts w:ascii="Times New Roman" w:eastAsia="Calibri" w:hAnsi="Times New Roman" w:cs="Times New Roman"/>
          <w:lang w:val="en-US"/>
        </w:rPr>
        <w:t xml:space="preserve"> Loeb Classical Library, trans. by William Armistead Falconer, (Cambridge, Mass.: Harvard University Press, 1923)</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Koch-Westenholz, Ulla, </w:t>
      </w:r>
      <w:r w:rsidRPr="00943D4C">
        <w:rPr>
          <w:rFonts w:ascii="Times New Roman" w:eastAsia="Calibri" w:hAnsi="Times New Roman" w:cs="Times New Roman"/>
          <w:i/>
          <w:iCs/>
          <w:lang w:val="en-US"/>
        </w:rPr>
        <w:t>Babylonian Liver Omens: The Chapter Manzāzu, Padānu and Pān Tākalti of the Babylonian Extispicy Series Mainly from Aššurbanipal’s Library</w:t>
      </w:r>
      <w:r w:rsidRPr="00943D4C">
        <w:rPr>
          <w:rFonts w:ascii="Times New Roman" w:eastAsia="Calibri" w:hAnsi="Times New Roman" w:cs="Times New Roman"/>
          <w:lang w:val="en-US"/>
        </w:rPr>
        <w:t>, Carsten Niebuhr Institute Publications, 25 (Copenhagen: Museum Tusculanum Press, 2000)</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Nemesius, </w:t>
      </w:r>
      <w:r w:rsidRPr="00943D4C">
        <w:rPr>
          <w:rFonts w:ascii="Times New Roman" w:eastAsia="Calibri" w:hAnsi="Times New Roman" w:cs="Times New Roman"/>
          <w:i/>
          <w:iCs/>
          <w:lang w:val="en-US"/>
        </w:rPr>
        <w:t>On the Nature of Man</w:t>
      </w:r>
      <w:r w:rsidRPr="00943D4C">
        <w:rPr>
          <w:rFonts w:ascii="Times New Roman" w:eastAsia="Calibri" w:hAnsi="Times New Roman" w:cs="Times New Roman"/>
          <w:lang w:val="en-US"/>
        </w:rPr>
        <w:t>, Translated Texts for Historians 49, trans. by R. E. Sharples and P. J. van der Eijk (Liverpool: Liverpool University Press, 2008)</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ind w:left="720" w:hanging="720"/>
        <w:rPr>
          <w:rFonts w:ascii="Times New Roman" w:eastAsia="Calibri" w:hAnsi="Times New Roman" w:cs="Times New Roman"/>
          <w:lang w:val="en-US" w:bidi="he-IL"/>
        </w:rPr>
      </w:pPr>
      <w:r w:rsidRPr="00943D4C">
        <w:rPr>
          <w:rFonts w:ascii="Times New Roman" w:eastAsia="Calibri" w:hAnsi="Times New Roman" w:cs="Times New Roman"/>
          <w:lang w:val="en-US" w:bidi="he-IL"/>
        </w:rPr>
        <w:t xml:space="preserve">Plato, </w:t>
      </w:r>
      <w:r w:rsidRPr="00943D4C">
        <w:rPr>
          <w:rFonts w:ascii="Times New Roman" w:eastAsia="Calibri" w:hAnsi="Times New Roman" w:cs="Times New Roman"/>
          <w:i/>
          <w:iCs/>
          <w:lang w:val="en-US" w:bidi="he-IL"/>
        </w:rPr>
        <w:t>The Collected Dialogues</w:t>
      </w:r>
      <w:r w:rsidR="00147580">
        <w:rPr>
          <w:rFonts w:ascii="Times New Roman" w:eastAsia="Calibri" w:hAnsi="Times New Roman" w:cs="Times New Roman"/>
          <w:lang w:val="en-US" w:bidi="he-IL"/>
        </w:rPr>
        <w:t>, Bollingen Series 71. ed</w:t>
      </w:r>
      <w:r w:rsidRPr="00943D4C">
        <w:rPr>
          <w:rFonts w:ascii="Times New Roman" w:eastAsia="Calibri" w:hAnsi="Times New Roman" w:cs="Times New Roman"/>
          <w:lang w:val="en-US" w:bidi="he-IL"/>
        </w:rPr>
        <w:t>. by Edith Hamilton and Huntington Cairns (Princeton: Princeton University Press, 1963)</w:t>
      </w:r>
    </w:p>
    <w:p w:rsidR="00943DF9" w:rsidRPr="00943D4C" w:rsidRDefault="00943DF9" w:rsidP="00943D4C">
      <w:pPr>
        <w:spacing w:after="0"/>
        <w:ind w:left="720" w:hanging="720"/>
        <w:rPr>
          <w:rFonts w:ascii="Times New Roman" w:eastAsia="Calibri" w:hAnsi="Times New Roman" w:cs="Times New Roman"/>
          <w:lang w:val="en-US" w:bidi="he-IL"/>
        </w:rPr>
      </w:pPr>
    </w:p>
    <w:p w:rsidR="00943D4C" w:rsidRDefault="00943D4C" w:rsidP="00943D4C">
      <w:pPr>
        <w:spacing w:after="0"/>
        <w:ind w:left="720" w:hanging="720"/>
        <w:rPr>
          <w:rFonts w:ascii="Times New Roman" w:eastAsia="Calibri" w:hAnsi="Times New Roman" w:cs="Times New Roman"/>
          <w:lang w:val="en-US" w:bidi="he-IL"/>
        </w:rPr>
      </w:pPr>
      <w:r w:rsidRPr="00943D4C">
        <w:rPr>
          <w:rFonts w:ascii="Times New Roman" w:eastAsia="Calibri" w:hAnsi="Times New Roman" w:cs="Times New Roman"/>
          <w:lang w:val="en-US" w:bidi="he-IL"/>
        </w:rPr>
        <w:t xml:space="preserve">Plotinus, </w:t>
      </w:r>
      <w:r w:rsidRPr="00943D4C">
        <w:rPr>
          <w:rFonts w:ascii="Times New Roman" w:eastAsia="Calibri" w:hAnsi="Times New Roman" w:cs="Times New Roman"/>
          <w:i/>
          <w:iCs/>
          <w:lang w:val="en-US" w:bidi="he-IL"/>
        </w:rPr>
        <w:t>The Enneads</w:t>
      </w:r>
      <w:r w:rsidRPr="00943D4C">
        <w:rPr>
          <w:rFonts w:ascii="Times New Roman" w:eastAsia="Calibri" w:hAnsi="Times New Roman" w:cs="Times New Roman"/>
          <w:lang w:val="en-US" w:bidi="he-IL"/>
        </w:rPr>
        <w:t xml:space="preserve">, eds. by Lloyd P. Gerson, </w:t>
      </w:r>
      <w:r w:rsidRPr="00943D4C">
        <w:rPr>
          <w:rFonts w:ascii="Times New Roman" w:eastAsia="Calibri" w:hAnsi="Times New Roman" w:cs="Times New Roman"/>
          <w:i/>
          <w:lang w:val="en-US" w:bidi="he-IL"/>
        </w:rPr>
        <w:t>et al</w:t>
      </w:r>
      <w:r w:rsidRPr="00943D4C">
        <w:rPr>
          <w:rFonts w:ascii="Times New Roman" w:eastAsia="Calibri" w:hAnsi="Times New Roman" w:cs="Times New Roman"/>
          <w:lang w:val="en-US" w:bidi="he-IL"/>
        </w:rPr>
        <w:t>. (Cambridge: Cambridge University Press, 2018)</w:t>
      </w:r>
    </w:p>
    <w:p w:rsidR="00943DF9" w:rsidRPr="00943D4C" w:rsidRDefault="00943DF9" w:rsidP="00943D4C">
      <w:pPr>
        <w:spacing w:after="0"/>
        <w:ind w:left="720" w:hanging="720"/>
        <w:rPr>
          <w:rFonts w:ascii="Times New Roman" w:eastAsia="Calibri" w:hAnsi="Times New Roman" w:cs="Times New Roman"/>
          <w:lang w:val="en-US" w:bidi="he-IL"/>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Ptolemy, </w:t>
      </w:r>
      <w:r w:rsidRPr="00943D4C">
        <w:rPr>
          <w:rFonts w:ascii="Times New Roman" w:eastAsia="Calibri" w:hAnsi="Times New Roman" w:cs="Times New Roman"/>
          <w:i/>
          <w:iCs/>
          <w:lang w:val="en-US"/>
        </w:rPr>
        <w:t>Tetrabiblos</w:t>
      </w:r>
      <w:r w:rsidRPr="00943D4C">
        <w:rPr>
          <w:rFonts w:ascii="Times New Roman" w:eastAsia="Calibri" w:hAnsi="Times New Roman" w:cs="Times New Roman"/>
          <w:lang w:val="en-US"/>
        </w:rPr>
        <w:t>, Loeb Classical Library, trans. by F. E. Robbins (Cambridge, Mass.: Harvard University Press, 1940)</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Reiner, Erica and David Pingree, </w:t>
      </w:r>
      <w:r w:rsidRPr="00943D4C">
        <w:rPr>
          <w:rFonts w:ascii="Times New Roman" w:eastAsia="Calibri" w:hAnsi="Times New Roman" w:cs="Times New Roman"/>
          <w:i/>
          <w:iCs/>
          <w:lang w:val="en-US"/>
        </w:rPr>
        <w:t>Babylonian Planetary Omens Part Three</w:t>
      </w:r>
      <w:r w:rsidRPr="00943D4C">
        <w:rPr>
          <w:rFonts w:ascii="Times New Roman" w:eastAsia="Calibri" w:hAnsi="Times New Roman" w:cs="Times New Roman"/>
          <w:lang w:val="en-US"/>
        </w:rPr>
        <w:t>, Cuneiform Monographs 11 (Groningen: Styx, 1998)</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P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Virgil, </w:t>
      </w:r>
      <w:r w:rsidRPr="00943D4C">
        <w:rPr>
          <w:rFonts w:ascii="Times New Roman" w:eastAsia="Calibri" w:hAnsi="Times New Roman" w:cs="Times New Roman"/>
          <w:i/>
          <w:lang w:val="en-US"/>
        </w:rPr>
        <w:t>Eclogues, Georgics, Aeneid</w:t>
      </w:r>
      <w:r w:rsidRPr="00943D4C">
        <w:rPr>
          <w:rFonts w:ascii="Times New Roman" w:eastAsia="Calibri" w:hAnsi="Times New Roman" w:cs="Times New Roman"/>
          <w:lang w:val="en-US"/>
        </w:rPr>
        <w:t>, Loeb Classical Library 63 &amp; 64, trans</w:t>
      </w:r>
      <w:r w:rsidR="00147580">
        <w:rPr>
          <w:rFonts w:ascii="Times New Roman" w:eastAsia="Calibri" w:hAnsi="Times New Roman" w:cs="Times New Roman"/>
          <w:lang w:val="en-US"/>
        </w:rPr>
        <w:t>.</w:t>
      </w:r>
      <w:r w:rsidRPr="00943D4C">
        <w:rPr>
          <w:rFonts w:ascii="Times New Roman" w:eastAsia="Calibri" w:hAnsi="Times New Roman" w:cs="Times New Roman"/>
          <w:lang w:val="en-US"/>
        </w:rPr>
        <w:t xml:space="preserve"> by H R Fairclough, (Cambridge, MA. Harvard University Press, 1916)</w:t>
      </w:r>
    </w:p>
    <w:p w:rsidR="00943D4C" w:rsidRPr="00943D4C" w:rsidRDefault="00943D4C" w:rsidP="00943D4C">
      <w:pPr>
        <w:spacing w:after="0" w:line="240" w:lineRule="auto"/>
        <w:ind w:left="720" w:hanging="720"/>
        <w:rPr>
          <w:rFonts w:ascii="Times New Roman" w:eastAsia="Calibri" w:hAnsi="Times New Roman" w:cs="Times New Roman"/>
          <w:lang w:val="en-US"/>
        </w:rPr>
      </w:pPr>
    </w:p>
    <w:p w:rsidR="00943D4C" w:rsidRPr="00943D4C" w:rsidRDefault="00943D4C" w:rsidP="00943D4C">
      <w:pPr>
        <w:spacing w:after="0" w:line="240" w:lineRule="auto"/>
        <w:ind w:left="720" w:hanging="720"/>
        <w:rPr>
          <w:rFonts w:ascii="Times New Roman" w:eastAsia="Calibri" w:hAnsi="Times New Roman" w:cs="Times New Roman"/>
          <w:lang w:val="en-US"/>
        </w:rPr>
      </w:pPr>
    </w:p>
    <w:p w:rsidR="00943D4C" w:rsidRPr="00943D4C" w:rsidRDefault="00943D4C" w:rsidP="00943D4C">
      <w:pPr>
        <w:spacing w:after="0" w:line="240" w:lineRule="auto"/>
        <w:ind w:left="720" w:hanging="720"/>
        <w:rPr>
          <w:rFonts w:ascii="Times New Roman" w:eastAsia="Calibri" w:hAnsi="Times New Roman" w:cs="Times New Roman"/>
          <w:b/>
          <w:bCs/>
          <w:lang w:val="en-US"/>
        </w:rPr>
      </w:pPr>
      <w:r w:rsidRPr="00943D4C">
        <w:rPr>
          <w:rFonts w:ascii="Times New Roman" w:eastAsia="Calibri" w:hAnsi="Times New Roman" w:cs="Times New Roman"/>
          <w:b/>
          <w:bCs/>
          <w:lang w:val="en-US"/>
        </w:rPr>
        <w:t>Secondary</w:t>
      </w:r>
    </w:p>
    <w:p w:rsidR="00943D4C" w:rsidRPr="00943D4C" w:rsidRDefault="00943D4C" w:rsidP="00943D4C">
      <w:pPr>
        <w:spacing w:after="0" w:line="240" w:lineRule="auto"/>
        <w:ind w:left="720" w:hanging="720"/>
        <w:rPr>
          <w:rFonts w:ascii="Times New Roman" w:eastAsia="Calibri" w:hAnsi="Times New Roman" w:cs="Times New Roman"/>
          <w:b/>
          <w:bCs/>
          <w:lang w:val="en-US"/>
        </w:rPr>
      </w:pPr>
    </w:p>
    <w:p w:rsidR="00943D4C" w:rsidRDefault="00943D4C" w:rsidP="00943D4C">
      <w:pPr>
        <w:spacing w:after="0" w:line="240" w:lineRule="auto"/>
        <w:ind w:left="720" w:hanging="720"/>
        <w:rPr>
          <w:rFonts w:ascii="Times New Roman" w:eastAsia="Calibri" w:hAnsi="Times New Roman" w:cs="Times New Roman"/>
          <w:bCs/>
          <w:lang w:val="en-US"/>
        </w:rPr>
      </w:pPr>
      <w:r w:rsidRPr="00943D4C">
        <w:rPr>
          <w:rFonts w:ascii="Times New Roman" w:eastAsia="Calibri" w:hAnsi="Times New Roman" w:cs="Times New Roman"/>
          <w:bCs/>
          <w:lang w:val="en-US"/>
        </w:rPr>
        <w:t xml:space="preserve">Agostiniani, Luciano, ‘The Etruscan Language’, in </w:t>
      </w:r>
      <w:r w:rsidRPr="00943D4C">
        <w:rPr>
          <w:rFonts w:ascii="Times New Roman" w:eastAsia="Calibri" w:hAnsi="Times New Roman" w:cs="Times New Roman"/>
          <w:bCs/>
          <w:i/>
          <w:lang w:val="en-US"/>
        </w:rPr>
        <w:t xml:space="preserve">The Etruscan World, </w:t>
      </w:r>
      <w:r w:rsidRPr="00943D4C">
        <w:rPr>
          <w:rFonts w:ascii="Times New Roman" w:eastAsia="Calibri" w:hAnsi="Times New Roman" w:cs="Times New Roman"/>
          <w:bCs/>
          <w:lang w:val="en-US"/>
        </w:rPr>
        <w:t>ed. by Jean MacIntosh Turfa (Abingdon: Routledge, 2013)</w:t>
      </w:r>
    </w:p>
    <w:p w:rsidR="00943DF9" w:rsidRPr="00943D4C" w:rsidRDefault="00943DF9" w:rsidP="00943D4C">
      <w:pPr>
        <w:spacing w:after="0" w:line="240" w:lineRule="auto"/>
        <w:ind w:left="720" w:hanging="720"/>
        <w:rPr>
          <w:rFonts w:ascii="Times New Roman" w:eastAsia="Calibri" w:hAnsi="Times New Roman" w:cs="Times New Roman"/>
          <w:bCs/>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Anor, Netanel</w:t>
      </w:r>
      <w:bookmarkStart w:id="25" w:name="_Hlk131367956"/>
      <w:r w:rsidRPr="00943D4C">
        <w:rPr>
          <w:rFonts w:ascii="Times New Roman" w:eastAsia="Calibri" w:hAnsi="Times New Roman" w:cs="Times New Roman"/>
          <w:lang w:val="en-US"/>
        </w:rPr>
        <w:t xml:space="preserve"> ‘Is the Liver a Reflection of the Sky?</w:t>
      </w:r>
      <w:bookmarkEnd w:id="25"/>
      <w:r w:rsidR="00147580">
        <w:rPr>
          <w:rFonts w:ascii="Times New Roman" w:eastAsia="Calibri" w:hAnsi="Times New Roman" w:cs="Times New Roman"/>
          <w:lang w:val="en-US"/>
        </w:rPr>
        <w:t>’</w:t>
      </w:r>
      <w:r w:rsidRPr="00943D4C">
        <w:rPr>
          <w:rFonts w:ascii="Times New Roman" w:eastAsia="Calibri" w:hAnsi="Times New Roman" w:cs="Times New Roman"/>
          <w:lang w:val="en-US"/>
        </w:rPr>
        <w:t xml:space="preserve">, in </w:t>
      </w:r>
      <w:r w:rsidRPr="00943D4C">
        <w:rPr>
          <w:rFonts w:ascii="Times New Roman" w:eastAsia="Calibri" w:hAnsi="Times New Roman" w:cs="Times New Roman"/>
          <w:i/>
          <w:iCs/>
          <w:lang w:val="en-US"/>
        </w:rPr>
        <w:t>Aram,</w:t>
      </w:r>
      <w:r w:rsidRPr="00943D4C">
        <w:rPr>
          <w:rFonts w:ascii="Times New Roman" w:eastAsia="Calibri" w:hAnsi="Times New Roman" w:cs="Times New Roman"/>
          <w:lang w:val="en-US"/>
        </w:rPr>
        <w:t xml:space="preserve"> 29.1 (2017), 195-206</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bookmarkStart w:id="26" w:name="_Hlk131794235"/>
      <w:r w:rsidRPr="00943D4C">
        <w:rPr>
          <w:rFonts w:ascii="Times New Roman" w:eastAsia="Calibri" w:hAnsi="Times New Roman" w:cs="Times New Roman"/>
          <w:lang w:val="en-US"/>
        </w:rPr>
        <w:t xml:space="preserve">Beck, Roger, </w:t>
      </w:r>
      <w:r w:rsidRPr="00943D4C">
        <w:rPr>
          <w:rFonts w:ascii="Times New Roman" w:eastAsia="Calibri" w:hAnsi="Times New Roman" w:cs="Times New Roman"/>
          <w:i/>
          <w:iCs/>
          <w:lang w:val="en-US"/>
        </w:rPr>
        <w:t>A Brief History of Astrology</w:t>
      </w:r>
      <w:r w:rsidRPr="00943D4C">
        <w:rPr>
          <w:rFonts w:ascii="Times New Roman" w:eastAsia="Calibri" w:hAnsi="Times New Roman" w:cs="Times New Roman"/>
          <w:lang w:val="en-US"/>
        </w:rPr>
        <w:t xml:space="preserve"> (Oxford: Blackwell, 2007</w:t>
      </w:r>
      <w:bookmarkEnd w:id="26"/>
      <w:r w:rsidRPr="00943D4C">
        <w:rPr>
          <w:rFonts w:ascii="Times New Roman" w:eastAsia="Calibri" w:hAnsi="Times New Roman" w:cs="Times New Roman"/>
          <w:lang w:val="en-US"/>
        </w:rPr>
        <w:t>)</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Ciraolo, Leda, </w:t>
      </w:r>
      <w:r w:rsidRPr="00943D4C">
        <w:rPr>
          <w:rFonts w:ascii="Times New Roman" w:eastAsia="Calibri" w:hAnsi="Times New Roman" w:cs="Times New Roman"/>
          <w:i/>
          <w:lang w:val="en-US"/>
        </w:rPr>
        <w:t>Magic and Divination in the Ancient World</w:t>
      </w:r>
      <w:r w:rsidRPr="00943D4C">
        <w:rPr>
          <w:rFonts w:ascii="Times New Roman" w:eastAsia="Calibri" w:hAnsi="Times New Roman" w:cs="Times New Roman"/>
          <w:lang w:val="en-US"/>
        </w:rPr>
        <w:t xml:space="preserve"> (Leiden: Brill-Styx, 2002)</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Cramer, Frederick H, </w:t>
      </w:r>
      <w:r w:rsidRPr="00943D4C">
        <w:rPr>
          <w:rFonts w:ascii="Times New Roman" w:eastAsia="Calibri" w:hAnsi="Times New Roman" w:cs="Times New Roman"/>
          <w:i/>
          <w:iCs/>
          <w:lang w:val="en-US"/>
        </w:rPr>
        <w:t>Astrology in Roman Law and Politics</w:t>
      </w:r>
      <w:r w:rsidRPr="00943D4C">
        <w:rPr>
          <w:rFonts w:ascii="Times New Roman" w:eastAsia="Calibri" w:hAnsi="Times New Roman" w:cs="Times New Roman"/>
          <w:lang w:val="en-US"/>
        </w:rPr>
        <w:t xml:space="preserve"> (Philadelphia: The American Philosophical Society, 1954)</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Daneshmand, Parsa, ‘Extispicy and Consensus Decision-Making in Ancient Mesopotamia’</w:t>
      </w:r>
      <w:r w:rsidR="00147580">
        <w:rPr>
          <w:rFonts w:ascii="Times New Roman" w:eastAsia="Calibri" w:hAnsi="Times New Roman" w:cs="Times New Roman"/>
          <w:lang w:val="en-US"/>
        </w:rPr>
        <w:t>,</w:t>
      </w:r>
      <w:r w:rsidRPr="00943D4C">
        <w:rPr>
          <w:rFonts w:ascii="Times New Roman" w:eastAsia="Calibri" w:hAnsi="Times New Roman" w:cs="Times New Roman"/>
          <w:lang w:val="en-US"/>
        </w:rPr>
        <w:t xml:space="preserve"> </w:t>
      </w:r>
      <w:r w:rsidRPr="00943D4C">
        <w:rPr>
          <w:rFonts w:ascii="Times New Roman" w:eastAsia="Calibri" w:hAnsi="Times New Roman" w:cs="Times New Roman"/>
          <w:i/>
          <w:iCs/>
          <w:lang w:val="en-US"/>
        </w:rPr>
        <w:t>Dabir,</w:t>
      </w:r>
      <w:r w:rsidRPr="00943D4C">
        <w:rPr>
          <w:rFonts w:ascii="Times New Roman" w:eastAsia="Calibri" w:hAnsi="Times New Roman" w:cs="Times New Roman"/>
          <w:lang w:val="en-US"/>
        </w:rPr>
        <w:t xml:space="preserve"> 9 (2022), 67-85</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Furley, William and Victor Gysemberghe, </w:t>
      </w:r>
      <w:r w:rsidRPr="00943D4C">
        <w:rPr>
          <w:rFonts w:ascii="Times New Roman" w:eastAsia="Calibri" w:hAnsi="Times New Roman" w:cs="Times New Roman"/>
          <w:i/>
          <w:iCs/>
          <w:lang w:val="en-US"/>
        </w:rPr>
        <w:t>Reading the Liver: Papyrological Texts on Ancient Greek Extispicy</w:t>
      </w:r>
      <w:r w:rsidRPr="00943D4C">
        <w:rPr>
          <w:rFonts w:ascii="Times New Roman" w:eastAsia="Calibri" w:hAnsi="Times New Roman" w:cs="Times New Roman"/>
          <w:lang w:val="en-US"/>
        </w:rPr>
        <w:t>, Studien und Texte zu Antike und Christentum, 94 (Tübingen: Mohr Siebeck, 2015)</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Graf, Fritz, </w:t>
      </w:r>
      <w:r w:rsidRPr="00943D4C">
        <w:rPr>
          <w:rFonts w:ascii="Times New Roman" w:eastAsia="Calibri" w:hAnsi="Times New Roman" w:cs="Times New Roman"/>
          <w:i/>
          <w:iCs/>
          <w:lang w:val="en-US"/>
        </w:rPr>
        <w:t>Magic in the Ancient World</w:t>
      </w:r>
      <w:r w:rsidRPr="00943D4C">
        <w:rPr>
          <w:rFonts w:ascii="Times New Roman" w:eastAsia="Calibri" w:hAnsi="Times New Roman" w:cs="Times New Roman"/>
          <w:lang w:val="en-US"/>
        </w:rPr>
        <w:t>, trans. by Franklin Philip (Cambridge, Mass.: Harvard University Press, 1997)</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lastRenderedPageBreak/>
        <w:t xml:space="preserve">Hall, Claire, ‘Horoscopes of the Moon: Weather Prediction as Astrology in Ptolemy’s Tetrabiblos’, </w:t>
      </w:r>
      <w:r w:rsidRPr="00943D4C">
        <w:rPr>
          <w:rFonts w:ascii="Times New Roman" w:eastAsia="Calibri" w:hAnsi="Times New Roman" w:cs="Times New Roman"/>
          <w:i/>
          <w:lang w:val="en-US"/>
        </w:rPr>
        <w:t>Early Science and Medicine</w:t>
      </w:r>
      <w:r w:rsidRPr="00943D4C">
        <w:rPr>
          <w:rFonts w:ascii="Times New Roman" w:eastAsia="Calibri" w:hAnsi="Times New Roman" w:cs="Times New Roman"/>
          <w:lang w:val="en-US"/>
        </w:rPr>
        <w:t>, 26.3 (2021), 231-253</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Hunger, Hermann, ‘How to Make the Gods Speak: A Late Babylonian Tablet Related to the Microzodiac’, in </w:t>
      </w:r>
      <w:r w:rsidRPr="00943D4C">
        <w:rPr>
          <w:rFonts w:ascii="Times New Roman" w:eastAsia="Calibri" w:hAnsi="Times New Roman" w:cs="Times New Roman"/>
          <w:i/>
          <w:iCs/>
          <w:lang w:val="en-US"/>
        </w:rPr>
        <w:t>Studies Presented to Robert D. Biggs</w:t>
      </w:r>
      <w:r w:rsidRPr="00943D4C">
        <w:rPr>
          <w:rFonts w:ascii="Times New Roman" w:eastAsia="Calibri" w:hAnsi="Times New Roman" w:cs="Times New Roman"/>
          <w:lang w:val="en-US"/>
        </w:rPr>
        <w:t>, From the Workshop o</w:t>
      </w:r>
      <w:r w:rsidR="00147580">
        <w:rPr>
          <w:rFonts w:ascii="Times New Roman" w:eastAsia="Calibri" w:hAnsi="Times New Roman" w:cs="Times New Roman"/>
          <w:lang w:val="en-US"/>
        </w:rPr>
        <w:t>f the Assyrian Dictionary 2, ed</w:t>
      </w:r>
      <w:r w:rsidRPr="00943D4C">
        <w:rPr>
          <w:rFonts w:ascii="Times New Roman" w:eastAsia="Calibri" w:hAnsi="Times New Roman" w:cs="Times New Roman"/>
          <w:lang w:val="en-US"/>
        </w:rPr>
        <w:t xml:space="preserve">. by Martha T. Roth </w:t>
      </w:r>
      <w:r w:rsidRPr="00943D4C">
        <w:rPr>
          <w:rFonts w:ascii="Times New Roman" w:eastAsia="Calibri" w:hAnsi="Times New Roman" w:cs="Times New Roman"/>
          <w:i/>
          <w:lang w:val="en-US"/>
        </w:rPr>
        <w:t>et al</w:t>
      </w:r>
      <w:r w:rsidRPr="00943D4C">
        <w:rPr>
          <w:rFonts w:ascii="Times New Roman" w:eastAsia="Calibri" w:hAnsi="Times New Roman" w:cs="Times New Roman"/>
          <w:lang w:val="en-US"/>
        </w:rPr>
        <w:t>. (Chicago: The Oriental Institute of the University of Chicago, 2007), pp. 141-51</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Kalligas, Paul, </w:t>
      </w:r>
      <w:r w:rsidRPr="00943D4C">
        <w:rPr>
          <w:rFonts w:ascii="Times New Roman" w:eastAsia="Calibri" w:hAnsi="Times New Roman" w:cs="Times New Roman"/>
          <w:i/>
          <w:iCs/>
          <w:lang w:val="en-US"/>
        </w:rPr>
        <w:t>The</w:t>
      </w:r>
      <w:r w:rsidRPr="00943D4C">
        <w:rPr>
          <w:rFonts w:ascii="Times New Roman" w:eastAsia="Calibri" w:hAnsi="Times New Roman" w:cs="Times New Roman"/>
          <w:lang w:val="en-US"/>
        </w:rPr>
        <w:t xml:space="preserve"> Enneads </w:t>
      </w:r>
      <w:r w:rsidRPr="00943D4C">
        <w:rPr>
          <w:rFonts w:ascii="Times New Roman" w:eastAsia="Calibri" w:hAnsi="Times New Roman" w:cs="Times New Roman"/>
          <w:i/>
          <w:iCs/>
          <w:lang w:val="en-US"/>
        </w:rPr>
        <w:t>of Plotinus: A Commentary</w:t>
      </w:r>
      <w:r w:rsidRPr="00943D4C">
        <w:rPr>
          <w:rFonts w:ascii="Times New Roman" w:eastAsia="Calibri" w:hAnsi="Times New Roman" w:cs="Times New Roman"/>
          <w:lang w:val="en-US"/>
        </w:rPr>
        <w:t>, trans. by Elizabeth Key Fowden and Nicolas Pilavachi (Princeton: Princeton University Press, 2014)</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Karamanolis, George E., </w:t>
      </w:r>
      <w:r w:rsidRPr="00943D4C">
        <w:rPr>
          <w:rFonts w:ascii="Times New Roman" w:eastAsia="Calibri" w:hAnsi="Times New Roman" w:cs="Times New Roman"/>
          <w:i/>
          <w:lang w:val="en-US"/>
        </w:rPr>
        <w:t>The Philosophy of Early Christianity. Ancient Philosophies</w:t>
      </w:r>
      <w:r w:rsidRPr="00943D4C">
        <w:rPr>
          <w:rFonts w:ascii="Times New Roman" w:eastAsia="Calibri" w:hAnsi="Times New Roman" w:cs="Times New Roman"/>
          <w:lang w:val="en-US"/>
        </w:rPr>
        <w:t xml:space="preserve"> (London: Routledge, 2014)</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Koch-Westenholz, Ulla, </w:t>
      </w:r>
      <w:r w:rsidRPr="00943D4C">
        <w:rPr>
          <w:rFonts w:ascii="Times New Roman" w:eastAsia="Calibri" w:hAnsi="Times New Roman" w:cs="Times New Roman"/>
          <w:i/>
          <w:iCs/>
          <w:lang w:val="en-US"/>
        </w:rPr>
        <w:t>Mesopotamian Astrology: An Introduction to Babylonian and Assyrian Celestial Divination</w:t>
      </w:r>
      <w:r w:rsidRPr="00943D4C">
        <w:rPr>
          <w:rFonts w:ascii="Times New Roman" w:eastAsia="Calibri" w:hAnsi="Times New Roman" w:cs="Times New Roman"/>
          <w:lang w:val="en-US"/>
        </w:rPr>
        <w:t>, CNI Publications, 19 (Copenhagen: Museum Tusculanum Press, 1995)</w:t>
      </w:r>
    </w:p>
    <w:p w:rsidR="00147580" w:rsidRPr="00943D4C" w:rsidRDefault="00147580"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Long, Anthony Arthur, </w:t>
      </w:r>
      <w:r w:rsidRPr="00943D4C">
        <w:rPr>
          <w:rFonts w:ascii="Times New Roman" w:eastAsia="Calibri" w:hAnsi="Times New Roman" w:cs="Times New Roman"/>
          <w:i/>
          <w:lang w:val="en-US"/>
        </w:rPr>
        <w:t>Hellenistic Philosophy: Stoics, Epicureans, Sceptics</w:t>
      </w:r>
      <w:r w:rsidRPr="00943D4C">
        <w:rPr>
          <w:rFonts w:ascii="Times New Roman" w:eastAsia="Calibri" w:hAnsi="Times New Roman" w:cs="Times New Roman"/>
          <w:lang w:val="en-US"/>
        </w:rPr>
        <w:t xml:space="preserve"> (London: Bristol Classical Press, 1996)</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Maul, Stefan M., </w:t>
      </w:r>
      <w:r w:rsidRPr="00943D4C">
        <w:rPr>
          <w:rFonts w:ascii="Times New Roman" w:eastAsia="Calibri" w:hAnsi="Times New Roman" w:cs="Times New Roman"/>
          <w:i/>
          <w:iCs/>
          <w:lang w:val="en-US"/>
        </w:rPr>
        <w:t>Die Wahrsageskunst im Alten Orient: Zeichen des Himmels und der Erde</w:t>
      </w:r>
      <w:r w:rsidRPr="00943D4C">
        <w:rPr>
          <w:rFonts w:ascii="Times New Roman" w:eastAsia="Calibri" w:hAnsi="Times New Roman" w:cs="Times New Roman"/>
          <w:lang w:val="en-US"/>
        </w:rPr>
        <w:t>, (München: C. H. Beck, 2013)</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Reiner, Erica, </w:t>
      </w:r>
      <w:r w:rsidRPr="00943D4C">
        <w:rPr>
          <w:rFonts w:ascii="Times New Roman" w:eastAsia="Calibri" w:hAnsi="Times New Roman" w:cs="Times New Roman"/>
          <w:i/>
          <w:iCs/>
          <w:lang w:val="en-US"/>
        </w:rPr>
        <w:t>Astral Magic in Babylonia</w:t>
      </w:r>
      <w:r w:rsidRPr="00943D4C">
        <w:rPr>
          <w:rFonts w:ascii="Times New Roman" w:eastAsia="Calibri" w:hAnsi="Times New Roman" w:cs="Times New Roman"/>
          <w:lang w:val="en-US"/>
        </w:rPr>
        <w:t>, Transactions of the American Philosophical Society, 85.4 (Philadelphia: The American Philosophical Society, 1995)</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Ripat, Pauline,‘Expelling Misconceptions: Astrologers at Rome,’ in </w:t>
      </w:r>
      <w:r w:rsidRPr="00147580">
        <w:rPr>
          <w:rFonts w:ascii="Times New Roman" w:eastAsia="Calibri" w:hAnsi="Times New Roman" w:cs="Times New Roman"/>
          <w:i/>
          <w:lang w:val="en-US"/>
        </w:rPr>
        <w:t>Classical Philology</w:t>
      </w:r>
      <w:r w:rsidRPr="00943D4C">
        <w:rPr>
          <w:rFonts w:ascii="Times New Roman" w:eastAsia="Calibri" w:hAnsi="Times New Roman" w:cs="Times New Roman"/>
          <w:lang w:val="en-US"/>
        </w:rPr>
        <w:t>, 106 (2011), 115–54</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Sellars, John, ‘Stoic ontology and Plato’s Sophist’, </w:t>
      </w:r>
      <w:r w:rsidRPr="00943D4C">
        <w:rPr>
          <w:rFonts w:ascii="Times New Roman" w:eastAsia="Calibri" w:hAnsi="Times New Roman" w:cs="Times New Roman"/>
          <w:i/>
          <w:lang w:val="en-US"/>
        </w:rPr>
        <w:t>Bulletin of the Institute of Classical Studies,</w:t>
      </w:r>
      <w:r w:rsidRPr="00943D4C">
        <w:rPr>
          <w:rFonts w:ascii="Times New Roman" w:eastAsia="Calibri" w:hAnsi="Times New Roman" w:cs="Times New Roman"/>
          <w:lang w:val="en-US"/>
        </w:rPr>
        <w:t xml:space="preserve"> 107 (2010),</w:t>
      </w:r>
      <w:r w:rsidR="00943DF9">
        <w:rPr>
          <w:rFonts w:ascii="Times New Roman" w:eastAsia="Calibri" w:hAnsi="Times New Roman" w:cs="Times New Roman"/>
          <w:lang w:val="en-US"/>
        </w:rPr>
        <w:t xml:space="preserve"> </w:t>
      </w:r>
      <w:r w:rsidRPr="00943D4C">
        <w:rPr>
          <w:rFonts w:ascii="Times New Roman" w:eastAsia="Calibri" w:hAnsi="Times New Roman" w:cs="Times New Roman"/>
          <w:lang w:val="en-US"/>
        </w:rPr>
        <w:t>185-203</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Sheppard, Anne, ‘The Mirror of the Imagination: The Influence of </w:t>
      </w:r>
      <w:r w:rsidRPr="00943D4C">
        <w:rPr>
          <w:rFonts w:ascii="Times New Roman" w:eastAsia="Calibri" w:hAnsi="Times New Roman" w:cs="Times New Roman"/>
          <w:i/>
          <w:iCs/>
          <w:lang w:val="en-US"/>
        </w:rPr>
        <w:t>Timaeus</w:t>
      </w:r>
      <w:r w:rsidRPr="00943D4C">
        <w:rPr>
          <w:rFonts w:ascii="Times New Roman" w:eastAsia="Calibri" w:hAnsi="Times New Roman" w:cs="Times New Roman"/>
          <w:lang w:val="en-US"/>
        </w:rPr>
        <w:t xml:space="preserve"> 70e ff’, </w:t>
      </w:r>
      <w:r w:rsidRPr="00943D4C">
        <w:rPr>
          <w:rFonts w:ascii="Times New Roman" w:eastAsia="Calibri" w:hAnsi="Times New Roman" w:cs="Times New Roman"/>
          <w:i/>
          <w:iCs/>
          <w:lang w:val="en-US"/>
        </w:rPr>
        <w:t>Bulletin of the Institute of Classical Studies,</w:t>
      </w:r>
      <w:r w:rsidR="00943DF9">
        <w:rPr>
          <w:rFonts w:ascii="Times New Roman" w:eastAsia="Calibri" w:hAnsi="Times New Roman" w:cs="Times New Roman"/>
          <w:lang w:val="en-US"/>
        </w:rPr>
        <w:t xml:space="preserve"> 46 (2003), 203-212</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Stausberg, Michael, ‘Zarathustra: Post-Gathic Trajectories’ in </w:t>
      </w:r>
      <w:r w:rsidRPr="00943D4C">
        <w:rPr>
          <w:rFonts w:ascii="Times New Roman" w:eastAsia="Calibri" w:hAnsi="Times New Roman" w:cs="Times New Roman"/>
          <w:i/>
          <w:iCs/>
          <w:lang w:val="en-US"/>
        </w:rPr>
        <w:t>The Wiley Blackwell Companion to Zoroastrianism</w:t>
      </w:r>
      <w:r w:rsidR="00147580">
        <w:rPr>
          <w:rFonts w:ascii="Times New Roman" w:eastAsia="Calibri" w:hAnsi="Times New Roman" w:cs="Times New Roman"/>
          <w:lang w:val="en-US"/>
        </w:rPr>
        <w:t>. ed</w:t>
      </w:r>
      <w:r w:rsidRPr="00943D4C">
        <w:rPr>
          <w:rFonts w:ascii="Times New Roman" w:eastAsia="Calibri" w:hAnsi="Times New Roman" w:cs="Times New Roman"/>
          <w:lang w:val="en-US"/>
        </w:rPr>
        <w:t>. by Michael Stausberg, Yuhan Sohrab-Dinshaw Vevaina, and Anna Tessmann (Oxford: Wi</w:t>
      </w:r>
      <w:r w:rsidR="00943DF9">
        <w:rPr>
          <w:rFonts w:ascii="Times New Roman" w:eastAsia="Calibri" w:hAnsi="Times New Roman" w:cs="Times New Roman"/>
          <w:lang w:val="en-US"/>
        </w:rPr>
        <w:t>ley Blackwell, 2015), pp. 69-81</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Toomer, Gerald J., ‘Ptolemy and his Greek Predecessors’ </w:t>
      </w:r>
      <w:r w:rsidRPr="00943D4C">
        <w:rPr>
          <w:rFonts w:ascii="Times New Roman" w:eastAsia="Calibri" w:hAnsi="Times New Roman" w:cs="Times New Roman"/>
          <w:i/>
          <w:iCs/>
          <w:lang w:val="en-US"/>
        </w:rPr>
        <w:t>Astronomy before the Telescope</w:t>
      </w:r>
      <w:r w:rsidRPr="00943D4C">
        <w:rPr>
          <w:rFonts w:ascii="Times New Roman" w:eastAsia="Calibri" w:hAnsi="Times New Roman" w:cs="Times New Roman"/>
          <w:lang w:val="en-US"/>
        </w:rPr>
        <w:t>, ed. by Christopher Walker (London: British</w:t>
      </w:r>
      <w:r w:rsidR="00943DF9">
        <w:rPr>
          <w:rFonts w:ascii="Times New Roman" w:eastAsia="Calibri" w:hAnsi="Times New Roman" w:cs="Times New Roman"/>
          <w:lang w:val="en-US"/>
        </w:rPr>
        <w:t xml:space="preserve"> Museum Press, 1996), pp. 68-91</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Trimble, Walker, ‘Livers and Mirrors: Physiology, Cosmology, and Ritual in Plato’s </w:t>
      </w:r>
      <w:r w:rsidRPr="00943D4C">
        <w:rPr>
          <w:rFonts w:ascii="Times New Roman" w:eastAsia="Calibri" w:hAnsi="Times New Roman" w:cs="Times New Roman"/>
          <w:i/>
          <w:iCs/>
          <w:lang w:val="en-US"/>
        </w:rPr>
        <w:t>Timaeus</w:t>
      </w:r>
      <w:r w:rsidRPr="00943D4C">
        <w:rPr>
          <w:rFonts w:ascii="Times New Roman" w:eastAsia="Calibri" w:hAnsi="Times New Roman" w:cs="Times New Roman"/>
          <w:lang w:val="en-US"/>
        </w:rPr>
        <w:t xml:space="preserve">’, </w:t>
      </w:r>
      <w:r w:rsidRPr="00147580">
        <w:rPr>
          <w:rFonts w:ascii="Times New Roman" w:eastAsia="Calibri" w:hAnsi="Times New Roman" w:cs="Times New Roman"/>
          <w:i/>
          <w:lang w:val="en-US"/>
        </w:rPr>
        <w:t>Платоновские Исследования</w:t>
      </w:r>
      <w:r w:rsidRPr="00943D4C">
        <w:rPr>
          <w:rFonts w:ascii="Times New Roman" w:eastAsia="Calibri" w:hAnsi="Times New Roman" w:cs="Times New Roman"/>
          <w:lang w:val="en-US"/>
        </w:rPr>
        <w:t xml:space="preserve"> (</w:t>
      </w:r>
      <w:r w:rsidRPr="00147580">
        <w:rPr>
          <w:rFonts w:ascii="Times New Roman" w:eastAsia="Calibri" w:hAnsi="Times New Roman" w:cs="Times New Roman"/>
          <w:i/>
          <w:lang w:val="en-US"/>
        </w:rPr>
        <w:t>Platonic Studies</w:t>
      </w:r>
      <w:r w:rsidRPr="00943D4C">
        <w:rPr>
          <w:rFonts w:ascii="Times New Roman" w:eastAsia="Calibri" w:hAnsi="Times New Roman" w:cs="Times New Roman"/>
          <w:lang w:val="en-US"/>
        </w:rPr>
        <w:t>), 15.2 (2021), 11-40</w:t>
      </w:r>
    </w:p>
    <w:p w:rsidR="00943DF9" w:rsidRPr="00943D4C" w:rsidRDefault="00943DF9" w:rsidP="00943D4C">
      <w:pPr>
        <w:spacing w:after="0" w:line="240" w:lineRule="auto"/>
        <w:ind w:left="720" w:hanging="720"/>
        <w:rPr>
          <w:rFonts w:ascii="Times New Roman" w:eastAsia="Calibri" w:hAnsi="Times New Roman" w:cs="Times New Roman"/>
          <w:lang w:val="en-US"/>
        </w:rPr>
      </w:pPr>
    </w:p>
    <w:p w:rsidR="00943D4C" w:rsidRPr="00943D4C" w:rsidRDefault="00943D4C" w:rsidP="00943D4C">
      <w:pPr>
        <w:spacing w:after="0" w:line="240" w:lineRule="auto"/>
        <w:ind w:left="720" w:hanging="720"/>
        <w:rPr>
          <w:rFonts w:ascii="Times New Roman" w:eastAsia="Calibri" w:hAnsi="Times New Roman" w:cs="Times New Roman"/>
          <w:lang w:val="en-US"/>
        </w:rPr>
      </w:pPr>
      <w:r w:rsidRPr="00943D4C">
        <w:rPr>
          <w:rFonts w:ascii="Times New Roman" w:eastAsia="Calibri" w:hAnsi="Times New Roman" w:cs="Times New Roman"/>
          <w:lang w:val="en-US"/>
        </w:rPr>
        <w:t xml:space="preserve">Wilberding, James, ‘Chapter 14.2 Plotinus on the Motion of the Stars’, in </w:t>
      </w:r>
      <w:r w:rsidRPr="00943D4C">
        <w:rPr>
          <w:rFonts w:ascii="Times New Roman" w:eastAsia="Calibri" w:hAnsi="Times New Roman" w:cs="Times New Roman"/>
          <w:i/>
          <w:lang w:val="en-US"/>
        </w:rPr>
        <w:t>Hellenistic Astronomy</w:t>
      </w:r>
      <w:r w:rsidRPr="00943D4C">
        <w:rPr>
          <w:rFonts w:ascii="Times New Roman" w:eastAsia="Calibri" w:hAnsi="Times New Roman" w:cs="Times New Roman"/>
          <w:lang w:val="en-US"/>
        </w:rPr>
        <w:t xml:space="preserve"> ed</w:t>
      </w:r>
      <w:r w:rsidR="00147580">
        <w:rPr>
          <w:rFonts w:ascii="Times New Roman" w:eastAsia="Calibri" w:hAnsi="Times New Roman" w:cs="Times New Roman"/>
          <w:lang w:val="en-US"/>
        </w:rPr>
        <w:t>.</w:t>
      </w:r>
      <w:r w:rsidRPr="00943D4C">
        <w:rPr>
          <w:rFonts w:ascii="Times New Roman" w:eastAsia="Calibri" w:hAnsi="Times New Roman" w:cs="Times New Roman"/>
          <w:lang w:val="en-US"/>
        </w:rPr>
        <w:t xml:space="preserve"> by A. C. Bowen and F.Rochberg, (Leiden: Brill, 2020), pp. 619–630</w:t>
      </w:r>
    </w:p>
    <w:p w:rsidR="0095425F" w:rsidRPr="0042451E" w:rsidRDefault="0095425F" w:rsidP="00592E6A">
      <w:pPr>
        <w:rPr>
          <w:rFonts w:ascii="Times New Roman" w:hAnsi="Times New Roman" w:cs="Times New Roman"/>
        </w:rPr>
      </w:pPr>
    </w:p>
    <w:sectPr w:rsidR="0095425F" w:rsidRPr="0042451E">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45F67" w:rsidRDefault="00745F67" w:rsidP="003E2CA2">
      <w:pPr>
        <w:spacing w:after="0" w:line="240" w:lineRule="auto"/>
      </w:pPr>
      <w:r>
        <w:separator/>
      </w:r>
    </w:p>
  </w:endnote>
  <w:endnote w:type="continuationSeparator" w:id="0">
    <w:p w:rsidR="00745F67" w:rsidRDefault="00745F67" w:rsidP="003E2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3703159"/>
      <w:docPartObj>
        <w:docPartGallery w:val="Page Numbers (Bottom of Page)"/>
        <w:docPartUnique/>
      </w:docPartObj>
    </w:sdtPr>
    <w:sdtEndPr>
      <w:rPr>
        <w:noProof/>
      </w:rPr>
    </w:sdtEndPr>
    <w:sdtContent>
      <w:p w:rsidR="00F71DFF" w:rsidRDefault="00F71DFF">
        <w:pPr>
          <w:pStyle w:val="Footer"/>
          <w:jc w:val="center"/>
        </w:pPr>
        <w:r>
          <w:fldChar w:fldCharType="begin"/>
        </w:r>
        <w:r>
          <w:instrText xml:space="preserve"> PAGE   \* MERGEFORMAT </w:instrText>
        </w:r>
        <w:r>
          <w:fldChar w:fldCharType="separate"/>
        </w:r>
        <w:r w:rsidR="00B861B6">
          <w:rPr>
            <w:noProof/>
          </w:rPr>
          <w:t>3</w:t>
        </w:r>
        <w:r>
          <w:rPr>
            <w:noProof/>
          </w:rPr>
          <w:fldChar w:fldCharType="end"/>
        </w:r>
      </w:p>
    </w:sdtContent>
  </w:sdt>
  <w:p w:rsidR="00F71DFF" w:rsidRDefault="00F71D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45F67" w:rsidRDefault="00745F67" w:rsidP="003E2CA2">
      <w:pPr>
        <w:spacing w:after="0" w:line="240" w:lineRule="auto"/>
      </w:pPr>
      <w:r>
        <w:separator/>
      </w:r>
    </w:p>
  </w:footnote>
  <w:footnote w:type="continuationSeparator" w:id="0">
    <w:p w:rsidR="00745F67" w:rsidRDefault="00745F67" w:rsidP="003E2CA2">
      <w:pPr>
        <w:spacing w:after="0" w:line="240" w:lineRule="auto"/>
      </w:pPr>
      <w:r>
        <w:continuationSeparator/>
      </w:r>
    </w:p>
  </w:footnote>
  <w:footnote w:id="1">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00D30423">
        <w:rPr>
          <w:rFonts w:ascii="Times New Roman" w:hAnsi="Times New Roman" w:cs="Times New Roman"/>
          <w:sz w:val="18"/>
          <w:szCs w:val="18"/>
        </w:rPr>
        <w:t xml:space="preserve"> </w:t>
      </w:r>
      <w:r w:rsidR="00D30423" w:rsidRPr="00D30423">
        <w:rPr>
          <w:rFonts w:ascii="Times New Roman" w:hAnsi="Times New Roman" w:cs="Times New Roman"/>
          <w:sz w:val="18"/>
          <w:szCs w:val="18"/>
        </w:rPr>
        <w:t xml:space="preserve">Cicero, </w:t>
      </w:r>
      <w:r w:rsidR="00D30423" w:rsidRPr="00D30423">
        <w:rPr>
          <w:rFonts w:ascii="Times New Roman" w:hAnsi="Times New Roman" w:cs="Times New Roman"/>
          <w:i/>
          <w:sz w:val="18"/>
          <w:szCs w:val="18"/>
        </w:rPr>
        <w:t>De Divinatione in De Senectute, De Amicita, De Divinatione</w:t>
      </w:r>
      <w:r w:rsidR="00D30423" w:rsidRPr="00D30423">
        <w:rPr>
          <w:rFonts w:ascii="Times New Roman" w:hAnsi="Times New Roman" w:cs="Times New Roman"/>
          <w:sz w:val="18"/>
          <w:szCs w:val="18"/>
        </w:rPr>
        <w:t>, Loeb Classical Library, trans. by William Armistead Falconer, (Cambridge, Mass.: Harvard University Press, 1923)</w:t>
      </w:r>
      <w:r w:rsidR="00D30423">
        <w:rPr>
          <w:rFonts w:ascii="Times New Roman" w:hAnsi="Times New Roman" w:cs="Times New Roman"/>
          <w:sz w:val="18"/>
          <w:szCs w:val="18"/>
        </w:rPr>
        <w:t>,</w:t>
      </w:r>
      <w:r w:rsidRPr="00943D4C">
        <w:rPr>
          <w:rFonts w:ascii="Times New Roman" w:hAnsi="Times New Roman" w:cs="Times New Roman"/>
          <w:sz w:val="18"/>
          <w:szCs w:val="18"/>
        </w:rPr>
        <w:t xml:space="preserve"> 2.18-20.</w:t>
      </w:r>
    </w:p>
  </w:footnote>
  <w:footnote w:id="2">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Luciano Agostiniani, ‘The Etruscan Language’, in </w:t>
      </w:r>
      <w:r w:rsidRPr="00943D4C">
        <w:rPr>
          <w:rFonts w:ascii="Times New Roman" w:hAnsi="Times New Roman" w:cs="Times New Roman"/>
          <w:i/>
          <w:sz w:val="18"/>
          <w:szCs w:val="18"/>
        </w:rPr>
        <w:t>The Etruscan World</w:t>
      </w:r>
      <w:r w:rsidRPr="00943D4C">
        <w:rPr>
          <w:rFonts w:ascii="Times New Roman" w:hAnsi="Times New Roman" w:cs="Times New Roman"/>
          <w:sz w:val="18"/>
          <w:szCs w:val="18"/>
        </w:rPr>
        <w:t xml:space="preserve"> ed. by Jean MacIntosh Turfa (Abingdon: Routledge, 2013), pp. 457-58.</w:t>
      </w:r>
    </w:p>
  </w:footnote>
  <w:footnote w:id="3">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7" w:name="_Hlk131183950"/>
      <w:r w:rsidR="003F3B51">
        <w:rPr>
          <w:rFonts w:ascii="Times New Roman" w:hAnsi="Times New Roman" w:cs="Times New Roman"/>
          <w:sz w:val="18"/>
          <w:szCs w:val="18"/>
        </w:rPr>
        <w:t>Netanel Anor, ‘</w:t>
      </w:r>
      <w:r w:rsidRPr="00943D4C">
        <w:rPr>
          <w:rFonts w:ascii="Times New Roman" w:hAnsi="Times New Roman" w:cs="Times New Roman"/>
          <w:sz w:val="18"/>
          <w:szCs w:val="18"/>
        </w:rPr>
        <w:t>Is the</w:t>
      </w:r>
      <w:r w:rsidR="003F3B51">
        <w:rPr>
          <w:rFonts w:ascii="Times New Roman" w:hAnsi="Times New Roman" w:cs="Times New Roman"/>
          <w:sz w:val="18"/>
          <w:szCs w:val="18"/>
        </w:rPr>
        <w:t xml:space="preserve"> Liver a Reflection of the Sky?</w:t>
      </w:r>
      <w:r w:rsidRPr="00943D4C">
        <w:rPr>
          <w:rFonts w:ascii="Times New Roman" w:hAnsi="Times New Roman" w:cs="Times New Roman"/>
          <w:sz w:val="18"/>
          <w:szCs w:val="18"/>
        </w:rPr>
        <w:t>’</w:t>
      </w:r>
      <w:r w:rsidR="001C37E2">
        <w:rPr>
          <w:rFonts w:ascii="Times New Roman" w:hAnsi="Times New Roman" w:cs="Times New Roman"/>
          <w:sz w:val="18"/>
          <w:szCs w:val="18"/>
        </w:rPr>
        <w:t xml:space="preserve"> </w:t>
      </w:r>
      <w:r w:rsidRPr="00943D4C">
        <w:rPr>
          <w:rFonts w:ascii="Times New Roman" w:hAnsi="Times New Roman" w:cs="Times New Roman"/>
          <w:i/>
          <w:iCs/>
          <w:sz w:val="18"/>
          <w:szCs w:val="18"/>
        </w:rPr>
        <w:t>Aram,</w:t>
      </w:r>
      <w:r w:rsidRPr="00943D4C">
        <w:rPr>
          <w:rFonts w:ascii="Times New Roman" w:hAnsi="Times New Roman" w:cs="Times New Roman"/>
          <w:sz w:val="18"/>
          <w:szCs w:val="18"/>
        </w:rPr>
        <w:t xml:space="preserve"> 29.1 (2017), 195-206, pp. 195-206; Walker Trimble, ‘Livers and Mirrors: Physiology, Cosmology, and Ritual in Plato’s </w:t>
      </w:r>
      <w:r w:rsidRPr="00943D4C">
        <w:rPr>
          <w:rFonts w:ascii="Times New Roman" w:hAnsi="Times New Roman" w:cs="Times New Roman"/>
          <w:i/>
          <w:iCs/>
          <w:sz w:val="18"/>
          <w:szCs w:val="18"/>
        </w:rPr>
        <w:t>Timaeus</w:t>
      </w:r>
      <w:r w:rsidRPr="00943D4C">
        <w:rPr>
          <w:rFonts w:ascii="Times New Roman" w:hAnsi="Times New Roman" w:cs="Times New Roman"/>
          <w:sz w:val="18"/>
          <w:szCs w:val="18"/>
        </w:rPr>
        <w:t xml:space="preserve">’, </w:t>
      </w:r>
      <w:r w:rsidRPr="00B861B6">
        <w:rPr>
          <w:rFonts w:ascii="Times New Roman" w:hAnsi="Times New Roman" w:cs="Times New Roman"/>
          <w:i/>
          <w:color w:val="222222"/>
          <w:sz w:val="18"/>
          <w:szCs w:val="18"/>
          <w:shd w:val="clear" w:color="auto" w:fill="FFFFFF"/>
        </w:rPr>
        <w:t>Платоновские Исследования</w:t>
      </w:r>
      <w:r w:rsidRPr="00943D4C">
        <w:rPr>
          <w:rFonts w:ascii="Times New Roman" w:hAnsi="Times New Roman" w:cs="Times New Roman"/>
          <w:sz w:val="18"/>
          <w:szCs w:val="18"/>
        </w:rPr>
        <w:t xml:space="preserve"> (</w:t>
      </w:r>
      <w:r w:rsidRPr="00943D4C">
        <w:rPr>
          <w:rFonts w:ascii="Times New Roman" w:hAnsi="Times New Roman" w:cs="Times New Roman"/>
          <w:i/>
          <w:sz w:val="18"/>
          <w:szCs w:val="18"/>
        </w:rPr>
        <w:t>Platonic Studies</w:t>
      </w:r>
      <w:r w:rsidRPr="00943D4C">
        <w:rPr>
          <w:rFonts w:ascii="Times New Roman" w:hAnsi="Times New Roman" w:cs="Times New Roman"/>
          <w:sz w:val="18"/>
          <w:szCs w:val="18"/>
        </w:rPr>
        <w:t>), 15.2 (2021), 11-40, pp.11-13.</w:t>
      </w:r>
      <w:bookmarkEnd w:id="7"/>
    </w:p>
  </w:footnote>
  <w:footnote w:id="4">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Leda Ciraolo, </w:t>
      </w:r>
      <w:r w:rsidRPr="00943D4C">
        <w:rPr>
          <w:rFonts w:ascii="Times New Roman" w:hAnsi="Times New Roman" w:cs="Times New Roman"/>
          <w:i/>
          <w:sz w:val="18"/>
          <w:szCs w:val="18"/>
        </w:rPr>
        <w:t>Magic and Divination in the Ancient World</w:t>
      </w:r>
      <w:r w:rsidRPr="00943D4C">
        <w:rPr>
          <w:rFonts w:ascii="Times New Roman" w:hAnsi="Times New Roman" w:cs="Times New Roman"/>
          <w:sz w:val="18"/>
          <w:szCs w:val="18"/>
        </w:rPr>
        <w:t xml:space="preserve">  (Leiden: Brill-Styx, 2002), p.56.</w:t>
      </w:r>
    </w:p>
  </w:footnote>
  <w:footnote w:id="5">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8" w:name="_Hlk131187398"/>
      <w:r w:rsidRPr="00943D4C">
        <w:rPr>
          <w:rFonts w:ascii="Times New Roman" w:hAnsi="Times New Roman" w:cs="Times New Roman"/>
          <w:sz w:val="18"/>
          <w:szCs w:val="18"/>
        </w:rPr>
        <w:t xml:space="preserve">Ulla Koch-Westenholz, </w:t>
      </w:r>
      <w:r w:rsidRPr="00943D4C">
        <w:rPr>
          <w:rFonts w:ascii="Times New Roman" w:hAnsi="Times New Roman" w:cs="Times New Roman"/>
          <w:i/>
          <w:iCs/>
          <w:sz w:val="18"/>
          <w:szCs w:val="18"/>
        </w:rPr>
        <w:t>Babylonian Liver Omens: The Chapter Manzāzu, Padānu and Pān Tākalti of the Babylonian Extispicy Series Mainly from Aššurbanipal’s Library</w:t>
      </w:r>
      <w:r w:rsidRPr="00943D4C">
        <w:rPr>
          <w:rFonts w:ascii="Times New Roman" w:hAnsi="Times New Roman" w:cs="Times New Roman"/>
          <w:sz w:val="18"/>
          <w:szCs w:val="18"/>
        </w:rPr>
        <w:t xml:space="preserve">, Carsten Niebuhr Institute Publications, 25 (Copenhagen: Museum Tusculanum Press, 2000), </w:t>
      </w:r>
      <w:bookmarkEnd w:id="8"/>
      <w:r w:rsidRPr="00943D4C">
        <w:rPr>
          <w:rFonts w:ascii="Times New Roman" w:hAnsi="Times New Roman" w:cs="Times New Roman"/>
          <w:sz w:val="18"/>
          <w:szCs w:val="18"/>
        </w:rPr>
        <w:t>p.105.</w:t>
      </w:r>
    </w:p>
  </w:footnote>
  <w:footnote w:id="6">
    <w:p w:rsidR="003E4584" w:rsidRPr="00943D4C" w:rsidRDefault="003E4584" w:rsidP="003E4584">
      <w:pPr>
        <w:pStyle w:val="FootnoteText"/>
        <w:rPr>
          <w:rFonts w:ascii="Times New Roman" w:hAnsi="Times New Roman" w:cs="Times New Roman"/>
          <w:i/>
          <w:iCs/>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9" w:name="_Hlk131777870"/>
      <w:r w:rsidRPr="00943D4C">
        <w:rPr>
          <w:rFonts w:ascii="Times New Roman" w:hAnsi="Times New Roman" w:cs="Times New Roman"/>
          <w:sz w:val="18"/>
          <w:szCs w:val="18"/>
        </w:rPr>
        <w:t xml:space="preserve">Stefan M. </w:t>
      </w:r>
      <w:bookmarkStart w:id="10" w:name="_Hlk131778021"/>
      <w:r w:rsidRPr="00943D4C">
        <w:rPr>
          <w:rFonts w:ascii="Times New Roman" w:hAnsi="Times New Roman" w:cs="Times New Roman"/>
          <w:sz w:val="18"/>
          <w:szCs w:val="18"/>
        </w:rPr>
        <w:t xml:space="preserve">Maul, </w:t>
      </w:r>
      <w:bookmarkEnd w:id="10"/>
      <w:r w:rsidRPr="00943D4C">
        <w:rPr>
          <w:rFonts w:ascii="Times New Roman" w:hAnsi="Times New Roman" w:cs="Times New Roman"/>
          <w:i/>
          <w:sz w:val="18"/>
          <w:szCs w:val="18"/>
        </w:rPr>
        <w:t>Die Wahrsageskunst im Alten Orient: Zeichen des Himmels und der Erde</w:t>
      </w:r>
      <w:r w:rsidRPr="00943D4C">
        <w:rPr>
          <w:rFonts w:ascii="Times New Roman" w:hAnsi="Times New Roman" w:cs="Times New Roman"/>
          <w:i/>
          <w:iCs/>
          <w:sz w:val="18"/>
          <w:szCs w:val="18"/>
        </w:rPr>
        <w:t xml:space="preserve"> </w:t>
      </w:r>
      <w:r w:rsidRPr="00943D4C">
        <w:rPr>
          <w:rFonts w:ascii="Times New Roman" w:hAnsi="Times New Roman" w:cs="Times New Roman"/>
          <w:sz w:val="18"/>
          <w:szCs w:val="18"/>
        </w:rPr>
        <w:t>(München: C. H. Beck, 2013</w:t>
      </w:r>
      <w:bookmarkEnd w:id="9"/>
      <w:r w:rsidRPr="00943D4C">
        <w:rPr>
          <w:rFonts w:ascii="Times New Roman" w:hAnsi="Times New Roman" w:cs="Times New Roman"/>
          <w:sz w:val="18"/>
          <w:szCs w:val="18"/>
        </w:rPr>
        <w:t>), pp. 68-100.</w:t>
      </w:r>
    </w:p>
  </w:footnote>
  <w:footnote w:id="7">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11" w:name="_Hlk131453157"/>
      <w:r w:rsidRPr="00943D4C">
        <w:rPr>
          <w:rFonts w:ascii="Times New Roman" w:hAnsi="Times New Roman" w:cs="Times New Roman"/>
          <w:sz w:val="18"/>
          <w:szCs w:val="18"/>
        </w:rPr>
        <w:t xml:space="preserve">Erica Reiner, </w:t>
      </w:r>
      <w:r w:rsidRPr="00943D4C">
        <w:rPr>
          <w:rFonts w:ascii="Times New Roman" w:hAnsi="Times New Roman" w:cs="Times New Roman"/>
          <w:i/>
          <w:iCs/>
          <w:sz w:val="18"/>
          <w:szCs w:val="18"/>
        </w:rPr>
        <w:t>Astral Magic in Babylonia</w:t>
      </w:r>
      <w:r w:rsidRPr="00943D4C">
        <w:rPr>
          <w:rFonts w:ascii="Times New Roman" w:hAnsi="Times New Roman" w:cs="Times New Roman"/>
          <w:sz w:val="18"/>
          <w:szCs w:val="18"/>
        </w:rPr>
        <w:t xml:space="preserve">, Transactions of the American Philosophical Society, 85.4 (Philadelphia: The American Philosophical Society, 1995), p. </w:t>
      </w:r>
      <w:bookmarkEnd w:id="11"/>
      <w:r w:rsidRPr="00943D4C">
        <w:rPr>
          <w:rFonts w:ascii="Times New Roman" w:hAnsi="Times New Roman" w:cs="Times New Roman"/>
          <w:sz w:val="18"/>
          <w:szCs w:val="18"/>
        </w:rPr>
        <w:t>9.</w:t>
      </w:r>
    </w:p>
  </w:footnote>
  <w:footnote w:id="8">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13" w:name="_Hlk131263754"/>
      <w:r w:rsidRPr="00943D4C">
        <w:rPr>
          <w:rFonts w:ascii="Times New Roman" w:hAnsi="Times New Roman" w:cs="Times New Roman"/>
          <w:sz w:val="18"/>
          <w:szCs w:val="18"/>
        </w:rPr>
        <w:t xml:space="preserve">Erica Reiner and David Pingree, </w:t>
      </w:r>
      <w:r w:rsidRPr="00943D4C">
        <w:rPr>
          <w:rFonts w:ascii="Times New Roman" w:hAnsi="Times New Roman" w:cs="Times New Roman"/>
          <w:i/>
          <w:iCs/>
          <w:sz w:val="18"/>
          <w:szCs w:val="18"/>
        </w:rPr>
        <w:t>Babylonian Planetary Omens Part Three</w:t>
      </w:r>
      <w:r w:rsidRPr="00943D4C">
        <w:rPr>
          <w:rFonts w:ascii="Times New Roman" w:hAnsi="Times New Roman" w:cs="Times New Roman"/>
          <w:sz w:val="18"/>
          <w:szCs w:val="18"/>
        </w:rPr>
        <w:t xml:space="preserve">, Cuneiform Monographs, 11 (Groningen: Styx, 1998), </w:t>
      </w:r>
      <w:bookmarkEnd w:id="13"/>
      <w:r w:rsidRPr="00943D4C">
        <w:rPr>
          <w:rFonts w:ascii="Times New Roman" w:hAnsi="Times New Roman" w:cs="Times New Roman"/>
          <w:sz w:val="18"/>
          <w:szCs w:val="18"/>
        </w:rPr>
        <w:t>p. 61.</w:t>
      </w:r>
    </w:p>
  </w:footnote>
  <w:footnote w:id="9">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Cicero, </w:t>
      </w:r>
      <w:r w:rsidRPr="00943D4C">
        <w:rPr>
          <w:rFonts w:ascii="Times New Roman" w:hAnsi="Times New Roman" w:cs="Times New Roman"/>
          <w:i/>
          <w:iCs/>
          <w:sz w:val="18"/>
          <w:szCs w:val="18"/>
        </w:rPr>
        <w:t>De Divinatione</w:t>
      </w:r>
      <w:r w:rsidRPr="00943D4C">
        <w:rPr>
          <w:rFonts w:ascii="Times New Roman" w:hAnsi="Times New Roman" w:cs="Times New Roman"/>
          <w:sz w:val="18"/>
          <w:szCs w:val="18"/>
        </w:rPr>
        <w:t>, 2.17.</w:t>
      </w:r>
    </w:p>
  </w:footnote>
  <w:footnote w:id="10">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004A4FFF">
        <w:rPr>
          <w:rFonts w:ascii="Times New Roman" w:hAnsi="Times New Roman" w:cs="Times New Roman"/>
          <w:sz w:val="18"/>
          <w:szCs w:val="18"/>
        </w:rPr>
        <w:t xml:space="preserve"> </w:t>
      </w:r>
      <w:r w:rsidR="004A4FFF" w:rsidRPr="004A4FFF">
        <w:rPr>
          <w:rFonts w:ascii="Times New Roman" w:hAnsi="Times New Roman" w:cs="Times New Roman"/>
          <w:sz w:val="18"/>
          <w:szCs w:val="18"/>
        </w:rPr>
        <w:t>Maul</w:t>
      </w:r>
      <w:r w:rsidR="004A4FFF">
        <w:rPr>
          <w:rFonts w:ascii="Times New Roman" w:hAnsi="Times New Roman" w:cs="Times New Roman"/>
          <w:sz w:val="18"/>
          <w:szCs w:val="18"/>
        </w:rPr>
        <w:t xml:space="preserve">, </w:t>
      </w:r>
      <w:r w:rsidRPr="00943D4C">
        <w:rPr>
          <w:rFonts w:ascii="Times New Roman" w:hAnsi="Times New Roman" w:cs="Times New Roman"/>
          <w:sz w:val="18"/>
          <w:szCs w:val="18"/>
        </w:rPr>
        <w:t>pp. 277-95.</w:t>
      </w:r>
    </w:p>
  </w:footnote>
  <w:footnote w:id="11">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Parsa Daneshmand, ‘Extispicy and Consensus Decision-Making in Ancient Mesopotamia’, </w:t>
      </w:r>
      <w:r w:rsidRPr="00943D4C">
        <w:rPr>
          <w:rFonts w:ascii="Times New Roman" w:hAnsi="Times New Roman" w:cs="Times New Roman"/>
          <w:i/>
          <w:iCs/>
          <w:sz w:val="18"/>
          <w:szCs w:val="18"/>
        </w:rPr>
        <w:t>Dabir,</w:t>
      </w:r>
      <w:r w:rsidRPr="00943D4C">
        <w:rPr>
          <w:rFonts w:ascii="Times New Roman" w:hAnsi="Times New Roman" w:cs="Times New Roman"/>
          <w:sz w:val="18"/>
          <w:szCs w:val="18"/>
        </w:rPr>
        <w:t xml:space="preserve"> 9 (2022), 67-85, p. 73.</w:t>
      </w:r>
    </w:p>
  </w:footnote>
  <w:footnote w:id="12">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Reiner, </w:t>
      </w:r>
      <w:r w:rsidRPr="00943D4C">
        <w:rPr>
          <w:rFonts w:ascii="Times New Roman" w:hAnsi="Times New Roman" w:cs="Times New Roman"/>
          <w:i/>
          <w:iCs/>
          <w:sz w:val="18"/>
          <w:szCs w:val="18"/>
        </w:rPr>
        <w:t>Astral Magic</w:t>
      </w:r>
      <w:r w:rsidRPr="00943D4C">
        <w:rPr>
          <w:rFonts w:ascii="Times New Roman" w:hAnsi="Times New Roman" w:cs="Times New Roman"/>
          <w:sz w:val="18"/>
          <w:szCs w:val="18"/>
        </w:rPr>
        <w:t>, pp. 17-18.</w:t>
      </w:r>
    </w:p>
  </w:footnote>
  <w:footnote w:id="13">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14" w:name="_Hlk131455914"/>
      <w:r w:rsidRPr="00943D4C">
        <w:rPr>
          <w:rFonts w:ascii="Times New Roman" w:hAnsi="Times New Roman" w:cs="Times New Roman"/>
          <w:sz w:val="18"/>
          <w:szCs w:val="18"/>
        </w:rPr>
        <w:t>Arnor</w:t>
      </w:r>
      <w:bookmarkEnd w:id="14"/>
      <w:r w:rsidRPr="00943D4C">
        <w:rPr>
          <w:rFonts w:ascii="Times New Roman" w:hAnsi="Times New Roman" w:cs="Times New Roman"/>
          <w:sz w:val="18"/>
          <w:szCs w:val="18"/>
        </w:rPr>
        <w:t>, pp. 201-203.</w:t>
      </w:r>
    </w:p>
  </w:footnote>
  <w:footnote w:id="14">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Reiner, </w:t>
      </w:r>
      <w:r w:rsidRPr="00943D4C">
        <w:rPr>
          <w:rFonts w:ascii="Times New Roman" w:hAnsi="Times New Roman" w:cs="Times New Roman"/>
          <w:i/>
          <w:iCs/>
          <w:sz w:val="18"/>
          <w:szCs w:val="18"/>
        </w:rPr>
        <w:t>Astral Magic</w:t>
      </w:r>
      <w:r w:rsidRPr="00943D4C">
        <w:rPr>
          <w:rFonts w:ascii="Times New Roman" w:hAnsi="Times New Roman" w:cs="Times New Roman"/>
          <w:sz w:val="18"/>
          <w:szCs w:val="18"/>
        </w:rPr>
        <w:t>, pp. 15, 24, 133-43.</w:t>
      </w:r>
    </w:p>
  </w:footnote>
  <w:footnote w:id="15">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15" w:name="_Hlk131455628"/>
      <w:r w:rsidRPr="00943D4C">
        <w:rPr>
          <w:rFonts w:ascii="Times New Roman" w:hAnsi="Times New Roman" w:cs="Times New Roman"/>
          <w:sz w:val="18"/>
          <w:szCs w:val="18"/>
        </w:rPr>
        <w:t xml:space="preserve">Hermann Hunger, ‘How to Make the Gods Speak: A Late Babylonian Tablet Related to the Microzodiac’, in </w:t>
      </w:r>
      <w:r w:rsidRPr="00943D4C">
        <w:rPr>
          <w:rFonts w:ascii="Times New Roman" w:hAnsi="Times New Roman" w:cs="Times New Roman"/>
          <w:i/>
          <w:iCs/>
          <w:sz w:val="18"/>
          <w:szCs w:val="18"/>
        </w:rPr>
        <w:t>Studies Presented to Robert D. Biggs</w:t>
      </w:r>
      <w:r w:rsidRPr="00943D4C">
        <w:rPr>
          <w:rFonts w:ascii="Times New Roman" w:hAnsi="Times New Roman" w:cs="Times New Roman"/>
          <w:sz w:val="18"/>
          <w:szCs w:val="18"/>
        </w:rPr>
        <w:t>, From the Workshop o</w:t>
      </w:r>
      <w:r w:rsidR="00B861B6">
        <w:rPr>
          <w:rFonts w:ascii="Times New Roman" w:hAnsi="Times New Roman" w:cs="Times New Roman"/>
          <w:sz w:val="18"/>
          <w:szCs w:val="18"/>
        </w:rPr>
        <w:t>f the Assyrian Dictionary 2, ed</w:t>
      </w:r>
      <w:r w:rsidRPr="00943D4C">
        <w:rPr>
          <w:rFonts w:ascii="Times New Roman" w:hAnsi="Times New Roman" w:cs="Times New Roman"/>
          <w:sz w:val="18"/>
          <w:szCs w:val="18"/>
        </w:rPr>
        <w:t xml:space="preserve">. by Martha T. Roth </w:t>
      </w:r>
      <w:r w:rsidRPr="00943D4C">
        <w:rPr>
          <w:rFonts w:ascii="Times New Roman" w:hAnsi="Times New Roman" w:cs="Times New Roman"/>
          <w:i/>
          <w:sz w:val="18"/>
          <w:szCs w:val="18"/>
        </w:rPr>
        <w:t>et al</w:t>
      </w:r>
      <w:r w:rsidRPr="00943D4C">
        <w:rPr>
          <w:rFonts w:ascii="Times New Roman" w:hAnsi="Times New Roman" w:cs="Times New Roman"/>
          <w:sz w:val="18"/>
          <w:szCs w:val="18"/>
        </w:rPr>
        <w:t>. (Chicago: The Oriental Institute of the University of Chicago, 2007), pp. 141-51</w:t>
      </w:r>
      <w:bookmarkEnd w:id="15"/>
      <w:r w:rsidRPr="00943D4C">
        <w:rPr>
          <w:rFonts w:ascii="Times New Roman" w:hAnsi="Times New Roman" w:cs="Times New Roman"/>
          <w:sz w:val="18"/>
          <w:szCs w:val="18"/>
        </w:rPr>
        <w:t>, p. 143.</w:t>
      </w:r>
    </w:p>
  </w:footnote>
  <w:footnote w:id="16">
    <w:p w:rsidR="00D61708" w:rsidRPr="00943D4C" w:rsidRDefault="00D61708" w:rsidP="00D61708">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Arnor, p. 203.</w:t>
      </w:r>
    </w:p>
  </w:footnote>
  <w:footnote w:id="17">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16" w:name="_Hlk131779425"/>
      <w:r w:rsidRPr="00943D4C">
        <w:rPr>
          <w:rFonts w:ascii="Times New Roman" w:hAnsi="Times New Roman" w:cs="Times New Roman"/>
          <w:sz w:val="18"/>
          <w:szCs w:val="18"/>
        </w:rPr>
        <w:t xml:space="preserve">William Furley and Victor Gysemberghe, </w:t>
      </w:r>
      <w:r w:rsidRPr="00943D4C">
        <w:rPr>
          <w:rFonts w:ascii="Times New Roman" w:hAnsi="Times New Roman" w:cs="Times New Roman"/>
          <w:i/>
          <w:iCs/>
          <w:sz w:val="18"/>
          <w:szCs w:val="18"/>
        </w:rPr>
        <w:t>Reading the Liver: Papyrological Texts on Ancient Greek Extispicy</w:t>
      </w:r>
      <w:r w:rsidRPr="00943D4C">
        <w:rPr>
          <w:rFonts w:ascii="Times New Roman" w:hAnsi="Times New Roman" w:cs="Times New Roman"/>
          <w:sz w:val="18"/>
          <w:szCs w:val="18"/>
        </w:rPr>
        <w:t xml:space="preserve">, Studien und Texte zu Antike und Christentum 94 (Tübingen: Mohr Siebeck, 2015), </w:t>
      </w:r>
      <w:bookmarkEnd w:id="16"/>
      <w:r w:rsidRPr="00943D4C">
        <w:rPr>
          <w:rFonts w:ascii="Times New Roman" w:hAnsi="Times New Roman" w:cs="Times New Roman"/>
          <w:sz w:val="18"/>
          <w:szCs w:val="18"/>
        </w:rPr>
        <w:t>pp. 78-81.</w:t>
      </w:r>
    </w:p>
  </w:footnote>
  <w:footnote w:id="18">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00D30423" w:rsidRPr="00D30423">
        <w:rPr>
          <w:rFonts w:ascii="Times New Roman" w:hAnsi="Times New Roman" w:cs="Times New Roman"/>
          <w:sz w:val="18"/>
          <w:szCs w:val="18"/>
        </w:rPr>
        <w:t xml:space="preserve">Plato, </w:t>
      </w:r>
      <w:r w:rsidR="00D30423" w:rsidRPr="00793360">
        <w:rPr>
          <w:rFonts w:ascii="Times New Roman" w:hAnsi="Times New Roman" w:cs="Times New Roman"/>
          <w:i/>
          <w:sz w:val="18"/>
          <w:szCs w:val="18"/>
        </w:rPr>
        <w:t>The Collected Dialogues</w:t>
      </w:r>
      <w:r w:rsidR="00B861B6">
        <w:rPr>
          <w:rFonts w:ascii="Times New Roman" w:hAnsi="Times New Roman" w:cs="Times New Roman"/>
          <w:sz w:val="18"/>
          <w:szCs w:val="18"/>
        </w:rPr>
        <w:t>, Bollingen Series 71. ed</w:t>
      </w:r>
      <w:r w:rsidR="00D30423" w:rsidRPr="00D30423">
        <w:rPr>
          <w:rFonts w:ascii="Times New Roman" w:hAnsi="Times New Roman" w:cs="Times New Roman"/>
          <w:sz w:val="18"/>
          <w:szCs w:val="18"/>
        </w:rPr>
        <w:t>. by Edith Hamilton and Huntington Cairns (Princeton: Princeton University Press, 1963)</w:t>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Timaeus</w:t>
      </w:r>
      <w:r w:rsidRPr="00943D4C">
        <w:rPr>
          <w:rFonts w:ascii="Times New Roman" w:hAnsi="Times New Roman" w:cs="Times New Roman"/>
          <w:sz w:val="18"/>
          <w:szCs w:val="18"/>
        </w:rPr>
        <w:t>, 40c-d.</w:t>
      </w:r>
    </w:p>
  </w:footnote>
  <w:footnote w:id="19">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17" w:name="_Hlk131540495"/>
      <w:r w:rsidRPr="00943D4C">
        <w:rPr>
          <w:rFonts w:ascii="Times New Roman" w:hAnsi="Times New Roman" w:cs="Times New Roman"/>
          <w:sz w:val="18"/>
          <w:szCs w:val="18"/>
        </w:rPr>
        <w:t xml:space="preserve">Anne Sheppard, ‘The Mirror of the Imagination: The Influence of </w:t>
      </w:r>
      <w:r w:rsidRPr="00943D4C">
        <w:rPr>
          <w:rFonts w:ascii="Times New Roman" w:hAnsi="Times New Roman" w:cs="Times New Roman"/>
          <w:i/>
          <w:iCs/>
          <w:sz w:val="18"/>
          <w:szCs w:val="18"/>
        </w:rPr>
        <w:t>Timaeus</w:t>
      </w:r>
      <w:r w:rsidRPr="00943D4C">
        <w:rPr>
          <w:rFonts w:ascii="Times New Roman" w:hAnsi="Times New Roman" w:cs="Times New Roman"/>
          <w:sz w:val="18"/>
          <w:szCs w:val="18"/>
        </w:rPr>
        <w:t xml:space="preserve"> 70e ff’, </w:t>
      </w:r>
      <w:r w:rsidRPr="00943D4C">
        <w:rPr>
          <w:rFonts w:ascii="Times New Roman" w:hAnsi="Times New Roman" w:cs="Times New Roman"/>
          <w:i/>
          <w:iCs/>
          <w:sz w:val="18"/>
          <w:szCs w:val="18"/>
        </w:rPr>
        <w:t>Bulletin of the Institute of Classical Studies</w:t>
      </w:r>
      <w:r w:rsidRPr="00943D4C">
        <w:rPr>
          <w:rFonts w:ascii="Times New Roman" w:hAnsi="Times New Roman" w:cs="Times New Roman"/>
          <w:sz w:val="18"/>
          <w:szCs w:val="18"/>
        </w:rPr>
        <w:t>, 46 (2003), 203-212</w:t>
      </w:r>
      <w:bookmarkEnd w:id="17"/>
      <w:r w:rsidRPr="00943D4C">
        <w:rPr>
          <w:rFonts w:ascii="Times New Roman" w:hAnsi="Times New Roman" w:cs="Times New Roman"/>
          <w:sz w:val="18"/>
          <w:szCs w:val="18"/>
        </w:rPr>
        <w:t xml:space="preserve">, pp. 205-208. </w:t>
      </w:r>
    </w:p>
  </w:footnote>
  <w:footnote w:id="20">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Plato, </w:t>
      </w:r>
      <w:r w:rsidRPr="00943D4C">
        <w:rPr>
          <w:rFonts w:ascii="Times New Roman" w:hAnsi="Times New Roman" w:cs="Times New Roman"/>
          <w:i/>
          <w:iCs/>
          <w:sz w:val="18"/>
          <w:szCs w:val="18"/>
        </w:rPr>
        <w:t>Timaeus</w:t>
      </w:r>
      <w:r w:rsidRPr="00943D4C">
        <w:rPr>
          <w:rFonts w:ascii="Times New Roman" w:hAnsi="Times New Roman" w:cs="Times New Roman"/>
          <w:sz w:val="18"/>
          <w:szCs w:val="18"/>
        </w:rPr>
        <w:t>, 71a…71d-e.</w:t>
      </w:r>
    </w:p>
  </w:footnote>
  <w:footnote w:id="21">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18" w:name="_Hlk131603445"/>
      <w:r w:rsidRPr="00943D4C">
        <w:rPr>
          <w:rFonts w:ascii="Times New Roman" w:hAnsi="Times New Roman" w:cs="Times New Roman"/>
          <w:sz w:val="18"/>
          <w:szCs w:val="18"/>
        </w:rPr>
        <w:t xml:space="preserve">Fritz Graf, </w:t>
      </w:r>
      <w:r w:rsidRPr="00943D4C">
        <w:rPr>
          <w:rFonts w:ascii="Times New Roman" w:hAnsi="Times New Roman" w:cs="Times New Roman"/>
          <w:i/>
          <w:iCs/>
          <w:sz w:val="18"/>
          <w:szCs w:val="18"/>
        </w:rPr>
        <w:t>Magic in the Ancient World</w:t>
      </w:r>
      <w:r w:rsidRPr="00943D4C">
        <w:rPr>
          <w:rFonts w:ascii="Times New Roman" w:hAnsi="Times New Roman" w:cs="Times New Roman"/>
          <w:sz w:val="18"/>
          <w:szCs w:val="18"/>
        </w:rPr>
        <w:t xml:space="preserve">, trans. by Franklin Philip (Cambridge, Mass.: Harvard University Press, 1997), </w:t>
      </w:r>
      <w:bookmarkEnd w:id="18"/>
      <w:r w:rsidRPr="00943D4C">
        <w:rPr>
          <w:rFonts w:ascii="Times New Roman" w:hAnsi="Times New Roman" w:cs="Times New Roman"/>
          <w:sz w:val="18"/>
          <w:szCs w:val="18"/>
        </w:rPr>
        <w:t>p. 40.</w:t>
      </w:r>
    </w:p>
  </w:footnote>
  <w:footnote w:id="22">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19" w:name="_Hlk131614669"/>
      <w:r w:rsidRPr="00943D4C">
        <w:rPr>
          <w:rFonts w:ascii="Times New Roman" w:hAnsi="Times New Roman" w:cs="Times New Roman"/>
          <w:sz w:val="18"/>
          <w:szCs w:val="18"/>
        </w:rPr>
        <w:t xml:space="preserve">Roger Beck, </w:t>
      </w:r>
      <w:r w:rsidRPr="00943D4C">
        <w:rPr>
          <w:rFonts w:ascii="Times New Roman" w:hAnsi="Times New Roman" w:cs="Times New Roman"/>
          <w:i/>
          <w:iCs/>
          <w:sz w:val="18"/>
          <w:szCs w:val="18"/>
        </w:rPr>
        <w:t>A Brief History of Astrology</w:t>
      </w:r>
      <w:r w:rsidRPr="00943D4C">
        <w:rPr>
          <w:rFonts w:ascii="Times New Roman" w:hAnsi="Times New Roman" w:cs="Times New Roman"/>
          <w:sz w:val="18"/>
          <w:szCs w:val="18"/>
        </w:rPr>
        <w:t xml:space="preserve"> (Oxford: Blackwell, 2007), </w:t>
      </w:r>
      <w:bookmarkEnd w:id="19"/>
      <w:r w:rsidRPr="00943D4C">
        <w:rPr>
          <w:rFonts w:ascii="Times New Roman" w:hAnsi="Times New Roman" w:cs="Times New Roman"/>
          <w:sz w:val="18"/>
          <w:szCs w:val="18"/>
        </w:rPr>
        <w:t>p. 14.</w:t>
      </w:r>
    </w:p>
  </w:footnote>
  <w:footnote w:id="23">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20" w:name="_Hlk131616970"/>
      <w:r w:rsidRPr="00943D4C">
        <w:rPr>
          <w:rFonts w:ascii="Times New Roman" w:hAnsi="Times New Roman" w:cs="Times New Roman"/>
          <w:sz w:val="18"/>
          <w:szCs w:val="18"/>
        </w:rPr>
        <w:t xml:space="preserve">Gerald J. Toomer, ‘Ptolemy and his Greek Predecessors’, in </w:t>
      </w:r>
      <w:r w:rsidRPr="00943D4C">
        <w:rPr>
          <w:rFonts w:ascii="Times New Roman" w:hAnsi="Times New Roman" w:cs="Times New Roman"/>
          <w:i/>
          <w:iCs/>
          <w:sz w:val="18"/>
          <w:szCs w:val="18"/>
        </w:rPr>
        <w:t>Astronomy before the Telescope</w:t>
      </w:r>
      <w:r w:rsidRPr="00943D4C">
        <w:rPr>
          <w:rFonts w:ascii="Times New Roman" w:hAnsi="Times New Roman" w:cs="Times New Roman"/>
          <w:sz w:val="18"/>
          <w:szCs w:val="18"/>
        </w:rPr>
        <w:t>, ed. by Christopher Walker (London: British Museum Press, 1996), pp. 68-91</w:t>
      </w:r>
      <w:bookmarkEnd w:id="20"/>
      <w:r w:rsidRPr="00943D4C">
        <w:rPr>
          <w:rFonts w:ascii="Times New Roman" w:hAnsi="Times New Roman" w:cs="Times New Roman"/>
          <w:sz w:val="18"/>
          <w:szCs w:val="18"/>
        </w:rPr>
        <w:t>, pp. 80-81.</w:t>
      </w:r>
    </w:p>
  </w:footnote>
  <w:footnote w:id="24">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21" w:name="_Hlk131789886"/>
      <w:r w:rsidRPr="00943D4C">
        <w:rPr>
          <w:rFonts w:ascii="Times New Roman" w:hAnsi="Times New Roman" w:cs="Times New Roman"/>
          <w:sz w:val="18"/>
          <w:szCs w:val="18"/>
        </w:rPr>
        <w:t xml:space="preserve">Ulla Koch-Westenholz, </w:t>
      </w:r>
      <w:r w:rsidRPr="00943D4C">
        <w:rPr>
          <w:rFonts w:ascii="Times New Roman" w:hAnsi="Times New Roman" w:cs="Times New Roman"/>
          <w:i/>
          <w:iCs/>
          <w:sz w:val="18"/>
          <w:szCs w:val="18"/>
        </w:rPr>
        <w:t>Mesopotamian Astrology: An Introduction to Babylonian and Assyrian Celestial Divination</w:t>
      </w:r>
      <w:r w:rsidRPr="00943D4C">
        <w:rPr>
          <w:rFonts w:ascii="Times New Roman" w:hAnsi="Times New Roman" w:cs="Times New Roman"/>
          <w:sz w:val="18"/>
          <w:szCs w:val="18"/>
        </w:rPr>
        <w:t xml:space="preserve">, CNI Publications 19 (Copenhagen: Museum Tusculanum Press, 1995), </w:t>
      </w:r>
      <w:bookmarkEnd w:id="21"/>
      <w:r w:rsidRPr="00943D4C">
        <w:rPr>
          <w:rFonts w:ascii="Times New Roman" w:hAnsi="Times New Roman" w:cs="Times New Roman"/>
          <w:sz w:val="18"/>
          <w:szCs w:val="18"/>
        </w:rPr>
        <w:t>pp. 51-52; cf. Beck, pp. 12-19.</w:t>
      </w:r>
    </w:p>
  </w:footnote>
  <w:footnote w:id="25">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Anthony Arthur Long, </w:t>
      </w:r>
      <w:r w:rsidRPr="00943D4C">
        <w:rPr>
          <w:rFonts w:ascii="Times New Roman" w:hAnsi="Times New Roman" w:cs="Times New Roman"/>
          <w:i/>
          <w:sz w:val="18"/>
          <w:szCs w:val="18"/>
        </w:rPr>
        <w:t>Hellenistic Philosophy: Stoics, Epicureans, Sceptics</w:t>
      </w:r>
      <w:r w:rsidRPr="00943D4C">
        <w:rPr>
          <w:rFonts w:ascii="Times New Roman" w:hAnsi="Times New Roman" w:cs="Times New Roman"/>
          <w:sz w:val="18"/>
          <w:szCs w:val="18"/>
        </w:rPr>
        <w:t xml:space="preserve"> (London: Bristol Classical Press, 1996), p. vii. </w:t>
      </w:r>
    </w:p>
  </w:footnote>
  <w:footnote w:id="26">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22" w:name="_Hlk131793832"/>
      <w:r w:rsidRPr="00943D4C">
        <w:rPr>
          <w:rFonts w:ascii="Times New Roman" w:hAnsi="Times New Roman" w:cs="Times New Roman"/>
          <w:sz w:val="18"/>
          <w:szCs w:val="18"/>
        </w:rPr>
        <w:t xml:space="preserve">Frederick H. Cramer, </w:t>
      </w:r>
      <w:r w:rsidRPr="00943D4C">
        <w:rPr>
          <w:rFonts w:ascii="Times New Roman" w:hAnsi="Times New Roman" w:cs="Times New Roman"/>
          <w:i/>
          <w:iCs/>
          <w:sz w:val="18"/>
          <w:szCs w:val="18"/>
        </w:rPr>
        <w:t>Astrology in Roman Law and Politics</w:t>
      </w:r>
      <w:r w:rsidRPr="00943D4C">
        <w:rPr>
          <w:rFonts w:ascii="Times New Roman" w:hAnsi="Times New Roman" w:cs="Times New Roman"/>
          <w:sz w:val="18"/>
          <w:szCs w:val="18"/>
        </w:rPr>
        <w:t xml:space="preserve"> (Philadelphia: The American Philosophical Society, 1954), </w:t>
      </w:r>
      <w:bookmarkEnd w:id="22"/>
      <w:r w:rsidRPr="00943D4C">
        <w:rPr>
          <w:rFonts w:ascii="Times New Roman" w:hAnsi="Times New Roman" w:cs="Times New Roman"/>
          <w:sz w:val="18"/>
          <w:szCs w:val="18"/>
        </w:rPr>
        <w:t>pp. 249-50.</w:t>
      </w:r>
    </w:p>
  </w:footnote>
  <w:footnote w:id="27">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23" w:name="_Hlk131794355"/>
      <w:r w:rsidRPr="00943D4C">
        <w:rPr>
          <w:rFonts w:ascii="Times New Roman" w:hAnsi="Times New Roman" w:cs="Times New Roman"/>
          <w:sz w:val="18"/>
          <w:szCs w:val="18"/>
        </w:rPr>
        <w:t>Beck</w:t>
      </w:r>
      <w:bookmarkEnd w:id="23"/>
      <w:r w:rsidRPr="00943D4C">
        <w:rPr>
          <w:rFonts w:ascii="Times New Roman" w:hAnsi="Times New Roman" w:cs="Times New Roman"/>
          <w:sz w:val="18"/>
          <w:szCs w:val="18"/>
        </w:rPr>
        <w:t>, pp. 9-11.</w:t>
      </w:r>
    </w:p>
  </w:footnote>
  <w:footnote w:id="28">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Pauline Ripat, ‘Expelling Misconceptions: Astrologers at Rome,’ in </w:t>
      </w:r>
      <w:r w:rsidRPr="00943D4C">
        <w:rPr>
          <w:rFonts w:ascii="Times New Roman" w:hAnsi="Times New Roman" w:cs="Times New Roman"/>
          <w:i/>
          <w:sz w:val="18"/>
          <w:szCs w:val="18"/>
        </w:rPr>
        <w:t>Classical Philology</w:t>
      </w:r>
      <w:r w:rsidRPr="00943D4C">
        <w:rPr>
          <w:rFonts w:ascii="Times New Roman" w:hAnsi="Times New Roman" w:cs="Times New Roman"/>
          <w:sz w:val="18"/>
          <w:szCs w:val="18"/>
        </w:rPr>
        <w:t>, 106 (2011), 115–54, p. 124.</w:t>
      </w:r>
    </w:p>
  </w:footnote>
  <w:footnote w:id="29">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bookmarkStart w:id="24" w:name="_Hlk131840705"/>
      <w:r w:rsidRPr="00943D4C">
        <w:rPr>
          <w:rFonts w:ascii="Times New Roman" w:hAnsi="Times New Roman" w:cs="Times New Roman"/>
          <w:sz w:val="18"/>
          <w:szCs w:val="18"/>
        </w:rPr>
        <w:t xml:space="preserve">Michael Stausberg, ‘Zarathustra: Post-Gathic Trajectories’, in </w:t>
      </w:r>
      <w:r w:rsidRPr="00943D4C">
        <w:rPr>
          <w:rFonts w:ascii="Times New Roman" w:hAnsi="Times New Roman" w:cs="Times New Roman"/>
          <w:i/>
          <w:iCs/>
          <w:sz w:val="18"/>
          <w:szCs w:val="18"/>
        </w:rPr>
        <w:t>The Wiley Blackwell Companion to Zoroastrianism</w:t>
      </w:r>
      <w:r w:rsidR="00D30423">
        <w:rPr>
          <w:rFonts w:ascii="Times New Roman" w:hAnsi="Times New Roman" w:cs="Times New Roman"/>
          <w:sz w:val="18"/>
          <w:szCs w:val="18"/>
        </w:rPr>
        <w:t>, ed. by</w:t>
      </w:r>
      <w:r w:rsidRPr="00943D4C">
        <w:rPr>
          <w:rFonts w:ascii="Times New Roman" w:hAnsi="Times New Roman" w:cs="Times New Roman"/>
          <w:sz w:val="18"/>
          <w:szCs w:val="18"/>
        </w:rPr>
        <w:t xml:space="preserve"> Michael Stausberg, Yuhan Sohrab-Dinshaw Vevaina, and Anna Tessmann (Oxford: Wiley Blackwell, 2015), pp. 69-81</w:t>
      </w:r>
      <w:bookmarkEnd w:id="24"/>
      <w:r w:rsidRPr="00943D4C">
        <w:rPr>
          <w:rFonts w:ascii="Times New Roman" w:hAnsi="Times New Roman" w:cs="Times New Roman"/>
          <w:sz w:val="18"/>
          <w:szCs w:val="18"/>
        </w:rPr>
        <w:t>, pp. 71-73.</w:t>
      </w:r>
    </w:p>
  </w:footnote>
  <w:footnote w:id="30">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00D30423">
        <w:rPr>
          <w:rFonts w:ascii="Times New Roman" w:hAnsi="Times New Roman" w:cs="Times New Roman"/>
          <w:sz w:val="18"/>
          <w:szCs w:val="18"/>
        </w:rPr>
        <w:t xml:space="preserve"> </w:t>
      </w:r>
      <w:r w:rsidR="00D30423" w:rsidRPr="00D30423">
        <w:rPr>
          <w:rFonts w:ascii="Times New Roman" w:hAnsi="Times New Roman" w:cs="Times New Roman"/>
          <w:sz w:val="18"/>
          <w:szCs w:val="18"/>
        </w:rPr>
        <w:t>Ptolemy, Tetrabiblos, Loeb Classical Library, trans. by F. E. Robbins (Cambridge, Mass.: Harvard University Press, 1940)</w:t>
      </w:r>
      <w:r w:rsidR="00D30423">
        <w:rPr>
          <w:rFonts w:ascii="Times New Roman" w:hAnsi="Times New Roman" w:cs="Times New Roman"/>
          <w:sz w:val="18"/>
          <w:szCs w:val="18"/>
        </w:rPr>
        <w:t>,</w:t>
      </w:r>
      <w:r w:rsidRPr="00943D4C">
        <w:rPr>
          <w:rFonts w:ascii="Times New Roman" w:hAnsi="Times New Roman" w:cs="Times New Roman"/>
          <w:sz w:val="18"/>
          <w:szCs w:val="18"/>
        </w:rPr>
        <w:t xml:space="preserve"> 1.1.</w:t>
      </w:r>
    </w:p>
  </w:footnote>
  <w:footnote w:id="31">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Ptolemy, </w:t>
      </w:r>
      <w:r w:rsidRPr="00943D4C">
        <w:rPr>
          <w:rFonts w:ascii="Times New Roman" w:hAnsi="Times New Roman" w:cs="Times New Roman"/>
          <w:i/>
          <w:iCs/>
          <w:sz w:val="18"/>
          <w:szCs w:val="18"/>
        </w:rPr>
        <w:t>Tetrabiblos</w:t>
      </w:r>
      <w:r w:rsidR="007E570D">
        <w:rPr>
          <w:rFonts w:ascii="Times New Roman" w:hAnsi="Times New Roman" w:cs="Times New Roman"/>
          <w:i/>
          <w:iCs/>
          <w:sz w:val="18"/>
          <w:szCs w:val="18"/>
        </w:rPr>
        <w:t>,</w:t>
      </w:r>
      <w:r w:rsidRPr="00943D4C">
        <w:rPr>
          <w:rFonts w:ascii="Times New Roman" w:hAnsi="Times New Roman" w:cs="Times New Roman"/>
          <w:sz w:val="18"/>
          <w:szCs w:val="18"/>
        </w:rPr>
        <w:t xml:space="preserve"> 1.2.</w:t>
      </w:r>
    </w:p>
  </w:footnote>
  <w:footnote w:id="32">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Claire Hall, ‘Horoscopes of the Moon: Weather Prediction as Astrology in Ptolemy’s Tetrabiblos’, </w:t>
      </w:r>
      <w:r w:rsidRPr="00943D4C">
        <w:rPr>
          <w:rFonts w:ascii="Times New Roman" w:hAnsi="Times New Roman" w:cs="Times New Roman"/>
          <w:i/>
          <w:sz w:val="18"/>
          <w:szCs w:val="18"/>
        </w:rPr>
        <w:t>Early Science and Medicine</w:t>
      </w:r>
      <w:r w:rsidRPr="00943D4C">
        <w:rPr>
          <w:rFonts w:ascii="Times New Roman" w:hAnsi="Times New Roman" w:cs="Times New Roman"/>
          <w:sz w:val="18"/>
          <w:szCs w:val="18"/>
        </w:rPr>
        <w:t>, 26.3 (2021), 231-253, pp. 232-233.</w:t>
      </w:r>
    </w:p>
  </w:footnote>
  <w:footnote w:id="33">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Ptolemy, </w:t>
      </w:r>
      <w:r w:rsidRPr="00943D4C">
        <w:rPr>
          <w:rFonts w:ascii="Times New Roman" w:hAnsi="Times New Roman" w:cs="Times New Roman"/>
          <w:i/>
          <w:iCs/>
          <w:sz w:val="18"/>
          <w:szCs w:val="18"/>
        </w:rPr>
        <w:t>Tetrabiblos</w:t>
      </w:r>
      <w:r w:rsidRPr="00943D4C">
        <w:rPr>
          <w:rFonts w:ascii="Times New Roman" w:hAnsi="Times New Roman" w:cs="Times New Roman"/>
          <w:sz w:val="18"/>
          <w:szCs w:val="18"/>
        </w:rPr>
        <w:t>, 1.2.</w:t>
      </w:r>
    </w:p>
  </w:footnote>
  <w:footnote w:id="34">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Ptolemy, </w:t>
      </w:r>
      <w:r w:rsidRPr="00943D4C">
        <w:rPr>
          <w:rFonts w:ascii="Times New Roman" w:hAnsi="Times New Roman" w:cs="Times New Roman"/>
          <w:i/>
          <w:iCs/>
          <w:sz w:val="18"/>
          <w:szCs w:val="18"/>
        </w:rPr>
        <w:t>Tetrabiblos</w:t>
      </w:r>
      <w:r w:rsidRPr="00943D4C">
        <w:rPr>
          <w:rFonts w:ascii="Times New Roman" w:hAnsi="Times New Roman" w:cs="Times New Roman"/>
          <w:sz w:val="18"/>
          <w:szCs w:val="18"/>
        </w:rPr>
        <w:t>, 1.2.</w:t>
      </w:r>
    </w:p>
  </w:footnote>
  <w:footnote w:id="35">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00D30423">
        <w:rPr>
          <w:rFonts w:ascii="Times New Roman" w:hAnsi="Times New Roman" w:cs="Times New Roman"/>
          <w:sz w:val="18"/>
          <w:szCs w:val="18"/>
        </w:rPr>
        <w:t xml:space="preserve"> </w:t>
      </w:r>
      <w:r w:rsidR="00D30423" w:rsidRPr="00D30423">
        <w:rPr>
          <w:rFonts w:ascii="Times New Roman" w:hAnsi="Times New Roman" w:cs="Times New Roman"/>
          <w:sz w:val="18"/>
          <w:szCs w:val="18"/>
        </w:rPr>
        <w:t xml:space="preserve">Nemesius, </w:t>
      </w:r>
      <w:r w:rsidR="00D30423" w:rsidRPr="003418B3">
        <w:rPr>
          <w:rFonts w:ascii="Times New Roman" w:hAnsi="Times New Roman" w:cs="Times New Roman"/>
          <w:i/>
          <w:sz w:val="18"/>
          <w:szCs w:val="18"/>
        </w:rPr>
        <w:t>On the Nature of Man</w:t>
      </w:r>
      <w:r w:rsidR="00D30423" w:rsidRPr="00D30423">
        <w:rPr>
          <w:rFonts w:ascii="Times New Roman" w:hAnsi="Times New Roman" w:cs="Times New Roman"/>
          <w:sz w:val="18"/>
          <w:szCs w:val="18"/>
        </w:rPr>
        <w:t>, Translated Texts for Historians 49, trans. by R. E. Sharples and P. J. van der Eijk (Liverpool: Liverpool University Press, 2008)</w:t>
      </w:r>
      <w:r w:rsidRPr="00943D4C">
        <w:rPr>
          <w:rFonts w:ascii="Times New Roman" w:hAnsi="Times New Roman" w:cs="Times New Roman"/>
          <w:sz w:val="18"/>
          <w:szCs w:val="18"/>
        </w:rPr>
        <w:t xml:space="preserve">, 38.111. </w:t>
      </w:r>
    </w:p>
  </w:footnote>
  <w:footnote w:id="36">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00D30423" w:rsidRPr="00D30423">
        <w:rPr>
          <w:rFonts w:ascii="Times New Roman" w:hAnsi="Times New Roman" w:cs="Times New Roman"/>
          <w:sz w:val="18"/>
          <w:szCs w:val="18"/>
        </w:rPr>
        <w:t xml:space="preserve">Virgil, </w:t>
      </w:r>
      <w:r w:rsidR="00D30423" w:rsidRPr="003418B3">
        <w:rPr>
          <w:rFonts w:ascii="Times New Roman" w:hAnsi="Times New Roman" w:cs="Times New Roman"/>
          <w:i/>
          <w:sz w:val="18"/>
          <w:szCs w:val="18"/>
        </w:rPr>
        <w:t>Eclogues, Georgics, Aeneid</w:t>
      </w:r>
      <w:r w:rsidR="00D30423" w:rsidRPr="00D30423">
        <w:rPr>
          <w:rFonts w:ascii="Times New Roman" w:hAnsi="Times New Roman" w:cs="Times New Roman"/>
          <w:sz w:val="18"/>
          <w:szCs w:val="18"/>
        </w:rPr>
        <w:t>, Loeb Classical Library 63 &amp; 64, trans</w:t>
      </w:r>
      <w:r w:rsidR="007E570D">
        <w:rPr>
          <w:rFonts w:ascii="Times New Roman" w:hAnsi="Times New Roman" w:cs="Times New Roman"/>
          <w:sz w:val="18"/>
          <w:szCs w:val="18"/>
        </w:rPr>
        <w:t>.</w:t>
      </w:r>
      <w:r w:rsidR="00D30423" w:rsidRPr="00D30423">
        <w:rPr>
          <w:rFonts w:ascii="Times New Roman" w:hAnsi="Times New Roman" w:cs="Times New Roman"/>
          <w:sz w:val="18"/>
          <w:szCs w:val="18"/>
        </w:rPr>
        <w:t xml:space="preserve"> by H R Fairclough, (Cambridge, MA. Harvard University Press, 1916)</w:t>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Eclogue</w:t>
      </w:r>
      <w:r w:rsidRPr="00943D4C">
        <w:rPr>
          <w:rFonts w:ascii="Times New Roman" w:hAnsi="Times New Roman" w:cs="Times New Roman"/>
          <w:sz w:val="18"/>
          <w:szCs w:val="18"/>
        </w:rPr>
        <w:t xml:space="preserve"> 4.34-36.</w:t>
      </w:r>
    </w:p>
  </w:footnote>
  <w:footnote w:id="37">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John Sellars, ‘Stoic ontology and Plato’s Sophist’,</w:t>
      </w:r>
      <w:r w:rsidR="00B861B6">
        <w:rPr>
          <w:rFonts w:ascii="Times New Roman" w:hAnsi="Times New Roman" w:cs="Times New Roman"/>
          <w:sz w:val="18"/>
          <w:szCs w:val="18"/>
        </w:rPr>
        <w:t xml:space="preserve"> </w:t>
      </w:r>
      <w:r w:rsidRPr="00943D4C">
        <w:rPr>
          <w:rFonts w:ascii="Times New Roman" w:hAnsi="Times New Roman" w:cs="Times New Roman"/>
          <w:i/>
          <w:sz w:val="18"/>
          <w:szCs w:val="18"/>
        </w:rPr>
        <w:t>Bulletin of the Institute of Classical Studies</w:t>
      </w:r>
      <w:r w:rsidRPr="00943D4C">
        <w:rPr>
          <w:rFonts w:ascii="Times New Roman" w:hAnsi="Times New Roman" w:cs="Times New Roman"/>
          <w:sz w:val="18"/>
          <w:szCs w:val="18"/>
        </w:rPr>
        <w:t xml:space="preserve"> 107 (2010),185-203, pp. 185-187.</w:t>
      </w:r>
    </w:p>
  </w:footnote>
  <w:footnote w:id="38">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George E. Karamanolis, </w:t>
      </w:r>
      <w:r w:rsidRPr="00943D4C">
        <w:rPr>
          <w:rFonts w:ascii="Times New Roman" w:hAnsi="Times New Roman" w:cs="Times New Roman"/>
          <w:i/>
          <w:sz w:val="18"/>
          <w:szCs w:val="18"/>
        </w:rPr>
        <w:t>The Philosophy of Early Christianity. Ancient</w:t>
      </w:r>
      <w:r w:rsidRPr="00943D4C">
        <w:rPr>
          <w:rFonts w:ascii="Times New Roman" w:hAnsi="Times New Roman" w:cs="Times New Roman"/>
          <w:sz w:val="18"/>
          <w:szCs w:val="18"/>
        </w:rPr>
        <w:t xml:space="preserve"> </w:t>
      </w:r>
      <w:r w:rsidRPr="00943D4C">
        <w:rPr>
          <w:rFonts w:ascii="Times New Roman" w:hAnsi="Times New Roman" w:cs="Times New Roman"/>
          <w:i/>
          <w:sz w:val="18"/>
          <w:szCs w:val="18"/>
        </w:rPr>
        <w:t>Philosophies</w:t>
      </w:r>
      <w:r w:rsidRPr="00943D4C">
        <w:rPr>
          <w:rFonts w:ascii="Times New Roman" w:hAnsi="Times New Roman" w:cs="Times New Roman"/>
          <w:sz w:val="18"/>
          <w:szCs w:val="18"/>
        </w:rPr>
        <w:t xml:space="preserve"> (London: Routledge, 2014), p. 151.</w:t>
      </w:r>
    </w:p>
  </w:footnote>
  <w:footnote w:id="39">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Peter Adamson, ‘Plotinus on Astrology,’ </w:t>
      </w:r>
      <w:r w:rsidRPr="00943D4C">
        <w:rPr>
          <w:rFonts w:ascii="Times New Roman" w:hAnsi="Times New Roman" w:cs="Times New Roman"/>
          <w:i/>
          <w:sz w:val="18"/>
          <w:szCs w:val="18"/>
        </w:rPr>
        <w:t>Oxford Studies in Ancient Philosophy,</w:t>
      </w:r>
      <w:r w:rsidRPr="00943D4C">
        <w:rPr>
          <w:rFonts w:ascii="Times New Roman" w:hAnsi="Times New Roman" w:cs="Times New Roman"/>
          <w:sz w:val="18"/>
          <w:szCs w:val="18"/>
        </w:rPr>
        <w:t xml:space="preserve"> 35 (2008), 265-91, p.</w:t>
      </w:r>
      <w:r>
        <w:rPr>
          <w:rFonts w:ascii="Times New Roman" w:hAnsi="Times New Roman" w:cs="Times New Roman"/>
          <w:sz w:val="18"/>
          <w:szCs w:val="18"/>
        </w:rPr>
        <w:t xml:space="preserve"> 265-66.</w:t>
      </w:r>
      <w:r w:rsidRPr="00943D4C">
        <w:rPr>
          <w:rFonts w:ascii="Times New Roman" w:hAnsi="Times New Roman" w:cs="Times New Roman"/>
          <w:sz w:val="18"/>
          <w:szCs w:val="18"/>
        </w:rPr>
        <w:t xml:space="preserve"> </w:t>
      </w:r>
    </w:p>
  </w:footnote>
  <w:footnote w:id="40">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00D30423" w:rsidRPr="00D30423">
        <w:rPr>
          <w:rFonts w:ascii="Times New Roman" w:hAnsi="Times New Roman" w:cs="Times New Roman"/>
          <w:sz w:val="18"/>
          <w:szCs w:val="18"/>
        </w:rPr>
        <w:t>Plotinus, The</w:t>
      </w:r>
      <w:r w:rsidR="00B861B6">
        <w:rPr>
          <w:rFonts w:ascii="Times New Roman" w:hAnsi="Times New Roman" w:cs="Times New Roman"/>
          <w:sz w:val="18"/>
          <w:szCs w:val="18"/>
        </w:rPr>
        <w:t xml:space="preserve"> Enneads, ed</w:t>
      </w:r>
      <w:r w:rsidR="00D30423" w:rsidRPr="00D30423">
        <w:rPr>
          <w:rFonts w:ascii="Times New Roman" w:hAnsi="Times New Roman" w:cs="Times New Roman"/>
          <w:sz w:val="18"/>
          <w:szCs w:val="18"/>
        </w:rPr>
        <w:t xml:space="preserve">. by Lloyd P. Gerson, </w:t>
      </w:r>
      <w:r w:rsidR="00D30423" w:rsidRPr="00B861B6">
        <w:rPr>
          <w:rFonts w:ascii="Times New Roman" w:hAnsi="Times New Roman" w:cs="Times New Roman"/>
          <w:i/>
          <w:sz w:val="18"/>
          <w:szCs w:val="18"/>
        </w:rPr>
        <w:t>et al</w:t>
      </w:r>
      <w:r w:rsidR="00D30423" w:rsidRPr="00D30423">
        <w:rPr>
          <w:rFonts w:ascii="Times New Roman" w:hAnsi="Times New Roman" w:cs="Times New Roman"/>
          <w:sz w:val="18"/>
          <w:szCs w:val="18"/>
        </w:rPr>
        <w:t>. (Cambridge: Cambridge University Press, 2018)</w:t>
      </w:r>
      <w:r w:rsidR="00D30423">
        <w:rPr>
          <w:rFonts w:ascii="Times New Roman" w:hAnsi="Times New Roman" w:cs="Times New Roman"/>
          <w:sz w:val="18"/>
          <w:szCs w:val="18"/>
        </w:rPr>
        <w:t xml:space="preserve">, </w:t>
      </w:r>
      <w:r w:rsidRPr="00943D4C">
        <w:rPr>
          <w:rFonts w:ascii="Times New Roman" w:hAnsi="Times New Roman" w:cs="Times New Roman"/>
          <w:i/>
          <w:iCs/>
          <w:sz w:val="18"/>
          <w:szCs w:val="18"/>
        </w:rPr>
        <w:t>Enneads</w:t>
      </w:r>
      <w:r w:rsidRPr="00943D4C">
        <w:rPr>
          <w:rFonts w:ascii="Times New Roman" w:hAnsi="Times New Roman" w:cs="Times New Roman"/>
          <w:sz w:val="18"/>
          <w:szCs w:val="18"/>
        </w:rPr>
        <w:t xml:space="preserve">, 2.3, 52. </w:t>
      </w:r>
    </w:p>
  </w:footnote>
  <w:footnote w:id="41">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Enneads</w:t>
      </w:r>
      <w:r w:rsidR="007E570D">
        <w:rPr>
          <w:rFonts w:ascii="Times New Roman" w:hAnsi="Times New Roman" w:cs="Times New Roman"/>
          <w:sz w:val="18"/>
          <w:szCs w:val="18"/>
        </w:rPr>
        <w:t>, 2.3.1;</w:t>
      </w:r>
      <w:r w:rsidRPr="00943D4C">
        <w:rPr>
          <w:rFonts w:ascii="Times New Roman" w:hAnsi="Times New Roman" w:cs="Times New Roman"/>
          <w:sz w:val="18"/>
          <w:szCs w:val="18"/>
        </w:rPr>
        <w:t xml:space="preserve"> James Wilberding. ‘Chapter 14.2 Plotinus on the Motion of the Stars’, in </w:t>
      </w:r>
      <w:r w:rsidRPr="00943D4C">
        <w:rPr>
          <w:rFonts w:ascii="Times New Roman" w:hAnsi="Times New Roman" w:cs="Times New Roman"/>
          <w:i/>
          <w:sz w:val="18"/>
          <w:szCs w:val="18"/>
        </w:rPr>
        <w:t>Hellenistic Astronomy</w:t>
      </w:r>
      <w:r w:rsidRPr="00943D4C">
        <w:rPr>
          <w:rFonts w:ascii="Times New Roman" w:hAnsi="Times New Roman" w:cs="Times New Roman"/>
          <w:sz w:val="18"/>
          <w:szCs w:val="18"/>
        </w:rPr>
        <w:t xml:space="preserve"> ed by A. C. Bowen and F.Rochberg, (Leiden: Brill, 2020), pp. 619–630, p. 620.</w:t>
      </w:r>
    </w:p>
  </w:footnote>
  <w:footnote w:id="42">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Enneads</w:t>
      </w:r>
      <w:r w:rsidRPr="00943D4C">
        <w:rPr>
          <w:rFonts w:ascii="Times New Roman" w:hAnsi="Times New Roman" w:cs="Times New Roman"/>
          <w:sz w:val="18"/>
          <w:szCs w:val="18"/>
        </w:rPr>
        <w:t xml:space="preserve">, 2.3.2. </w:t>
      </w:r>
    </w:p>
  </w:footnote>
  <w:footnote w:id="43">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Enneads</w:t>
      </w:r>
      <w:r w:rsidRPr="00943D4C">
        <w:rPr>
          <w:rFonts w:ascii="Times New Roman" w:hAnsi="Times New Roman" w:cs="Times New Roman"/>
          <w:sz w:val="18"/>
          <w:szCs w:val="18"/>
        </w:rPr>
        <w:t>, 2.3.7.</w:t>
      </w:r>
    </w:p>
  </w:footnote>
  <w:footnote w:id="44">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Enneads</w:t>
      </w:r>
      <w:r w:rsidRPr="00943D4C">
        <w:rPr>
          <w:rFonts w:ascii="Times New Roman" w:hAnsi="Times New Roman" w:cs="Times New Roman"/>
          <w:sz w:val="18"/>
          <w:szCs w:val="18"/>
        </w:rPr>
        <w:t xml:space="preserve"> 2.3.7.</w:t>
      </w:r>
    </w:p>
  </w:footnote>
  <w:footnote w:id="45">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Enneads 2.3.8.</w:t>
      </w:r>
    </w:p>
  </w:footnote>
  <w:footnote w:id="46">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Plato, </w:t>
      </w:r>
      <w:r w:rsidRPr="00943D4C">
        <w:rPr>
          <w:rFonts w:ascii="Times New Roman" w:hAnsi="Times New Roman" w:cs="Times New Roman"/>
          <w:i/>
          <w:iCs/>
          <w:sz w:val="18"/>
          <w:szCs w:val="18"/>
        </w:rPr>
        <w:t>Timaeus</w:t>
      </w:r>
      <w:r w:rsidRPr="00943D4C">
        <w:rPr>
          <w:rFonts w:ascii="Times New Roman" w:hAnsi="Times New Roman" w:cs="Times New Roman"/>
          <w:sz w:val="18"/>
          <w:szCs w:val="18"/>
        </w:rPr>
        <w:t xml:space="preserve"> 69</w:t>
      </w:r>
      <w:r w:rsidR="008F1353">
        <w:rPr>
          <w:rFonts w:ascii="Times New Roman" w:hAnsi="Times New Roman" w:cs="Times New Roman"/>
          <w:sz w:val="18"/>
          <w:szCs w:val="18"/>
        </w:rPr>
        <w:t xml:space="preserve"> </w:t>
      </w:r>
      <w:r w:rsidRPr="00943D4C">
        <w:rPr>
          <w:rFonts w:ascii="Times New Roman" w:hAnsi="Times New Roman" w:cs="Times New Roman"/>
          <w:sz w:val="18"/>
          <w:szCs w:val="18"/>
        </w:rPr>
        <w:t>C-D.</w:t>
      </w:r>
    </w:p>
  </w:footnote>
  <w:footnote w:id="47">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Enneads</w:t>
      </w:r>
      <w:r w:rsidRPr="00943D4C">
        <w:rPr>
          <w:rFonts w:ascii="Times New Roman" w:hAnsi="Times New Roman" w:cs="Times New Roman"/>
          <w:sz w:val="18"/>
          <w:szCs w:val="18"/>
        </w:rPr>
        <w:t>, 2.3.9.</w:t>
      </w:r>
    </w:p>
  </w:footnote>
  <w:footnote w:id="48">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Enneads</w:t>
      </w:r>
      <w:r w:rsidRPr="00943D4C">
        <w:rPr>
          <w:rFonts w:ascii="Times New Roman" w:hAnsi="Times New Roman" w:cs="Times New Roman"/>
          <w:sz w:val="18"/>
          <w:szCs w:val="18"/>
        </w:rPr>
        <w:t>. 3.1.9; 3.1.</w:t>
      </w:r>
    </w:p>
  </w:footnote>
  <w:footnote w:id="49">
    <w:p w:rsidR="00943D4C" w:rsidRPr="00943D4C" w:rsidRDefault="00943D4C" w:rsidP="00943D4C">
      <w:pPr>
        <w:pStyle w:val="FootnoteText"/>
        <w:rPr>
          <w:rFonts w:ascii="Times New Roman" w:hAnsi="Times New Roman" w:cs="Times New Roman"/>
          <w:sz w:val="18"/>
          <w:szCs w:val="18"/>
        </w:rPr>
      </w:pPr>
      <w:r w:rsidRPr="00943D4C">
        <w:rPr>
          <w:rStyle w:val="FootnoteReference"/>
          <w:rFonts w:ascii="Times New Roman" w:hAnsi="Times New Roman" w:cs="Times New Roman"/>
          <w:sz w:val="18"/>
          <w:szCs w:val="18"/>
        </w:rPr>
        <w:footnoteRef/>
      </w:r>
      <w:r w:rsidRPr="00943D4C">
        <w:rPr>
          <w:rFonts w:ascii="Times New Roman" w:hAnsi="Times New Roman" w:cs="Times New Roman"/>
          <w:sz w:val="18"/>
          <w:szCs w:val="18"/>
        </w:rPr>
        <w:t xml:space="preserve"> </w:t>
      </w:r>
      <w:r w:rsidRPr="00943D4C">
        <w:rPr>
          <w:rFonts w:ascii="Times New Roman" w:hAnsi="Times New Roman" w:cs="Times New Roman"/>
          <w:i/>
          <w:iCs/>
          <w:sz w:val="18"/>
          <w:szCs w:val="18"/>
        </w:rPr>
        <w:t>Enneads</w:t>
      </w:r>
      <w:r w:rsidRPr="00943D4C">
        <w:rPr>
          <w:rFonts w:ascii="Times New Roman" w:hAnsi="Times New Roman" w:cs="Times New Roman"/>
          <w:sz w:val="18"/>
          <w:szCs w:val="18"/>
        </w:rPr>
        <w:t>, 3.1.10.</w:t>
      </w:r>
    </w:p>
    <w:p w:rsidR="00943D4C" w:rsidRDefault="00943D4C" w:rsidP="00943D4C">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117E"/>
    <w:rsid w:val="00003B49"/>
    <w:rsid w:val="00041AE5"/>
    <w:rsid w:val="00055CC7"/>
    <w:rsid w:val="00073889"/>
    <w:rsid w:val="000740DB"/>
    <w:rsid w:val="00080553"/>
    <w:rsid w:val="0008672A"/>
    <w:rsid w:val="000B6145"/>
    <w:rsid w:val="000D2DE6"/>
    <w:rsid w:val="00147580"/>
    <w:rsid w:val="001567DA"/>
    <w:rsid w:val="0018572D"/>
    <w:rsid w:val="00195244"/>
    <w:rsid w:val="001A42F4"/>
    <w:rsid w:val="001A47A5"/>
    <w:rsid w:val="001A5E22"/>
    <w:rsid w:val="001C23FC"/>
    <w:rsid w:val="001C27D5"/>
    <w:rsid w:val="001C37E2"/>
    <w:rsid w:val="001D47AF"/>
    <w:rsid w:val="001F2848"/>
    <w:rsid w:val="00200CBC"/>
    <w:rsid w:val="00210219"/>
    <w:rsid w:val="00215F9C"/>
    <w:rsid w:val="00233E3D"/>
    <w:rsid w:val="00264ABA"/>
    <w:rsid w:val="002727C4"/>
    <w:rsid w:val="00285AA9"/>
    <w:rsid w:val="00286A0D"/>
    <w:rsid w:val="00291702"/>
    <w:rsid w:val="00295D5C"/>
    <w:rsid w:val="002B4136"/>
    <w:rsid w:val="002F6893"/>
    <w:rsid w:val="00305A01"/>
    <w:rsid w:val="00331B0F"/>
    <w:rsid w:val="0033645A"/>
    <w:rsid w:val="003418B3"/>
    <w:rsid w:val="003A0790"/>
    <w:rsid w:val="003E2CA2"/>
    <w:rsid w:val="003E4584"/>
    <w:rsid w:val="003F3B51"/>
    <w:rsid w:val="0040064F"/>
    <w:rsid w:val="00421CC4"/>
    <w:rsid w:val="004238D5"/>
    <w:rsid w:val="0042451E"/>
    <w:rsid w:val="00437474"/>
    <w:rsid w:val="00440857"/>
    <w:rsid w:val="00463D66"/>
    <w:rsid w:val="0046746F"/>
    <w:rsid w:val="00472D62"/>
    <w:rsid w:val="004A4FFF"/>
    <w:rsid w:val="004C02D7"/>
    <w:rsid w:val="004C638E"/>
    <w:rsid w:val="004E0E81"/>
    <w:rsid w:val="005240FC"/>
    <w:rsid w:val="00537B0C"/>
    <w:rsid w:val="00546D87"/>
    <w:rsid w:val="00550FA3"/>
    <w:rsid w:val="00567C6A"/>
    <w:rsid w:val="005707E5"/>
    <w:rsid w:val="00592E6A"/>
    <w:rsid w:val="005A152E"/>
    <w:rsid w:val="005C138E"/>
    <w:rsid w:val="005E6460"/>
    <w:rsid w:val="006075C3"/>
    <w:rsid w:val="006130CC"/>
    <w:rsid w:val="00642AA1"/>
    <w:rsid w:val="00656A36"/>
    <w:rsid w:val="00665CFE"/>
    <w:rsid w:val="00670C99"/>
    <w:rsid w:val="00692841"/>
    <w:rsid w:val="006959EA"/>
    <w:rsid w:val="006A2E9C"/>
    <w:rsid w:val="006B3870"/>
    <w:rsid w:val="006C2EDE"/>
    <w:rsid w:val="006E2AA0"/>
    <w:rsid w:val="006E51D0"/>
    <w:rsid w:val="006F19B4"/>
    <w:rsid w:val="0071704A"/>
    <w:rsid w:val="00724BED"/>
    <w:rsid w:val="0072571D"/>
    <w:rsid w:val="00744E47"/>
    <w:rsid w:val="00745F67"/>
    <w:rsid w:val="00756986"/>
    <w:rsid w:val="007647F5"/>
    <w:rsid w:val="00764BAE"/>
    <w:rsid w:val="007869B1"/>
    <w:rsid w:val="00793360"/>
    <w:rsid w:val="00795EC4"/>
    <w:rsid w:val="007A07E7"/>
    <w:rsid w:val="007B0671"/>
    <w:rsid w:val="007B3DD2"/>
    <w:rsid w:val="007D1AF5"/>
    <w:rsid w:val="007D425D"/>
    <w:rsid w:val="007E0A08"/>
    <w:rsid w:val="007E570D"/>
    <w:rsid w:val="007F7D87"/>
    <w:rsid w:val="00880B2F"/>
    <w:rsid w:val="008828DD"/>
    <w:rsid w:val="008B6FDD"/>
    <w:rsid w:val="008B7EFE"/>
    <w:rsid w:val="008C2006"/>
    <w:rsid w:val="008E0068"/>
    <w:rsid w:val="008F1353"/>
    <w:rsid w:val="008F1B31"/>
    <w:rsid w:val="00913B51"/>
    <w:rsid w:val="009239E3"/>
    <w:rsid w:val="00931C85"/>
    <w:rsid w:val="00937242"/>
    <w:rsid w:val="00943D4C"/>
    <w:rsid w:val="00943DF9"/>
    <w:rsid w:val="0094774D"/>
    <w:rsid w:val="0095425F"/>
    <w:rsid w:val="009546A1"/>
    <w:rsid w:val="0095541D"/>
    <w:rsid w:val="00967C12"/>
    <w:rsid w:val="009B00E1"/>
    <w:rsid w:val="009B0AA7"/>
    <w:rsid w:val="009F7AC4"/>
    <w:rsid w:val="00A25C5B"/>
    <w:rsid w:val="00A47CF1"/>
    <w:rsid w:val="00A72834"/>
    <w:rsid w:val="00A90E1B"/>
    <w:rsid w:val="00A950EC"/>
    <w:rsid w:val="00AB0B5D"/>
    <w:rsid w:val="00B15F8B"/>
    <w:rsid w:val="00B175F9"/>
    <w:rsid w:val="00B27ED7"/>
    <w:rsid w:val="00B3154E"/>
    <w:rsid w:val="00B36753"/>
    <w:rsid w:val="00B84667"/>
    <w:rsid w:val="00B861B6"/>
    <w:rsid w:val="00BD258A"/>
    <w:rsid w:val="00BD32E6"/>
    <w:rsid w:val="00C24832"/>
    <w:rsid w:val="00C9091E"/>
    <w:rsid w:val="00C9117E"/>
    <w:rsid w:val="00CA0C28"/>
    <w:rsid w:val="00CA5B99"/>
    <w:rsid w:val="00CD72F2"/>
    <w:rsid w:val="00D01937"/>
    <w:rsid w:val="00D30423"/>
    <w:rsid w:val="00D305C7"/>
    <w:rsid w:val="00D35AFC"/>
    <w:rsid w:val="00D43F78"/>
    <w:rsid w:val="00D53465"/>
    <w:rsid w:val="00D56E5A"/>
    <w:rsid w:val="00D61708"/>
    <w:rsid w:val="00D744A0"/>
    <w:rsid w:val="00D8265C"/>
    <w:rsid w:val="00DA46CA"/>
    <w:rsid w:val="00DA54B6"/>
    <w:rsid w:val="00DB678B"/>
    <w:rsid w:val="00DC130A"/>
    <w:rsid w:val="00DD1527"/>
    <w:rsid w:val="00DE23CA"/>
    <w:rsid w:val="00DE69E0"/>
    <w:rsid w:val="00DF2CAB"/>
    <w:rsid w:val="00E066B0"/>
    <w:rsid w:val="00E12961"/>
    <w:rsid w:val="00E30620"/>
    <w:rsid w:val="00E31218"/>
    <w:rsid w:val="00E57064"/>
    <w:rsid w:val="00EA60DF"/>
    <w:rsid w:val="00EA6AA6"/>
    <w:rsid w:val="00EE2562"/>
    <w:rsid w:val="00EE3FBF"/>
    <w:rsid w:val="00EE4EBD"/>
    <w:rsid w:val="00EE5AD3"/>
    <w:rsid w:val="00EE6372"/>
    <w:rsid w:val="00F13E83"/>
    <w:rsid w:val="00F20F07"/>
    <w:rsid w:val="00F628FA"/>
    <w:rsid w:val="00F71DFF"/>
    <w:rsid w:val="00F90A48"/>
    <w:rsid w:val="00FD56D2"/>
    <w:rsid w:val="00FF2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E2CA2"/>
    <w:pPr>
      <w:spacing w:after="0" w:line="240" w:lineRule="auto"/>
    </w:pPr>
    <w:rPr>
      <w:sz w:val="20"/>
      <w:szCs w:val="20"/>
    </w:rPr>
  </w:style>
  <w:style w:type="character" w:customStyle="1" w:styleId="FootnoteTextChar">
    <w:name w:val="Footnote Text Char"/>
    <w:basedOn w:val="DefaultParagraphFont"/>
    <w:link w:val="FootnoteText"/>
    <w:uiPriority w:val="99"/>
    <w:rsid w:val="003E2CA2"/>
    <w:rPr>
      <w:sz w:val="20"/>
      <w:szCs w:val="20"/>
    </w:rPr>
  </w:style>
  <w:style w:type="character" w:styleId="FootnoteReference">
    <w:name w:val="footnote reference"/>
    <w:basedOn w:val="DefaultParagraphFont"/>
    <w:uiPriority w:val="99"/>
    <w:semiHidden/>
    <w:unhideWhenUsed/>
    <w:rsid w:val="003E2CA2"/>
    <w:rPr>
      <w:vertAlign w:val="superscript"/>
    </w:rPr>
  </w:style>
  <w:style w:type="character" w:styleId="Hyperlink">
    <w:name w:val="Hyperlink"/>
    <w:basedOn w:val="DefaultParagraphFont"/>
    <w:uiPriority w:val="99"/>
    <w:unhideWhenUsed/>
    <w:rsid w:val="00724BED"/>
    <w:rPr>
      <w:color w:val="0000FF" w:themeColor="hyperlink"/>
      <w:u w:val="single"/>
    </w:rPr>
  </w:style>
  <w:style w:type="paragraph" w:styleId="Header">
    <w:name w:val="header"/>
    <w:basedOn w:val="Normal"/>
    <w:link w:val="HeaderChar"/>
    <w:uiPriority w:val="99"/>
    <w:unhideWhenUsed/>
    <w:rsid w:val="00F71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DFF"/>
  </w:style>
  <w:style w:type="paragraph" w:styleId="Footer">
    <w:name w:val="footer"/>
    <w:basedOn w:val="Normal"/>
    <w:link w:val="FooterChar"/>
    <w:uiPriority w:val="99"/>
    <w:unhideWhenUsed/>
    <w:rsid w:val="00F71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DFF"/>
  </w:style>
  <w:style w:type="paragraph" w:styleId="BalloonText">
    <w:name w:val="Balloon Text"/>
    <w:basedOn w:val="Normal"/>
    <w:link w:val="BalloonTextChar"/>
    <w:uiPriority w:val="99"/>
    <w:semiHidden/>
    <w:unhideWhenUsed/>
    <w:rsid w:val="007D42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25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E2CA2"/>
    <w:pPr>
      <w:spacing w:after="0" w:line="240" w:lineRule="auto"/>
    </w:pPr>
    <w:rPr>
      <w:sz w:val="20"/>
      <w:szCs w:val="20"/>
    </w:rPr>
  </w:style>
  <w:style w:type="character" w:customStyle="1" w:styleId="FootnoteTextChar">
    <w:name w:val="Footnote Text Char"/>
    <w:basedOn w:val="DefaultParagraphFont"/>
    <w:link w:val="FootnoteText"/>
    <w:uiPriority w:val="99"/>
    <w:rsid w:val="003E2CA2"/>
    <w:rPr>
      <w:sz w:val="20"/>
      <w:szCs w:val="20"/>
    </w:rPr>
  </w:style>
  <w:style w:type="character" w:styleId="FootnoteReference">
    <w:name w:val="footnote reference"/>
    <w:basedOn w:val="DefaultParagraphFont"/>
    <w:uiPriority w:val="99"/>
    <w:semiHidden/>
    <w:unhideWhenUsed/>
    <w:rsid w:val="003E2CA2"/>
    <w:rPr>
      <w:vertAlign w:val="superscript"/>
    </w:rPr>
  </w:style>
  <w:style w:type="character" w:styleId="Hyperlink">
    <w:name w:val="Hyperlink"/>
    <w:basedOn w:val="DefaultParagraphFont"/>
    <w:uiPriority w:val="99"/>
    <w:unhideWhenUsed/>
    <w:rsid w:val="00724BED"/>
    <w:rPr>
      <w:color w:val="0000FF" w:themeColor="hyperlink"/>
      <w:u w:val="single"/>
    </w:rPr>
  </w:style>
  <w:style w:type="paragraph" w:styleId="Header">
    <w:name w:val="header"/>
    <w:basedOn w:val="Normal"/>
    <w:link w:val="HeaderChar"/>
    <w:uiPriority w:val="99"/>
    <w:unhideWhenUsed/>
    <w:rsid w:val="00F71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DFF"/>
  </w:style>
  <w:style w:type="paragraph" w:styleId="Footer">
    <w:name w:val="footer"/>
    <w:basedOn w:val="Normal"/>
    <w:link w:val="FooterChar"/>
    <w:uiPriority w:val="99"/>
    <w:unhideWhenUsed/>
    <w:rsid w:val="00F71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DFF"/>
  </w:style>
  <w:style w:type="paragraph" w:styleId="BalloonText">
    <w:name w:val="Balloon Text"/>
    <w:basedOn w:val="Normal"/>
    <w:link w:val="BalloonTextChar"/>
    <w:uiPriority w:val="99"/>
    <w:semiHidden/>
    <w:unhideWhenUsed/>
    <w:rsid w:val="007D42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2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7937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55A448-7420-490C-9320-A179646E7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1548</TotalTime>
  <Pages>12</Pages>
  <Words>4760</Words>
  <Characters>27138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Murray</dc:creator>
  <cp:lastModifiedBy>Murray</cp:lastModifiedBy>
  <cp:revision>75</cp:revision>
  <dcterms:created xsi:type="dcterms:W3CDTF">2023-03-16T19:52:00Z</dcterms:created>
  <dcterms:modified xsi:type="dcterms:W3CDTF">2023-04-23T17:53:00Z</dcterms:modified>
</cp:coreProperties>
</file>