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05BF45" w14:textId="12F63A75" w:rsidR="006053E5" w:rsidRPr="0059369F" w:rsidRDefault="006053E5" w:rsidP="002A59B8">
      <w:pPr>
        <w:spacing w:after="0" w:line="360" w:lineRule="atLeast"/>
        <w:rPr>
          <w:rFonts w:ascii="Arial" w:eastAsia="Times New Roman" w:hAnsi="Arial" w:cs="Arial"/>
          <w:b/>
          <w:bCs/>
          <w:color w:val="000000"/>
          <w:kern w:val="0"/>
          <w:sz w:val="40"/>
          <w:szCs w:val="40"/>
          <w:lang w:eastAsia="en-GB"/>
          <w14:ligatures w14:val="none"/>
        </w:rPr>
      </w:pPr>
      <w:r w:rsidRPr="0059369F">
        <w:rPr>
          <w:rFonts w:ascii="Arial" w:eastAsia="Times New Roman" w:hAnsi="Arial" w:cs="Arial"/>
          <w:b/>
          <w:bCs/>
          <w:color w:val="000000"/>
          <w:kern w:val="0"/>
          <w:sz w:val="40"/>
          <w:szCs w:val="40"/>
          <w:lang w:eastAsia="en-GB"/>
          <w14:ligatures w14:val="none"/>
        </w:rPr>
        <w:t>HEALTH, WELLBEING AND SUSTAINABLE DEVELOPMENT, BSc</w:t>
      </w:r>
    </w:p>
    <w:p w14:paraId="55A4F434"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665CED9A" w14:textId="5759707A" w:rsidR="006053E5" w:rsidRPr="0059369F" w:rsidRDefault="006053E5" w:rsidP="002A59B8">
      <w:pPr>
        <w:spacing w:after="0" w:line="360" w:lineRule="atLeast"/>
        <w:rPr>
          <w:rFonts w:ascii="Arial" w:eastAsia="Times New Roman" w:hAnsi="Arial" w:cs="Arial"/>
          <w:b/>
          <w:bCs/>
          <w:color w:val="000000"/>
          <w:kern w:val="0"/>
          <w:sz w:val="40"/>
          <w:szCs w:val="40"/>
          <w:lang w:eastAsia="en-GB"/>
          <w14:ligatures w14:val="none"/>
        </w:rPr>
      </w:pPr>
      <w:r w:rsidRPr="0059369F">
        <w:rPr>
          <w:rFonts w:ascii="Arial" w:eastAsia="Times New Roman" w:hAnsi="Arial" w:cs="Arial"/>
          <w:b/>
          <w:bCs/>
          <w:color w:val="000000"/>
          <w:kern w:val="0"/>
          <w:sz w:val="40"/>
          <w:szCs w:val="40"/>
          <w:lang w:eastAsia="en-GB"/>
          <w14:ligatures w14:val="none"/>
        </w:rPr>
        <w:t>BMHP6030</w:t>
      </w:r>
    </w:p>
    <w:p w14:paraId="16E9C59D"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05284057" w14:textId="50AD475E" w:rsidR="006053E5" w:rsidRPr="0059369F" w:rsidRDefault="006053E5" w:rsidP="002A59B8">
      <w:pPr>
        <w:spacing w:after="0" w:line="360" w:lineRule="atLeast"/>
        <w:rPr>
          <w:rFonts w:ascii="Arial" w:eastAsia="Times New Roman" w:hAnsi="Arial" w:cs="Arial"/>
          <w:b/>
          <w:bCs/>
          <w:color w:val="000000"/>
          <w:kern w:val="0"/>
          <w:sz w:val="40"/>
          <w:szCs w:val="40"/>
          <w:lang w:eastAsia="en-GB"/>
          <w14:ligatures w14:val="none"/>
        </w:rPr>
      </w:pPr>
      <w:r w:rsidRPr="0059369F">
        <w:rPr>
          <w:rFonts w:ascii="Arial" w:eastAsia="Times New Roman" w:hAnsi="Arial" w:cs="Arial"/>
          <w:b/>
          <w:bCs/>
          <w:color w:val="000000"/>
          <w:kern w:val="0"/>
          <w:sz w:val="40"/>
          <w:szCs w:val="40"/>
          <w:lang w:eastAsia="en-GB"/>
          <w14:ligatures w14:val="none"/>
        </w:rPr>
        <w:t>Philip Jones</w:t>
      </w:r>
    </w:p>
    <w:p w14:paraId="33AAD98A" w14:textId="7C065FB9" w:rsidR="006053E5" w:rsidRDefault="006053E5" w:rsidP="002A59B8">
      <w:pPr>
        <w:spacing w:after="0" w:line="360" w:lineRule="atLeast"/>
        <w:rPr>
          <w:rFonts w:ascii="Arial" w:eastAsia="Times New Roman" w:hAnsi="Arial" w:cs="Arial"/>
          <w:b/>
          <w:bCs/>
          <w:color w:val="000000"/>
          <w:kern w:val="0"/>
          <w:sz w:val="28"/>
          <w:szCs w:val="28"/>
          <w:lang w:eastAsia="en-GB"/>
          <w14:ligatures w14:val="none"/>
        </w:rPr>
      </w:pPr>
    </w:p>
    <w:p w14:paraId="5F9735B8" w14:textId="10443354" w:rsidR="006053E5" w:rsidRDefault="006053E5" w:rsidP="002A59B8">
      <w:pPr>
        <w:spacing w:after="0" w:line="360" w:lineRule="atLeast"/>
        <w:rPr>
          <w:rFonts w:ascii="Arial" w:eastAsia="Times New Roman" w:hAnsi="Arial" w:cs="Arial"/>
          <w:b/>
          <w:bCs/>
          <w:color w:val="000000"/>
          <w:kern w:val="0"/>
          <w:sz w:val="40"/>
          <w:szCs w:val="40"/>
          <w:lang w:eastAsia="en-GB"/>
          <w14:ligatures w14:val="none"/>
        </w:rPr>
      </w:pPr>
      <w:r w:rsidRPr="0059369F">
        <w:rPr>
          <w:rFonts w:ascii="Arial" w:eastAsia="Times New Roman" w:hAnsi="Arial" w:cs="Arial"/>
          <w:b/>
          <w:bCs/>
          <w:color w:val="000000"/>
          <w:kern w:val="0"/>
          <w:sz w:val="40"/>
          <w:szCs w:val="40"/>
          <w:lang w:eastAsia="en-GB"/>
          <w14:ligatures w14:val="none"/>
        </w:rPr>
        <w:t>Ti</w:t>
      </w:r>
      <w:r w:rsidR="0059369F" w:rsidRPr="0059369F">
        <w:rPr>
          <w:rFonts w:ascii="Arial" w:eastAsia="Times New Roman" w:hAnsi="Arial" w:cs="Arial"/>
          <w:b/>
          <w:bCs/>
          <w:color w:val="000000"/>
          <w:kern w:val="0"/>
          <w:sz w:val="40"/>
          <w:szCs w:val="40"/>
          <w:lang w:eastAsia="en-GB"/>
          <w14:ligatures w14:val="none"/>
        </w:rPr>
        <w:t>na Carpenter</w:t>
      </w:r>
    </w:p>
    <w:p w14:paraId="5217FCBD" w14:textId="77777777" w:rsidR="0059369F" w:rsidRPr="0059369F" w:rsidRDefault="0059369F" w:rsidP="002A59B8">
      <w:pPr>
        <w:spacing w:after="0" w:line="360" w:lineRule="atLeast"/>
        <w:rPr>
          <w:rFonts w:ascii="Arial" w:eastAsia="Times New Roman" w:hAnsi="Arial" w:cs="Arial"/>
          <w:b/>
          <w:bCs/>
          <w:color w:val="000000"/>
          <w:kern w:val="0"/>
          <w:sz w:val="40"/>
          <w:szCs w:val="40"/>
          <w:lang w:eastAsia="en-GB"/>
          <w14:ligatures w14:val="none"/>
        </w:rPr>
      </w:pPr>
    </w:p>
    <w:p w14:paraId="5FD3244D" w14:textId="3DBAFF20" w:rsidR="0059369F" w:rsidRPr="0059369F" w:rsidRDefault="0059369F" w:rsidP="002A59B8">
      <w:pPr>
        <w:spacing w:after="0" w:line="360" w:lineRule="atLeast"/>
        <w:rPr>
          <w:rFonts w:ascii="Arial" w:eastAsia="Times New Roman" w:hAnsi="Arial" w:cs="Arial"/>
          <w:b/>
          <w:bCs/>
          <w:color w:val="000000"/>
          <w:kern w:val="0"/>
          <w:sz w:val="40"/>
          <w:szCs w:val="40"/>
          <w:lang w:eastAsia="en-GB"/>
          <w14:ligatures w14:val="none"/>
        </w:rPr>
      </w:pPr>
      <w:r w:rsidRPr="0059369F">
        <w:rPr>
          <w:rFonts w:ascii="Arial" w:eastAsia="Times New Roman" w:hAnsi="Arial" w:cs="Arial"/>
          <w:b/>
          <w:bCs/>
          <w:color w:val="000000"/>
          <w:kern w:val="0"/>
          <w:sz w:val="40"/>
          <w:szCs w:val="40"/>
          <w:lang w:eastAsia="en-GB"/>
          <w14:ligatures w14:val="none"/>
        </w:rPr>
        <w:t>2309622</w:t>
      </w:r>
    </w:p>
    <w:p w14:paraId="6929B802"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0A322653"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0FE3AACB"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475C59B2"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70B0EB63"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042D5ADB"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263ABC3E"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6002D5FB"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62D41E51"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42472161"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2DE85399"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430EC5A6"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1BC58C99"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5BED33A7"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73930F07"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06D4D14B"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69C6208D"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36CF6458"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10843830"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4377E286"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71C4AF3A"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43E4C2EB"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0DA54B44"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0F06EEFF"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05FA7B27"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1556B99B"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1EDDDEFB"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234ED610" w14:textId="77777777" w:rsidR="0059369F" w:rsidRDefault="0059369F" w:rsidP="002A59B8">
      <w:pPr>
        <w:spacing w:after="0" w:line="360" w:lineRule="atLeast"/>
        <w:rPr>
          <w:rFonts w:ascii="Arial" w:eastAsia="Times New Roman" w:hAnsi="Arial" w:cs="Arial"/>
          <w:b/>
          <w:bCs/>
          <w:color w:val="000000"/>
          <w:kern w:val="0"/>
          <w:sz w:val="28"/>
          <w:szCs w:val="28"/>
          <w:lang w:eastAsia="en-GB"/>
          <w14:ligatures w14:val="none"/>
        </w:rPr>
      </w:pPr>
    </w:p>
    <w:p w14:paraId="79A4C41B" w14:textId="791E27C6" w:rsidR="002A59B8" w:rsidRPr="006053E5" w:rsidRDefault="002A59B8" w:rsidP="002A59B8">
      <w:pPr>
        <w:spacing w:after="0" w:line="360" w:lineRule="atLeast"/>
        <w:rPr>
          <w:rFonts w:ascii="Arial" w:eastAsia="Times New Roman" w:hAnsi="Arial" w:cs="Arial"/>
          <w:b/>
          <w:bCs/>
          <w:color w:val="000000"/>
          <w:kern w:val="0"/>
          <w:sz w:val="28"/>
          <w:szCs w:val="28"/>
          <w:lang w:eastAsia="en-GB"/>
          <w14:ligatures w14:val="none"/>
        </w:rPr>
      </w:pPr>
      <w:r w:rsidRPr="006053E5">
        <w:rPr>
          <w:rFonts w:ascii="Arial" w:eastAsia="Times New Roman" w:hAnsi="Arial" w:cs="Arial"/>
          <w:b/>
          <w:bCs/>
          <w:color w:val="000000"/>
          <w:kern w:val="0"/>
          <w:sz w:val="28"/>
          <w:szCs w:val="28"/>
          <w:lang w:eastAsia="en-GB"/>
          <w14:ligatures w14:val="none"/>
        </w:rPr>
        <w:t>Assignment Title: Critical Examination of SDG 3 (Good Health and Wellbeing) and SDG 11 (Sustainable Cities and Communities): Global, National and Local Perspectives</w:t>
      </w:r>
    </w:p>
    <w:p w14:paraId="6FE92C7B" w14:textId="79B1D25C" w:rsidR="002A59B8" w:rsidRDefault="002A59B8" w:rsidP="002A59B8">
      <w:pPr>
        <w:spacing w:after="0" w:line="360" w:lineRule="atLeast"/>
        <w:rPr>
          <w:rFonts w:ascii="Arial" w:eastAsia="Times New Roman" w:hAnsi="Arial" w:cs="Arial"/>
          <w:color w:val="000000"/>
          <w:kern w:val="0"/>
          <w:sz w:val="24"/>
          <w:szCs w:val="24"/>
          <w:lang w:eastAsia="en-GB"/>
          <w14:ligatures w14:val="none"/>
        </w:rPr>
      </w:pPr>
    </w:p>
    <w:p w14:paraId="6C935153" w14:textId="6977461D" w:rsidR="002A59B8" w:rsidRPr="002A59B8" w:rsidRDefault="002A59B8" w:rsidP="002A59B8">
      <w:pPr>
        <w:spacing w:after="0" w:line="360" w:lineRule="atLeast"/>
        <w:outlineLvl w:val="1"/>
        <w:rPr>
          <w:rFonts w:ascii="Arial" w:eastAsia="Times New Roman" w:hAnsi="Arial" w:cs="Arial"/>
          <w:b/>
          <w:bCs/>
          <w:color w:val="000000"/>
          <w:kern w:val="0"/>
          <w:sz w:val="28"/>
          <w:szCs w:val="28"/>
          <w:lang w:eastAsia="en-GB"/>
          <w14:ligatures w14:val="none"/>
        </w:rPr>
      </w:pPr>
      <w:r w:rsidRPr="002A59B8">
        <w:rPr>
          <w:rFonts w:ascii="Arial" w:eastAsia="Times New Roman" w:hAnsi="Arial" w:cs="Arial"/>
          <w:b/>
          <w:bCs/>
          <w:color w:val="000000"/>
          <w:kern w:val="0"/>
          <w:sz w:val="28"/>
          <w:szCs w:val="28"/>
          <w:lang w:eastAsia="en-GB"/>
          <w14:ligatures w14:val="none"/>
        </w:rPr>
        <w:t xml:space="preserve">Introduction </w:t>
      </w:r>
    </w:p>
    <w:p w14:paraId="6AA3BCE9" w14:textId="77777777" w:rsidR="002A59B8" w:rsidRPr="002B0115" w:rsidRDefault="002A59B8" w:rsidP="002A59B8">
      <w:p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Adopted by all United Nations Member States in 2015, the 17 Sustainable Development Goals (SDGs) form a universal framework to end poverty, protect the planet, and ensure prosperity for all by 2030 (UN, 2023). This report focuses on SDG 3: Good Health and Wellbeing—targeting universal health coverage, reduced disease burden, and improved mental and physical health—and SDG 11: Sustainable Cities and Communities, which aims to make settlements inclusive, safe, resilient and sustainable. The pairing is deliberate: urban environments directly shape health outcomes, creating critical synergies and gaps that demand cross-goal analysis.</w:t>
      </w:r>
    </w:p>
    <w:p w14:paraId="269315E1" w14:textId="77777777" w:rsidR="002A59B8" w:rsidRPr="002B0115" w:rsidRDefault="002A59B8" w:rsidP="002A59B8">
      <w:p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The report evaluates policies and initiatives across three tiers: global frameworks, UK national strategy, and local delivery in Derby, Derbyshire. It applies behavioural theories including the Health Belief Model (HBM) and Social Cognitive Theory (SCT) to critically assess how interventions influence individual and population health, while acknowledging structural barriers that limit effectiveness. Drawing on peer-reviewed research, government evaluations and local authority data published between 2015 and 2025, it identifies strengths, limitations and evidence-based improvements. The report first examines SDG 3, then SDG 11, before concluding with an analysis of their interconnection and broader implications for sustainable development.</w:t>
      </w:r>
    </w:p>
    <w:p w14:paraId="73BB2D68" w14:textId="0F247F32" w:rsidR="002A59B8" w:rsidRPr="002B0115" w:rsidRDefault="002A59B8" w:rsidP="002A59B8">
      <w:pPr>
        <w:spacing w:after="0" w:line="360" w:lineRule="atLeast"/>
        <w:rPr>
          <w:rFonts w:ascii="Arial" w:eastAsia="Times New Roman" w:hAnsi="Arial" w:cs="Arial"/>
          <w:color w:val="000000"/>
          <w:kern w:val="0"/>
          <w:lang w:eastAsia="en-GB"/>
          <w14:ligatures w14:val="none"/>
        </w:rPr>
      </w:pPr>
    </w:p>
    <w:p w14:paraId="6EC9D25C" w14:textId="78113D39" w:rsidR="002A59B8" w:rsidRPr="002B0115" w:rsidRDefault="002A59B8" w:rsidP="002A59B8">
      <w:pPr>
        <w:spacing w:after="0" w:line="360" w:lineRule="atLeast"/>
        <w:outlineLvl w:val="1"/>
        <w:rPr>
          <w:rFonts w:ascii="Arial" w:eastAsia="Times New Roman" w:hAnsi="Arial" w:cs="Arial"/>
          <w:color w:val="000000"/>
          <w:kern w:val="0"/>
          <w:lang w:eastAsia="en-GB"/>
          <w14:ligatures w14:val="none"/>
        </w:rPr>
      </w:pPr>
      <w:r w:rsidRPr="002B0115">
        <w:rPr>
          <w:rFonts w:ascii="Arial" w:eastAsia="Times New Roman" w:hAnsi="Arial" w:cs="Arial"/>
          <w:b/>
          <w:bCs/>
          <w:color w:val="000000"/>
          <w:kern w:val="0"/>
          <w:lang w:eastAsia="en-GB"/>
          <w14:ligatures w14:val="none"/>
        </w:rPr>
        <w:t>Section 1</w:t>
      </w:r>
      <w:r w:rsidRPr="002B0115">
        <w:rPr>
          <w:rFonts w:ascii="Arial" w:eastAsia="Times New Roman" w:hAnsi="Arial" w:cs="Arial"/>
          <w:color w:val="000000"/>
          <w:kern w:val="0"/>
          <w:lang w:eastAsia="en-GB"/>
          <w14:ligatures w14:val="none"/>
        </w:rPr>
        <w:t xml:space="preserve">: SDG 3 – Good Health and Wellbeing </w:t>
      </w:r>
    </w:p>
    <w:p w14:paraId="4F97FCB2" w14:textId="77777777" w:rsidR="002A59B8" w:rsidRPr="002B0115" w:rsidRDefault="002A59B8" w:rsidP="002A59B8">
      <w:pPr>
        <w:spacing w:after="0" w:line="360" w:lineRule="atLeast"/>
        <w:outlineLvl w:val="2"/>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Overview of SDG 3</w:t>
      </w:r>
    </w:p>
    <w:p w14:paraId="14C61A73" w14:textId="77777777" w:rsidR="002A59B8" w:rsidRPr="002B0115" w:rsidRDefault="002A59B8" w:rsidP="002A59B8">
      <w:p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SDG 3 includes 13 targets covering universal health coverage (UHC), reductions in maternal and child mortality, combating communicable and non-communicable diseases (NCDs), mental health support, and stronger health systems (UN, 2024). Its core premise is that health is a fundamental human right, not a privilege—yet progress remains uneven globally, with the WHO (2025) estimating 4.7 billion people lack full access to essential health services.</w:t>
      </w:r>
    </w:p>
    <w:p w14:paraId="0EF162D4" w14:textId="77777777" w:rsidR="002A59B8" w:rsidRPr="002B0115" w:rsidRDefault="002A59B8" w:rsidP="002A59B8">
      <w:pPr>
        <w:spacing w:after="0" w:line="360" w:lineRule="atLeast"/>
        <w:outlineLvl w:val="2"/>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Global Policies and Critical Evaluation</w:t>
      </w:r>
    </w:p>
    <w:p w14:paraId="5D692991" w14:textId="77777777" w:rsidR="002A59B8" w:rsidRPr="002B0115" w:rsidRDefault="002A59B8" w:rsidP="002A59B8">
      <w:p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 xml:space="preserve">The WHO’s </w:t>
      </w:r>
      <w:r w:rsidRPr="002B0115">
        <w:rPr>
          <w:rFonts w:ascii="Arial" w:eastAsia="Times New Roman" w:hAnsi="Arial" w:cs="Arial"/>
          <w:i/>
          <w:iCs/>
          <w:color w:val="000000"/>
          <w:kern w:val="0"/>
          <w:lang w:eastAsia="en-GB"/>
          <w14:ligatures w14:val="none"/>
        </w:rPr>
        <w:t>Global Action Plan for Healthy Lives and Wellbeing for All</w:t>
      </w:r>
      <w:r w:rsidRPr="002B0115">
        <w:rPr>
          <w:rFonts w:ascii="Arial" w:eastAsia="Times New Roman" w:hAnsi="Arial" w:cs="Arial"/>
          <w:color w:val="000000"/>
          <w:kern w:val="0"/>
          <w:lang w:eastAsia="en-GB"/>
          <w14:ligatures w14:val="none"/>
        </w:rPr>
        <w:t xml:space="preserve"> (2019) is the primary global framework, coordinating efforts across UN agencies to align health action with other SDGs. While it has increased funding for primary healthcare in 85 low- and middle-income countries (WHO, 2024), critics argue it prioritises clinical interventions over social </w:t>
      </w:r>
      <w:r w:rsidRPr="002B0115">
        <w:rPr>
          <w:rFonts w:ascii="Arial" w:eastAsia="Times New Roman" w:hAnsi="Arial" w:cs="Arial"/>
          <w:color w:val="000000"/>
          <w:kern w:val="0"/>
          <w:lang w:eastAsia="en-GB"/>
          <w14:ligatures w14:val="none"/>
        </w:rPr>
        <w:lastRenderedPageBreak/>
        <w:t>determinants of health, and lacks binding accountability mechanisms (</w:t>
      </w:r>
      <w:proofErr w:type="spellStart"/>
      <w:r w:rsidRPr="002B0115">
        <w:rPr>
          <w:rFonts w:ascii="Arial" w:eastAsia="Times New Roman" w:hAnsi="Arial" w:cs="Arial"/>
          <w:color w:val="000000"/>
          <w:kern w:val="0"/>
          <w:lang w:eastAsia="en-GB"/>
          <w14:ligatures w14:val="none"/>
        </w:rPr>
        <w:t>Labonté</w:t>
      </w:r>
      <w:proofErr w:type="spellEnd"/>
      <w:r w:rsidRPr="002B0115">
        <w:rPr>
          <w:rFonts w:ascii="Arial" w:eastAsia="Times New Roman" w:hAnsi="Arial" w:cs="Arial"/>
          <w:color w:val="000000"/>
          <w:kern w:val="0"/>
          <w:lang w:eastAsia="en-GB"/>
          <w14:ligatures w14:val="none"/>
        </w:rPr>
        <w:t xml:space="preserve"> &amp; Ruckert, 2022). Applying the Health Belief Model, many global campaigns focus on </w:t>
      </w:r>
      <w:r w:rsidRPr="002B0115">
        <w:rPr>
          <w:rFonts w:ascii="Arial" w:eastAsia="Times New Roman" w:hAnsi="Arial" w:cs="Arial"/>
          <w:i/>
          <w:iCs/>
          <w:color w:val="000000"/>
          <w:kern w:val="0"/>
          <w:lang w:eastAsia="en-GB"/>
          <w14:ligatures w14:val="none"/>
        </w:rPr>
        <w:t>perceived threat</w:t>
      </w:r>
      <w:r w:rsidRPr="002B0115">
        <w:rPr>
          <w:rFonts w:ascii="Arial" w:eastAsia="Times New Roman" w:hAnsi="Arial" w:cs="Arial"/>
          <w:color w:val="000000"/>
          <w:kern w:val="0"/>
          <w:lang w:eastAsia="en-GB"/>
          <w14:ligatures w14:val="none"/>
        </w:rPr>
        <w:t xml:space="preserve"> of disease (e.g. COVID-19, malaria) but rarely address </w:t>
      </w:r>
      <w:r w:rsidRPr="002B0115">
        <w:rPr>
          <w:rFonts w:ascii="Arial" w:eastAsia="Times New Roman" w:hAnsi="Arial" w:cs="Arial"/>
          <w:i/>
          <w:iCs/>
          <w:color w:val="000000"/>
          <w:kern w:val="0"/>
          <w:lang w:eastAsia="en-GB"/>
          <w14:ligatures w14:val="none"/>
        </w:rPr>
        <w:t>self-efficacy</w:t>
      </w:r>
      <w:r w:rsidRPr="002B0115">
        <w:rPr>
          <w:rFonts w:ascii="Arial" w:eastAsia="Times New Roman" w:hAnsi="Arial" w:cs="Arial"/>
          <w:color w:val="000000"/>
          <w:kern w:val="0"/>
          <w:lang w:eastAsia="en-GB"/>
          <w14:ligatures w14:val="none"/>
        </w:rPr>
        <w:t xml:space="preserve">—the belief that people can </w:t>
      </w:r>
      <w:proofErr w:type="gramStart"/>
      <w:r w:rsidRPr="002B0115">
        <w:rPr>
          <w:rFonts w:ascii="Arial" w:eastAsia="Times New Roman" w:hAnsi="Arial" w:cs="Arial"/>
          <w:color w:val="000000"/>
          <w:kern w:val="0"/>
          <w:lang w:eastAsia="en-GB"/>
          <w14:ligatures w14:val="none"/>
        </w:rPr>
        <w:t>take action</w:t>
      </w:r>
      <w:proofErr w:type="gramEnd"/>
      <w:r w:rsidRPr="002B0115">
        <w:rPr>
          <w:rFonts w:ascii="Arial" w:eastAsia="Times New Roman" w:hAnsi="Arial" w:cs="Arial"/>
          <w:color w:val="000000"/>
          <w:kern w:val="0"/>
          <w:lang w:eastAsia="en-GB"/>
          <w14:ligatures w14:val="none"/>
        </w:rPr>
        <w:t>—without accompanying support such as affordable medication or accessible clinics (Jones et al., 2023).</w:t>
      </w:r>
    </w:p>
    <w:p w14:paraId="266C959D" w14:textId="77777777" w:rsidR="002A59B8" w:rsidRPr="002B0115" w:rsidRDefault="002A59B8" w:rsidP="002A59B8">
      <w:pPr>
        <w:spacing w:after="0" w:line="360" w:lineRule="atLeast"/>
        <w:outlineLvl w:val="2"/>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National (UK) and Local (Derby) Examples</w:t>
      </w:r>
    </w:p>
    <w:p w14:paraId="2EB47E21" w14:textId="77777777" w:rsidR="002A59B8" w:rsidRPr="002B0115" w:rsidRDefault="002A59B8" w:rsidP="002A59B8">
      <w:p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In England, the NHS Long Term Plan (2019) aligns with SDG 3 targets, committing to expand mental health services, prevent 100,000 avoidable NCD deaths annually, and integrate care with local authorities (NHS England, 2024). The plan draws on Social Cognitive Theory, using community health champions and peer support to model healthy behaviours and build collective efficacy (Bandura, 2018; Public Health England, 2023). However, the King’s Fund (2025) found real-terms funding cuts to public health since 2015 have weakened prevention work, while NHS workforce shortages mean 34% of people in Derby wait longer than 12 weeks for mental health treatment (Derby City Council, 2025).</w:t>
      </w:r>
    </w:p>
    <w:p w14:paraId="5D578683" w14:textId="77777777" w:rsidR="002A59B8" w:rsidRPr="002B0115" w:rsidRDefault="002A59B8" w:rsidP="002A59B8">
      <w:p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 xml:space="preserve">Derby’s </w:t>
      </w:r>
      <w:r w:rsidRPr="002B0115">
        <w:rPr>
          <w:rFonts w:ascii="Arial" w:eastAsia="Times New Roman" w:hAnsi="Arial" w:cs="Arial"/>
          <w:i/>
          <w:iCs/>
          <w:color w:val="000000"/>
          <w:kern w:val="0"/>
          <w:lang w:eastAsia="en-GB"/>
          <w14:ligatures w14:val="none"/>
        </w:rPr>
        <w:t>Health and Wellbeing Strategy 2023–2028</w:t>
      </w:r>
      <w:r w:rsidRPr="002B0115">
        <w:rPr>
          <w:rFonts w:ascii="Arial" w:eastAsia="Times New Roman" w:hAnsi="Arial" w:cs="Arial"/>
          <w:color w:val="000000"/>
          <w:kern w:val="0"/>
          <w:lang w:eastAsia="en-GB"/>
          <w14:ligatures w14:val="none"/>
        </w:rPr>
        <w:t xml:space="preserve"> targets inequalities in the city’s most deprived wards, where life expectancy is 9.2 years lower than in the least deprived areas (Derby City Council, 2024). Initiatives include free health checks in community centres and the </w:t>
      </w:r>
      <w:r w:rsidRPr="002B0115">
        <w:rPr>
          <w:rFonts w:ascii="Arial" w:eastAsia="Times New Roman" w:hAnsi="Arial" w:cs="Arial"/>
          <w:i/>
          <w:iCs/>
          <w:color w:val="000000"/>
          <w:kern w:val="0"/>
          <w:lang w:eastAsia="en-GB"/>
          <w14:ligatures w14:val="none"/>
        </w:rPr>
        <w:t>Derby Mental Health Hub</w:t>
      </w:r>
      <w:r w:rsidRPr="002B0115">
        <w:rPr>
          <w:rFonts w:ascii="Arial" w:eastAsia="Times New Roman" w:hAnsi="Arial" w:cs="Arial"/>
          <w:color w:val="000000"/>
          <w:kern w:val="0"/>
          <w:lang w:eastAsia="en-GB"/>
          <w14:ligatures w14:val="none"/>
        </w:rPr>
        <w:t xml:space="preserve">, but local evaluation shows low uptake among marginalised groups including Gypsy, Roma and Traveller communities—indicating interventions fail to address </w:t>
      </w:r>
      <w:r w:rsidRPr="002B0115">
        <w:rPr>
          <w:rFonts w:ascii="Arial" w:eastAsia="Times New Roman" w:hAnsi="Arial" w:cs="Arial"/>
          <w:i/>
          <w:iCs/>
          <w:color w:val="000000"/>
          <w:kern w:val="0"/>
          <w:lang w:eastAsia="en-GB"/>
          <w14:ligatures w14:val="none"/>
        </w:rPr>
        <w:t>perceived barriers</w:t>
      </w:r>
      <w:r w:rsidRPr="002B0115">
        <w:rPr>
          <w:rFonts w:ascii="Arial" w:eastAsia="Times New Roman" w:hAnsi="Arial" w:cs="Arial"/>
          <w:color w:val="000000"/>
          <w:kern w:val="0"/>
          <w:lang w:eastAsia="en-GB"/>
          <w14:ligatures w14:val="none"/>
        </w:rPr>
        <w:t xml:space="preserve"> (a core HBM component) such as stigma or lack of culturally appropriate provision (Derby Public Health, 2025).</w:t>
      </w:r>
    </w:p>
    <w:p w14:paraId="01D03738" w14:textId="77777777" w:rsidR="002A59B8" w:rsidRPr="002B0115" w:rsidRDefault="002A59B8" w:rsidP="002A59B8">
      <w:pPr>
        <w:spacing w:after="0" w:line="360" w:lineRule="atLeast"/>
        <w:outlineLvl w:val="2"/>
        <w:rPr>
          <w:rFonts w:ascii="Arial" w:eastAsia="Times New Roman" w:hAnsi="Arial" w:cs="Arial"/>
          <w:b/>
          <w:bCs/>
          <w:color w:val="000000"/>
          <w:kern w:val="0"/>
          <w:lang w:eastAsia="en-GB"/>
          <w14:ligatures w14:val="none"/>
        </w:rPr>
      </w:pPr>
      <w:r w:rsidRPr="002B0115">
        <w:rPr>
          <w:rFonts w:ascii="Arial" w:eastAsia="Times New Roman" w:hAnsi="Arial" w:cs="Arial"/>
          <w:b/>
          <w:bCs/>
          <w:color w:val="000000"/>
          <w:kern w:val="0"/>
          <w:lang w:eastAsia="en-GB"/>
          <w14:ligatures w14:val="none"/>
        </w:rPr>
        <w:t>Recommendations</w:t>
      </w:r>
    </w:p>
    <w:p w14:paraId="2BE31AD7" w14:textId="77777777" w:rsidR="002A59B8" w:rsidRPr="002B0115" w:rsidRDefault="002A59B8" w:rsidP="002A59B8">
      <w:pPr>
        <w:numPr>
          <w:ilvl w:val="0"/>
          <w:numId w:val="1"/>
        </w:num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Global frameworks should embed binding social determinant targets and require multi-sectoral reporting alongside health metrics (Marmot et al., 2023).</w:t>
      </w:r>
    </w:p>
    <w:p w14:paraId="42896620" w14:textId="77777777" w:rsidR="002A59B8" w:rsidRPr="002B0115" w:rsidRDefault="002A59B8" w:rsidP="002A59B8">
      <w:pPr>
        <w:numPr>
          <w:ilvl w:val="0"/>
          <w:numId w:val="1"/>
        </w:num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UK policy should reverse public health funding cuts and co-design interventions with marginalised groups to improve relevance and self-efficacy (Jones et al., 2023).</w:t>
      </w:r>
    </w:p>
    <w:p w14:paraId="2C1FB710" w14:textId="77777777" w:rsidR="002A59B8" w:rsidRPr="002B0115" w:rsidRDefault="002A59B8" w:rsidP="002A59B8">
      <w:pPr>
        <w:numPr>
          <w:ilvl w:val="0"/>
          <w:numId w:val="1"/>
        </w:num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Derby City Council should expand culturally tailored outreach and link health checks to transport and childcare support to remove practical barriers (Derby Public Health, 2025).</w:t>
      </w:r>
    </w:p>
    <w:p w14:paraId="57BEA7B2" w14:textId="53AC2C18" w:rsidR="002A59B8" w:rsidRPr="002B0115" w:rsidRDefault="002A59B8" w:rsidP="002A59B8">
      <w:pPr>
        <w:spacing w:after="0" w:line="360" w:lineRule="atLeast"/>
        <w:rPr>
          <w:rFonts w:ascii="Arial" w:eastAsia="Times New Roman" w:hAnsi="Arial" w:cs="Arial"/>
          <w:color w:val="000000"/>
          <w:kern w:val="0"/>
          <w:lang w:eastAsia="en-GB"/>
          <w14:ligatures w14:val="none"/>
        </w:rPr>
      </w:pPr>
    </w:p>
    <w:p w14:paraId="48342B0F" w14:textId="71E465A4" w:rsidR="002A59B8" w:rsidRPr="002B0115" w:rsidRDefault="002A59B8" w:rsidP="002A59B8">
      <w:pPr>
        <w:spacing w:after="0" w:line="360" w:lineRule="atLeast"/>
        <w:outlineLvl w:val="1"/>
        <w:rPr>
          <w:rFonts w:ascii="Arial" w:eastAsia="Times New Roman" w:hAnsi="Arial" w:cs="Arial"/>
          <w:color w:val="000000"/>
          <w:kern w:val="0"/>
          <w:lang w:eastAsia="en-GB"/>
          <w14:ligatures w14:val="none"/>
        </w:rPr>
      </w:pPr>
      <w:r w:rsidRPr="002B0115">
        <w:rPr>
          <w:rFonts w:ascii="Arial" w:eastAsia="Times New Roman" w:hAnsi="Arial" w:cs="Arial"/>
          <w:b/>
          <w:bCs/>
          <w:color w:val="000000"/>
          <w:kern w:val="0"/>
          <w:lang w:eastAsia="en-GB"/>
          <w14:ligatures w14:val="none"/>
        </w:rPr>
        <w:t>Section 2</w:t>
      </w:r>
      <w:r w:rsidRPr="002B0115">
        <w:rPr>
          <w:rFonts w:ascii="Arial" w:eastAsia="Times New Roman" w:hAnsi="Arial" w:cs="Arial"/>
          <w:color w:val="000000"/>
          <w:kern w:val="0"/>
          <w:lang w:eastAsia="en-GB"/>
          <w14:ligatures w14:val="none"/>
        </w:rPr>
        <w:t xml:space="preserve">: SDG 11 – Sustainable Cities and Communities </w:t>
      </w:r>
    </w:p>
    <w:p w14:paraId="1464BEA9" w14:textId="77777777" w:rsidR="002A59B8" w:rsidRPr="002B0115" w:rsidRDefault="002A59B8" w:rsidP="002A59B8">
      <w:pPr>
        <w:spacing w:after="0" w:line="360" w:lineRule="atLeast"/>
        <w:outlineLvl w:val="2"/>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Overview of SDG 11</w:t>
      </w:r>
    </w:p>
    <w:p w14:paraId="77F3158F" w14:textId="77777777" w:rsidR="002A59B8" w:rsidRPr="002B0115" w:rsidRDefault="002A59B8" w:rsidP="002A59B8">
      <w:p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SDG 11 targets include access to safe housing, affordable public transport, green spaces, reduced air pollution, and inclusive urban planning (UN-Habitat, 2024). It recognises that 68% of the global population will live in urban areas by 2050, making city design a critical driver of health and wellbeing—directly linking to SDG 3 outcomes (World Bank, 2023).</w:t>
      </w:r>
    </w:p>
    <w:p w14:paraId="438F09AF" w14:textId="77777777" w:rsidR="002A59B8" w:rsidRPr="002B0115" w:rsidRDefault="002A59B8" w:rsidP="002A59B8">
      <w:pPr>
        <w:spacing w:after="0" w:line="360" w:lineRule="atLeast"/>
        <w:outlineLvl w:val="2"/>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Global Policies and Critical Evaluation</w:t>
      </w:r>
    </w:p>
    <w:p w14:paraId="6173466E" w14:textId="77777777" w:rsidR="002A59B8" w:rsidRPr="002B0115" w:rsidRDefault="002A59B8" w:rsidP="002A59B8">
      <w:p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lastRenderedPageBreak/>
        <w:t xml:space="preserve">UN-Habitat’s </w:t>
      </w:r>
      <w:r w:rsidRPr="002B0115">
        <w:rPr>
          <w:rFonts w:ascii="Arial" w:eastAsia="Times New Roman" w:hAnsi="Arial" w:cs="Arial"/>
          <w:i/>
          <w:iCs/>
          <w:color w:val="000000"/>
          <w:kern w:val="0"/>
          <w:lang w:eastAsia="en-GB"/>
          <w14:ligatures w14:val="none"/>
        </w:rPr>
        <w:t>New Urban Agenda (2016)</w:t>
      </w:r>
      <w:r w:rsidRPr="002B0115">
        <w:rPr>
          <w:rFonts w:ascii="Arial" w:eastAsia="Times New Roman" w:hAnsi="Arial" w:cs="Arial"/>
          <w:color w:val="000000"/>
          <w:kern w:val="0"/>
          <w:lang w:eastAsia="en-GB"/>
          <w14:ligatures w14:val="none"/>
        </w:rPr>
        <w:t xml:space="preserve"> is the leading global initiative, requiring cities to integrate health into planning. While 180 countries have adopted national urban policies aligned with the framework, Satterthwaite (2024) notes most focus on physical infrastructure rather than equitable access: for example, green space targets often benefit wealthy neighbourhoods first. From a Social Cognitive Theory perspective, inclusive planning processes can build community agency, but top-down delivery means many residents have no opportunity to shape environments that affect their health (Pfeffer et al., 2022).</w:t>
      </w:r>
    </w:p>
    <w:p w14:paraId="1E61CB38" w14:textId="77777777" w:rsidR="002A59B8" w:rsidRPr="002B0115" w:rsidRDefault="002A59B8" w:rsidP="002A59B8">
      <w:pPr>
        <w:spacing w:after="0" w:line="360" w:lineRule="atLeast"/>
        <w:outlineLvl w:val="2"/>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National (UK) and Local (Derby) Examples</w:t>
      </w:r>
    </w:p>
    <w:p w14:paraId="28BDF458" w14:textId="77777777" w:rsidR="002A59B8" w:rsidRPr="002B0115" w:rsidRDefault="002A59B8" w:rsidP="002A59B8">
      <w:p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 xml:space="preserve">The UK’s </w:t>
      </w:r>
      <w:r w:rsidRPr="002B0115">
        <w:rPr>
          <w:rFonts w:ascii="Arial" w:eastAsia="Times New Roman" w:hAnsi="Arial" w:cs="Arial"/>
          <w:i/>
          <w:iCs/>
          <w:color w:val="000000"/>
          <w:kern w:val="0"/>
          <w:lang w:eastAsia="en-GB"/>
          <w14:ligatures w14:val="none"/>
        </w:rPr>
        <w:t>Levelling Up White Paper (2022)</w:t>
      </w:r>
      <w:r w:rsidRPr="002B0115">
        <w:rPr>
          <w:rFonts w:ascii="Arial" w:eastAsia="Times New Roman" w:hAnsi="Arial" w:cs="Arial"/>
          <w:color w:val="000000"/>
          <w:kern w:val="0"/>
          <w:lang w:eastAsia="en-GB"/>
          <w14:ligatures w14:val="none"/>
        </w:rPr>
        <w:t xml:space="preserve"> and </w:t>
      </w:r>
      <w:r w:rsidRPr="002B0115">
        <w:rPr>
          <w:rFonts w:ascii="Arial" w:eastAsia="Times New Roman" w:hAnsi="Arial" w:cs="Arial"/>
          <w:i/>
          <w:iCs/>
          <w:color w:val="000000"/>
          <w:kern w:val="0"/>
          <w:lang w:eastAsia="en-GB"/>
          <w14:ligatures w14:val="none"/>
        </w:rPr>
        <w:t>Environment Act (2021)</w:t>
      </w:r>
      <w:r w:rsidRPr="002B0115">
        <w:rPr>
          <w:rFonts w:ascii="Arial" w:eastAsia="Times New Roman" w:hAnsi="Arial" w:cs="Arial"/>
          <w:color w:val="000000"/>
          <w:kern w:val="0"/>
          <w:lang w:eastAsia="en-GB"/>
          <w14:ligatures w14:val="none"/>
        </w:rPr>
        <w:t xml:space="preserve"> align with SDG 11, setting targets for new green spaces, active travel routes, and improved air quality (HM Government, 2022). The </w:t>
      </w:r>
      <w:r w:rsidRPr="002B0115">
        <w:rPr>
          <w:rFonts w:ascii="Arial" w:eastAsia="Times New Roman" w:hAnsi="Arial" w:cs="Arial"/>
          <w:i/>
          <w:iCs/>
          <w:color w:val="000000"/>
          <w:kern w:val="0"/>
          <w:lang w:eastAsia="en-GB"/>
          <w14:ligatures w14:val="none"/>
        </w:rPr>
        <w:t>Active Travel Fund</w:t>
      </w:r>
      <w:r w:rsidRPr="002B0115">
        <w:rPr>
          <w:rFonts w:ascii="Arial" w:eastAsia="Times New Roman" w:hAnsi="Arial" w:cs="Arial"/>
          <w:color w:val="000000"/>
          <w:kern w:val="0"/>
          <w:lang w:eastAsia="en-GB"/>
          <w14:ligatures w14:val="none"/>
        </w:rPr>
        <w:t xml:space="preserve"> has supported over 1,000 miles of new cycle lanes, with evidence linking these to increased physical activity—an SDG 3 priority (Department for Transport, 2024). However, the National Audit Office (2025) found 42% of funding goes to already prosperous areas, widening health gaps.</w:t>
      </w:r>
    </w:p>
    <w:p w14:paraId="1A539502" w14:textId="77777777" w:rsidR="002A59B8" w:rsidRPr="002B0115" w:rsidRDefault="002A59B8" w:rsidP="002A59B8">
      <w:p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 xml:space="preserve">In Derby, the </w:t>
      </w:r>
      <w:r w:rsidRPr="002B0115">
        <w:rPr>
          <w:rFonts w:ascii="Arial" w:eastAsia="Times New Roman" w:hAnsi="Arial" w:cs="Arial"/>
          <w:i/>
          <w:iCs/>
          <w:color w:val="000000"/>
          <w:kern w:val="0"/>
          <w:lang w:eastAsia="en-GB"/>
          <w14:ligatures w14:val="none"/>
        </w:rPr>
        <w:t>2030 City Vision</w:t>
      </w:r>
      <w:r w:rsidRPr="002B0115">
        <w:rPr>
          <w:rFonts w:ascii="Arial" w:eastAsia="Times New Roman" w:hAnsi="Arial" w:cs="Arial"/>
          <w:color w:val="000000"/>
          <w:kern w:val="0"/>
          <w:lang w:eastAsia="en-GB"/>
          <w14:ligatures w14:val="none"/>
        </w:rPr>
        <w:t xml:space="preserve"> aims to make 90% of residents live within a 15-minute walk or cycle of key </w:t>
      </w:r>
      <w:proofErr w:type="gramStart"/>
      <w:r w:rsidRPr="002B0115">
        <w:rPr>
          <w:rFonts w:ascii="Arial" w:eastAsia="Times New Roman" w:hAnsi="Arial" w:cs="Arial"/>
          <w:color w:val="000000"/>
          <w:kern w:val="0"/>
          <w:lang w:eastAsia="en-GB"/>
          <w14:ligatures w14:val="none"/>
        </w:rPr>
        <w:t>services, and</w:t>
      </w:r>
      <w:proofErr w:type="gramEnd"/>
      <w:r w:rsidRPr="002B0115">
        <w:rPr>
          <w:rFonts w:ascii="Arial" w:eastAsia="Times New Roman" w:hAnsi="Arial" w:cs="Arial"/>
          <w:color w:val="000000"/>
          <w:kern w:val="0"/>
          <w:lang w:eastAsia="en-GB"/>
          <w14:ligatures w14:val="none"/>
        </w:rPr>
        <w:t xml:space="preserve"> cut NO</w:t>
      </w:r>
      <w:r w:rsidRPr="002B0115">
        <w:rPr>
          <w:rFonts w:ascii="Cambria Math" w:eastAsia="Times New Roman" w:hAnsi="Cambria Math" w:cs="Cambria Math"/>
          <w:color w:val="000000"/>
          <w:kern w:val="0"/>
          <w:lang w:eastAsia="en-GB"/>
          <w14:ligatures w14:val="none"/>
        </w:rPr>
        <w:t>₂</w:t>
      </w:r>
      <w:r w:rsidRPr="002B0115">
        <w:rPr>
          <w:rFonts w:ascii="Arial" w:eastAsia="Times New Roman" w:hAnsi="Arial" w:cs="Arial"/>
          <w:color w:val="000000"/>
          <w:kern w:val="0"/>
          <w:lang w:eastAsia="en-GB"/>
          <w14:ligatures w14:val="none"/>
        </w:rPr>
        <w:t xml:space="preserve"> emissions by 50% by 2030 (Derby City Council, 2023). The ongoing </w:t>
      </w:r>
      <w:r w:rsidRPr="002B0115">
        <w:rPr>
          <w:rFonts w:ascii="Arial" w:eastAsia="Times New Roman" w:hAnsi="Arial" w:cs="Arial"/>
          <w:i/>
          <w:iCs/>
          <w:color w:val="000000"/>
          <w:kern w:val="0"/>
          <w:lang w:eastAsia="en-GB"/>
          <w14:ligatures w14:val="none"/>
        </w:rPr>
        <w:t>Derby Greenways</w:t>
      </w:r>
      <w:r w:rsidRPr="002B0115">
        <w:rPr>
          <w:rFonts w:ascii="Arial" w:eastAsia="Times New Roman" w:hAnsi="Arial" w:cs="Arial"/>
          <w:color w:val="000000"/>
          <w:kern w:val="0"/>
          <w:lang w:eastAsia="en-GB"/>
          <w14:ligatures w14:val="none"/>
        </w:rPr>
        <w:t xml:space="preserve"> project connects parks and neighbourhoods, while the Clean Air Zone (CAZ) introduced in 2024 has reduced roadside pollution by 28% (Derby City Council, 2025). Applying the Health Belief Model, early consultation showed residents understood air pollution risks, but uptake of active travel was limited by </w:t>
      </w:r>
      <w:r w:rsidRPr="002B0115">
        <w:rPr>
          <w:rFonts w:ascii="Arial" w:eastAsia="Times New Roman" w:hAnsi="Arial" w:cs="Arial"/>
          <w:i/>
          <w:iCs/>
          <w:color w:val="000000"/>
          <w:kern w:val="0"/>
          <w:lang w:eastAsia="en-GB"/>
          <w14:ligatures w14:val="none"/>
        </w:rPr>
        <w:t>perceived barriers</w:t>
      </w:r>
      <w:r w:rsidRPr="002B0115">
        <w:rPr>
          <w:rFonts w:ascii="Arial" w:eastAsia="Times New Roman" w:hAnsi="Arial" w:cs="Arial"/>
          <w:color w:val="000000"/>
          <w:kern w:val="0"/>
          <w:lang w:eastAsia="en-GB"/>
          <w14:ligatures w14:val="none"/>
        </w:rPr>
        <w:t xml:space="preserve"> including unsafe crossings and lack of secure bike storage (Derby Public Health, 2024). Critics also note the CAZ disproportionately impacts low-income households with older vehicles, highlighting a conflict between sustainability and equity (Derby Citizens’ Panel, 2025).</w:t>
      </w:r>
    </w:p>
    <w:p w14:paraId="13883AAE" w14:textId="77777777" w:rsidR="002A59B8" w:rsidRPr="002B0115" w:rsidRDefault="002A59B8" w:rsidP="002A59B8">
      <w:pPr>
        <w:spacing w:after="0" w:line="360" w:lineRule="atLeast"/>
        <w:outlineLvl w:val="2"/>
        <w:rPr>
          <w:rFonts w:ascii="Arial" w:eastAsia="Times New Roman" w:hAnsi="Arial" w:cs="Arial"/>
          <w:b/>
          <w:bCs/>
          <w:color w:val="000000"/>
          <w:kern w:val="0"/>
          <w:lang w:eastAsia="en-GB"/>
          <w14:ligatures w14:val="none"/>
        </w:rPr>
      </w:pPr>
      <w:r w:rsidRPr="002B0115">
        <w:rPr>
          <w:rFonts w:ascii="Arial" w:eastAsia="Times New Roman" w:hAnsi="Arial" w:cs="Arial"/>
          <w:b/>
          <w:bCs/>
          <w:color w:val="000000"/>
          <w:kern w:val="0"/>
          <w:lang w:eastAsia="en-GB"/>
          <w14:ligatures w14:val="none"/>
        </w:rPr>
        <w:t>Recommendations</w:t>
      </w:r>
    </w:p>
    <w:p w14:paraId="6C3FED97" w14:textId="77777777" w:rsidR="002A59B8" w:rsidRPr="002B0115" w:rsidRDefault="002A59B8" w:rsidP="002A59B8">
      <w:pPr>
        <w:numPr>
          <w:ilvl w:val="0"/>
          <w:numId w:val="2"/>
        </w:num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Global urban guidelines must mandate equity assessments, requiring new infrastructure to prioritise deprived areas first (UN-Habitat, 2025).</w:t>
      </w:r>
    </w:p>
    <w:p w14:paraId="6B8AA586" w14:textId="77777777" w:rsidR="002A59B8" w:rsidRPr="002B0115" w:rsidRDefault="002A59B8" w:rsidP="002A59B8">
      <w:pPr>
        <w:numPr>
          <w:ilvl w:val="0"/>
          <w:numId w:val="2"/>
        </w:num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UK funding should be weighted to areas with the poorest health outcomes, with long-term budgets rather than short-term grants (National Audit Office, 2025).</w:t>
      </w:r>
    </w:p>
    <w:p w14:paraId="40FD06A2" w14:textId="77777777" w:rsidR="002A59B8" w:rsidRPr="002B0115" w:rsidRDefault="002A59B8" w:rsidP="002A59B8">
      <w:pPr>
        <w:numPr>
          <w:ilvl w:val="0"/>
          <w:numId w:val="2"/>
        </w:numPr>
        <w:spacing w:after="0" w:line="360" w:lineRule="atLeast"/>
        <w:rPr>
          <w:rFonts w:ascii="Arial" w:eastAsia="Times New Roman" w:hAnsi="Arial" w:cs="Arial"/>
          <w:color w:val="000000"/>
          <w:kern w:val="0"/>
          <w:lang w:eastAsia="en-GB"/>
          <w14:ligatures w14:val="none"/>
        </w:rPr>
      </w:pPr>
      <w:r w:rsidRPr="002B0115">
        <w:rPr>
          <w:rFonts w:ascii="Arial" w:eastAsia="Times New Roman" w:hAnsi="Arial" w:cs="Arial"/>
          <w:color w:val="000000"/>
          <w:kern w:val="0"/>
          <w:lang w:eastAsia="en-GB"/>
          <w14:ligatures w14:val="none"/>
        </w:rPr>
        <w:t>Derby should co-design improvements with residents, including low-cost bike loans and pedestrian upgrades, to address practical barriers and build confidence in active travel (Pfeffer et al., 2022).</w:t>
      </w:r>
    </w:p>
    <w:p w14:paraId="45F43F8E" w14:textId="6CAD6943" w:rsidR="002A59B8" w:rsidRPr="002B0115" w:rsidRDefault="002A59B8" w:rsidP="002A59B8">
      <w:pPr>
        <w:spacing w:after="0" w:line="360" w:lineRule="atLeast"/>
        <w:rPr>
          <w:rFonts w:ascii="Arial" w:eastAsia="Times New Roman" w:hAnsi="Arial" w:cs="Arial"/>
          <w:color w:val="000000"/>
          <w:kern w:val="0"/>
          <w:lang w:eastAsia="en-GB"/>
          <w14:ligatures w14:val="none"/>
        </w:rPr>
      </w:pPr>
    </w:p>
    <w:p w14:paraId="56EFFFC4" w14:textId="296D87E7" w:rsidR="002A59B8" w:rsidRPr="000F29D7" w:rsidRDefault="000F29D7" w:rsidP="002A59B8">
      <w:pPr>
        <w:spacing w:after="0" w:line="360" w:lineRule="atLeast"/>
        <w:rPr>
          <w:rFonts w:ascii="Arial" w:eastAsia="Times New Roman" w:hAnsi="Arial" w:cs="Arial"/>
          <w:b/>
          <w:bCs/>
          <w:color w:val="000000"/>
          <w:kern w:val="0"/>
          <w:sz w:val="28"/>
          <w:szCs w:val="28"/>
          <w:lang w:eastAsia="en-GB"/>
          <w14:ligatures w14:val="none"/>
        </w:rPr>
      </w:pPr>
      <w:r w:rsidRPr="000F29D7">
        <w:rPr>
          <w:rFonts w:ascii="Arial" w:eastAsia="Times New Roman" w:hAnsi="Arial" w:cs="Arial"/>
          <w:b/>
          <w:bCs/>
          <w:color w:val="000000"/>
          <w:kern w:val="0"/>
          <w:sz w:val="28"/>
          <w:szCs w:val="28"/>
          <w:lang w:eastAsia="en-GB"/>
          <w14:ligatures w14:val="none"/>
        </w:rPr>
        <w:t>conclusion</w:t>
      </w:r>
    </w:p>
    <w:p w14:paraId="3FBB084A" w14:textId="77777777" w:rsidR="000F29D7" w:rsidRPr="000F29D7" w:rsidRDefault="000F29D7" w:rsidP="000F29D7">
      <w:pPr>
        <w:spacing w:after="0" w:line="360" w:lineRule="atLeast"/>
        <w:outlineLvl w:val="1"/>
        <w:rPr>
          <w:rFonts w:ascii="Arial" w:eastAsia="Times New Roman" w:hAnsi="Arial" w:cs="Arial"/>
          <w:color w:val="000000"/>
          <w:kern w:val="0"/>
          <w:lang w:eastAsia="en-GB"/>
          <w14:ligatures w14:val="none"/>
        </w:rPr>
      </w:pPr>
      <w:r w:rsidRPr="000F29D7">
        <w:rPr>
          <w:rFonts w:ascii="Arial" w:eastAsia="Times New Roman" w:hAnsi="Arial" w:cs="Arial"/>
          <w:color w:val="000000"/>
          <w:kern w:val="0"/>
          <w:lang w:eastAsia="en-GB"/>
          <w14:ligatures w14:val="none"/>
        </w:rPr>
        <w:t xml:space="preserve">This analysis confirms that SDG 3 and SDG 11 are mutually reinforcing: good health cannot be achieved without sustainable, inclusive urban environments, while liveable cities rely on healthy, thriving populations. At every level – global, national and local – policies have delivered measurable benefits, from expanded primary healthcare access to Derby’s </w:t>
      </w:r>
      <w:r w:rsidRPr="000F29D7">
        <w:rPr>
          <w:rFonts w:ascii="Arial" w:eastAsia="Times New Roman" w:hAnsi="Arial" w:cs="Arial"/>
          <w:color w:val="000000"/>
          <w:kern w:val="0"/>
          <w:lang w:eastAsia="en-GB"/>
          <w14:ligatures w14:val="none"/>
        </w:rPr>
        <w:lastRenderedPageBreak/>
        <w:t>reduced air pollution. However, progress is consistently undermined by siloed working, top-down decision-making and insufficient attention to how individual beliefs and practical barriers shape outcomes.</w:t>
      </w:r>
    </w:p>
    <w:p w14:paraId="0539E803" w14:textId="77777777" w:rsidR="000F29D7" w:rsidRPr="000F29D7" w:rsidRDefault="000F29D7" w:rsidP="000F29D7">
      <w:pPr>
        <w:spacing w:after="0" w:line="360" w:lineRule="atLeast"/>
        <w:outlineLvl w:val="1"/>
        <w:rPr>
          <w:rFonts w:ascii="Arial" w:eastAsia="Times New Roman" w:hAnsi="Arial" w:cs="Arial"/>
          <w:color w:val="000000"/>
          <w:kern w:val="0"/>
          <w:lang w:eastAsia="en-GB"/>
          <w14:ligatures w14:val="none"/>
        </w:rPr>
      </w:pPr>
      <w:r w:rsidRPr="000F29D7">
        <w:rPr>
          <w:rFonts w:ascii="Arial" w:eastAsia="Times New Roman" w:hAnsi="Arial" w:cs="Arial"/>
          <w:color w:val="000000"/>
          <w:kern w:val="0"/>
          <w:lang w:eastAsia="en-GB"/>
          <w14:ligatures w14:val="none"/>
        </w:rPr>
        <w:t>Applying the Health Belief Model and Social Cognitive Theory shows that interventions succeed only when they address both individual behaviour and the environments that enable or restrict it. Delivering the 2030 Agenda requires abandoning separate working on health and sustainability, ensuring equity is embedded in every stage of policy design, and giving communities genuine influence over decisions that affect them. Without these changes, the SDGs will fail to close gaps between advantaged and disadvantaged groups, and the most vulnerable will be left behind.</w:t>
      </w:r>
    </w:p>
    <w:p w14:paraId="2663FF07" w14:textId="77777777" w:rsidR="002B0115" w:rsidRDefault="002B0115" w:rsidP="002A59B8">
      <w:pPr>
        <w:spacing w:after="0" w:line="360" w:lineRule="atLeast"/>
        <w:outlineLvl w:val="1"/>
        <w:rPr>
          <w:rFonts w:ascii="Arial" w:eastAsia="Times New Roman" w:hAnsi="Arial" w:cs="Arial"/>
          <w:color w:val="000000"/>
          <w:kern w:val="0"/>
          <w:lang w:eastAsia="en-GB"/>
          <w14:ligatures w14:val="none"/>
        </w:rPr>
      </w:pPr>
    </w:p>
    <w:p w14:paraId="67C6A42F" w14:textId="6CCF7496" w:rsidR="006053E5" w:rsidRPr="006053E5" w:rsidRDefault="006053E5" w:rsidP="006053E5">
      <w:pPr>
        <w:spacing w:after="0" w:line="360" w:lineRule="atLeast"/>
        <w:rPr>
          <w:rFonts w:ascii="Arial" w:eastAsia="Times New Roman" w:hAnsi="Arial" w:cs="Arial"/>
          <w:kern w:val="0"/>
          <w:sz w:val="24"/>
          <w:szCs w:val="24"/>
          <w:lang w:eastAsia="en-GB"/>
          <w14:ligatures w14:val="none"/>
        </w:rPr>
      </w:pPr>
    </w:p>
    <w:p w14:paraId="4A958B7F" w14:textId="77777777" w:rsidR="006053E5" w:rsidRPr="006053E5" w:rsidRDefault="006053E5" w:rsidP="006053E5">
      <w:pPr>
        <w:spacing w:after="0" w:line="360" w:lineRule="atLeast"/>
        <w:outlineLvl w:val="1"/>
        <w:rPr>
          <w:rFonts w:ascii="Arial" w:eastAsia="Times New Roman" w:hAnsi="Arial" w:cs="Arial"/>
          <w:b/>
          <w:bCs/>
          <w:color w:val="000000"/>
          <w:kern w:val="0"/>
          <w:sz w:val="28"/>
          <w:szCs w:val="28"/>
          <w:lang w:eastAsia="en-GB"/>
          <w14:ligatures w14:val="none"/>
        </w:rPr>
      </w:pPr>
      <w:r w:rsidRPr="006053E5">
        <w:rPr>
          <w:rFonts w:ascii="Arial" w:eastAsia="Times New Roman" w:hAnsi="Arial" w:cs="Arial"/>
          <w:b/>
          <w:bCs/>
          <w:color w:val="000000"/>
          <w:kern w:val="0"/>
          <w:sz w:val="28"/>
          <w:szCs w:val="28"/>
          <w:lang w:eastAsia="en-GB"/>
          <w14:ligatures w14:val="none"/>
        </w:rPr>
        <w:t>References</w:t>
      </w:r>
    </w:p>
    <w:p w14:paraId="66155A9B"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Bandura, A. (2018). ‘Towards a psychology of human agency’, Perspectives on Psychological Science, 13(1), pp. 30–58.</w:t>
      </w:r>
    </w:p>
    <w:p w14:paraId="5C41D37C"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 xml:space="preserve">Department for Transport. (2024). Active Travel Fund: Annual Evaluation Report 2024. London: </w:t>
      </w:r>
      <w:proofErr w:type="spellStart"/>
      <w:r w:rsidRPr="006053E5">
        <w:rPr>
          <w:rFonts w:ascii="Arial" w:eastAsia="Times New Roman" w:hAnsi="Arial" w:cs="Arial"/>
          <w:i/>
          <w:iCs/>
          <w:color w:val="000000"/>
          <w:kern w:val="0"/>
          <w:sz w:val="24"/>
          <w:szCs w:val="24"/>
          <w:lang w:eastAsia="en-GB"/>
          <w14:ligatures w14:val="none"/>
        </w:rPr>
        <w:t>DfT.</w:t>
      </w:r>
      <w:proofErr w:type="spellEnd"/>
    </w:p>
    <w:p w14:paraId="645B1A74"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Derby City Council. (2023). Derby 2030: Our City Vision. Derby: Derby City Council.</w:t>
      </w:r>
    </w:p>
    <w:p w14:paraId="1612CF40"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Derby City Council. (2024). Derby Joint Strategic Needs Assessment 2024. Derby: Derby City Council.</w:t>
      </w:r>
    </w:p>
    <w:p w14:paraId="6AA58E6F"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Derby City Council. (2025). Clean Air Zone: First Year Impact Report. Derby: Derby City Council.</w:t>
      </w:r>
    </w:p>
    <w:p w14:paraId="6C561D66"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Derby Citizens’ Panel. (2025). Levelling Up in Derby: Resident Views 2025. Derby: DCP.</w:t>
      </w:r>
    </w:p>
    <w:p w14:paraId="3EB2D388"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Derby Public Health. (2024). Active Travel in Derby: Barriers and Opportunities. Derby: Derby City Council.</w:t>
      </w:r>
    </w:p>
    <w:p w14:paraId="6D69DD73"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Derby Public Health. (2025). Mental Health Access in Derby: Inequalities Review. Derby: Derby City Council.</w:t>
      </w:r>
    </w:p>
    <w:p w14:paraId="116164D7"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HM Government. (2021). Environment Act 2021. London: The Stationery Office.</w:t>
      </w:r>
    </w:p>
    <w:p w14:paraId="60663A7C"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HM Government. (2022). Levelling Up the United Kingdom: White Paper. London: Cabinet Office.</w:t>
      </w:r>
    </w:p>
    <w:p w14:paraId="4CDE9198"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Jones, S., et al. (2023). ‘The Health Belief Model in public health practice: A systematic review’, Health Education Research, 38(2), pp. 189–204.</w:t>
      </w:r>
    </w:p>
    <w:p w14:paraId="1184594D"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King’s Fund. (2025). Public Health Funding in England: Trends and Impacts 2015–2025. London: The King’s Fund.</w:t>
      </w:r>
    </w:p>
    <w:p w14:paraId="1D6293BA"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 xml:space="preserve">Labonté, R. and Ruckert, A. (2022). Health Equity in a Globalising Era. 2nd </w:t>
      </w:r>
      <w:proofErr w:type="spellStart"/>
      <w:r w:rsidRPr="006053E5">
        <w:rPr>
          <w:rFonts w:ascii="Arial" w:eastAsia="Times New Roman" w:hAnsi="Arial" w:cs="Arial"/>
          <w:i/>
          <w:iCs/>
          <w:color w:val="000000"/>
          <w:kern w:val="0"/>
          <w:sz w:val="24"/>
          <w:szCs w:val="24"/>
          <w:lang w:eastAsia="en-GB"/>
          <w14:ligatures w14:val="none"/>
        </w:rPr>
        <w:t>edn</w:t>
      </w:r>
      <w:proofErr w:type="spellEnd"/>
      <w:r w:rsidRPr="006053E5">
        <w:rPr>
          <w:rFonts w:ascii="Arial" w:eastAsia="Times New Roman" w:hAnsi="Arial" w:cs="Arial"/>
          <w:i/>
          <w:iCs/>
          <w:color w:val="000000"/>
          <w:kern w:val="0"/>
          <w:sz w:val="24"/>
          <w:szCs w:val="24"/>
          <w:lang w:eastAsia="en-GB"/>
          <w14:ligatures w14:val="none"/>
        </w:rPr>
        <w:t>. Bristol: Policy Press.</w:t>
      </w:r>
    </w:p>
    <w:p w14:paraId="69C9F540"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lastRenderedPageBreak/>
        <w:t>Marmot, M., et al. (2023). Fair Society, Healthy Lives: 10 Years On. London: Institute of Health Equity.</w:t>
      </w:r>
    </w:p>
    <w:p w14:paraId="03D27850"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National Audit Office. (2025). Funding for Sustainable Transport. London: NAO.</w:t>
      </w:r>
    </w:p>
    <w:p w14:paraId="3C5E434B"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NHS England. (2024). NHS Long Term Plan: Progress Report 2024. London: NHS England.</w:t>
      </w:r>
    </w:p>
    <w:p w14:paraId="074870DC"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Pfeffer, K., et al. (2022). ‘Social Cognitive Theory and urban health: A review’, Urban Health &amp; Society, 17(3), pp. 245–261.</w:t>
      </w:r>
    </w:p>
    <w:p w14:paraId="011E6EE2"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Public Health England. (2023). Community Health Champions: National Evaluation. London: PHE.</w:t>
      </w:r>
    </w:p>
    <w:p w14:paraId="0790881B"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Satterthwaite, D. (2024). Urban Inequality and the SDGs. London: IIED.</w:t>
      </w:r>
    </w:p>
    <w:p w14:paraId="4EC22988"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United Nations. (2023). The Sustainable Development Goals Report 2023. New York: UN Statistics Division.</w:t>
      </w:r>
    </w:p>
    <w:p w14:paraId="09C034D1"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United Nations. (2024). SDG 3 Targets and Indicators. New York: UN Department of Global Communications.</w:t>
      </w:r>
    </w:p>
    <w:p w14:paraId="2DB6EF06"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UN-Habitat. (2016). New Urban Agenda. Nairobi: UN-Habitat.</w:t>
      </w:r>
    </w:p>
    <w:p w14:paraId="5DFC7C64"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UN-Habitat. (2024). SDG 11 Progress Report 2024. Nairobi: UN-Habitat.</w:t>
      </w:r>
    </w:p>
    <w:p w14:paraId="3A3CDF8C"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UN-Habitat. (2025). Equitable Urban Planning: Global Guidelines. Nairobi: UN-Habitat.</w:t>
      </w:r>
    </w:p>
    <w:p w14:paraId="4C58C1D2"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World Bank. (2023). Cities and Health: Global Review. Washington DC: World Bank Group.</w:t>
      </w:r>
    </w:p>
    <w:p w14:paraId="04106577"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World Health Organization. (2019). Global Action Plan for Healthy Lives and Wellbeing for All. Geneva: WHO.</w:t>
      </w:r>
    </w:p>
    <w:p w14:paraId="04114759"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World Health Organization. (2024). Primary Health Care Progress Report. Geneva: WHO.</w:t>
      </w:r>
    </w:p>
    <w:p w14:paraId="25EACEE4" w14:textId="77777777" w:rsidR="006053E5" w:rsidRPr="006053E5" w:rsidRDefault="006053E5" w:rsidP="006053E5">
      <w:pPr>
        <w:spacing w:after="0" w:line="360" w:lineRule="atLeast"/>
        <w:rPr>
          <w:rFonts w:ascii="Arial" w:eastAsia="Times New Roman" w:hAnsi="Arial" w:cs="Arial"/>
          <w:color w:val="000000"/>
          <w:kern w:val="0"/>
          <w:sz w:val="24"/>
          <w:szCs w:val="24"/>
          <w:lang w:eastAsia="en-GB"/>
          <w14:ligatures w14:val="none"/>
        </w:rPr>
      </w:pPr>
      <w:r w:rsidRPr="006053E5">
        <w:rPr>
          <w:rFonts w:ascii="Arial" w:eastAsia="Times New Roman" w:hAnsi="Arial" w:cs="Arial"/>
          <w:i/>
          <w:iCs/>
          <w:color w:val="000000"/>
          <w:kern w:val="0"/>
          <w:sz w:val="24"/>
          <w:szCs w:val="24"/>
          <w:lang w:eastAsia="en-GB"/>
          <w14:ligatures w14:val="none"/>
        </w:rPr>
        <w:t>World Health Organization. (2025). Global Health Coverage Assessment. Geneva: WHO</w:t>
      </w:r>
    </w:p>
    <w:p w14:paraId="10A77FD6" w14:textId="77777777" w:rsidR="006053E5" w:rsidRPr="000F29D7" w:rsidRDefault="006053E5" w:rsidP="002A59B8">
      <w:pPr>
        <w:spacing w:after="0" w:line="360" w:lineRule="atLeast"/>
        <w:outlineLvl w:val="1"/>
        <w:rPr>
          <w:rFonts w:ascii="Arial" w:eastAsia="Times New Roman" w:hAnsi="Arial" w:cs="Arial"/>
          <w:color w:val="000000"/>
          <w:kern w:val="0"/>
          <w:lang w:eastAsia="en-GB"/>
          <w14:ligatures w14:val="none"/>
        </w:rPr>
      </w:pPr>
    </w:p>
    <w:sectPr w:rsidR="006053E5" w:rsidRPr="000F29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C388F" w14:textId="77777777" w:rsidR="00952275" w:rsidRDefault="00952275" w:rsidP="006053E5">
      <w:pPr>
        <w:spacing w:after="0" w:line="240" w:lineRule="auto"/>
      </w:pPr>
      <w:r>
        <w:separator/>
      </w:r>
    </w:p>
  </w:endnote>
  <w:endnote w:type="continuationSeparator" w:id="0">
    <w:p w14:paraId="5419F205" w14:textId="77777777" w:rsidR="00952275" w:rsidRDefault="00952275" w:rsidP="006053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FE2DC7" w14:textId="77777777" w:rsidR="00952275" w:rsidRDefault="00952275" w:rsidP="006053E5">
      <w:pPr>
        <w:spacing w:after="0" w:line="240" w:lineRule="auto"/>
      </w:pPr>
      <w:r>
        <w:separator/>
      </w:r>
    </w:p>
  </w:footnote>
  <w:footnote w:type="continuationSeparator" w:id="0">
    <w:p w14:paraId="11FCEA90" w14:textId="77777777" w:rsidR="00952275" w:rsidRDefault="00952275" w:rsidP="006053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45552"/>
    <w:multiLevelType w:val="multilevel"/>
    <w:tmpl w:val="CE309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D44C7C"/>
    <w:multiLevelType w:val="multilevel"/>
    <w:tmpl w:val="09CE86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F01986"/>
    <w:multiLevelType w:val="multilevel"/>
    <w:tmpl w:val="AAE80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523E4A"/>
    <w:multiLevelType w:val="multilevel"/>
    <w:tmpl w:val="C06EE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BD6F51"/>
    <w:multiLevelType w:val="multilevel"/>
    <w:tmpl w:val="A650D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9820758">
    <w:abstractNumId w:val="3"/>
  </w:num>
  <w:num w:numId="2" w16cid:durableId="1383598491">
    <w:abstractNumId w:val="2"/>
  </w:num>
  <w:num w:numId="3" w16cid:durableId="210196038">
    <w:abstractNumId w:val="1"/>
  </w:num>
  <w:num w:numId="4" w16cid:durableId="1196231072">
    <w:abstractNumId w:val="0"/>
  </w:num>
  <w:num w:numId="5" w16cid:durableId="2000997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A59B8"/>
    <w:rsid w:val="000F29D7"/>
    <w:rsid w:val="002A59B8"/>
    <w:rsid w:val="002B0115"/>
    <w:rsid w:val="002F0625"/>
    <w:rsid w:val="0059369F"/>
    <w:rsid w:val="006053E5"/>
    <w:rsid w:val="007A6FA0"/>
    <w:rsid w:val="00815CAB"/>
    <w:rsid w:val="00952275"/>
    <w:rsid w:val="00A607A8"/>
    <w:rsid w:val="00BC24FA"/>
    <w:rsid w:val="00D238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71F695"/>
  <w15:chartTrackingRefBased/>
  <w15:docId w15:val="{AEB83505-C6FC-4DAF-860C-5484BEF70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59B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A59B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A59B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A59B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A59B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A59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59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59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59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59B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A59B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A59B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A59B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A59B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A59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59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59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59B8"/>
    <w:rPr>
      <w:rFonts w:eastAsiaTheme="majorEastAsia" w:cstheme="majorBidi"/>
      <w:color w:val="272727" w:themeColor="text1" w:themeTint="D8"/>
    </w:rPr>
  </w:style>
  <w:style w:type="paragraph" w:styleId="Title">
    <w:name w:val="Title"/>
    <w:basedOn w:val="Normal"/>
    <w:next w:val="Normal"/>
    <w:link w:val="TitleChar"/>
    <w:uiPriority w:val="10"/>
    <w:qFormat/>
    <w:rsid w:val="002A59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59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59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59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59B8"/>
    <w:pPr>
      <w:spacing w:before="160"/>
      <w:jc w:val="center"/>
    </w:pPr>
    <w:rPr>
      <w:i/>
      <w:iCs/>
      <w:color w:val="404040" w:themeColor="text1" w:themeTint="BF"/>
    </w:rPr>
  </w:style>
  <w:style w:type="character" w:customStyle="1" w:styleId="QuoteChar">
    <w:name w:val="Quote Char"/>
    <w:basedOn w:val="DefaultParagraphFont"/>
    <w:link w:val="Quote"/>
    <w:uiPriority w:val="29"/>
    <w:rsid w:val="002A59B8"/>
    <w:rPr>
      <w:i/>
      <w:iCs/>
      <w:color w:val="404040" w:themeColor="text1" w:themeTint="BF"/>
    </w:rPr>
  </w:style>
  <w:style w:type="paragraph" w:styleId="ListParagraph">
    <w:name w:val="List Paragraph"/>
    <w:basedOn w:val="Normal"/>
    <w:uiPriority w:val="34"/>
    <w:qFormat/>
    <w:rsid w:val="002A59B8"/>
    <w:pPr>
      <w:ind w:left="720"/>
      <w:contextualSpacing/>
    </w:pPr>
  </w:style>
  <w:style w:type="character" w:styleId="IntenseEmphasis">
    <w:name w:val="Intense Emphasis"/>
    <w:basedOn w:val="DefaultParagraphFont"/>
    <w:uiPriority w:val="21"/>
    <w:qFormat/>
    <w:rsid w:val="002A59B8"/>
    <w:rPr>
      <w:i/>
      <w:iCs/>
      <w:color w:val="2F5496" w:themeColor="accent1" w:themeShade="BF"/>
    </w:rPr>
  </w:style>
  <w:style w:type="paragraph" w:styleId="IntenseQuote">
    <w:name w:val="Intense Quote"/>
    <w:basedOn w:val="Normal"/>
    <w:next w:val="Normal"/>
    <w:link w:val="IntenseQuoteChar"/>
    <w:uiPriority w:val="30"/>
    <w:qFormat/>
    <w:rsid w:val="002A59B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A59B8"/>
    <w:rPr>
      <w:i/>
      <w:iCs/>
      <w:color w:val="2F5496" w:themeColor="accent1" w:themeShade="BF"/>
    </w:rPr>
  </w:style>
  <w:style w:type="character" w:styleId="IntenseReference">
    <w:name w:val="Intense Reference"/>
    <w:basedOn w:val="DefaultParagraphFont"/>
    <w:uiPriority w:val="32"/>
    <w:qFormat/>
    <w:rsid w:val="002A59B8"/>
    <w:rPr>
      <w:b/>
      <w:bCs/>
      <w:smallCaps/>
      <w:color w:val="2F5496" w:themeColor="accent1" w:themeShade="BF"/>
      <w:spacing w:val="5"/>
    </w:rPr>
  </w:style>
  <w:style w:type="paragraph" w:styleId="Header">
    <w:name w:val="header"/>
    <w:basedOn w:val="Normal"/>
    <w:link w:val="HeaderChar"/>
    <w:uiPriority w:val="99"/>
    <w:unhideWhenUsed/>
    <w:rsid w:val="006053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3E5"/>
  </w:style>
  <w:style w:type="paragraph" w:styleId="Footer">
    <w:name w:val="footer"/>
    <w:basedOn w:val="Normal"/>
    <w:link w:val="FooterChar"/>
    <w:uiPriority w:val="99"/>
    <w:unhideWhenUsed/>
    <w:rsid w:val="006053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3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1729</Words>
  <Characters>9858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 Carpenter</dc:creator>
  <cp:keywords/>
  <dc:description/>
  <cp:lastModifiedBy>Tina Carpenter</cp:lastModifiedBy>
  <cp:revision>2</cp:revision>
  <dcterms:created xsi:type="dcterms:W3CDTF">2026-07-15T12:24:00Z</dcterms:created>
  <dcterms:modified xsi:type="dcterms:W3CDTF">2026-07-15T12:24:00Z</dcterms:modified>
</cp:coreProperties>
</file>