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155FA5B2">
      <w:r w:rsidR="13080B75">
        <w:rPr/>
        <w:t>The topic of this essay is consent and its role in cases involving battery</w:t>
      </w:r>
      <w:r w:rsidR="073511FC">
        <w:rPr/>
        <w:t>. The purpose of this essay is to highlight and evaluate the role of consent in battery cases in the UK</w:t>
      </w:r>
      <w:r w:rsidR="3FFE740C">
        <w:rPr/>
        <w:t xml:space="preserve"> including </w:t>
      </w:r>
      <w:r w:rsidR="575E73F0">
        <w:rPr/>
        <w:t xml:space="preserve">the legal framework, </w:t>
      </w:r>
      <w:r w:rsidR="575E73F0">
        <w:rPr/>
        <w:t>implications</w:t>
      </w:r>
      <w:r w:rsidR="575E73F0">
        <w:rPr/>
        <w:t xml:space="preserve"> and ethical considerations. </w:t>
      </w:r>
      <w:r w:rsidR="201A26F3">
        <w:rPr/>
        <w:t xml:space="preserve">The main argument/ statement of this essay is to prove the importance of consent in battery cases within the UK. </w:t>
      </w:r>
    </w:p>
    <w:p w:rsidR="5ED72956" w:rsidP="5ED72956" w:rsidRDefault="5ED72956" w14:paraId="46820B51" w14:textId="64DBEC26">
      <w:pPr>
        <w:pStyle w:val="Normal"/>
      </w:pPr>
    </w:p>
    <w:p w:rsidR="590416CC" w:rsidP="5ED72956" w:rsidRDefault="590416CC" w14:paraId="4445AD81" w14:textId="6E6F97BA">
      <w:pPr>
        <w:pStyle w:val="Normal"/>
      </w:pPr>
      <w:r w:rsidR="590416CC">
        <w:rPr/>
        <w:t xml:space="preserve">The legal concept of consent in the UK </w:t>
      </w:r>
      <w:r w:rsidR="64AAB854">
        <w:rPr/>
        <w:t xml:space="preserve">according to </w:t>
      </w:r>
      <w:r w:rsidR="32468DFE">
        <w:rPr/>
        <w:t xml:space="preserve">UK says no more is that ‘consent is when we agree by choice and </w:t>
      </w:r>
      <w:r w:rsidR="065139D7">
        <w:rPr/>
        <w:t xml:space="preserve">when </w:t>
      </w:r>
      <w:r w:rsidR="32468DFE">
        <w:rPr/>
        <w:t>someone ha</w:t>
      </w:r>
      <w:r w:rsidR="00D3632E">
        <w:rPr/>
        <w:t>s the freedom</w:t>
      </w:r>
      <w:r w:rsidR="32468DFE">
        <w:rPr/>
        <w:t xml:space="preserve"> </w:t>
      </w:r>
      <w:r w:rsidR="7C5F15F1">
        <w:rPr/>
        <w:t>and capacity to make that choice</w:t>
      </w:r>
      <w:r w:rsidR="0980ECDA">
        <w:rPr/>
        <w:t>’.</w:t>
      </w:r>
      <w:r w:rsidR="0980ECDA">
        <w:rPr/>
        <w:t xml:space="preserve"> There are many elements to consent</w:t>
      </w:r>
      <w:r w:rsidR="23C7E3DD">
        <w:rPr/>
        <w:t xml:space="preserve">. For example, it must be voluntary, the person must have </w:t>
      </w:r>
      <w:r w:rsidR="23C7E3DD">
        <w:rPr/>
        <w:t>capacity</w:t>
      </w:r>
      <w:r w:rsidR="23C7E3DD">
        <w:rPr/>
        <w:t xml:space="preserve"> and </w:t>
      </w:r>
      <w:r w:rsidR="44757144">
        <w:rPr/>
        <w:t xml:space="preserve">it must be informed. </w:t>
      </w:r>
      <w:r w:rsidR="3B1DF199">
        <w:rPr/>
        <w:t xml:space="preserve">Voluntary consent is extremely important because it ensures that both </w:t>
      </w:r>
      <w:r w:rsidR="590473B6">
        <w:rPr/>
        <w:t>parties</w:t>
      </w:r>
      <w:r w:rsidR="3B1DF199">
        <w:rPr/>
        <w:t xml:space="preserve"> </w:t>
      </w:r>
      <w:r w:rsidR="34B7CB32">
        <w:rPr/>
        <w:t xml:space="preserve">have not been forced into making any decisions which can detrimentally </w:t>
      </w:r>
      <w:r w:rsidR="34B7CB32">
        <w:rPr/>
        <w:t>impact</w:t>
      </w:r>
      <w:r w:rsidR="34B7CB32">
        <w:rPr/>
        <w:t xml:space="preserve"> the participants. </w:t>
      </w:r>
      <w:r w:rsidR="79B2011D">
        <w:rPr/>
        <w:t xml:space="preserve">By making sure the person giving consent has </w:t>
      </w:r>
      <w:r w:rsidR="79B2011D">
        <w:rPr/>
        <w:t>capacity</w:t>
      </w:r>
      <w:r w:rsidR="79B2011D">
        <w:rPr/>
        <w:t xml:space="preserve"> it means they can think freely and make crucial </w:t>
      </w:r>
      <w:r w:rsidR="4173B250">
        <w:rPr/>
        <w:t xml:space="preserve">decisions for themselves. </w:t>
      </w:r>
      <w:r w:rsidR="5DA47960">
        <w:rPr/>
        <w:t xml:space="preserve">Being informed is important because everyone will know exactly what to expect and what is going to happen, this means that </w:t>
      </w:r>
      <w:r w:rsidR="573DE2FC">
        <w:rPr/>
        <w:t xml:space="preserve">there will be no misunderstandings in any events that occur. </w:t>
      </w:r>
      <w:r w:rsidR="4B906E00">
        <w:rPr/>
        <w:t xml:space="preserve">In a legal context </w:t>
      </w:r>
      <w:r w:rsidR="72205FA9">
        <w:rPr/>
        <w:t xml:space="preserve">according to </w:t>
      </w:r>
      <w:r w:rsidR="44C88EB6">
        <w:rPr/>
        <w:t xml:space="preserve">Herring </w:t>
      </w:r>
      <w:r w:rsidR="4B906E00">
        <w:rPr/>
        <w:t xml:space="preserve">‘battery involves an unlawful and unwanted contact with the body </w:t>
      </w:r>
      <w:r w:rsidR="04CFF0B4">
        <w:rPr/>
        <w:t>of another</w:t>
      </w:r>
      <w:r w:rsidR="04CFF0B4">
        <w:rPr/>
        <w:t>’</w:t>
      </w:r>
      <w:r w:rsidR="40AC69DC">
        <w:rPr/>
        <w:t>.</w:t>
      </w:r>
      <w:r w:rsidR="40AC69DC">
        <w:rPr/>
        <w:t xml:space="preserve"> The current law which defines battery in the UK is</w:t>
      </w:r>
      <w:r w:rsidR="652F5506">
        <w:rPr/>
        <w:t xml:space="preserve"> section 39 </w:t>
      </w:r>
      <w:r w:rsidR="647E16A0">
        <w:rPr/>
        <w:t>of the</w:t>
      </w:r>
      <w:r w:rsidR="652F5506">
        <w:rPr/>
        <w:t xml:space="preserve"> criminal justice act (1998</w:t>
      </w:r>
      <w:r w:rsidR="7A576A5B">
        <w:rPr/>
        <w:t xml:space="preserve">) which falls under the same act as assault. The difference between assault and battery is </w:t>
      </w:r>
      <w:r w:rsidR="25D9316F">
        <w:rPr/>
        <w:t xml:space="preserve">that assault is when the victim believed they </w:t>
      </w:r>
      <w:r w:rsidR="3A3DC430">
        <w:rPr/>
        <w:t xml:space="preserve">were going to come under harm and battery is where harm is </w:t>
      </w:r>
      <w:bookmarkStart w:name="_Int_EW3gJcFo" w:id="685840349"/>
      <w:r w:rsidR="3A3DC430">
        <w:rPr/>
        <w:t>actually caused</w:t>
      </w:r>
      <w:bookmarkEnd w:id="685840349"/>
      <w:r w:rsidR="3A3DC430">
        <w:rPr/>
        <w:t xml:space="preserve"> to the victim.</w:t>
      </w:r>
      <w:r w:rsidR="2EF5FD70">
        <w:rPr/>
        <w:t xml:space="preserve"> Battery does not only have to cause harm to a </w:t>
      </w:r>
      <w:r w:rsidR="10FEA5A6">
        <w:rPr/>
        <w:t>person's</w:t>
      </w:r>
      <w:r w:rsidR="2EF5FD70">
        <w:rPr/>
        <w:t xml:space="preserve"> bod</w:t>
      </w:r>
      <w:r w:rsidR="3CF3F9CD">
        <w:rPr/>
        <w:t xml:space="preserve">y as it can be caused by invading </w:t>
      </w:r>
      <w:r w:rsidR="191A3DC1">
        <w:rPr/>
        <w:t>someone's</w:t>
      </w:r>
      <w:r w:rsidR="3CF3F9CD">
        <w:rPr/>
        <w:t xml:space="preserve"> personal space and even by touching the clothes someone is wearing.</w:t>
      </w:r>
      <w:r w:rsidR="30D7E3C9">
        <w:rPr/>
        <w:t xml:space="preserve"> </w:t>
      </w:r>
      <w:r w:rsidR="373B1958">
        <w:rPr/>
        <w:t xml:space="preserve">In battery cases, consent is the </w:t>
      </w:r>
      <w:r w:rsidR="373B1958">
        <w:rPr/>
        <w:t>central component</w:t>
      </w:r>
      <w:r w:rsidR="373B1958">
        <w:rPr/>
        <w:t xml:space="preserve"> </w:t>
      </w:r>
      <w:r w:rsidR="7594F2EB">
        <w:rPr/>
        <w:t xml:space="preserve">because something becomes a battery offence if </w:t>
      </w:r>
      <w:r w:rsidR="5E043185">
        <w:rPr/>
        <w:t xml:space="preserve">harm or offence is caused without consent. </w:t>
      </w:r>
      <w:r w:rsidR="1D54E05A">
        <w:rPr/>
        <w:t xml:space="preserve">Consent in battery cases is the main </w:t>
      </w:r>
      <w:r w:rsidR="6495E3C8">
        <w:rPr/>
        <w:t>defence</w:t>
      </w:r>
      <w:r w:rsidR="1D54E05A">
        <w:rPr/>
        <w:t xml:space="preserve">. </w:t>
      </w:r>
      <w:r w:rsidR="3E026DC1">
        <w:rPr/>
        <w:t xml:space="preserve">In cases where battery is present, consent is the main </w:t>
      </w:r>
      <w:r w:rsidR="0303BF7F">
        <w:rPr/>
        <w:t>defence</w:t>
      </w:r>
      <w:r w:rsidR="3E026DC1">
        <w:rPr/>
        <w:t xml:space="preserve"> because if the victim freely consented to harm or to any risk revolving around </w:t>
      </w:r>
      <w:r w:rsidR="7F5D888F">
        <w:rPr/>
        <w:t>the incident then the defendant would not be liable. For example, in boxing there is consent between the two opponents to cause harm and they both consent to</w:t>
      </w:r>
      <w:r w:rsidR="40B8A35E">
        <w:rPr/>
        <w:t xml:space="preserve"> the </w:t>
      </w:r>
      <w:r w:rsidR="64373E48">
        <w:rPr/>
        <w:t>risks. A</w:t>
      </w:r>
      <w:r w:rsidR="6A9DD4AC">
        <w:rPr/>
        <w:t xml:space="preserve"> case which </w:t>
      </w:r>
      <w:r w:rsidR="6A9DD4AC">
        <w:rPr/>
        <w:t>determined</w:t>
      </w:r>
      <w:r w:rsidR="6A9DD4AC">
        <w:rPr/>
        <w:t xml:space="preserve"> when consent can be used as </w:t>
      </w:r>
      <w:r w:rsidR="6A9DD4AC">
        <w:rPr/>
        <w:t>a viable</w:t>
      </w:r>
      <w:r w:rsidR="6A9DD4AC">
        <w:rPr/>
        <w:t xml:space="preserve"> defence is R v Bro</w:t>
      </w:r>
      <w:r w:rsidR="125EAA8A">
        <w:rPr/>
        <w:t>wn</w:t>
      </w:r>
      <w:r w:rsidR="28488EB4">
        <w:rPr/>
        <w:t xml:space="preserve"> (1994)</w:t>
      </w:r>
      <w:r w:rsidR="2BF8EF7B">
        <w:rPr/>
        <w:t xml:space="preserve">. Consent can be used as </w:t>
      </w:r>
      <w:r w:rsidR="2BF8EF7B">
        <w:rPr/>
        <w:t>a viable</w:t>
      </w:r>
      <w:r w:rsidR="2BF8EF7B">
        <w:rPr/>
        <w:t xml:space="preserve"> defence if the </w:t>
      </w:r>
      <w:r w:rsidR="14682E15">
        <w:rPr/>
        <w:t xml:space="preserve">assault or battery charge does not result in actual bodily harm (ABH) or any </w:t>
      </w:r>
      <w:r w:rsidR="55C348E3">
        <w:rPr/>
        <w:t>more harm.</w:t>
      </w:r>
      <w:r w:rsidR="40B8A35E">
        <w:rPr/>
        <w:t xml:space="preserve"> </w:t>
      </w:r>
      <w:r w:rsidR="43E85661">
        <w:rPr/>
        <w:t>A case where consent was the defence is</w:t>
      </w:r>
      <w:r w:rsidR="43592AEE">
        <w:rPr/>
        <w:t xml:space="preserve"> </w:t>
      </w:r>
      <w:r w:rsidR="06E0D01B">
        <w:rPr/>
        <w:t xml:space="preserve">R v Wilson (1996). In this case a man branded his </w:t>
      </w:r>
      <w:r w:rsidR="099705B8">
        <w:rPr/>
        <w:t>initials</w:t>
      </w:r>
      <w:r w:rsidR="06E0D01B">
        <w:rPr/>
        <w:t xml:space="preserve"> onto his wife </w:t>
      </w:r>
      <w:r w:rsidR="2A44931F">
        <w:rPr/>
        <w:t xml:space="preserve">with a hot knife. In this case the defendant </w:t>
      </w:r>
      <w:r w:rsidR="2A44931F">
        <w:rPr/>
        <w:t>stated</w:t>
      </w:r>
      <w:r w:rsidR="2A44931F">
        <w:rPr/>
        <w:t xml:space="preserve"> that his wife consented and there was no intent </w:t>
      </w:r>
      <w:r w:rsidR="743F782A">
        <w:rPr/>
        <w:t xml:space="preserve">of aggression bit the judge did not see </w:t>
      </w:r>
      <w:r w:rsidR="3FAA59C6">
        <w:rPr/>
        <w:t xml:space="preserve">these reasons as a valuable defence because of what had occurred. The defendant was charged with assault under the Offences </w:t>
      </w:r>
      <w:r w:rsidR="01057495">
        <w:rPr/>
        <w:t>A</w:t>
      </w:r>
      <w:r w:rsidR="3FAA59C6">
        <w:rPr/>
        <w:t xml:space="preserve">gainst the </w:t>
      </w:r>
      <w:r w:rsidR="3988614E">
        <w:rPr/>
        <w:t>P</w:t>
      </w:r>
      <w:r w:rsidR="3FAA59C6">
        <w:rPr/>
        <w:t xml:space="preserve">ersons </w:t>
      </w:r>
      <w:r w:rsidR="21B301FC">
        <w:rPr/>
        <w:t>A</w:t>
      </w:r>
      <w:r w:rsidR="3FAA59C6">
        <w:rPr/>
        <w:t xml:space="preserve">ct </w:t>
      </w:r>
      <w:r w:rsidR="1F2BA509">
        <w:rPr/>
        <w:t>(1861)</w:t>
      </w:r>
      <w:r w:rsidR="77058056">
        <w:rPr/>
        <w:t xml:space="preserve">. </w:t>
      </w:r>
      <w:r w:rsidR="3506D6B2">
        <w:rPr/>
        <w:t>Determining</w:t>
      </w:r>
      <w:r w:rsidR="3506D6B2">
        <w:rPr/>
        <w:t xml:space="preserve"> consent is </w:t>
      </w:r>
      <w:r w:rsidR="3506D6B2">
        <w:rPr/>
        <w:t>very important</w:t>
      </w:r>
      <w:r w:rsidR="3506D6B2">
        <w:rPr/>
        <w:t xml:space="preserve">. To be able to </w:t>
      </w:r>
      <w:r w:rsidR="3506D6B2">
        <w:rPr/>
        <w:t>determine</w:t>
      </w:r>
      <w:r w:rsidR="3506D6B2">
        <w:rPr/>
        <w:t xml:space="preserve"> consent the person must have </w:t>
      </w:r>
      <w:r w:rsidR="3506D6B2">
        <w:rPr/>
        <w:t>capacity</w:t>
      </w:r>
      <w:r w:rsidR="252EA8E6">
        <w:rPr/>
        <w:t xml:space="preserve"> and </w:t>
      </w:r>
      <w:r w:rsidR="23DCABB0">
        <w:rPr/>
        <w:t>they must be freely giving consent</w:t>
      </w:r>
      <w:r w:rsidR="65CEBECE">
        <w:rPr/>
        <w:t xml:space="preserve">. </w:t>
      </w:r>
      <w:bookmarkStart w:name="_Int_MDXRmWdc" w:id="1430439343"/>
      <w:r w:rsidR="65CEBECE">
        <w:rPr/>
        <w:t>In order to</w:t>
      </w:r>
      <w:bookmarkEnd w:id="1430439343"/>
      <w:r w:rsidR="65CEBECE">
        <w:rPr/>
        <w:t xml:space="preserve"> have the </w:t>
      </w:r>
      <w:r w:rsidR="65CEBECE">
        <w:rPr/>
        <w:t>capacity</w:t>
      </w:r>
      <w:r w:rsidR="65CEBECE">
        <w:rPr/>
        <w:t xml:space="preserve"> to give consent the person needs to be </w:t>
      </w:r>
      <w:r w:rsidR="6689C3B4">
        <w:rPr/>
        <w:t xml:space="preserve">able to communicate without being impaired or disturbed meaning they cannot think clearly. </w:t>
      </w:r>
      <w:r w:rsidR="075D2D02">
        <w:rPr/>
        <w:t xml:space="preserve">For example, if a person is under the influence of drugs or alcohol then they may not have the </w:t>
      </w:r>
      <w:r w:rsidR="075D2D02">
        <w:rPr/>
        <w:t>capacity</w:t>
      </w:r>
      <w:r w:rsidR="075D2D02">
        <w:rPr/>
        <w:t xml:space="preserve"> to make rational decisions or think freely for themselves. </w:t>
      </w:r>
      <w:bookmarkStart w:name="_Int_kLh3TVpf" w:id="1662746352"/>
      <w:r w:rsidR="1ACE473E">
        <w:rPr/>
        <w:t>In order to</w:t>
      </w:r>
      <w:bookmarkEnd w:id="1662746352"/>
      <w:r w:rsidR="1ACE473E">
        <w:rPr/>
        <w:t xml:space="preserve"> be freely giving consent </w:t>
      </w:r>
      <w:r w:rsidR="08ABD44F">
        <w:rPr/>
        <w:t>you need to be giving a genuine answer without any pressure or without being forced into an answer. For example, if someone is being forced into doing something they do not want t</w:t>
      </w:r>
      <w:r w:rsidR="7781A94C">
        <w:rPr/>
        <w:t xml:space="preserve">o do that is unwilling consent. </w:t>
      </w:r>
      <w:r w:rsidR="7BCF9A9C">
        <w:rPr/>
        <w:t xml:space="preserve">Undefined areas or grey areas </w:t>
      </w:r>
      <w:r w:rsidR="7BCF9A9C">
        <w:rPr/>
        <w:t>regarding</w:t>
      </w:r>
      <w:r w:rsidR="7BCF9A9C">
        <w:rPr/>
        <w:t xml:space="preserve"> consent can </w:t>
      </w:r>
      <w:r w:rsidR="4FDA4675">
        <w:rPr/>
        <w:t xml:space="preserve">vary. </w:t>
      </w:r>
      <w:r w:rsidR="37CBC9F5">
        <w:rPr/>
        <w:t xml:space="preserve">As an example, a grey area </w:t>
      </w:r>
      <w:r w:rsidR="37CBC9F5">
        <w:rPr/>
        <w:t>regarding</w:t>
      </w:r>
      <w:r w:rsidR="37CBC9F5">
        <w:rPr/>
        <w:t xml:space="preserve"> having </w:t>
      </w:r>
      <w:r w:rsidR="37CBC9F5">
        <w:rPr/>
        <w:t>capacity</w:t>
      </w:r>
      <w:r w:rsidR="37CBC9F5">
        <w:rPr/>
        <w:t xml:space="preserve"> is if both or all parti</w:t>
      </w:r>
      <w:r w:rsidR="49F728DD">
        <w:rPr/>
        <w:t>cipants are incapacitated in some way.</w:t>
      </w:r>
      <w:r w:rsidR="2BFFD113">
        <w:rPr/>
        <w:t xml:space="preserve"> Another example of a grey area </w:t>
      </w:r>
      <w:r w:rsidR="2BFFD113">
        <w:rPr/>
        <w:t>regarding</w:t>
      </w:r>
      <w:r w:rsidR="2BFFD113">
        <w:rPr/>
        <w:t xml:space="preserve"> consent is if somebody think consent is given based on a poor choice of words</w:t>
      </w:r>
      <w:r w:rsidR="6D5AEBE1">
        <w:rPr/>
        <w:t xml:space="preserve"> or actions</w:t>
      </w:r>
      <w:r w:rsidR="2BFFD113">
        <w:rPr/>
        <w:t xml:space="preserve"> but </w:t>
      </w:r>
      <w:r w:rsidR="27AEA8C9">
        <w:rPr/>
        <w:t xml:space="preserve">consent </w:t>
      </w:r>
      <w:r w:rsidR="27AEA8C9">
        <w:rPr/>
        <w:t>wasn’t</w:t>
      </w:r>
      <w:r w:rsidR="27AEA8C9">
        <w:rPr/>
        <w:t xml:space="preserve"> </w:t>
      </w:r>
      <w:bookmarkStart w:name="_Int_EGgQ8ZZf" w:id="587689134"/>
      <w:bookmarkStart w:name="_Int_R5ugRIPi" w:id="1977632089"/>
      <w:r w:rsidR="27AEA8C9">
        <w:rPr/>
        <w:t>actually give</w:t>
      </w:r>
      <w:r w:rsidR="351C9D14">
        <w:rPr/>
        <w:t>n</w:t>
      </w:r>
      <w:bookmarkEnd w:id="1977632089"/>
      <w:r w:rsidR="351C9D14">
        <w:rPr/>
        <w:t xml:space="preserve"> resulting in an </w:t>
      </w:r>
      <w:r w:rsidR="02C0B289">
        <w:rPr/>
        <w:t>Un consensual</w:t>
      </w:r>
      <w:r w:rsidR="351C9D14">
        <w:rPr/>
        <w:t xml:space="preserve"> act. </w:t>
      </w:r>
      <w:r w:rsidR="5EB22EF9">
        <w:rPr/>
        <w:t xml:space="preserve">A case which was a legal precedent for consent as a defence in battery cases was the R v Brown (1994) case. Another </w:t>
      </w:r>
      <w:r w:rsidR="32BCDAD2">
        <w:rPr/>
        <w:t xml:space="preserve">controversial case </w:t>
      </w:r>
      <w:r w:rsidR="32BCDAD2">
        <w:rPr/>
        <w:t>regarding</w:t>
      </w:r>
      <w:r w:rsidR="32BCDAD2">
        <w:rPr/>
        <w:t xml:space="preserve"> determining consent was the R v Anderson (2021) case. This case </w:t>
      </w:r>
      <w:r w:rsidR="32BCDAD2">
        <w:rPr/>
        <w:t>showed</w:t>
      </w:r>
      <w:r w:rsidR="17147670">
        <w:rPr/>
        <w:t xml:space="preserve"> </w:t>
      </w:r>
      <w:r w:rsidR="32BCDAD2">
        <w:rPr/>
        <w:t xml:space="preserve"> difficulties</w:t>
      </w:r>
      <w:r w:rsidR="32BCDAD2">
        <w:rPr/>
        <w:t xml:space="preserve"> in </w:t>
      </w:r>
      <w:r w:rsidR="32BCDAD2">
        <w:rPr/>
        <w:t>determining</w:t>
      </w:r>
      <w:r w:rsidR="32BCDAD2">
        <w:rPr/>
        <w:t xml:space="preserve"> consent because it highlighted the issues and difficulties with getting consent in so</w:t>
      </w:r>
      <w:r w:rsidR="087C8862">
        <w:rPr/>
        <w:t xml:space="preserve">cial environments. </w:t>
      </w:r>
      <w:r w:rsidR="13338507">
        <w:rPr/>
        <w:t xml:space="preserve">Ethical issues which may arise from consent can vary. </w:t>
      </w:r>
      <w:r w:rsidR="33D20584">
        <w:rPr/>
        <w:t xml:space="preserve">For example, in medicine, informed consent ethics play a part in patient care as patients have the right to make informed </w:t>
      </w:r>
      <w:r w:rsidR="2122747A">
        <w:rPr/>
        <w:t>decisions about</w:t>
      </w:r>
      <w:bookmarkEnd w:id="587689134"/>
      <w:r w:rsidR="33D20584">
        <w:rPr/>
        <w:t xml:space="preserve"> their care</w:t>
      </w:r>
      <w:r w:rsidR="5F0CB53B">
        <w:rPr/>
        <w:t xml:space="preserve">. </w:t>
      </w:r>
      <w:r w:rsidR="41D001E1">
        <w:rPr/>
        <w:t xml:space="preserve">A case where </w:t>
      </w:r>
      <w:r w:rsidR="65AC32DE">
        <w:rPr/>
        <w:t xml:space="preserve">a mother sued a doctor after finding a ‘do not resuscitate’ notice in her son's file. </w:t>
      </w:r>
      <w:r w:rsidR="0659C046">
        <w:rPr/>
        <w:t xml:space="preserve">She claimed that she was not aware of her </w:t>
      </w:r>
      <w:r w:rsidR="0659C046">
        <w:rPr/>
        <w:t>son’s</w:t>
      </w:r>
      <w:r w:rsidR="0659C046">
        <w:rPr/>
        <w:t xml:space="preserve"> do not resuscitate notice and she should have been made aware as she was his </w:t>
      </w:r>
      <w:r w:rsidR="7B11F985">
        <w:rPr/>
        <w:t>primary carer</w:t>
      </w:r>
      <w:r w:rsidR="0659C046">
        <w:rPr/>
        <w:t xml:space="preserve">. </w:t>
      </w:r>
      <w:r w:rsidR="16C3223F">
        <w:rPr/>
        <w:t>Consent affects the outcomes in battery cases in both positive and negative ways</w:t>
      </w:r>
      <w:r w:rsidR="572411E3">
        <w:rPr/>
        <w:t xml:space="preserve"> for the </w:t>
      </w:r>
      <w:r w:rsidR="1EE5C316">
        <w:rPr/>
        <w:t>defendant. A negative way for the defendant would be</w:t>
      </w:r>
      <w:r w:rsidR="16C3223F">
        <w:rPr/>
        <w:t xml:space="preserve"> </w:t>
      </w:r>
      <w:r w:rsidR="16C3223F">
        <w:rPr/>
        <w:t xml:space="preserve">the case R v </w:t>
      </w:r>
      <w:r w:rsidR="16C3223F">
        <w:rPr/>
        <w:t>Dica</w:t>
      </w:r>
      <w:r w:rsidR="16C3223F">
        <w:rPr/>
        <w:t xml:space="preserve"> (2004) a man who knew he was HIV positive had </w:t>
      </w:r>
      <w:r w:rsidR="105C8BDB">
        <w:rPr/>
        <w:t xml:space="preserve">unprotected sexual intercourse with 2 women. He tried to use the defence that they consented to the sexual </w:t>
      </w:r>
      <w:r w:rsidR="6C857334">
        <w:rPr/>
        <w:t>intercourse,</w:t>
      </w:r>
      <w:r w:rsidR="105C8BDB">
        <w:rPr/>
        <w:t xml:space="preserve"> but they did </w:t>
      </w:r>
      <w:r w:rsidR="78CBCA74">
        <w:rPr/>
        <w:t>were not informed that he was HIV positive resulting in the consent defence being denied after both women contracted HIV.</w:t>
      </w:r>
      <w:r w:rsidR="3676847C">
        <w:rPr/>
        <w:t xml:space="preserve"> </w:t>
      </w:r>
      <w:r w:rsidR="2307B78F">
        <w:rPr/>
        <w:t>Another case where the defendant tried to use the defence of consent in their favour would be the case Burrel v Harmer</w:t>
      </w:r>
      <w:r w:rsidR="70ABCD03">
        <w:rPr/>
        <w:t xml:space="preserve"> (1967) in this case the defendant tattooed two boys aged 12 and 13. The defendant tried to use the defence of consent but failed as it was </w:t>
      </w:r>
      <w:r w:rsidR="591B0B9D">
        <w:rPr/>
        <w:t>apparent</w:t>
      </w:r>
      <w:r w:rsidR="70ABCD03">
        <w:rPr/>
        <w:t xml:space="preserve"> that the boys didn’t have the </w:t>
      </w:r>
      <w:r w:rsidR="240E8265">
        <w:rPr/>
        <w:t>capacity</w:t>
      </w:r>
      <w:r w:rsidR="70ABCD03">
        <w:rPr/>
        <w:t xml:space="preserve"> to make a logi</w:t>
      </w:r>
      <w:r w:rsidR="0BF2F816">
        <w:rPr/>
        <w:t xml:space="preserve">cal decision as a result of their age. </w:t>
      </w:r>
      <w:r w:rsidR="4921B030">
        <w:rPr/>
        <w:t xml:space="preserve">If someone acts without consent, there are many </w:t>
      </w:r>
      <w:r w:rsidR="4921B030">
        <w:rPr/>
        <w:t>possible outcomes</w:t>
      </w:r>
      <w:r w:rsidR="4921B030">
        <w:rPr/>
        <w:t xml:space="preserve"> and consequences for the perpetrator. If you are charged with sexual </w:t>
      </w:r>
      <w:r w:rsidR="69CF3D97">
        <w:rPr/>
        <w:t xml:space="preserve">assault which is when someone touches a person in a sexual manner with no consent can have you seen with a </w:t>
      </w:r>
      <w:r w:rsidR="69CF3D97">
        <w:rPr/>
        <w:t>maximum</w:t>
      </w:r>
      <w:r w:rsidR="69CF3D97">
        <w:rPr/>
        <w:t xml:space="preserve"> sentence of ten years in prison. </w:t>
      </w:r>
      <w:r w:rsidR="4CE324FE">
        <w:rPr/>
        <w:t xml:space="preserve">By not having </w:t>
      </w:r>
      <w:r w:rsidR="4CE324FE">
        <w:rPr/>
        <w:t>a viable</w:t>
      </w:r>
      <w:r w:rsidR="4CE324FE">
        <w:rPr/>
        <w:t xml:space="preserve"> defence of consent in battery cases, you could be seen with some of the same punishments in the cases pr</w:t>
      </w:r>
      <w:r w:rsidR="7C08D599">
        <w:rPr/>
        <w:t xml:space="preserve">eviously discussed which can see the offence be upgraded to assault or GBH. </w:t>
      </w:r>
      <w:r w:rsidR="25A4BCD6">
        <w:rPr/>
        <w:t xml:space="preserve">From research and the lack of articles/ </w:t>
      </w:r>
      <w:r w:rsidR="529B44E3">
        <w:rPr/>
        <w:t xml:space="preserve">blogs of consent in battery cases it is </w:t>
      </w:r>
      <w:r w:rsidR="529B44E3">
        <w:rPr/>
        <w:t>apparent</w:t>
      </w:r>
      <w:r w:rsidR="529B44E3">
        <w:rPr/>
        <w:t xml:space="preserve"> that there is a lack of understanding around the topic of consent in battery cases. </w:t>
      </w:r>
      <w:r w:rsidR="5CC12156">
        <w:rPr/>
        <w:t>Not many</w:t>
      </w:r>
      <w:r w:rsidR="5CC12156">
        <w:rPr/>
        <w:t xml:space="preserve"> people know a lot </w:t>
      </w:r>
      <w:r w:rsidR="28DC8802">
        <w:rPr/>
        <w:t xml:space="preserve">around the term 'battery’ and instead misinterpret the offence as assault or either ABH or GBH. </w:t>
      </w:r>
      <w:r w:rsidR="05426982">
        <w:rPr/>
        <w:t xml:space="preserve">In the UK there were </w:t>
      </w:r>
      <w:r w:rsidR="128B1AE2">
        <w:rPr/>
        <w:t xml:space="preserve">38,000 offenders sentenced for common assault according to the sentencing council. </w:t>
      </w:r>
      <w:r w:rsidR="4136A4A6">
        <w:rPr/>
        <w:t xml:space="preserve">The term assault is more widely known in the Uk rather than the term battery. With so many cases being charged with assault and more cases with assault </w:t>
      </w:r>
      <w:r w:rsidR="0291BF75">
        <w:rPr/>
        <w:t xml:space="preserve">making headlines </w:t>
      </w:r>
      <w:r w:rsidR="0291BF75">
        <w:rPr/>
        <w:t>not many</w:t>
      </w:r>
      <w:r w:rsidR="0291BF75">
        <w:rPr/>
        <w:t xml:space="preserve"> people would be able to differentiate between assault and battery or even know what battery is at all. Consent i</w:t>
      </w:r>
      <w:r w:rsidR="233F4CDC">
        <w:rPr/>
        <w:t xml:space="preserve">n the UK is a widely known and is well </w:t>
      </w:r>
      <w:r w:rsidR="233F4CDC">
        <w:rPr/>
        <w:t>demonstrated</w:t>
      </w:r>
      <w:r w:rsidR="233F4CDC">
        <w:rPr/>
        <w:t xml:space="preserve"> with more people being educated on consent and why it is important. </w:t>
      </w:r>
      <w:r w:rsidR="649A67AA">
        <w:rPr/>
        <w:t xml:space="preserve">It is </w:t>
      </w:r>
      <w:r w:rsidR="649A67AA">
        <w:rPr/>
        <w:t>very common</w:t>
      </w:r>
      <w:r w:rsidR="649A67AA">
        <w:rPr/>
        <w:t xml:space="preserve"> for people to ask for consent when doing anything in their lives especially in recent years after many people being taught and brought up to speed on the subject. When it comes to </w:t>
      </w:r>
      <w:r w:rsidR="0547F512">
        <w:rPr/>
        <w:t>consent and the significance in battery it is a low level of u</w:t>
      </w:r>
      <w:r w:rsidR="46A30FE0">
        <w:rPr/>
        <w:t xml:space="preserve">nderstanding as said in the </w:t>
      </w:r>
      <w:r w:rsidR="46A30FE0">
        <w:rPr/>
        <w:t>previous</w:t>
      </w:r>
      <w:r w:rsidR="46A30FE0">
        <w:rPr/>
        <w:t xml:space="preserve"> point, </w:t>
      </w:r>
      <w:r w:rsidR="46A30FE0">
        <w:rPr/>
        <w:t>not many</w:t>
      </w:r>
      <w:r w:rsidR="46A30FE0">
        <w:rPr/>
        <w:t xml:space="preserve"> people know what battery means or what battery is. </w:t>
      </w:r>
    </w:p>
    <w:p w:rsidR="46A30FE0" w:rsidP="5ED72956" w:rsidRDefault="46A30FE0" w14:paraId="17204076" w14:textId="4D41AECB">
      <w:pPr>
        <w:pStyle w:val="Normal"/>
      </w:pPr>
      <w:r w:rsidR="46A30FE0">
        <w:rPr/>
        <w:t xml:space="preserve">In conclusion, the key points made within this essay are consent and battery and the legal framework of which it relies upon. Also, </w:t>
      </w:r>
      <w:r w:rsidR="07FE2AAF">
        <w:rPr/>
        <w:t xml:space="preserve">controversies and challenges as well as the role of consent in legal outcomes when it comes to consent in battery cases. Consent </w:t>
      </w:r>
      <w:r w:rsidR="55A24023">
        <w:rPr/>
        <w:t xml:space="preserve">is always going to have its complications when it comes to battery cases as many people misunderstand it or try to find ways to get </w:t>
      </w:r>
      <w:r w:rsidR="3E117EBD">
        <w:rPr/>
        <w:t xml:space="preserve">around it and use it as </w:t>
      </w:r>
      <w:r w:rsidR="3E117EBD">
        <w:rPr/>
        <w:t>a viable</w:t>
      </w:r>
      <w:r w:rsidR="3E117EBD">
        <w:rPr/>
        <w:t xml:space="preserve"> defence. </w:t>
      </w:r>
      <w:r w:rsidR="2B61EDB3">
        <w:rPr/>
        <w:t xml:space="preserve">For example, the R v </w:t>
      </w:r>
      <w:r w:rsidR="2B61EDB3">
        <w:rPr/>
        <w:t>Dica</w:t>
      </w:r>
      <w:r w:rsidR="2B61EDB3">
        <w:rPr/>
        <w:t xml:space="preserve"> (2004) case where consent was given but not for consent for unprotected sexual intercourse with HIV which the two women </w:t>
      </w:r>
      <w:r w:rsidR="25DC3B15">
        <w:rPr/>
        <w:t xml:space="preserve">were unaware of. </w:t>
      </w:r>
    </w:p>
    <w:p w:rsidR="5ED72956" w:rsidP="5ED72956" w:rsidRDefault="5ED72956" w14:paraId="02223F61" w14:textId="07F7F30A">
      <w:pPr>
        <w:pStyle w:val="Normal"/>
      </w:pPr>
    </w:p>
    <w:p w:rsidR="5ED72956" w:rsidP="5ED72956" w:rsidRDefault="5ED72956" w14:paraId="09F3F987" w14:textId="45F4E0C6">
      <w:pPr>
        <w:pStyle w:val="Normal"/>
      </w:pPr>
    </w:p>
    <w:p w:rsidR="5ED72956" w:rsidP="5ED72956" w:rsidRDefault="5ED72956" w14:paraId="6E76A403" w14:textId="76230685">
      <w:pPr>
        <w:pStyle w:val="Normal"/>
      </w:pPr>
    </w:p>
    <w:p w:rsidR="5ED72956" w:rsidP="5ED72956" w:rsidRDefault="5ED72956" w14:paraId="37E666E2" w14:textId="539F619A">
      <w:pPr>
        <w:pStyle w:val="Normal"/>
      </w:pPr>
    </w:p>
    <w:p w:rsidR="5ED72956" w:rsidP="5ED72956" w:rsidRDefault="5ED72956" w14:paraId="413AC9A0" w14:textId="1869397D">
      <w:pPr>
        <w:pStyle w:val="Normal"/>
      </w:pPr>
    </w:p>
    <w:p w:rsidR="5ED72956" w:rsidP="5ED72956" w:rsidRDefault="5ED72956" w14:paraId="31C288E7" w14:textId="130AA9EB">
      <w:pPr>
        <w:pStyle w:val="Normal"/>
      </w:pPr>
    </w:p>
    <w:p w:rsidR="5ED72956" w:rsidP="5ED72956" w:rsidRDefault="5ED72956" w14:paraId="139B2636" w14:textId="75E6F6BE">
      <w:pPr>
        <w:pStyle w:val="Normal"/>
        <w:rPr>
          <w:b w:val="1"/>
          <w:bCs w:val="1"/>
          <w:sz w:val="32"/>
          <w:szCs w:val="32"/>
          <w:u w:val="single"/>
        </w:rPr>
      </w:pPr>
    </w:p>
    <w:p w:rsidR="5ED72956" w:rsidP="5ED72956" w:rsidRDefault="5ED72956" w14:paraId="3887B848" w14:textId="73C24EC0">
      <w:pPr>
        <w:pStyle w:val="Normal"/>
        <w:rPr>
          <w:b w:val="1"/>
          <w:bCs w:val="1"/>
          <w:sz w:val="32"/>
          <w:szCs w:val="32"/>
          <w:u w:val="single"/>
        </w:rPr>
      </w:pPr>
    </w:p>
    <w:p w:rsidR="7B99095A" w:rsidP="5ED72956" w:rsidRDefault="7B99095A" w14:paraId="1B6EFB34" w14:textId="169C2FE1">
      <w:pPr>
        <w:pStyle w:val="Normal"/>
        <w:rPr>
          <w:b w:val="1"/>
          <w:bCs w:val="1"/>
          <w:sz w:val="36"/>
          <w:szCs w:val="36"/>
          <w:u w:val="single"/>
        </w:rPr>
      </w:pPr>
      <w:r w:rsidRPr="5ED72956" w:rsidR="7B99095A">
        <w:rPr>
          <w:b w:val="1"/>
          <w:bCs w:val="1"/>
          <w:sz w:val="32"/>
          <w:szCs w:val="32"/>
          <w:u w:val="single"/>
        </w:rPr>
        <w:t xml:space="preserve">Case list </w:t>
      </w:r>
    </w:p>
    <w:p w:rsidR="034D64BD" w:rsidP="5ED72956" w:rsidRDefault="034D64BD" w14:paraId="74EAE241" w14:textId="5210581C">
      <w:pPr>
        <w:pStyle w:val="Normal"/>
      </w:pPr>
      <w:r w:rsidR="034D64BD">
        <w:rPr/>
        <w:t>R v Brown (</w:t>
      </w:r>
      <w:r w:rsidR="700A3FE6">
        <w:rPr/>
        <w:t xml:space="preserve">1996) </w:t>
      </w:r>
      <w:r w:rsidR="4218272B">
        <w:rPr/>
        <w:t>1 AC 212</w:t>
      </w:r>
    </w:p>
    <w:p w:rsidR="7B99095A" w:rsidP="5ED72956" w:rsidRDefault="7B99095A" w14:paraId="40D45A7A" w14:textId="0273DF61">
      <w:pPr>
        <w:pStyle w:val="Normal"/>
      </w:pPr>
      <w:r w:rsidR="7B99095A">
        <w:rPr/>
        <w:t>R v Wilson (1996) 3 WLR 125</w:t>
      </w:r>
    </w:p>
    <w:p w:rsidR="6B01447B" w:rsidP="5ED72956" w:rsidRDefault="6B01447B" w14:paraId="36E85F92" w14:textId="6BCE5B42">
      <w:pPr>
        <w:pStyle w:val="Normal"/>
      </w:pPr>
      <w:r w:rsidR="6B01447B">
        <w:rPr/>
        <w:t>R v Anderson (2021) (NICA 208</w:t>
      </w:r>
      <w:r w:rsidR="197957DC">
        <w:rPr/>
        <w:t>)</w:t>
      </w:r>
    </w:p>
    <w:p w:rsidR="197957DC" w:rsidP="5ED72956" w:rsidRDefault="197957DC" w14:paraId="60F38977" w14:textId="6F06291E">
      <w:pPr>
        <w:pStyle w:val="Normal"/>
      </w:pPr>
      <w:r w:rsidR="197957DC">
        <w:rPr/>
        <w:t xml:space="preserve">R v </w:t>
      </w:r>
      <w:r w:rsidR="197957DC">
        <w:rPr/>
        <w:t>Dica</w:t>
      </w:r>
      <w:r w:rsidR="197957DC">
        <w:rPr/>
        <w:t xml:space="preserve"> (2004) EWCA Crim 1103</w:t>
      </w:r>
    </w:p>
    <w:p w:rsidR="01566728" w:rsidP="5ED72956" w:rsidRDefault="01566728" w14:paraId="78E89F50" w14:textId="402622F7">
      <w:pPr>
        <w:pStyle w:val="Normal"/>
      </w:pPr>
      <w:r w:rsidR="01566728">
        <w:rPr/>
        <w:t>Burrel v Harmer (1967) Crim LR 169</w:t>
      </w:r>
    </w:p>
    <w:p w:rsidR="197957DC" w:rsidP="5ED72956" w:rsidRDefault="197957DC" w14:paraId="4D454EF9" w14:textId="59C9021F">
      <w:pPr>
        <w:pStyle w:val="Normal"/>
        <w:jc w:val="right"/>
      </w:pPr>
      <w:r w:rsidR="197957DC">
        <w:rPr/>
        <w:t xml:space="preserve"> </w:t>
      </w:r>
    </w:p>
    <w:p w:rsidR="5ED72956" w:rsidP="5ED72956" w:rsidRDefault="5ED72956" w14:paraId="5B28478E" w14:textId="2417E803">
      <w:pPr>
        <w:pStyle w:val="Normal"/>
      </w:pPr>
    </w:p>
    <w:p w:rsidR="5ED72956" w:rsidP="5ED72956" w:rsidRDefault="5ED72956" w14:paraId="2A2E168C" w14:textId="5976F7A0">
      <w:pPr>
        <w:pStyle w:val="Normal"/>
      </w:pPr>
    </w:p>
    <w:p w:rsidR="5ED72956" w:rsidP="5ED72956" w:rsidRDefault="5ED72956" w14:paraId="17303BF6" w14:textId="41D145AF">
      <w:pPr>
        <w:pStyle w:val="Normal"/>
      </w:pPr>
    </w:p>
    <w:p w:rsidR="7B99095A" w:rsidP="5ED72956" w:rsidRDefault="7B99095A" w14:paraId="2B306734" w14:textId="32147F76">
      <w:pPr>
        <w:pStyle w:val="Normal"/>
        <w:rPr>
          <w:b w:val="1"/>
          <w:bCs w:val="1"/>
          <w:sz w:val="36"/>
          <w:szCs w:val="36"/>
          <w:u w:val="single"/>
        </w:rPr>
      </w:pPr>
      <w:r w:rsidRPr="5ED72956" w:rsidR="7B99095A">
        <w:rPr>
          <w:b w:val="1"/>
          <w:bCs w:val="1"/>
          <w:sz w:val="32"/>
          <w:szCs w:val="32"/>
          <w:u w:val="single"/>
        </w:rPr>
        <w:t xml:space="preserve">Reference list </w:t>
      </w:r>
    </w:p>
    <w:p w:rsidR="5ED72956" w:rsidP="5ED72956" w:rsidRDefault="5ED72956" w14:paraId="19F9A0C9" w14:textId="114CB7E7">
      <w:pPr>
        <w:pStyle w:val="Normal"/>
      </w:pPr>
    </w:p>
    <w:p w:rsidR="57AD5E29" w:rsidP="5ED72956" w:rsidRDefault="57AD5E29" w14:paraId="1424405A" w14:textId="52ADCE1B">
      <w:pPr>
        <w:pStyle w:val="Normal"/>
      </w:pPr>
      <w:r w:rsidR="57AD5E29">
        <w:rPr/>
        <w:t xml:space="preserve">Consent definition - </w:t>
      </w:r>
      <w:hyperlink w:anchor=":~:text=The%20legal%20definition%20of%20consent,you%20did%20not%20give%20consent" r:id="R66e3caed62f544e1">
        <w:r w:rsidRPr="5ED72956" w:rsidR="69DDFD0A">
          <w:rPr>
            <w:rStyle w:val="Hyperlink"/>
          </w:rPr>
          <w:t>https://uksaysnomore.org/learn/learn-sexual-violence/understanding-consent/#:~:text=The%20legal%20definition%20of%20consent,you%20did%20not%20give%20consent</w:t>
        </w:r>
      </w:hyperlink>
      <w:r w:rsidR="69DDFD0A">
        <w:rPr/>
        <w:t xml:space="preserve"> </w:t>
      </w:r>
    </w:p>
    <w:p w:rsidR="5ED72956" w:rsidP="5ED72956" w:rsidRDefault="5ED72956" w14:paraId="31841986" w14:textId="7C47A9F7">
      <w:pPr>
        <w:pStyle w:val="Normal"/>
      </w:pPr>
    </w:p>
    <w:p w:rsidR="036C0E64" w:rsidP="5ED72956" w:rsidRDefault="036C0E64" w14:paraId="631710E2" w14:textId="36E6FE28">
      <w:pPr>
        <w:pStyle w:val="Normal"/>
        <w:jc w:val="both"/>
      </w:pPr>
      <w:r w:rsidR="036C0E64">
        <w:rPr/>
        <w:t>Herring, J, 26 April (2022)</w:t>
      </w:r>
      <w:r w:rsidR="24199BCB">
        <w:rPr/>
        <w:t xml:space="preserve"> Criminal Law, text, </w:t>
      </w:r>
      <w:r w:rsidR="24199BCB">
        <w:rPr/>
        <w:t>cases</w:t>
      </w:r>
      <w:r w:rsidR="24199BCB">
        <w:rPr/>
        <w:t xml:space="preserve"> and materials. Tenth edition</w:t>
      </w:r>
      <w:r w:rsidR="592BBBF3">
        <w:rPr/>
        <w:t xml:space="preserve">, Oxford University Press. </w:t>
      </w:r>
      <w:r w:rsidR="1A86D6C2">
        <w:rPr/>
        <w:t>Oxford, pp.</w:t>
      </w:r>
      <w:r w:rsidR="5E26307C">
        <w:rPr/>
        <w:t>316</w:t>
      </w:r>
    </w:p>
    <w:p w:rsidR="7D4290A9" w:rsidP="5ED72956" w:rsidRDefault="7D4290A9" w14:paraId="015BFCFA" w14:textId="2C01F976">
      <w:pPr>
        <w:pStyle w:val="Normal"/>
        <w:jc w:val="both"/>
      </w:pPr>
      <w:r w:rsidR="7D4290A9">
        <w:rPr/>
        <w:t>La</w:t>
      </w:r>
      <w:r w:rsidR="3E9DAB78">
        <w:rPr/>
        <w:t xml:space="preserve">w </w:t>
      </w:r>
      <w:r w:rsidR="7D4290A9">
        <w:rPr/>
        <w:t>teacher (22</w:t>
      </w:r>
      <w:r w:rsidRPr="5ED72956" w:rsidR="7D4290A9">
        <w:rPr>
          <w:vertAlign w:val="superscript"/>
        </w:rPr>
        <w:t>nd</w:t>
      </w:r>
      <w:r w:rsidR="7D4290A9">
        <w:rPr/>
        <w:t xml:space="preserve"> September (2021), issu</w:t>
      </w:r>
      <w:r w:rsidR="306EE3D7">
        <w:rPr/>
        <w:t xml:space="preserve">e </w:t>
      </w:r>
      <w:r w:rsidR="7D4290A9">
        <w:rPr/>
        <w:t xml:space="preserve">of consent in R v Brown, </w:t>
      </w:r>
      <w:r w:rsidR="1DF01E11">
        <w:rPr/>
        <w:t xml:space="preserve">available at: </w:t>
      </w:r>
      <w:hyperlink r:id="Rf873e444e7264433">
        <w:r w:rsidRPr="5ED72956" w:rsidR="1DF01E11">
          <w:rPr>
            <w:rStyle w:val="Hyperlink"/>
          </w:rPr>
          <w:t>https://www.lawteacher.net/free-law-essays/criminal-law/r-v-brown-discrimination-0956.php</w:t>
        </w:r>
      </w:hyperlink>
      <w:r w:rsidR="1DF01E11">
        <w:rPr/>
        <w:t xml:space="preserve"> accessed on: 10/11/23</w:t>
      </w:r>
    </w:p>
    <w:p w:rsidR="6862687B" w:rsidP="5ED72956" w:rsidRDefault="6862687B" w14:paraId="6846027F" w14:textId="783E533F">
      <w:pPr>
        <w:pStyle w:val="Normal"/>
        <w:jc w:val="both"/>
      </w:pPr>
      <w:r w:rsidR="6862687B">
        <w:rPr/>
        <w:t>Malcom Underhill, 30</w:t>
      </w:r>
      <w:r w:rsidRPr="5ED72956" w:rsidR="6862687B">
        <w:rPr>
          <w:vertAlign w:val="superscript"/>
        </w:rPr>
        <w:t>th</w:t>
      </w:r>
      <w:r w:rsidR="6862687B">
        <w:rPr/>
        <w:t xml:space="preserve"> November (2015), ‘mother sues NHS </w:t>
      </w:r>
      <w:r w:rsidR="090FF5E3">
        <w:rPr/>
        <w:t xml:space="preserve">after finding a ‘do not resuscitate’ notice in her sons file, available at: </w:t>
      </w:r>
      <w:hyperlink r:id="R33bba49e428c4ecb">
        <w:r w:rsidRPr="5ED72956" w:rsidR="090FF5E3">
          <w:rPr>
            <w:rStyle w:val="Hyperlink"/>
          </w:rPr>
          <w:t>https://www.ibblaw.co.uk/insights/blog/mother-sues-nhs-after-finding-do-not-resuscitate-notice-sons-file</w:t>
        </w:r>
      </w:hyperlink>
      <w:r w:rsidR="090FF5E3">
        <w:rPr/>
        <w:t xml:space="preserve"> accessed on: 10/11/23</w:t>
      </w:r>
    </w:p>
    <w:p w:rsidR="5ED72956" w:rsidP="5ED72956" w:rsidRDefault="5ED72956" w14:paraId="27BDDA88" w14:textId="6142300C">
      <w:pPr>
        <w:pStyle w:val="Normal"/>
        <w:jc w:val="both"/>
      </w:pPr>
    </w:p>
    <w:p w:rsidR="5F4B38DF" w:rsidP="5ED72956" w:rsidRDefault="5F4B38DF" w14:paraId="022FDFE6" w14:textId="53C533A6">
      <w:pPr>
        <w:pStyle w:val="Normal"/>
        <w:jc w:val="both"/>
      </w:pPr>
      <w:r w:rsidR="5F4B38DF">
        <w:rPr/>
        <w:t>Oxbridge notes, 7</w:t>
      </w:r>
      <w:r w:rsidRPr="5ED72956" w:rsidR="5F4B38DF">
        <w:rPr>
          <w:vertAlign w:val="superscript"/>
        </w:rPr>
        <w:t>th</w:t>
      </w:r>
      <w:r w:rsidR="5F4B38DF">
        <w:rPr/>
        <w:t xml:space="preserve"> August (2023), Judgement for the case R v Wilson, </w:t>
      </w:r>
      <w:r w:rsidR="20A653AE">
        <w:rPr/>
        <w:t xml:space="preserve">available at: </w:t>
      </w:r>
      <w:hyperlink r:id="R3cd33f30e43b4f15">
        <w:r w:rsidRPr="5ED72956" w:rsidR="20A653AE">
          <w:rPr>
            <w:rStyle w:val="Hyperlink"/>
          </w:rPr>
          <w:t>https://www.oxbridgenotes.co.uk/law_cases/r-v-wilson</w:t>
        </w:r>
      </w:hyperlink>
      <w:r w:rsidR="20A653AE">
        <w:rPr/>
        <w:t xml:space="preserve"> accessed on: 10/11/23</w:t>
      </w:r>
    </w:p>
    <w:p w:rsidR="0DFB1EE9" w:rsidP="5ED72956" w:rsidRDefault="0DFB1EE9" w14:paraId="1C921B99" w14:textId="29B4CCB1">
      <w:pPr>
        <w:pStyle w:val="Normal"/>
        <w:jc w:val="left"/>
      </w:pPr>
      <w:r w:rsidR="0DFB1EE9">
        <w:rPr/>
        <w:t>Judiciary</w:t>
      </w:r>
      <w:r w:rsidR="70EBC6FB">
        <w:rPr/>
        <w:t xml:space="preserve"> of NI, 10</w:t>
      </w:r>
      <w:r w:rsidRPr="5ED72956" w:rsidR="70EBC6FB">
        <w:rPr>
          <w:vertAlign w:val="superscript"/>
        </w:rPr>
        <w:t>th</w:t>
      </w:r>
      <w:r w:rsidR="70EBC6FB">
        <w:rPr/>
        <w:t xml:space="preserve"> May (2021) Queen v Jeffery Anderson, available at: </w:t>
      </w:r>
      <w:hyperlink r:id="Rce4403057ae94d94">
        <w:r w:rsidRPr="5ED72956" w:rsidR="70EBC6FB">
          <w:rPr>
            <w:rStyle w:val="Hyperlink"/>
          </w:rPr>
          <w:t>https://www.judiciaryni.uk/judicial-decisions/2021-nica-28</w:t>
        </w:r>
      </w:hyperlink>
      <w:r w:rsidR="70B64783">
        <w:rPr/>
        <w:t>: 10/11/23</w:t>
      </w:r>
    </w:p>
    <w:p w:rsidR="546DDC46" w:rsidP="5ED72956" w:rsidRDefault="546DDC46" w14:paraId="4F3805EB" w14:textId="32BC5431">
      <w:pPr>
        <w:pStyle w:val="Normal"/>
        <w:jc w:val="left"/>
      </w:pPr>
      <w:r w:rsidR="546DDC46">
        <w:rPr/>
        <w:t>Law teacher, 5</w:t>
      </w:r>
      <w:r w:rsidRPr="5ED72956" w:rsidR="546DDC46">
        <w:rPr>
          <w:vertAlign w:val="superscript"/>
        </w:rPr>
        <w:t>th</w:t>
      </w:r>
      <w:r w:rsidR="546DDC46">
        <w:rPr/>
        <w:t xml:space="preserve"> October (2021), R v </w:t>
      </w:r>
      <w:r w:rsidR="546DDC46">
        <w:rPr/>
        <w:t>Dica</w:t>
      </w:r>
      <w:r w:rsidR="546DDC46">
        <w:rPr/>
        <w:t xml:space="preserve"> (2004), available at: </w:t>
      </w:r>
      <w:hyperlink w:anchor=":~:text=The%20defendant%2C%20Mohamed%20Dica%20was,were%20unaware%20of%20his%20infection" r:id="R01b21bd5c01c4cc1">
        <w:r w:rsidRPr="5ED72956" w:rsidR="3CDD1AE0">
          <w:rPr>
            <w:rStyle w:val="Hyperlink"/>
          </w:rPr>
          <w:t>https://www.lawteacher.net/cases/r-v-dica.php#:~:text=The%20defendant%2C%20Mohamed%20Dica%20was,were%20unaware%20of%20his%20infection</w:t>
        </w:r>
      </w:hyperlink>
      <w:r w:rsidR="3CDD1AE0">
        <w:rPr/>
        <w:t xml:space="preserve">. Accessed </w:t>
      </w:r>
      <w:r w:rsidR="3CDD1AE0">
        <w:rPr/>
        <w:t>on:</w:t>
      </w:r>
      <w:r w:rsidR="3CDD1AE0">
        <w:rPr/>
        <w:t xml:space="preserve"> 10/11/23</w:t>
      </w:r>
    </w:p>
    <w:p w:rsidR="4C4DDED5" w:rsidP="5ED72956" w:rsidRDefault="4C4DDED5" w14:paraId="404FC1DF" w14:textId="398F1C39">
      <w:pPr>
        <w:pStyle w:val="Normal"/>
        <w:jc w:val="left"/>
      </w:pPr>
      <w:r w:rsidR="4C4DDED5">
        <w:rPr/>
        <w:t xml:space="preserve">E law resources, (no date), Burrel v Harmer, available at: </w:t>
      </w:r>
      <w:hyperlink r:id="R50ab8b5bb65146c2">
        <w:r w:rsidRPr="5ED72956" w:rsidR="287422C9">
          <w:rPr>
            <w:rStyle w:val="Hyperlink"/>
          </w:rPr>
          <w:t>https://www.e-lawresources.co.uk/cases/Burrell-v-Harmer.php</w:t>
        </w:r>
      </w:hyperlink>
      <w:r w:rsidR="287422C9">
        <w:rPr/>
        <w:t xml:space="preserve"> accessed on: 10/11/23</w:t>
      </w:r>
    </w:p>
    <w:p w:rsidR="602F3056" w:rsidP="5ED72956" w:rsidRDefault="602F3056" w14:paraId="64166EF3" w14:textId="03534431">
      <w:pPr>
        <w:pStyle w:val="Normal"/>
        <w:jc w:val="left"/>
      </w:pPr>
      <w:r w:rsidR="602F3056">
        <w:rPr/>
        <w:t xml:space="preserve">Sentencing council, (no date), Assault Offences’ available at: </w:t>
      </w:r>
      <w:hyperlink r:id="Refd279b98cd94740">
        <w:r w:rsidRPr="5ED72956" w:rsidR="602F3056">
          <w:rPr>
            <w:rStyle w:val="Hyperlink"/>
          </w:rPr>
          <w:t>https://www.sentencingcouncil.org.uk/wp-content/uploads/Assault-statistical-bulletin.pdf</w:t>
        </w:r>
      </w:hyperlink>
      <w:r w:rsidR="602F3056">
        <w:rPr/>
        <w:t xml:space="preserve"> accessed on: 10/11/23</w:t>
      </w:r>
    </w:p>
    <w:p w:rsidR="5ED72956" w:rsidP="5ED72956" w:rsidRDefault="5ED72956" w14:paraId="1F731171" w14:textId="5F039825">
      <w:pPr>
        <w:pStyle w:val="Normal"/>
        <w:jc w:val="left"/>
      </w:pPr>
    </w:p>
    <w:p w:rsidR="5ED72956" w:rsidP="5ED72956" w:rsidRDefault="5ED72956" w14:paraId="61EE8246" w14:textId="55CFFEA8">
      <w:pPr>
        <w:pStyle w:val="Normal"/>
        <w:jc w:val="left"/>
      </w:pPr>
    </w:p>
    <w:p w:rsidR="5ED72956" w:rsidP="5ED72956" w:rsidRDefault="5ED72956" w14:paraId="72C8DA7E" w14:textId="115F4495">
      <w:pPr>
        <w:pStyle w:val="Normal"/>
        <w:jc w:val="left"/>
      </w:pPr>
    </w:p>
    <w:p w:rsidR="5ED72956" w:rsidP="5ED72956" w:rsidRDefault="5ED72956" w14:paraId="7CAA9647" w14:textId="2A4FD563">
      <w:pPr>
        <w:pStyle w:val="Normal"/>
        <w:jc w:val="left"/>
      </w:pPr>
    </w:p>
    <w:p w:rsidR="5ED72956" w:rsidP="5ED72956" w:rsidRDefault="5ED72956" w14:paraId="1E26AA35" w14:textId="2C17B48C">
      <w:pPr>
        <w:pStyle w:val="Normal"/>
        <w:jc w:val="both"/>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B9HsUHVzm50ua" int2:id="88PgHZfw">
      <int2:state int2:type="AugLoop_Text_Critique" int2:value="Rejected"/>
    </int2:textHash>
    <int2:bookmark int2:bookmarkName="_Int_R5ugRIPi" int2:invalidationBookmarkName="" int2:hashCode="nzTBO3T0zNLlBU" int2:id="3MqJMIkp">
      <int2:state int2:type="AugLoop_Text_Critique" int2:value="Rejected"/>
    </int2:bookmark>
    <int2:bookmark int2:bookmarkName="_Int_EGgQ8ZZf" int2:invalidationBookmarkName="" int2:hashCode="nzTBO3T0zNLlBU" int2:id="812Jc9bf">
      <int2:state int2:type="AugLoop_Text_Critique" int2:value="Rejected"/>
    </int2:bookmark>
    <int2:bookmark int2:bookmarkName="_Int_kLh3TVpf" int2:invalidationBookmarkName="" int2:hashCode="3KKjJeR/dxf+gy" int2:id="FOus1ZbU">
      <int2:state int2:type="AugLoop_Text_Critique" int2:value="Rejected"/>
    </int2:bookmark>
    <int2:bookmark int2:bookmarkName="_Int_MDXRmWdc" int2:invalidationBookmarkName="" int2:hashCode="3KKjJeR/dxf+gy" int2:id="kV0i17tS">
      <int2:state int2:type="AugLoop_Text_Critique" int2:value="Rejected"/>
    </int2:bookmark>
    <int2:bookmark int2:bookmarkName="_Int_EW3gJcFo" int2:invalidationBookmarkName="" int2:hashCode="BeGHhIDDDdaP3P" int2:id="Ccuw3Hf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6B4B90"/>
    <w:rsid w:val="008618EF"/>
    <w:rsid w:val="00A926DE"/>
    <w:rsid w:val="00D3632E"/>
    <w:rsid w:val="00E07A5E"/>
    <w:rsid w:val="01057495"/>
    <w:rsid w:val="01390EFE"/>
    <w:rsid w:val="01566728"/>
    <w:rsid w:val="01BA3B70"/>
    <w:rsid w:val="0291BF75"/>
    <w:rsid w:val="02C0B289"/>
    <w:rsid w:val="02E66DCA"/>
    <w:rsid w:val="0303BF7F"/>
    <w:rsid w:val="034D64BD"/>
    <w:rsid w:val="036B4B90"/>
    <w:rsid w:val="036C0E64"/>
    <w:rsid w:val="03AFF648"/>
    <w:rsid w:val="04CFF0B4"/>
    <w:rsid w:val="05426982"/>
    <w:rsid w:val="0547F512"/>
    <w:rsid w:val="065139D7"/>
    <w:rsid w:val="0659C046"/>
    <w:rsid w:val="06E0D01B"/>
    <w:rsid w:val="073511FC"/>
    <w:rsid w:val="075D2D02"/>
    <w:rsid w:val="07FE2AAF"/>
    <w:rsid w:val="087C8862"/>
    <w:rsid w:val="08ABD44F"/>
    <w:rsid w:val="08EB10EB"/>
    <w:rsid w:val="090FF5E3"/>
    <w:rsid w:val="092D4BCE"/>
    <w:rsid w:val="0980ECDA"/>
    <w:rsid w:val="099705B8"/>
    <w:rsid w:val="0A6EAA76"/>
    <w:rsid w:val="0ADC8632"/>
    <w:rsid w:val="0B1DF1D2"/>
    <w:rsid w:val="0B5243AC"/>
    <w:rsid w:val="0BF2F816"/>
    <w:rsid w:val="0C785693"/>
    <w:rsid w:val="0CB9C233"/>
    <w:rsid w:val="0D3DB031"/>
    <w:rsid w:val="0D886997"/>
    <w:rsid w:val="0DFB1EE9"/>
    <w:rsid w:val="0E1C147A"/>
    <w:rsid w:val="0E559294"/>
    <w:rsid w:val="0EFBCC37"/>
    <w:rsid w:val="0FB7E4DB"/>
    <w:rsid w:val="105C8BDB"/>
    <w:rsid w:val="10FEA5A6"/>
    <w:rsid w:val="1153B53C"/>
    <w:rsid w:val="11F46204"/>
    <w:rsid w:val="124FB336"/>
    <w:rsid w:val="125EAA8A"/>
    <w:rsid w:val="1279BC5B"/>
    <w:rsid w:val="128B1AE2"/>
    <w:rsid w:val="12DA8113"/>
    <w:rsid w:val="13080B75"/>
    <w:rsid w:val="13338507"/>
    <w:rsid w:val="13FED8F0"/>
    <w:rsid w:val="141AF524"/>
    <w:rsid w:val="14682E15"/>
    <w:rsid w:val="14A04F7B"/>
    <w:rsid w:val="15B6C585"/>
    <w:rsid w:val="1627265F"/>
    <w:rsid w:val="163C1FDC"/>
    <w:rsid w:val="16C3223F"/>
    <w:rsid w:val="17147670"/>
    <w:rsid w:val="1732E24A"/>
    <w:rsid w:val="17C2F6C0"/>
    <w:rsid w:val="17C661D2"/>
    <w:rsid w:val="189D211C"/>
    <w:rsid w:val="18B670B7"/>
    <w:rsid w:val="18EE6647"/>
    <w:rsid w:val="191A3DC1"/>
    <w:rsid w:val="195EC721"/>
    <w:rsid w:val="197957DC"/>
    <w:rsid w:val="1A524118"/>
    <w:rsid w:val="1A86D6C2"/>
    <w:rsid w:val="1A8A36A8"/>
    <w:rsid w:val="1ACE473E"/>
    <w:rsid w:val="1B62694C"/>
    <w:rsid w:val="1B781B04"/>
    <w:rsid w:val="1D54E05A"/>
    <w:rsid w:val="1DC1D76A"/>
    <w:rsid w:val="1DF01E11"/>
    <w:rsid w:val="1E9C3FB5"/>
    <w:rsid w:val="1EAFBBC6"/>
    <w:rsid w:val="1EE5C316"/>
    <w:rsid w:val="1F2BA509"/>
    <w:rsid w:val="1FF9183E"/>
    <w:rsid w:val="201A26F3"/>
    <w:rsid w:val="2032D9F9"/>
    <w:rsid w:val="20949038"/>
    <w:rsid w:val="20A653AE"/>
    <w:rsid w:val="2122747A"/>
    <w:rsid w:val="21B301FC"/>
    <w:rsid w:val="22306099"/>
    <w:rsid w:val="22878DF8"/>
    <w:rsid w:val="2307B78F"/>
    <w:rsid w:val="233F4CDC"/>
    <w:rsid w:val="23C4EC74"/>
    <w:rsid w:val="23C7E3DD"/>
    <w:rsid w:val="23DCABB0"/>
    <w:rsid w:val="240E8265"/>
    <w:rsid w:val="24199BCB"/>
    <w:rsid w:val="243118EE"/>
    <w:rsid w:val="243FA7EF"/>
    <w:rsid w:val="24A179C8"/>
    <w:rsid w:val="252EA8E6"/>
    <w:rsid w:val="2575C1E5"/>
    <w:rsid w:val="25A4BCD6"/>
    <w:rsid w:val="25AB07D9"/>
    <w:rsid w:val="25D9316F"/>
    <w:rsid w:val="25DC3B15"/>
    <w:rsid w:val="26217BEB"/>
    <w:rsid w:val="263D4A29"/>
    <w:rsid w:val="266859C2"/>
    <w:rsid w:val="27AEA8C9"/>
    <w:rsid w:val="28488EB4"/>
    <w:rsid w:val="287422C9"/>
    <w:rsid w:val="28B72032"/>
    <w:rsid w:val="28DC8802"/>
    <w:rsid w:val="29140A99"/>
    <w:rsid w:val="2A44931F"/>
    <w:rsid w:val="2AD41D05"/>
    <w:rsid w:val="2B61EDB3"/>
    <w:rsid w:val="2BF8EF7B"/>
    <w:rsid w:val="2BFFD113"/>
    <w:rsid w:val="2C6FED66"/>
    <w:rsid w:val="2D8A9155"/>
    <w:rsid w:val="2E0BBDC7"/>
    <w:rsid w:val="2EF5FD70"/>
    <w:rsid w:val="2F4743CD"/>
    <w:rsid w:val="3050751A"/>
    <w:rsid w:val="306EE3D7"/>
    <w:rsid w:val="30A59EA8"/>
    <w:rsid w:val="30D7E3C9"/>
    <w:rsid w:val="30E3142E"/>
    <w:rsid w:val="31435E89"/>
    <w:rsid w:val="32422F40"/>
    <w:rsid w:val="32468DFE"/>
    <w:rsid w:val="325E0278"/>
    <w:rsid w:val="3285A6FF"/>
    <w:rsid w:val="32BCDAD2"/>
    <w:rsid w:val="32D4DAC4"/>
    <w:rsid w:val="32DF2EEA"/>
    <w:rsid w:val="33D20584"/>
    <w:rsid w:val="341AB4F0"/>
    <w:rsid w:val="34A662BB"/>
    <w:rsid w:val="34B7CB32"/>
    <w:rsid w:val="3506D6B2"/>
    <w:rsid w:val="351C9D14"/>
    <w:rsid w:val="3595A33A"/>
    <w:rsid w:val="35B68551"/>
    <w:rsid w:val="3676847C"/>
    <w:rsid w:val="36C02CCD"/>
    <w:rsid w:val="373B1958"/>
    <w:rsid w:val="37591822"/>
    <w:rsid w:val="37CBC9F5"/>
    <w:rsid w:val="37E24BF8"/>
    <w:rsid w:val="3988614E"/>
    <w:rsid w:val="39F7CD8F"/>
    <w:rsid w:val="3A3DC430"/>
    <w:rsid w:val="3A523F48"/>
    <w:rsid w:val="3B1DF199"/>
    <w:rsid w:val="3B939DF0"/>
    <w:rsid w:val="3BF462A8"/>
    <w:rsid w:val="3C0179AC"/>
    <w:rsid w:val="3CAECEBF"/>
    <w:rsid w:val="3CDD1AE0"/>
    <w:rsid w:val="3CF3F9CD"/>
    <w:rsid w:val="3D2F6E51"/>
    <w:rsid w:val="3D903309"/>
    <w:rsid w:val="3DC19736"/>
    <w:rsid w:val="3E026DC1"/>
    <w:rsid w:val="3E117EBD"/>
    <w:rsid w:val="3E45E45B"/>
    <w:rsid w:val="3E9DAB78"/>
    <w:rsid w:val="3ECB3EB2"/>
    <w:rsid w:val="3F62E6B0"/>
    <w:rsid w:val="3F9B3554"/>
    <w:rsid w:val="3FAA59C6"/>
    <w:rsid w:val="3FFE740C"/>
    <w:rsid w:val="4019888E"/>
    <w:rsid w:val="405D823C"/>
    <w:rsid w:val="40AC69DC"/>
    <w:rsid w:val="40B8A35E"/>
    <w:rsid w:val="4136A4A6"/>
    <w:rsid w:val="4173B250"/>
    <w:rsid w:val="417D851D"/>
    <w:rsid w:val="41D001E1"/>
    <w:rsid w:val="4202DF74"/>
    <w:rsid w:val="4218272B"/>
    <w:rsid w:val="424C482C"/>
    <w:rsid w:val="4319557E"/>
    <w:rsid w:val="43592AEE"/>
    <w:rsid w:val="43E85661"/>
    <w:rsid w:val="44757144"/>
    <w:rsid w:val="44B525DF"/>
    <w:rsid w:val="44C88EB6"/>
    <w:rsid w:val="44EEA373"/>
    <w:rsid w:val="4517B6F4"/>
    <w:rsid w:val="4650F640"/>
    <w:rsid w:val="46A30FE0"/>
    <w:rsid w:val="46B38755"/>
    <w:rsid w:val="47706702"/>
    <w:rsid w:val="48264435"/>
    <w:rsid w:val="485E88C7"/>
    <w:rsid w:val="4921B030"/>
    <w:rsid w:val="49C21496"/>
    <w:rsid w:val="49F728DD"/>
    <w:rsid w:val="4AAECA34"/>
    <w:rsid w:val="4B5DE4F7"/>
    <w:rsid w:val="4B906E00"/>
    <w:rsid w:val="4C4DDED5"/>
    <w:rsid w:val="4CE324FE"/>
    <w:rsid w:val="4CE6128F"/>
    <w:rsid w:val="4DDFA886"/>
    <w:rsid w:val="4E2562CE"/>
    <w:rsid w:val="4EB95EA4"/>
    <w:rsid w:val="4F70EB1E"/>
    <w:rsid w:val="4F7B78E7"/>
    <w:rsid w:val="4FC1332F"/>
    <w:rsid w:val="4FD48B0E"/>
    <w:rsid w:val="4FDA4675"/>
    <w:rsid w:val="4FE74ACB"/>
    <w:rsid w:val="504D56B4"/>
    <w:rsid w:val="51161E32"/>
    <w:rsid w:val="511E0BB8"/>
    <w:rsid w:val="51CAD996"/>
    <w:rsid w:val="51ED22FA"/>
    <w:rsid w:val="529B44E3"/>
    <w:rsid w:val="52B1EE93"/>
    <w:rsid w:val="52B9DC19"/>
    <w:rsid w:val="52F2AC4D"/>
    <w:rsid w:val="5346FC86"/>
    <w:rsid w:val="544EEA0A"/>
    <w:rsid w:val="546DDC46"/>
    <w:rsid w:val="548E7CAE"/>
    <w:rsid w:val="553CE40B"/>
    <w:rsid w:val="55A24023"/>
    <w:rsid w:val="55B6EF50"/>
    <w:rsid w:val="55C29871"/>
    <w:rsid w:val="55C348E3"/>
    <w:rsid w:val="55EABA6B"/>
    <w:rsid w:val="55F17CDB"/>
    <w:rsid w:val="572411E3"/>
    <w:rsid w:val="573DE2FC"/>
    <w:rsid w:val="57491546"/>
    <w:rsid w:val="575E73F0"/>
    <w:rsid w:val="578D4D3C"/>
    <w:rsid w:val="57ABEEE2"/>
    <w:rsid w:val="57AD5E29"/>
    <w:rsid w:val="58215972"/>
    <w:rsid w:val="5827D3AF"/>
    <w:rsid w:val="5840434B"/>
    <w:rsid w:val="58555E11"/>
    <w:rsid w:val="590416CC"/>
    <w:rsid w:val="590473B6"/>
    <w:rsid w:val="591B0B9D"/>
    <w:rsid w:val="59291D9D"/>
    <w:rsid w:val="592BBBF3"/>
    <w:rsid w:val="5961EDD1"/>
    <w:rsid w:val="59F8FE57"/>
    <w:rsid w:val="5AC4EDFE"/>
    <w:rsid w:val="5B58FCB0"/>
    <w:rsid w:val="5CC12156"/>
    <w:rsid w:val="5CE30DFC"/>
    <w:rsid w:val="5DA47960"/>
    <w:rsid w:val="5DFC8EC0"/>
    <w:rsid w:val="5E043185"/>
    <w:rsid w:val="5E26307C"/>
    <w:rsid w:val="5EB22EF9"/>
    <w:rsid w:val="5ED72956"/>
    <w:rsid w:val="5EEDDDEB"/>
    <w:rsid w:val="5F0CB53B"/>
    <w:rsid w:val="5F4B38DF"/>
    <w:rsid w:val="5F72A91D"/>
    <w:rsid w:val="5F985F21"/>
    <w:rsid w:val="602F3056"/>
    <w:rsid w:val="6136A3B8"/>
    <w:rsid w:val="61E3BA7F"/>
    <w:rsid w:val="61E72591"/>
    <w:rsid w:val="620ECA18"/>
    <w:rsid w:val="62CFFFE3"/>
    <w:rsid w:val="637F8AE0"/>
    <w:rsid w:val="63B9BC92"/>
    <w:rsid w:val="63C6B7FC"/>
    <w:rsid w:val="63E3E605"/>
    <w:rsid w:val="64373E48"/>
    <w:rsid w:val="647E16A0"/>
    <w:rsid w:val="6491D20A"/>
    <w:rsid w:val="6495E3C8"/>
    <w:rsid w:val="649A67AA"/>
    <w:rsid w:val="64AAB854"/>
    <w:rsid w:val="652F5506"/>
    <w:rsid w:val="65AC32DE"/>
    <w:rsid w:val="65CEBECE"/>
    <w:rsid w:val="66389AFF"/>
    <w:rsid w:val="6689C3B4"/>
    <w:rsid w:val="671B86C7"/>
    <w:rsid w:val="679155FE"/>
    <w:rsid w:val="6845E4FF"/>
    <w:rsid w:val="6862687B"/>
    <w:rsid w:val="68761E16"/>
    <w:rsid w:val="687E0B9C"/>
    <w:rsid w:val="68B75728"/>
    <w:rsid w:val="6965432D"/>
    <w:rsid w:val="69CF3D97"/>
    <w:rsid w:val="69DDFD0A"/>
    <w:rsid w:val="69E95274"/>
    <w:rsid w:val="6A13198D"/>
    <w:rsid w:val="6A50E74A"/>
    <w:rsid w:val="6A532789"/>
    <w:rsid w:val="6A9DD4AC"/>
    <w:rsid w:val="6B01447B"/>
    <w:rsid w:val="6B1BCF82"/>
    <w:rsid w:val="6B8522D5"/>
    <w:rsid w:val="6BECB7AB"/>
    <w:rsid w:val="6C857334"/>
    <w:rsid w:val="6CB79FE3"/>
    <w:rsid w:val="6D4EB069"/>
    <w:rsid w:val="6D5AEBE1"/>
    <w:rsid w:val="6DCEADE0"/>
    <w:rsid w:val="6DE21AA3"/>
    <w:rsid w:val="6F2698AC"/>
    <w:rsid w:val="6F374BAF"/>
    <w:rsid w:val="6F7DEB04"/>
    <w:rsid w:val="6FC62907"/>
    <w:rsid w:val="6FFDE653"/>
    <w:rsid w:val="700A3FE6"/>
    <w:rsid w:val="7086512B"/>
    <w:rsid w:val="70ABCD03"/>
    <w:rsid w:val="70B64783"/>
    <w:rsid w:val="70EBC6FB"/>
    <w:rsid w:val="71705512"/>
    <w:rsid w:val="718B1106"/>
    <w:rsid w:val="72205FA9"/>
    <w:rsid w:val="730C2573"/>
    <w:rsid w:val="7326E167"/>
    <w:rsid w:val="743F782A"/>
    <w:rsid w:val="74A7F5D4"/>
    <w:rsid w:val="7594F2EB"/>
    <w:rsid w:val="76390C8B"/>
    <w:rsid w:val="76FB16C2"/>
    <w:rsid w:val="77058056"/>
    <w:rsid w:val="7781A94C"/>
    <w:rsid w:val="779BCC52"/>
    <w:rsid w:val="77CDAE1C"/>
    <w:rsid w:val="77DF9696"/>
    <w:rsid w:val="784C229F"/>
    <w:rsid w:val="78CBCA74"/>
    <w:rsid w:val="79697E7D"/>
    <w:rsid w:val="79B2011D"/>
    <w:rsid w:val="7A2FFFC7"/>
    <w:rsid w:val="7A576A5B"/>
    <w:rsid w:val="7A7138D9"/>
    <w:rsid w:val="7AE70810"/>
    <w:rsid w:val="7B054EDE"/>
    <w:rsid w:val="7B11F985"/>
    <w:rsid w:val="7B99095A"/>
    <w:rsid w:val="7BCF9A9C"/>
    <w:rsid w:val="7C08D599"/>
    <w:rsid w:val="7C5F15F1"/>
    <w:rsid w:val="7CA11F3F"/>
    <w:rsid w:val="7CDDD2D8"/>
    <w:rsid w:val="7D4290A9"/>
    <w:rsid w:val="7DFE0329"/>
    <w:rsid w:val="7E016E3B"/>
    <w:rsid w:val="7E1EA8D2"/>
    <w:rsid w:val="7F5D88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B4B90"/>
  <w15:chartTrackingRefBased/>
  <w15:docId w15:val="{5CAFB575-8379-4263-9C48-B6B3165273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ED7295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ED72956"/>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ED72956"/>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ED72956"/>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ED72956"/>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ED72956"/>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ED72956"/>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ED72956"/>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ED72956"/>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ED72956"/>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ED7295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ED7295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ED7295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ED7295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ED72956"/>
    <w:pPr>
      <w:spacing/>
      <w:ind w:left="720"/>
      <w:contextualSpacing/>
    </w:pPr>
  </w:style>
  <w:style w:type="character" w:styleId="Heading1Char" w:customStyle="true">
    <w:uiPriority w:val="9"/>
    <w:name w:val="Heading 1 Char"/>
    <w:basedOn w:val="DefaultParagraphFont"/>
    <w:link w:val="Heading1"/>
    <w:rsid w:val="5ED7295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ED7295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ED7295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ED7295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ED7295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ED7295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ED7295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ED7295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ED7295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ED7295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ED7295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ED7295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ED72956"/>
    <w:rPr>
      <w:i w:val="1"/>
      <w:iCs w:val="1"/>
      <w:noProof w:val="0"/>
      <w:color w:val="4472C4" w:themeColor="accent1" w:themeTint="FF" w:themeShade="FF"/>
      <w:lang w:val="en-GB"/>
    </w:rPr>
  </w:style>
  <w:style w:type="paragraph" w:styleId="TOC1">
    <w:uiPriority w:val="39"/>
    <w:name w:val="toc 1"/>
    <w:basedOn w:val="Normal"/>
    <w:next w:val="Normal"/>
    <w:unhideWhenUsed/>
    <w:rsid w:val="5ED72956"/>
    <w:pPr>
      <w:spacing w:after="100"/>
    </w:pPr>
  </w:style>
  <w:style w:type="paragraph" w:styleId="TOC2">
    <w:uiPriority w:val="39"/>
    <w:name w:val="toc 2"/>
    <w:basedOn w:val="Normal"/>
    <w:next w:val="Normal"/>
    <w:unhideWhenUsed/>
    <w:rsid w:val="5ED72956"/>
    <w:pPr>
      <w:spacing w:after="100"/>
      <w:ind w:left="220"/>
    </w:pPr>
  </w:style>
  <w:style w:type="paragraph" w:styleId="TOC3">
    <w:uiPriority w:val="39"/>
    <w:name w:val="toc 3"/>
    <w:basedOn w:val="Normal"/>
    <w:next w:val="Normal"/>
    <w:unhideWhenUsed/>
    <w:rsid w:val="5ED72956"/>
    <w:pPr>
      <w:spacing w:after="100"/>
      <w:ind w:left="440"/>
    </w:pPr>
  </w:style>
  <w:style w:type="paragraph" w:styleId="TOC4">
    <w:uiPriority w:val="39"/>
    <w:name w:val="toc 4"/>
    <w:basedOn w:val="Normal"/>
    <w:next w:val="Normal"/>
    <w:unhideWhenUsed/>
    <w:rsid w:val="5ED72956"/>
    <w:pPr>
      <w:spacing w:after="100"/>
      <w:ind w:left="660"/>
    </w:pPr>
  </w:style>
  <w:style w:type="paragraph" w:styleId="TOC5">
    <w:uiPriority w:val="39"/>
    <w:name w:val="toc 5"/>
    <w:basedOn w:val="Normal"/>
    <w:next w:val="Normal"/>
    <w:unhideWhenUsed/>
    <w:rsid w:val="5ED72956"/>
    <w:pPr>
      <w:spacing w:after="100"/>
      <w:ind w:left="880"/>
    </w:pPr>
  </w:style>
  <w:style w:type="paragraph" w:styleId="TOC6">
    <w:uiPriority w:val="39"/>
    <w:name w:val="toc 6"/>
    <w:basedOn w:val="Normal"/>
    <w:next w:val="Normal"/>
    <w:unhideWhenUsed/>
    <w:rsid w:val="5ED72956"/>
    <w:pPr>
      <w:spacing w:after="100"/>
      <w:ind w:left="1100"/>
    </w:pPr>
  </w:style>
  <w:style w:type="paragraph" w:styleId="TOC7">
    <w:uiPriority w:val="39"/>
    <w:name w:val="toc 7"/>
    <w:basedOn w:val="Normal"/>
    <w:next w:val="Normal"/>
    <w:unhideWhenUsed/>
    <w:rsid w:val="5ED72956"/>
    <w:pPr>
      <w:spacing w:after="100"/>
      <w:ind w:left="1320"/>
    </w:pPr>
  </w:style>
  <w:style w:type="paragraph" w:styleId="TOC8">
    <w:uiPriority w:val="39"/>
    <w:name w:val="toc 8"/>
    <w:basedOn w:val="Normal"/>
    <w:next w:val="Normal"/>
    <w:unhideWhenUsed/>
    <w:rsid w:val="5ED72956"/>
    <w:pPr>
      <w:spacing w:after="100"/>
      <w:ind w:left="1540"/>
    </w:pPr>
  </w:style>
  <w:style w:type="paragraph" w:styleId="TOC9">
    <w:uiPriority w:val="39"/>
    <w:name w:val="toc 9"/>
    <w:basedOn w:val="Normal"/>
    <w:next w:val="Normal"/>
    <w:unhideWhenUsed/>
    <w:rsid w:val="5ED72956"/>
    <w:pPr>
      <w:spacing w:after="100"/>
      <w:ind w:left="1760"/>
    </w:pPr>
  </w:style>
  <w:style w:type="paragraph" w:styleId="EndnoteText">
    <w:uiPriority w:val="99"/>
    <w:name w:val="endnote text"/>
    <w:basedOn w:val="Normal"/>
    <w:semiHidden/>
    <w:unhideWhenUsed/>
    <w:link w:val="EndnoteTextChar"/>
    <w:rsid w:val="5ED72956"/>
    <w:rPr>
      <w:sz w:val="20"/>
      <w:szCs w:val="20"/>
    </w:rPr>
    <w:pPr>
      <w:spacing w:after="0"/>
    </w:pPr>
  </w:style>
  <w:style w:type="character" w:styleId="EndnoteTextChar" w:customStyle="true">
    <w:uiPriority w:val="99"/>
    <w:name w:val="Endnote Text Char"/>
    <w:basedOn w:val="DefaultParagraphFont"/>
    <w:semiHidden/>
    <w:link w:val="EndnoteText"/>
    <w:rsid w:val="5ED72956"/>
    <w:rPr>
      <w:noProof w:val="0"/>
      <w:sz w:val="20"/>
      <w:szCs w:val="20"/>
      <w:lang w:val="en-GB"/>
    </w:rPr>
  </w:style>
  <w:style w:type="paragraph" w:styleId="Footer">
    <w:uiPriority w:val="99"/>
    <w:name w:val="footer"/>
    <w:basedOn w:val="Normal"/>
    <w:unhideWhenUsed/>
    <w:link w:val="FooterChar"/>
    <w:rsid w:val="5ED7295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ED72956"/>
    <w:rPr>
      <w:noProof w:val="0"/>
      <w:lang w:val="en-GB"/>
    </w:rPr>
  </w:style>
  <w:style w:type="paragraph" w:styleId="FootnoteText">
    <w:uiPriority w:val="99"/>
    <w:name w:val="footnote text"/>
    <w:basedOn w:val="Normal"/>
    <w:semiHidden/>
    <w:unhideWhenUsed/>
    <w:link w:val="FootnoteTextChar"/>
    <w:rsid w:val="5ED72956"/>
    <w:rPr>
      <w:sz w:val="20"/>
      <w:szCs w:val="20"/>
    </w:rPr>
    <w:pPr>
      <w:spacing w:after="0"/>
    </w:pPr>
  </w:style>
  <w:style w:type="character" w:styleId="FootnoteTextChar" w:customStyle="true">
    <w:uiPriority w:val="99"/>
    <w:name w:val="Footnote Text Char"/>
    <w:basedOn w:val="DefaultParagraphFont"/>
    <w:semiHidden/>
    <w:link w:val="FootnoteText"/>
    <w:rsid w:val="5ED72956"/>
    <w:rPr>
      <w:noProof w:val="0"/>
      <w:sz w:val="20"/>
      <w:szCs w:val="20"/>
      <w:lang w:val="en-GB"/>
    </w:rPr>
  </w:style>
  <w:style w:type="paragraph" w:styleId="Header">
    <w:uiPriority w:val="99"/>
    <w:name w:val="header"/>
    <w:basedOn w:val="Normal"/>
    <w:unhideWhenUsed/>
    <w:link w:val="HeaderChar"/>
    <w:rsid w:val="5ED7295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ED72956"/>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saysnomore.org/learn/learn-sexual-violence/understanding-consent/" TargetMode="External" Id="R66e3caed62f544e1" /><Relationship Type="http://schemas.openxmlformats.org/officeDocument/2006/relationships/hyperlink" Target="https://www.lawteacher.net/free-law-essays/criminal-law/r-v-brown-discrimination-0956.php" TargetMode="External" Id="Rf873e444e7264433" /><Relationship Type="http://schemas.openxmlformats.org/officeDocument/2006/relationships/hyperlink" Target="https://www.ibblaw.co.uk/insights/blog/mother-sues-nhs-after-finding-do-not-resuscitate-notice-sons-file" TargetMode="External" Id="R33bba49e428c4ecb" /><Relationship Type="http://schemas.openxmlformats.org/officeDocument/2006/relationships/hyperlink" Target="https://www.oxbridgenotes.co.uk/law_cases/r-v-wilson" TargetMode="External" Id="R3cd33f30e43b4f15" /><Relationship Type="http://schemas.openxmlformats.org/officeDocument/2006/relationships/hyperlink" Target="https://www.judiciaryni.uk/judicial-decisions/2021-nica-28" TargetMode="External" Id="Rce4403057ae94d94" /><Relationship Type="http://schemas.openxmlformats.org/officeDocument/2006/relationships/hyperlink" Target="https://www.lawteacher.net/cases/r-v-dica.php" TargetMode="External" Id="R01b21bd5c01c4cc1" /><Relationship Type="http://schemas.openxmlformats.org/officeDocument/2006/relationships/hyperlink" Target="https://www.e-lawresources.co.uk/cases/Burrell-v-Harmer.php" TargetMode="External" Id="R50ab8b5bb65146c2" /><Relationship Type="http://schemas.openxmlformats.org/officeDocument/2006/relationships/hyperlink" Target="https://www.sentencingcouncil.org.uk/wp-content/uploads/Assault-statistical-bulletin.pdf" TargetMode="External" Id="Refd279b98cd94740" /><Relationship Type="http://schemas.microsoft.com/office/2020/10/relationships/intelligence" Target="intelligence2.xml" Id="Ra96115c381d946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2023-11-09T18:44:30.2928982Z</dcterms:created>
  <dcterms:modified xsi:type="dcterms:W3CDTF">2023-11-10T23:38:40.6296719Z</dcterms:modified>
  <dc:creator>Ryan Marklove (2305123)</dc:creator>
  <lastModifiedBy>Ryan Marklove (2305123)</lastModifiedBy>
</coreProperties>
</file>