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B46C41" w14:textId="05A38D25" w:rsidR="00731087" w:rsidRDefault="000801C2">
      <w:pPr>
        <w:spacing w:after="301" w:line="259" w:lineRule="auto"/>
        <w:ind w:left="-5" w:right="0"/>
        <w:jc w:val="left"/>
      </w:pPr>
      <w:r>
        <w:rPr>
          <w:sz w:val="28"/>
        </w:rPr>
        <w:t xml:space="preserve">Name: </w:t>
      </w:r>
      <w:r w:rsidR="00E36992">
        <w:rPr>
          <w:sz w:val="28"/>
        </w:rPr>
        <w:t>Manisha kc</w:t>
      </w:r>
    </w:p>
    <w:p w14:paraId="4AA9F46C" w14:textId="3A5CB12A" w:rsidR="00731087" w:rsidRDefault="000801C2">
      <w:pPr>
        <w:spacing w:after="301" w:line="259" w:lineRule="auto"/>
        <w:ind w:left="-5" w:right="0"/>
        <w:jc w:val="left"/>
      </w:pPr>
      <w:r>
        <w:rPr>
          <w:sz w:val="28"/>
        </w:rPr>
        <w:t xml:space="preserve">Student Number: </w:t>
      </w:r>
      <w:r w:rsidR="00B90124">
        <w:rPr>
          <w:sz w:val="28"/>
        </w:rPr>
        <w:t>2520</w:t>
      </w:r>
      <w:r w:rsidR="001F4057">
        <w:rPr>
          <w:sz w:val="28"/>
        </w:rPr>
        <w:t>993</w:t>
      </w:r>
    </w:p>
    <w:p w14:paraId="7512A1E8" w14:textId="77777777" w:rsidR="00731087" w:rsidRDefault="000801C2">
      <w:pPr>
        <w:spacing w:after="301" w:line="259" w:lineRule="auto"/>
        <w:ind w:left="-5" w:right="0"/>
        <w:jc w:val="left"/>
      </w:pPr>
      <w:r>
        <w:rPr>
          <w:sz w:val="28"/>
        </w:rPr>
        <w:t>Module: Introduction to Public Health</w:t>
      </w:r>
    </w:p>
    <w:p w14:paraId="66DA36D7" w14:textId="77777777" w:rsidR="00731087" w:rsidRDefault="000801C2">
      <w:pPr>
        <w:spacing w:after="301" w:line="259" w:lineRule="auto"/>
        <w:ind w:left="-5" w:right="0"/>
        <w:jc w:val="left"/>
      </w:pPr>
      <w:r>
        <w:rPr>
          <w:sz w:val="28"/>
        </w:rPr>
        <w:t>Module Code: LCHS4008</w:t>
      </w:r>
    </w:p>
    <w:p w14:paraId="5C76D628" w14:textId="77777777" w:rsidR="00731087" w:rsidRDefault="000801C2">
      <w:pPr>
        <w:spacing w:after="301" w:line="259" w:lineRule="auto"/>
        <w:ind w:left="-5" w:right="0"/>
        <w:jc w:val="left"/>
      </w:pPr>
      <w:r>
        <w:rPr>
          <w:sz w:val="28"/>
        </w:rPr>
        <w:t>Lecturer: Debra Odeh</w:t>
      </w:r>
    </w:p>
    <w:p w14:paraId="5602A6A1" w14:textId="77777777" w:rsidR="00731087" w:rsidRDefault="000801C2">
      <w:pPr>
        <w:spacing w:after="301" w:line="259" w:lineRule="auto"/>
        <w:ind w:left="-5" w:right="0"/>
        <w:jc w:val="left"/>
      </w:pPr>
      <w:r>
        <w:rPr>
          <w:sz w:val="28"/>
        </w:rPr>
        <w:t>Component 2 Written Report: Depression</w:t>
      </w:r>
      <w:r>
        <w:br w:type="page"/>
      </w:r>
    </w:p>
    <w:p w14:paraId="3EBF501F" w14:textId="77777777" w:rsidR="00731087" w:rsidRDefault="000801C2">
      <w:pPr>
        <w:spacing w:after="231" w:line="259" w:lineRule="auto"/>
        <w:ind w:left="0" w:right="0" w:firstLine="0"/>
        <w:jc w:val="left"/>
      </w:pPr>
      <w:r>
        <w:rPr>
          <w:sz w:val="40"/>
        </w:rPr>
        <w:lastRenderedPageBreak/>
        <w:t>Content Page</w:t>
      </w:r>
    </w:p>
    <w:tbl>
      <w:tblPr>
        <w:tblStyle w:val="TableGrid"/>
        <w:tblW w:w="9638" w:type="dxa"/>
        <w:tblInd w:w="0" w:type="dxa"/>
        <w:tblCellMar>
          <w:top w:w="0" w:type="dxa"/>
          <w:left w:w="0" w:type="dxa"/>
          <w:bottom w:w="0" w:type="dxa"/>
          <w:right w:w="0" w:type="dxa"/>
        </w:tblCellMar>
        <w:tblLook w:val="04A0" w:firstRow="1" w:lastRow="0" w:firstColumn="1" w:lastColumn="0" w:noHBand="0" w:noVBand="1"/>
      </w:tblPr>
      <w:tblGrid>
        <w:gridCol w:w="9516"/>
        <w:gridCol w:w="122"/>
      </w:tblGrid>
      <w:tr w:rsidR="00731087" w14:paraId="5E3123DC" w14:textId="77777777">
        <w:trPr>
          <w:trHeight w:val="3932"/>
        </w:trPr>
        <w:tc>
          <w:tcPr>
            <w:tcW w:w="9515" w:type="dxa"/>
            <w:tcBorders>
              <w:top w:val="nil"/>
              <w:left w:val="nil"/>
              <w:bottom w:val="nil"/>
              <w:right w:val="nil"/>
            </w:tcBorders>
          </w:tcPr>
          <w:p w14:paraId="4C7182BD" w14:textId="77777777" w:rsidR="00731087" w:rsidRDefault="000801C2">
            <w:pPr>
              <w:spacing w:after="302" w:line="259" w:lineRule="auto"/>
              <w:ind w:left="0" w:right="0" w:firstLine="0"/>
              <w:jc w:val="left"/>
            </w:pPr>
            <w:r>
              <w:t>Introduction</w:t>
            </w:r>
          </w:p>
          <w:p w14:paraId="39B15F75" w14:textId="77777777" w:rsidR="00731087" w:rsidRDefault="000801C2">
            <w:pPr>
              <w:spacing w:after="302" w:line="259" w:lineRule="auto"/>
              <w:ind w:left="0" w:right="0" w:firstLine="0"/>
              <w:jc w:val="left"/>
            </w:pPr>
            <w:r>
              <w:rPr>
                <w:noProof/>
                <w:color w:val="000000"/>
              </w:rPr>
              <mc:AlternateContent>
                <mc:Choice Requires="wpg">
                  <w:drawing>
                    <wp:anchor distT="0" distB="0" distL="114300" distR="114300" simplePos="0" relativeHeight="251658240" behindDoc="0" locked="0" layoutInCell="1" allowOverlap="1" wp14:anchorId="72CF4020" wp14:editId="13DC077C">
                      <wp:simplePos x="0" y="0"/>
                      <wp:positionH relativeFrom="column">
                        <wp:posOffset>5834250</wp:posOffset>
                      </wp:positionH>
                      <wp:positionV relativeFrom="paragraph">
                        <wp:posOffset>-134683</wp:posOffset>
                      </wp:positionV>
                      <wp:extent cx="9525" cy="2255520"/>
                      <wp:effectExtent l="0" t="0" r="0" b="0"/>
                      <wp:wrapSquare wrapText="bothSides"/>
                      <wp:docPr id="2379" name="Group 2379"/>
                      <wp:cNvGraphicFramePr/>
                      <a:graphic xmlns:a="http://schemas.openxmlformats.org/drawingml/2006/main">
                        <a:graphicData uri="http://schemas.microsoft.com/office/word/2010/wordprocessingGroup">
                          <wpg:wgp>
                            <wpg:cNvGrpSpPr/>
                            <wpg:grpSpPr>
                              <a:xfrm>
                                <a:off x="0" y="0"/>
                                <a:ext cx="9525" cy="2255520"/>
                                <a:chOff x="0" y="0"/>
                                <a:chExt cx="9525" cy="2255520"/>
                              </a:xfrm>
                            </wpg:grpSpPr>
                            <wps:wsp>
                              <wps:cNvPr id="15" name="Shape 15"/>
                              <wps:cNvSpPr/>
                              <wps:spPr>
                                <a:xfrm>
                                  <a:off x="0" y="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s:wsp>
                              <wps:cNvPr id="16" name="Shape 16"/>
                              <wps:cNvSpPr/>
                              <wps:spPr>
                                <a:xfrm>
                                  <a:off x="0" y="37592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s:wsp>
                              <wps:cNvPr id="17" name="Shape 17"/>
                              <wps:cNvSpPr/>
                              <wps:spPr>
                                <a:xfrm>
                                  <a:off x="0" y="75184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s:wsp>
                              <wps:cNvPr id="18" name="Shape 18"/>
                              <wps:cNvSpPr/>
                              <wps:spPr>
                                <a:xfrm>
                                  <a:off x="0" y="112776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s:wsp>
                              <wps:cNvPr id="19" name="Shape 19"/>
                              <wps:cNvSpPr/>
                              <wps:spPr>
                                <a:xfrm>
                                  <a:off x="0" y="150368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s:wsp>
                              <wps:cNvPr id="20" name="Shape 20"/>
                              <wps:cNvSpPr/>
                              <wps:spPr>
                                <a:xfrm>
                                  <a:off x="0" y="187960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s:wsp>
                              <wps:cNvPr id="21" name="Shape 21"/>
                              <wps:cNvSpPr/>
                              <wps:spPr>
                                <a:xfrm>
                                  <a:off x="0" y="225552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379" style="width:0.75pt;height:177.6pt;position:absolute;mso-position-horizontal-relative:text;mso-position-horizontal:absolute;margin-left:459.39pt;mso-position-vertical-relative:text;margin-top:-10.6051pt;" coordsize="95,22555">
                      <v:shape id="Shape 15" style="position:absolute;width:0;height:0;left:0;top:0;" coordsize="0,0" path="m0,0l0,0">
                        <v:stroke weight="0.75pt" endcap="flat" dashstyle="1" joinstyle="miter" miterlimit="10" on="true" color="#444444"/>
                        <v:fill on="false" color="#000000" opacity="0"/>
                      </v:shape>
                      <v:shape id="Shape 16" style="position:absolute;width:0;height:0;left:0;top:3759;" coordsize="0,0" path="m0,0l0,0">
                        <v:stroke weight="0.75pt" endcap="flat" dashstyle="1" joinstyle="miter" miterlimit="10" on="true" color="#444444"/>
                        <v:fill on="false" color="#000000" opacity="0"/>
                      </v:shape>
                      <v:shape id="Shape 17" style="position:absolute;width:0;height:0;left:0;top:7518;" coordsize="0,0" path="m0,0l0,0">
                        <v:stroke weight="0.75pt" endcap="flat" dashstyle="1" joinstyle="miter" miterlimit="10" on="true" color="#444444"/>
                        <v:fill on="false" color="#000000" opacity="0"/>
                      </v:shape>
                      <v:shape id="Shape 18" style="position:absolute;width:0;height:0;left:0;top:11277;" coordsize="0,0" path="m0,0l0,0">
                        <v:stroke weight="0.75pt" endcap="flat" dashstyle="1" joinstyle="miter" miterlimit="10" on="true" color="#444444"/>
                        <v:fill on="false" color="#000000" opacity="0"/>
                      </v:shape>
                      <v:shape id="Shape 19" style="position:absolute;width:0;height:0;left:0;top:15036;" coordsize="0,0" path="m0,0l0,0">
                        <v:stroke weight="0.75pt" endcap="flat" dashstyle="1" joinstyle="miter" miterlimit="10" on="true" color="#444444"/>
                        <v:fill on="false" color="#000000" opacity="0"/>
                      </v:shape>
                      <v:shape id="Shape 20" style="position:absolute;width:0;height:0;left:0;top:18796;" coordsize="0,0" path="m0,0l0,0">
                        <v:stroke weight="0.75pt" endcap="flat" dashstyle="1" joinstyle="miter" miterlimit="10" on="true" color="#444444"/>
                        <v:fill on="false" color="#000000" opacity="0"/>
                      </v:shape>
                      <v:shape id="Shape 21" style="position:absolute;width:0;height:0;left:0;top:22555;" coordsize="0,0" path="m0,0l0,0">
                        <v:stroke weight="0.75pt" endcap="flat" dashstyle="1" joinstyle="miter" miterlimit="10" on="true" color="#444444"/>
                        <v:fill on="false" color="#000000" opacity="0"/>
                      </v:shape>
                      <w10:wrap type="square"/>
                    </v:group>
                  </w:pict>
                </mc:Fallback>
              </mc:AlternateContent>
            </w:r>
            <w:r>
              <w:t>How Depression is measure and monitored</w:t>
            </w:r>
          </w:p>
          <w:p w14:paraId="64A7DA54" w14:textId="77777777" w:rsidR="00731087" w:rsidRDefault="000801C2">
            <w:pPr>
              <w:spacing w:after="302" w:line="259" w:lineRule="auto"/>
              <w:ind w:left="0" w:right="0" w:firstLine="0"/>
              <w:jc w:val="left"/>
            </w:pPr>
            <w:r>
              <w:t>Risk Factors of Depression</w:t>
            </w:r>
          </w:p>
          <w:p w14:paraId="166FA5A8" w14:textId="77777777" w:rsidR="00731087" w:rsidRDefault="000801C2">
            <w:pPr>
              <w:spacing w:after="302" w:line="259" w:lineRule="auto"/>
              <w:ind w:left="0" w:right="0" w:firstLine="0"/>
              <w:jc w:val="left"/>
            </w:pPr>
            <w:r>
              <w:t>Control of Depression</w:t>
            </w:r>
          </w:p>
          <w:p w14:paraId="5432C90A" w14:textId="77777777" w:rsidR="00731087" w:rsidRDefault="000801C2">
            <w:pPr>
              <w:spacing w:after="302" w:line="259" w:lineRule="auto"/>
              <w:ind w:left="0" w:right="0" w:firstLine="0"/>
              <w:jc w:val="left"/>
            </w:pPr>
            <w:r>
              <w:t>The implications of Depression on the community</w:t>
            </w:r>
          </w:p>
          <w:p w14:paraId="3B576883" w14:textId="77777777" w:rsidR="00731087" w:rsidRDefault="000801C2">
            <w:pPr>
              <w:spacing w:after="302" w:line="259" w:lineRule="auto"/>
              <w:ind w:left="0" w:right="0" w:firstLine="0"/>
              <w:jc w:val="left"/>
            </w:pPr>
            <w:r>
              <w:t>Health and social care services available to support individuals with Depression</w:t>
            </w:r>
          </w:p>
          <w:p w14:paraId="2351484D" w14:textId="77777777" w:rsidR="00731087" w:rsidRDefault="000801C2">
            <w:pPr>
              <w:spacing w:after="0" w:line="259" w:lineRule="auto"/>
              <w:ind w:left="0" w:right="0" w:firstLine="0"/>
              <w:jc w:val="left"/>
            </w:pPr>
            <w:r>
              <w:t>Conclusion</w:t>
            </w:r>
          </w:p>
        </w:tc>
        <w:tc>
          <w:tcPr>
            <w:tcW w:w="122" w:type="dxa"/>
            <w:tcBorders>
              <w:top w:val="nil"/>
              <w:left w:val="nil"/>
              <w:bottom w:val="nil"/>
              <w:right w:val="nil"/>
            </w:tcBorders>
          </w:tcPr>
          <w:p w14:paraId="004F7C3B" w14:textId="77777777" w:rsidR="00731087" w:rsidRDefault="000801C2">
            <w:pPr>
              <w:spacing w:after="302" w:line="259" w:lineRule="auto"/>
              <w:ind w:left="0" w:right="0" w:firstLine="0"/>
            </w:pPr>
            <w:r>
              <w:t>3</w:t>
            </w:r>
          </w:p>
          <w:p w14:paraId="045D9723" w14:textId="77777777" w:rsidR="00731087" w:rsidRDefault="000801C2">
            <w:pPr>
              <w:spacing w:after="302" w:line="259" w:lineRule="auto"/>
              <w:ind w:left="0" w:right="0" w:firstLine="0"/>
            </w:pPr>
            <w:r>
              <w:t>3</w:t>
            </w:r>
          </w:p>
          <w:p w14:paraId="157BD9EF" w14:textId="77777777" w:rsidR="00731087" w:rsidRDefault="000801C2">
            <w:pPr>
              <w:spacing w:after="302" w:line="259" w:lineRule="auto"/>
              <w:ind w:left="0" w:right="0" w:firstLine="0"/>
            </w:pPr>
            <w:r>
              <w:t>4</w:t>
            </w:r>
          </w:p>
          <w:p w14:paraId="4B645ADC" w14:textId="77777777" w:rsidR="00731087" w:rsidRDefault="000801C2">
            <w:pPr>
              <w:spacing w:after="302" w:line="259" w:lineRule="auto"/>
              <w:ind w:left="0" w:right="0" w:firstLine="0"/>
            </w:pPr>
            <w:r>
              <w:t>4</w:t>
            </w:r>
          </w:p>
          <w:p w14:paraId="63FE83F2" w14:textId="77777777" w:rsidR="00731087" w:rsidRDefault="000801C2">
            <w:pPr>
              <w:spacing w:after="302" w:line="259" w:lineRule="auto"/>
              <w:ind w:left="0" w:right="0" w:firstLine="0"/>
            </w:pPr>
            <w:r>
              <w:t>5</w:t>
            </w:r>
          </w:p>
          <w:p w14:paraId="3618D13A" w14:textId="77777777" w:rsidR="00731087" w:rsidRDefault="000801C2">
            <w:pPr>
              <w:spacing w:after="302" w:line="259" w:lineRule="auto"/>
              <w:ind w:left="0" w:right="0" w:firstLine="0"/>
            </w:pPr>
            <w:r>
              <w:t>5</w:t>
            </w:r>
          </w:p>
          <w:p w14:paraId="711F70A3" w14:textId="77777777" w:rsidR="00731087" w:rsidRDefault="000801C2">
            <w:pPr>
              <w:spacing w:after="0" w:line="259" w:lineRule="auto"/>
              <w:ind w:left="0" w:right="0" w:firstLine="0"/>
            </w:pPr>
            <w:r>
              <w:t>6</w:t>
            </w:r>
          </w:p>
        </w:tc>
      </w:tr>
    </w:tbl>
    <w:p w14:paraId="1E399880" w14:textId="77777777" w:rsidR="00731087" w:rsidRDefault="000801C2">
      <w:r>
        <w:br w:type="page"/>
      </w:r>
    </w:p>
    <w:p w14:paraId="229C175B" w14:textId="77777777" w:rsidR="00731087" w:rsidRDefault="000801C2">
      <w:pPr>
        <w:pStyle w:val="Heading1"/>
        <w:ind w:left="-5"/>
      </w:pPr>
      <w:r>
        <w:lastRenderedPageBreak/>
        <w:t>Introduction</w:t>
      </w:r>
    </w:p>
    <w:p w14:paraId="5938C204" w14:textId="77777777" w:rsidR="00731087" w:rsidRDefault="000801C2">
      <w:pPr>
        <w:ind w:left="-5" w:right="0"/>
      </w:pPr>
      <w:r>
        <w:t>Depression is a very common mental health condition. It is not just feeling sad for a few days. It is a serious illness where a person feels very sad, empty, and hopeless for weeks or months at a time. It affects how a person thinks, feels, and does daily activities like sleeping, eating, or working.</w:t>
      </w:r>
    </w:p>
    <w:p w14:paraId="717809FD" w14:textId="77777777" w:rsidR="00731087" w:rsidRDefault="000801C2">
      <w:pPr>
        <w:ind w:left="-5" w:right="0"/>
      </w:pPr>
      <w:r>
        <w:t>The signs and symptoms of depression can be both mental and physical. Mental signs include feeling sad all the time, losing interest in hobbies, feeling very tired, having low self-esteem, and finding it hard to concentrate. Physical signs include changes in appetite (eating too much or too little), sleeping problems (like insomnia or sleeping too much), and having unexplained pains or low energy.</w:t>
      </w:r>
    </w:p>
    <w:p w14:paraId="25241663" w14:textId="77777777" w:rsidR="00731087" w:rsidRDefault="000801C2">
      <w:pPr>
        <w:spacing w:after="519"/>
        <w:ind w:left="-5" w:right="0"/>
      </w:pPr>
      <w:r>
        <w:t>Depression is a big public health problem around the world and in the UK. Globally, the World Health Organization (WHO) states that about 5% of adults suffer from depression worldwide. In the UK, data from the Office for National Statistics (ONS) and the NHS shows that around 1 in 6 adults experience symptoms of depression. These high numbers show how serious and widespread this health issue is.</w:t>
      </w:r>
    </w:p>
    <w:p w14:paraId="747BA7F5" w14:textId="77777777" w:rsidR="00731087" w:rsidRDefault="000801C2">
      <w:pPr>
        <w:pStyle w:val="Heading1"/>
        <w:ind w:left="-5"/>
      </w:pPr>
      <w:r>
        <w:t>How Depression is measure and monitored</w:t>
      </w:r>
    </w:p>
    <w:p w14:paraId="46E75398" w14:textId="77777777" w:rsidR="00731087" w:rsidRDefault="000801C2">
      <w:pPr>
        <w:ind w:left="-5" w:right="0"/>
      </w:pPr>
      <w:r>
        <w:t>Doctors and public health professionals use different tools to measure and monitor depression. Since there is no blood test for depression, they use questionnaires and interviews to understand how a patient feels. Common tools include the Patient Health Questionnaire (PHQ-9), which asks patients 9 questions about their mood and daily life over the last two weeks to check the severity of their depression.</w:t>
      </w:r>
    </w:p>
    <w:p w14:paraId="337ED625" w14:textId="77777777" w:rsidR="00731087" w:rsidRDefault="000801C2">
      <w:pPr>
        <w:spacing w:after="519"/>
        <w:ind w:left="-5" w:right="0"/>
      </w:pPr>
      <w:r>
        <w:t>On a larger scale, public health organizations monitor depression by looking at data from health services. They track how many people go to the doctor for depression, how many antidepressants are prescribed, and how many people use mental health services. This helps the government and local authorities understand if the problem is getting better or worse.</w:t>
      </w:r>
    </w:p>
    <w:p w14:paraId="23EA20CF" w14:textId="77777777" w:rsidR="00731087" w:rsidRDefault="000801C2">
      <w:pPr>
        <w:pStyle w:val="Heading1"/>
        <w:ind w:left="-5"/>
      </w:pPr>
      <w:r>
        <w:t>Risk Factors of Depression</w:t>
      </w:r>
    </w:p>
    <w:p w14:paraId="67F97718" w14:textId="77777777" w:rsidR="00731087" w:rsidRDefault="000801C2">
      <w:pPr>
        <w:ind w:left="-5" w:right="0"/>
      </w:pPr>
      <w:r>
        <w:t>There are many reasons why someone might develop depression. These are called risk factors. They can be biological, psychological, or environmental. Biological factors include family history, meaning if a close family member had depression, a person might be more likely to get it too. Chemical imbalances in the brain also play a big role.</w:t>
      </w:r>
    </w:p>
    <w:p w14:paraId="685AC203" w14:textId="77777777" w:rsidR="00731087" w:rsidRDefault="000801C2">
      <w:pPr>
        <w:spacing w:after="519"/>
        <w:ind w:left="-5" w:right="0"/>
      </w:pPr>
      <w:r>
        <w:t>Psychological and environmental factors are also very important. Life events such as losing a loved one, going through a divorce, financial stress, or losing a job can trigger depression. People who have a history of trauma, abuse, or long-term physical illnesses (like cancer or chronic pain) are also at a higher risk of developing depression.</w:t>
      </w:r>
    </w:p>
    <w:p w14:paraId="7CD1D550" w14:textId="77777777" w:rsidR="00731087" w:rsidRDefault="000801C2">
      <w:pPr>
        <w:pStyle w:val="Heading1"/>
        <w:ind w:left="-5"/>
      </w:pPr>
      <w:r>
        <w:lastRenderedPageBreak/>
        <w:t>Control of Depression</w:t>
      </w:r>
    </w:p>
    <w:p w14:paraId="18F1514E" w14:textId="77777777" w:rsidR="00731087" w:rsidRDefault="000801C2">
      <w:pPr>
        <w:ind w:left="-5" w:right="0"/>
      </w:pPr>
      <w:r>
        <w:t>Controlling depression means helping individuals recover and preventing the illness from getting worse. This is usually done through a mix of medical treatments, talking therapies, and lifestyle changes. The most common medical treatments are antidepressant medications, which help balance chemicals in the brain to improve mood.</w:t>
      </w:r>
    </w:p>
    <w:p w14:paraId="7CC8DEBF" w14:textId="77777777" w:rsidR="00731087" w:rsidRDefault="000801C2">
      <w:pPr>
        <w:spacing w:after="519"/>
        <w:ind w:left="-5" w:right="0"/>
      </w:pPr>
      <w:r>
        <w:t>Talking therapies, such as Cognitive Behavioural Therapy (CBT), are highly effective. CBT helps people understand their negative thoughts and teaches them healthy ways to cope. In addition to professional help, lifestyle changes like regular physical exercise, eating healthy food, getting enough sleep, and avoiding alcohol can help control and reduce the symptoms of depression.</w:t>
      </w:r>
    </w:p>
    <w:p w14:paraId="4116352E" w14:textId="77777777" w:rsidR="00731087" w:rsidRDefault="000801C2">
      <w:pPr>
        <w:pStyle w:val="Heading1"/>
        <w:ind w:left="-5"/>
      </w:pPr>
      <w:r>
        <w:t>The implications of Depression on the community</w:t>
      </w:r>
    </w:p>
    <w:p w14:paraId="0C02FFDA" w14:textId="77777777" w:rsidR="00731087" w:rsidRDefault="000801C2">
      <w:pPr>
        <w:ind w:left="-5" w:right="0"/>
      </w:pPr>
      <w:r>
        <w:t>Depression does not only affect the individual person; it also has a big impact on the whole community and society. In the community, depression can lead to broken families and strained relationships. When a person has depression, they may isolate themselves from friends and family, which can make them feel lonely and cut off from support networks.</w:t>
      </w:r>
    </w:p>
    <w:p w14:paraId="6A1E1560" w14:textId="77777777" w:rsidR="00731087" w:rsidRDefault="000801C2">
      <w:pPr>
        <w:spacing w:after="519"/>
        <w:ind w:left="-5" w:right="0"/>
      </w:pPr>
      <w:r>
        <w:t>From an economic point of view, depression causes high costs for workplaces and the government. Many people with depression have to take days off work, which is called absenteeism. Or they may go to work but cannot perform well, which is called presenteeism. This leads to a loss of productivity for businesses and increases the financial strain on the healthcare system, like the NHS.</w:t>
      </w:r>
    </w:p>
    <w:p w14:paraId="1F26F325" w14:textId="77777777" w:rsidR="00731087" w:rsidRDefault="000801C2">
      <w:pPr>
        <w:pStyle w:val="Heading1"/>
        <w:ind w:left="-5"/>
      </w:pPr>
      <w:r>
        <w:t>Health and social care services available to support individuals with Depression</w:t>
      </w:r>
    </w:p>
    <w:p w14:paraId="344AA22B" w14:textId="77777777" w:rsidR="00731087" w:rsidRDefault="000801C2">
      <w:pPr>
        <w:ind w:left="-5" w:right="0"/>
      </w:pPr>
      <w:r>
        <w:t>There are many health and social care services in the community designed to support people suffering from depression. Primary care services are the first step, where individuals can see their General Practitioner (GP). GPs can diagnose depression, prescribe medication, and refer patients to specialist mental health services.</w:t>
      </w:r>
    </w:p>
    <w:p w14:paraId="2E3C094A" w14:textId="77777777" w:rsidR="00731087" w:rsidRDefault="000801C2">
      <w:pPr>
        <w:ind w:left="-5" w:right="0"/>
      </w:pPr>
      <w:r>
        <w:t>In the UK, services like NHS Talking Therapies (formerly known as IAPT) provide free counseling and CBT to individuals. Charities and support groups, such as Mind and the Samaritans, offer help, helplines, and a safe place for people to talk. Social care services can also provide community support workers to help individuals with daily living and to reduce social isolation.</w:t>
      </w:r>
    </w:p>
    <w:p w14:paraId="503D222A" w14:textId="77777777" w:rsidR="00731087" w:rsidRDefault="000801C2">
      <w:pPr>
        <w:pStyle w:val="Heading1"/>
        <w:ind w:left="-5"/>
      </w:pPr>
      <w:r>
        <w:t>Conclusion</w:t>
      </w:r>
    </w:p>
    <w:p w14:paraId="54548DA2" w14:textId="77777777" w:rsidR="00731087" w:rsidRDefault="000801C2">
      <w:pPr>
        <w:ind w:left="-5" w:right="0"/>
      </w:pPr>
      <w:r>
        <w:t>In conclusion, depression is a serious public health issue that affects millions of people globally and in the UK. It causes severe mental and physical symptoms that make daily life very difficult. While it is monitored using standardized tools like questionnaires, controlling it requires a combination of medication, talking therapies like CBT, and strong community support.</w:t>
      </w:r>
    </w:p>
    <w:p w14:paraId="4ACA5AAA" w14:textId="77777777" w:rsidR="00731087" w:rsidRDefault="000801C2">
      <w:pPr>
        <w:spacing w:after="669"/>
        <w:ind w:left="-5" w:right="0"/>
      </w:pPr>
      <w:r>
        <w:lastRenderedPageBreak/>
        <w:t>The consequences of depression are felt across communities through broken relationships and economic costs. However, with the right health and social care support services—including GPs, NHS talking therapies, and mental health charities—individuals can receive the help they need to recover and live a fulfilling life.</w:t>
      </w:r>
    </w:p>
    <w:p w14:paraId="50050B4A" w14:textId="77777777" w:rsidR="00731087" w:rsidRDefault="000801C2">
      <w:pPr>
        <w:pStyle w:val="Heading1"/>
        <w:ind w:left="-5"/>
      </w:pPr>
      <w:r>
        <w:t>References</w:t>
      </w:r>
    </w:p>
    <w:p w14:paraId="6C8F066C" w14:textId="77777777" w:rsidR="00731087" w:rsidRDefault="000801C2">
      <w:pPr>
        <w:spacing w:after="222" w:line="318" w:lineRule="auto"/>
        <w:ind w:left="-5" w:right="-8"/>
        <w:jc w:val="left"/>
      </w:pPr>
      <w:r>
        <w:t xml:space="preserve">Mind (2023). </w:t>
      </w:r>
      <w:r>
        <w:rPr>
          <w:i/>
        </w:rPr>
        <w:t>Depression</w:t>
      </w:r>
      <w:r>
        <w:t xml:space="preserve">. Available at: </w:t>
      </w:r>
      <w:hyperlink r:id="rId6">
        <w:r>
          <w:rPr>
            <w:color w:val="0066CC"/>
            <w:u w:val="single" w:color="0066CC"/>
          </w:rPr>
          <w:t>https://www.mind.org.uk/information-support/types-of</w:t>
        </w:r>
      </w:hyperlink>
      <w:hyperlink r:id="rId7">
        <w:r>
          <w:rPr>
            <w:color w:val="0066CC"/>
            <w:u w:val="single" w:color="0066CC"/>
          </w:rPr>
          <w:t>mental-health-problems/depression/about-depression/</w:t>
        </w:r>
      </w:hyperlink>
    </w:p>
    <w:p w14:paraId="45F656B1" w14:textId="77777777" w:rsidR="00731087" w:rsidRDefault="000801C2">
      <w:pPr>
        <w:spacing w:after="222" w:line="318" w:lineRule="auto"/>
        <w:ind w:left="-5" w:right="-8"/>
        <w:jc w:val="left"/>
      </w:pPr>
      <w:r>
        <w:t xml:space="preserve">NHS (2025). </w:t>
      </w:r>
      <w:r>
        <w:rPr>
          <w:i/>
        </w:rPr>
        <w:t>Overview - Clinical depression</w:t>
      </w:r>
      <w:r>
        <w:t xml:space="preserve">. Available at: </w:t>
      </w:r>
      <w:hyperlink r:id="rId8">
        <w:r>
          <w:rPr>
            <w:color w:val="0066CC"/>
            <w:u w:val="single" w:color="0066CC"/>
          </w:rPr>
          <w:t xml:space="preserve">https://www.nhs.uk/mental-health/ </w:t>
        </w:r>
      </w:hyperlink>
      <w:hyperlink r:id="rId9">
        <w:r>
          <w:rPr>
            <w:color w:val="0066CC"/>
            <w:u w:val="single" w:color="0066CC"/>
          </w:rPr>
          <w:t>conditions/clinical-depression/overview/</w:t>
        </w:r>
      </w:hyperlink>
    </w:p>
    <w:p w14:paraId="1668AF14" w14:textId="77777777" w:rsidR="00731087" w:rsidRDefault="000801C2">
      <w:pPr>
        <w:spacing w:after="81" w:line="259" w:lineRule="auto"/>
        <w:ind w:left="0" w:right="0" w:firstLine="0"/>
        <w:jc w:val="left"/>
      </w:pPr>
      <w:r>
        <w:t xml:space="preserve">Office for National Statistics (2023). </w:t>
      </w:r>
      <w:r>
        <w:rPr>
          <w:i/>
        </w:rPr>
        <w:t>Cost of living and depression in adults, Great Britain</w:t>
      </w:r>
      <w:r>
        <w:t>. Available</w:t>
      </w:r>
    </w:p>
    <w:p w14:paraId="49113F86" w14:textId="77777777" w:rsidR="00731087" w:rsidRDefault="000801C2">
      <w:pPr>
        <w:spacing w:after="222" w:line="318" w:lineRule="auto"/>
        <w:ind w:left="-5" w:right="-8"/>
        <w:jc w:val="left"/>
      </w:pPr>
      <w:r>
        <w:t>at:</w:t>
      </w:r>
      <w:r>
        <w:tab/>
      </w:r>
      <w:r>
        <w:rPr>
          <w:u w:val="single" w:color="0066CC"/>
        </w:rPr>
        <w:t xml:space="preserve"> </w:t>
      </w:r>
      <w:hyperlink r:id="rId10">
        <w:r>
          <w:rPr>
            <w:color w:val="0066CC"/>
            <w:u w:val="single" w:color="0066CC"/>
          </w:rPr>
          <w:t xml:space="preserve">https://www.ons.gov.uk/peoplepopulationandcommunity/wellbeing/articles/ </w:t>
        </w:r>
      </w:hyperlink>
      <w:hyperlink r:id="rId11">
        <w:r>
          <w:rPr>
            <w:color w:val="0066CC"/>
            <w:u w:val="single" w:color="0066CC"/>
          </w:rPr>
          <w:t>costoflivinganddepressioninadultsgreatbritain/2023</w:t>
        </w:r>
      </w:hyperlink>
    </w:p>
    <w:p w14:paraId="35BEC66E" w14:textId="77777777" w:rsidR="00731087" w:rsidRDefault="000801C2">
      <w:pPr>
        <w:spacing w:after="222" w:line="318" w:lineRule="auto"/>
        <w:ind w:left="-5" w:right="-8"/>
        <w:jc w:val="left"/>
      </w:pPr>
      <w:r>
        <w:t xml:space="preserve">World Health Organization (2023). </w:t>
      </w:r>
      <w:r>
        <w:rPr>
          <w:i/>
        </w:rPr>
        <w:t>Depressive disorder (depression)</w:t>
      </w:r>
      <w:r>
        <w:t xml:space="preserve">. Available at: </w:t>
      </w:r>
      <w:hyperlink r:id="rId12">
        <w:r>
          <w:rPr>
            <w:color w:val="0066CC"/>
            <w:u w:val="single" w:color="0066CC"/>
          </w:rPr>
          <w:t xml:space="preserve">https:// </w:t>
        </w:r>
      </w:hyperlink>
      <w:hyperlink r:id="rId13">
        <w:r>
          <w:rPr>
            <w:color w:val="0066CC"/>
            <w:u w:val="single" w:color="0066CC"/>
          </w:rPr>
          <w:t>www.who.int/news-room/fact-sheets/detail/depression</w:t>
        </w:r>
      </w:hyperlink>
    </w:p>
    <w:sectPr w:rsidR="00731087">
      <w:footerReference w:type="even" r:id="rId14"/>
      <w:footerReference w:type="default" r:id="rId15"/>
      <w:footerReference w:type="first" r:id="rId16"/>
      <w:pgSz w:w="11906" w:h="16838"/>
      <w:pgMar w:top="1226" w:right="1122" w:bottom="1647" w:left="1134" w:header="720" w:footer="45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0C33565" w14:textId="77777777" w:rsidR="000801C2" w:rsidRDefault="000801C2">
      <w:pPr>
        <w:spacing w:after="0" w:line="240" w:lineRule="auto"/>
      </w:pPr>
      <w:r>
        <w:separator/>
      </w:r>
    </w:p>
  </w:endnote>
  <w:endnote w:type="continuationSeparator" w:id="0">
    <w:p w14:paraId="435A9F8E" w14:textId="77777777" w:rsidR="000801C2" w:rsidRDefault="00080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roman"/>
    <w:notTrueType/>
    <w:pitch w:val="default"/>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04F4E26" w14:textId="77777777" w:rsidR="00731087" w:rsidRDefault="000801C2">
    <w:pPr>
      <w:spacing w:after="0" w:line="259" w:lineRule="auto"/>
      <w:ind w:left="0" w:right="12" w:firstLine="0"/>
      <w:jc w:val="right"/>
    </w:pPr>
    <w:r>
      <w:fldChar w:fldCharType="begin"/>
    </w:r>
    <w:r>
      <w:instrText xml:space="preserve"> PAGE   \* MERGEFORMAT </w:instrText>
    </w:r>
    <w:r>
      <w:fldChar w:fldCharType="separate"/>
    </w:r>
    <w:r>
      <w:rPr>
        <w:color w:val="555555"/>
        <w:sz w:val="20"/>
      </w:rPr>
      <w:t>1</w:t>
    </w:r>
    <w:r>
      <w:rPr>
        <w:color w:val="555555"/>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23B1C34" w14:textId="77777777" w:rsidR="00731087" w:rsidRDefault="000801C2">
    <w:pPr>
      <w:spacing w:after="0" w:line="259" w:lineRule="auto"/>
      <w:ind w:left="0" w:right="12" w:firstLine="0"/>
      <w:jc w:val="right"/>
    </w:pPr>
    <w:r>
      <w:fldChar w:fldCharType="begin"/>
    </w:r>
    <w:r>
      <w:instrText xml:space="preserve"> PAGE   \* MERGEFORMAT </w:instrText>
    </w:r>
    <w:r>
      <w:fldChar w:fldCharType="separate"/>
    </w:r>
    <w:r>
      <w:rPr>
        <w:color w:val="555555"/>
        <w:sz w:val="20"/>
      </w:rPr>
      <w:t>1</w:t>
    </w:r>
    <w:r>
      <w:rPr>
        <w:color w:val="555555"/>
        <w:sz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594BB77" w14:textId="77777777" w:rsidR="00731087" w:rsidRDefault="000801C2">
    <w:pPr>
      <w:spacing w:after="0" w:line="259" w:lineRule="auto"/>
      <w:ind w:left="0" w:right="12" w:firstLine="0"/>
      <w:jc w:val="right"/>
    </w:pPr>
    <w:r>
      <w:fldChar w:fldCharType="begin"/>
    </w:r>
    <w:r>
      <w:instrText xml:space="preserve"> PAGE   \* MERGEFORMAT </w:instrText>
    </w:r>
    <w:r>
      <w:fldChar w:fldCharType="separate"/>
    </w:r>
    <w:r>
      <w:rPr>
        <w:color w:val="555555"/>
        <w:sz w:val="20"/>
      </w:rPr>
      <w:t>1</w:t>
    </w:r>
    <w:r>
      <w:rPr>
        <w:color w:val="555555"/>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D903C8A" w14:textId="77777777" w:rsidR="000801C2" w:rsidRDefault="000801C2">
      <w:pPr>
        <w:spacing w:after="0" w:line="240" w:lineRule="auto"/>
      </w:pPr>
      <w:r>
        <w:separator/>
      </w:r>
    </w:p>
  </w:footnote>
  <w:footnote w:type="continuationSeparator" w:id="0">
    <w:p w14:paraId="2717C794" w14:textId="77777777" w:rsidR="000801C2" w:rsidRDefault="000801C2">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1087"/>
    <w:rsid w:val="000801C2"/>
    <w:rsid w:val="001C55AC"/>
    <w:rsid w:val="001F4057"/>
    <w:rsid w:val="00731087"/>
    <w:rsid w:val="00B90124"/>
    <w:rsid w:val="00E36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E2B8A5"/>
  <w15:docId w15:val="{5A56DB77-7210-664C-BF8C-5BEEC8CC2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25" w:line="315" w:lineRule="auto"/>
      <w:ind w:left="10" w:right="14" w:hanging="10"/>
      <w:jc w:val="both"/>
    </w:pPr>
    <w:rPr>
      <w:rFonts w:ascii="Calibri" w:eastAsia="Calibri" w:hAnsi="Calibri" w:cs="Calibri"/>
      <w:color w:val="222222"/>
      <w:sz w:val="22"/>
    </w:rPr>
  </w:style>
  <w:style w:type="paragraph" w:styleId="Heading1">
    <w:name w:val="heading 1"/>
    <w:next w:val="Normal"/>
    <w:link w:val="Heading1Char"/>
    <w:uiPriority w:val="9"/>
    <w:qFormat/>
    <w:pPr>
      <w:keepNext/>
      <w:keepLines/>
      <w:spacing w:after="230" w:line="259" w:lineRule="auto"/>
      <w:ind w:left="10" w:hanging="10"/>
      <w:outlineLvl w:val="0"/>
    </w:pPr>
    <w:rPr>
      <w:rFonts w:ascii="Calibri" w:eastAsia="Calibri" w:hAnsi="Calibri" w:cs="Calibri"/>
      <w:b/>
      <w:color w:val="222222"/>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222222"/>
      <w:sz w:val="28"/>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clinical-depression/overview/" TargetMode="External"/><Relationship Id="rId13" Type="http://schemas.openxmlformats.org/officeDocument/2006/relationships/hyperlink" Target="https://www.who.int/news-room/fact-sheets/detail/depressio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mind.org.uk/information-support/types-of-mental-health-problems/depression/about-depression/" TargetMode="External"/><Relationship Id="rId12" Type="http://schemas.openxmlformats.org/officeDocument/2006/relationships/hyperlink" Target="https://www.who.int/news-room/fact-sheets/detail/depressio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www.mind.org.uk/information-support/types-of-mental-health-problems/depression/about-depression/" TargetMode="External"/><Relationship Id="rId11" Type="http://schemas.openxmlformats.org/officeDocument/2006/relationships/hyperlink" Target="https://www.ons.gov.uk/peoplepopulationandcommunity/wellbeing/articles/costoflivinganddepressioninadultsgreatbritain/2023"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ons.gov.uk/peoplepopulationandcommunity/wellbeing/articles/costoflivinganddepressioninadultsgreatbritain/2023" TargetMode="External"/><Relationship Id="rId4" Type="http://schemas.openxmlformats.org/officeDocument/2006/relationships/footnotes" Target="footnotes.xml"/><Relationship Id="rId9" Type="http://schemas.openxmlformats.org/officeDocument/2006/relationships/hyperlink" Target="https://www.nhs.uk/mental-health/conditions/clinical-depression/overview/"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1135</Words>
  <Characters>6475</Characters>
  <Application>Microsoft Office Word</Application>
  <DocSecurity>0</DocSecurity>
  <Lines>53</Lines>
  <Paragraphs>15</Paragraphs>
  <ScaleCrop>false</ScaleCrop>
  <Company/>
  <LinksUpToDate>false</LinksUpToDate>
  <CharactersWithSpaces>7595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Manisha K.C. (2520993)</cp:lastModifiedBy>
  <cp:revision>2</cp:revision>
  <dcterms:created xsi:type="dcterms:W3CDTF">2026-07-14T11:06:00Z</dcterms:created>
  <dcterms:modified xsi:type="dcterms:W3CDTF">2026-07-14T11:06:00Z</dcterms:modified>
</cp:coreProperties>
</file>